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0ACA" w14:textId="202693DA" w:rsidR="00585895" w:rsidRPr="00E57777" w:rsidRDefault="00342208" w:rsidP="00F12D9A">
      <w:pPr>
        <w:pStyle w:val="GvdeMetni"/>
        <w:spacing w:line="240" w:lineRule="auto"/>
        <w:rPr>
          <w:color w:val="000000" w:themeColor="text1"/>
          <w:sz w:val="20"/>
          <w:szCs w:val="20"/>
        </w:rPr>
      </w:pPr>
      <w:r w:rsidRPr="00E57777">
        <w:rPr>
          <w:color w:val="000000" w:themeColor="text1"/>
          <w:sz w:val="20"/>
          <w:szCs w:val="20"/>
        </w:rPr>
        <w:t>Araştırma/</w:t>
      </w:r>
      <w:proofErr w:type="spellStart"/>
      <w:r w:rsidRPr="00E57777">
        <w:rPr>
          <w:color w:val="000000" w:themeColor="text1"/>
          <w:sz w:val="20"/>
          <w:szCs w:val="20"/>
        </w:rPr>
        <w:t>Research</w:t>
      </w:r>
      <w:proofErr w:type="spellEnd"/>
      <w:r w:rsidR="00437D59" w:rsidRPr="00E57777">
        <w:rPr>
          <w:color w:val="000000" w:themeColor="text1"/>
          <w:sz w:val="20"/>
          <w:szCs w:val="20"/>
        </w:rPr>
        <w:tab/>
      </w:r>
      <w:r w:rsidR="00437D59" w:rsidRPr="00E57777">
        <w:rPr>
          <w:color w:val="000000" w:themeColor="text1"/>
          <w:sz w:val="20"/>
          <w:szCs w:val="20"/>
        </w:rPr>
        <w:tab/>
      </w:r>
      <w:r w:rsidR="00437D59" w:rsidRPr="00E57777">
        <w:rPr>
          <w:color w:val="000000" w:themeColor="text1"/>
          <w:sz w:val="20"/>
          <w:szCs w:val="20"/>
        </w:rPr>
        <w:tab/>
      </w:r>
      <w:r w:rsidRPr="00E57777">
        <w:rPr>
          <w:color w:val="000000" w:themeColor="text1"/>
          <w:sz w:val="20"/>
          <w:szCs w:val="20"/>
        </w:rPr>
        <w:t xml:space="preserve">     </w:t>
      </w:r>
      <w:r w:rsidR="00FD5C5D" w:rsidRPr="00E57777">
        <w:rPr>
          <w:color w:val="000000" w:themeColor="text1"/>
          <w:sz w:val="20"/>
          <w:szCs w:val="20"/>
        </w:rPr>
        <w:t xml:space="preserve">                    </w:t>
      </w:r>
      <w:r w:rsidR="00150D22" w:rsidRPr="00E57777">
        <w:rPr>
          <w:color w:val="000000" w:themeColor="text1"/>
          <w:sz w:val="20"/>
          <w:szCs w:val="20"/>
        </w:rPr>
        <w:t>E-ISSN:</w:t>
      </w:r>
      <w:r w:rsidR="004261C4" w:rsidRPr="00E57777">
        <w:rPr>
          <w:color w:val="000000" w:themeColor="text1"/>
          <w:sz w:val="20"/>
          <w:szCs w:val="20"/>
        </w:rPr>
        <w:t xml:space="preserve"> 2587-1412</w:t>
      </w:r>
      <w:r w:rsidR="00FA0513" w:rsidRPr="00E57777">
        <w:rPr>
          <w:color w:val="000000" w:themeColor="text1"/>
          <w:sz w:val="20"/>
          <w:szCs w:val="20"/>
        </w:rPr>
        <w:tab/>
      </w:r>
      <w:r w:rsidR="00FA0513" w:rsidRPr="00E57777">
        <w:rPr>
          <w:color w:val="000000" w:themeColor="text1"/>
          <w:sz w:val="20"/>
          <w:szCs w:val="20"/>
        </w:rPr>
        <w:tab/>
        <w:t xml:space="preserve">         </w:t>
      </w:r>
      <w:r w:rsidR="009C3CAF" w:rsidRPr="00E57777">
        <w:rPr>
          <w:color w:val="000000" w:themeColor="text1"/>
          <w:sz w:val="20"/>
          <w:szCs w:val="20"/>
        </w:rPr>
        <w:t xml:space="preserve"> </w:t>
      </w:r>
      <w:r w:rsidRPr="00E57777">
        <w:rPr>
          <w:color w:val="000000" w:themeColor="text1"/>
          <w:sz w:val="20"/>
          <w:szCs w:val="20"/>
        </w:rPr>
        <w:t xml:space="preserve">           </w:t>
      </w:r>
      <w:r w:rsidR="00785E09" w:rsidRPr="00E57777">
        <w:rPr>
          <w:color w:val="000000" w:themeColor="text1"/>
          <w:sz w:val="20"/>
          <w:szCs w:val="20"/>
        </w:rPr>
        <w:t>Cilt</w:t>
      </w:r>
      <w:r w:rsidR="004261C4" w:rsidRPr="00E57777">
        <w:rPr>
          <w:color w:val="000000" w:themeColor="text1"/>
          <w:sz w:val="20"/>
          <w:szCs w:val="20"/>
        </w:rPr>
        <w:t>:</w:t>
      </w:r>
      <w:r w:rsidR="00E57777" w:rsidRPr="00E57777">
        <w:rPr>
          <w:color w:val="000000" w:themeColor="text1"/>
          <w:sz w:val="20"/>
          <w:szCs w:val="20"/>
        </w:rPr>
        <w:t>7</w:t>
      </w:r>
      <w:r w:rsidR="00177D07" w:rsidRPr="00E57777">
        <w:rPr>
          <w:color w:val="000000" w:themeColor="text1"/>
          <w:sz w:val="20"/>
          <w:szCs w:val="20"/>
        </w:rPr>
        <w:t xml:space="preserve"> </w:t>
      </w:r>
      <w:r w:rsidR="00785E09" w:rsidRPr="00E57777">
        <w:rPr>
          <w:color w:val="000000" w:themeColor="text1"/>
          <w:sz w:val="20"/>
          <w:szCs w:val="20"/>
        </w:rPr>
        <w:t>Sayı</w:t>
      </w:r>
      <w:r w:rsidR="00FA0513" w:rsidRPr="00E57777">
        <w:rPr>
          <w:color w:val="000000" w:themeColor="text1"/>
          <w:sz w:val="20"/>
          <w:szCs w:val="20"/>
        </w:rPr>
        <w:t>:</w:t>
      </w:r>
      <w:r w:rsidR="00E57777" w:rsidRPr="00E57777">
        <w:rPr>
          <w:color w:val="000000" w:themeColor="text1"/>
          <w:sz w:val="20"/>
          <w:szCs w:val="20"/>
        </w:rPr>
        <w:t>1</w:t>
      </w:r>
      <w:r w:rsidR="00177D07" w:rsidRPr="00E57777">
        <w:rPr>
          <w:color w:val="000000" w:themeColor="text1"/>
          <w:sz w:val="20"/>
          <w:szCs w:val="20"/>
        </w:rPr>
        <w:t xml:space="preserve"> </w:t>
      </w:r>
      <w:r w:rsidR="00785E09" w:rsidRPr="00E57777">
        <w:rPr>
          <w:color w:val="000000" w:themeColor="text1"/>
          <w:sz w:val="20"/>
          <w:szCs w:val="20"/>
        </w:rPr>
        <w:t>Yıl</w:t>
      </w:r>
      <w:r w:rsidR="004261C4" w:rsidRPr="00E57777">
        <w:rPr>
          <w:color w:val="000000" w:themeColor="text1"/>
          <w:sz w:val="20"/>
          <w:szCs w:val="20"/>
        </w:rPr>
        <w:t>: 202</w:t>
      </w:r>
      <w:r w:rsidR="00E57777" w:rsidRPr="00E57777">
        <w:rPr>
          <w:color w:val="000000" w:themeColor="text1"/>
          <w:sz w:val="20"/>
          <w:szCs w:val="20"/>
        </w:rPr>
        <w:t>3</w:t>
      </w:r>
    </w:p>
    <w:p w14:paraId="1B05E1E5" w14:textId="64155A55" w:rsidR="00585895" w:rsidRPr="005F473A" w:rsidRDefault="00FA3F59" w:rsidP="00F12D9A">
      <w:pPr>
        <w:pStyle w:val="GvdeMetni"/>
        <w:rPr>
          <w:sz w:val="10"/>
          <w:szCs w:val="10"/>
        </w:rPr>
      </w:pPr>
      <w:r w:rsidRPr="00E16C7F">
        <w:rPr>
          <w:noProof/>
          <w:lang w:bidi="ar-SA"/>
        </w:rPr>
        <w:drawing>
          <wp:anchor distT="0" distB="0" distL="114300" distR="114300" simplePos="0" relativeHeight="251660800" behindDoc="1" locked="0" layoutInCell="1" allowOverlap="1" wp14:anchorId="44241016" wp14:editId="4CEF764E">
            <wp:simplePos x="0" y="0"/>
            <wp:positionH relativeFrom="margin">
              <wp:posOffset>6020435</wp:posOffset>
            </wp:positionH>
            <wp:positionV relativeFrom="paragraph">
              <wp:posOffset>82550</wp:posOffset>
            </wp:positionV>
            <wp:extent cx="502285" cy="642620"/>
            <wp:effectExtent l="0" t="0" r="0" b="5080"/>
            <wp:wrapTight wrapText="bothSides">
              <wp:wrapPolygon edited="0">
                <wp:start x="0" y="0"/>
                <wp:lineTo x="0" y="21130"/>
                <wp:lineTo x="20480" y="21130"/>
                <wp:lineTo x="20480" y="0"/>
                <wp:lineTo x="0" y="0"/>
              </wp:wrapPolygon>
            </wp:wrapTight>
            <wp:docPr id="1" name="Resim 1" descr="C:\Users\kaan.sevim\Desktop\kap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an.sevim\Desktop\kapa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85"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0AFB">
        <w:rPr>
          <w:noProof/>
          <w:lang w:bidi="ar-SA"/>
        </w:rPr>
        <mc:AlternateContent>
          <mc:Choice Requires="wps">
            <w:drawing>
              <wp:anchor distT="0" distB="0" distL="114300" distR="114300" simplePos="0" relativeHeight="251659776" behindDoc="0" locked="0" layoutInCell="1" allowOverlap="1" wp14:anchorId="46D05877" wp14:editId="22376053">
                <wp:simplePos x="0" y="0"/>
                <wp:positionH relativeFrom="page">
                  <wp:posOffset>1554480</wp:posOffset>
                </wp:positionH>
                <wp:positionV relativeFrom="paragraph">
                  <wp:posOffset>82550</wp:posOffset>
                </wp:positionV>
                <wp:extent cx="4943475" cy="6172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1722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ECA77" w14:textId="77777777" w:rsidR="00D93918" w:rsidRPr="00DB50A6" w:rsidRDefault="00D93918" w:rsidP="004261C4">
                            <w:pPr>
                              <w:widowControl/>
                              <w:autoSpaceDE/>
                              <w:autoSpaceDN/>
                              <w:spacing w:before="240"/>
                              <w:jc w:val="center"/>
                              <w:outlineLvl w:val="1"/>
                              <w:rPr>
                                <w:rFonts w:ascii="Segoe UI" w:hAnsi="Segoe UI" w:cs="Segoe UI"/>
                                <w:b/>
                                <w:sz w:val="24"/>
                                <w:szCs w:val="24"/>
                                <w:lang w:bidi="ar-SA"/>
                              </w:rPr>
                            </w:pPr>
                            <w:r w:rsidRPr="00DB50A6">
                              <w:rPr>
                                <w:rFonts w:ascii="Segoe UI" w:hAnsi="Segoe UI" w:cs="Segoe UI"/>
                                <w:b/>
                                <w:sz w:val="24"/>
                                <w:szCs w:val="24"/>
                                <w:lang w:bidi="ar-SA"/>
                              </w:rPr>
                              <w:t>Sosyal Çalışma Dergisi</w:t>
                            </w:r>
                          </w:p>
                          <w:p w14:paraId="1C8A0F80" w14:textId="77777777" w:rsidR="00D93918" w:rsidRPr="00FC241A" w:rsidRDefault="00D93918" w:rsidP="00BF0D26">
                            <w:pPr>
                              <w:ind w:left="1683" w:right="1683"/>
                              <w:jc w:val="center"/>
                              <w:rPr>
                                <w:sz w:val="20"/>
                                <w:szCs w:val="20"/>
                              </w:rPr>
                            </w:pPr>
                            <w:r w:rsidRPr="005351A3">
                              <w:rPr>
                                <w:sz w:val="20"/>
                                <w:szCs w:val="20"/>
                              </w:rPr>
                              <w:t>https://</w:t>
                            </w:r>
                            <w:r>
                              <w:rPr>
                                <w:sz w:val="20"/>
                                <w:szCs w:val="20"/>
                              </w:rPr>
                              <w:t>dergipark.org.tr/tr/pub/scd</w:t>
                            </w:r>
                          </w:p>
                          <w:p w14:paraId="778153EC" w14:textId="77777777" w:rsidR="00D93918" w:rsidRDefault="00D93918" w:rsidP="00B2454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05877" id="_x0000_t202" coordsize="21600,21600" o:spt="202" path="m,l,21600r21600,l21600,xe">
                <v:stroke joinstyle="miter"/>
                <v:path gradientshapeok="t" o:connecttype="rect"/>
              </v:shapetype>
              <v:shape id="Text Box 2" o:spid="_x0000_s1026" type="#_x0000_t202" style="position:absolute;left:0;text-align:left;margin-left:122.4pt;margin-top:6.5pt;width:389.25pt;height:48.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" fillcolor="#e3e3e3" stroked="f">
                <v:textbox inset="0,0,0,0">
                  <w:txbxContent>
                    <w:p w14:paraId="315ECA77" w14:textId="77777777" w:rsidR="00D93918" w:rsidRPr="00DB50A6" w:rsidRDefault="00D93918" w:rsidP="004261C4">
                      <w:pPr>
                        <w:widowControl/>
                        <w:autoSpaceDE/>
                        <w:autoSpaceDN/>
                        <w:spacing w:before="240"/>
                        <w:jc w:val="center"/>
                        <w:outlineLvl w:val="1"/>
                        <w:rPr>
                          <w:rFonts w:ascii="Segoe UI" w:hAnsi="Segoe UI" w:cs="Segoe UI"/>
                          <w:b/>
                          <w:sz w:val="24"/>
                          <w:szCs w:val="24"/>
                          <w:lang w:bidi="ar-SA"/>
                        </w:rPr>
                      </w:pPr>
                      <w:r w:rsidRPr="00DB50A6">
                        <w:rPr>
                          <w:rFonts w:ascii="Segoe UI" w:hAnsi="Segoe UI" w:cs="Segoe UI"/>
                          <w:b/>
                          <w:sz w:val="24"/>
                          <w:szCs w:val="24"/>
                          <w:lang w:bidi="ar-SA"/>
                        </w:rPr>
                        <w:t>Sosyal Çalışma Dergisi</w:t>
                      </w:r>
                    </w:p>
                    <w:p w14:paraId="1C8A0F80" w14:textId="77777777" w:rsidR="00D93918" w:rsidRPr="00FC241A" w:rsidRDefault="00D93918" w:rsidP="00BF0D26">
                      <w:pPr>
                        <w:ind w:left="1683" w:right="1683"/>
                        <w:jc w:val="center"/>
                        <w:rPr>
                          <w:sz w:val="20"/>
                          <w:szCs w:val="20"/>
                        </w:rPr>
                      </w:pPr>
                      <w:r w:rsidRPr="005351A3">
                        <w:rPr>
                          <w:sz w:val="20"/>
                          <w:szCs w:val="20"/>
                        </w:rPr>
                        <w:t>https://</w:t>
                      </w:r>
                      <w:r>
                        <w:rPr>
                          <w:sz w:val="20"/>
                          <w:szCs w:val="20"/>
                        </w:rPr>
                        <w:t>dergipark.org.tr/tr/pub/scd</w:t>
                      </w:r>
                    </w:p>
                    <w:p w14:paraId="778153EC" w14:textId="77777777" w:rsidR="00D93918" w:rsidRDefault="00D93918" w:rsidP="00B24547">
                      <w:pPr>
                        <w:pStyle w:val="GvdeMetni"/>
                      </w:pPr>
                    </w:p>
                  </w:txbxContent>
                </v:textbox>
                <w10:wrap anchorx="page"/>
              </v:shape>
            </w:pict>
          </mc:Fallback>
        </mc:AlternateContent>
      </w:r>
      <w:r w:rsidR="00EC358F" w:rsidRPr="009D6EE6">
        <w:rPr>
          <w:noProof/>
          <w:color w:val="000000" w:themeColor="text1"/>
          <w:lang w:bidi="ar-SA"/>
        </w:rPr>
        <mc:AlternateContent>
          <mc:Choice Requires="wps">
            <w:drawing>
              <wp:anchor distT="0" distB="0" distL="114300" distR="114300" simplePos="0" relativeHeight="251655680" behindDoc="0" locked="0" layoutInCell="1" allowOverlap="1" wp14:anchorId="6615F922" wp14:editId="21F3205E">
                <wp:simplePos x="0" y="0"/>
                <wp:positionH relativeFrom="page">
                  <wp:posOffset>556895</wp:posOffset>
                </wp:positionH>
                <wp:positionV relativeFrom="page">
                  <wp:posOffset>721360</wp:posOffset>
                </wp:positionV>
                <wp:extent cx="6506845" cy="0"/>
                <wp:effectExtent l="0" t="0" r="273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6845" cy="0"/>
                        </a:xfrm>
                        <a:prstGeom prst="line">
                          <a:avLst/>
                        </a:prstGeom>
                        <a:noFill/>
                        <a:ln w="3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C83A25" id="Straight Connector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5pt,56.8pt" to="556.2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" strokeweight=".08792mm">
                <w10:wrap anchorx="page" anchory="page"/>
              </v:line>
            </w:pict>
          </mc:Fallback>
        </mc:AlternateContent>
      </w:r>
      <w:r w:rsidR="00821A0B" w:rsidRPr="004261C4">
        <w:rPr>
          <w:noProof/>
          <w:lang w:bidi="ar-SA"/>
        </w:rPr>
        <w:drawing>
          <wp:anchor distT="0" distB="0" distL="114300" distR="114300" simplePos="0" relativeHeight="251661824" behindDoc="1" locked="0" layoutInCell="1" allowOverlap="1" wp14:anchorId="1696A563" wp14:editId="2C5373B3">
            <wp:simplePos x="0" y="0"/>
            <wp:positionH relativeFrom="margin">
              <wp:align>left</wp:align>
            </wp:positionH>
            <wp:positionV relativeFrom="paragraph">
              <wp:posOffset>52705</wp:posOffset>
            </wp:positionV>
            <wp:extent cx="971550" cy="657225"/>
            <wp:effectExtent l="0" t="0" r="0" b="9525"/>
            <wp:wrapTight wrapText="bothSides">
              <wp:wrapPolygon edited="0">
                <wp:start x="0" y="0"/>
                <wp:lineTo x="0" y="21287"/>
                <wp:lineTo x="21176" y="21287"/>
                <wp:lineTo x="21176" y="0"/>
                <wp:lineTo x="0" y="0"/>
              </wp:wrapPolygon>
            </wp:wrapTight>
            <wp:docPr id="8" name="Resim 8" descr="C:\Users\kaan.sevim\Desktop\banner-i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an.sevim\Desktop\banner-iç.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7C111" w14:textId="4D2EEDCA" w:rsidR="00585895" w:rsidRDefault="00447BD8" w:rsidP="00F12D9A">
      <w:pPr>
        <w:pStyle w:val="GvdeMetni"/>
      </w:pPr>
      <w:r>
        <w:t xml:space="preserve">                                                                                                                                                              </w:t>
      </w:r>
    </w:p>
    <w:p w14:paraId="63768FD3" w14:textId="77777777" w:rsidR="00585895" w:rsidRDefault="00585895" w:rsidP="00F12D9A">
      <w:pPr>
        <w:pStyle w:val="GvdeMetni"/>
      </w:pPr>
    </w:p>
    <w:p w14:paraId="56788C02" w14:textId="77777777" w:rsidR="00585895" w:rsidRDefault="00821A0B" w:rsidP="00F12D9A">
      <w:pPr>
        <w:pStyle w:val="GvdeMetni"/>
      </w:pPr>
      <w:r>
        <w:rPr>
          <w:noProof/>
          <w:sz w:val="6"/>
          <w:lang w:bidi="ar-SA"/>
        </w:rPr>
        <mc:AlternateContent>
          <mc:Choice Requires="wpg">
            <w:drawing>
              <wp:anchor distT="0" distB="0" distL="114300" distR="114300" simplePos="0" relativeHeight="251659264" behindDoc="1" locked="0" layoutInCell="1" allowOverlap="1" wp14:anchorId="188A5E5D" wp14:editId="2C5F37B2">
                <wp:simplePos x="0" y="0"/>
                <wp:positionH relativeFrom="margin">
                  <wp:align>left</wp:align>
                </wp:positionH>
                <wp:positionV relativeFrom="paragraph">
                  <wp:posOffset>288925</wp:posOffset>
                </wp:positionV>
                <wp:extent cx="6522085" cy="175260"/>
                <wp:effectExtent l="0" t="0" r="31115" b="0"/>
                <wp:wrapTight wrapText="bothSides">
                  <wp:wrapPolygon edited="0">
                    <wp:start x="0" y="9391"/>
                    <wp:lineTo x="0" y="11739"/>
                    <wp:lineTo x="21640" y="11739"/>
                    <wp:lineTo x="21640" y="9391"/>
                    <wp:lineTo x="0" y="9391"/>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085" cy="175260"/>
                          <a:chOff x="0" y="0"/>
                          <a:chExt cx="10401" cy="60"/>
                        </a:xfrm>
                      </wpg:grpSpPr>
                      <wps:wsp>
                        <wps:cNvPr id="5" name="Line 3"/>
                        <wps:cNvCnPr/>
                        <wps:spPr bwMode="auto">
                          <a:xfrm>
                            <a:off x="0" y="30"/>
                            <a:ext cx="10401" cy="0"/>
                          </a:xfrm>
                          <a:prstGeom prst="line">
                            <a:avLst/>
                          </a:prstGeom>
                          <a:noFill/>
                          <a:ln w="379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C343A07" id="Group 4" o:spid="_x0000_s1026" style="position:absolute;margin-left:0;margin-top:22.75pt;width:513.55pt;height:13.8pt;z-index:-251657216;mso-position-horizontal:left;mso-position-horizontal-relative:margin" coordsize="10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">
                <v:line id="Line 3" o:spid="_x0000_s1027" style="position:absolute;visibility:visible;mso-wrap-style:square" from="0,30" to="104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" strokeweight="1.0544mm"/>
                <w10:wrap type="tight" anchorx="margin"/>
              </v:group>
            </w:pict>
          </mc:Fallback>
        </mc:AlternateContent>
      </w:r>
    </w:p>
    <w:p w14:paraId="3738ABAB" w14:textId="77777777" w:rsidR="00194DD0" w:rsidRDefault="00194DD0" w:rsidP="00194DD0">
      <w:pPr>
        <w:pStyle w:val="Balk1"/>
        <w:spacing w:before="0"/>
        <w:rPr>
          <w:rFonts w:ascii="Times New Roman" w:hAnsi="Times New Roman" w:cs="Times New Roman"/>
          <w:b/>
          <w:bCs/>
          <w:color w:val="auto"/>
          <w:sz w:val="27"/>
          <w:szCs w:val="27"/>
        </w:rPr>
      </w:pPr>
    </w:p>
    <w:p w14:paraId="467D851F" w14:textId="3C2A20CA" w:rsidR="002D7CB8" w:rsidRPr="00D015C6" w:rsidRDefault="002D7CB8" w:rsidP="00194DD0">
      <w:pPr>
        <w:pStyle w:val="Balk1"/>
        <w:spacing w:before="0"/>
        <w:rPr>
          <w:rFonts w:asciiTheme="minorHAnsi" w:eastAsiaTheme="minorHAnsi" w:hAnsiTheme="minorHAnsi" w:cstheme="minorBidi"/>
          <w:color w:val="auto"/>
          <w:sz w:val="22"/>
          <w:szCs w:val="22"/>
        </w:rPr>
      </w:pPr>
      <w:r w:rsidRPr="00D015C6">
        <w:rPr>
          <w:rFonts w:ascii="Times New Roman" w:hAnsi="Times New Roman" w:cs="Times New Roman"/>
          <w:b/>
          <w:bCs/>
          <w:color w:val="auto"/>
          <w:sz w:val="27"/>
          <w:szCs w:val="27"/>
        </w:rPr>
        <w:t xml:space="preserve">Sağlık Bilimleri Öğrencilerinin </w:t>
      </w:r>
      <w:r w:rsidR="00DC52EB" w:rsidRPr="00D015C6">
        <w:rPr>
          <w:rFonts w:ascii="Times New Roman" w:hAnsi="Times New Roman" w:cs="Times New Roman"/>
          <w:b/>
          <w:bCs/>
          <w:color w:val="auto"/>
          <w:sz w:val="27"/>
          <w:szCs w:val="27"/>
        </w:rPr>
        <w:t>Yaşam Boyu Öğrenme Eğilimleri</w:t>
      </w:r>
    </w:p>
    <w:p w14:paraId="1E6B516B" w14:textId="2AA3F52D" w:rsidR="00DC52EB" w:rsidRDefault="002D7CB8" w:rsidP="00194DD0">
      <w:pPr>
        <w:pStyle w:val="Balk1"/>
        <w:spacing w:before="120"/>
        <w:rPr>
          <w:rFonts w:ascii="Times New Roman" w:hAnsi="Times New Roman" w:cs="Times New Roman"/>
          <w:b/>
          <w:bCs/>
          <w:i/>
          <w:iCs/>
          <w:color w:val="auto"/>
          <w:sz w:val="26"/>
          <w:szCs w:val="26"/>
        </w:rPr>
      </w:pPr>
      <w:proofErr w:type="spellStart"/>
      <w:r w:rsidRPr="00D015C6">
        <w:rPr>
          <w:rFonts w:ascii="Times New Roman" w:hAnsi="Times New Roman" w:cs="Times New Roman"/>
          <w:b/>
          <w:bCs/>
          <w:i/>
          <w:iCs/>
          <w:color w:val="auto"/>
          <w:sz w:val="26"/>
          <w:szCs w:val="26"/>
        </w:rPr>
        <w:t>Health</w:t>
      </w:r>
      <w:proofErr w:type="spellEnd"/>
      <w:r w:rsidRPr="00D015C6">
        <w:rPr>
          <w:rFonts w:ascii="Times New Roman" w:hAnsi="Times New Roman" w:cs="Times New Roman"/>
          <w:b/>
          <w:bCs/>
          <w:i/>
          <w:iCs/>
          <w:color w:val="auto"/>
          <w:sz w:val="26"/>
          <w:szCs w:val="26"/>
        </w:rPr>
        <w:t xml:space="preserve"> </w:t>
      </w:r>
      <w:proofErr w:type="spellStart"/>
      <w:r w:rsidRPr="00D015C6">
        <w:rPr>
          <w:rFonts w:ascii="Times New Roman" w:hAnsi="Times New Roman" w:cs="Times New Roman"/>
          <w:b/>
          <w:bCs/>
          <w:i/>
          <w:iCs/>
          <w:color w:val="auto"/>
          <w:sz w:val="26"/>
          <w:szCs w:val="26"/>
        </w:rPr>
        <w:t>Sciences</w:t>
      </w:r>
      <w:proofErr w:type="spellEnd"/>
      <w:r w:rsidRPr="00D015C6">
        <w:rPr>
          <w:rFonts w:ascii="Times New Roman" w:hAnsi="Times New Roman" w:cs="Times New Roman"/>
          <w:b/>
          <w:bCs/>
          <w:i/>
          <w:iCs/>
          <w:color w:val="auto"/>
          <w:sz w:val="26"/>
          <w:szCs w:val="26"/>
        </w:rPr>
        <w:t xml:space="preserve"> </w:t>
      </w:r>
      <w:proofErr w:type="spellStart"/>
      <w:r w:rsidRPr="00D015C6">
        <w:rPr>
          <w:rFonts w:ascii="Times New Roman" w:hAnsi="Times New Roman" w:cs="Times New Roman"/>
          <w:b/>
          <w:bCs/>
          <w:i/>
          <w:iCs/>
          <w:color w:val="auto"/>
          <w:sz w:val="26"/>
          <w:szCs w:val="26"/>
        </w:rPr>
        <w:t>Students</w:t>
      </w:r>
      <w:proofErr w:type="spellEnd"/>
      <w:r w:rsidRPr="00D015C6">
        <w:rPr>
          <w:rFonts w:ascii="Times New Roman" w:hAnsi="Times New Roman" w:cs="Times New Roman"/>
          <w:b/>
          <w:bCs/>
          <w:i/>
          <w:iCs/>
          <w:color w:val="auto"/>
          <w:sz w:val="26"/>
          <w:szCs w:val="26"/>
        </w:rPr>
        <w:t xml:space="preserve">' </w:t>
      </w:r>
      <w:proofErr w:type="spellStart"/>
      <w:r w:rsidRPr="00D015C6">
        <w:rPr>
          <w:rFonts w:ascii="Times New Roman" w:hAnsi="Times New Roman" w:cs="Times New Roman"/>
          <w:b/>
          <w:bCs/>
          <w:i/>
          <w:iCs/>
          <w:color w:val="auto"/>
          <w:sz w:val="26"/>
          <w:szCs w:val="26"/>
        </w:rPr>
        <w:t>Lifelong</w:t>
      </w:r>
      <w:proofErr w:type="spellEnd"/>
      <w:r w:rsidRPr="00D015C6">
        <w:rPr>
          <w:rFonts w:ascii="Times New Roman" w:hAnsi="Times New Roman" w:cs="Times New Roman"/>
          <w:b/>
          <w:bCs/>
          <w:i/>
          <w:iCs/>
          <w:color w:val="auto"/>
          <w:sz w:val="26"/>
          <w:szCs w:val="26"/>
        </w:rPr>
        <w:t xml:space="preserve"> Learning </w:t>
      </w:r>
      <w:proofErr w:type="spellStart"/>
      <w:r w:rsidRPr="00D015C6">
        <w:rPr>
          <w:rFonts w:ascii="Times New Roman" w:hAnsi="Times New Roman" w:cs="Times New Roman"/>
          <w:b/>
          <w:bCs/>
          <w:i/>
          <w:iCs/>
          <w:color w:val="auto"/>
          <w:sz w:val="26"/>
          <w:szCs w:val="26"/>
        </w:rPr>
        <w:t>Tendencies</w:t>
      </w:r>
      <w:proofErr w:type="spellEnd"/>
    </w:p>
    <w:p w14:paraId="3EAD4F42" w14:textId="59734235" w:rsidR="003D71D1" w:rsidRPr="00E57777" w:rsidRDefault="00CF7EF0" w:rsidP="00E57777">
      <w:pPr>
        <w:spacing w:before="115"/>
        <w:ind w:left="312"/>
        <w:rPr>
          <w:vertAlign w:val="superscript"/>
        </w:rPr>
      </w:pPr>
      <w:r w:rsidRPr="00CA0433">
        <w:t>Sultan GÜÇLÜ</w:t>
      </w:r>
      <w:r>
        <w:rPr>
          <w:vertAlign w:val="superscript"/>
        </w:rPr>
        <w:t>1</w:t>
      </w:r>
      <w:r w:rsidRPr="00CA0433">
        <w:rPr>
          <w:vertAlign w:val="superscript"/>
        </w:rPr>
        <w:t xml:space="preserve">, </w:t>
      </w:r>
      <w:r w:rsidRPr="00CA0433">
        <w:t>Emel ELEM</w:t>
      </w:r>
      <w:r>
        <w:rPr>
          <w:vertAlign w:val="superscript"/>
        </w:rPr>
        <w:t>2</w:t>
      </w:r>
      <w:r w:rsidRPr="00CA0433">
        <w:t>, Ayşegül UNUTKAN</w:t>
      </w:r>
      <w:r>
        <w:rPr>
          <w:vertAlign w:val="superscript"/>
        </w:rPr>
        <w:t>3</w:t>
      </w:r>
      <w:r w:rsidRPr="00CA0433">
        <w:t>, Satı ÖzTÜRK</w:t>
      </w:r>
      <w:r>
        <w:rPr>
          <w:vertAlign w:val="superscript"/>
        </w:rPr>
        <w:t xml:space="preserve">4 </w:t>
      </w:r>
    </w:p>
    <w:p w14:paraId="6C11337D" w14:textId="446FB959" w:rsidR="00CF7EF0" w:rsidRPr="00E57777" w:rsidRDefault="00CF7EF0" w:rsidP="00E57777">
      <w:pPr>
        <w:shd w:val="clear" w:color="auto" w:fill="FFFFFF"/>
        <w:spacing w:before="115"/>
        <w:ind w:firstLine="312"/>
        <w:rPr>
          <w:bCs/>
          <w:i/>
          <w:iCs/>
          <w:spacing w:val="8"/>
          <w:sz w:val="18"/>
          <w:szCs w:val="18"/>
          <w:shd w:val="clear" w:color="auto" w:fill="FFFFFF"/>
        </w:rPr>
      </w:pPr>
      <w:r w:rsidRPr="00E57777">
        <w:rPr>
          <w:bCs/>
          <w:i/>
          <w:iCs/>
          <w:sz w:val="18"/>
          <w:szCs w:val="18"/>
          <w:vertAlign w:val="superscript"/>
        </w:rPr>
        <w:t>1</w:t>
      </w:r>
      <w:r w:rsidRPr="00E57777">
        <w:rPr>
          <w:bCs/>
          <w:i/>
          <w:iCs/>
          <w:sz w:val="18"/>
          <w:szCs w:val="18"/>
        </w:rPr>
        <w:t xml:space="preserve">Prof.Dr.- </w:t>
      </w:r>
      <w:r w:rsidRPr="00E57777">
        <w:rPr>
          <w:i/>
          <w:iCs/>
          <w:sz w:val="18"/>
          <w:szCs w:val="18"/>
        </w:rPr>
        <w:t xml:space="preserve">Kütahya Sağlık Bilimleri Üniversitesi, </w:t>
      </w:r>
      <w:r w:rsidR="00E57777" w:rsidRPr="00E57777">
        <w:rPr>
          <w:i/>
          <w:iCs/>
          <w:sz w:val="18"/>
          <w:szCs w:val="18"/>
        </w:rPr>
        <w:t>SBF</w:t>
      </w:r>
      <w:r w:rsidRPr="00E57777">
        <w:rPr>
          <w:i/>
          <w:iCs/>
          <w:sz w:val="18"/>
          <w:szCs w:val="18"/>
        </w:rPr>
        <w:t>, Sosyal Hizmet Bölümü, Kütahya, Türkiye-</w:t>
      </w:r>
      <w:r w:rsidRPr="00E57777">
        <w:rPr>
          <w:i/>
          <w:iCs/>
          <w:sz w:val="18"/>
          <w:szCs w:val="18"/>
          <w:lang w:val="en-GB"/>
        </w:rPr>
        <w:t xml:space="preserve"> </w:t>
      </w:r>
      <w:r w:rsidRPr="00E57777">
        <w:rPr>
          <w:rStyle w:val="Kpr"/>
          <w:i/>
          <w:iCs/>
          <w:color w:val="auto"/>
          <w:sz w:val="18"/>
          <w:szCs w:val="18"/>
          <w:u w:val="none"/>
          <w:lang w:val="en-GB"/>
        </w:rPr>
        <w:t xml:space="preserve">ORCID </w:t>
      </w:r>
      <w:r w:rsidRPr="00E57777">
        <w:rPr>
          <w:bCs/>
          <w:i/>
          <w:iCs/>
          <w:spacing w:val="8"/>
          <w:sz w:val="18"/>
          <w:szCs w:val="18"/>
          <w:shd w:val="clear" w:color="auto" w:fill="FFFFFF"/>
        </w:rPr>
        <w:t>0000-0002-2469-1032</w:t>
      </w:r>
    </w:p>
    <w:p w14:paraId="245D57B8" w14:textId="75FCB4FF" w:rsidR="00CF7EF0" w:rsidRPr="00E57777" w:rsidRDefault="00CF7EF0" w:rsidP="00E57777">
      <w:pPr>
        <w:ind w:firstLine="312"/>
        <w:jc w:val="both"/>
        <w:rPr>
          <w:i/>
          <w:iCs/>
          <w:sz w:val="18"/>
          <w:szCs w:val="18"/>
          <w:shd w:val="clear" w:color="auto" w:fill="FFFFFF"/>
        </w:rPr>
      </w:pPr>
      <w:r w:rsidRPr="00E57777">
        <w:rPr>
          <w:bCs/>
          <w:i/>
          <w:iCs/>
          <w:spacing w:val="8"/>
          <w:sz w:val="18"/>
          <w:szCs w:val="18"/>
          <w:shd w:val="clear" w:color="auto" w:fill="FFFFFF"/>
          <w:vertAlign w:val="superscript"/>
        </w:rPr>
        <w:t>2</w:t>
      </w:r>
      <w:r w:rsidRPr="00E57777">
        <w:rPr>
          <w:bCs/>
          <w:i/>
          <w:iCs/>
          <w:spacing w:val="8"/>
          <w:sz w:val="18"/>
          <w:szCs w:val="18"/>
          <w:shd w:val="clear" w:color="auto" w:fill="FFFFFF"/>
        </w:rPr>
        <w:t>Arş.Gör-</w:t>
      </w:r>
      <w:r w:rsidRPr="00E57777">
        <w:rPr>
          <w:i/>
          <w:iCs/>
          <w:sz w:val="18"/>
          <w:szCs w:val="18"/>
        </w:rPr>
        <w:t xml:space="preserve"> Kütahya Sağlık Bilimleri Üniversitesi, </w:t>
      </w:r>
      <w:r w:rsidR="00E57777" w:rsidRPr="00E57777">
        <w:rPr>
          <w:i/>
          <w:iCs/>
          <w:sz w:val="18"/>
          <w:szCs w:val="18"/>
        </w:rPr>
        <w:t>SBF</w:t>
      </w:r>
      <w:r w:rsidRPr="00E57777">
        <w:rPr>
          <w:i/>
          <w:iCs/>
          <w:sz w:val="18"/>
          <w:szCs w:val="18"/>
        </w:rPr>
        <w:t xml:space="preserve">, Ebelik Bölümü, Kütahya, Türkiye- </w:t>
      </w:r>
      <w:r w:rsidRPr="00E57777">
        <w:rPr>
          <w:rStyle w:val="Kpr"/>
          <w:i/>
          <w:iCs/>
          <w:color w:val="auto"/>
          <w:sz w:val="18"/>
          <w:szCs w:val="18"/>
          <w:u w:val="none"/>
          <w:lang w:val="en-GB"/>
        </w:rPr>
        <w:t xml:space="preserve">ORCID </w:t>
      </w:r>
      <w:hyperlink r:id="rId10" w:history="1">
        <w:r w:rsidRPr="00E57777">
          <w:rPr>
            <w:rStyle w:val="Kpr"/>
            <w:i/>
            <w:iCs/>
            <w:color w:val="auto"/>
            <w:sz w:val="18"/>
            <w:szCs w:val="18"/>
            <w:u w:val="none"/>
            <w:shd w:val="clear" w:color="auto" w:fill="FFFFFF"/>
          </w:rPr>
          <w:t>0000-0002-2113-7239</w:t>
        </w:r>
      </w:hyperlink>
      <w:r w:rsidRPr="00E57777">
        <w:rPr>
          <w:i/>
          <w:iCs/>
          <w:sz w:val="18"/>
          <w:szCs w:val="18"/>
          <w:shd w:val="clear" w:color="auto" w:fill="FFFFFF"/>
        </w:rPr>
        <w:t xml:space="preserve"> </w:t>
      </w:r>
    </w:p>
    <w:p w14:paraId="775DCB83" w14:textId="55AF7D43" w:rsidR="00CF7EF0" w:rsidRPr="00E57777" w:rsidRDefault="00CF7EF0" w:rsidP="00E57777">
      <w:pPr>
        <w:ind w:firstLine="312"/>
        <w:jc w:val="both"/>
        <w:rPr>
          <w:rStyle w:val="Kpr"/>
          <w:i/>
          <w:iCs/>
          <w:color w:val="auto"/>
          <w:sz w:val="18"/>
          <w:szCs w:val="18"/>
          <w:u w:val="none"/>
          <w:shd w:val="clear" w:color="auto" w:fill="FFFFFF"/>
        </w:rPr>
      </w:pPr>
      <w:r w:rsidRPr="00E57777">
        <w:rPr>
          <w:i/>
          <w:iCs/>
          <w:sz w:val="18"/>
          <w:szCs w:val="18"/>
          <w:shd w:val="clear" w:color="auto" w:fill="FFFFFF"/>
          <w:vertAlign w:val="superscript"/>
        </w:rPr>
        <w:t>3</w:t>
      </w:r>
      <w:r w:rsidRPr="00E57777">
        <w:rPr>
          <w:i/>
          <w:iCs/>
          <w:sz w:val="18"/>
          <w:szCs w:val="18"/>
          <w:shd w:val="clear" w:color="auto" w:fill="FFFFFF"/>
        </w:rPr>
        <w:t>Dr. Öğr. Üyesi-</w:t>
      </w:r>
      <w:r w:rsidRPr="00E57777">
        <w:rPr>
          <w:bCs/>
          <w:i/>
          <w:iCs/>
          <w:spacing w:val="8"/>
          <w:sz w:val="18"/>
          <w:szCs w:val="18"/>
          <w:shd w:val="clear" w:color="auto" w:fill="FFFFFF"/>
        </w:rPr>
        <w:t>-</w:t>
      </w:r>
      <w:r w:rsidRPr="00E57777">
        <w:rPr>
          <w:i/>
          <w:iCs/>
          <w:sz w:val="18"/>
          <w:szCs w:val="18"/>
        </w:rPr>
        <w:t xml:space="preserve"> Kütahya Sağlık Bilimleri Üniversitesi, </w:t>
      </w:r>
      <w:r w:rsidR="00E57777" w:rsidRPr="00E57777">
        <w:rPr>
          <w:i/>
          <w:iCs/>
          <w:sz w:val="18"/>
          <w:szCs w:val="18"/>
        </w:rPr>
        <w:t>SBF</w:t>
      </w:r>
      <w:r w:rsidRPr="00E57777">
        <w:rPr>
          <w:i/>
          <w:iCs/>
          <w:sz w:val="18"/>
          <w:szCs w:val="18"/>
        </w:rPr>
        <w:t>, Ebelik Bölümü, Kütahya, Türkiye-</w:t>
      </w:r>
      <w:r w:rsidRPr="00E57777">
        <w:rPr>
          <w:i/>
          <w:iCs/>
          <w:lang w:val="en-GB"/>
        </w:rPr>
        <w:t xml:space="preserve"> </w:t>
      </w:r>
      <w:r w:rsidRPr="00E57777">
        <w:rPr>
          <w:rStyle w:val="Kpr"/>
          <w:i/>
          <w:iCs/>
          <w:color w:val="auto"/>
          <w:sz w:val="18"/>
          <w:szCs w:val="18"/>
          <w:u w:val="none"/>
          <w:lang w:val="en-GB"/>
        </w:rPr>
        <w:t xml:space="preserve">ORCID </w:t>
      </w:r>
      <w:hyperlink r:id="rId11" w:history="1">
        <w:r w:rsidRPr="00E57777">
          <w:rPr>
            <w:rStyle w:val="Kpr"/>
            <w:i/>
            <w:iCs/>
            <w:color w:val="auto"/>
            <w:sz w:val="18"/>
            <w:szCs w:val="18"/>
            <w:u w:val="none"/>
            <w:shd w:val="clear" w:color="auto" w:fill="FFFFFF"/>
          </w:rPr>
          <w:t>0000-0002-0311-2177</w:t>
        </w:r>
      </w:hyperlink>
    </w:p>
    <w:p w14:paraId="5A4E3966" w14:textId="562D02A7" w:rsidR="00DC52EB" w:rsidRPr="00E57777" w:rsidRDefault="003D71D1" w:rsidP="00E57777">
      <w:pPr>
        <w:ind w:firstLine="312"/>
        <w:jc w:val="both"/>
        <w:rPr>
          <w:i/>
          <w:iCs/>
          <w:color w:val="0563C1" w:themeColor="hyperlink"/>
          <w:u w:val="single"/>
          <w:lang w:val="en-GB"/>
        </w:rPr>
      </w:pPr>
      <w:r w:rsidRPr="00E57777">
        <w:rPr>
          <w:rStyle w:val="Kpr"/>
          <w:i/>
          <w:iCs/>
          <w:color w:val="auto"/>
          <w:sz w:val="18"/>
          <w:szCs w:val="18"/>
          <w:u w:val="none"/>
          <w:shd w:val="clear" w:color="auto" w:fill="FFFFFF"/>
          <w:vertAlign w:val="superscript"/>
        </w:rPr>
        <w:t>4</w:t>
      </w:r>
      <w:r w:rsidR="00CF7EF0" w:rsidRPr="00E57777">
        <w:rPr>
          <w:rStyle w:val="Kpr"/>
          <w:i/>
          <w:iCs/>
          <w:color w:val="auto"/>
          <w:sz w:val="18"/>
          <w:szCs w:val="18"/>
          <w:u w:val="none"/>
          <w:shd w:val="clear" w:color="auto" w:fill="FFFFFF"/>
        </w:rPr>
        <w:t>Hemşire-</w:t>
      </w:r>
      <w:r w:rsidRPr="00E57777">
        <w:rPr>
          <w:b/>
          <w:i/>
          <w:iCs/>
          <w:vertAlign w:val="superscript"/>
        </w:rPr>
        <w:t xml:space="preserve"> </w:t>
      </w:r>
      <w:r w:rsidRPr="00E57777">
        <w:rPr>
          <w:i/>
          <w:iCs/>
          <w:sz w:val="18"/>
          <w:szCs w:val="18"/>
        </w:rPr>
        <w:t xml:space="preserve">Kütahya Park Hayat Hastanesi, </w:t>
      </w:r>
      <w:r w:rsidRPr="00E57777">
        <w:rPr>
          <w:rStyle w:val="Kpr"/>
          <w:i/>
          <w:iCs/>
          <w:color w:val="auto"/>
          <w:sz w:val="18"/>
          <w:szCs w:val="18"/>
          <w:u w:val="none"/>
          <w:lang w:val="en-GB"/>
        </w:rPr>
        <w:t>ORCID-</w:t>
      </w:r>
      <w:r w:rsidRPr="00E57777">
        <w:rPr>
          <w:i/>
          <w:iCs/>
          <w:sz w:val="18"/>
          <w:szCs w:val="18"/>
        </w:rPr>
        <w:t>0000-0001-7876-7541</w:t>
      </w:r>
    </w:p>
    <w:p w14:paraId="4890095E" w14:textId="64A998DA" w:rsidR="00821A0B" w:rsidRPr="00F15231" w:rsidRDefault="00821A0B" w:rsidP="00F12D9A">
      <w:pPr>
        <w:spacing w:before="160" w:afterLines="20" w:after="48"/>
        <w:jc w:val="both"/>
        <w:rPr>
          <w:color w:val="000000" w:themeColor="text1"/>
          <w:sz w:val="14"/>
          <w:szCs w:val="14"/>
          <w:lang w:bidi="ar-SA"/>
        </w:rPr>
      </w:pPr>
      <w:r>
        <w:rPr>
          <w:sz w:val="14"/>
          <w:szCs w:val="14"/>
          <w:lang w:bidi="ar-SA"/>
        </w:rPr>
        <w:t>Sosyal Çal</w:t>
      </w:r>
      <w:r w:rsidR="00623BF6">
        <w:rPr>
          <w:sz w:val="14"/>
          <w:szCs w:val="14"/>
          <w:lang w:bidi="ar-SA"/>
        </w:rPr>
        <w:t>ışma Dergisi (202</w:t>
      </w:r>
      <w:r w:rsidR="00E57777">
        <w:rPr>
          <w:sz w:val="14"/>
          <w:szCs w:val="14"/>
          <w:lang w:bidi="ar-SA"/>
        </w:rPr>
        <w:t>3</w:t>
      </w:r>
      <w:r w:rsidR="00623BF6">
        <w:rPr>
          <w:sz w:val="14"/>
          <w:szCs w:val="14"/>
          <w:lang w:bidi="ar-SA"/>
        </w:rPr>
        <w:t xml:space="preserve">) </w:t>
      </w:r>
      <w:r w:rsidR="00E57777">
        <w:rPr>
          <w:sz w:val="14"/>
          <w:szCs w:val="14"/>
          <w:lang w:bidi="ar-SA"/>
        </w:rPr>
        <w:t>7</w:t>
      </w:r>
      <w:r w:rsidR="00623BF6">
        <w:rPr>
          <w:sz w:val="14"/>
          <w:szCs w:val="14"/>
          <w:lang w:bidi="ar-SA"/>
        </w:rPr>
        <w:t xml:space="preserve"> (</w:t>
      </w:r>
      <w:r w:rsidR="00E57777">
        <w:rPr>
          <w:sz w:val="14"/>
          <w:szCs w:val="14"/>
          <w:lang w:bidi="ar-SA"/>
        </w:rPr>
        <w:t>1</w:t>
      </w:r>
      <w:r w:rsidR="00885C71">
        <w:rPr>
          <w:sz w:val="14"/>
          <w:szCs w:val="14"/>
          <w:lang w:bidi="ar-SA"/>
        </w:rPr>
        <w:t>),</w:t>
      </w:r>
      <w:r w:rsidR="00E57777">
        <w:rPr>
          <w:sz w:val="14"/>
          <w:szCs w:val="14"/>
          <w:lang w:bidi="ar-SA"/>
        </w:rPr>
        <w:t xml:space="preserve"> 32-</w:t>
      </w:r>
      <w:r w:rsidR="00194DD0">
        <w:rPr>
          <w:sz w:val="14"/>
          <w:szCs w:val="14"/>
          <w:lang w:bidi="ar-SA"/>
        </w:rPr>
        <w:t>41</w:t>
      </w:r>
    </w:p>
    <w:p w14:paraId="58C442EC" w14:textId="1098503A" w:rsidR="00821A0B" w:rsidRPr="00DC02D6" w:rsidRDefault="00821A0B" w:rsidP="00F12D9A">
      <w:pPr>
        <w:spacing w:beforeLines="20" w:before="48" w:afterLines="20" w:after="48"/>
        <w:jc w:val="both"/>
        <w:rPr>
          <w:sz w:val="14"/>
          <w:szCs w:val="14"/>
          <w:lang w:bidi="ar-SA"/>
        </w:rPr>
      </w:pPr>
      <w:proofErr w:type="spellStart"/>
      <w:r w:rsidRPr="00DC02D6">
        <w:rPr>
          <w:sz w:val="14"/>
          <w:szCs w:val="14"/>
          <w:lang w:bidi="ar-SA"/>
        </w:rPr>
        <w:t>Copyright</w:t>
      </w:r>
      <w:proofErr w:type="spellEnd"/>
      <w:r w:rsidRPr="00DC02D6">
        <w:rPr>
          <w:sz w:val="14"/>
          <w:szCs w:val="14"/>
          <w:lang w:bidi="ar-SA"/>
        </w:rPr>
        <w:t xml:space="preserve"> © 202</w:t>
      </w:r>
      <w:r w:rsidR="00A037CC">
        <w:rPr>
          <w:sz w:val="14"/>
          <w:szCs w:val="14"/>
          <w:lang w:bidi="ar-SA"/>
        </w:rPr>
        <w:t>1</w:t>
      </w:r>
      <w:r w:rsidRPr="00DC02D6">
        <w:rPr>
          <w:sz w:val="14"/>
          <w:szCs w:val="14"/>
          <w:lang w:bidi="ar-SA"/>
        </w:rPr>
        <w:t xml:space="preserve"> İZU </w:t>
      </w:r>
    </w:p>
    <w:p w14:paraId="7C484786" w14:textId="77777777" w:rsidR="00FA0513" w:rsidRPr="00FA0513" w:rsidRDefault="00FA0513" w:rsidP="00F12D9A">
      <w:pPr>
        <w:jc w:val="both"/>
        <w:rPr>
          <w:sz w:val="14"/>
          <w:szCs w:val="14"/>
        </w:rPr>
      </w:pPr>
    </w:p>
    <w:tbl>
      <w:tblPr>
        <w:tblStyle w:val="TabloKlavuzu"/>
        <w:tblW w:w="0" w:type="auto"/>
        <w:tblLook w:val="04A0" w:firstRow="1" w:lastRow="0" w:firstColumn="1" w:lastColumn="0" w:noHBand="0" w:noVBand="1"/>
      </w:tblPr>
      <w:tblGrid>
        <w:gridCol w:w="2835"/>
        <w:gridCol w:w="305"/>
        <w:gridCol w:w="7349"/>
      </w:tblGrid>
      <w:tr w:rsidR="00DE1DB3" w14:paraId="6B76B596" w14:textId="77777777" w:rsidTr="002314DB">
        <w:trPr>
          <w:trHeight w:val="301"/>
        </w:trPr>
        <w:tc>
          <w:tcPr>
            <w:tcW w:w="2835" w:type="dxa"/>
            <w:tcBorders>
              <w:left w:val="nil"/>
              <w:right w:val="nil"/>
            </w:tcBorders>
            <w:vAlign w:val="center"/>
          </w:tcPr>
          <w:p w14:paraId="7BECE02E" w14:textId="77777777" w:rsidR="00DE1DB3" w:rsidRPr="00FD5C5D" w:rsidRDefault="0078281D" w:rsidP="00F12D9A">
            <w:pPr>
              <w:ind w:firstLine="326"/>
              <w:jc w:val="both"/>
              <w:rPr>
                <w:b/>
                <w:bCs/>
                <w:sz w:val="13"/>
              </w:rPr>
            </w:pPr>
            <w:r w:rsidRPr="00FD5C5D">
              <w:rPr>
                <w:b/>
                <w:bCs/>
                <w:sz w:val="14"/>
              </w:rPr>
              <w:t>YAYIN BİLGİSİ</w:t>
            </w:r>
          </w:p>
        </w:tc>
        <w:tc>
          <w:tcPr>
            <w:tcW w:w="305" w:type="dxa"/>
            <w:tcBorders>
              <w:top w:val="nil"/>
              <w:left w:val="nil"/>
              <w:bottom w:val="nil"/>
              <w:right w:val="nil"/>
            </w:tcBorders>
            <w:vAlign w:val="center"/>
          </w:tcPr>
          <w:p w14:paraId="49613255" w14:textId="77777777" w:rsidR="00DE1DB3" w:rsidRDefault="00DE1DB3" w:rsidP="00F12D9A">
            <w:pPr>
              <w:jc w:val="both"/>
              <w:rPr>
                <w:sz w:val="13"/>
              </w:rPr>
            </w:pPr>
          </w:p>
        </w:tc>
        <w:tc>
          <w:tcPr>
            <w:tcW w:w="7349" w:type="dxa"/>
            <w:tcBorders>
              <w:left w:val="nil"/>
              <w:right w:val="nil"/>
            </w:tcBorders>
            <w:vAlign w:val="center"/>
          </w:tcPr>
          <w:p w14:paraId="30D4B6D4" w14:textId="3A8D0FC5" w:rsidR="00DE1DB3" w:rsidRPr="00FD5C5D" w:rsidRDefault="00A138CB" w:rsidP="00F12D9A">
            <w:pPr>
              <w:jc w:val="both"/>
              <w:rPr>
                <w:b/>
                <w:bCs/>
                <w:sz w:val="14"/>
                <w:szCs w:val="14"/>
              </w:rPr>
            </w:pPr>
            <w:r w:rsidRPr="00FD5C5D">
              <w:rPr>
                <w:b/>
                <w:bCs/>
                <w:sz w:val="14"/>
                <w:szCs w:val="14"/>
              </w:rPr>
              <w:t>ÖZ</w:t>
            </w:r>
          </w:p>
        </w:tc>
      </w:tr>
      <w:tr w:rsidR="0078281D" w14:paraId="60AAC66B" w14:textId="77777777" w:rsidTr="002314DB">
        <w:trPr>
          <w:trHeight w:val="975"/>
        </w:trPr>
        <w:tc>
          <w:tcPr>
            <w:tcW w:w="2835" w:type="dxa"/>
            <w:tcBorders>
              <w:left w:val="nil"/>
              <w:right w:val="nil"/>
            </w:tcBorders>
          </w:tcPr>
          <w:p w14:paraId="44211BC6" w14:textId="5B8526CB" w:rsidR="0078281D" w:rsidRPr="0056525F" w:rsidRDefault="0078281D" w:rsidP="00F12D9A">
            <w:pPr>
              <w:spacing w:before="60" w:after="60" w:line="298" w:lineRule="auto"/>
              <w:ind w:left="312" w:right="96"/>
              <w:jc w:val="both"/>
              <w:rPr>
                <w:b/>
                <w:bCs/>
                <w:i/>
                <w:iCs/>
                <w:color w:val="000000" w:themeColor="text1"/>
                <w:w w:val="110"/>
                <w:sz w:val="14"/>
                <w:szCs w:val="14"/>
              </w:rPr>
            </w:pPr>
            <w:r w:rsidRPr="0056525F">
              <w:rPr>
                <w:b/>
                <w:bCs/>
                <w:i/>
                <w:iCs/>
                <w:color w:val="000000" w:themeColor="text1"/>
                <w:w w:val="110"/>
                <w:sz w:val="14"/>
                <w:szCs w:val="14"/>
              </w:rPr>
              <w:t xml:space="preserve">Yayın geçmişi: </w:t>
            </w:r>
          </w:p>
          <w:p w14:paraId="45336481" w14:textId="49B2904B" w:rsidR="0078281D" w:rsidRPr="007F413C" w:rsidRDefault="0078281D" w:rsidP="00F12D9A">
            <w:pPr>
              <w:spacing w:line="298" w:lineRule="auto"/>
              <w:ind w:left="312" w:right="96"/>
              <w:jc w:val="both"/>
              <w:rPr>
                <w:color w:val="000000" w:themeColor="text1"/>
                <w:w w:val="110"/>
                <w:sz w:val="14"/>
                <w:szCs w:val="14"/>
              </w:rPr>
            </w:pPr>
            <w:r w:rsidRPr="007F413C">
              <w:rPr>
                <w:color w:val="000000" w:themeColor="text1"/>
                <w:w w:val="110"/>
                <w:sz w:val="14"/>
                <w:szCs w:val="14"/>
              </w:rPr>
              <w:t>Gönderilen tarih:</w:t>
            </w:r>
            <w:r w:rsidR="007A7D7E">
              <w:rPr>
                <w:color w:val="000000" w:themeColor="text1"/>
                <w:w w:val="110"/>
                <w:sz w:val="14"/>
                <w:szCs w:val="14"/>
              </w:rPr>
              <w:t xml:space="preserve"> </w:t>
            </w:r>
            <w:r w:rsidR="00E57777">
              <w:rPr>
                <w:color w:val="000000" w:themeColor="text1"/>
                <w:w w:val="110"/>
                <w:sz w:val="14"/>
                <w:szCs w:val="14"/>
              </w:rPr>
              <w:t>6 Haziran 2023</w:t>
            </w:r>
          </w:p>
          <w:p w14:paraId="5FA38014" w14:textId="4C0C8A40" w:rsidR="0078281D" w:rsidRPr="007F413C" w:rsidRDefault="0078281D" w:rsidP="00F12D9A">
            <w:pPr>
              <w:spacing w:line="298" w:lineRule="auto"/>
              <w:ind w:left="312" w:right="96"/>
              <w:jc w:val="both"/>
              <w:rPr>
                <w:color w:val="000000" w:themeColor="text1"/>
                <w:w w:val="110"/>
                <w:sz w:val="14"/>
                <w:szCs w:val="14"/>
              </w:rPr>
            </w:pPr>
            <w:r w:rsidRPr="007F413C">
              <w:rPr>
                <w:color w:val="000000" w:themeColor="text1"/>
                <w:w w:val="110"/>
                <w:sz w:val="14"/>
                <w:szCs w:val="14"/>
              </w:rPr>
              <w:t>Kabul tarihi:</w:t>
            </w:r>
            <w:r w:rsidR="007A7D7E">
              <w:rPr>
                <w:color w:val="000000" w:themeColor="text1"/>
                <w:w w:val="110"/>
                <w:sz w:val="14"/>
                <w:szCs w:val="14"/>
              </w:rPr>
              <w:t xml:space="preserve"> </w:t>
            </w:r>
            <w:r w:rsidR="00E57777">
              <w:rPr>
                <w:color w:val="000000" w:themeColor="text1"/>
                <w:w w:val="110"/>
                <w:sz w:val="14"/>
                <w:szCs w:val="14"/>
              </w:rPr>
              <w:t>22 Temmuz 2023</w:t>
            </w:r>
          </w:p>
          <w:p w14:paraId="1E756997" w14:textId="34289664" w:rsidR="0078281D" w:rsidRDefault="007F413C" w:rsidP="00F12D9A">
            <w:pPr>
              <w:spacing w:line="298" w:lineRule="auto"/>
              <w:ind w:left="312" w:right="96"/>
              <w:jc w:val="both"/>
              <w:rPr>
                <w:sz w:val="13"/>
              </w:rPr>
            </w:pPr>
            <w:r w:rsidRPr="007F413C">
              <w:rPr>
                <w:color w:val="000000" w:themeColor="text1"/>
                <w:w w:val="110"/>
                <w:sz w:val="14"/>
                <w:szCs w:val="14"/>
              </w:rPr>
              <w:t>Yayımlanma tarihi:</w:t>
            </w:r>
            <w:r w:rsidR="007A7D7E">
              <w:rPr>
                <w:color w:val="000000" w:themeColor="text1"/>
                <w:w w:val="110"/>
                <w:sz w:val="14"/>
                <w:szCs w:val="14"/>
              </w:rPr>
              <w:t xml:space="preserve"> </w:t>
            </w:r>
            <w:r w:rsidR="00E57777">
              <w:rPr>
                <w:color w:val="000000" w:themeColor="text1"/>
                <w:w w:val="110"/>
                <w:sz w:val="14"/>
                <w:szCs w:val="14"/>
              </w:rPr>
              <w:t>22 Ağustos 2023</w:t>
            </w:r>
          </w:p>
        </w:tc>
        <w:tc>
          <w:tcPr>
            <w:tcW w:w="305" w:type="dxa"/>
            <w:vMerge w:val="restart"/>
            <w:tcBorders>
              <w:top w:val="nil"/>
              <w:left w:val="nil"/>
              <w:right w:val="nil"/>
            </w:tcBorders>
          </w:tcPr>
          <w:p w14:paraId="19609608" w14:textId="77777777" w:rsidR="0078281D" w:rsidRDefault="0078281D" w:rsidP="00F12D9A">
            <w:pPr>
              <w:jc w:val="both"/>
              <w:rPr>
                <w:sz w:val="13"/>
              </w:rPr>
            </w:pPr>
          </w:p>
        </w:tc>
        <w:tc>
          <w:tcPr>
            <w:tcW w:w="7349" w:type="dxa"/>
            <w:vMerge w:val="restart"/>
            <w:tcBorders>
              <w:left w:val="nil"/>
              <w:right w:val="nil"/>
            </w:tcBorders>
          </w:tcPr>
          <w:p w14:paraId="10F1FC29" w14:textId="2687E29F" w:rsidR="00523D8F" w:rsidRPr="00523D8F" w:rsidRDefault="00523D8F" w:rsidP="00523D8F">
            <w:pPr>
              <w:tabs>
                <w:tab w:val="left" w:pos="567"/>
              </w:tabs>
              <w:spacing w:before="120" w:after="120" w:line="276" w:lineRule="auto"/>
              <w:jc w:val="both"/>
              <w:rPr>
                <w:bCs/>
                <w:color w:val="000000"/>
                <w:sz w:val="16"/>
                <w:szCs w:val="16"/>
              </w:rPr>
            </w:pPr>
            <w:r w:rsidRPr="00523D8F">
              <w:rPr>
                <w:bCs/>
                <w:color w:val="000000"/>
                <w:sz w:val="16"/>
                <w:szCs w:val="16"/>
              </w:rPr>
              <w:t xml:space="preserve">Bu araştırma, Sağlık Bilimleri Fakültesi birinci sınıf öğrencilerinin yaşam boyu öğrenme eğilimlerinin bazı değişkenler açısından (cinsiyet, bölüm, kişilik özellikleri ve akademik başarı) değerlendirilmesi amacıyla yapılmıştır. Tanımlayıcı desen kullanılarak yapılan bu çalışma Türkiye’nin iç batısında yer alan bir üniversitenin Sağlık Bilimleri Fakültesi’nde öğrenim gören 227 birinci sınıf öğrencisi ile yapılmıştır. Çalışmaya katılan öğrencilerin yaş ortalamaları 19,49±1,79’dur. Öğrencilerin yaşam boyu öğrenme eğilimleri genel ortalamalarının 124,17±22,09 olduğu bulunmuştur. Katılımcıların yaşam boyu öğrenme eğilimleri ile gelişime açıklık arasında orta düzeyde pozitif; sorumluluk, uyumluluk ve dışadönüklük arasında düşük düzeyde pozitif; nevrotiklik arasında düşük düzeyde negatif yönde anlamlı ilişki saptanmıştır. Çalışmamıza katılan öğrencilerin yaşam boyu öğrenme eğilimlerinin olumlu düzeyde olduğu, yaşam boyu öğrenme eğilimini olumlu kişilik özelliklerinin artırdığı, olumsuz kişilik özelliklerinin ise azalttığı, akademik başarısı yüksek öğrencilerin YBÖ eğilimlerinin daha yüksek olduğu sonuçlarına ulaşılmıştır. </w:t>
            </w:r>
          </w:p>
          <w:p w14:paraId="26EAFDBD" w14:textId="4A156168" w:rsidR="00645B92" w:rsidRPr="00FD5C5D" w:rsidRDefault="00A138CB" w:rsidP="00F12D9A">
            <w:pPr>
              <w:spacing w:before="25" w:after="60" w:line="283" w:lineRule="auto"/>
              <w:jc w:val="both"/>
              <w:rPr>
                <w:b/>
                <w:bCs/>
                <w:sz w:val="14"/>
                <w:szCs w:val="14"/>
              </w:rPr>
            </w:pPr>
            <w:r w:rsidRPr="00FD5C5D">
              <w:rPr>
                <w:b/>
                <w:bCs/>
                <w:sz w:val="14"/>
                <w:szCs w:val="14"/>
              </w:rPr>
              <w:t>ABSTRACT</w:t>
            </w:r>
          </w:p>
          <w:p w14:paraId="75D119BE" w14:textId="0BA54EFA" w:rsidR="00523D8F" w:rsidRPr="00523D8F" w:rsidRDefault="00523D8F" w:rsidP="00523D8F">
            <w:pPr>
              <w:spacing w:before="120" w:after="120" w:line="276" w:lineRule="auto"/>
              <w:jc w:val="both"/>
              <w:rPr>
                <w:color w:val="000000"/>
                <w:sz w:val="16"/>
                <w:szCs w:val="16"/>
              </w:rPr>
            </w:pPr>
            <w:proofErr w:type="spellStart"/>
            <w:r w:rsidRPr="00523D8F">
              <w:rPr>
                <w:color w:val="000000"/>
                <w:sz w:val="16"/>
                <w:szCs w:val="16"/>
              </w:rPr>
              <w:t>This</w:t>
            </w:r>
            <w:proofErr w:type="spellEnd"/>
            <w:r w:rsidRPr="00523D8F">
              <w:rPr>
                <w:color w:val="000000"/>
                <w:sz w:val="16"/>
                <w:szCs w:val="16"/>
              </w:rPr>
              <w:t xml:space="preserve"> </w:t>
            </w:r>
            <w:proofErr w:type="spellStart"/>
            <w:r w:rsidRPr="00523D8F">
              <w:rPr>
                <w:color w:val="000000"/>
                <w:sz w:val="16"/>
                <w:szCs w:val="16"/>
              </w:rPr>
              <w:t>study</w:t>
            </w:r>
            <w:proofErr w:type="spellEnd"/>
            <w:r w:rsidRPr="00523D8F">
              <w:rPr>
                <w:color w:val="000000"/>
                <w:sz w:val="16"/>
                <w:szCs w:val="16"/>
              </w:rPr>
              <w:t xml:space="preserve"> </w:t>
            </w:r>
            <w:proofErr w:type="spellStart"/>
            <w:r w:rsidRPr="00523D8F">
              <w:rPr>
                <w:color w:val="000000"/>
                <w:sz w:val="16"/>
                <w:szCs w:val="16"/>
              </w:rPr>
              <w:t>was</w:t>
            </w:r>
            <w:proofErr w:type="spellEnd"/>
            <w:r w:rsidRPr="00523D8F">
              <w:rPr>
                <w:color w:val="000000"/>
                <w:sz w:val="16"/>
                <w:szCs w:val="16"/>
              </w:rPr>
              <w:t xml:space="preserve"> </w:t>
            </w:r>
            <w:proofErr w:type="spellStart"/>
            <w:r w:rsidRPr="00523D8F">
              <w:rPr>
                <w:color w:val="000000"/>
                <w:sz w:val="16"/>
                <w:szCs w:val="16"/>
              </w:rPr>
              <w:t>conducted</w:t>
            </w:r>
            <w:proofErr w:type="spellEnd"/>
            <w:r w:rsidRPr="00523D8F">
              <w:rPr>
                <w:color w:val="000000"/>
                <w:sz w:val="16"/>
                <w:szCs w:val="16"/>
              </w:rPr>
              <w:t xml:space="preserve"> </w:t>
            </w:r>
            <w:proofErr w:type="spellStart"/>
            <w:r w:rsidRPr="00523D8F">
              <w:rPr>
                <w:color w:val="000000"/>
                <w:sz w:val="16"/>
                <w:szCs w:val="16"/>
              </w:rPr>
              <w:t>to</w:t>
            </w:r>
            <w:proofErr w:type="spellEnd"/>
            <w:r w:rsidRPr="00523D8F">
              <w:rPr>
                <w:color w:val="000000"/>
                <w:sz w:val="16"/>
                <w:szCs w:val="16"/>
              </w:rPr>
              <w:t xml:space="preserve"> </w:t>
            </w:r>
            <w:proofErr w:type="spellStart"/>
            <w:r w:rsidRPr="00523D8F">
              <w:rPr>
                <w:color w:val="000000"/>
                <w:sz w:val="16"/>
                <w:szCs w:val="16"/>
              </w:rPr>
              <w:t>evaluate</w:t>
            </w:r>
            <w:proofErr w:type="spellEnd"/>
            <w:r w:rsidRPr="00523D8F">
              <w:rPr>
                <w:color w:val="000000"/>
                <w:sz w:val="16"/>
                <w:szCs w:val="16"/>
              </w:rPr>
              <w:t xml:space="preserve"> </w:t>
            </w:r>
            <w:proofErr w:type="spellStart"/>
            <w:r w:rsidRPr="00523D8F">
              <w:rPr>
                <w:color w:val="000000"/>
                <w:sz w:val="16"/>
                <w:szCs w:val="16"/>
              </w:rPr>
              <w:t>the</w:t>
            </w:r>
            <w:proofErr w:type="spellEnd"/>
            <w:r w:rsidRPr="00523D8F">
              <w:rPr>
                <w:color w:val="000000"/>
                <w:sz w:val="16"/>
                <w:szCs w:val="16"/>
              </w:rPr>
              <w:t xml:space="preserve"> </w:t>
            </w:r>
            <w:proofErr w:type="spellStart"/>
            <w:r w:rsidRPr="00523D8F">
              <w:rPr>
                <w:color w:val="000000"/>
                <w:sz w:val="16"/>
                <w:szCs w:val="16"/>
              </w:rPr>
              <w:t>lifelong</w:t>
            </w:r>
            <w:proofErr w:type="spellEnd"/>
            <w:r w:rsidRPr="00523D8F">
              <w:rPr>
                <w:color w:val="000000"/>
                <w:sz w:val="16"/>
                <w:szCs w:val="16"/>
              </w:rPr>
              <w:t xml:space="preserve"> </w:t>
            </w:r>
            <w:proofErr w:type="spellStart"/>
            <w:r w:rsidRPr="00523D8F">
              <w:rPr>
                <w:color w:val="000000"/>
                <w:sz w:val="16"/>
                <w:szCs w:val="16"/>
              </w:rPr>
              <w:t>learning</w:t>
            </w:r>
            <w:proofErr w:type="spellEnd"/>
            <w:r w:rsidRPr="00523D8F">
              <w:rPr>
                <w:color w:val="000000"/>
                <w:sz w:val="16"/>
                <w:szCs w:val="16"/>
              </w:rPr>
              <w:t xml:space="preserve"> </w:t>
            </w:r>
            <w:proofErr w:type="spellStart"/>
            <w:r w:rsidRPr="00523D8F">
              <w:rPr>
                <w:color w:val="000000"/>
                <w:sz w:val="16"/>
                <w:szCs w:val="16"/>
              </w:rPr>
              <w:t>tendencies</w:t>
            </w:r>
            <w:proofErr w:type="spellEnd"/>
            <w:r w:rsidRPr="00523D8F">
              <w:rPr>
                <w:color w:val="000000"/>
                <w:sz w:val="16"/>
                <w:szCs w:val="16"/>
              </w:rPr>
              <w:t xml:space="preserve"> of </w:t>
            </w:r>
            <w:proofErr w:type="spellStart"/>
            <w:r w:rsidRPr="00523D8F">
              <w:rPr>
                <w:color w:val="000000"/>
                <w:sz w:val="16"/>
                <w:szCs w:val="16"/>
              </w:rPr>
              <w:t>first</w:t>
            </w:r>
            <w:proofErr w:type="spellEnd"/>
            <w:r w:rsidRPr="00523D8F">
              <w:rPr>
                <w:color w:val="000000"/>
                <w:sz w:val="16"/>
                <w:szCs w:val="16"/>
              </w:rPr>
              <w:t xml:space="preserve"> </w:t>
            </w:r>
            <w:proofErr w:type="spellStart"/>
            <w:r w:rsidRPr="00523D8F">
              <w:rPr>
                <w:color w:val="000000"/>
                <w:sz w:val="16"/>
                <w:szCs w:val="16"/>
              </w:rPr>
              <w:t>year</w:t>
            </w:r>
            <w:proofErr w:type="spellEnd"/>
            <w:r w:rsidRPr="00523D8F">
              <w:rPr>
                <w:color w:val="000000"/>
                <w:sz w:val="16"/>
                <w:szCs w:val="16"/>
              </w:rPr>
              <w:t xml:space="preserve"> </w:t>
            </w:r>
            <w:proofErr w:type="spellStart"/>
            <w:r w:rsidRPr="00523D8F">
              <w:rPr>
                <w:color w:val="000000"/>
                <w:sz w:val="16"/>
                <w:szCs w:val="16"/>
              </w:rPr>
              <w:t>Health</w:t>
            </w:r>
            <w:proofErr w:type="spellEnd"/>
            <w:r w:rsidRPr="00523D8F">
              <w:rPr>
                <w:color w:val="000000"/>
                <w:sz w:val="16"/>
                <w:szCs w:val="16"/>
              </w:rPr>
              <w:t xml:space="preserve"> </w:t>
            </w:r>
            <w:proofErr w:type="spellStart"/>
            <w:r w:rsidRPr="00523D8F">
              <w:rPr>
                <w:color w:val="000000"/>
                <w:sz w:val="16"/>
                <w:szCs w:val="16"/>
              </w:rPr>
              <w:t>Sciences</w:t>
            </w:r>
            <w:proofErr w:type="spellEnd"/>
            <w:r w:rsidRPr="00523D8F">
              <w:rPr>
                <w:color w:val="000000"/>
                <w:sz w:val="16"/>
                <w:szCs w:val="16"/>
              </w:rPr>
              <w:t xml:space="preserve"> </w:t>
            </w:r>
            <w:proofErr w:type="spellStart"/>
            <w:r w:rsidRPr="00523D8F">
              <w:rPr>
                <w:color w:val="000000"/>
                <w:sz w:val="16"/>
                <w:szCs w:val="16"/>
              </w:rPr>
              <w:t>Faculty</w:t>
            </w:r>
            <w:proofErr w:type="spellEnd"/>
            <w:r w:rsidRPr="00523D8F">
              <w:rPr>
                <w:color w:val="000000"/>
                <w:sz w:val="16"/>
                <w:szCs w:val="16"/>
              </w:rPr>
              <w:t xml:space="preserve"> </w:t>
            </w:r>
            <w:proofErr w:type="spellStart"/>
            <w:r w:rsidRPr="00523D8F">
              <w:rPr>
                <w:color w:val="000000"/>
                <w:sz w:val="16"/>
                <w:szCs w:val="16"/>
              </w:rPr>
              <w:t>students</w:t>
            </w:r>
            <w:proofErr w:type="spellEnd"/>
            <w:r w:rsidRPr="00523D8F">
              <w:rPr>
                <w:color w:val="000000"/>
                <w:sz w:val="16"/>
                <w:szCs w:val="16"/>
              </w:rPr>
              <w:t xml:space="preserve"> in </w:t>
            </w:r>
            <w:proofErr w:type="spellStart"/>
            <w:r w:rsidRPr="00523D8F">
              <w:rPr>
                <w:color w:val="000000"/>
                <w:sz w:val="16"/>
                <w:szCs w:val="16"/>
              </w:rPr>
              <w:t>terms</w:t>
            </w:r>
            <w:proofErr w:type="spellEnd"/>
            <w:r w:rsidRPr="00523D8F">
              <w:rPr>
                <w:color w:val="000000"/>
                <w:sz w:val="16"/>
                <w:szCs w:val="16"/>
              </w:rPr>
              <w:t xml:space="preserve"> of </w:t>
            </w:r>
            <w:proofErr w:type="spellStart"/>
            <w:r w:rsidRPr="00523D8F">
              <w:rPr>
                <w:color w:val="000000"/>
                <w:sz w:val="16"/>
                <w:szCs w:val="16"/>
              </w:rPr>
              <w:t>some</w:t>
            </w:r>
            <w:proofErr w:type="spellEnd"/>
            <w:r w:rsidRPr="00523D8F">
              <w:rPr>
                <w:color w:val="000000"/>
                <w:sz w:val="16"/>
                <w:szCs w:val="16"/>
              </w:rPr>
              <w:t xml:space="preserve"> </w:t>
            </w:r>
            <w:proofErr w:type="spellStart"/>
            <w:r w:rsidRPr="00523D8F">
              <w:rPr>
                <w:color w:val="000000"/>
                <w:sz w:val="16"/>
                <w:szCs w:val="16"/>
              </w:rPr>
              <w:t>variables</w:t>
            </w:r>
            <w:proofErr w:type="spellEnd"/>
            <w:r w:rsidRPr="00523D8F">
              <w:rPr>
                <w:color w:val="000000"/>
                <w:sz w:val="16"/>
                <w:szCs w:val="16"/>
              </w:rPr>
              <w:t xml:space="preserve"> (</w:t>
            </w:r>
            <w:proofErr w:type="spellStart"/>
            <w:r w:rsidRPr="00523D8F">
              <w:rPr>
                <w:color w:val="000000"/>
                <w:sz w:val="16"/>
                <w:szCs w:val="16"/>
              </w:rPr>
              <w:t>demographic</w:t>
            </w:r>
            <w:proofErr w:type="spellEnd"/>
            <w:r w:rsidRPr="00523D8F">
              <w:rPr>
                <w:color w:val="000000"/>
                <w:sz w:val="16"/>
                <w:szCs w:val="16"/>
              </w:rPr>
              <w:t xml:space="preserve"> </w:t>
            </w:r>
            <w:proofErr w:type="spellStart"/>
            <w:r w:rsidRPr="00523D8F">
              <w:rPr>
                <w:color w:val="000000"/>
                <w:sz w:val="16"/>
                <w:szCs w:val="16"/>
              </w:rPr>
              <w:t>characteristics</w:t>
            </w:r>
            <w:proofErr w:type="spellEnd"/>
            <w:r w:rsidRPr="00523D8F">
              <w:rPr>
                <w:color w:val="000000"/>
                <w:sz w:val="16"/>
                <w:szCs w:val="16"/>
              </w:rPr>
              <w:t xml:space="preserve">, </w:t>
            </w:r>
            <w:proofErr w:type="spellStart"/>
            <w:r w:rsidRPr="00523D8F">
              <w:rPr>
                <w:color w:val="000000"/>
                <w:sz w:val="16"/>
                <w:szCs w:val="16"/>
              </w:rPr>
              <w:t>personality</w:t>
            </w:r>
            <w:proofErr w:type="spellEnd"/>
            <w:r w:rsidRPr="00523D8F">
              <w:rPr>
                <w:color w:val="000000"/>
                <w:sz w:val="16"/>
                <w:szCs w:val="16"/>
              </w:rPr>
              <w:t xml:space="preserve"> </w:t>
            </w:r>
            <w:proofErr w:type="spellStart"/>
            <w:r w:rsidRPr="00523D8F">
              <w:rPr>
                <w:color w:val="000000"/>
                <w:sz w:val="16"/>
                <w:szCs w:val="16"/>
              </w:rPr>
              <w:t>traits</w:t>
            </w:r>
            <w:proofErr w:type="spellEnd"/>
            <w:r w:rsidRPr="00523D8F">
              <w:rPr>
                <w:color w:val="000000"/>
                <w:sz w:val="16"/>
                <w:szCs w:val="16"/>
              </w:rPr>
              <w:t xml:space="preserve">, and </w:t>
            </w:r>
            <w:proofErr w:type="spellStart"/>
            <w:r w:rsidRPr="00523D8F">
              <w:rPr>
                <w:color w:val="000000"/>
                <w:sz w:val="16"/>
                <w:szCs w:val="16"/>
              </w:rPr>
              <w:t>academic</w:t>
            </w:r>
            <w:proofErr w:type="spellEnd"/>
            <w:r w:rsidRPr="00523D8F">
              <w:rPr>
                <w:color w:val="000000"/>
                <w:sz w:val="16"/>
                <w:szCs w:val="16"/>
              </w:rPr>
              <w:t xml:space="preserve"> </w:t>
            </w:r>
            <w:proofErr w:type="spellStart"/>
            <w:r w:rsidRPr="00523D8F">
              <w:rPr>
                <w:color w:val="000000"/>
                <w:sz w:val="16"/>
                <w:szCs w:val="16"/>
              </w:rPr>
              <w:t>success</w:t>
            </w:r>
            <w:proofErr w:type="spellEnd"/>
            <w:r w:rsidRPr="00523D8F">
              <w:rPr>
                <w:color w:val="000000"/>
                <w:sz w:val="16"/>
                <w:szCs w:val="16"/>
              </w:rPr>
              <w:t xml:space="preserve">). </w:t>
            </w:r>
            <w:proofErr w:type="spellStart"/>
            <w:r w:rsidRPr="00523D8F">
              <w:rPr>
                <w:color w:val="000000"/>
                <w:sz w:val="16"/>
                <w:szCs w:val="16"/>
              </w:rPr>
              <w:t>This</w:t>
            </w:r>
            <w:proofErr w:type="spellEnd"/>
            <w:r w:rsidRPr="00523D8F">
              <w:rPr>
                <w:color w:val="000000"/>
                <w:sz w:val="16"/>
                <w:szCs w:val="16"/>
              </w:rPr>
              <w:t xml:space="preserve"> </w:t>
            </w:r>
            <w:proofErr w:type="spellStart"/>
            <w:r w:rsidRPr="00523D8F">
              <w:rPr>
                <w:color w:val="000000"/>
                <w:sz w:val="16"/>
                <w:szCs w:val="16"/>
              </w:rPr>
              <w:t>study</w:t>
            </w:r>
            <w:proofErr w:type="spellEnd"/>
            <w:r w:rsidRPr="00523D8F">
              <w:rPr>
                <w:color w:val="000000"/>
                <w:sz w:val="16"/>
                <w:szCs w:val="16"/>
              </w:rPr>
              <w:t xml:space="preserve">, </w:t>
            </w:r>
            <w:proofErr w:type="spellStart"/>
            <w:r w:rsidRPr="00523D8F">
              <w:rPr>
                <w:color w:val="000000"/>
                <w:sz w:val="16"/>
                <w:szCs w:val="16"/>
              </w:rPr>
              <w:t>using</w:t>
            </w:r>
            <w:proofErr w:type="spellEnd"/>
            <w:r w:rsidRPr="00523D8F">
              <w:rPr>
                <w:color w:val="000000"/>
                <w:sz w:val="16"/>
                <w:szCs w:val="16"/>
              </w:rPr>
              <w:t xml:space="preserve"> a </w:t>
            </w:r>
            <w:proofErr w:type="spellStart"/>
            <w:r w:rsidRPr="00523D8F">
              <w:rPr>
                <w:color w:val="000000"/>
                <w:sz w:val="16"/>
                <w:szCs w:val="16"/>
              </w:rPr>
              <w:t>descriptive</w:t>
            </w:r>
            <w:proofErr w:type="spellEnd"/>
            <w:r w:rsidRPr="00523D8F">
              <w:rPr>
                <w:color w:val="000000"/>
                <w:sz w:val="16"/>
                <w:szCs w:val="16"/>
              </w:rPr>
              <w:t xml:space="preserve"> </w:t>
            </w:r>
            <w:proofErr w:type="spellStart"/>
            <w:r w:rsidRPr="00523D8F">
              <w:rPr>
                <w:color w:val="000000"/>
                <w:sz w:val="16"/>
                <w:szCs w:val="16"/>
              </w:rPr>
              <w:t>design</w:t>
            </w:r>
            <w:proofErr w:type="spellEnd"/>
            <w:r w:rsidRPr="00523D8F">
              <w:rPr>
                <w:color w:val="000000"/>
                <w:sz w:val="16"/>
                <w:szCs w:val="16"/>
              </w:rPr>
              <w:t xml:space="preserve">, </w:t>
            </w:r>
            <w:proofErr w:type="spellStart"/>
            <w:r w:rsidRPr="00523D8F">
              <w:rPr>
                <w:color w:val="000000"/>
                <w:sz w:val="16"/>
                <w:szCs w:val="16"/>
              </w:rPr>
              <w:t>was</w:t>
            </w:r>
            <w:proofErr w:type="spellEnd"/>
            <w:r w:rsidRPr="00523D8F">
              <w:rPr>
                <w:color w:val="000000"/>
                <w:sz w:val="16"/>
                <w:szCs w:val="16"/>
              </w:rPr>
              <w:t xml:space="preserve"> </w:t>
            </w:r>
            <w:proofErr w:type="spellStart"/>
            <w:r w:rsidRPr="00523D8F">
              <w:rPr>
                <w:color w:val="000000"/>
                <w:sz w:val="16"/>
                <w:szCs w:val="16"/>
              </w:rPr>
              <w:t>conducted</w:t>
            </w:r>
            <w:proofErr w:type="spellEnd"/>
            <w:r w:rsidRPr="00523D8F">
              <w:rPr>
                <w:color w:val="000000"/>
                <w:sz w:val="16"/>
                <w:szCs w:val="16"/>
              </w:rPr>
              <w:t xml:space="preserve"> </w:t>
            </w:r>
            <w:proofErr w:type="spellStart"/>
            <w:r w:rsidRPr="00523D8F">
              <w:rPr>
                <w:color w:val="000000"/>
                <w:sz w:val="16"/>
                <w:szCs w:val="16"/>
              </w:rPr>
              <w:t>with</w:t>
            </w:r>
            <w:proofErr w:type="spellEnd"/>
            <w:r w:rsidRPr="00523D8F">
              <w:rPr>
                <w:color w:val="000000"/>
                <w:sz w:val="16"/>
                <w:szCs w:val="16"/>
              </w:rPr>
              <w:t xml:space="preserve"> 227 </w:t>
            </w:r>
            <w:proofErr w:type="spellStart"/>
            <w:r w:rsidRPr="00523D8F">
              <w:rPr>
                <w:color w:val="000000"/>
                <w:sz w:val="16"/>
                <w:szCs w:val="16"/>
              </w:rPr>
              <w:t>first-year</w:t>
            </w:r>
            <w:proofErr w:type="spellEnd"/>
            <w:r w:rsidRPr="00523D8F">
              <w:rPr>
                <w:color w:val="000000"/>
                <w:sz w:val="16"/>
                <w:szCs w:val="16"/>
              </w:rPr>
              <w:t xml:space="preserve"> </w:t>
            </w:r>
            <w:proofErr w:type="spellStart"/>
            <w:r w:rsidRPr="00523D8F">
              <w:rPr>
                <w:color w:val="000000"/>
                <w:sz w:val="16"/>
                <w:szCs w:val="16"/>
              </w:rPr>
              <w:t>students</w:t>
            </w:r>
            <w:proofErr w:type="spellEnd"/>
            <w:r w:rsidRPr="00523D8F">
              <w:rPr>
                <w:color w:val="000000"/>
                <w:sz w:val="16"/>
                <w:szCs w:val="16"/>
              </w:rPr>
              <w:t xml:space="preserve"> </w:t>
            </w:r>
            <w:proofErr w:type="spellStart"/>
            <w:r w:rsidRPr="00523D8F">
              <w:rPr>
                <w:color w:val="000000"/>
                <w:sz w:val="16"/>
                <w:szCs w:val="16"/>
              </w:rPr>
              <w:t>studying</w:t>
            </w:r>
            <w:proofErr w:type="spellEnd"/>
            <w:r w:rsidRPr="00523D8F">
              <w:rPr>
                <w:color w:val="000000"/>
                <w:sz w:val="16"/>
                <w:szCs w:val="16"/>
              </w:rPr>
              <w:t xml:space="preserve"> at </w:t>
            </w:r>
            <w:proofErr w:type="spellStart"/>
            <w:r w:rsidRPr="00523D8F">
              <w:rPr>
                <w:color w:val="000000"/>
                <w:sz w:val="16"/>
                <w:szCs w:val="16"/>
              </w:rPr>
              <w:t>the</w:t>
            </w:r>
            <w:proofErr w:type="spellEnd"/>
            <w:r w:rsidRPr="00523D8F">
              <w:rPr>
                <w:color w:val="000000"/>
                <w:sz w:val="16"/>
                <w:szCs w:val="16"/>
              </w:rPr>
              <w:t xml:space="preserve"> </w:t>
            </w:r>
            <w:proofErr w:type="spellStart"/>
            <w:r w:rsidRPr="00523D8F">
              <w:rPr>
                <w:color w:val="000000"/>
                <w:sz w:val="16"/>
                <w:szCs w:val="16"/>
              </w:rPr>
              <w:t>Faculty</w:t>
            </w:r>
            <w:proofErr w:type="spellEnd"/>
            <w:r w:rsidRPr="00523D8F">
              <w:rPr>
                <w:color w:val="000000"/>
                <w:sz w:val="16"/>
                <w:szCs w:val="16"/>
              </w:rPr>
              <w:t xml:space="preserve"> of </w:t>
            </w:r>
            <w:proofErr w:type="spellStart"/>
            <w:r w:rsidRPr="00523D8F">
              <w:rPr>
                <w:color w:val="000000"/>
                <w:sz w:val="16"/>
                <w:szCs w:val="16"/>
              </w:rPr>
              <w:t>Health</w:t>
            </w:r>
            <w:proofErr w:type="spellEnd"/>
            <w:r w:rsidRPr="00523D8F">
              <w:rPr>
                <w:color w:val="000000"/>
                <w:sz w:val="16"/>
                <w:szCs w:val="16"/>
              </w:rPr>
              <w:t xml:space="preserve"> </w:t>
            </w:r>
            <w:proofErr w:type="spellStart"/>
            <w:r w:rsidRPr="00523D8F">
              <w:rPr>
                <w:color w:val="000000"/>
                <w:sz w:val="16"/>
                <w:szCs w:val="16"/>
              </w:rPr>
              <w:t>Sciences</w:t>
            </w:r>
            <w:proofErr w:type="spellEnd"/>
            <w:r w:rsidRPr="00523D8F">
              <w:rPr>
                <w:color w:val="000000"/>
                <w:sz w:val="16"/>
                <w:szCs w:val="16"/>
              </w:rPr>
              <w:t xml:space="preserve"> of a </w:t>
            </w:r>
            <w:proofErr w:type="spellStart"/>
            <w:r w:rsidRPr="00523D8F">
              <w:rPr>
                <w:color w:val="000000"/>
                <w:sz w:val="16"/>
                <w:szCs w:val="16"/>
              </w:rPr>
              <w:t>university</w:t>
            </w:r>
            <w:proofErr w:type="spellEnd"/>
            <w:r w:rsidRPr="00523D8F">
              <w:rPr>
                <w:color w:val="000000"/>
                <w:sz w:val="16"/>
                <w:szCs w:val="16"/>
              </w:rPr>
              <w:t xml:space="preserve"> </w:t>
            </w:r>
            <w:proofErr w:type="spellStart"/>
            <w:r w:rsidRPr="00523D8F">
              <w:rPr>
                <w:color w:val="000000"/>
                <w:sz w:val="16"/>
                <w:szCs w:val="16"/>
              </w:rPr>
              <w:t>located</w:t>
            </w:r>
            <w:proofErr w:type="spellEnd"/>
            <w:r w:rsidRPr="00523D8F">
              <w:rPr>
                <w:color w:val="000000"/>
                <w:sz w:val="16"/>
                <w:szCs w:val="16"/>
              </w:rPr>
              <w:t xml:space="preserve"> in </w:t>
            </w:r>
            <w:proofErr w:type="spellStart"/>
            <w:r w:rsidRPr="00523D8F">
              <w:rPr>
                <w:color w:val="000000"/>
                <w:sz w:val="16"/>
                <w:szCs w:val="16"/>
              </w:rPr>
              <w:t>the</w:t>
            </w:r>
            <w:proofErr w:type="spellEnd"/>
            <w:r w:rsidRPr="00523D8F">
              <w:rPr>
                <w:color w:val="000000"/>
                <w:sz w:val="16"/>
                <w:szCs w:val="16"/>
              </w:rPr>
              <w:t xml:space="preserve"> </w:t>
            </w:r>
            <w:proofErr w:type="spellStart"/>
            <w:r w:rsidRPr="00523D8F">
              <w:rPr>
                <w:color w:val="000000"/>
                <w:sz w:val="16"/>
                <w:szCs w:val="16"/>
              </w:rPr>
              <w:t>inner</w:t>
            </w:r>
            <w:proofErr w:type="spellEnd"/>
            <w:r w:rsidRPr="00523D8F">
              <w:rPr>
                <w:color w:val="000000"/>
                <w:sz w:val="16"/>
                <w:szCs w:val="16"/>
              </w:rPr>
              <w:t xml:space="preserve"> </w:t>
            </w:r>
            <w:proofErr w:type="spellStart"/>
            <w:r w:rsidRPr="00523D8F">
              <w:rPr>
                <w:color w:val="000000"/>
                <w:sz w:val="16"/>
                <w:szCs w:val="16"/>
              </w:rPr>
              <w:t>west</w:t>
            </w:r>
            <w:proofErr w:type="spellEnd"/>
            <w:r w:rsidRPr="00523D8F">
              <w:rPr>
                <w:color w:val="000000"/>
                <w:sz w:val="16"/>
                <w:szCs w:val="16"/>
              </w:rPr>
              <w:t xml:space="preserve"> of </w:t>
            </w:r>
            <w:proofErr w:type="spellStart"/>
            <w:r w:rsidRPr="00523D8F">
              <w:rPr>
                <w:color w:val="000000"/>
                <w:sz w:val="16"/>
                <w:szCs w:val="16"/>
              </w:rPr>
              <w:t>Turkey</w:t>
            </w:r>
            <w:proofErr w:type="spellEnd"/>
            <w:r w:rsidRPr="00523D8F">
              <w:rPr>
                <w:color w:val="000000"/>
                <w:sz w:val="16"/>
                <w:szCs w:val="16"/>
              </w:rPr>
              <w:t xml:space="preserve">. </w:t>
            </w:r>
            <w:proofErr w:type="spellStart"/>
            <w:r w:rsidRPr="00523D8F">
              <w:rPr>
                <w:color w:val="000000"/>
                <w:sz w:val="16"/>
                <w:szCs w:val="16"/>
              </w:rPr>
              <w:t>The</w:t>
            </w:r>
            <w:proofErr w:type="spellEnd"/>
            <w:r w:rsidRPr="00523D8F">
              <w:rPr>
                <w:color w:val="000000"/>
                <w:sz w:val="16"/>
                <w:szCs w:val="16"/>
              </w:rPr>
              <w:t xml:space="preserve"> </w:t>
            </w:r>
            <w:proofErr w:type="spellStart"/>
            <w:r w:rsidRPr="00523D8F">
              <w:rPr>
                <w:color w:val="000000"/>
                <w:sz w:val="16"/>
                <w:szCs w:val="16"/>
              </w:rPr>
              <w:t>mean</w:t>
            </w:r>
            <w:proofErr w:type="spellEnd"/>
            <w:r w:rsidRPr="00523D8F">
              <w:rPr>
                <w:color w:val="000000"/>
                <w:sz w:val="16"/>
                <w:szCs w:val="16"/>
              </w:rPr>
              <w:t xml:space="preserve"> </w:t>
            </w:r>
            <w:proofErr w:type="spellStart"/>
            <w:r w:rsidRPr="00523D8F">
              <w:rPr>
                <w:color w:val="000000"/>
                <w:sz w:val="16"/>
                <w:szCs w:val="16"/>
              </w:rPr>
              <w:t>age</w:t>
            </w:r>
            <w:proofErr w:type="spellEnd"/>
            <w:r w:rsidRPr="00523D8F">
              <w:rPr>
                <w:color w:val="000000"/>
                <w:sz w:val="16"/>
                <w:szCs w:val="16"/>
              </w:rPr>
              <w:t xml:space="preserve"> of </w:t>
            </w:r>
            <w:proofErr w:type="spellStart"/>
            <w:r w:rsidRPr="00523D8F">
              <w:rPr>
                <w:color w:val="000000"/>
                <w:sz w:val="16"/>
                <w:szCs w:val="16"/>
              </w:rPr>
              <w:t>the</w:t>
            </w:r>
            <w:proofErr w:type="spellEnd"/>
            <w:r w:rsidRPr="00523D8F">
              <w:rPr>
                <w:color w:val="000000"/>
                <w:sz w:val="16"/>
                <w:szCs w:val="16"/>
              </w:rPr>
              <w:t xml:space="preserve"> </w:t>
            </w:r>
            <w:proofErr w:type="spellStart"/>
            <w:r w:rsidRPr="00523D8F">
              <w:rPr>
                <w:color w:val="000000"/>
                <w:sz w:val="16"/>
                <w:szCs w:val="16"/>
              </w:rPr>
              <w:t>students</w:t>
            </w:r>
            <w:proofErr w:type="spellEnd"/>
            <w:r w:rsidRPr="00523D8F">
              <w:rPr>
                <w:color w:val="000000"/>
                <w:sz w:val="16"/>
                <w:szCs w:val="16"/>
              </w:rPr>
              <w:t xml:space="preserve"> </w:t>
            </w:r>
            <w:proofErr w:type="spellStart"/>
            <w:r w:rsidRPr="00523D8F">
              <w:rPr>
                <w:color w:val="000000"/>
                <w:sz w:val="16"/>
                <w:szCs w:val="16"/>
              </w:rPr>
              <w:t>participating</w:t>
            </w:r>
            <w:proofErr w:type="spellEnd"/>
            <w:r w:rsidRPr="00523D8F">
              <w:rPr>
                <w:color w:val="000000"/>
                <w:sz w:val="16"/>
                <w:szCs w:val="16"/>
              </w:rPr>
              <w:t xml:space="preserve"> in </w:t>
            </w:r>
            <w:proofErr w:type="spellStart"/>
            <w:r w:rsidRPr="00523D8F">
              <w:rPr>
                <w:color w:val="000000"/>
                <w:sz w:val="16"/>
                <w:szCs w:val="16"/>
              </w:rPr>
              <w:t>the</w:t>
            </w:r>
            <w:proofErr w:type="spellEnd"/>
            <w:r w:rsidRPr="00523D8F">
              <w:rPr>
                <w:color w:val="000000"/>
                <w:sz w:val="16"/>
                <w:szCs w:val="16"/>
              </w:rPr>
              <w:t xml:space="preserve"> </w:t>
            </w:r>
            <w:proofErr w:type="spellStart"/>
            <w:r w:rsidRPr="00523D8F">
              <w:rPr>
                <w:color w:val="000000"/>
                <w:sz w:val="16"/>
                <w:szCs w:val="16"/>
              </w:rPr>
              <w:t>study</w:t>
            </w:r>
            <w:proofErr w:type="spellEnd"/>
            <w:r w:rsidRPr="00523D8F">
              <w:rPr>
                <w:color w:val="000000"/>
                <w:sz w:val="16"/>
                <w:szCs w:val="16"/>
              </w:rPr>
              <w:t xml:space="preserve"> </w:t>
            </w:r>
            <w:proofErr w:type="spellStart"/>
            <w:r w:rsidRPr="00523D8F">
              <w:rPr>
                <w:color w:val="000000"/>
                <w:sz w:val="16"/>
                <w:szCs w:val="16"/>
              </w:rPr>
              <w:t>was</w:t>
            </w:r>
            <w:proofErr w:type="spellEnd"/>
            <w:r w:rsidRPr="00523D8F">
              <w:rPr>
                <w:color w:val="000000"/>
                <w:sz w:val="16"/>
                <w:szCs w:val="16"/>
              </w:rPr>
              <w:t xml:space="preserve"> 19.49±1.79. </w:t>
            </w:r>
            <w:proofErr w:type="spellStart"/>
            <w:r w:rsidRPr="00523D8F">
              <w:rPr>
                <w:color w:val="000000"/>
                <w:sz w:val="16"/>
                <w:szCs w:val="16"/>
              </w:rPr>
              <w:t>The</w:t>
            </w:r>
            <w:proofErr w:type="spellEnd"/>
            <w:r w:rsidRPr="00523D8F">
              <w:rPr>
                <w:color w:val="000000"/>
                <w:sz w:val="16"/>
                <w:szCs w:val="16"/>
              </w:rPr>
              <w:t xml:space="preserve"> general </w:t>
            </w:r>
            <w:proofErr w:type="spellStart"/>
            <w:r w:rsidRPr="00523D8F">
              <w:rPr>
                <w:color w:val="000000"/>
                <w:sz w:val="16"/>
                <w:szCs w:val="16"/>
              </w:rPr>
              <w:t>average</w:t>
            </w:r>
            <w:proofErr w:type="spellEnd"/>
            <w:r w:rsidRPr="00523D8F">
              <w:rPr>
                <w:color w:val="000000"/>
                <w:sz w:val="16"/>
                <w:szCs w:val="16"/>
              </w:rPr>
              <w:t xml:space="preserve"> of </w:t>
            </w:r>
            <w:proofErr w:type="spellStart"/>
            <w:r w:rsidRPr="00523D8F">
              <w:rPr>
                <w:color w:val="000000"/>
                <w:sz w:val="16"/>
                <w:szCs w:val="16"/>
              </w:rPr>
              <w:t>students</w:t>
            </w:r>
            <w:proofErr w:type="spellEnd"/>
            <w:r w:rsidRPr="00523D8F">
              <w:rPr>
                <w:color w:val="000000"/>
                <w:sz w:val="16"/>
                <w:szCs w:val="16"/>
              </w:rPr>
              <w:t xml:space="preserve">' </w:t>
            </w:r>
            <w:proofErr w:type="spellStart"/>
            <w:r w:rsidRPr="00523D8F">
              <w:rPr>
                <w:color w:val="000000"/>
                <w:sz w:val="16"/>
                <w:szCs w:val="16"/>
              </w:rPr>
              <w:t>lifelong</w:t>
            </w:r>
            <w:proofErr w:type="spellEnd"/>
            <w:r w:rsidRPr="00523D8F">
              <w:rPr>
                <w:color w:val="000000"/>
                <w:sz w:val="16"/>
                <w:szCs w:val="16"/>
              </w:rPr>
              <w:t xml:space="preserve"> </w:t>
            </w:r>
            <w:proofErr w:type="spellStart"/>
            <w:r w:rsidRPr="00523D8F">
              <w:rPr>
                <w:color w:val="000000"/>
                <w:sz w:val="16"/>
                <w:szCs w:val="16"/>
              </w:rPr>
              <w:t>learning</w:t>
            </w:r>
            <w:proofErr w:type="spellEnd"/>
            <w:r w:rsidRPr="00523D8F">
              <w:rPr>
                <w:color w:val="000000"/>
                <w:sz w:val="16"/>
                <w:szCs w:val="16"/>
              </w:rPr>
              <w:t xml:space="preserve"> </w:t>
            </w:r>
            <w:proofErr w:type="spellStart"/>
            <w:r w:rsidRPr="00523D8F">
              <w:rPr>
                <w:color w:val="000000"/>
                <w:sz w:val="16"/>
                <w:szCs w:val="16"/>
              </w:rPr>
              <w:t>tendencies</w:t>
            </w:r>
            <w:proofErr w:type="spellEnd"/>
            <w:r w:rsidRPr="00523D8F">
              <w:rPr>
                <w:color w:val="000000"/>
                <w:sz w:val="16"/>
                <w:szCs w:val="16"/>
              </w:rPr>
              <w:t xml:space="preserve"> </w:t>
            </w:r>
            <w:proofErr w:type="spellStart"/>
            <w:r w:rsidRPr="00523D8F">
              <w:rPr>
                <w:color w:val="000000"/>
                <w:sz w:val="16"/>
                <w:szCs w:val="16"/>
              </w:rPr>
              <w:t>was</w:t>
            </w:r>
            <w:proofErr w:type="spellEnd"/>
            <w:r w:rsidRPr="00523D8F">
              <w:rPr>
                <w:color w:val="000000"/>
                <w:sz w:val="16"/>
                <w:szCs w:val="16"/>
              </w:rPr>
              <w:t xml:space="preserve"> </w:t>
            </w:r>
            <w:proofErr w:type="spellStart"/>
            <w:r w:rsidRPr="00523D8F">
              <w:rPr>
                <w:color w:val="000000"/>
                <w:sz w:val="16"/>
                <w:szCs w:val="16"/>
              </w:rPr>
              <w:t>found</w:t>
            </w:r>
            <w:proofErr w:type="spellEnd"/>
            <w:r w:rsidRPr="00523D8F">
              <w:rPr>
                <w:color w:val="000000"/>
                <w:sz w:val="16"/>
                <w:szCs w:val="16"/>
              </w:rPr>
              <w:t xml:space="preserve"> </w:t>
            </w:r>
            <w:proofErr w:type="spellStart"/>
            <w:r w:rsidRPr="00523D8F">
              <w:rPr>
                <w:color w:val="000000"/>
                <w:sz w:val="16"/>
                <w:szCs w:val="16"/>
              </w:rPr>
              <w:t>to</w:t>
            </w:r>
            <w:proofErr w:type="spellEnd"/>
            <w:r w:rsidRPr="00523D8F">
              <w:rPr>
                <w:color w:val="000000"/>
                <w:sz w:val="16"/>
                <w:szCs w:val="16"/>
              </w:rPr>
              <w:t xml:space="preserve"> be 124.17±22.09. A </w:t>
            </w:r>
            <w:proofErr w:type="spellStart"/>
            <w:r w:rsidRPr="00523D8F">
              <w:rPr>
                <w:color w:val="000000"/>
                <w:sz w:val="16"/>
                <w:szCs w:val="16"/>
              </w:rPr>
              <w:t>moderately</w:t>
            </w:r>
            <w:proofErr w:type="spellEnd"/>
            <w:r w:rsidRPr="00523D8F">
              <w:rPr>
                <w:color w:val="000000"/>
                <w:sz w:val="16"/>
                <w:szCs w:val="16"/>
              </w:rPr>
              <w:t xml:space="preserve"> </w:t>
            </w:r>
            <w:proofErr w:type="spellStart"/>
            <w:r w:rsidRPr="00523D8F">
              <w:rPr>
                <w:color w:val="000000"/>
                <w:sz w:val="16"/>
                <w:szCs w:val="16"/>
              </w:rPr>
              <w:t>positive</w:t>
            </w:r>
            <w:proofErr w:type="spellEnd"/>
            <w:r w:rsidRPr="00523D8F">
              <w:rPr>
                <w:color w:val="000000"/>
                <w:sz w:val="16"/>
                <w:szCs w:val="16"/>
              </w:rPr>
              <w:t xml:space="preserve"> </w:t>
            </w:r>
            <w:proofErr w:type="spellStart"/>
            <w:r w:rsidRPr="00523D8F">
              <w:rPr>
                <w:color w:val="000000"/>
                <w:sz w:val="16"/>
                <w:szCs w:val="16"/>
              </w:rPr>
              <w:t>relationship</w:t>
            </w:r>
            <w:proofErr w:type="spellEnd"/>
            <w:r w:rsidRPr="00523D8F">
              <w:rPr>
                <w:color w:val="000000"/>
                <w:sz w:val="16"/>
                <w:szCs w:val="16"/>
              </w:rPr>
              <w:t xml:space="preserve"> </w:t>
            </w:r>
            <w:proofErr w:type="spellStart"/>
            <w:r w:rsidRPr="00523D8F">
              <w:rPr>
                <w:color w:val="000000"/>
                <w:sz w:val="16"/>
                <w:szCs w:val="16"/>
              </w:rPr>
              <w:t>was</w:t>
            </w:r>
            <w:proofErr w:type="spellEnd"/>
            <w:r w:rsidRPr="00523D8F">
              <w:rPr>
                <w:color w:val="000000"/>
                <w:sz w:val="16"/>
                <w:szCs w:val="16"/>
              </w:rPr>
              <w:t xml:space="preserve"> </w:t>
            </w:r>
            <w:proofErr w:type="spellStart"/>
            <w:r w:rsidRPr="00523D8F">
              <w:rPr>
                <w:color w:val="000000"/>
                <w:sz w:val="16"/>
                <w:szCs w:val="16"/>
              </w:rPr>
              <w:t>found</w:t>
            </w:r>
            <w:proofErr w:type="spellEnd"/>
            <w:r w:rsidRPr="00523D8F">
              <w:rPr>
                <w:color w:val="000000"/>
                <w:sz w:val="16"/>
                <w:szCs w:val="16"/>
              </w:rPr>
              <w:t xml:space="preserve"> </w:t>
            </w:r>
            <w:proofErr w:type="spellStart"/>
            <w:r w:rsidRPr="00523D8F">
              <w:rPr>
                <w:color w:val="000000"/>
                <w:sz w:val="16"/>
                <w:szCs w:val="16"/>
              </w:rPr>
              <w:t>between</w:t>
            </w:r>
            <w:proofErr w:type="spellEnd"/>
            <w:r w:rsidRPr="00523D8F">
              <w:rPr>
                <w:color w:val="000000"/>
                <w:sz w:val="16"/>
                <w:szCs w:val="16"/>
              </w:rPr>
              <w:t xml:space="preserve"> </w:t>
            </w:r>
            <w:proofErr w:type="spellStart"/>
            <w:r w:rsidRPr="00523D8F">
              <w:rPr>
                <w:color w:val="000000"/>
                <w:sz w:val="16"/>
                <w:szCs w:val="16"/>
              </w:rPr>
              <w:t>the</w:t>
            </w:r>
            <w:proofErr w:type="spellEnd"/>
            <w:r w:rsidRPr="00523D8F">
              <w:rPr>
                <w:color w:val="000000"/>
                <w:sz w:val="16"/>
                <w:szCs w:val="16"/>
              </w:rPr>
              <w:t xml:space="preserve"> </w:t>
            </w:r>
            <w:proofErr w:type="spellStart"/>
            <w:r w:rsidRPr="00523D8F">
              <w:rPr>
                <w:color w:val="000000"/>
                <w:sz w:val="16"/>
                <w:szCs w:val="16"/>
              </w:rPr>
              <w:t>participants</w:t>
            </w:r>
            <w:proofErr w:type="spellEnd"/>
            <w:r w:rsidRPr="00523D8F">
              <w:rPr>
                <w:color w:val="000000"/>
                <w:sz w:val="16"/>
                <w:szCs w:val="16"/>
              </w:rPr>
              <w:t xml:space="preserve">' </w:t>
            </w:r>
            <w:proofErr w:type="spellStart"/>
            <w:r w:rsidRPr="00523D8F">
              <w:rPr>
                <w:color w:val="000000"/>
                <w:sz w:val="16"/>
                <w:szCs w:val="16"/>
              </w:rPr>
              <w:t>lifelong</w:t>
            </w:r>
            <w:proofErr w:type="spellEnd"/>
            <w:r w:rsidRPr="00523D8F">
              <w:rPr>
                <w:color w:val="000000"/>
                <w:sz w:val="16"/>
                <w:szCs w:val="16"/>
              </w:rPr>
              <w:t xml:space="preserve"> </w:t>
            </w:r>
            <w:proofErr w:type="spellStart"/>
            <w:r w:rsidRPr="00523D8F">
              <w:rPr>
                <w:color w:val="000000"/>
                <w:sz w:val="16"/>
                <w:szCs w:val="16"/>
              </w:rPr>
              <w:t>learning</w:t>
            </w:r>
            <w:proofErr w:type="spellEnd"/>
            <w:r w:rsidRPr="00523D8F">
              <w:rPr>
                <w:color w:val="000000"/>
                <w:sz w:val="16"/>
                <w:szCs w:val="16"/>
              </w:rPr>
              <w:t xml:space="preserve"> </w:t>
            </w:r>
            <w:proofErr w:type="spellStart"/>
            <w:r w:rsidRPr="00523D8F">
              <w:rPr>
                <w:color w:val="000000"/>
                <w:sz w:val="16"/>
                <w:szCs w:val="16"/>
              </w:rPr>
              <w:t>tendencies</w:t>
            </w:r>
            <w:proofErr w:type="spellEnd"/>
            <w:r w:rsidRPr="00523D8F">
              <w:rPr>
                <w:color w:val="000000"/>
                <w:sz w:val="16"/>
                <w:szCs w:val="16"/>
              </w:rPr>
              <w:t xml:space="preserve"> and </w:t>
            </w:r>
            <w:proofErr w:type="spellStart"/>
            <w:r w:rsidRPr="00523D8F">
              <w:rPr>
                <w:color w:val="000000"/>
                <w:sz w:val="16"/>
                <w:szCs w:val="16"/>
              </w:rPr>
              <w:t>openness</w:t>
            </w:r>
            <w:proofErr w:type="spellEnd"/>
            <w:r w:rsidRPr="00523D8F">
              <w:rPr>
                <w:color w:val="000000"/>
                <w:sz w:val="16"/>
                <w:szCs w:val="16"/>
              </w:rPr>
              <w:t xml:space="preserve"> </w:t>
            </w:r>
            <w:proofErr w:type="spellStart"/>
            <w:r w:rsidRPr="00523D8F">
              <w:rPr>
                <w:color w:val="000000"/>
                <w:sz w:val="16"/>
                <w:szCs w:val="16"/>
              </w:rPr>
              <w:t>to</w:t>
            </w:r>
            <w:proofErr w:type="spellEnd"/>
            <w:r w:rsidRPr="00523D8F">
              <w:rPr>
                <w:color w:val="000000"/>
                <w:sz w:val="16"/>
                <w:szCs w:val="16"/>
              </w:rPr>
              <w:t xml:space="preserve"> </w:t>
            </w:r>
            <w:proofErr w:type="spellStart"/>
            <w:r w:rsidRPr="00523D8F">
              <w:rPr>
                <w:color w:val="000000"/>
                <w:sz w:val="16"/>
                <w:szCs w:val="16"/>
              </w:rPr>
              <w:t>development</w:t>
            </w:r>
            <w:proofErr w:type="spellEnd"/>
            <w:r w:rsidRPr="00523D8F">
              <w:rPr>
                <w:color w:val="000000"/>
                <w:sz w:val="16"/>
                <w:szCs w:val="16"/>
              </w:rPr>
              <w:t xml:space="preserve">, a </w:t>
            </w:r>
            <w:proofErr w:type="spellStart"/>
            <w:r w:rsidRPr="00523D8F">
              <w:rPr>
                <w:color w:val="000000"/>
                <w:sz w:val="16"/>
                <w:szCs w:val="16"/>
              </w:rPr>
              <w:t>low-level</w:t>
            </w:r>
            <w:proofErr w:type="spellEnd"/>
            <w:r w:rsidRPr="00523D8F">
              <w:rPr>
                <w:color w:val="000000"/>
                <w:sz w:val="16"/>
                <w:szCs w:val="16"/>
              </w:rPr>
              <w:t xml:space="preserve"> </w:t>
            </w:r>
            <w:proofErr w:type="spellStart"/>
            <w:r w:rsidRPr="00523D8F">
              <w:rPr>
                <w:color w:val="000000"/>
                <w:sz w:val="16"/>
                <w:szCs w:val="16"/>
              </w:rPr>
              <w:t>positive</w:t>
            </w:r>
            <w:proofErr w:type="spellEnd"/>
            <w:r w:rsidRPr="00523D8F">
              <w:rPr>
                <w:color w:val="000000"/>
                <w:sz w:val="16"/>
                <w:szCs w:val="16"/>
              </w:rPr>
              <w:t xml:space="preserve"> </w:t>
            </w:r>
            <w:proofErr w:type="spellStart"/>
            <w:r w:rsidRPr="00523D8F">
              <w:rPr>
                <w:color w:val="000000"/>
                <w:sz w:val="16"/>
                <w:szCs w:val="16"/>
              </w:rPr>
              <w:t>relationship</w:t>
            </w:r>
            <w:proofErr w:type="spellEnd"/>
            <w:r w:rsidRPr="00523D8F">
              <w:rPr>
                <w:color w:val="000000"/>
                <w:sz w:val="16"/>
                <w:szCs w:val="16"/>
              </w:rPr>
              <w:t xml:space="preserve"> </w:t>
            </w:r>
            <w:proofErr w:type="spellStart"/>
            <w:r w:rsidRPr="00523D8F">
              <w:rPr>
                <w:color w:val="000000"/>
                <w:sz w:val="16"/>
                <w:szCs w:val="16"/>
              </w:rPr>
              <w:t>between</w:t>
            </w:r>
            <w:proofErr w:type="spellEnd"/>
            <w:r w:rsidRPr="00523D8F">
              <w:rPr>
                <w:color w:val="000000"/>
                <w:sz w:val="16"/>
                <w:szCs w:val="16"/>
              </w:rPr>
              <w:t xml:space="preserve"> </w:t>
            </w:r>
            <w:proofErr w:type="spellStart"/>
            <w:r w:rsidRPr="00523D8F">
              <w:rPr>
                <w:color w:val="000000"/>
                <w:sz w:val="16"/>
                <w:szCs w:val="16"/>
              </w:rPr>
              <w:t>conscientiousness</w:t>
            </w:r>
            <w:proofErr w:type="spellEnd"/>
            <w:r w:rsidRPr="00523D8F">
              <w:rPr>
                <w:color w:val="000000"/>
                <w:sz w:val="16"/>
                <w:szCs w:val="16"/>
              </w:rPr>
              <w:t xml:space="preserve">, </w:t>
            </w:r>
            <w:proofErr w:type="spellStart"/>
            <w:r w:rsidRPr="00523D8F">
              <w:rPr>
                <w:color w:val="000000"/>
                <w:sz w:val="16"/>
                <w:szCs w:val="16"/>
              </w:rPr>
              <w:t>adabtability</w:t>
            </w:r>
            <w:proofErr w:type="spellEnd"/>
            <w:r w:rsidRPr="00523D8F">
              <w:rPr>
                <w:color w:val="000000"/>
                <w:sz w:val="16"/>
                <w:szCs w:val="16"/>
              </w:rPr>
              <w:t xml:space="preserve"> and </w:t>
            </w:r>
            <w:proofErr w:type="spellStart"/>
            <w:r w:rsidRPr="00523D8F">
              <w:rPr>
                <w:color w:val="000000"/>
                <w:sz w:val="16"/>
                <w:szCs w:val="16"/>
              </w:rPr>
              <w:t>extraversion</w:t>
            </w:r>
            <w:proofErr w:type="spellEnd"/>
            <w:r w:rsidRPr="00523D8F">
              <w:rPr>
                <w:color w:val="000000"/>
                <w:sz w:val="16"/>
                <w:szCs w:val="16"/>
              </w:rPr>
              <w:t xml:space="preserve">, and a </w:t>
            </w:r>
            <w:proofErr w:type="spellStart"/>
            <w:r w:rsidRPr="00523D8F">
              <w:rPr>
                <w:color w:val="000000"/>
                <w:sz w:val="16"/>
                <w:szCs w:val="16"/>
              </w:rPr>
              <w:t>low-level</w:t>
            </w:r>
            <w:proofErr w:type="spellEnd"/>
            <w:r w:rsidRPr="00523D8F">
              <w:rPr>
                <w:color w:val="000000"/>
                <w:sz w:val="16"/>
                <w:szCs w:val="16"/>
              </w:rPr>
              <w:t xml:space="preserve"> </w:t>
            </w:r>
            <w:proofErr w:type="spellStart"/>
            <w:r w:rsidRPr="00523D8F">
              <w:rPr>
                <w:color w:val="000000"/>
                <w:sz w:val="16"/>
                <w:szCs w:val="16"/>
              </w:rPr>
              <w:t>negative</w:t>
            </w:r>
            <w:proofErr w:type="spellEnd"/>
            <w:r w:rsidRPr="00523D8F">
              <w:rPr>
                <w:color w:val="000000"/>
                <w:sz w:val="16"/>
                <w:szCs w:val="16"/>
              </w:rPr>
              <w:t xml:space="preserve"> </w:t>
            </w:r>
            <w:proofErr w:type="spellStart"/>
            <w:r w:rsidRPr="00523D8F">
              <w:rPr>
                <w:color w:val="000000"/>
                <w:sz w:val="16"/>
                <w:szCs w:val="16"/>
              </w:rPr>
              <w:t>relationship</w:t>
            </w:r>
            <w:proofErr w:type="spellEnd"/>
            <w:r w:rsidRPr="00523D8F">
              <w:rPr>
                <w:color w:val="000000"/>
                <w:sz w:val="16"/>
                <w:szCs w:val="16"/>
              </w:rPr>
              <w:t xml:space="preserve"> </w:t>
            </w:r>
            <w:proofErr w:type="spellStart"/>
            <w:r w:rsidRPr="00523D8F">
              <w:rPr>
                <w:color w:val="000000"/>
                <w:sz w:val="16"/>
                <w:szCs w:val="16"/>
              </w:rPr>
              <w:t>between</w:t>
            </w:r>
            <w:proofErr w:type="spellEnd"/>
            <w:r w:rsidRPr="00523D8F">
              <w:rPr>
                <w:color w:val="000000"/>
                <w:sz w:val="16"/>
                <w:szCs w:val="16"/>
              </w:rPr>
              <w:t xml:space="preserve"> </w:t>
            </w:r>
            <w:proofErr w:type="spellStart"/>
            <w:r w:rsidRPr="00523D8F">
              <w:rPr>
                <w:color w:val="000000"/>
                <w:sz w:val="16"/>
                <w:szCs w:val="16"/>
              </w:rPr>
              <w:t>neuroticism</w:t>
            </w:r>
            <w:proofErr w:type="spellEnd"/>
            <w:r w:rsidRPr="00523D8F">
              <w:rPr>
                <w:color w:val="000000"/>
                <w:sz w:val="16"/>
                <w:szCs w:val="16"/>
              </w:rPr>
              <w:t xml:space="preserve">. </w:t>
            </w:r>
            <w:proofErr w:type="spellStart"/>
            <w:r w:rsidRPr="00523D8F">
              <w:rPr>
                <w:color w:val="000000"/>
                <w:sz w:val="16"/>
                <w:szCs w:val="16"/>
              </w:rPr>
              <w:t>It</w:t>
            </w:r>
            <w:proofErr w:type="spellEnd"/>
            <w:r w:rsidRPr="00523D8F">
              <w:rPr>
                <w:color w:val="000000"/>
                <w:sz w:val="16"/>
                <w:szCs w:val="16"/>
              </w:rPr>
              <w:t xml:space="preserve"> </w:t>
            </w:r>
            <w:proofErr w:type="spellStart"/>
            <w:r w:rsidRPr="00523D8F">
              <w:rPr>
                <w:color w:val="000000"/>
                <w:sz w:val="16"/>
                <w:szCs w:val="16"/>
              </w:rPr>
              <w:t>was</w:t>
            </w:r>
            <w:proofErr w:type="spellEnd"/>
            <w:r w:rsidRPr="00523D8F">
              <w:rPr>
                <w:color w:val="000000"/>
                <w:sz w:val="16"/>
                <w:szCs w:val="16"/>
              </w:rPr>
              <w:t xml:space="preserve"> </w:t>
            </w:r>
            <w:proofErr w:type="spellStart"/>
            <w:r w:rsidRPr="00523D8F">
              <w:rPr>
                <w:color w:val="000000"/>
                <w:sz w:val="16"/>
                <w:szCs w:val="16"/>
              </w:rPr>
              <w:t>concluded</w:t>
            </w:r>
            <w:proofErr w:type="spellEnd"/>
            <w:r w:rsidRPr="00523D8F">
              <w:rPr>
                <w:color w:val="000000"/>
                <w:sz w:val="16"/>
                <w:szCs w:val="16"/>
              </w:rPr>
              <w:t xml:space="preserve"> </w:t>
            </w:r>
            <w:proofErr w:type="spellStart"/>
            <w:r w:rsidRPr="00523D8F">
              <w:rPr>
                <w:color w:val="000000"/>
                <w:sz w:val="16"/>
                <w:szCs w:val="16"/>
              </w:rPr>
              <w:t>that</w:t>
            </w:r>
            <w:proofErr w:type="spellEnd"/>
            <w:r w:rsidRPr="00523D8F">
              <w:rPr>
                <w:color w:val="000000"/>
                <w:sz w:val="16"/>
                <w:szCs w:val="16"/>
              </w:rPr>
              <w:t xml:space="preserve"> </w:t>
            </w:r>
            <w:proofErr w:type="spellStart"/>
            <w:r w:rsidRPr="00523D8F">
              <w:rPr>
                <w:color w:val="000000"/>
                <w:sz w:val="16"/>
                <w:szCs w:val="16"/>
              </w:rPr>
              <w:t>the</w:t>
            </w:r>
            <w:proofErr w:type="spellEnd"/>
            <w:r w:rsidRPr="00523D8F">
              <w:rPr>
                <w:color w:val="000000"/>
                <w:sz w:val="16"/>
                <w:szCs w:val="16"/>
              </w:rPr>
              <w:t xml:space="preserve"> </w:t>
            </w:r>
            <w:proofErr w:type="spellStart"/>
            <w:r w:rsidRPr="00523D8F">
              <w:rPr>
                <w:color w:val="000000"/>
                <w:sz w:val="16"/>
                <w:szCs w:val="16"/>
              </w:rPr>
              <w:t>lifelong</w:t>
            </w:r>
            <w:proofErr w:type="spellEnd"/>
            <w:r w:rsidRPr="00523D8F">
              <w:rPr>
                <w:color w:val="000000"/>
                <w:sz w:val="16"/>
                <w:szCs w:val="16"/>
              </w:rPr>
              <w:t xml:space="preserve"> </w:t>
            </w:r>
            <w:proofErr w:type="spellStart"/>
            <w:r w:rsidRPr="00523D8F">
              <w:rPr>
                <w:color w:val="000000"/>
                <w:sz w:val="16"/>
                <w:szCs w:val="16"/>
              </w:rPr>
              <w:t>learning</w:t>
            </w:r>
            <w:proofErr w:type="spellEnd"/>
            <w:r w:rsidRPr="00523D8F">
              <w:rPr>
                <w:color w:val="000000"/>
                <w:sz w:val="16"/>
                <w:szCs w:val="16"/>
              </w:rPr>
              <w:t xml:space="preserve"> </w:t>
            </w:r>
            <w:proofErr w:type="spellStart"/>
            <w:r w:rsidRPr="00523D8F">
              <w:rPr>
                <w:color w:val="000000"/>
                <w:sz w:val="16"/>
                <w:szCs w:val="16"/>
              </w:rPr>
              <w:t>tendencies</w:t>
            </w:r>
            <w:proofErr w:type="spellEnd"/>
            <w:r w:rsidRPr="00523D8F">
              <w:rPr>
                <w:color w:val="000000"/>
                <w:sz w:val="16"/>
                <w:szCs w:val="16"/>
              </w:rPr>
              <w:t xml:space="preserve"> of </w:t>
            </w:r>
            <w:proofErr w:type="spellStart"/>
            <w:r w:rsidRPr="00523D8F">
              <w:rPr>
                <w:color w:val="000000"/>
                <w:sz w:val="16"/>
                <w:szCs w:val="16"/>
              </w:rPr>
              <w:t>the</w:t>
            </w:r>
            <w:proofErr w:type="spellEnd"/>
            <w:r w:rsidRPr="00523D8F">
              <w:rPr>
                <w:color w:val="000000"/>
                <w:sz w:val="16"/>
                <w:szCs w:val="16"/>
              </w:rPr>
              <w:t xml:space="preserve"> </w:t>
            </w:r>
            <w:proofErr w:type="spellStart"/>
            <w:r w:rsidRPr="00523D8F">
              <w:rPr>
                <w:color w:val="000000"/>
                <w:sz w:val="16"/>
                <w:szCs w:val="16"/>
              </w:rPr>
              <w:t>students</w:t>
            </w:r>
            <w:proofErr w:type="spellEnd"/>
            <w:r w:rsidRPr="00523D8F">
              <w:rPr>
                <w:color w:val="000000"/>
                <w:sz w:val="16"/>
                <w:szCs w:val="16"/>
              </w:rPr>
              <w:t xml:space="preserve"> </w:t>
            </w:r>
            <w:proofErr w:type="spellStart"/>
            <w:r w:rsidRPr="00523D8F">
              <w:rPr>
                <w:color w:val="000000"/>
                <w:sz w:val="16"/>
                <w:szCs w:val="16"/>
              </w:rPr>
              <w:t>participating</w:t>
            </w:r>
            <w:proofErr w:type="spellEnd"/>
            <w:r w:rsidRPr="00523D8F">
              <w:rPr>
                <w:color w:val="000000"/>
                <w:sz w:val="16"/>
                <w:szCs w:val="16"/>
              </w:rPr>
              <w:t xml:space="preserve"> in </w:t>
            </w:r>
            <w:proofErr w:type="spellStart"/>
            <w:r w:rsidRPr="00523D8F">
              <w:rPr>
                <w:color w:val="000000"/>
                <w:sz w:val="16"/>
                <w:szCs w:val="16"/>
              </w:rPr>
              <w:t>our</w:t>
            </w:r>
            <w:proofErr w:type="spellEnd"/>
            <w:r w:rsidRPr="00523D8F">
              <w:rPr>
                <w:color w:val="000000"/>
                <w:sz w:val="16"/>
                <w:szCs w:val="16"/>
              </w:rPr>
              <w:t xml:space="preserve"> </w:t>
            </w:r>
            <w:proofErr w:type="spellStart"/>
            <w:r w:rsidRPr="00523D8F">
              <w:rPr>
                <w:color w:val="000000"/>
                <w:sz w:val="16"/>
                <w:szCs w:val="16"/>
              </w:rPr>
              <w:t>study</w:t>
            </w:r>
            <w:proofErr w:type="spellEnd"/>
            <w:r w:rsidRPr="00523D8F">
              <w:rPr>
                <w:color w:val="000000"/>
                <w:sz w:val="16"/>
                <w:szCs w:val="16"/>
              </w:rPr>
              <w:t xml:space="preserve"> </w:t>
            </w:r>
            <w:proofErr w:type="spellStart"/>
            <w:r w:rsidRPr="00523D8F">
              <w:rPr>
                <w:color w:val="000000"/>
                <w:sz w:val="16"/>
                <w:szCs w:val="16"/>
              </w:rPr>
              <w:t>were</w:t>
            </w:r>
            <w:proofErr w:type="spellEnd"/>
            <w:r w:rsidRPr="00523D8F">
              <w:rPr>
                <w:color w:val="000000"/>
                <w:sz w:val="16"/>
                <w:szCs w:val="16"/>
              </w:rPr>
              <w:t xml:space="preserve"> at a </w:t>
            </w:r>
            <w:proofErr w:type="spellStart"/>
            <w:r w:rsidRPr="00523D8F">
              <w:rPr>
                <w:color w:val="000000"/>
                <w:sz w:val="16"/>
                <w:szCs w:val="16"/>
              </w:rPr>
              <w:t>positive</w:t>
            </w:r>
            <w:proofErr w:type="spellEnd"/>
            <w:r w:rsidRPr="00523D8F">
              <w:rPr>
                <w:color w:val="000000"/>
                <w:sz w:val="16"/>
                <w:szCs w:val="16"/>
              </w:rPr>
              <w:t xml:space="preserve"> </w:t>
            </w:r>
            <w:proofErr w:type="spellStart"/>
            <w:r w:rsidRPr="00523D8F">
              <w:rPr>
                <w:color w:val="000000"/>
                <w:sz w:val="16"/>
                <w:szCs w:val="16"/>
              </w:rPr>
              <w:t>level</w:t>
            </w:r>
            <w:proofErr w:type="spellEnd"/>
            <w:r w:rsidRPr="00523D8F">
              <w:rPr>
                <w:color w:val="000000"/>
                <w:sz w:val="16"/>
                <w:szCs w:val="16"/>
              </w:rPr>
              <w:t xml:space="preserve">, </w:t>
            </w:r>
            <w:proofErr w:type="spellStart"/>
            <w:r w:rsidRPr="00523D8F">
              <w:rPr>
                <w:color w:val="000000"/>
                <w:sz w:val="16"/>
                <w:szCs w:val="16"/>
              </w:rPr>
              <w:t>positive</w:t>
            </w:r>
            <w:proofErr w:type="spellEnd"/>
            <w:r w:rsidRPr="00523D8F">
              <w:rPr>
                <w:color w:val="000000"/>
                <w:sz w:val="16"/>
                <w:szCs w:val="16"/>
              </w:rPr>
              <w:t xml:space="preserve"> </w:t>
            </w:r>
            <w:proofErr w:type="spellStart"/>
            <w:r w:rsidRPr="00523D8F">
              <w:rPr>
                <w:color w:val="000000"/>
                <w:sz w:val="16"/>
                <w:szCs w:val="16"/>
              </w:rPr>
              <w:t>personality</w:t>
            </w:r>
            <w:proofErr w:type="spellEnd"/>
            <w:r w:rsidRPr="00523D8F">
              <w:rPr>
                <w:color w:val="000000"/>
                <w:sz w:val="16"/>
                <w:szCs w:val="16"/>
              </w:rPr>
              <w:t xml:space="preserve"> </w:t>
            </w:r>
            <w:proofErr w:type="spellStart"/>
            <w:r w:rsidRPr="00523D8F">
              <w:rPr>
                <w:color w:val="000000"/>
                <w:sz w:val="16"/>
                <w:szCs w:val="16"/>
              </w:rPr>
              <w:t>traits</w:t>
            </w:r>
            <w:proofErr w:type="spellEnd"/>
            <w:r w:rsidRPr="00523D8F">
              <w:rPr>
                <w:color w:val="000000"/>
                <w:sz w:val="16"/>
                <w:szCs w:val="16"/>
              </w:rPr>
              <w:t xml:space="preserve"> </w:t>
            </w:r>
            <w:proofErr w:type="spellStart"/>
            <w:r w:rsidRPr="00523D8F">
              <w:rPr>
                <w:color w:val="000000"/>
                <w:sz w:val="16"/>
                <w:szCs w:val="16"/>
              </w:rPr>
              <w:t>increased</w:t>
            </w:r>
            <w:proofErr w:type="spellEnd"/>
            <w:r w:rsidRPr="00523D8F">
              <w:rPr>
                <w:color w:val="000000"/>
                <w:sz w:val="16"/>
                <w:szCs w:val="16"/>
              </w:rPr>
              <w:t xml:space="preserve"> </w:t>
            </w:r>
            <w:proofErr w:type="spellStart"/>
            <w:r w:rsidRPr="00523D8F">
              <w:rPr>
                <w:color w:val="000000"/>
                <w:sz w:val="16"/>
                <w:szCs w:val="16"/>
              </w:rPr>
              <w:t>the</w:t>
            </w:r>
            <w:proofErr w:type="spellEnd"/>
            <w:r w:rsidRPr="00523D8F">
              <w:rPr>
                <w:color w:val="000000"/>
                <w:sz w:val="16"/>
                <w:szCs w:val="16"/>
              </w:rPr>
              <w:t xml:space="preserve"> </w:t>
            </w:r>
            <w:proofErr w:type="spellStart"/>
            <w:r w:rsidRPr="00523D8F">
              <w:rPr>
                <w:color w:val="000000"/>
                <w:sz w:val="16"/>
                <w:szCs w:val="16"/>
              </w:rPr>
              <w:t>lifelong</w:t>
            </w:r>
            <w:proofErr w:type="spellEnd"/>
            <w:r w:rsidRPr="00523D8F">
              <w:rPr>
                <w:color w:val="000000"/>
                <w:sz w:val="16"/>
                <w:szCs w:val="16"/>
              </w:rPr>
              <w:t xml:space="preserve"> </w:t>
            </w:r>
            <w:proofErr w:type="spellStart"/>
            <w:r w:rsidRPr="00523D8F">
              <w:rPr>
                <w:color w:val="000000"/>
                <w:sz w:val="16"/>
                <w:szCs w:val="16"/>
              </w:rPr>
              <w:t>learning</w:t>
            </w:r>
            <w:proofErr w:type="spellEnd"/>
            <w:r w:rsidRPr="00523D8F">
              <w:rPr>
                <w:color w:val="000000"/>
                <w:sz w:val="16"/>
                <w:szCs w:val="16"/>
              </w:rPr>
              <w:t xml:space="preserve"> </w:t>
            </w:r>
            <w:proofErr w:type="spellStart"/>
            <w:r w:rsidRPr="00523D8F">
              <w:rPr>
                <w:color w:val="000000"/>
                <w:sz w:val="16"/>
                <w:szCs w:val="16"/>
              </w:rPr>
              <w:t>tendency</w:t>
            </w:r>
            <w:proofErr w:type="spellEnd"/>
            <w:r w:rsidRPr="00523D8F">
              <w:rPr>
                <w:color w:val="000000"/>
                <w:sz w:val="16"/>
                <w:szCs w:val="16"/>
              </w:rPr>
              <w:t xml:space="preserve">, </w:t>
            </w:r>
            <w:proofErr w:type="spellStart"/>
            <w:r w:rsidRPr="00523D8F">
              <w:rPr>
                <w:color w:val="000000"/>
                <w:sz w:val="16"/>
                <w:szCs w:val="16"/>
              </w:rPr>
              <w:t>while</w:t>
            </w:r>
            <w:proofErr w:type="spellEnd"/>
            <w:r w:rsidRPr="00523D8F">
              <w:rPr>
                <w:color w:val="000000"/>
                <w:sz w:val="16"/>
                <w:szCs w:val="16"/>
              </w:rPr>
              <w:t xml:space="preserve"> </w:t>
            </w:r>
            <w:proofErr w:type="spellStart"/>
            <w:r w:rsidRPr="00523D8F">
              <w:rPr>
                <w:color w:val="000000"/>
                <w:sz w:val="16"/>
                <w:szCs w:val="16"/>
              </w:rPr>
              <w:t>negative</w:t>
            </w:r>
            <w:proofErr w:type="spellEnd"/>
            <w:r w:rsidRPr="00523D8F">
              <w:rPr>
                <w:color w:val="000000"/>
                <w:sz w:val="16"/>
                <w:szCs w:val="16"/>
              </w:rPr>
              <w:t xml:space="preserve"> </w:t>
            </w:r>
            <w:proofErr w:type="spellStart"/>
            <w:r w:rsidRPr="00523D8F">
              <w:rPr>
                <w:color w:val="000000"/>
                <w:sz w:val="16"/>
                <w:szCs w:val="16"/>
              </w:rPr>
              <w:t>personality</w:t>
            </w:r>
            <w:proofErr w:type="spellEnd"/>
            <w:r w:rsidRPr="00523D8F">
              <w:rPr>
                <w:color w:val="000000"/>
                <w:sz w:val="16"/>
                <w:szCs w:val="16"/>
              </w:rPr>
              <w:t xml:space="preserve"> </w:t>
            </w:r>
            <w:proofErr w:type="spellStart"/>
            <w:r w:rsidRPr="00523D8F">
              <w:rPr>
                <w:color w:val="000000"/>
                <w:sz w:val="16"/>
                <w:szCs w:val="16"/>
              </w:rPr>
              <w:t>traits</w:t>
            </w:r>
            <w:proofErr w:type="spellEnd"/>
            <w:r w:rsidRPr="00523D8F">
              <w:rPr>
                <w:color w:val="000000"/>
                <w:sz w:val="16"/>
                <w:szCs w:val="16"/>
              </w:rPr>
              <w:t xml:space="preserve"> </w:t>
            </w:r>
            <w:proofErr w:type="spellStart"/>
            <w:r w:rsidRPr="00523D8F">
              <w:rPr>
                <w:color w:val="000000"/>
                <w:sz w:val="16"/>
                <w:szCs w:val="16"/>
              </w:rPr>
              <w:t>decreased</w:t>
            </w:r>
            <w:proofErr w:type="spellEnd"/>
            <w:r w:rsidRPr="00523D8F">
              <w:rPr>
                <w:color w:val="000000"/>
                <w:sz w:val="16"/>
                <w:szCs w:val="16"/>
              </w:rPr>
              <w:t xml:space="preserve">, </w:t>
            </w:r>
            <w:proofErr w:type="spellStart"/>
            <w:r w:rsidRPr="00523D8F">
              <w:rPr>
                <w:color w:val="000000"/>
                <w:sz w:val="16"/>
                <w:szCs w:val="16"/>
              </w:rPr>
              <w:t>the</w:t>
            </w:r>
            <w:proofErr w:type="spellEnd"/>
            <w:r w:rsidRPr="00523D8F">
              <w:rPr>
                <w:color w:val="000000"/>
                <w:sz w:val="16"/>
                <w:szCs w:val="16"/>
              </w:rPr>
              <w:t xml:space="preserve"> </w:t>
            </w:r>
            <w:proofErr w:type="spellStart"/>
            <w:r w:rsidRPr="00523D8F">
              <w:rPr>
                <w:color w:val="000000"/>
                <w:sz w:val="16"/>
                <w:szCs w:val="16"/>
              </w:rPr>
              <w:t>students</w:t>
            </w:r>
            <w:proofErr w:type="spellEnd"/>
            <w:r w:rsidRPr="00523D8F">
              <w:rPr>
                <w:color w:val="000000"/>
                <w:sz w:val="16"/>
                <w:szCs w:val="16"/>
              </w:rPr>
              <w:t xml:space="preserve"> </w:t>
            </w:r>
            <w:proofErr w:type="spellStart"/>
            <w:r w:rsidRPr="00523D8F">
              <w:rPr>
                <w:color w:val="000000"/>
                <w:sz w:val="16"/>
                <w:szCs w:val="16"/>
              </w:rPr>
              <w:t>with</w:t>
            </w:r>
            <w:proofErr w:type="spellEnd"/>
            <w:r w:rsidRPr="00523D8F">
              <w:rPr>
                <w:color w:val="000000"/>
                <w:sz w:val="16"/>
                <w:szCs w:val="16"/>
              </w:rPr>
              <w:t xml:space="preserve"> </w:t>
            </w:r>
            <w:proofErr w:type="spellStart"/>
            <w:r w:rsidRPr="00523D8F">
              <w:rPr>
                <w:color w:val="000000"/>
                <w:sz w:val="16"/>
                <w:szCs w:val="16"/>
              </w:rPr>
              <w:t>high</w:t>
            </w:r>
            <w:proofErr w:type="spellEnd"/>
            <w:r w:rsidRPr="00523D8F">
              <w:rPr>
                <w:color w:val="000000"/>
                <w:sz w:val="16"/>
                <w:szCs w:val="16"/>
              </w:rPr>
              <w:t xml:space="preserve"> </w:t>
            </w:r>
            <w:proofErr w:type="spellStart"/>
            <w:r w:rsidRPr="00523D8F">
              <w:rPr>
                <w:color w:val="000000"/>
                <w:sz w:val="16"/>
                <w:szCs w:val="16"/>
              </w:rPr>
              <w:t>academic</w:t>
            </w:r>
            <w:proofErr w:type="spellEnd"/>
            <w:r w:rsidRPr="00523D8F">
              <w:rPr>
                <w:color w:val="000000"/>
                <w:sz w:val="16"/>
                <w:szCs w:val="16"/>
              </w:rPr>
              <w:t xml:space="preserve"> </w:t>
            </w:r>
            <w:proofErr w:type="spellStart"/>
            <w:r w:rsidRPr="00523D8F">
              <w:rPr>
                <w:color w:val="000000"/>
                <w:sz w:val="16"/>
                <w:szCs w:val="16"/>
              </w:rPr>
              <w:t>success</w:t>
            </w:r>
            <w:proofErr w:type="spellEnd"/>
            <w:r w:rsidRPr="00523D8F">
              <w:rPr>
                <w:color w:val="000000"/>
                <w:sz w:val="16"/>
                <w:szCs w:val="16"/>
              </w:rPr>
              <w:t xml:space="preserve"> had </w:t>
            </w:r>
            <w:proofErr w:type="spellStart"/>
            <w:r w:rsidRPr="00523D8F">
              <w:rPr>
                <w:color w:val="000000"/>
                <w:sz w:val="16"/>
                <w:szCs w:val="16"/>
              </w:rPr>
              <w:t>higher</w:t>
            </w:r>
            <w:proofErr w:type="spellEnd"/>
            <w:r w:rsidRPr="00523D8F">
              <w:rPr>
                <w:color w:val="000000"/>
                <w:sz w:val="16"/>
                <w:szCs w:val="16"/>
              </w:rPr>
              <w:t xml:space="preserve"> LLL </w:t>
            </w:r>
            <w:proofErr w:type="spellStart"/>
            <w:r w:rsidRPr="00523D8F">
              <w:rPr>
                <w:color w:val="000000"/>
                <w:sz w:val="16"/>
                <w:szCs w:val="16"/>
              </w:rPr>
              <w:t>tendencies</w:t>
            </w:r>
            <w:proofErr w:type="spellEnd"/>
            <w:r w:rsidRPr="00523D8F">
              <w:rPr>
                <w:color w:val="000000"/>
                <w:sz w:val="16"/>
                <w:szCs w:val="16"/>
              </w:rPr>
              <w:t xml:space="preserve">. </w:t>
            </w:r>
          </w:p>
          <w:p w14:paraId="2014FFEC" w14:textId="0E0C92F2" w:rsidR="0074048A" w:rsidRPr="00A138CB" w:rsidRDefault="0074048A" w:rsidP="00F12D9A">
            <w:pPr>
              <w:spacing w:before="25" w:after="60" w:line="283" w:lineRule="auto"/>
              <w:jc w:val="both"/>
              <w:rPr>
                <w:sz w:val="16"/>
                <w:szCs w:val="16"/>
                <w:rtl/>
                <w:lang w:bidi="ar-SA"/>
              </w:rPr>
            </w:pPr>
          </w:p>
        </w:tc>
      </w:tr>
      <w:tr w:rsidR="0078281D" w14:paraId="4C26639E" w14:textId="77777777" w:rsidTr="002314DB">
        <w:trPr>
          <w:trHeight w:val="1350"/>
        </w:trPr>
        <w:tc>
          <w:tcPr>
            <w:tcW w:w="2835" w:type="dxa"/>
            <w:tcBorders>
              <w:left w:val="nil"/>
              <w:right w:val="nil"/>
            </w:tcBorders>
          </w:tcPr>
          <w:p w14:paraId="128ACDDE" w14:textId="77777777" w:rsidR="0078281D" w:rsidRDefault="0078281D" w:rsidP="00F12D9A">
            <w:pPr>
              <w:spacing w:before="120" w:after="120" w:line="298" w:lineRule="auto"/>
              <w:ind w:left="312" w:right="374"/>
              <w:jc w:val="both"/>
              <w:rPr>
                <w:w w:val="110"/>
                <w:sz w:val="14"/>
                <w:szCs w:val="14"/>
              </w:rPr>
            </w:pPr>
            <w:r>
              <w:rPr>
                <w:b/>
                <w:bCs/>
                <w:i/>
                <w:w w:val="110"/>
                <w:sz w:val="14"/>
                <w:szCs w:val="14"/>
              </w:rPr>
              <w:t>Anahtar kelimeler</w:t>
            </w:r>
            <w:r w:rsidRPr="00CE6790">
              <w:rPr>
                <w:b/>
                <w:bCs/>
                <w:i/>
                <w:w w:val="110"/>
                <w:sz w:val="14"/>
                <w:szCs w:val="14"/>
              </w:rPr>
              <w:t>:</w:t>
            </w:r>
          </w:p>
          <w:p w14:paraId="64ECF3BF" w14:textId="77777777" w:rsidR="00523D8F" w:rsidRDefault="00523D8F" w:rsidP="00523D8F">
            <w:pPr>
              <w:spacing w:before="40" w:after="40" w:line="298" w:lineRule="auto"/>
              <w:ind w:left="312" w:right="374"/>
              <w:jc w:val="both"/>
              <w:rPr>
                <w:bCs/>
                <w:color w:val="000000"/>
                <w:sz w:val="14"/>
                <w:szCs w:val="14"/>
              </w:rPr>
            </w:pPr>
            <w:r w:rsidRPr="004809F4">
              <w:rPr>
                <w:bCs/>
                <w:color w:val="000000"/>
                <w:sz w:val="14"/>
                <w:szCs w:val="14"/>
              </w:rPr>
              <w:t>Genç yetişkin</w:t>
            </w:r>
          </w:p>
          <w:p w14:paraId="5B0C6067" w14:textId="77777777" w:rsidR="00523D8F" w:rsidRDefault="00523D8F" w:rsidP="00523D8F">
            <w:pPr>
              <w:spacing w:before="40" w:after="40" w:line="298" w:lineRule="auto"/>
              <w:ind w:left="312" w:right="374"/>
              <w:jc w:val="both"/>
              <w:rPr>
                <w:bCs/>
                <w:color w:val="000000"/>
                <w:sz w:val="14"/>
                <w:szCs w:val="14"/>
              </w:rPr>
            </w:pPr>
            <w:r>
              <w:rPr>
                <w:bCs/>
                <w:color w:val="000000"/>
                <w:sz w:val="14"/>
                <w:szCs w:val="14"/>
              </w:rPr>
              <w:t>K</w:t>
            </w:r>
            <w:r w:rsidRPr="004809F4">
              <w:rPr>
                <w:bCs/>
                <w:color w:val="000000"/>
                <w:sz w:val="14"/>
                <w:szCs w:val="14"/>
              </w:rPr>
              <w:t>işilik özellikleri</w:t>
            </w:r>
          </w:p>
          <w:p w14:paraId="48DB6AED" w14:textId="77777777" w:rsidR="00523D8F" w:rsidRDefault="00523D8F" w:rsidP="00523D8F">
            <w:pPr>
              <w:spacing w:before="40" w:after="40" w:line="298" w:lineRule="auto"/>
              <w:ind w:left="312" w:right="374"/>
              <w:jc w:val="both"/>
              <w:rPr>
                <w:bCs/>
                <w:color w:val="000000"/>
                <w:sz w:val="14"/>
                <w:szCs w:val="14"/>
              </w:rPr>
            </w:pPr>
            <w:r>
              <w:rPr>
                <w:bCs/>
                <w:color w:val="000000"/>
                <w:sz w:val="14"/>
                <w:szCs w:val="14"/>
              </w:rPr>
              <w:t>Ü</w:t>
            </w:r>
            <w:r w:rsidRPr="004809F4">
              <w:rPr>
                <w:bCs/>
                <w:color w:val="000000"/>
                <w:sz w:val="14"/>
                <w:szCs w:val="14"/>
              </w:rPr>
              <w:t>niversite öğrencileri</w:t>
            </w:r>
          </w:p>
          <w:p w14:paraId="02C6D0E7" w14:textId="7409E9F9" w:rsidR="00523D8F" w:rsidRDefault="00523D8F" w:rsidP="00523D8F">
            <w:pPr>
              <w:spacing w:before="40" w:after="40" w:line="298" w:lineRule="auto"/>
              <w:ind w:left="312" w:right="374"/>
              <w:jc w:val="both"/>
              <w:rPr>
                <w:w w:val="110"/>
                <w:sz w:val="14"/>
                <w:szCs w:val="14"/>
              </w:rPr>
            </w:pPr>
            <w:r>
              <w:rPr>
                <w:bCs/>
                <w:color w:val="000000"/>
                <w:sz w:val="14"/>
                <w:szCs w:val="14"/>
              </w:rPr>
              <w:t>Y</w:t>
            </w:r>
            <w:r w:rsidRPr="004809F4">
              <w:rPr>
                <w:bCs/>
                <w:color w:val="000000"/>
                <w:sz w:val="14"/>
                <w:szCs w:val="14"/>
              </w:rPr>
              <w:t>aşam boyu öğrenme</w:t>
            </w:r>
          </w:p>
          <w:p w14:paraId="39F150F2" w14:textId="77358715" w:rsidR="007F413C" w:rsidRDefault="007F413C" w:rsidP="00F12D9A">
            <w:pPr>
              <w:spacing w:before="120" w:after="120" w:line="298" w:lineRule="auto"/>
              <w:ind w:left="312" w:right="374"/>
              <w:jc w:val="both"/>
              <w:rPr>
                <w:b/>
                <w:i/>
                <w:w w:val="110"/>
                <w:sz w:val="14"/>
                <w:szCs w:val="14"/>
              </w:rPr>
            </w:pPr>
            <w:proofErr w:type="spellStart"/>
            <w:r w:rsidRPr="007F413C">
              <w:rPr>
                <w:b/>
                <w:i/>
                <w:w w:val="110"/>
                <w:sz w:val="14"/>
                <w:szCs w:val="14"/>
              </w:rPr>
              <w:t>Key</w:t>
            </w:r>
            <w:r w:rsidR="00955679">
              <w:rPr>
                <w:b/>
                <w:i/>
                <w:w w:val="110"/>
                <w:sz w:val="14"/>
                <w:szCs w:val="14"/>
              </w:rPr>
              <w:t>w</w:t>
            </w:r>
            <w:r w:rsidRPr="007F413C">
              <w:rPr>
                <w:b/>
                <w:i/>
                <w:w w:val="110"/>
                <w:sz w:val="14"/>
                <w:szCs w:val="14"/>
              </w:rPr>
              <w:t>ords</w:t>
            </w:r>
            <w:proofErr w:type="spellEnd"/>
            <w:r w:rsidR="00813D78">
              <w:rPr>
                <w:b/>
                <w:i/>
                <w:w w:val="110"/>
                <w:sz w:val="14"/>
                <w:szCs w:val="14"/>
              </w:rPr>
              <w:t>:</w:t>
            </w:r>
          </w:p>
          <w:p w14:paraId="4A64A23C" w14:textId="77777777" w:rsidR="00523D8F" w:rsidRDefault="00523D8F" w:rsidP="00523D8F">
            <w:pPr>
              <w:spacing w:before="40" w:after="40" w:line="298" w:lineRule="auto"/>
              <w:ind w:left="312" w:right="374"/>
              <w:jc w:val="both"/>
              <w:rPr>
                <w:color w:val="000000"/>
                <w:sz w:val="14"/>
                <w:szCs w:val="14"/>
              </w:rPr>
            </w:pPr>
            <w:proofErr w:type="spellStart"/>
            <w:r w:rsidRPr="004809F4">
              <w:rPr>
                <w:color w:val="000000"/>
                <w:sz w:val="14"/>
                <w:szCs w:val="14"/>
              </w:rPr>
              <w:t>Lifelong</w:t>
            </w:r>
            <w:proofErr w:type="spellEnd"/>
            <w:r w:rsidRPr="004809F4">
              <w:rPr>
                <w:color w:val="000000"/>
                <w:sz w:val="14"/>
                <w:szCs w:val="14"/>
              </w:rPr>
              <w:t xml:space="preserve"> </w:t>
            </w:r>
            <w:proofErr w:type="spellStart"/>
            <w:r w:rsidRPr="004809F4">
              <w:rPr>
                <w:color w:val="000000"/>
                <w:sz w:val="14"/>
                <w:szCs w:val="14"/>
              </w:rPr>
              <w:t>learning</w:t>
            </w:r>
            <w:proofErr w:type="spellEnd"/>
          </w:p>
          <w:p w14:paraId="483B2FCF" w14:textId="77777777" w:rsidR="00523D8F" w:rsidRDefault="00523D8F" w:rsidP="00523D8F">
            <w:pPr>
              <w:spacing w:before="40" w:after="40" w:line="298" w:lineRule="auto"/>
              <w:ind w:left="312" w:right="374"/>
              <w:jc w:val="both"/>
              <w:rPr>
                <w:color w:val="000000"/>
                <w:sz w:val="14"/>
                <w:szCs w:val="14"/>
              </w:rPr>
            </w:pPr>
            <w:proofErr w:type="spellStart"/>
            <w:r>
              <w:rPr>
                <w:color w:val="000000"/>
                <w:sz w:val="14"/>
                <w:szCs w:val="14"/>
              </w:rPr>
              <w:t>P</w:t>
            </w:r>
            <w:r w:rsidRPr="004809F4">
              <w:rPr>
                <w:color w:val="000000"/>
                <w:sz w:val="14"/>
                <w:szCs w:val="14"/>
              </w:rPr>
              <w:t>ersonality</w:t>
            </w:r>
            <w:proofErr w:type="spellEnd"/>
            <w:r w:rsidRPr="004809F4">
              <w:rPr>
                <w:color w:val="000000"/>
                <w:sz w:val="14"/>
                <w:szCs w:val="14"/>
              </w:rPr>
              <w:t xml:space="preserve"> </w:t>
            </w:r>
            <w:proofErr w:type="spellStart"/>
            <w:r w:rsidRPr="004809F4">
              <w:rPr>
                <w:color w:val="000000"/>
                <w:sz w:val="14"/>
                <w:szCs w:val="14"/>
              </w:rPr>
              <w:t>characteristics</w:t>
            </w:r>
            <w:proofErr w:type="spellEnd"/>
          </w:p>
          <w:p w14:paraId="4EE3C1E6" w14:textId="77777777" w:rsidR="00523D8F" w:rsidRDefault="00523D8F" w:rsidP="00523D8F">
            <w:pPr>
              <w:spacing w:before="40" w:after="40" w:line="298" w:lineRule="auto"/>
              <w:ind w:left="312" w:right="374"/>
              <w:jc w:val="both"/>
              <w:rPr>
                <w:color w:val="000000"/>
                <w:sz w:val="14"/>
                <w:szCs w:val="14"/>
              </w:rPr>
            </w:pPr>
            <w:proofErr w:type="spellStart"/>
            <w:r>
              <w:rPr>
                <w:color w:val="000000"/>
                <w:sz w:val="14"/>
                <w:szCs w:val="14"/>
              </w:rPr>
              <w:t>U</w:t>
            </w:r>
            <w:r w:rsidRPr="004809F4">
              <w:rPr>
                <w:color w:val="000000"/>
                <w:sz w:val="14"/>
                <w:szCs w:val="14"/>
              </w:rPr>
              <w:t>niversity</w:t>
            </w:r>
            <w:proofErr w:type="spellEnd"/>
            <w:r w:rsidRPr="004809F4">
              <w:rPr>
                <w:color w:val="000000"/>
                <w:sz w:val="14"/>
                <w:szCs w:val="14"/>
              </w:rPr>
              <w:t xml:space="preserve"> </w:t>
            </w:r>
            <w:proofErr w:type="spellStart"/>
            <w:r w:rsidRPr="004809F4">
              <w:rPr>
                <w:color w:val="000000"/>
                <w:sz w:val="14"/>
                <w:szCs w:val="14"/>
              </w:rPr>
              <w:t>students</w:t>
            </w:r>
            <w:proofErr w:type="spellEnd"/>
          </w:p>
          <w:p w14:paraId="2BEEFC9A" w14:textId="14D8DEEE" w:rsidR="00523D8F" w:rsidRPr="00523D8F" w:rsidRDefault="00523D8F" w:rsidP="00523D8F">
            <w:pPr>
              <w:spacing w:before="40" w:after="40" w:line="298" w:lineRule="auto"/>
              <w:ind w:left="312" w:right="374"/>
              <w:jc w:val="both"/>
              <w:rPr>
                <w:w w:val="110"/>
                <w:sz w:val="14"/>
                <w:szCs w:val="14"/>
              </w:rPr>
            </w:pPr>
            <w:r>
              <w:rPr>
                <w:color w:val="000000"/>
                <w:sz w:val="14"/>
                <w:szCs w:val="14"/>
              </w:rPr>
              <w:t>Y</w:t>
            </w:r>
            <w:r w:rsidRPr="004809F4">
              <w:rPr>
                <w:color w:val="000000"/>
                <w:sz w:val="14"/>
                <w:szCs w:val="14"/>
              </w:rPr>
              <w:t xml:space="preserve">oung </w:t>
            </w:r>
            <w:proofErr w:type="spellStart"/>
            <w:r w:rsidRPr="004809F4">
              <w:rPr>
                <w:color w:val="000000"/>
                <w:sz w:val="14"/>
                <w:szCs w:val="14"/>
              </w:rPr>
              <w:t>adult</w:t>
            </w:r>
            <w:proofErr w:type="spellEnd"/>
            <w:r w:rsidRPr="004809F4">
              <w:rPr>
                <w:color w:val="000000"/>
                <w:sz w:val="14"/>
                <w:szCs w:val="14"/>
              </w:rPr>
              <w:t>.</w:t>
            </w:r>
          </w:p>
          <w:p w14:paraId="6B72EE8C" w14:textId="77777777" w:rsidR="00523D8F" w:rsidRDefault="00523D8F" w:rsidP="00F12D9A">
            <w:pPr>
              <w:spacing w:before="40" w:after="40" w:line="298" w:lineRule="auto"/>
              <w:ind w:left="312" w:right="374"/>
              <w:jc w:val="both"/>
              <w:rPr>
                <w:w w:val="110"/>
                <w:sz w:val="14"/>
                <w:szCs w:val="14"/>
              </w:rPr>
            </w:pPr>
          </w:p>
          <w:p w14:paraId="3903D14E" w14:textId="77777777" w:rsidR="004E5CAD" w:rsidRDefault="004E5CAD" w:rsidP="00F12D9A">
            <w:pPr>
              <w:spacing w:before="40" w:after="40" w:line="298" w:lineRule="auto"/>
              <w:ind w:left="312" w:right="374"/>
              <w:jc w:val="both"/>
              <w:rPr>
                <w:w w:val="110"/>
                <w:sz w:val="14"/>
                <w:szCs w:val="14"/>
              </w:rPr>
            </w:pPr>
          </w:p>
          <w:p w14:paraId="38F7914B" w14:textId="2C8FEFF9" w:rsidR="00C9172D" w:rsidRDefault="00C9172D" w:rsidP="00F12D9A">
            <w:pPr>
              <w:spacing w:before="40" w:after="40" w:line="298" w:lineRule="auto"/>
              <w:ind w:left="312" w:right="374"/>
              <w:jc w:val="both"/>
              <w:rPr>
                <w:w w:val="110"/>
                <w:sz w:val="14"/>
                <w:szCs w:val="14"/>
              </w:rPr>
            </w:pPr>
          </w:p>
          <w:p w14:paraId="29768838" w14:textId="77777777" w:rsidR="0078281D" w:rsidRPr="00FA5098" w:rsidRDefault="0078281D" w:rsidP="00F12D9A">
            <w:pPr>
              <w:spacing w:before="40" w:after="40" w:line="298" w:lineRule="auto"/>
              <w:ind w:left="312" w:right="374"/>
              <w:jc w:val="both"/>
              <w:rPr>
                <w:w w:val="110"/>
                <w:sz w:val="14"/>
                <w:szCs w:val="14"/>
              </w:rPr>
            </w:pPr>
          </w:p>
        </w:tc>
        <w:tc>
          <w:tcPr>
            <w:tcW w:w="305" w:type="dxa"/>
            <w:vMerge/>
            <w:tcBorders>
              <w:left w:val="nil"/>
              <w:right w:val="nil"/>
            </w:tcBorders>
          </w:tcPr>
          <w:p w14:paraId="43548357" w14:textId="77777777" w:rsidR="0078281D" w:rsidRDefault="0078281D" w:rsidP="00F12D9A">
            <w:pPr>
              <w:jc w:val="both"/>
              <w:rPr>
                <w:sz w:val="13"/>
              </w:rPr>
            </w:pPr>
          </w:p>
        </w:tc>
        <w:tc>
          <w:tcPr>
            <w:tcW w:w="7349" w:type="dxa"/>
            <w:vMerge/>
            <w:tcBorders>
              <w:left w:val="nil"/>
              <w:right w:val="nil"/>
            </w:tcBorders>
          </w:tcPr>
          <w:p w14:paraId="1C3F86E3" w14:textId="77777777" w:rsidR="0078281D" w:rsidRDefault="0078281D" w:rsidP="00F12D9A">
            <w:pPr>
              <w:spacing w:before="25" w:line="283" w:lineRule="auto"/>
              <w:ind w:right="304"/>
              <w:jc w:val="both"/>
              <w:rPr>
                <w:spacing w:val="-3"/>
                <w:w w:val="110"/>
                <w:sz w:val="16"/>
                <w:szCs w:val="16"/>
              </w:rPr>
            </w:pPr>
          </w:p>
        </w:tc>
      </w:tr>
    </w:tbl>
    <w:p w14:paraId="77C8843B" w14:textId="77777777" w:rsidR="00145998" w:rsidRDefault="00145998" w:rsidP="00F12D9A">
      <w:pPr>
        <w:jc w:val="both"/>
        <w:rPr>
          <w:sz w:val="13"/>
          <w:lang w:val="en-US" w:bidi="ar-SY"/>
        </w:rPr>
      </w:pPr>
    </w:p>
    <w:p w14:paraId="6285B17C" w14:textId="77777777" w:rsidR="00B7220C" w:rsidRPr="00B7220C" w:rsidRDefault="00B7220C" w:rsidP="00F12D9A">
      <w:pPr>
        <w:tabs>
          <w:tab w:val="left" w:pos="537"/>
        </w:tabs>
        <w:spacing w:before="151"/>
        <w:jc w:val="both"/>
        <w:rPr>
          <w:w w:val="120"/>
          <w:sz w:val="16"/>
        </w:rPr>
        <w:sectPr w:rsidR="00B7220C" w:rsidRPr="00B7220C" w:rsidSect="00E57777">
          <w:footerReference w:type="default" r:id="rId12"/>
          <w:footerReference w:type="first" r:id="rId13"/>
          <w:footnotePr>
            <w:pos w:val="beneathText"/>
            <w:numFmt w:val="chicago"/>
          </w:footnotePr>
          <w:type w:val="nextColumn"/>
          <w:pgSz w:w="11907" w:h="16839" w:code="9"/>
          <w:pgMar w:top="851" w:right="567" w:bottom="567" w:left="851" w:header="720" w:footer="720" w:gutter="0"/>
          <w:pgNumType w:start="32"/>
          <w:cols w:space="720"/>
          <w:titlePg/>
          <w:docGrid w:linePitch="360"/>
        </w:sectPr>
      </w:pPr>
    </w:p>
    <w:p w14:paraId="4671AEF0" w14:textId="18E2637A" w:rsidR="002314DB" w:rsidRPr="002314DB" w:rsidRDefault="002314DB" w:rsidP="00F12D9A">
      <w:pPr>
        <w:pStyle w:val="Balk1"/>
        <w:numPr>
          <w:ilvl w:val="0"/>
          <w:numId w:val="2"/>
        </w:numPr>
        <w:spacing w:after="120" w:line="276" w:lineRule="auto"/>
        <w:ind w:left="227" w:hanging="227"/>
        <w:jc w:val="both"/>
      </w:pPr>
      <w:r w:rsidRPr="00F864DB">
        <w:rPr>
          <w:rFonts w:ascii="Times New Roman" w:hAnsi="Times New Roman" w:cs="Times New Roman"/>
          <w:b/>
          <w:color w:val="auto"/>
          <w:sz w:val="22"/>
          <w:szCs w:val="22"/>
        </w:rPr>
        <w:t>Giriş</w:t>
      </w:r>
    </w:p>
    <w:p w14:paraId="15098E10" w14:textId="3A7D46A8" w:rsidR="00774DA5" w:rsidRPr="001423CE" w:rsidRDefault="00774DA5" w:rsidP="00194DD0">
      <w:pPr>
        <w:spacing w:before="120" w:after="120" w:line="276" w:lineRule="auto"/>
        <w:jc w:val="both"/>
        <w:rPr>
          <w:rStyle w:val="fontstyle01"/>
          <w:rFonts w:ascii="Times New Roman" w:hAnsi="Times New Roman"/>
          <w:color w:val="000000"/>
          <w:sz w:val="22"/>
          <w:szCs w:val="22"/>
        </w:rPr>
      </w:pPr>
      <w:r w:rsidRPr="001423CE">
        <w:rPr>
          <w:rStyle w:val="fontstyle01"/>
          <w:rFonts w:ascii="Times New Roman" w:hAnsi="Times New Roman"/>
          <w:color w:val="000000"/>
          <w:sz w:val="22"/>
          <w:szCs w:val="22"/>
        </w:rPr>
        <w:t>Yaşam boyu öğrenme (YBÖ), bireylerin potansiyellerini ve yeterliliklerini hayatları boyunca geliştiren bir süreç olarak tanımlanmaktadır</w:t>
      </w:r>
      <w:r w:rsidR="001423CE" w:rsidRPr="001423CE">
        <w:rPr>
          <w:rStyle w:val="fontstyle01"/>
          <w:rFonts w:ascii="Times New Roman" w:hAnsi="Times New Roman"/>
          <w:color w:val="000000"/>
          <w:sz w:val="22"/>
          <w:szCs w:val="22"/>
        </w:rPr>
        <w:t xml:space="preserve"> </w:t>
      </w:r>
      <w:r w:rsidR="001423CE" w:rsidRPr="001423CE">
        <w:rPr>
          <w:rStyle w:val="fontstyle01"/>
          <w:rFonts w:ascii="Times New Roman" w:hAnsi="Times New Roman"/>
          <w:sz w:val="22"/>
          <w:szCs w:val="22"/>
        </w:rPr>
        <w:t xml:space="preserve">(Berberoğlu, 2010). </w:t>
      </w:r>
      <w:r w:rsidRPr="001423CE">
        <w:rPr>
          <w:rStyle w:val="fontstyle01"/>
          <w:rFonts w:ascii="Times New Roman" w:hAnsi="Times New Roman"/>
          <w:color w:val="000000"/>
          <w:sz w:val="22"/>
          <w:szCs w:val="22"/>
        </w:rPr>
        <w:t>Dewey (2007), “öğrenmeyi öğrenme” kavramının öğrenmenin temel felsefesi olarak kabul etmekte, okuldaki öğrenmenin, okul dışındaki öğrenme ile sürekli bir etkileşim halinde devam etmesi gerektiğini ifade etmektedir. Günümüz eğitim sistemi içerisinde yer alan en önemli yaklaşımlardan biri olan “yaşam boyu öğrenme” yaklaşımı, yalnızca formal eğitimle sınırlı olmayan, hayat boyu devam eden bir yaklaşımdır</w:t>
      </w:r>
      <w:r w:rsidR="00DC52EB" w:rsidRPr="001423CE">
        <w:rPr>
          <w:rStyle w:val="fontstyle01"/>
          <w:rFonts w:ascii="Times New Roman" w:hAnsi="Times New Roman"/>
          <w:color w:val="000000"/>
          <w:sz w:val="22"/>
          <w:szCs w:val="22"/>
        </w:rPr>
        <w:t xml:space="preserve"> (Dewey, 2007).</w:t>
      </w:r>
    </w:p>
    <w:p w14:paraId="2A9BB19D" w14:textId="66D9129C" w:rsidR="00774DA5" w:rsidRPr="001423CE" w:rsidRDefault="00774DA5" w:rsidP="00194DD0">
      <w:pPr>
        <w:spacing w:before="120" w:after="120" w:line="276" w:lineRule="auto"/>
        <w:jc w:val="both"/>
        <w:rPr>
          <w:color w:val="000000"/>
          <w:vertAlign w:val="superscript"/>
        </w:rPr>
      </w:pPr>
      <w:r w:rsidRPr="001423CE">
        <w:rPr>
          <w:color w:val="000000"/>
        </w:rPr>
        <w:t>Yaşam boyu öğrenme, kişinin sadece beden ve zihin gelişimi ile kalmayıp duyuşsal açıdan da gelişime dayanan ve geleceğe yönelik eylemlerin kalitesini artıran bir yaklaşımdır</w:t>
      </w:r>
      <w:r w:rsidR="00DC52EB" w:rsidRPr="001423CE">
        <w:rPr>
          <w:color w:val="000000"/>
          <w:vertAlign w:val="superscript"/>
        </w:rPr>
        <w:t xml:space="preserve"> </w:t>
      </w:r>
      <w:r w:rsidR="00DC52EB" w:rsidRPr="001423CE">
        <w:rPr>
          <w:color w:val="000000"/>
        </w:rPr>
        <w:t>(Budak, 2009)</w:t>
      </w:r>
      <w:r w:rsidR="00DC52EB" w:rsidRPr="001423CE">
        <w:rPr>
          <w:rStyle w:val="fontstyle01"/>
          <w:rFonts w:ascii="Times New Roman" w:hAnsi="Times New Roman"/>
          <w:color w:val="000000"/>
          <w:sz w:val="22"/>
          <w:szCs w:val="22"/>
        </w:rPr>
        <w:t xml:space="preserve">. </w:t>
      </w:r>
      <w:r w:rsidRPr="001423CE">
        <w:rPr>
          <w:color w:val="000000"/>
        </w:rPr>
        <w:t xml:space="preserve">YBÖ; eleştirel okuma, eleştirel düşünme, araştırma, bilgiyi toplama, bilgi ve iletişim </w:t>
      </w:r>
      <w:r w:rsidRPr="001423CE">
        <w:rPr>
          <w:color w:val="000000"/>
        </w:rPr>
        <w:lastRenderedPageBreak/>
        <w:t>teknolojilerini kullanabilme, öğrenme sürecinde doğru soruları sorabilme, değerli ve öğrenilmesi gerekeni fark edebilme, farklı araçlar kullanarak öğrenebilme ve bir öğrenme planını takip edebilme gibi eğilimleri kapsamaktadır</w:t>
      </w:r>
      <w:r w:rsidR="00DC52EB" w:rsidRPr="001423CE">
        <w:rPr>
          <w:color w:val="000000"/>
        </w:rPr>
        <w:t xml:space="preserve"> </w:t>
      </w:r>
      <w:r w:rsidR="00DC52EB" w:rsidRPr="001423CE">
        <w:rPr>
          <w:rStyle w:val="fontstyle01"/>
          <w:rFonts w:ascii="Times New Roman" w:hAnsi="Times New Roman"/>
          <w:color w:val="000000"/>
          <w:sz w:val="22"/>
          <w:szCs w:val="22"/>
        </w:rPr>
        <w:t>(</w:t>
      </w:r>
      <w:proofErr w:type="spellStart"/>
      <w:r w:rsidR="00DC52EB" w:rsidRPr="001423CE">
        <w:rPr>
          <w:rStyle w:val="fontstyle01"/>
          <w:rFonts w:ascii="Times New Roman" w:hAnsi="Times New Roman"/>
          <w:color w:val="000000"/>
          <w:sz w:val="22"/>
          <w:szCs w:val="22"/>
        </w:rPr>
        <w:t>Shuman</w:t>
      </w:r>
      <w:proofErr w:type="spellEnd"/>
      <w:r w:rsidR="00DC52EB" w:rsidRPr="001423CE">
        <w:rPr>
          <w:rStyle w:val="fontstyle01"/>
          <w:rFonts w:ascii="Times New Roman" w:hAnsi="Times New Roman"/>
          <w:color w:val="000000"/>
          <w:sz w:val="22"/>
          <w:szCs w:val="22"/>
        </w:rPr>
        <w:t xml:space="preserve">, </w:t>
      </w:r>
      <w:proofErr w:type="spellStart"/>
      <w:r w:rsidR="00DC52EB" w:rsidRPr="001423CE">
        <w:rPr>
          <w:rStyle w:val="fontstyle01"/>
          <w:rFonts w:ascii="Times New Roman" w:hAnsi="Times New Roman"/>
          <w:color w:val="000000"/>
          <w:sz w:val="22"/>
          <w:szCs w:val="22"/>
        </w:rPr>
        <w:t>Besterfield-Sacre</w:t>
      </w:r>
      <w:proofErr w:type="spellEnd"/>
      <w:r w:rsidR="00DC52EB" w:rsidRPr="001423CE">
        <w:rPr>
          <w:rStyle w:val="fontstyle01"/>
          <w:rFonts w:ascii="Times New Roman" w:hAnsi="Times New Roman"/>
          <w:color w:val="000000"/>
          <w:sz w:val="22"/>
          <w:szCs w:val="22"/>
        </w:rPr>
        <w:t xml:space="preserve"> ve </w:t>
      </w:r>
      <w:proofErr w:type="spellStart"/>
      <w:r w:rsidR="00DC52EB" w:rsidRPr="001423CE">
        <w:rPr>
          <w:rStyle w:val="fontstyle01"/>
          <w:rFonts w:ascii="Times New Roman" w:hAnsi="Times New Roman"/>
          <w:color w:val="000000"/>
          <w:sz w:val="22"/>
          <w:szCs w:val="22"/>
        </w:rPr>
        <w:t>MacGourty</w:t>
      </w:r>
      <w:proofErr w:type="spellEnd"/>
      <w:r w:rsidR="00DC52EB" w:rsidRPr="001423CE">
        <w:rPr>
          <w:rStyle w:val="fontstyle01"/>
          <w:rFonts w:ascii="Times New Roman" w:hAnsi="Times New Roman"/>
          <w:color w:val="000000"/>
          <w:sz w:val="22"/>
          <w:szCs w:val="22"/>
        </w:rPr>
        <w:t xml:space="preserve">, 2005). </w:t>
      </w:r>
      <w:r w:rsidRPr="001423CE">
        <w:rPr>
          <w:rStyle w:val="fontstyle01"/>
          <w:rFonts w:ascii="Times New Roman" w:hAnsi="Times New Roman"/>
          <w:color w:val="000000"/>
          <w:sz w:val="22"/>
          <w:szCs w:val="22"/>
        </w:rPr>
        <w:t xml:space="preserve"> </w:t>
      </w:r>
      <w:r w:rsidRPr="001423CE">
        <w:rPr>
          <w:color w:val="000000"/>
        </w:rPr>
        <w:t>Bu eğilimlere sahip olan bireylerde ise merak, sebat, güdülenme ve öğrenmeyi düzenleme gibi</w:t>
      </w:r>
      <w:r w:rsidRPr="002F6042">
        <w:rPr>
          <w:color w:val="000000"/>
        </w:rPr>
        <w:t xml:space="preserve"> bilişsel ve duyuşsal özelliklerin daha baskın olduğu belirtilmektedir.</w:t>
      </w:r>
      <w:r w:rsidR="00DA662C">
        <w:rPr>
          <w:color w:val="000000"/>
          <w:vertAlign w:val="superscript"/>
        </w:rPr>
        <w:t xml:space="preserve"> </w:t>
      </w:r>
      <w:r w:rsidRPr="002F6042">
        <w:rPr>
          <w:color w:val="000000"/>
        </w:rPr>
        <w:t xml:space="preserve">Bunlara ek olarak, YBÖ </w:t>
      </w:r>
      <w:r w:rsidRPr="001423CE">
        <w:rPr>
          <w:color w:val="000000"/>
        </w:rPr>
        <w:t>eğilimi yüksek bireylerin, karşılaşabilecekleri herhangi bir sorunun çözümünde erişmek istedikleri bilgilere ulaşabilen, ulaştığı bilgileri kendi durumuna uyarlayabilen, bulduğu çözümlere yenilerini ekleyebilen ve değişime kolayca uyum sağlayarak dönüşüm sürecini yaşayabilen bireyler olduğu ifade edilmektedir</w:t>
      </w:r>
      <w:r w:rsidR="00DC52EB" w:rsidRPr="001423CE">
        <w:rPr>
          <w:color w:val="000000"/>
        </w:rPr>
        <w:t xml:space="preserve"> (Diker Coşkun ve Demirel, 2012)</w:t>
      </w:r>
      <w:r w:rsidR="00DC52EB" w:rsidRPr="001423CE">
        <w:rPr>
          <w:rStyle w:val="fontstyle01"/>
          <w:color w:val="000000"/>
          <w:sz w:val="22"/>
          <w:szCs w:val="22"/>
        </w:rPr>
        <w:t>.</w:t>
      </w:r>
    </w:p>
    <w:p w14:paraId="156ECFA6" w14:textId="55572FEB" w:rsidR="00774DA5" w:rsidRPr="001423CE" w:rsidRDefault="00774DA5" w:rsidP="00194DD0">
      <w:pPr>
        <w:spacing w:before="120" w:after="120" w:line="276" w:lineRule="auto"/>
        <w:jc w:val="both"/>
        <w:rPr>
          <w:color w:val="000000"/>
        </w:rPr>
      </w:pPr>
      <w:r w:rsidRPr="001423CE">
        <w:rPr>
          <w:color w:val="000000"/>
        </w:rPr>
        <w:t>Yaşam boyu öğrenen, eleştirel düşünen, sorun çözebilen ve bağımsız karar verebilen profesyonel bireylerin yetiştirilmesinde üniversiteler önemli role sahiptir</w:t>
      </w:r>
      <w:r w:rsidR="00DC52EB" w:rsidRPr="001423CE">
        <w:rPr>
          <w:color w:val="000000"/>
        </w:rPr>
        <w:t xml:space="preserve"> (Su, Feng, Yang ve Chen, 2012)</w:t>
      </w:r>
      <w:r w:rsidR="00DC52EB" w:rsidRPr="001423CE">
        <w:rPr>
          <w:rStyle w:val="fontstyle01"/>
          <w:color w:val="000000"/>
          <w:sz w:val="22"/>
          <w:szCs w:val="22"/>
        </w:rPr>
        <w:t>.</w:t>
      </w:r>
      <w:r w:rsidR="00DC52EB" w:rsidRPr="001423CE">
        <w:rPr>
          <w:color w:val="000000"/>
        </w:rPr>
        <w:t xml:space="preserve"> </w:t>
      </w:r>
      <w:r w:rsidRPr="001423CE">
        <w:rPr>
          <w:color w:val="000000"/>
        </w:rPr>
        <w:t>Üniversiteler akademik gelişim sağlayan bir kurum olmaktan öte öğrencilerin kişisel, sosyal ve kültürel olarak da gelişmelerine fırsat sağlayan alanlardır</w:t>
      </w:r>
      <w:r w:rsidR="00DC52EB" w:rsidRPr="001423CE">
        <w:rPr>
          <w:color w:val="000000"/>
        </w:rPr>
        <w:t xml:space="preserve"> (Köksal ve Çöğmen, 2013). </w:t>
      </w:r>
      <w:r w:rsidRPr="001423CE">
        <w:rPr>
          <w:color w:val="000000"/>
          <w:vertAlign w:val="superscript"/>
        </w:rPr>
        <w:t xml:space="preserve"> </w:t>
      </w:r>
      <w:r w:rsidRPr="001423CE">
        <w:rPr>
          <w:color w:val="000000"/>
        </w:rPr>
        <w:t>Üniversite yaşamı, bilgi ve becerinin ötesine geçebilmek için öğrencilerin eleştirel düşünmelerine ve fikir üretmelerine fırsat vermeli ve geleceğe yönelik olası durumlarla bağlantılar kurmalarını sağlayacak deneyimleri içermelidir</w:t>
      </w:r>
      <w:r w:rsidR="00DC52EB" w:rsidRPr="001423CE">
        <w:rPr>
          <w:color w:val="000000"/>
        </w:rPr>
        <w:t xml:space="preserve"> </w:t>
      </w:r>
      <w:r w:rsidR="00DC52EB" w:rsidRPr="001423CE">
        <w:rPr>
          <w:rStyle w:val="fontstyle01"/>
          <w:color w:val="000000"/>
          <w:sz w:val="22"/>
          <w:szCs w:val="22"/>
        </w:rPr>
        <w:t>(Su ve ark., 2012).</w:t>
      </w:r>
    </w:p>
    <w:p w14:paraId="5720DE02" w14:textId="294B3FB9" w:rsidR="00774DA5" w:rsidRPr="001423CE" w:rsidRDefault="00774DA5" w:rsidP="00194DD0">
      <w:pPr>
        <w:spacing w:before="120" w:after="120" w:line="276" w:lineRule="auto"/>
        <w:jc w:val="both"/>
        <w:rPr>
          <w:color w:val="000000"/>
        </w:rPr>
      </w:pPr>
      <w:r w:rsidRPr="001423CE">
        <w:rPr>
          <w:color w:val="000000"/>
        </w:rPr>
        <w:t xml:space="preserve">YBÖ kavramı, birçok disiplinde oldukça önemli bir kavram haline gelmiştir. Bu disiplinlerden biri olan sağlık bakım hizmetleri, teknolojilerin, hasta tedavi ve bakım modellerinin ve kanıta dayalı uygulamaların sürekli değiştiği ve geliştiği bir </w:t>
      </w:r>
      <w:r w:rsidR="009F32F7" w:rsidRPr="001423CE">
        <w:rPr>
          <w:color w:val="000000"/>
        </w:rPr>
        <w:t>alandır (</w:t>
      </w:r>
      <w:proofErr w:type="spellStart"/>
      <w:r w:rsidR="00DC52EB" w:rsidRPr="001423CE">
        <w:rPr>
          <w:color w:val="000000"/>
        </w:rPr>
        <w:t>Şenyuva</w:t>
      </w:r>
      <w:proofErr w:type="spellEnd"/>
      <w:r w:rsidR="00DC52EB" w:rsidRPr="001423CE">
        <w:rPr>
          <w:color w:val="000000"/>
        </w:rPr>
        <w:t xml:space="preserve"> ve Kaya, 2014)</w:t>
      </w:r>
      <w:r w:rsidR="00DC52EB" w:rsidRPr="001423CE">
        <w:rPr>
          <w:rStyle w:val="fontstyle01"/>
          <w:color w:val="000000"/>
          <w:sz w:val="22"/>
          <w:szCs w:val="22"/>
        </w:rPr>
        <w:t>.</w:t>
      </w:r>
      <w:r w:rsidRPr="001423CE">
        <w:rPr>
          <w:color w:val="000000"/>
          <w:vertAlign w:val="superscript"/>
        </w:rPr>
        <w:t xml:space="preserve"> </w:t>
      </w:r>
      <w:r w:rsidRPr="001423CE">
        <w:rPr>
          <w:color w:val="000000"/>
        </w:rPr>
        <w:t>Bu sürekli değişimin yaşandığı alanda, sağlık çalışanlarının yeni gelişmeleri takip edip güncel bilgiyi yakalamaları gerekmektedir. Bu noktada, YBÖ sağlık çalışanları için bir seçenekten çok mesleki bir sorumluluk haline gelmiştir. Nitekim YBÖ kavramı, sağlık çalışanlarının doğru ve güncel bilgi ile güvenli ve etkili uygulamalar yapabilmesi için bir profesyonellik unsuru olarak görülmektedir</w:t>
      </w:r>
      <w:r w:rsidR="00DC52EB" w:rsidRPr="001423CE">
        <w:rPr>
          <w:color w:val="000000"/>
        </w:rPr>
        <w:t xml:space="preserve"> </w:t>
      </w:r>
      <w:r w:rsidR="00DC52EB" w:rsidRPr="001423CE">
        <w:rPr>
          <w:rStyle w:val="fontstyle01"/>
          <w:color w:val="000000"/>
          <w:sz w:val="22"/>
          <w:szCs w:val="22"/>
        </w:rPr>
        <w:t xml:space="preserve">(Novak, </w:t>
      </w:r>
      <w:proofErr w:type="spellStart"/>
      <w:r w:rsidR="00DC52EB" w:rsidRPr="001423CE">
        <w:rPr>
          <w:rStyle w:val="fontstyle01"/>
          <w:color w:val="000000"/>
          <w:sz w:val="22"/>
          <w:szCs w:val="22"/>
        </w:rPr>
        <w:t>Palladino</w:t>
      </w:r>
      <w:proofErr w:type="spellEnd"/>
      <w:r w:rsidR="00DC52EB" w:rsidRPr="001423CE">
        <w:rPr>
          <w:rStyle w:val="fontstyle01"/>
          <w:color w:val="000000"/>
          <w:sz w:val="22"/>
          <w:szCs w:val="22"/>
        </w:rPr>
        <w:t xml:space="preserve">, </w:t>
      </w:r>
      <w:proofErr w:type="spellStart"/>
      <w:r w:rsidR="00DC52EB" w:rsidRPr="001423CE">
        <w:rPr>
          <w:rStyle w:val="fontstyle01"/>
          <w:color w:val="000000"/>
          <w:sz w:val="22"/>
          <w:szCs w:val="22"/>
        </w:rPr>
        <w:t>Ange</w:t>
      </w:r>
      <w:proofErr w:type="spellEnd"/>
      <w:r w:rsidR="00DC52EB" w:rsidRPr="001423CE">
        <w:rPr>
          <w:rStyle w:val="fontstyle01"/>
          <w:color w:val="000000"/>
          <w:sz w:val="22"/>
          <w:szCs w:val="22"/>
        </w:rPr>
        <w:t xml:space="preserve"> ve Richardson, 2014).</w:t>
      </w:r>
    </w:p>
    <w:p w14:paraId="4C13237F" w14:textId="1E02608F" w:rsidR="00774DA5" w:rsidRPr="001423CE" w:rsidRDefault="00774DA5" w:rsidP="00194DD0">
      <w:pPr>
        <w:spacing w:before="120" w:after="120" w:line="276" w:lineRule="auto"/>
        <w:jc w:val="both"/>
        <w:rPr>
          <w:color w:val="000000"/>
        </w:rPr>
      </w:pPr>
      <w:r w:rsidRPr="001423CE">
        <w:rPr>
          <w:color w:val="000000"/>
        </w:rPr>
        <w:t>Aynı zamanda kişilik özelliklerinin YBÖ üzerindeki etkisi düşünüldüğünde bireylerin sahip oldukları kişilik özellikleri bakım verilen gruba yaklaşımı da etkileyebilmektedir</w:t>
      </w:r>
      <w:r w:rsidR="00DC52EB" w:rsidRPr="001423CE">
        <w:rPr>
          <w:color w:val="000000"/>
        </w:rPr>
        <w:t xml:space="preserve"> </w:t>
      </w:r>
      <w:r w:rsidR="00DC52EB" w:rsidRPr="001423CE">
        <w:rPr>
          <w:rStyle w:val="fontstyle01"/>
          <w:color w:val="000000"/>
          <w:sz w:val="22"/>
          <w:szCs w:val="22"/>
        </w:rPr>
        <w:t>(Diker Coşkun ve Demirel, 2012).</w:t>
      </w:r>
      <w:r w:rsidR="001423CE" w:rsidRPr="001423CE">
        <w:rPr>
          <w:rStyle w:val="fontstyle01"/>
          <w:color w:val="000000"/>
          <w:sz w:val="22"/>
          <w:szCs w:val="22"/>
        </w:rPr>
        <w:t xml:space="preserve"> </w:t>
      </w:r>
      <w:r w:rsidRPr="001423CE">
        <w:rPr>
          <w:color w:val="000000"/>
        </w:rPr>
        <w:t>Bu nedenle, geleceğin sağlık profesyonellerinin yaşam boyu öğrenme eğilimleri değerlendirilirken kişilik özelliklerini de göz önünde tutmak gerekir. Kişilik; bireyleri diğer insanlardan farklılaştıran, genetik aktarım, bedensel yapı gibi faktörlerin etkisiyle doğumla başlayan, bireylerin ait oldukları sosyal sınıf, aile yapısı, sosyokültürel etkenler gibi pek çok faktörün etkisiyle hayat boyu devam eden özgün davranışlar örüntüsüdür</w:t>
      </w:r>
      <w:r w:rsidR="007F64E5" w:rsidRPr="001423CE">
        <w:rPr>
          <w:color w:val="000000"/>
        </w:rPr>
        <w:t xml:space="preserve"> </w:t>
      </w:r>
      <w:r w:rsidR="007F64E5" w:rsidRPr="001423CE">
        <w:rPr>
          <w:rStyle w:val="fontstyle01"/>
          <w:color w:val="000000"/>
          <w:sz w:val="22"/>
          <w:szCs w:val="22"/>
        </w:rPr>
        <w:t>(Altan, 2017).</w:t>
      </w:r>
      <w:r w:rsidR="007F64E5" w:rsidRPr="001423CE">
        <w:rPr>
          <w:color w:val="000000"/>
        </w:rPr>
        <w:t xml:space="preserve"> </w:t>
      </w:r>
      <w:r w:rsidRPr="001423CE">
        <w:rPr>
          <w:color w:val="000000"/>
        </w:rPr>
        <w:t>Kişilik özelliklerinin incelenmesi açısından önem arz eden ve kişilik yapısının en belirgin yönlerini tanımlayabilmek amacıyla kullanılan beş faktörlü kişilik modeli; dışa dönüklük, gelişime açıklık, nevrotiklik, uyumluluk, sorumluluk olmak üzere beş boyuttan oluşmaktadır</w:t>
      </w:r>
      <w:r w:rsidR="007F64E5" w:rsidRPr="001423CE">
        <w:rPr>
          <w:color w:val="000000"/>
        </w:rPr>
        <w:t xml:space="preserve"> (</w:t>
      </w:r>
      <w:proofErr w:type="spellStart"/>
      <w:r w:rsidR="007F64E5" w:rsidRPr="001423CE">
        <w:rPr>
          <w:color w:val="000000"/>
        </w:rPr>
        <w:t>Kağnıcıoğlu</w:t>
      </w:r>
      <w:proofErr w:type="spellEnd"/>
      <w:r w:rsidR="007F64E5" w:rsidRPr="001423CE">
        <w:rPr>
          <w:color w:val="000000"/>
        </w:rPr>
        <w:t>, Duyan ve Etçi, 2018)</w:t>
      </w:r>
      <w:r w:rsidR="007F64E5" w:rsidRPr="001423CE">
        <w:rPr>
          <w:rStyle w:val="fontstyle01"/>
          <w:color w:val="000000"/>
          <w:sz w:val="22"/>
          <w:szCs w:val="22"/>
        </w:rPr>
        <w:t>.</w:t>
      </w:r>
      <w:r w:rsidR="007F64E5" w:rsidRPr="00FF6387">
        <w:rPr>
          <w:rStyle w:val="fontstyle01"/>
          <w:color w:val="000000"/>
          <w:sz w:val="24"/>
          <w:szCs w:val="24"/>
        </w:rPr>
        <w:t xml:space="preserve">  </w:t>
      </w:r>
      <w:r w:rsidRPr="001423CE">
        <w:rPr>
          <w:color w:val="000000"/>
        </w:rPr>
        <w:t>Beş faktörlü kişilik modelinde dışa dönüklük; bireylerin sevecen, neşeli, girişken, iyimser, heyecan arayan, cana yakın, enerjik; sosyal olarak gelişime açıklık; duyarlı, ilgili, değişime ve başka görüşlere açık, yaratıcı, analitik, meraklı kişileri yansıttığını; nevrotiklik; bireylerin sinirli, gergin, endişeli, çekingen, kaygılı, strese toleranssız, depresif olduğunu; uyumluluk; yardımsever, alçak gönüllü, samimi, saygılı, hoşgörülü, merhametli, işbirliğine inanan, anlayışlı, doğru sözlü, affedici, uysal kişileri, sorumluluk; başarma yönelimli, titiz, çalışkan, azimli, hırslı, güvenilir, düzenli, sistemli, planlı, dakik kişileri tanımlamaktadır</w:t>
      </w:r>
      <w:r w:rsidR="007F64E5" w:rsidRPr="001423CE">
        <w:rPr>
          <w:color w:val="000000"/>
        </w:rPr>
        <w:t xml:space="preserve"> </w:t>
      </w:r>
      <w:proofErr w:type="spellStart"/>
      <w:r w:rsidR="007F64E5" w:rsidRPr="001423CE">
        <w:rPr>
          <w:color w:val="000000"/>
        </w:rPr>
        <w:t>tanımlamaktadır</w:t>
      </w:r>
      <w:proofErr w:type="spellEnd"/>
      <w:r w:rsidR="007F64E5" w:rsidRPr="001423CE">
        <w:rPr>
          <w:color w:val="000000"/>
        </w:rPr>
        <w:t xml:space="preserve"> (Ulusoy, Akfırat ve Tura, 2018)</w:t>
      </w:r>
      <w:r w:rsidR="007F64E5" w:rsidRPr="001423CE">
        <w:rPr>
          <w:rStyle w:val="fontstyle01"/>
          <w:color w:val="000000"/>
          <w:sz w:val="22"/>
          <w:szCs w:val="22"/>
        </w:rPr>
        <w:t xml:space="preserve">. </w:t>
      </w:r>
      <w:r w:rsidRPr="001423CE">
        <w:rPr>
          <w:color w:val="000000"/>
        </w:rPr>
        <w:t xml:space="preserve">Modelde yer alan beş farklı kişilik özelliği, öğrencilerin öğrenme eğilimleri üzerinde de oldukça etkilidir. Bu nedenle bazı öğrenciler </w:t>
      </w:r>
      <w:r w:rsidRPr="001423CE">
        <w:rPr>
          <w:color w:val="000000"/>
        </w:rPr>
        <w:lastRenderedPageBreak/>
        <w:t>öğrenme fırsatlarını yakalamak için büyük çaba gösterirken, bazı öğrenciler öğrenmeye karşı olumsuz tavır sergileyebilmektedirler</w:t>
      </w:r>
      <w:r w:rsidR="007F64E5" w:rsidRPr="001423CE">
        <w:rPr>
          <w:color w:val="000000"/>
        </w:rPr>
        <w:t xml:space="preserve"> (Bitlisli, Dinç, </w:t>
      </w:r>
      <w:proofErr w:type="spellStart"/>
      <w:r w:rsidR="007F64E5" w:rsidRPr="001423CE">
        <w:rPr>
          <w:color w:val="000000"/>
        </w:rPr>
        <w:t>Çetinceli</w:t>
      </w:r>
      <w:proofErr w:type="spellEnd"/>
      <w:r w:rsidR="007F64E5" w:rsidRPr="001423CE">
        <w:rPr>
          <w:color w:val="000000"/>
        </w:rPr>
        <w:t xml:space="preserve"> ve Kaygısız, 2013)</w:t>
      </w:r>
      <w:r w:rsidR="007F64E5" w:rsidRPr="001423CE">
        <w:rPr>
          <w:rStyle w:val="fontstyle01"/>
          <w:color w:val="000000"/>
          <w:sz w:val="22"/>
          <w:szCs w:val="22"/>
        </w:rPr>
        <w:t>.</w:t>
      </w:r>
    </w:p>
    <w:p w14:paraId="19A2593B" w14:textId="459D4EA9" w:rsidR="00D015C6" w:rsidRDefault="00774DA5" w:rsidP="00194DD0">
      <w:pPr>
        <w:spacing w:before="120" w:after="120" w:line="276" w:lineRule="auto"/>
        <w:jc w:val="both"/>
        <w:rPr>
          <w:color w:val="000000"/>
        </w:rPr>
      </w:pPr>
      <w:r w:rsidRPr="001423CE">
        <w:rPr>
          <w:color w:val="000000"/>
        </w:rPr>
        <w:t xml:space="preserve">Bu doğrultuda, üniversiteye yeni başlayan öğrencilerin YBÖ eğilimlerinin ve buna etki eden faktörlerin belirlenmesi, öğrencilerin öğrenme eğilimlerinin geliştirilmesinde yol gösterici </w:t>
      </w:r>
      <w:r w:rsidRPr="00D015C6">
        <w:rPr>
          <w:color w:val="000000"/>
        </w:rPr>
        <w:t xml:space="preserve">olacaktır. </w:t>
      </w:r>
      <w:bookmarkStart w:id="0" w:name="_Hlk137916399"/>
      <w:r w:rsidRPr="00D015C6">
        <w:rPr>
          <w:color w:val="000000"/>
        </w:rPr>
        <w:t>Türkiye’de YBÖ eğilimlerini belirleyen çalışmalar</w:t>
      </w:r>
      <w:r w:rsidR="00E42A05" w:rsidRPr="00D015C6">
        <w:rPr>
          <w:color w:val="000000"/>
        </w:rPr>
        <w:t xml:space="preserve"> özellikle</w:t>
      </w:r>
      <w:r w:rsidRPr="00D015C6">
        <w:rPr>
          <w:color w:val="000000"/>
        </w:rPr>
        <w:t xml:space="preserve"> Eğitim Fakültesi öğrencilerinde sıklıkla </w:t>
      </w:r>
      <w:r w:rsidR="00D015C6" w:rsidRPr="00D015C6">
        <w:rPr>
          <w:color w:val="000000"/>
        </w:rPr>
        <w:t>yapılmıştır (</w:t>
      </w:r>
      <w:r w:rsidR="007F64E5" w:rsidRPr="00D015C6">
        <w:rPr>
          <w:color w:val="000000"/>
        </w:rPr>
        <w:t xml:space="preserve">Güzel, </w:t>
      </w:r>
      <w:r w:rsidR="00D015C6" w:rsidRPr="00D015C6">
        <w:rPr>
          <w:color w:val="000000"/>
        </w:rPr>
        <w:t>2017; İzci</w:t>
      </w:r>
      <w:r w:rsidR="007F64E5" w:rsidRPr="00D015C6">
        <w:rPr>
          <w:color w:val="000000"/>
        </w:rPr>
        <w:t xml:space="preserve"> ve Koç, 2012; Kılıç, 2014; </w:t>
      </w:r>
      <w:proofErr w:type="spellStart"/>
      <w:r w:rsidR="007F64E5" w:rsidRPr="00D015C6">
        <w:rPr>
          <w:color w:val="000000"/>
        </w:rPr>
        <w:t>Özçiftçi</w:t>
      </w:r>
      <w:proofErr w:type="spellEnd"/>
      <w:r w:rsidR="007F64E5" w:rsidRPr="00D015C6">
        <w:rPr>
          <w:color w:val="000000"/>
        </w:rPr>
        <w:t xml:space="preserve"> ve Çakır, </w:t>
      </w:r>
      <w:r w:rsidR="00D015C6" w:rsidRPr="00D015C6">
        <w:rPr>
          <w:color w:val="000000"/>
        </w:rPr>
        <w:t>2015; Su</w:t>
      </w:r>
      <w:r w:rsidR="007F64E5" w:rsidRPr="00D015C6">
        <w:rPr>
          <w:color w:val="000000"/>
        </w:rPr>
        <w:t xml:space="preserve"> ve ark., Ekşioğlu, Tarhan ve Çetin Gündüz, 2017; Sıvacı ve Çöplü, 2020)</w:t>
      </w:r>
      <w:r w:rsidR="00E42A05" w:rsidRPr="00D015C6">
        <w:rPr>
          <w:color w:val="000000"/>
        </w:rPr>
        <w:t xml:space="preserve">. Ancak </w:t>
      </w:r>
      <w:r w:rsidRPr="00D015C6">
        <w:rPr>
          <w:color w:val="000000"/>
        </w:rPr>
        <w:t xml:space="preserve">sağlık çalışanı yetiştiren okullarda </w:t>
      </w:r>
      <w:r w:rsidR="00E42A05" w:rsidRPr="00D015C6">
        <w:rPr>
          <w:color w:val="000000"/>
        </w:rPr>
        <w:t xml:space="preserve">öğrencilerin YBÖ eğilimlerinin incelendiği çalışmaların </w:t>
      </w:r>
      <w:r w:rsidRPr="00D015C6">
        <w:rPr>
          <w:color w:val="000000"/>
        </w:rPr>
        <w:t xml:space="preserve">sınırlı olduğu ve </w:t>
      </w:r>
      <w:r w:rsidR="001946D3" w:rsidRPr="00D015C6">
        <w:rPr>
          <w:color w:val="000000"/>
        </w:rPr>
        <w:t xml:space="preserve">sağlık disiplininde </w:t>
      </w:r>
      <w:proofErr w:type="spellStart"/>
      <w:r w:rsidR="001946D3" w:rsidRPr="00D015C6">
        <w:rPr>
          <w:color w:val="000000"/>
        </w:rPr>
        <w:t>pekçok</w:t>
      </w:r>
      <w:proofErr w:type="spellEnd"/>
      <w:r w:rsidR="001946D3" w:rsidRPr="00D015C6">
        <w:rPr>
          <w:color w:val="000000"/>
        </w:rPr>
        <w:t xml:space="preserve"> bölüm olmasına rağmen </w:t>
      </w:r>
      <w:r w:rsidRPr="00D015C6">
        <w:rPr>
          <w:color w:val="000000"/>
        </w:rPr>
        <w:t>genellikle</w:t>
      </w:r>
      <w:r w:rsidR="00E42A05" w:rsidRPr="00D015C6">
        <w:rPr>
          <w:color w:val="000000"/>
        </w:rPr>
        <w:t xml:space="preserve"> </w:t>
      </w:r>
      <w:r w:rsidRPr="00D015C6">
        <w:rPr>
          <w:color w:val="000000"/>
        </w:rPr>
        <w:t xml:space="preserve">hemşirelik ve tıp öğrencileri ile </w:t>
      </w:r>
      <w:r w:rsidR="00E42A05" w:rsidRPr="00D015C6">
        <w:rPr>
          <w:color w:val="000000"/>
        </w:rPr>
        <w:t xml:space="preserve">çalışıldığı </w:t>
      </w:r>
      <w:r w:rsidRPr="00D015C6">
        <w:rPr>
          <w:color w:val="000000"/>
        </w:rPr>
        <w:t>görülmektedir</w:t>
      </w:r>
      <w:r w:rsidR="007F64E5" w:rsidRPr="00D015C6">
        <w:rPr>
          <w:color w:val="000000"/>
        </w:rPr>
        <w:t xml:space="preserve"> (</w:t>
      </w:r>
      <w:proofErr w:type="spellStart"/>
      <w:r w:rsidR="007F64E5" w:rsidRPr="00D015C6">
        <w:rPr>
          <w:color w:val="000000"/>
        </w:rPr>
        <w:t>Denat</w:t>
      </w:r>
      <w:proofErr w:type="spellEnd"/>
      <w:r w:rsidR="007F64E5" w:rsidRPr="00D015C6">
        <w:rPr>
          <w:color w:val="000000"/>
        </w:rPr>
        <w:t>, Dikmen, Filiz ve Başaran, 2016;</w:t>
      </w:r>
      <w:r w:rsidR="00605488" w:rsidRPr="00D015C6">
        <w:rPr>
          <w:color w:val="000000"/>
        </w:rPr>
        <w:t xml:space="preserve"> </w:t>
      </w:r>
      <w:r w:rsidR="007F64E5" w:rsidRPr="00D015C6">
        <w:rPr>
          <w:color w:val="000000"/>
        </w:rPr>
        <w:t>Dikmen, Uslu Yuvacı ve Erol, 2017;</w:t>
      </w:r>
      <w:r w:rsidR="00E42A05" w:rsidRPr="00D015C6">
        <w:rPr>
          <w:color w:val="000000"/>
        </w:rPr>
        <w:t xml:space="preserve"> </w:t>
      </w:r>
      <w:r w:rsidR="007F64E5" w:rsidRPr="00D015C6">
        <w:rPr>
          <w:color w:val="000000"/>
        </w:rPr>
        <w:t xml:space="preserve">Güçlü, Bostan ve Tabak, </w:t>
      </w:r>
      <w:r w:rsidR="00D015C6" w:rsidRPr="00D015C6">
        <w:rPr>
          <w:color w:val="000000"/>
        </w:rPr>
        <w:t xml:space="preserve">2013; </w:t>
      </w:r>
      <w:proofErr w:type="spellStart"/>
      <w:r w:rsidR="00D015C6" w:rsidRPr="00D015C6">
        <w:rPr>
          <w:color w:val="000000"/>
        </w:rPr>
        <w:t>Şenyuva</w:t>
      </w:r>
      <w:proofErr w:type="spellEnd"/>
      <w:r w:rsidR="007F64E5" w:rsidRPr="00D015C6">
        <w:rPr>
          <w:color w:val="000000"/>
        </w:rPr>
        <w:t xml:space="preserve"> ve Kaya, 2014).</w:t>
      </w:r>
      <w:bookmarkEnd w:id="0"/>
    </w:p>
    <w:p w14:paraId="09489C9A" w14:textId="61B28B99" w:rsidR="00774DA5" w:rsidRPr="00D015C6" w:rsidRDefault="00DA662C" w:rsidP="00194DD0">
      <w:pPr>
        <w:spacing w:before="120" w:after="120" w:line="276" w:lineRule="auto"/>
        <w:jc w:val="both"/>
        <w:rPr>
          <w:rStyle w:val="fontstyle01"/>
          <w:rFonts w:ascii="Times New Roman" w:hAnsi="Times New Roman"/>
          <w:color w:val="auto"/>
          <w:sz w:val="22"/>
          <w:szCs w:val="22"/>
        </w:rPr>
      </w:pPr>
      <w:r w:rsidRPr="00D015C6">
        <w:t>Bu nedenle</w:t>
      </w:r>
      <w:r w:rsidR="00774DA5" w:rsidRPr="00D015C6">
        <w:t xml:space="preserve"> sağlık çalışanları ile YBÖ konusunda tüm disiplinleri içine alan daha fazla çalışma yapılmasına gereksinim olduğu dikkat çekmektedir. Bu eksiklikten yola çıkılarak, Sağlık Bilimleri Fakültesi’nde öğrenim gören birinci sınıf öğrencilerinin YBÖ</w:t>
      </w:r>
      <w:r w:rsidR="00774DA5" w:rsidRPr="00D015C6">
        <w:rPr>
          <w:rStyle w:val="fontstyle01"/>
          <w:color w:val="auto"/>
          <w:sz w:val="22"/>
          <w:szCs w:val="22"/>
        </w:rPr>
        <w:t xml:space="preserve"> eğilimleri ve bu eğilime etki edebilecek bazı değişkenler literatür taraması doğrultusunda belirlenmiş ve bu doğrultuda üniversiteye yeni başlayan öğrencilerin </w:t>
      </w:r>
      <w:r w:rsidR="00774DA5" w:rsidRPr="00D015C6">
        <w:t>YBÖ</w:t>
      </w:r>
      <w:r w:rsidR="00774DA5" w:rsidRPr="00D015C6">
        <w:rPr>
          <w:rStyle w:val="fontstyle01"/>
          <w:color w:val="auto"/>
          <w:sz w:val="22"/>
          <w:szCs w:val="22"/>
        </w:rPr>
        <w:t xml:space="preserve"> eğilimleri kazanmalarına yönelik öneriler geliştirmek hedeflenmiştir.</w:t>
      </w:r>
      <w:r w:rsidR="00774DA5" w:rsidRPr="00D015C6">
        <w:rPr>
          <w:rStyle w:val="fontstyle01"/>
          <w:b/>
          <w:color w:val="auto"/>
          <w:sz w:val="22"/>
          <w:szCs w:val="22"/>
        </w:rPr>
        <w:t xml:space="preserve"> </w:t>
      </w:r>
      <w:bookmarkStart w:id="1" w:name="_Hlk133932260"/>
      <w:r w:rsidR="00774DA5" w:rsidRPr="00D015C6">
        <w:rPr>
          <w:rStyle w:val="fontstyle01"/>
          <w:color w:val="auto"/>
          <w:sz w:val="22"/>
          <w:szCs w:val="22"/>
        </w:rPr>
        <w:t xml:space="preserve">Bu çalışmanın, üniversite öğrencilerinde yaşam boyu öğrenme becerilerinin geliştirilmesi açısından yol gösterici olacağı </w:t>
      </w:r>
      <w:bookmarkStart w:id="2" w:name="_Hlk133932276"/>
      <w:bookmarkEnd w:id="1"/>
      <w:r w:rsidR="00774DA5" w:rsidRPr="00D015C6">
        <w:rPr>
          <w:rStyle w:val="fontstyle01"/>
          <w:color w:val="auto"/>
          <w:sz w:val="22"/>
          <w:szCs w:val="22"/>
        </w:rPr>
        <w:t xml:space="preserve">ve bu doğrultuda literatüre katkı sağlayacağı düşünülmektedir. </w:t>
      </w:r>
    </w:p>
    <w:p w14:paraId="41AC8016" w14:textId="39F346AB" w:rsidR="00774DA5" w:rsidRPr="00D015C6" w:rsidRDefault="00DA662C" w:rsidP="00194DD0">
      <w:pPr>
        <w:spacing w:before="120" w:after="120" w:line="276" w:lineRule="auto"/>
        <w:jc w:val="both"/>
      </w:pPr>
      <w:bookmarkStart w:id="3" w:name="_Hlk137916734"/>
      <w:bookmarkEnd w:id="2"/>
      <w:r w:rsidRPr="00D015C6">
        <w:rPr>
          <w:shd w:val="clear" w:color="auto" w:fill="FFFFFF"/>
        </w:rPr>
        <w:t>Bu araştırmada, sağlık bilimlerinde öğrenim gören öğrencilerin YBÖ eğilimlerinin bazı değişkenler açısından değerlendirilmesi amaçlanmıştır</w:t>
      </w:r>
      <w:r w:rsidR="00E42A05" w:rsidRPr="00D015C6">
        <w:rPr>
          <w:shd w:val="clear" w:color="auto" w:fill="FFFFFF"/>
        </w:rPr>
        <w:t>.</w:t>
      </w:r>
    </w:p>
    <w:bookmarkEnd w:id="3"/>
    <w:p w14:paraId="1D5284D8" w14:textId="78A4D7C8" w:rsidR="00774DA5" w:rsidRDefault="00774DA5" w:rsidP="00194DD0">
      <w:pPr>
        <w:spacing w:before="120" w:after="120" w:line="276" w:lineRule="auto"/>
        <w:jc w:val="both"/>
        <w:rPr>
          <w:b/>
          <w:color w:val="000000"/>
        </w:rPr>
      </w:pPr>
      <w:r>
        <w:rPr>
          <w:b/>
          <w:color w:val="000000"/>
        </w:rPr>
        <w:t>2.Gereç ve Yöntem</w:t>
      </w:r>
    </w:p>
    <w:p w14:paraId="01BF22F2" w14:textId="05755610" w:rsidR="00774DA5" w:rsidRPr="002F6042" w:rsidRDefault="00774DA5" w:rsidP="00194DD0">
      <w:pPr>
        <w:spacing w:before="120" w:after="120" w:line="276" w:lineRule="auto"/>
        <w:jc w:val="both"/>
        <w:rPr>
          <w:b/>
          <w:bCs/>
          <w:iCs/>
          <w:color w:val="000000"/>
        </w:rPr>
      </w:pPr>
      <w:r>
        <w:rPr>
          <w:b/>
          <w:bCs/>
          <w:iCs/>
          <w:color w:val="000000"/>
        </w:rPr>
        <w:t>2.1. A</w:t>
      </w:r>
      <w:r w:rsidRPr="002F6042">
        <w:rPr>
          <w:b/>
          <w:bCs/>
          <w:iCs/>
          <w:color w:val="000000"/>
        </w:rPr>
        <w:t>raştırma modeli</w:t>
      </w:r>
    </w:p>
    <w:p w14:paraId="1CAC548A" w14:textId="77777777" w:rsidR="00774DA5" w:rsidRPr="002F6042" w:rsidRDefault="00774DA5" w:rsidP="00194DD0">
      <w:pPr>
        <w:spacing w:before="120" w:after="120" w:line="276" w:lineRule="auto"/>
        <w:jc w:val="both"/>
        <w:rPr>
          <w:color w:val="000000"/>
        </w:rPr>
      </w:pPr>
      <w:r w:rsidRPr="002F6042">
        <w:rPr>
          <w:rFonts w:eastAsia="TimesNewRoman"/>
          <w:color w:val="000000"/>
        </w:rPr>
        <w:t xml:space="preserve">Bu araştırma, tanımlayıcı tipte bir araştırmadır. </w:t>
      </w:r>
      <w:r w:rsidRPr="002F6042">
        <w:rPr>
          <w:color w:val="000000"/>
        </w:rPr>
        <w:t xml:space="preserve">Çalışmanın yapılabilmesi için çalışmanın yapıldığı üniversitenin “Girişimsel Olmayan Klinik Araştırmalar Etik </w:t>
      </w:r>
      <w:proofErr w:type="spellStart"/>
      <w:r w:rsidRPr="002F6042">
        <w:rPr>
          <w:color w:val="000000"/>
        </w:rPr>
        <w:t>Kurulu”ndan</w:t>
      </w:r>
      <w:proofErr w:type="spellEnd"/>
      <w:r w:rsidRPr="002F6042">
        <w:rPr>
          <w:color w:val="000000"/>
        </w:rPr>
        <w:t xml:space="preserve"> onay (2020/11-3) alınmıştır. Araştırma sürecinde bilimsel etik kurallara riayet edilmiştir. Çalışma güncel Helsinki Bildirgesi ilkelerine uygun olarak gerçekleştirilmiştir. Çalışmanın verileri, kişisel verilerin gizliliği ilkelerine uyularak kaydedilmiştir.</w:t>
      </w:r>
    </w:p>
    <w:p w14:paraId="1A33F593" w14:textId="1DF35DBB" w:rsidR="00774DA5" w:rsidRPr="002F6042" w:rsidRDefault="00774DA5" w:rsidP="00194DD0">
      <w:pPr>
        <w:spacing w:before="120" w:after="120" w:line="276" w:lineRule="auto"/>
        <w:jc w:val="both"/>
        <w:rPr>
          <w:b/>
          <w:bCs/>
          <w:iCs/>
          <w:color w:val="000000"/>
        </w:rPr>
      </w:pPr>
      <w:r>
        <w:rPr>
          <w:b/>
          <w:bCs/>
          <w:iCs/>
          <w:color w:val="000000"/>
        </w:rPr>
        <w:t xml:space="preserve">2.2. </w:t>
      </w:r>
      <w:r w:rsidRPr="002F6042">
        <w:rPr>
          <w:b/>
          <w:bCs/>
          <w:iCs/>
          <w:color w:val="000000"/>
        </w:rPr>
        <w:t xml:space="preserve">Çalışma </w:t>
      </w:r>
      <w:r>
        <w:rPr>
          <w:b/>
          <w:bCs/>
          <w:iCs/>
          <w:color w:val="000000"/>
        </w:rPr>
        <w:t>g</w:t>
      </w:r>
      <w:r w:rsidRPr="002F6042">
        <w:rPr>
          <w:b/>
          <w:bCs/>
          <w:iCs/>
          <w:color w:val="000000"/>
        </w:rPr>
        <w:t>rubu</w:t>
      </w:r>
    </w:p>
    <w:p w14:paraId="5660BECD" w14:textId="77777777" w:rsidR="00774DA5" w:rsidRPr="002F6042" w:rsidRDefault="00774DA5" w:rsidP="00194DD0">
      <w:pPr>
        <w:spacing w:before="120" w:after="120" w:line="276" w:lineRule="auto"/>
        <w:jc w:val="both"/>
        <w:rPr>
          <w:color w:val="000000"/>
        </w:rPr>
      </w:pPr>
      <w:r w:rsidRPr="002F6042">
        <w:rPr>
          <w:rFonts w:eastAsia="TimesNewRoman"/>
          <w:color w:val="000000"/>
        </w:rPr>
        <w:t xml:space="preserve">Araştırmanın evrenini (N=304) Türkiye’nin iç batısında yer alan bir üniversitenin Sağlık Bilimleri Fakültesi’nde öğrenim gören 1. sınıf öğrencileri (hemşirelik, ebelik, fizyoterapi ve rehabilitasyon bölümlerinde öğrenim gören) oluşturmaktadır. </w:t>
      </w:r>
      <w:r w:rsidRPr="002F6042">
        <w:rPr>
          <w:color w:val="000000"/>
        </w:rPr>
        <w:t xml:space="preserve">Öğrencilerin yaş ortalamaları 19.49±1.79’dur. Araştırmaya katılan 227 öğrencinin </w:t>
      </w:r>
      <w:proofErr w:type="gramStart"/>
      <w:r w:rsidRPr="002F6042">
        <w:rPr>
          <w:color w:val="000000"/>
        </w:rPr>
        <w:t>%86.8</w:t>
      </w:r>
      <w:proofErr w:type="gramEnd"/>
      <w:r w:rsidRPr="002F6042">
        <w:rPr>
          <w:color w:val="000000"/>
        </w:rPr>
        <w:t>’i kadındır.</w:t>
      </w:r>
    </w:p>
    <w:p w14:paraId="5884935E" w14:textId="77777777" w:rsidR="00774DA5" w:rsidRDefault="00774DA5" w:rsidP="00194DD0">
      <w:pPr>
        <w:spacing w:before="120" w:after="120" w:line="276" w:lineRule="auto"/>
        <w:jc w:val="both"/>
        <w:rPr>
          <w:color w:val="000000"/>
        </w:rPr>
      </w:pPr>
      <w:r w:rsidRPr="002F6042">
        <w:rPr>
          <w:color w:val="000000"/>
        </w:rPr>
        <w:t xml:space="preserve">Araştırmada tam sayım yöntemi kullanılmış, öğrencilerin danışmanları tarafından öğrencilere duyuru yapılmış ve 2 ay içinde tüm öğrencilerin </w:t>
      </w:r>
      <w:proofErr w:type="gramStart"/>
      <w:r w:rsidRPr="002F6042">
        <w:rPr>
          <w:color w:val="000000"/>
        </w:rPr>
        <w:t>%75</w:t>
      </w:r>
      <w:proofErr w:type="gramEnd"/>
      <w:r w:rsidRPr="002F6042">
        <w:rPr>
          <w:color w:val="000000"/>
        </w:rPr>
        <w:t xml:space="preserve">’ine ulaşılmıştır. Sorular, Google form bağlantısı ile internet ortamında 1. sınıfların oluşturulduğu WhatsApp gruplarından paylaşılmış ve katılımcılara çalışmanın linki davet mektubu ile gönderilmiştir. Çalışma grubunu, “çalışmaya gönüllü olarak katılan” 227 öğrenci oluşturmuştur. </w:t>
      </w:r>
    </w:p>
    <w:p w14:paraId="67533EC9" w14:textId="77777777" w:rsidR="00194DD0" w:rsidRPr="002F6042" w:rsidRDefault="00194DD0" w:rsidP="00194DD0">
      <w:pPr>
        <w:spacing w:before="120" w:after="120" w:line="276" w:lineRule="auto"/>
        <w:jc w:val="both"/>
        <w:rPr>
          <w:color w:val="000000"/>
        </w:rPr>
      </w:pPr>
    </w:p>
    <w:p w14:paraId="12DA2B52" w14:textId="18E87398" w:rsidR="000E16B6" w:rsidRDefault="00774DA5" w:rsidP="00194DD0">
      <w:pPr>
        <w:widowControl/>
        <w:autoSpaceDE/>
        <w:autoSpaceDN/>
        <w:spacing w:before="120" w:after="120" w:line="276" w:lineRule="auto"/>
        <w:jc w:val="both"/>
        <w:rPr>
          <w:b/>
          <w:iCs/>
          <w:color w:val="000000"/>
        </w:rPr>
      </w:pPr>
      <w:r>
        <w:rPr>
          <w:b/>
          <w:iCs/>
          <w:color w:val="000000"/>
        </w:rPr>
        <w:lastRenderedPageBreak/>
        <w:t xml:space="preserve">2.3. </w:t>
      </w:r>
      <w:r w:rsidRPr="002F6042">
        <w:rPr>
          <w:b/>
          <w:iCs/>
          <w:color w:val="000000"/>
        </w:rPr>
        <w:t xml:space="preserve">Veri </w:t>
      </w:r>
      <w:r>
        <w:rPr>
          <w:b/>
          <w:iCs/>
          <w:color w:val="000000"/>
        </w:rPr>
        <w:t>t</w:t>
      </w:r>
      <w:r w:rsidRPr="002F6042">
        <w:rPr>
          <w:b/>
          <w:iCs/>
          <w:color w:val="000000"/>
        </w:rPr>
        <w:t xml:space="preserve">oplama </w:t>
      </w:r>
      <w:r>
        <w:rPr>
          <w:b/>
          <w:iCs/>
          <w:color w:val="000000"/>
        </w:rPr>
        <w:t>a</w:t>
      </w:r>
      <w:r w:rsidRPr="002F6042">
        <w:rPr>
          <w:b/>
          <w:iCs/>
          <w:color w:val="000000"/>
        </w:rPr>
        <w:t>raçları</w:t>
      </w:r>
    </w:p>
    <w:p w14:paraId="3DD79AF7" w14:textId="77777777" w:rsidR="00774DA5" w:rsidRPr="002F6042" w:rsidRDefault="00774DA5" w:rsidP="00E57777">
      <w:pPr>
        <w:spacing w:before="120" w:after="120" w:line="276" w:lineRule="auto"/>
        <w:jc w:val="both"/>
        <w:rPr>
          <w:color w:val="000000"/>
        </w:rPr>
      </w:pPr>
      <w:r w:rsidRPr="002F6042">
        <w:rPr>
          <w:color w:val="000000"/>
        </w:rPr>
        <w:t xml:space="preserve">Çalışmamızda kullanılan veri toplama araçları; bilgilendirilmiş yazılı onam formu, kişisel bilgi formu (10 sorudan oluşan </w:t>
      </w:r>
      <w:proofErr w:type="spellStart"/>
      <w:r w:rsidRPr="002F6042">
        <w:rPr>
          <w:color w:val="000000"/>
        </w:rPr>
        <w:t>sosyo</w:t>
      </w:r>
      <w:proofErr w:type="spellEnd"/>
      <w:r w:rsidRPr="002F6042">
        <w:rPr>
          <w:color w:val="000000"/>
        </w:rPr>
        <w:t xml:space="preserve">-demografik özelliklerin ve akademik başarı ortalamalarının sorgulandığı anket formu), Yaşam Boyu Öğrenme Eğilimleri Ölçeği ve Büyük Beşli </w:t>
      </w:r>
      <w:proofErr w:type="spellStart"/>
      <w:r w:rsidRPr="002F6042">
        <w:rPr>
          <w:color w:val="000000"/>
        </w:rPr>
        <w:t>Envanteri’dir</w:t>
      </w:r>
      <w:proofErr w:type="spellEnd"/>
      <w:r w:rsidRPr="002F6042">
        <w:rPr>
          <w:color w:val="000000"/>
        </w:rPr>
        <w:t>.</w:t>
      </w:r>
    </w:p>
    <w:p w14:paraId="1360BC17" w14:textId="77777777" w:rsidR="00774DA5" w:rsidRPr="002F6042" w:rsidRDefault="00774DA5" w:rsidP="00E57777">
      <w:pPr>
        <w:spacing w:before="120" w:after="120" w:line="276" w:lineRule="auto"/>
        <w:jc w:val="both"/>
        <w:rPr>
          <w:color w:val="000000"/>
        </w:rPr>
      </w:pPr>
      <w:r w:rsidRPr="002F6042">
        <w:rPr>
          <w:b/>
          <w:bCs/>
          <w:i/>
          <w:color w:val="000000"/>
        </w:rPr>
        <w:t>Yaşam boyu öğrenme eğilimleri ölçeği:</w:t>
      </w:r>
      <w:r w:rsidRPr="002F6042">
        <w:rPr>
          <w:color w:val="000000"/>
        </w:rPr>
        <w:t xml:space="preserve"> 6’lı </w:t>
      </w:r>
      <w:proofErr w:type="spellStart"/>
      <w:r w:rsidRPr="002F6042">
        <w:rPr>
          <w:color w:val="000000"/>
        </w:rPr>
        <w:t>likert</w:t>
      </w:r>
      <w:proofErr w:type="spellEnd"/>
      <w:r w:rsidRPr="002F6042">
        <w:rPr>
          <w:color w:val="000000"/>
        </w:rPr>
        <w:t xml:space="preserve"> tipinde ve 27 maddeden oluşan, Coşkun (2009) tarafından geliştirilen ölçeğin merak yoksunluğu, öğrenmeyi düzenlemede yoksunluk, sebat ve güdülenme olmak üzere dört alt boyutu bulunmaktadır. Ölçeğin genel ortalamasından alınabilecek en yüksek puan 162, en düşük puan 27’dir. Ölçekten alınan yüksek puan bireylerin “yaşam boyu öğrenme eğilimlerinin” yüksek olduğu biçiminde yorumlanmaktadır. Ölçeğin, Cronbach </w:t>
      </w:r>
      <w:proofErr w:type="spellStart"/>
      <w:r w:rsidRPr="002F6042">
        <w:rPr>
          <w:color w:val="000000"/>
        </w:rPr>
        <w:t>alpha</w:t>
      </w:r>
      <w:proofErr w:type="spellEnd"/>
      <w:r w:rsidRPr="002F6042">
        <w:rPr>
          <w:color w:val="000000"/>
        </w:rPr>
        <w:t xml:space="preserve"> iç tutarlılık </w:t>
      </w:r>
      <w:proofErr w:type="gramStart"/>
      <w:r w:rsidRPr="002F6042">
        <w:rPr>
          <w:color w:val="000000"/>
        </w:rPr>
        <w:t>katsayısı .</w:t>
      </w:r>
      <w:proofErr w:type="gramEnd"/>
      <w:r w:rsidRPr="002F6042">
        <w:rPr>
          <w:color w:val="000000"/>
        </w:rPr>
        <w:t xml:space="preserve">89’dur. Bu çalışmada ise Cronbach </w:t>
      </w:r>
      <w:proofErr w:type="spellStart"/>
      <w:r w:rsidRPr="002F6042">
        <w:rPr>
          <w:color w:val="000000"/>
        </w:rPr>
        <w:t>alpha</w:t>
      </w:r>
      <w:proofErr w:type="spellEnd"/>
      <w:r w:rsidRPr="002F6042">
        <w:rPr>
          <w:color w:val="000000"/>
        </w:rPr>
        <w:t> test sonucu .893 olarak bulunmuştur.</w:t>
      </w:r>
    </w:p>
    <w:p w14:paraId="011C8757" w14:textId="77777777" w:rsidR="00774DA5" w:rsidRPr="002F6042" w:rsidRDefault="00774DA5" w:rsidP="00E57777">
      <w:pPr>
        <w:spacing w:before="120" w:after="120" w:line="276" w:lineRule="auto"/>
        <w:jc w:val="both"/>
        <w:rPr>
          <w:color w:val="000000"/>
        </w:rPr>
      </w:pPr>
      <w:r w:rsidRPr="002F6042">
        <w:rPr>
          <w:b/>
          <w:bCs/>
          <w:i/>
          <w:color w:val="000000"/>
        </w:rPr>
        <w:t>Büyük beşli envanteri:</w:t>
      </w:r>
      <w:r w:rsidRPr="002F6042">
        <w:rPr>
          <w:color w:val="000000"/>
        </w:rPr>
        <w:t xml:space="preserve"> Envanter, </w:t>
      </w:r>
      <w:proofErr w:type="spellStart"/>
      <w:r w:rsidRPr="002F6042">
        <w:rPr>
          <w:color w:val="000000"/>
        </w:rPr>
        <w:t>Benet</w:t>
      </w:r>
      <w:proofErr w:type="spellEnd"/>
      <w:r w:rsidRPr="002F6042">
        <w:rPr>
          <w:color w:val="000000"/>
        </w:rPr>
        <w:t xml:space="preserve">-Martinez ve John (1998) tarafından, beş faktör kişilik özelliklerinin boyutlarını değerlendirebilmek için geliştirilmiş ve Sümer ve ark. (2005) tarafından Türkçeye uyarlanmıştır. Envanterde beş alt boyut (dışadönüklük, uyumluluk, açıklık, sorumluluk ve nevrotizm) bulunmaktadır. Ölçeğin standartlaştırılmış geçerlilik katsayıları, .90 ile .94 arasında, güvenirlik katsayıları .79 ile .88 arasında değişmektedir. Bu çalışmada ise Cronbach </w:t>
      </w:r>
      <w:proofErr w:type="spellStart"/>
      <w:r w:rsidRPr="002F6042">
        <w:rPr>
          <w:color w:val="000000"/>
        </w:rPr>
        <w:t>alpha</w:t>
      </w:r>
      <w:proofErr w:type="spellEnd"/>
      <w:r w:rsidRPr="002F6042">
        <w:rPr>
          <w:color w:val="000000"/>
        </w:rPr>
        <w:t> test sonucunun .792 ile .815 arasında değiştiği görülmüştür.</w:t>
      </w:r>
    </w:p>
    <w:p w14:paraId="4BB333A3" w14:textId="0445EE73" w:rsidR="007B634A" w:rsidRPr="00D015C6" w:rsidRDefault="00774DA5" w:rsidP="00E57777">
      <w:pPr>
        <w:spacing w:before="120" w:after="120" w:line="276" w:lineRule="auto"/>
        <w:jc w:val="both"/>
        <w:rPr>
          <w:color w:val="000000"/>
        </w:rPr>
      </w:pPr>
      <w:r w:rsidRPr="002F6042">
        <w:rPr>
          <w:b/>
          <w:i/>
          <w:iCs/>
          <w:color w:val="000000"/>
        </w:rPr>
        <w:t>Genel akademik ortalama:</w:t>
      </w:r>
      <w:r w:rsidRPr="002F6042">
        <w:rPr>
          <w:color w:val="000000"/>
        </w:rPr>
        <w:t xml:space="preserve"> Akademik başarının ölçülmesinde, genel akademik ortalama veya genel başarı testi puanları göz önünde bulundurulabilir. </w:t>
      </w:r>
      <w:bookmarkStart w:id="4" w:name="_Hlk137917099"/>
      <w:r w:rsidRPr="002F6042">
        <w:rPr>
          <w:color w:val="000000"/>
        </w:rPr>
        <w:t xml:space="preserve">Çalışmamızda da öğrencilerin akademik başarıları, </w:t>
      </w:r>
      <w:r w:rsidRPr="00D015C6">
        <w:rPr>
          <w:color w:val="000000"/>
        </w:rPr>
        <w:t xml:space="preserve">genel akademik </w:t>
      </w:r>
      <w:r w:rsidR="007B634A" w:rsidRPr="00D015C6">
        <w:rPr>
          <w:color w:val="000000"/>
        </w:rPr>
        <w:t>ortalamaları (ağırlıklı genel not ortalamaları)</w:t>
      </w:r>
      <w:r w:rsidRPr="00D015C6">
        <w:rPr>
          <w:color w:val="000000"/>
        </w:rPr>
        <w:t xml:space="preserve"> üzerinden</w:t>
      </w:r>
      <w:r w:rsidRPr="002F6042">
        <w:rPr>
          <w:color w:val="000000"/>
        </w:rPr>
        <w:t xml:space="preserve"> değerlendirilmiştir.</w:t>
      </w:r>
      <w:bookmarkEnd w:id="4"/>
    </w:p>
    <w:p w14:paraId="6D0FE4BB" w14:textId="73562AC1" w:rsidR="00774DA5" w:rsidRPr="002F6042" w:rsidRDefault="00774DA5" w:rsidP="00E57777">
      <w:pPr>
        <w:spacing w:before="120" w:after="120" w:line="276" w:lineRule="auto"/>
        <w:jc w:val="both"/>
        <w:rPr>
          <w:b/>
          <w:iCs/>
          <w:color w:val="000000"/>
        </w:rPr>
      </w:pPr>
      <w:r>
        <w:rPr>
          <w:b/>
          <w:iCs/>
          <w:color w:val="000000"/>
        </w:rPr>
        <w:t xml:space="preserve">2.4. </w:t>
      </w:r>
      <w:r w:rsidRPr="002F6042">
        <w:rPr>
          <w:b/>
          <w:iCs/>
          <w:color w:val="000000"/>
        </w:rPr>
        <w:t xml:space="preserve">Verilerin </w:t>
      </w:r>
      <w:r>
        <w:rPr>
          <w:b/>
          <w:iCs/>
          <w:color w:val="000000"/>
        </w:rPr>
        <w:t>i</w:t>
      </w:r>
      <w:r w:rsidRPr="002F6042">
        <w:rPr>
          <w:b/>
          <w:iCs/>
          <w:color w:val="000000"/>
        </w:rPr>
        <w:t xml:space="preserve">statistiksel </w:t>
      </w:r>
      <w:r>
        <w:rPr>
          <w:b/>
          <w:iCs/>
          <w:color w:val="000000"/>
        </w:rPr>
        <w:t>a</w:t>
      </w:r>
      <w:r w:rsidRPr="002F6042">
        <w:rPr>
          <w:b/>
          <w:iCs/>
          <w:color w:val="000000"/>
        </w:rPr>
        <w:t>nalizi</w:t>
      </w:r>
    </w:p>
    <w:p w14:paraId="7D66E13C" w14:textId="77777777" w:rsidR="00774DA5" w:rsidRPr="002F6042" w:rsidRDefault="00774DA5" w:rsidP="00E57777">
      <w:pPr>
        <w:spacing w:before="120" w:after="120" w:line="276" w:lineRule="auto"/>
        <w:jc w:val="both"/>
        <w:rPr>
          <w:color w:val="000000"/>
        </w:rPr>
      </w:pPr>
      <w:r w:rsidRPr="002F6042">
        <w:rPr>
          <w:color w:val="000000"/>
        </w:rPr>
        <w:t>Çalışmanın bağımlı değişkeni, YBÖ eğilimi düzeyidir. Bağımsız değişkenleri ise öğrencilerin cinsiyetleri, bölümleri,</w:t>
      </w:r>
      <w:r>
        <w:rPr>
          <w:color w:val="000000"/>
        </w:rPr>
        <w:t xml:space="preserve"> </w:t>
      </w:r>
      <w:r w:rsidRPr="002F6042">
        <w:rPr>
          <w:color w:val="000000"/>
        </w:rPr>
        <w:t>akademik başarı otalamaları, kişilik özellikleridir. Veri analizinde SPSS 21.0 istatistik programı kullanılmış, hangi testlerin kullanılacağına karar vermek için; Yaşam</w:t>
      </w:r>
      <w:r w:rsidRPr="002F6042">
        <w:rPr>
          <w:iCs/>
          <w:color w:val="000000"/>
        </w:rPr>
        <w:t xml:space="preserve"> Boyu Öğrenme Eğilimleri Ölçeği için </w:t>
      </w:r>
      <w:r w:rsidRPr="002F6042">
        <w:rPr>
          <w:color w:val="000000"/>
        </w:rPr>
        <w:t xml:space="preserve">çarpıklık (-.426) ve basıklık (-.557); </w:t>
      </w:r>
      <w:r w:rsidRPr="002F6042">
        <w:rPr>
          <w:iCs/>
          <w:color w:val="000000"/>
        </w:rPr>
        <w:t>Büyük Beşli Envanteri</w:t>
      </w:r>
      <w:r w:rsidRPr="002F6042">
        <w:rPr>
          <w:color w:val="000000"/>
        </w:rPr>
        <w:t xml:space="preserve"> için çarpıklık (-.267) ve basıklık (-.186) değerlerine ulaşılmış ve verilerin normal dağılım gösterdiği sonucuna ulaşılarak çalışmamızda bağımsız örneklem t-testi, </w:t>
      </w:r>
      <w:proofErr w:type="spellStart"/>
      <w:r w:rsidRPr="002F6042">
        <w:rPr>
          <w:color w:val="000000"/>
        </w:rPr>
        <w:t>pearson</w:t>
      </w:r>
      <w:proofErr w:type="spellEnd"/>
      <w:r w:rsidRPr="002F6042">
        <w:rPr>
          <w:color w:val="000000"/>
        </w:rPr>
        <w:t xml:space="preserve"> korelasyonu, varyans analizi ile </w:t>
      </w:r>
      <w:r w:rsidRPr="002F6042">
        <w:rPr>
          <w:bCs/>
          <w:color w:val="000000"/>
        </w:rPr>
        <w:t xml:space="preserve">basit doğrusal regresyon analizi </w:t>
      </w:r>
      <w:r w:rsidRPr="002F6042">
        <w:rPr>
          <w:color w:val="000000"/>
        </w:rPr>
        <w:t xml:space="preserve">kullanılmıştır. </w:t>
      </w:r>
    </w:p>
    <w:p w14:paraId="6EDBC08B" w14:textId="1666FB70" w:rsidR="00774DA5" w:rsidRPr="002F6042" w:rsidRDefault="00774DA5" w:rsidP="00E57777">
      <w:pPr>
        <w:spacing w:before="120" w:after="120" w:line="276" w:lineRule="auto"/>
        <w:rPr>
          <w:b/>
          <w:iCs/>
          <w:color w:val="000000"/>
        </w:rPr>
      </w:pPr>
      <w:r>
        <w:rPr>
          <w:b/>
          <w:iCs/>
          <w:color w:val="000000"/>
        </w:rPr>
        <w:t xml:space="preserve">2.5. </w:t>
      </w:r>
      <w:r w:rsidRPr="002F6042">
        <w:rPr>
          <w:b/>
          <w:iCs/>
          <w:color w:val="000000"/>
        </w:rPr>
        <w:t xml:space="preserve">Araştırmanın </w:t>
      </w:r>
      <w:r>
        <w:rPr>
          <w:b/>
          <w:iCs/>
          <w:color w:val="000000"/>
        </w:rPr>
        <w:t>s</w:t>
      </w:r>
      <w:r w:rsidRPr="002F6042">
        <w:rPr>
          <w:b/>
          <w:iCs/>
          <w:color w:val="000000"/>
        </w:rPr>
        <w:t>ınırlılıkları</w:t>
      </w:r>
    </w:p>
    <w:p w14:paraId="7F76772C" w14:textId="77777777" w:rsidR="00774DA5" w:rsidRPr="002F6042" w:rsidRDefault="00774DA5" w:rsidP="00E57777">
      <w:pPr>
        <w:spacing w:before="120" w:after="120" w:line="276" w:lineRule="auto"/>
        <w:jc w:val="both"/>
        <w:rPr>
          <w:color w:val="000000"/>
        </w:rPr>
      </w:pPr>
      <w:r w:rsidRPr="002F6042">
        <w:rPr>
          <w:color w:val="000000"/>
        </w:rPr>
        <w:t xml:space="preserve">Araştırmanın sadece bir okulda bulunan öğrenciler üzerinde yapılmış olması, araştırmaya sağlık bilimlerinden sadece ebelik, hemşirelik ve fizyoterapi ve rehabilitasyon bölümlerinin dahil edilebilmiş olması ve anketleri cevaplayan öğrencilerin çoğunlukla kadın öğrenciler olması genellenebilirliğini sınırlamaktadır. </w:t>
      </w:r>
    </w:p>
    <w:p w14:paraId="5F6ED359" w14:textId="06D95E2C" w:rsidR="00774DA5" w:rsidRPr="002F6042" w:rsidRDefault="00774DA5" w:rsidP="00E57777">
      <w:pPr>
        <w:spacing w:before="120" w:after="120" w:line="276" w:lineRule="auto"/>
        <w:rPr>
          <w:color w:val="000000"/>
        </w:rPr>
      </w:pPr>
      <w:r>
        <w:rPr>
          <w:b/>
          <w:bCs/>
          <w:color w:val="000000" w:themeColor="text1"/>
        </w:rPr>
        <w:t xml:space="preserve">3. </w:t>
      </w:r>
      <w:r w:rsidRPr="002F6042">
        <w:rPr>
          <w:b/>
          <w:color w:val="000000"/>
        </w:rPr>
        <w:t xml:space="preserve">Bulgular </w:t>
      </w:r>
    </w:p>
    <w:p w14:paraId="055CADF7" w14:textId="7F9C9F00" w:rsidR="00E57777" w:rsidRPr="00E57777" w:rsidRDefault="00774DA5" w:rsidP="00E57777">
      <w:pPr>
        <w:spacing w:before="120" w:after="120" w:line="276" w:lineRule="auto"/>
        <w:jc w:val="both"/>
        <w:rPr>
          <w:color w:val="000000"/>
        </w:rPr>
      </w:pPr>
      <w:r w:rsidRPr="002F6042">
        <w:rPr>
          <w:color w:val="000000"/>
        </w:rPr>
        <w:t>Çalışmaya katılan öğrencilerin YBÖ eğilimleri genel ortalamaları 124.17±</w:t>
      </w:r>
      <w:proofErr w:type="gramStart"/>
      <w:r w:rsidRPr="002F6042">
        <w:rPr>
          <w:color w:val="000000"/>
        </w:rPr>
        <w:t>22.09</w:t>
      </w:r>
      <w:proofErr w:type="gramEnd"/>
      <w:r w:rsidRPr="002F6042">
        <w:rPr>
          <w:color w:val="000000"/>
        </w:rPr>
        <w:t xml:space="preserve"> olarak bulunmuştur. </w:t>
      </w:r>
      <w:bookmarkStart w:id="5" w:name="_Hlk99366759"/>
      <w:r w:rsidRPr="002F6042">
        <w:rPr>
          <w:color w:val="000000"/>
        </w:rPr>
        <w:t>Öğrencilerin cinsiyetlerine göre YBÖ eğilimleri puan ortalamaları Tablo 1’de gösterilmiştir.</w:t>
      </w:r>
      <w:bookmarkEnd w:id="5"/>
      <w:r w:rsidRPr="002F6042">
        <w:rPr>
          <w:color w:val="000000"/>
        </w:rPr>
        <w:t xml:space="preserve"> Tablo 1’e göre </w:t>
      </w:r>
      <w:proofErr w:type="spellStart"/>
      <w:r w:rsidRPr="002F6042">
        <w:rPr>
          <w:color w:val="000000"/>
        </w:rPr>
        <w:t>YBÖ’ye</w:t>
      </w:r>
      <w:proofErr w:type="spellEnd"/>
      <w:r w:rsidRPr="002F6042">
        <w:rPr>
          <w:color w:val="000000"/>
        </w:rPr>
        <w:t xml:space="preserve"> ilişkin eğilim düzeyleri cinsiyete göre anlamlı bir farklılık göstermektedir. Kadın öğrencilerin YBÖ</w:t>
      </w:r>
      <w:r>
        <w:rPr>
          <w:color w:val="000000"/>
        </w:rPr>
        <w:t xml:space="preserve"> </w:t>
      </w:r>
      <w:r w:rsidRPr="002F6042">
        <w:rPr>
          <w:color w:val="000000"/>
        </w:rPr>
        <w:t>eğilimleri daha yüksek bulunmuştur [</w:t>
      </w:r>
      <w:proofErr w:type="gramStart"/>
      <w:r w:rsidRPr="002F6042">
        <w:rPr>
          <w:color w:val="000000"/>
        </w:rPr>
        <w:t>t</w:t>
      </w:r>
      <w:r w:rsidRPr="002F6042">
        <w:rPr>
          <w:color w:val="000000"/>
          <w:vertAlign w:val="subscript"/>
        </w:rPr>
        <w:t>(</w:t>
      </w:r>
      <w:proofErr w:type="gramEnd"/>
      <w:r w:rsidRPr="002F6042">
        <w:rPr>
          <w:color w:val="000000"/>
          <w:vertAlign w:val="subscript"/>
        </w:rPr>
        <w:t>225)</w:t>
      </w:r>
      <w:r w:rsidRPr="002F6042">
        <w:rPr>
          <w:color w:val="000000"/>
        </w:rPr>
        <w:t xml:space="preserve">=4.64, p&lt;.01]. </w:t>
      </w:r>
    </w:p>
    <w:p w14:paraId="38834DB4" w14:textId="5BA8B848" w:rsidR="00AA0AB6" w:rsidRDefault="00774DA5" w:rsidP="00774DA5">
      <w:pPr>
        <w:spacing w:before="120" w:after="120"/>
        <w:rPr>
          <w:b/>
          <w:iCs/>
          <w:color w:val="000000"/>
          <w:sz w:val="20"/>
          <w:szCs w:val="20"/>
        </w:rPr>
      </w:pPr>
      <w:r w:rsidRPr="006620AE">
        <w:rPr>
          <w:b/>
          <w:color w:val="000000"/>
          <w:sz w:val="20"/>
          <w:szCs w:val="20"/>
        </w:rPr>
        <w:lastRenderedPageBreak/>
        <w:t>Tablo1.</w:t>
      </w:r>
      <w:r w:rsidRPr="006620AE">
        <w:rPr>
          <w:color w:val="000000"/>
          <w:sz w:val="20"/>
          <w:szCs w:val="20"/>
        </w:rPr>
        <w:t xml:space="preserve"> </w:t>
      </w:r>
      <w:r w:rsidRPr="006620AE">
        <w:rPr>
          <w:b/>
          <w:iCs/>
          <w:color w:val="000000"/>
          <w:sz w:val="20"/>
          <w:szCs w:val="20"/>
        </w:rPr>
        <w:t>Öğrencilerin Cinsiyetlerine Göre YBÖ Eğilimleri Puan Ortalamaları</w:t>
      </w:r>
    </w:p>
    <w:tbl>
      <w:tblPr>
        <w:tblpPr w:leftFromText="141" w:rightFromText="141" w:vertAnchor="text" w:horzAnchor="margin" w:tblpY="54"/>
        <w:tblW w:w="0" w:type="auto"/>
        <w:tblBorders>
          <w:top w:val="single" w:sz="4" w:space="0" w:color="auto"/>
          <w:bottom w:val="single" w:sz="4" w:space="0" w:color="auto"/>
          <w:insideH w:val="single" w:sz="4" w:space="0" w:color="auto"/>
        </w:tblBorders>
        <w:tblLook w:val="0420" w:firstRow="1" w:lastRow="0" w:firstColumn="0" w:lastColumn="0" w:noHBand="0" w:noVBand="1"/>
      </w:tblPr>
      <w:tblGrid>
        <w:gridCol w:w="817"/>
        <w:gridCol w:w="486"/>
        <w:gridCol w:w="1215"/>
        <w:gridCol w:w="621"/>
        <w:gridCol w:w="486"/>
        <w:gridCol w:w="591"/>
      </w:tblGrid>
      <w:tr w:rsidR="00AA0AB6" w:rsidRPr="00DC52EB" w14:paraId="45C57FB5" w14:textId="77777777" w:rsidTr="00AA0AB6">
        <w:trPr>
          <w:trHeight w:val="404"/>
        </w:trPr>
        <w:tc>
          <w:tcPr>
            <w:tcW w:w="0" w:type="auto"/>
            <w:shd w:val="clear" w:color="auto" w:fill="auto"/>
            <w:hideMark/>
          </w:tcPr>
          <w:p w14:paraId="5B92D98C" w14:textId="77777777" w:rsidR="00AA0AB6" w:rsidRPr="00DC52EB" w:rsidRDefault="00AA0AB6" w:rsidP="00AA0AB6">
            <w:pPr>
              <w:spacing w:line="480" w:lineRule="auto"/>
              <w:jc w:val="both"/>
              <w:rPr>
                <w:b/>
                <w:bCs/>
                <w:color w:val="000000"/>
                <w:sz w:val="18"/>
                <w:szCs w:val="18"/>
              </w:rPr>
            </w:pPr>
            <w:r w:rsidRPr="00DC52EB">
              <w:rPr>
                <w:b/>
                <w:bCs/>
                <w:i/>
                <w:iCs/>
                <w:color w:val="000000"/>
                <w:sz w:val="18"/>
                <w:szCs w:val="18"/>
              </w:rPr>
              <w:t>Cinsiyet</w:t>
            </w:r>
          </w:p>
        </w:tc>
        <w:tc>
          <w:tcPr>
            <w:tcW w:w="0" w:type="auto"/>
            <w:shd w:val="clear" w:color="auto" w:fill="auto"/>
            <w:hideMark/>
          </w:tcPr>
          <w:p w14:paraId="2BB0C8F2" w14:textId="77777777" w:rsidR="00AA0AB6" w:rsidRPr="00DC52EB" w:rsidRDefault="00AA0AB6" w:rsidP="00AA0AB6">
            <w:pPr>
              <w:spacing w:line="480" w:lineRule="auto"/>
              <w:jc w:val="center"/>
              <w:rPr>
                <w:b/>
                <w:bCs/>
                <w:color w:val="000000"/>
                <w:sz w:val="18"/>
                <w:szCs w:val="18"/>
              </w:rPr>
            </w:pPr>
            <w:r w:rsidRPr="00DC52EB">
              <w:rPr>
                <w:b/>
                <w:bCs/>
                <w:i/>
                <w:iCs/>
                <w:color w:val="000000"/>
                <w:sz w:val="18"/>
                <w:szCs w:val="18"/>
              </w:rPr>
              <w:t>N</w:t>
            </w:r>
          </w:p>
        </w:tc>
        <w:tc>
          <w:tcPr>
            <w:tcW w:w="0" w:type="auto"/>
            <w:shd w:val="clear" w:color="auto" w:fill="auto"/>
            <w:hideMark/>
          </w:tcPr>
          <w:p w14:paraId="3819B3C5" w14:textId="77777777" w:rsidR="00AA0AB6" w:rsidRPr="00DC52EB" w:rsidRDefault="00000000" w:rsidP="00AA0AB6">
            <w:pPr>
              <w:spacing w:line="480" w:lineRule="auto"/>
              <w:jc w:val="center"/>
              <w:rPr>
                <w:b/>
                <w:bCs/>
                <w:color w:val="000000"/>
                <w:sz w:val="18"/>
                <w:szCs w:val="18"/>
              </w:rPr>
            </w:pPr>
            <m:oMath>
              <m:acc>
                <m:accPr>
                  <m:chr m:val="̅"/>
                  <m:ctrlPr>
                    <w:rPr>
                      <w:rFonts w:ascii="Cambria Math" w:hAnsi="Cambria Math"/>
                      <w:b/>
                      <w:bCs/>
                      <w:color w:val="000000"/>
                      <w:sz w:val="18"/>
                      <w:szCs w:val="18"/>
                    </w:rPr>
                  </m:ctrlPr>
                </m:accPr>
                <m:e>
                  <m:r>
                    <m:rPr>
                      <m:sty m:val="bi"/>
                    </m:rPr>
                    <w:rPr>
                      <w:rFonts w:ascii="Cambria Math" w:hAnsi="Cambria Math"/>
                      <w:color w:val="000000"/>
                      <w:sz w:val="18"/>
                      <w:szCs w:val="18"/>
                    </w:rPr>
                    <m:t>X</m:t>
                  </m:r>
                </m:e>
              </m:acc>
            </m:oMath>
            <w:r w:rsidR="00AA0AB6" w:rsidRPr="00DC52EB">
              <w:rPr>
                <w:b/>
                <w:bCs/>
                <w:i/>
                <w:iCs/>
                <w:color w:val="000000"/>
                <w:sz w:val="18"/>
                <w:szCs w:val="18"/>
              </w:rPr>
              <w:t>±S</w:t>
            </w:r>
          </w:p>
        </w:tc>
        <w:tc>
          <w:tcPr>
            <w:tcW w:w="0" w:type="auto"/>
            <w:shd w:val="clear" w:color="auto" w:fill="auto"/>
            <w:hideMark/>
          </w:tcPr>
          <w:p w14:paraId="4D126DD3" w14:textId="77777777" w:rsidR="00AA0AB6" w:rsidRPr="00DC52EB" w:rsidRDefault="00AA0AB6" w:rsidP="00AA0AB6">
            <w:pPr>
              <w:spacing w:line="480" w:lineRule="auto"/>
              <w:jc w:val="center"/>
              <w:rPr>
                <w:b/>
                <w:bCs/>
                <w:color w:val="000000"/>
                <w:sz w:val="18"/>
                <w:szCs w:val="18"/>
              </w:rPr>
            </w:pPr>
            <w:proofErr w:type="gramStart"/>
            <w:r w:rsidRPr="00DC52EB">
              <w:rPr>
                <w:b/>
                <w:bCs/>
                <w:i/>
                <w:iCs/>
                <w:color w:val="000000"/>
                <w:sz w:val="18"/>
                <w:szCs w:val="18"/>
              </w:rPr>
              <w:t>t</w:t>
            </w:r>
            <w:proofErr w:type="gramEnd"/>
          </w:p>
        </w:tc>
        <w:tc>
          <w:tcPr>
            <w:tcW w:w="0" w:type="auto"/>
            <w:shd w:val="clear" w:color="auto" w:fill="auto"/>
            <w:hideMark/>
          </w:tcPr>
          <w:p w14:paraId="570C08A6" w14:textId="77777777" w:rsidR="00AA0AB6" w:rsidRPr="00DC52EB" w:rsidRDefault="00AA0AB6" w:rsidP="00AA0AB6">
            <w:pPr>
              <w:spacing w:line="480" w:lineRule="auto"/>
              <w:jc w:val="center"/>
              <w:rPr>
                <w:b/>
                <w:bCs/>
                <w:color w:val="000000"/>
                <w:sz w:val="18"/>
                <w:szCs w:val="18"/>
              </w:rPr>
            </w:pPr>
            <w:proofErr w:type="spellStart"/>
            <w:proofErr w:type="gramStart"/>
            <w:r w:rsidRPr="00DC52EB">
              <w:rPr>
                <w:b/>
                <w:bCs/>
                <w:i/>
                <w:iCs/>
                <w:color w:val="000000"/>
                <w:sz w:val="18"/>
                <w:szCs w:val="18"/>
              </w:rPr>
              <w:t>df</w:t>
            </w:r>
            <w:proofErr w:type="spellEnd"/>
            <w:proofErr w:type="gramEnd"/>
          </w:p>
        </w:tc>
        <w:tc>
          <w:tcPr>
            <w:tcW w:w="0" w:type="auto"/>
            <w:shd w:val="clear" w:color="auto" w:fill="auto"/>
            <w:hideMark/>
          </w:tcPr>
          <w:p w14:paraId="03B4AFB6" w14:textId="77777777" w:rsidR="00AA0AB6" w:rsidRPr="00DC52EB" w:rsidRDefault="00AA0AB6" w:rsidP="00AA0AB6">
            <w:pPr>
              <w:spacing w:line="480" w:lineRule="auto"/>
              <w:jc w:val="center"/>
              <w:rPr>
                <w:b/>
                <w:bCs/>
                <w:color w:val="000000"/>
                <w:sz w:val="18"/>
                <w:szCs w:val="18"/>
              </w:rPr>
            </w:pPr>
            <w:r w:rsidRPr="00DC52EB">
              <w:rPr>
                <w:b/>
                <w:bCs/>
                <w:i/>
                <w:iCs/>
                <w:color w:val="000000"/>
                <w:sz w:val="18"/>
                <w:szCs w:val="18"/>
              </w:rPr>
              <w:t>P</w:t>
            </w:r>
          </w:p>
        </w:tc>
      </w:tr>
      <w:tr w:rsidR="00AA0AB6" w:rsidRPr="00DC52EB" w14:paraId="3EFF6F1A" w14:textId="77777777" w:rsidTr="00AA0AB6">
        <w:trPr>
          <w:trHeight w:val="404"/>
        </w:trPr>
        <w:tc>
          <w:tcPr>
            <w:tcW w:w="0" w:type="auto"/>
            <w:shd w:val="clear" w:color="auto" w:fill="auto"/>
            <w:hideMark/>
          </w:tcPr>
          <w:p w14:paraId="44C10B22" w14:textId="77777777" w:rsidR="00AA0AB6" w:rsidRPr="00DC52EB" w:rsidRDefault="00AA0AB6" w:rsidP="00AA0AB6">
            <w:pPr>
              <w:spacing w:line="480" w:lineRule="auto"/>
              <w:jc w:val="both"/>
              <w:rPr>
                <w:color w:val="000000"/>
                <w:sz w:val="18"/>
                <w:szCs w:val="18"/>
              </w:rPr>
            </w:pPr>
            <w:r w:rsidRPr="00DC52EB">
              <w:rPr>
                <w:color w:val="000000"/>
                <w:sz w:val="18"/>
                <w:szCs w:val="18"/>
              </w:rPr>
              <w:t>Kadın</w:t>
            </w:r>
          </w:p>
        </w:tc>
        <w:tc>
          <w:tcPr>
            <w:tcW w:w="0" w:type="auto"/>
            <w:shd w:val="clear" w:color="auto" w:fill="auto"/>
            <w:hideMark/>
          </w:tcPr>
          <w:p w14:paraId="3CD50306" w14:textId="77777777" w:rsidR="00AA0AB6" w:rsidRPr="00DC52EB" w:rsidRDefault="00AA0AB6" w:rsidP="00AA0AB6">
            <w:pPr>
              <w:spacing w:line="480" w:lineRule="auto"/>
              <w:jc w:val="center"/>
              <w:rPr>
                <w:color w:val="000000"/>
                <w:sz w:val="18"/>
                <w:szCs w:val="18"/>
              </w:rPr>
            </w:pPr>
            <w:r w:rsidRPr="00DC52EB">
              <w:rPr>
                <w:color w:val="000000"/>
                <w:sz w:val="18"/>
                <w:szCs w:val="18"/>
              </w:rPr>
              <w:t>197</w:t>
            </w:r>
          </w:p>
        </w:tc>
        <w:tc>
          <w:tcPr>
            <w:tcW w:w="0" w:type="auto"/>
            <w:shd w:val="clear" w:color="auto" w:fill="auto"/>
            <w:hideMark/>
          </w:tcPr>
          <w:p w14:paraId="52E1D7B1" w14:textId="77777777" w:rsidR="00AA0AB6" w:rsidRPr="00DC52EB" w:rsidRDefault="00AA0AB6" w:rsidP="00AA0AB6">
            <w:pPr>
              <w:spacing w:line="480" w:lineRule="auto"/>
              <w:jc w:val="center"/>
              <w:rPr>
                <w:color w:val="000000"/>
                <w:sz w:val="18"/>
                <w:szCs w:val="18"/>
              </w:rPr>
            </w:pPr>
            <w:r w:rsidRPr="00DC52EB">
              <w:rPr>
                <w:color w:val="000000"/>
                <w:sz w:val="18"/>
                <w:szCs w:val="18"/>
              </w:rPr>
              <w:t>126.71±20.54</w:t>
            </w:r>
          </w:p>
        </w:tc>
        <w:tc>
          <w:tcPr>
            <w:tcW w:w="0" w:type="auto"/>
            <w:vMerge w:val="restart"/>
            <w:shd w:val="clear" w:color="auto" w:fill="auto"/>
            <w:vAlign w:val="center"/>
            <w:hideMark/>
          </w:tcPr>
          <w:p w14:paraId="3D1C8B53" w14:textId="77777777" w:rsidR="00AA0AB6" w:rsidRPr="00DC52EB" w:rsidRDefault="00AA0AB6" w:rsidP="00AA0AB6">
            <w:pPr>
              <w:spacing w:line="480" w:lineRule="auto"/>
              <w:jc w:val="center"/>
              <w:rPr>
                <w:color w:val="000000"/>
                <w:sz w:val="18"/>
                <w:szCs w:val="18"/>
              </w:rPr>
            </w:pPr>
            <w:r w:rsidRPr="00DC52EB">
              <w:rPr>
                <w:color w:val="000000"/>
                <w:sz w:val="18"/>
                <w:szCs w:val="18"/>
              </w:rPr>
              <w:t>4.642</w:t>
            </w:r>
          </w:p>
        </w:tc>
        <w:tc>
          <w:tcPr>
            <w:tcW w:w="0" w:type="auto"/>
            <w:vMerge w:val="restart"/>
            <w:shd w:val="clear" w:color="auto" w:fill="auto"/>
            <w:vAlign w:val="center"/>
            <w:hideMark/>
          </w:tcPr>
          <w:p w14:paraId="0B19C9D2" w14:textId="77777777" w:rsidR="00AA0AB6" w:rsidRPr="00DC52EB" w:rsidRDefault="00AA0AB6" w:rsidP="00AA0AB6">
            <w:pPr>
              <w:spacing w:line="480" w:lineRule="auto"/>
              <w:jc w:val="center"/>
              <w:rPr>
                <w:color w:val="000000"/>
                <w:sz w:val="18"/>
                <w:szCs w:val="18"/>
              </w:rPr>
            </w:pPr>
            <w:r w:rsidRPr="00DC52EB">
              <w:rPr>
                <w:color w:val="000000"/>
                <w:sz w:val="18"/>
                <w:szCs w:val="18"/>
              </w:rPr>
              <w:t>225</w:t>
            </w:r>
          </w:p>
        </w:tc>
        <w:tc>
          <w:tcPr>
            <w:tcW w:w="0" w:type="auto"/>
            <w:vMerge w:val="restart"/>
            <w:shd w:val="clear" w:color="auto" w:fill="auto"/>
            <w:vAlign w:val="center"/>
            <w:hideMark/>
          </w:tcPr>
          <w:p w14:paraId="77602885" w14:textId="77777777" w:rsidR="00AA0AB6" w:rsidRPr="00DC52EB" w:rsidRDefault="00AA0AB6" w:rsidP="00AA0AB6">
            <w:pPr>
              <w:spacing w:line="480" w:lineRule="auto"/>
              <w:jc w:val="center"/>
              <w:rPr>
                <w:b/>
                <w:color w:val="000000"/>
                <w:sz w:val="18"/>
                <w:szCs w:val="18"/>
                <w:vertAlign w:val="superscript"/>
              </w:rPr>
            </w:pPr>
            <w:r w:rsidRPr="00DC52EB">
              <w:rPr>
                <w:b/>
                <w:color w:val="000000"/>
                <w:sz w:val="18"/>
                <w:szCs w:val="18"/>
              </w:rPr>
              <w:t>.000</w:t>
            </w:r>
            <w:r w:rsidRPr="00DC52EB">
              <w:rPr>
                <w:b/>
                <w:color w:val="000000"/>
                <w:sz w:val="18"/>
                <w:szCs w:val="18"/>
                <w:vertAlign w:val="superscript"/>
              </w:rPr>
              <w:t>*</w:t>
            </w:r>
          </w:p>
        </w:tc>
      </w:tr>
      <w:tr w:rsidR="00AA0AB6" w:rsidRPr="00DC52EB" w14:paraId="62E811ED" w14:textId="77777777" w:rsidTr="00AA0AB6">
        <w:trPr>
          <w:trHeight w:val="404"/>
        </w:trPr>
        <w:tc>
          <w:tcPr>
            <w:tcW w:w="0" w:type="auto"/>
            <w:shd w:val="clear" w:color="auto" w:fill="auto"/>
            <w:hideMark/>
          </w:tcPr>
          <w:p w14:paraId="68560ACA" w14:textId="77777777" w:rsidR="00AA0AB6" w:rsidRPr="00DC52EB" w:rsidRDefault="00AA0AB6" w:rsidP="00AA0AB6">
            <w:pPr>
              <w:spacing w:line="480" w:lineRule="auto"/>
              <w:jc w:val="both"/>
              <w:rPr>
                <w:color w:val="000000"/>
                <w:sz w:val="18"/>
                <w:szCs w:val="18"/>
              </w:rPr>
            </w:pPr>
            <w:r w:rsidRPr="00DC52EB">
              <w:rPr>
                <w:color w:val="000000"/>
                <w:sz w:val="18"/>
                <w:szCs w:val="18"/>
              </w:rPr>
              <w:t>Erkek</w:t>
            </w:r>
          </w:p>
        </w:tc>
        <w:tc>
          <w:tcPr>
            <w:tcW w:w="0" w:type="auto"/>
            <w:shd w:val="clear" w:color="auto" w:fill="auto"/>
            <w:hideMark/>
          </w:tcPr>
          <w:p w14:paraId="47E8D920" w14:textId="77777777" w:rsidR="00AA0AB6" w:rsidRPr="00DC52EB" w:rsidRDefault="00AA0AB6" w:rsidP="00AA0AB6">
            <w:pPr>
              <w:spacing w:line="480" w:lineRule="auto"/>
              <w:jc w:val="center"/>
              <w:rPr>
                <w:color w:val="000000"/>
                <w:sz w:val="18"/>
                <w:szCs w:val="18"/>
              </w:rPr>
            </w:pPr>
            <w:r w:rsidRPr="00DC52EB">
              <w:rPr>
                <w:color w:val="000000"/>
                <w:sz w:val="18"/>
                <w:szCs w:val="18"/>
              </w:rPr>
              <w:t>30</w:t>
            </w:r>
          </w:p>
        </w:tc>
        <w:tc>
          <w:tcPr>
            <w:tcW w:w="0" w:type="auto"/>
            <w:shd w:val="clear" w:color="auto" w:fill="auto"/>
            <w:hideMark/>
          </w:tcPr>
          <w:p w14:paraId="4ADE7020" w14:textId="77777777" w:rsidR="00AA0AB6" w:rsidRPr="00DC52EB" w:rsidRDefault="00AA0AB6" w:rsidP="00AA0AB6">
            <w:pPr>
              <w:spacing w:line="480" w:lineRule="auto"/>
              <w:jc w:val="center"/>
              <w:rPr>
                <w:color w:val="000000"/>
                <w:sz w:val="18"/>
                <w:szCs w:val="18"/>
              </w:rPr>
            </w:pPr>
            <w:r w:rsidRPr="00DC52EB">
              <w:rPr>
                <w:color w:val="000000"/>
                <w:sz w:val="18"/>
                <w:szCs w:val="18"/>
              </w:rPr>
              <w:t>107.46±24.92</w:t>
            </w:r>
          </w:p>
        </w:tc>
        <w:tc>
          <w:tcPr>
            <w:tcW w:w="0" w:type="auto"/>
            <w:vMerge/>
            <w:shd w:val="clear" w:color="auto" w:fill="auto"/>
            <w:hideMark/>
          </w:tcPr>
          <w:p w14:paraId="52804AC0" w14:textId="77777777" w:rsidR="00AA0AB6" w:rsidRPr="00DC52EB" w:rsidRDefault="00AA0AB6" w:rsidP="00AA0AB6">
            <w:pPr>
              <w:spacing w:line="480" w:lineRule="auto"/>
              <w:jc w:val="both"/>
              <w:rPr>
                <w:color w:val="000000"/>
                <w:sz w:val="18"/>
                <w:szCs w:val="18"/>
              </w:rPr>
            </w:pPr>
          </w:p>
        </w:tc>
        <w:tc>
          <w:tcPr>
            <w:tcW w:w="0" w:type="auto"/>
            <w:vMerge/>
            <w:shd w:val="clear" w:color="auto" w:fill="auto"/>
            <w:hideMark/>
          </w:tcPr>
          <w:p w14:paraId="1EC07A66" w14:textId="77777777" w:rsidR="00AA0AB6" w:rsidRPr="00DC52EB" w:rsidRDefault="00AA0AB6" w:rsidP="00AA0AB6">
            <w:pPr>
              <w:spacing w:line="480" w:lineRule="auto"/>
              <w:jc w:val="both"/>
              <w:rPr>
                <w:color w:val="000000"/>
                <w:sz w:val="18"/>
                <w:szCs w:val="18"/>
              </w:rPr>
            </w:pPr>
          </w:p>
        </w:tc>
        <w:tc>
          <w:tcPr>
            <w:tcW w:w="0" w:type="auto"/>
            <w:vMerge/>
            <w:shd w:val="clear" w:color="auto" w:fill="auto"/>
            <w:hideMark/>
          </w:tcPr>
          <w:p w14:paraId="59245BF1" w14:textId="77777777" w:rsidR="00AA0AB6" w:rsidRPr="00DC52EB" w:rsidRDefault="00AA0AB6" w:rsidP="00AA0AB6">
            <w:pPr>
              <w:spacing w:line="480" w:lineRule="auto"/>
              <w:jc w:val="both"/>
              <w:rPr>
                <w:color w:val="000000"/>
                <w:sz w:val="18"/>
                <w:szCs w:val="18"/>
              </w:rPr>
            </w:pPr>
          </w:p>
        </w:tc>
      </w:tr>
    </w:tbl>
    <w:p w14:paraId="2303AE4A" w14:textId="77777777" w:rsidR="00AA0AB6" w:rsidRDefault="00AA0AB6" w:rsidP="00774DA5">
      <w:pPr>
        <w:spacing w:before="120" w:after="120"/>
        <w:rPr>
          <w:b/>
          <w:iCs/>
          <w:color w:val="000000"/>
          <w:sz w:val="20"/>
          <w:szCs w:val="20"/>
        </w:rPr>
      </w:pPr>
    </w:p>
    <w:p w14:paraId="059E125C" w14:textId="77777777" w:rsidR="00AA0AB6" w:rsidRDefault="00AA0AB6" w:rsidP="00774DA5">
      <w:pPr>
        <w:spacing w:before="120" w:after="120"/>
        <w:rPr>
          <w:b/>
          <w:iCs/>
          <w:color w:val="000000"/>
          <w:sz w:val="20"/>
          <w:szCs w:val="20"/>
        </w:rPr>
      </w:pPr>
    </w:p>
    <w:p w14:paraId="6D79CD44" w14:textId="77777777" w:rsidR="00AA0AB6" w:rsidRDefault="00AA0AB6" w:rsidP="00774DA5">
      <w:pPr>
        <w:spacing w:before="120" w:after="120"/>
        <w:rPr>
          <w:b/>
          <w:iCs/>
          <w:color w:val="000000"/>
          <w:sz w:val="20"/>
          <w:szCs w:val="20"/>
        </w:rPr>
      </w:pPr>
    </w:p>
    <w:p w14:paraId="393C9753" w14:textId="77777777" w:rsidR="00774DA5" w:rsidRDefault="00774DA5" w:rsidP="00774DA5">
      <w:pPr>
        <w:widowControl/>
        <w:autoSpaceDE/>
        <w:autoSpaceDN/>
        <w:spacing w:before="120" w:after="120"/>
        <w:jc w:val="both"/>
        <w:rPr>
          <w:color w:val="000000" w:themeColor="text1"/>
        </w:rPr>
      </w:pPr>
    </w:p>
    <w:p w14:paraId="6C0BEAAE" w14:textId="6030F553" w:rsidR="00AA0AB6" w:rsidRPr="002F6042" w:rsidRDefault="00774DA5" w:rsidP="00E57777">
      <w:pPr>
        <w:spacing w:before="120" w:after="120" w:line="276" w:lineRule="auto"/>
        <w:rPr>
          <w:color w:val="000000"/>
        </w:rPr>
      </w:pPr>
      <w:r w:rsidRPr="002F6042">
        <w:rPr>
          <w:color w:val="000000"/>
        </w:rPr>
        <w:t xml:space="preserve">Öğrencilerin öğrenim gördükleri bölümlere göre YBÖ eğilimleri puan ortalamaları Tablo 2’de gösterilmiştir. </w:t>
      </w:r>
    </w:p>
    <w:tbl>
      <w:tblPr>
        <w:tblpPr w:leftFromText="141" w:rightFromText="141" w:vertAnchor="text" w:horzAnchor="margin" w:tblpY="667"/>
        <w:tblW w:w="0" w:type="auto"/>
        <w:tblBorders>
          <w:top w:val="single" w:sz="4" w:space="0" w:color="auto"/>
          <w:left w:val="single" w:sz="4" w:space="0" w:color="DBDBDB"/>
          <w:bottom w:val="single" w:sz="4" w:space="0" w:color="auto"/>
          <w:right w:val="single" w:sz="4" w:space="0" w:color="DBDBDB"/>
          <w:insideH w:val="single" w:sz="4" w:space="0" w:color="auto"/>
          <w:insideV w:val="single" w:sz="4" w:space="0" w:color="DBDBDB"/>
        </w:tblBorders>
        <w:tblLook w:val="04A0" w:firstRow="1" w:lastRow="0" w:firstColumn="1" w:lastColumn="0" w:noHBand="0" w:noVBand="1"/>
      </w:tblPr>
      <w:tblGrid>
        <w:gridCol w:w="2416"/>
        <w:gridCol w:w="486"/>
        <w:gridCol w:w="1125"/>
        <w:gridCol w:w="621"/>
        <w:gridCol w:w="531"/>
      </w:tblGrid>
      <w:tr w:rsidR="00AA0AB6" w:rsidRPr="00DC52EB" w14:paraId="36F6D665" w14:textId="77777777" w:rsidTr="00AA0AB6">
        <w:tc>
          <w:tcPr>
            <w:tcW w:w="0" w:type="auto"/>
            <w:shd w:val="clear" w:color="auto" w:fill="auto"/>
          </w:tcPr>
          <w:p w14:paraId="20709C86" w14:textId="77777777" w:rsidR="00AA0AB6" w:rsidRPr="00DC52EB" w:rsidRDefault="00AA0AB6" w:rsidP="00AA0AB6">
            <w:pPr>
              <w:spacing w:line="480" w:lineRule="auto"/>
              <w:jc w:val="both"/>
              <w:rPr>
                <w:b/>
                <w:bCs/>
                <w:i/>
                <w:iCs/>
                <w:color w:val="000000"/>
                <w:sz w:val="18"/>
                <w:szCs w:val="18"/>
              </w:rPr>
            </w:pPr>
            <w:r w:rsidRPr="00DC52EB">
              <w:rPr>
                <w:b/>
                <w:bCs/>
                <w:i/>
                <w:iCs/>
                <w:color w:val="000000"/>
                <w:sz w:val="18"/>
                <w:szCs w:val="18"/>
              </w:rPr>
              <w:t xml:space="preserve">Bölüm </w:t>
            </w:r>
          </w:p>
        </w:tc>
        <w:tc>
          <w:tcPr>
            <w:tcW w:w="0" w:type="auto"/>
            <w:shd w:val="clear" w:color="auto" w:fill="auto"/>
          </w:tcPr>
          <w:p w14:paraId="1B318026" w14:textId="77777777" w:rsidR="00AA0AB6" w:rsidRPr="00DC52EB" w:rsidRDefault="00AA0AB6" w:rsidP="00AA0AB6">
            <w:pPr>
              <w:spacing w:line="480" w:lineRule="auto"/>
              <w:jc w:val="center"/>
              <w:rPr>
                <w:b/>
                <w:bCs/>
                <w:i/>
                <w:iCs/>
                <w:color w:val="000000"/>
                <w:sz w:val="18"/>
                <w:szCs w:val="18"/>
              </w:rPr>
            </w:pPr>
            <w:r w:rsidRPr="00DC52EB">
              <w:rPr>
                <w:b/>
                <w:bCs/>
                <w:i/>
                <w:iCs/>
                <w:color w:val="000000"/>
                <w:sz w:val="18"/>
                <w:szCs w:val="18"/>
              </w:rPr>
              <w:t>N</w:t>
            </w:r>
          </w:p>
        </w:tc>
        <w:tc>
          <w:tcPr>
            <w:tcW w:w="0" w:type="auto"/>
            <w:shd w:val="clear" w:color="auto" w:fill="auto"/>
          </w:tcPr>
          <w:p w14:paraId="550DDF83" w14:textId="77777777" w:rsidR="00AA0AB6" w:rsidRPr="00DC52EB" w:rsidRDefault="00000000" w:rsidP="00AA0AB6">
            <w:pPr>
              <w:spacing w:line="480" w:lineRule="auto"/>
              <w:jc w:val="center"/>
              <w:rPr>
                <w:b/>
                <w:bCs/>
                <w:i/>
                <w:iCs/>
                <w:color w:val="000000"/>
                <w:sz w:val="18"/>
                <w:szCs w:val="18"/>
              </w:rPr>
            </w:pPr>
            <m:oMath>
              <m:acc>
                <m:accPr>
                  <m:chr m:val="̅"/>
                  <m:ctrlPr>
                    <w:rPr>
                      <w:rFonts w:ascii="Cambria Math" w:eastAsia="Calibri" w:hAnsi="Cambria Math"/>
                      <w:b/>
                      <w:bCs/>
                      <w:i/>
                      <w:iCs/>
                      <w:color w:val="000000"/>
                      <w:sz w:val="18"/>
                      <w:szCs w:val="18"/>
                    </w:rPr>
                  </m:ctrlPr>
                </m:accPr>
                <m:e>
                  <m:r>
                    <m:rPr>
                      <m:sty m:val="bi"/>
                    </m:rPr>
                    <w:rPr>
                      <w:rFonts w:ascii="Cambria Math" w:hAnsi="Cambria Math"/>
                      <w:color w:val="000000"/>
                      <w:sz w:val="18"/>
                      <w:szCs w:val="18"/>
                    </w:rPr>
                    <m:t>X</m:t>
                  </m:r>
                </m:e>
              </m:acc>
            </m:oMath>
            <w:r w:rsidR="00AA0AB6" w:rsidRPr="00DC52EB">
              <w:rPr>
                <w:b/>
                <w:bCs/>
                <w:i/>
                <w:iCs/>
                <w:color w:val="000000"/>
                <w:sz w:val="18"/>
                <w:szCs w:val="18"/>
              </w:rPr>
              <w:t>±S</w:t>
            </w:r>
          </w:p>
        </w:tc>
        <w:tc>
          <w:tcPr>
            <w:tcW w:w="0" w:type="auto"/>
            <w:shd w:val="clear" w:color="auto" w:fill="auto"/>
          </w:tcPr>
          <w:p w14:paraId="104476CA" w14:textId="77777777" w:rsidR="00AA0AB6" w:rsidRPr="00DC52EB" w:rsidRDefault="00AA0AB6" w:rsidP="00AA0AB6">
            <w:pPr>
              <w:spacing w:line="480" w:lineRule="auto"/>
              <w:jc w:val="center"/>
              <w:rPr>
                <w:b/>
                <w:bCs/>
                <w:i/>
                <w:iCs/>
                <w:color w:val="000000"/>
                <w:sz w:val="18"/>
                <w:szCs w:val="18"/>
              </w:rPr>
            </w:pPr>
            <w:r w:rsidRPr="00DC52EB">
              <w:rPr>
                <w:b/>
                <w:bCs/>
                <w:i/>
                <w:iCs/>
                <w:color w:val="000000"/>
                <w:sz w:val="18"/>
                <w:szCs w:val="18"/>
              </w:rPr>
              <w:t>F</w:t>
            </w:r>
          </w:p>
        </w:tc>
        <w:tc>
          <w:tcPr>
            <w:tcW w:w="0" w:type="auto"/>
            <w:shd w:val="clear" w:color="auto" w:fill="auto"/>
          </w:tcPr>
          <w:p w14:paraId="2D8DE0D3" w14:textId="77777777" w:rsidR="00AA0AB6" w:rsidRPr="00DC52EB" w:rsidRDefault="00AA0AB6" w:rsidP="00AA0AB6">
            <w:pPr>
              <w:spacing w:line="480" w:lineRule="auto"/>
              <w:jc w:val="center"/>
              <w:rPr>
                <w:b/>
                <w:bCs/>
                <w:i/>
                <w:iCs/>
                <w:color w:val="000000"/>
                <w:sz w:val="18"/>
                <w:szCs w:val="18"/>
              </w:rPr>
            </w:pPr>
            <w:r w:rsidRPr="00DC52EB">
              <w:rPr>
                <w:b/>
                <w:bCs/>
                <w:i/>
                <w:iCs/>
                <w:color w:val="000000"/>
                <w:sz w:val="18"/>
                <w:szCs w:val="18"/>
              </w:rPr>
              <w:t>P</w:t>
            </w:r>
          </w:p>
        </w:tc>
      </w:tr>
      <w:tr w:rsidR="00AA0AB6" w:rsidRPr="00DC52EB" w14:paraId="0505883B" w14:textId="77777777" w:rsidTr="00AA0AB6">
        <w:tc>
          <w:tcPr>
            <w:tcW w:w="0" w:type="auto"/>
            <w:shd w:val="clear" w:color="auto" w:fill="auto"/>
          </w:tcPr>
          <w:p w14:paraId="368BAF11" w14:textId="77777777" w:rsidR="00AA0AB6" w:rsidRPr="00DC52EB" w:rsidRDefault="00AA0AB6" w:rsidP="00AA0AB6">
            <w:pPr>
              <w:spacing w:line="480" w:lineRule="auto"/>
              <w:jc w:val="both"/>
              <w:rPr>
                <w:b/>
                <w:bCs/>
                <w:i/>
                <w:iCs/>
                <w:color w:val="000000"/>
                <w:sz w:val="18"/>
                <w:szCs w:val="18"/>
              </w:rPr>
            </w:pPr>
            <w:r w:rsidRPr="00DC52EB">
              <w:rPr>
                <w:b/>
                <w:bCs/>
                <w:i/>
                <w:iCs/>
                <w:color w:val="000000"/>
                <w:sz w:val="18"/>
                <w:szCs w:val="18"/>
              </w:rPr>
              <w:t>Hemşirelik</w:t>
            </w:r>
          </w:p>
        </w:tc>
        <w:tc>
          <w:tcPr>
            <w:tcW w:w="0" w:type="auto"/>
            <w:shd w:val="clear" w:color="auto" w:fill="auto"/>
          </w:tcPr>
          <w:p w14:paraId="27C7F8DE" w14:textId="77777777" w:rsidR="00AA0AB6" w:rsidRPr="00DC52EB" w:rsidRDefault="00AA0AB6" w:rsidP="00AA0AB6">
            <w:pPr>
              <w:spacing w:line="480" w:lineRule="auto"/>
              <w:jc w:val="center"/>
              <w:rPr>
                <w:i/>
                <w:iCs/>
                <w:color w:val="000000"/>
                <w:sz w:val="18"/>
                <w:szCs w:val="18"/>
              </w:rPr>
            </w:pPr>
            <w:r w:rsidRPr="00DC52EB">
              <w:rPr>
                <w:i/>
                <w:iCs/>
                <w:color w:val="000000"/>
                <w:sz w:val="18"/>
                <w:szCs w:val="18"/>
              </w:rPr>
              <w:t>107</w:t>
            </w:r>
          </w:p>
        </w:tc>
        <w:tc>
          <w:tcPr>
            <w:tcW w:w="0" w:type="auto"/>
            <w:shd w:val="clear" w:color="auto" w:fill="auto"/>
          </w:tcPr>
          <w:p w14:paraId="3DA32062" w14:textId="3B14AC47" w:rsidR="00AA0AB6" w:rsidRPr="00DC52EB" w:rsidRDefault="00AA0AB6" w:rsidP="00AA0AB6">
            <w:pPr>
              <w:spacing w:line="480" w:lineRule="auto"/>
              <w:jc w:val="center"/>
              <w:rPr>
                <w:i/>
                <w:iCs/>
                <w:color w:val="000000"/>
                <w:sz w:val="18"/>
                <w:szCs w:val="18"/>
              </w:rPr>
            </w:pPr>
            <w:r w:rsidRPr="00DC52EB">
              <w:rPr>
                <w:i/>
                <w:iCs/>
                <w:color w:val="000000"/>
                <w:sz w:val="18"/>
                <w:szCs w:val="18"/>
              </w:rPr>
              <w:t>88</w:t>
            </w:r>
            <w:r w:rsidR="00FD329C">
              <w:rPr>
                <w:i/>
                <w:iCs/>
                <w:color w:val="000000"/>
                <w:sz w:val="18"/>
                <w:szCs w:val="18"/>
              </w:rPr>
              <w:t>.</w:t>
            </w:r>
            <w:r w:rsidRPr="00DC52EB">
              <w:rPr>
                <w:i/>
                <w:iCs/>
                <w:color w:val="000000"/>
                <w:sz w:val="18"/>
                <w:szCs w:val="18"/>
              </w:rPr>
              <w:t>40±19</w:t>
            </w:r>
            <w:r w:rsidR="00FD329C">
              <w:rPr>
                <w:i/>
                <w:iCs/>
                <w:color w:val="000000"/>
                <w:sz w:val="18"/>
                <w:szCs w:val="18"/>
              </w:rPr>
              <w:t>.</w:t>
            </w:r>
            <w:r w:rsidRPr="00DC52EB">
              <w:rPr>
                <w:i/>
                <w:iCs/>
                <w:color w:val="000000"/>
                <w:sz w:val="18"/>
                <w:szCs w:val="18"/>
              </w:rPr>
              <w:t>45</w:t>
            </w:r>
          </w:p>
        </w:tc>
        <w:tc>
          <w:tcPr>
            <w:tcW w:w="0" w:type="auto"/>
            <w:vMerge w:val="restart"/>
            <w:shd w:val="clear" w:color="auto" w:fill="auto"/>
            <w:vAlign w:val="center"/>
          </w:tcPr>
          <w:p w14:paraId="361E313C" w14:textId="689D7D2B" w:rsidR="00AA0AB6" w:rsidRPr="00DC52EB" w:rsidRDefault="00AA0AB6" w:rsidP="00AA0AB6">
            <w:pPr>
              <w:spacing w:line="480" w:lineRule="auto"/>
              <w:jc w:val="center"/>
              <w:rPr>
                <w:i/>
                <w:iCs/>
                <w:color w:val="000000"/>
                <w:sz w:val="18"/>
                <w:szCs w:val="18"/>
              </w:rPr>
            </w:pPr>
            <w:r w:rsidRPr="00DC52EB">
              <w:rPr>
                <w:i/>
                <w:iCs/>
                <w:color w:val="000000"/>
                <w:sz w:val="18"/>
                <w:szCs w:val="18"/>
              </w:rPr>
              <w:t>1</w:t>
            </w:r>
            <w:r w:rsidR="00FD329C">
              <w:rPr>
                <w:i/>
                <w:iCs/>
                <w:color w:val="000000"/>
                <w:sz w:val="18"/>
                <w:szCs w:val="18"/>
              </w:rPr>
              <w:t>.</w:t>
            </w:r>
            <w:r w:rsidRPr="00DC52EB">
              <w:rPr>
                <w:i/>
                <w:iCs/>
                <w:color w:val="000000"/>
                <w:sz w:val="18"/>
                <w:szCs w:val="18"/>
              </w:rPr>
              <w:t>669</w:t>
            </w:r>
          </w:p>
        </w:tc>
        <w:tc>
          <w:tcPr>
            <w:tcW w:w="0" w:type="auto"/>
            <w:vMerge w:val="restart"/>
            <w:shd w:val="clear" w:color="auto" w:fill="auto"/>
            <w:vAlign w:val="center"/>
          </w:tcPr>
          <w:p w14:paraId="3F539846" w14:textId="77777777" w:rsidR="00AA0AB6" w:rsidRPr="00DC52EB" w:rsidRDefault="00AA0AB6" w:rsidP="00AA0AB6">
            <w:pPr>
              <w:spacing w:line="480" w:lineRule="auto"/>
              <w:jc w:val="center"/>
              <w:rPr>
                <w:i/>
                <w:iCs/>
                <w:color w:val="000000"/>
                <w:sz w:val="18"/>
                <w:szCs w:val="18"/>
              </w:rPr>
            </w:pPr>
            <w:r w:rsidRPr="00DC52EB">
              <w:rPr>
                <w:i/>
                <w:iCs/>
                <w:color w:val="000000"/>
                <w:sz w:val="18"/>
                <w:szCs w:val="18"/>
              </w:rPr>
              <w:t>.191</w:t>
            </w:r>
          </w:p>
        </w:tc>
      </w:tr>
      <w:tr w:rsidR="00AA0AB6" w:rsidRPr="00DC52EB" w14:paraId="67008776" w14:textId="77777777" w:rsidTr="00AA0AB6">
        <w:tc>
          <w:tcPr>
            <w:tcW w:w="0" w:type="auto"/>
            <w:shd w:val="clear" w:color="auto" w:fill="auto"/>
          </w:tcPr>
          <w:p w14:paraId="4047E7E5" w14:textId="77777777" w:rsidR="00AA0AB6" w:rsidRPr="00DC52EB" w:rsidRDefault="00AA0AB6" w:rsidP="00AA0AB6">
            <w:pPr>
              <w:spacing w:line="480" w:lineRule="auto"/>
              <w:jc w:val="both"/>
              <w:rPr>
                <w:b/>
                <w:bCs/>
                <w:i/>
                <w:iCs/>
                <w:color w:val="000000"/>
                <w:sz w:val="18"/>
                <w:szCs w:val="18"/>
              </w:rPr>
            </w:pPr>
            <w:r w:rsidRPr="00DC52EB">
              <w:rPr>
                <w:b/>
                <w:bCs/>
                <w:i/>
                <w:iCs/>
                <w:color w:val="000000"/>
                <w:sz w:val="18"/>
                <w:szCs w:val="18"/>
              </w:rPr>
              <w:t xml:space="preserve">Ebelik </w:t>
            </w:r>
          </w:p>
        </w:tc>
        <w:tc>
          <w:tcPr>
            <w:tcW w:w="0" w:type="auto"/>
            <w:shd w:val="clear" w:color="auto" w:fill="auto"/>
          </w:tcPr>
          <w:p w14:paraId="21981954" w14:textId="77777777" w:rsidR="00AA0AB6" w:rsidRPr="00DC52EB" w:rsidRDefault="00AA0AB6" w:rsidP="00AA0AB6">
            <w:pPr>
              <w:spacing w:line="480" w:lineRule="auto"/>
              <w:jc w:val="center"/>
              <w:rPr>
                <w:i/>
                <w:iCs/>
                <w:color w:val="000000"/>
                <w:sz w:val="18"/>
                <w:szCs w:val="18"/>
              </w:rPr>
            </w:pPr>
            <w:r w:rsidRPr="00DC52EB">
              <w:rPr>
                <w:i/>
                <w:iCs/>
                <w:color w:val="000000"/>
                <w:sz w:val="18"/>
                <w:szCs w:val="18"/>
              </w:rPr>
              <w:t>48</w:t>
            </w:r>
          </w:p>
        </w:tc>
        <w:tc>
          <w:tcPr>
            <w:tcW w:w="0" w:type="auto"/>
            <w:shd w:val="clear" w:color="auto" w:fill="auto"/>
          </w:tcPr>
          <w:p w14:paraId="63107CE3" w14:textId="65F1B5DF" w:rsidR="00AA0AB6" w:rsidRPr="00DC52EB" w:rsidRDefault="00AA0AB6" w:rsidP="00AA0AB6">
            <w:pPr>
              <w:spacing w:line="480" w:lineRule="auto"/>
              <w:jc w:val="center"/>
              <w:rPr>
                <w:i/>
                <w:iCs/>
                <w:color w:val="000000"/>
                <w:sz w:val="18"/>
                <w:szCs w:val="18"/>
              </w:rPr>
            </w:pPr>
            <w:r w:rsidRPr="00DC52EB">
              <w:rPr>
                <w:i/>
                <w:iCs/>
                <w:color w:val="000000"/>
                <w:sz w:val="18"/>
                <w:szCs w:val="18"/>
              </w:rPr>
              <w:t>91</w:t>
            </w:r>
            <w:r w:rsidR="00FD329C">
              <w:rPr>
                <w:i/>
                <w:iCs/>
                <w:color w:val="000000"/>
                <w:sz w:val="18"/>
                <w:szCs w:val="18"/>
              </w:rPr>
              <w:t>.</w:t>
            </w:r>
            <w:r w:rsidRPr="00DC52EB">
              <w:rPr>
                <w:i/>
                <w:iCs/>
                <w:color w:val="000000"/>
                <w:sz w:val="18"/>
                <w:szCs w:val="18"/>
              </w:rPr>
              <w:t>02±16</w:t>
            </w:r>
            <w:r w:rsidR="00FD329C">
              <w:rPr>
                <w:i/>
                <w:iCs/>
                <w:color w:val="000000"/>
                <w:sz w:val="18"/>
                <w:szCs w:val="18"/>
              </w:rPr>
              <w:t>.</w:t>
            </w:r>
            <w:r w:rsidRPr="00DC52EB">
              <w:rPr>
                <w:i/>
                <w:iCs/>
                <w:color w:val="000000"/>
                <w:sz w:val="18"/>
                <w:szCs w:val="18"/>
              </w:rPr>
              <w:t>33</w:t>
            </w:r>
          </w:p>
        </w:tc>
        <w:tc>
          <w:tcPr>
            <w:tcW w:w="0" w:type="auto"/>
            <w:vMerge/>
            <w:shd w:val="clear" w:color="auto" w:fill="auto"/>
          </w:tcPr>
          <w:p w14:paraId="0A93F459" w14:textId="77777777" w:rsidR="00AA0AB6" w:rsidRPr="00DC52EB" w:rsidRDefault="00AA0AB6" w:rsidP="00AA0AB6">
            <w:pPr>
              <w:spacing w:line="480" w:lineRule="auto"/>
              <w:jc w:val="both"/>
              <w:rPr>
                <w:i/>
                <w:iCs/>
                <w:color w:val="000000"/>
                <w:sz w:val="18"/>
                <w:szCs w:val="18"/>
              </w:rPr>
            </w:pPr>
          </w:p>
        </w:tc>
        <w:tc>
          <w:tcPr>
            <w:tcW w:w="0" w:type="auto"/>
            <w:vMerge/>
            <w:shd w:val="clear" w:color="auto" w:fill="auto"/>
          </w:tcPr>
          <w:p w14:paraId="6911B2AD" w14:textId="77777777" w:rsidR="00AA0AB6" w:rsidRPr="00DC52EB" w:rsidRDefault="00AA0AB6" w:rsidP="00AA0AB6">
            <w:pPr>
              <w:spacing w:line="480" w:lineRule="auto"/>
              <w:jc w:val="both"/>
              <w:rPr>
                <w:i/>
                <w:iCs/>
                <w:color w:val="000000"/>
                <w:sz w:val="18"/>
                <w:szCs w:val="18"/>
              </w:rPr>
            </w:pPr>
          </w:p>
        </w:tc>
      </w:tr>
      <w:tr w:rsidR="00AA0AB6" w:rsidRPr="00DC52EB" w14:paraId="0A813864" w14:textId="77777777" w:rsidTr="00AA0AB6">
        <w:tc>
          <w:tcPr>
            <w:tcW w:w="0" w:type="auto"/>
            <w:shd w:val="clear" w:color="auto" w:fill="auto"/>
          </w:tcPr>
          <w:p w14:paraId="1A59BA4C" w14:textId="77777777" w:rsidR="00AA0AB6" w:rsidRPr="00DC52EB" w:rsidRDefault="00AA0AB6" w:rsidP="00AA0AB6">
            <w:pPr>
              <w:spacing w:line="480" w:lineRule="auto"/>
              <w:jc w:val="both"/>
              <w:rPr>
                <w:b/>
                <w:bCs/>
                <w:i/>
                <w:iCs/>
                <w:color w:val="000000"/>
                <w:sz w:val="18"/>
                <w:szCs w:val="18"/>
              </w:rPr>
            </w:pPr>
            <w:r w:rsidRPr="00DC52EB">
              <w:rPr>
                <w:b/>
                <w:bCs/>
                <w:i/>
                <w:iCs/>
                <w:color w:val="000000"/>
                <w:sz w:val="18"/>
                <w:szCs w:val="18"/>
              </w:rPr>
              <w:t>Fizyoterapi ve Rehabilitasyon</w:t>
            </w:r>
          </w:p>
        </w:tc>
        <w:tc>
          <w:tcPr>
            <w:tcW w:w="0" w:type="auto"/>
            <w:shd w:val="clear" w:color="auto" w:fill="auto"/>
          </w:tcPr>
          <w:p w14:paraId="7F4CB5D2" w14:textId="77777777" w:rsidR="00AA0AB6" w:rsidRPr="00DC52EB" w:rsidRDefault="00AA0AB6" w:rsidP="00AA0AB6">
            <w:pPr>
              <w:spacing w:line="480" w:lineRule="auto"/>
              <w:jc w:val="center"/>
              <w:rPr>
                <w:i/>
                <w:iCs/>
                <w:color w:val="000000"/>
                <w:sz w:val="18"/>
                <w:szCs w:val="18"/>
              </w:rPr>
            </w:pPr>
            <w:r w:rsidRPr="00DC52EB">
              <w:rPr>
                <w:i/>
                <w:iCs/>
                <w:color w:val="000000"/>
                <w:sz w:val="18"/>
                <w:szCs w:val="18"/>
              </w:rPr>
              <w:t>65</w:t>
            </w:r>
          </w:p>
        </w:tc>
        <w:tc>
          <w:tcPr>
            <w:tcW w:w="0" w:type="auto"/>
            <w:shd w:val="clear" w:color="auto" w:fill="auto"/>
          </w:tcPr>
          <w:p w14:paraId="3CE82CAE" w14:textId="6461EC80" w:rsidR="00AA0AB6" w:rsidRPr="00DC52EB" w:rsidRDefault="00AA0AB6" w:rsidP="00AA0AB6">
            <w:pPr>
              <w:spacing w:line="480" w:lineRule="auto"/>
              <w:jc w:val="center"/>
              <w:rPr>
                <w:i/>
                <w:iCs/>
                <w:color w:val="000000"/>
                <w:sz w:val="18"/>
                <w:szCs w:val="18"/>
              </w:rPr>
            </w:pPr>
            <w:r w:rsidRPr="00DC52EB">
              <w:rPr>
                <w:i/>
                <w:iCs/>
                <w:color w:val="000000"/>
                <w:sz w:val="18"/>
                <w:szCs w:val="18"/>
              </w:rPr>
              <w:t>93</w:t>
            </w:r>
            <w:r w:rsidR="00FD329C">
              <w:rPr>
                <w:i/>
                <w:iCs/>
                <w:color w:val="000000"/>
                <w:sz w:val="18"/>
                <w:szCs w:val="18"/>
              </w:rPr>
              <w:t>.</w:t>
            </w:r>
            <w:r w:rsidRPr="00DC52EB">
              <w:rPr>
                <w:i/>
                <w:iCs/>
                <w:color w:val="000000"/>
                <w:sz w:val="18"/>
                <w:szCs w:val="18"/>
              </w:rPr>
              <w:t>47±15</w:t>
            </w:r>
            <w:r w:rsidR="00FD329C">
              <w:rPr>
                <w:i/>
                <w:iCs/>
                <w:color w:val="000000"/>
                <w:sz w:val="18"/>
                <w:szCs w:val="18"/>
              </w:rPr>
              <w:t>.</w:t>
            </w:r>
            <w:r w:rsidRPr="00DC52EB">
              <w:rPr>
                <w:i/>
                <w:iCs/>
                <w:color w:val="000000"/>
                <w:sz w:val="18"/>
                <w:szCs w:val="18"/>
              </w:rPr>
              <w:t>85</w:t>
            </w:r>
          </w:p>
        </w:tc>
        <w:tc>
          <w:tcPr>
            <w:tcW w:w="0" w:type="auto"/>
            <w:vMerge/>
            <w:shd w:val="clear" w:color="auto" w:fill="auto"/>
          </w:tcPr>
          <w:p w14:paraId="3206DE90" w14:textId="77777777" w:rsidR="00AA0AB6" w:rsidRPr="00DC52EB" w:rsidRDefault="00AA0AB6" w:rsidP="00AA0AB6">
            <w:pPr>
              <w:spacing w:line="480" w:lineRule="auto"/>
              <w:jc w:val="both"/>
              <w:rPr>
                <w:i/>
                <w:iCs/>
                <w:color w:val="000000"/>
                <w:sz w:val="18"/>
                <w:szCs w:val="18"/>
              </w:rPr>
            </w:pPr>
          </w:p>
        </w:tc>
        <w:tc>
          <w:tcPr>
            <w:tcW w:w="0" w:type="auto"/>
            <w:vMerge/>
            <w:shd w:val="clear" w:color="auto" w:fill="auto"/>
          </w:tcPr>
          <w:p w14:paraId="4C94FB80" w14:textId="77777777" w:rsidR="00AA0AB6" w:rsidRPr="00DC52EB" w:rsidRDefault="00AA0AB6" w:rsidP="00AA0AB6">
            <w:pPr>
              <w:spacing w:line="480" w:lineRule="auto"/>
              <w:jc w:val="both"/>
              <w:rPr>
                <w:i/>
                <w:iCs/>
                <w:color w:val="000000"/>
                <w:sz w:val="18"/>
                <w:szCs w:val="18"/>
              </w:rPr>
            </w:pPr>
          </w:p>
        </w:tc>
      </w:tr>
    </w:tbl>
    <w:p w14:paraId="0AFC9D58" w14:textId="77777777" w:rsidR="00774DA5" w:rsidRDefault="00774DA5" w:rsidP="00774DA5">
      <w:pPr>
        <w:spacing w:before="120" w:after="120"/>
        <w:rPr>
          <w:b/>
          <w:iCs/>
          <w:color w:val="000000"/>
          <w:sz w:val="20"/>
          <w:szCs w:val="20"/>
        </w:rPr>
      </w:pPr>
      <w:r w:rsidRPr="006620AE">
        <w:rPr>
          <w:b/>
          <w:color w:val="000000"/>
          <w:sz w:val="20"/>
          <w:szCs w:val="20"/>
        </w:rPr>
        <w:t>Tablo 2.</w:t>
      </w:r>
      <w:r w:rsidRPr="006620AE">
        <w:rPr>
          <w:color w:val="000000"/>
          <w:sz w:val="20"/>
          <w:szCs w:val="20"/>
        </w:rPr>
        <w:t xml:space="preserve"> </w:t>
      </w:r>
      <w:r w:rsidRPr="006620AE">
        <w:rPr>
          <w:b/>
          <w:iCs/>
          <w:color w:val="000000"/>
          <w:sz w:val="20"/>
          <w:szCs w:val="20"/>
        </w:rPr>
        <w:t>Öğrencilerin Bölümlerine Göre YBÖ Eğilimleri Puan Ortalamaları</w:t>
      </w:r>
    </w:p>
    <w:p w14:paraId="1A07EB31" w14:textId="77777777" w:rsidR="00774DA5" w:rsidRDefault="00774DA5" w:rsidP="00F12D9A">
      <w:pPr>
        <w:pStyle w:val="GvdeMetni"/>
        <w:spacing w:before="240" w:after="120"/>
        <w:rPr>
          <w:b/>
          <w:sz w:val="22"/>
          <w:szCs w:val="22"/>
        </w:rPr>
      </w:pPr>
    </w:p>
    <w:p w14:paraId="05836F68" w14:textId="77777777" w:rsidR="00AA0AB6" w:rsidRDefault="00AA0AB6" w:rsidP="00F12D9A">
      <w:pPr>
        <w:pStyle w:val="GvdeMetni"/>
        <w:spacing w:before="240" w:after="120"/>
        <w:rPr>
          <w:b/>
          <w:sz w:val="22"/>
          <w:szCs w:val="22"/>
        </w:rPr>
      </w:pPr>
    </w:p>
    <w:p w14:paraId="549AAA2F" w14:textId="77777777" w:rsidR="00AA0AB6" w:rsidRDefault="00AA0AB6" w:rsidP="00F12D9A">
      <w:pPr>
        <w:pStyle w:val="GvdeMetni"/>
        <w:spacing w:before="240" w:after="120"/>
        <w:rPr>
          <w:b/>
          <w:sz w:val="22"/>
          <w:szCs w:val="22"/>
        </w:rPr>
      </w:pPr>
    </w:p>
    <w:p w14:paraId="640CFB04" w14:textId="77777777" w:rsidR="00774DA5" w:rsidRDefault="00774DA5" w:rsidP="00F12D9A">
      <w:pPr>
        <w:pStyle w:val="GvdeMetni"/>
        <w:spacing w:before="240" w:after="120"/>
        <w:rPr>
          <w:b/>
          <w:sz w:val="22"/>
          <w:szCs w:val="22"/>
        </w:rPr>
      </w:pPr>
    </w:p>
    <w:p w14:paraId="5B9E4665" w14:textId="77777777" w:rsidR="00774DA5" w:rsidRPr="002F6042" w:rsidRDefault="00774DA5" w:rsidP="00E57777">
      <w:pPr>
        <w:spacing w:before="120" w:after="120" w:line="276" w:lineRule="auto"/>
        <w:rPr>
          <w:color w:val="000000"/>
        </w:rPr>
      </w:pPr>
      <w:r w:rsidRPr="002F6042">
        <w:rPr>
          <w:color w:val="000000"/>
        </w:rPr>
        <w:t xml:space="preserve">Öğrencilerin YBÖ eğilimleri öğrenim gördükleri bölümlere göre ise farklılık göstermemektedir (p&gt;.05). Öğrencilerinin YBÖ eğilimleri ile kişilik özellikleri arasındaki ilişki Tablo 3’te gösterilmiştir. </w:t>
      </w:r>
    </w:p>
    <w:p w14:paraId="61FF71A6" w14:textId="77777777" w:rsidR="00774DA5" w:rsidRDefault="00774DA5" w:rsidP="00774DA5">
      <w:pPr>
        <w:spacing w:before="120" w:after="120"/>
        <w:rPr>
          <w:i/>
          <w:iCs/>
          <w:color w:val="000000"/>
          <w:sz w:val="20"/>
          <w:szCs w:val="20"/>
        </w:rPr>
      </w:pPr>
      <w:r w:rsidRPr="006620AE">
        <w:rPr>
          <w:b/>
          <w:color w:val="000000"/>
          <w:sz w:val="20"/>
          <w:szCs w:val="20"/>
        </w:rPr>
        <w:t>Tablo 3.</w:t>
      </w:r>
      <w:r w:rsidRPr="006620AE">
        <w:rPr>
          <w:color w:val="000000"/>
          <w:sz w:val="20"/>
          <w:szCs w:val="20"/>
        </w:rPr>
        <w:t xml:space="preserve"> </w:t>
      </w:r>
      <w:r w:rsidRPr="006620AE">
        <w:rPr>
          <w:b/>
          <w:iCs/>
          <w:color w:val="000000"/>
          <w:sz w:val="20"/>
          <w:szCs w:val="20"/>
        </w:rPr>
        <w:t>Üniversite Öğrencilerinin YBÖ Eğilimleri ile Kişilik Özellikleri Arasındaki İlişki</w:t>
      </w:r>
      <w:r w:rsidRPr="006620AE">
        <w:rPr>
          <w:i/>
          <w:iCs/>
          <w:color w:val="000000"/>
          <w:sz w:val="20"/>
          <w:szCs w:val="20"/>
        </w:rPr>
        <w:t xml:space="preserve"> </w:t>
      </w:r>
    </w:p>
    <w:tbl>
      <w:tblPr>
        <w:tblpPr w:leftFromText="141" w:rightFromText="141" w:vertAnchor="text" w:tblpXSpec="center" w:tblpY="1"/>
        <w:tblW w:w="0" w:type="auto"/>
        <w:tblBorders>
          <w:top w:val="single" w:sz="4" w:space="0" w:color="auto"/>
          <w:left w:val="single" w:sz="4" w:space="0" w:color="DBDBDB"/>
          <w:bottom w:val="single" w:sz="4" w:space="0" w:color="auto"/>
          <w:right w:val="single" w:sz="4" w:space="0" w:color="DBDBDB"/>
          <w:insideH w:val="single" w:sz="4" w:space="0" w:color="auto"/>
          <w:insideV w:val="single" w:sz="4" w:space="0" w:color="DBDBDB"/>
        </w:tblBorders>
        <w:tblLook w:val="04A0" w:firstRow="1" w:lastRow="0" w:firstColumn="1" w:lastColumn="0" w:noHBand="0" w:noVBand="1"/>
      </w:tblPr>
      <w:tblGrid>
        <w:gridCol w:w="1526"/>
        <w:gridCol w:w="878"/>
        <w:gridCol w:w="1451"/>
        <w:gridCol w:w="1311"/>
        <w:gridCol w:w="1067"/>
        <w:gridCol w:w="1046"/>
        <w:gridCol w:w="1037"/>
      </w:tblGrid>
      <w:tr w:rsidR="00AA0AB6" w:rsidRPr="00DC52EB" w14:paraId="63D70228" w14:textId="77777777" w:rsidTr="00F96626">
        <w:tc>
          <w:tcPr>
            <w:tcW w:w="0" w:type="auto"/>
            <w:gridSpan w:val="2"/>
            <w:shd w:val="clear" w:color="auto" w:fill="auto"/>
            <w:vAlign w:val="center"/>
          </w:tcPr>
          <w:p w14:paraId="5CD10577" w14:textId="77777777" w:rsidR="00AA0AB6" w:rsidRPr="00DC52EB" w:rsidRDefault="00AA0AB6" w:rsidP="00F96626">
            <w:pPr>
              <w:spacing w:line="480" w:lineRule="auto"/>
              <w:jc w:val="both"/>
              <w:rPr>
                <w:color w:val="000000"/>
                <w:sz w:val="18"/>
                <w:szCs w:val="18"/>
              </w:rPr>
            </w:pPr>
            <w:r w:rsidRPr="00DC52EB">
              <w:rPr>
                <w:b/>
                <w:bCs/>
                <w:color w:val="000000"/>
                <w:sz w:val="18"/>
                <w:szCs w:val="18"/>
              </w:rPr>
              <w:t xml:space="preserve">                             </w:t>
            </w:r>
            <w:r w:rsidRPr="00DC52EB">
              <w:rPr>
                <w:color w:val="000000"/>
                <w:sz w:val="18"/>
                <w:szCs w:val="18"/>
              </w:rPr>
              <w:t>YBÖ</w:t>
            </w:r>
          </w:p>
        </w:tc>
        <w:tc>
          <w:tcPr>
            <w:tcW w:w="0" w:type="auto"/>
            <w:shd w:val="clear" w:color="auto" w:fill="auto"/>
          </w:tcPr>
          <w:p w14:paraId="59CB9520" w14:textId="77777777" w:rsidR="00AA0AB6" w:rsidRPr="00DC52EB" w:rsidRDefault="00AA0AB6" w:rsidP="00F96626">
            <w:pPr>
              <w:spacing w:line="480" w:lineRule="auto"/>
              <w:jc w:val="both"/>
              <w:rPr>
                <w:color w:val="000000"/>
                <w:sz w:val="18"/>
                <w:szCs w:val="18"/>
              </w:rPr>
            </w:pPr>
            <w:r w:rsidRPr="00DC52EB">
              <w:rPr>
                <w:color w:val="000000"/>
                <w:sz w:val="18"/>
                <w:szCs w:val="18"/>
              </w:rPr>
              <w:t>Gelişime Açıklık</w:t>
            </w:r>
          </w:p>
        </w:tc>
        <w:tc>
          <w:tcPr>
            <w:tcW w:w="0" w:type="auto"/>
            <w:shd w:val="clear" w:color="auto" w:fill="auto"/>
          </w:tcPr>
          <w:p w14:paraId="7224BFDE" w14:textId="77777777" w:rsidR="00AA0AB6" w:rsidRPr="00DC52EB" w:rsidRDefault="00AA0AB6" w:rsidP="00F96626">
            <w:pPr>
              <w:spacing w:line="480" w:lineRule="auto"/>
              <w:jc w:val="both"/>
              <w:rPr>
                <w:color w:val="000000"/>
                <w:sz w:val="18"/>
                <w:szCs w:val="18"/>
              </w:rPr>
            </w:pPr>
            <w:r w:rsidRPr="00DC52EB">
              <w:rPr>
                <w:color w:val="000000"/>
                <w:sz w:val="18"/>
                <w:szCs w:val="18"/>
              </w:rPr>
              <w:t>Dışa Dönüklük</w:t>
            </w:r>
          </w:p>
        </w:tc>
        <w:tc>
          <w:tcPr>
            <w:tcW w:w="0" w:type="auto"/>
            <w:shd w:val="clear" w:color="auto" w:fill="auto"/>
            <w:vAlign w:val="center"/>
          </w:tcPr>
          <w:p w14:paraId="06E1A049" w14:textId="77777777" w:rsidR="00AA0AB6" w:rsidRPr="00DC52EB" w:rsidRDefault="00AA0AB6" w:rsidP="00F96626">
            <w:pPr>
              <w:spacing w:line="480" w:lineRule="auto"/>
              <w:jc w:val="both"/>
              <w:rPr>
                <w:color w:val="000000"/>
                <w:sz w:val="18"/>
                <w:szCs w:val="18"/>
              </w:rPr>
            </w:pPr>
            <w:r w:rsidRPr="00DC52EB">
              <w:rPr>
                <w:color w:val="000000"/>
                <w:sz w:val="18"/>
                <w:szCs w:val="18"/>
              </w:rPr>
              <w:t>Sorumluluk</w:t>
            </w:r>
          </w:p>
        </w:tc>
        <w:tc>
          <w:tcPr>
            <w:tcW w:w="0" w:type="auto"/>
            <w:shd w:val="clear" w:color="auto" w:fill="auto"/>
            <w:vAlign w:val="center"/>
          </w:tcPr>
          <w:p w14:paraId="18CED515" w14:textId="77777777" w:rsidR="00AA0AB6" w:rsidRPr="00DC52EB" w:rsidRDefault="00AA0AB6" w:rsidP="00F96626">
            <w:pPr>
              <w:spacing w:line="480" w:lineRule="auto"/>
              <w:jc w:val="both"/>
              <w:rPr>
                <w:color w:val="000000"/>
                <w:sz w:val="18"/>
                <w:szCs w:val="18"/>
              </w:rPr>
            </w:pPr>
            <w:r w:rsidRPr="00DC52EB">
              <w:rPr>
                <w:color w:val="000000"/>
                <w:sz w:val="18"/>
                <w:szCs w:val="18"/>
              </w:rPr>
              <w:t>Nevrotiklik</w:t>
            </w:r>
          </w:p>
        </w:tc>
        <w:tc>
          <w:tcPr>
            <w:tcW w:w="0" w:type="auto"/>
            <w:shd w:val="clear" w:color="auto" w:fill="auto"/>
            <w:vAlign w:val="center"/>
          </w:tcPr>
          <w:p w14:paraId="51D141D2" w14:textId="77777777" w:rsidR="00AA0AB6" w:rsidRPr="00DC52EB" w:rsidRDefault="00AA0AB6" w:rsidP="00F96626">
            <w:pPr>
              <w:spacing w:line="480" w:lineRule="auto"/>
              <w:jc w:val="both"/>
              <w:rPr>
                <w:color w:val="000000"/>
                <w:sz w:val="18"/>
                <w:szCs w:val="18"/>
              </w:rPr>
            </w:pPr>
            <w:r w:rsidRPr="00DC52EB">
              <w:rPr>
                <w:color w:val="000000"/>
                <w:sz w:val="18"/>
                <w:szCs w:val="18"/>
              </w:rPr>
              <w:t>Uyumluluk</w:t>
            </w:r>
          </w:p>
        </w:tc>
      </w:tr>
      <w:tr w:rsidR="00AA0AB6" w:rsidRPr="00DC52EB" w14:paraId="5FA000D3" w14:textId="77777777" w:rsidTr="00F96626">
        <w:tc>
          <w:tcPr>
            <w:tcW w:w="1526" w:type="dxa"/>
            <w:shd w:val="clear" w:color="auto" w:fill="auto"/>
          </w:tcPr>
          <w:p w14:paraId="4A7AB5D0" w14:textId="77777777" w:rsidR="00AA0AB6" w:rsidRPr="00DC52EB" w:rsidRDefault="00AA0AB6" w:rsidP="00F96626">
            <w:pPr>
              <w:spacing w:line="480" w:lineRule="auto"/>
              <w:jc w:val="both"/>
              <w:rPr>
                <w:color w:val="000000"/>
                <w:sz w:val="18"/>
                <w:szCs w:val="18"/>
              </w:rPr>
            </w:pPr>
            <w:r w:rsidRPr="00DC52EB">
              <w:rPr>
                <w:color w:val="000000"/>
                <w:sz w:val="18"/>
                <w:szCs w:val="18"/>
              </w:rPr>
              <w:t>YBÖ</w:t>
            </w:r>
          </w:p>
        </w:tc>
        <w:tc>
          <w:tcPr>
            <w:tcW w:w="878" w:type="dxa"/>
            <w:shd w:val="clear" w:color="auto" w:fill="auto"/>
            <w:vAlign w:val="center"/>
          </w:tcPr>
          <w:p w14:paraId="609DBB03" w14:textId="77777777" w:rsidR="00AA0AB6" w:rsidRPr="00DC52EB" w:rsidRDefault="00AA0AB6" w:rsidP="00F96626">
            <w:pPr>
              <w:spacing w:line="480" w:lineRule="auto"/>
              <w:jc w:val="center"/>
              <w:rPr>
                <w:color w:val="000000"/>
                <w:sz w:val="18"/>
                <w:szCs w:val="18"/>
              </w:rPr>
            </w:pPr>
            <w:r w:rsidRPr="00DC52EB">
              <w:rPr>
                <w:color w:val="000000"/>
                <w:sz w:val="18"/>
                <w:szCs w:val="18"/>
              </w:rPr>
              <w:t>1</w:t>
            </w:r>
          </w:p>
        </w:tc>
        <w:tc>
          <w:tcPr>
            <w:tcW w:w="0" w:type="auto"/>
            <w:shd w:val="clear" w:color="auto" w:fill="auto"/>
            <w:vAlign w:val="center"/>
          </w:tcPr>
          <w:p w14:paraId="1E1C42C0" w14:textId="77777777" w:rsidR="00AA0AB6" w:rsidRPr="00DC52EB" w:rsidRDefault="00AA0AB6" w:rsidP="00F96626">
            <w:pPr>
              <w:spacing w:line="480" w:lineRule="auto"/>
              <w:jc w:val="center"/>
              <w:rPr>
                <w:color w:val="000000"/>
                <w:sz w:val="18"/>
                <w:szCs w:val="18"/>
              </w:rPr>
            </w:pPr>
          </w:p>
        </w:tc>
        <w:tc>
          <w:tcPr>
            <w:tcW w:w="0" w:type="auto"/>
            <w:shd w:val="clear" w:color="auto" w:fill="auto"/>
            <w:vAlign w:val="center"/>
          </w:tcPr>
          <w:p w14:paraId="3D397F5D" w14:textId="77777777" w:rsidR="00AA0AB6" w:rsidRPr="00DC52EB" w:rsidRDefault="00AA0AB6" w:rsidP="00F96626">
            <w:pPr>
              <w:spacing w:line="480" w:lineRule="auto"/>
              <w:jc w:val="center"/>
              <w:rPr>
                <w:color w:val="000000"/>
                <w:sz w:val="18"/>
                <w:szCs w:val="18"/>
              </w:rPr>
            </w:pPr>
          </w:p>
        </w:tc>
        <w:tc>
          <w:tcPr>
            <w:tcW w:w="0" w:type="auto"/>
            <w:shd w:val="clear" w:color="auto" w:fill="auto"/>
            <w:vAlign w:val="center"/>
          </w:tcPr>
          <w:p w14:paraId="61D7F4CA" w14:textId="77777777" w:rsidR="00AA0AB6" w:rsidRPr="00DC52EB" w:rsidRDefault="00AA0AB6" w:rsidP="00F96626">
            <w:pPr>
              <w:spacing w:line="480" w:lineRule="auto"/>
              <w:jc w:val="center"/>
              <w:rPr>
                <w:color w:val="000000"/>
                <w:sz w:val="18"/>
                <w:szCs w:val="18"/>
              </w:rPr>
            </w:pPr>
          </w:p>
        </w:tc>
        <w:tc>
          <w:tcPr>
            <w:tcW w:w="0" w:type="auto"/>
            <w:shd w:val="clear" w:color="auto" w:fill="auto"/>
            <w:vAlign w:val="center"/>
          </w:tcPr>
          <w:p w14:paraId="34D6D9B4" w14:textId="77777777" w:rsidR="00AA0AB6" w:rsidRPr="00DC52EB" w:rsidRDefault="00AA0AB6" w:rsidP="00F96626">
            <w:pPr>
              <w:spacing w:line="480" w:lineRule="auto"/>
              <w:jc w:val="center"/>
              <w:rPr>
                <w:color w:val="000000"/>
                <w:sz w:val="18"/>
                <w:szCs w:val="18"/>
              </w:rPr>
            </w:pPr>
          </w:p>
        </w:tc>
        <w:tc>
          <w:tcPr>
            <w:tcW w:w="0" w:type="auto"/>
            <w:shd w:val="clear" w:color="auto" w:fill="auto"/>
            <w:vAlign w:val="center"/>
          </w:tcPr>
          <w:p w14:paraId="316A8C95" w14:textId="77777777" w:rsidR="00AA0AB6" w:rsidRPr="00DC52EB" w:rsidRDefault="00AA0AB6" w:rsidP="00F96626">
            <w:pPr>
              <w:spacing w:line="480" w:lineRule="auto"/>
              <w:jc w:val="center"/>
              <w:rPr>
                <w:color w:val="000000"/>
                <w:sz w:val="18"/>
                <w:szCs w:val="18"/>
              </w:rPr>
            </w:pPr>
          </w:p>
        </w:tc>
      </w:tr>
      <w:tr w:rsidR="00AA0AB6" w:rsidRPr="00DC52EB" w14:paraId="65220F54" w14:textId="77777777" w:rsidTr="00F96626">
        <w:tc>
          <w:tcPr>
            <w:tcW w:w="1526" w:type="dxa"/>
            <w:shd w:val="clear" w:color="auto" w:fill="auto"/>
          </w:tcPr>
          <w:p w14:paraId="184C908C" w14:textId="77777777" w:rsidR="00AA0AB6" w:rsidRPr="00DC52EB" w:rsidRDefault="00AA0AB6" w:rsidP="00F96626">
            <w:pPr>
              <w:spacing w:line="480" w:lineRule="auto"/>
              <w:jc w:val="both"/>
              <w:rPr>
                <w:color w:val="000000"/>
                <w:sz w:val="18"/>
                <w:szCs w:val="18"/>
              </w:rPr>
            </w:pPr>
            <w:r w:rsidRPr="00DC52EB">
              <w:rPr>
                <w:color w:val="000000"/>
                <w:sz w:val="18"/>
                <w:szCs w:val="18"/>
              </w:rPr>
              <w:t>Gelişime Açıklık</w:t>
            </w:r>
          </w:p>
        </w:tc>
        <w:tc>
          <w:tcPr>
            <w:tcW w:w="878" w:type="dxa"/>
            <w:shd w:val="clear" w:color="auto" w:fill="auto"/>
            <w:vAlign w:val="center"/>
          </w:tcPr>
          <w:p w14:paraId="4C5201EE" w14:textId="77777777" w:rsidR="00AA0AB6" w:rsidRPr="00DC52EB" w:rsidRDefault="00AA0AB6" w:rsidP="00F96626">
            <w:pPr>
              <w:spacing w:line="480" w:lineRule="auto"/>
              <w:jc w:val="center"/>
              <w:rPr>
                <w:color w:val="000000"/>
                <w:sz w:val="18"/>
                <w:szCs w:val="18"/>
              </w:rPr>
            </w:pPr>
            <w:r w:rsidRPr="00DC52EB">
              <w:rPr>
                <w:color w:val="000000"/>
                <w:sz w:val="18"/>
                <w:szCs w:val="18"/>
              </w:rPr>
              <w:t>.483*</w:t>
            </w:r>
          </w:p>
        </w:tc>
        <w:tc>
          <w:tcPr>
            <w:tcW w:w="0" w:type="auto"/>
            <w:shd w:val="clear" w:color="auto" w:fill="auto"/>
            <w:vAlign w:val="center"/>
          </w:tcPr>
          <w:p w14:paraId="0120F4B6" w14:textId="77777777" w:rsidR="00AA0AB6" w:rsidRPr="00DC52EB" w:rsidRDefault="00AA0AB6" w:rsidP="00F96626">
            <w:pPr>
              <w:spacing w:line="480" w:lineRule="auto"/>
              <w:jc w:val="center"/>
              <w:rPr>
                <w:color w:val="000000"/>
                <w:sz w:val="18"/>
                <w:szCs w:val="18"/>
              </w:rPr>
            </w:pPr>
            <w:r w:rsidRPr="00DC52EB">
              <w:rPr>
                <w:color w:val="000000"/>
                <w:sz w:val="18"/>
                <w:szCs w:val="18"/>
              </w:rPr>
              <w:t>1</w:t>
            </w:r>
          </w:p>
        </w:tc>
        <w:tc>
          <w:tcPr>
            <w:tcW w:w="0" w:type="auto"/>
            <w:shd w:val="clear" w:color="auto" w:fill="auto"/>
            <w:vAlign w:val="center"/>
          </w:tcPr>
          <w:p w14:paraId="68589726" w14:textId="77777777" w:rsidR="00AA0AB6" w:rsidRPr="00DC52EB" w:rsidRDefault="00AA0AB6" w:rsidP="00F96626">
            <w:pPr>
              <w:spacing w:line="480" w:lineRule="auto"/>
              <w:jc w:val="center"/>
              <w:rPr>
                <w:color w:val="000000"/>
                <w:sz w:val="18"/>
                <w:szCs w:val="18"/>
              </w:rPr>
            </w:pPr>
          </w:p>
        </w:tc>
        <w:tc>
          <w:tcPr>
            <w:tcW w:w="0" w:type="auto"/>
            <w:shd w:val="clear" w:color="auto" w:fill="auto"/>
            <w:vAlign w:val="center"/>
          </w:tcPr>
          <w:p w14:paraId="29AB6D04" w14:textId="77777777" w:rsidR="00AA0AB6" w:rsidRPr="00DC52EB" w:rsidRDefault="00AA0AB6" w:rsidP="00F96626">
            <w:pPr>
              <w:spacing w:line="480" w:lineRule="auto"/>
              <w:jc w:val="center"/>
              <w:rPr>
                <w:color w:val="000000"/>
                <w:sz w:val="18"/>
                <w:szCs w:val="18"/>
              </w:rPr>
            </w:pPr>
          </w:p>
        </w:tc>
        <w:tc>
          <w:tcPr>
            <w:tcW w:w="0" w:type="auto"/>
            <w:shd w:val="clear" w:color="auto" w:fill="auto"/>
            <w:vAlign w:val="center"/>
          </w:tcPr>
          <w:p w14:paraId="3081FA16" w14:textId="77777777" w:rsidR="00AA0AB6" w:rsidRPr="00DC52EB" w:rsidRDefault="00AA0AB6" w:rsidP="00F96626">
            <w:pPr>
              <w:spacing w:line="480" w:lineRule="auto"/>
              <w:jc w:val="center"/>
              <w:rPr>
                <w:color w:val="000000"/>
                <w:sz w:val="18"/>
                <w:szCs w:val="18"/>
              </w:rPr>
            </w:pPr>
          </w:p>
        </w:tc>
        <w:tc>
          <w:tcPr>
            <w:tcW w:w="0" w:type="auto"/>
            <w:shd w:val="clear" w:color="auto" w:fill="auto"/>
            <w:vAlign w:val="center"/>
          </w:tcPr>
          <w:p w14:paraId="0563EA59" w14:textId="77777777" w:rsidR="00AA0AB6" w:rsidRPr="00DC52EB" w:rsidRDefault="00AA0AB6" w:rsidP="00F96626">
            <w:pPr>
              <w:spacing w:line="480" w:lineRule="auto"/>
              <w:jc w:val="center"/>
              <w:rPr>
                <w:color w:val="000000"/>
                <w:sz w:val="18"/>
                <w:szCs w:val="18"/>
              </w:rPr>
            </w:pPr>
          </w:p>
        </w:tc>
      </w:tr>
      <w:tr w:rsidR="00AA0AB6" w:rsidRPr="00DC52EB" w14:paraId="715D31AD" w14:textId="77777777" w:rsidTr="00F96626">
        <w:tc>
          <w:tcPr>
            <w:tcW w:w="1526" w:type="dxa"/>
            <w:shd w:val="clear" w:color="auto" w:fill="auto"/>
          </w:tcPr>
          <w:p w14:paraId="66B2EFCA" w14:textId="77777777" w:rsidR="00AA0AB6" w:rsidRPr="00DC52EB" w:rsidRDefault="00AA0AB6" w:rsidP="00F96626">
            <w:pPr>
              <w:spacing w:line="480" w:lineRule="auto"/>
              <w:jc w:val="both"/>
              <w:rPr>
                <w:color w:val="000000"/>
                <w:sz w:val="18"/>
                <w:szCs w:val="18"/>
              </w:rPr>
            </w:pPr>
            <w:r w:rsidRPr="00DC52EB">
              <w:rPr>
                <w:color w:val="000000"/>
                <w:sz w:val="18"/>
                <w:szCs w:val="18"/>
              </w:rPr>
              <w:t>Dışa Dönüklük</w:t>
            </w:r>
          </w:p>
        </w:tc>
        <w:tc>
          <w:tcPr>
            <w:tcW w:w="878" w:type="dxa"/>
            <w:shd w:val="clear" w:color="auto" w:fill="auto"/>
            <w:vAlign w:val="center"/>
          </w:tcPr>
          <w:p w14:paraId="79A61642" w14:textId="77777777" w:rsidR="00AA0AB6" w:rsidRPr="00DC52EB" w:rsidRDefault="00AA0AB6" w:rsidP="00F96626">
            <w:pPr>
              <w:spacing w:line="480" w:lineRule="auto"/>
              <w:jc w:val="center"/>
              <w:rPr>
                <w:color w:val="000000"/>
                <w:sz w:val="18"/>
                <w:szCs w:val="18"/>
              </w:rPr>
            </w:pPr>
            <w:r w:rsidRPr="00DC52EB">
              <w:rPr>
                <w:color w:val="000000"/>
                <w:sz w:val="18"/>
                <w:szCs w:val="18"/>
              </w:rPr>
              <w:t>.189*</w:t>
            </w:r>
          </w:p>
        </w:tc>
        <w:tc>
          <w:tcPr>
            <w:tcW w:w="0" w:type="auto"/>
            <w:shd w:val="clear" w:color="auto" w:fill="auto"/>
            <w:vAlign w:val="center"/>
          </w:tcPr>
          <w:p w14:paraId="73B0E82C" w14:textId="77777777" w:rsidR="00AA0AB6" w:rsidRPr="00DC52EB" w:rsidRDefault="00AA0AB6" w:rsidP="00F96626">
            <w:pPr>
              <w:spacing w:line="480" w:lineRule="auto"/>
              <w:jc w:val="center"/>
              <w:rPr>
                <w:color w:val="000000"/>
                <w:sz w:val="18"/>
                <w:szCs w:val="18"/>
              </w:rPr>
            </w:pPr>
            <w:r w:rsidRPr="00DC52EB">
              <w:rPr>
                <w:color w:val="000000"/>
                <w:sz w:val="18"/>
                <w:szCs w:val="18"/>
              </w:rPr>
              <w:t>.230*</w:t>
            </w:r>
          </w:p>
        </w:tc>
        <w:tc>
          <w:tcPr>
            <w:tcW w:w="0" w:type="auto"/>
            <w:shd w:val="clear" w:color="auto" w:fill="auto"/>
            <w:vAlign w:val="center"/>
          </w:tcPr>
          <w:p w14:paraId="64C7C61C" w14:textId="77777777" w:rsidR="00AA0AB6" w:rsidRPr="00DC52EB" w:rsidRDefault="00AA0AB6" w:rsidP="00F96626">
            <w:pPr>
              <w:spacing w:line="480" w:lineRule="auto"/>
              <w:jc w:val="center"/>
              <w:rPr>
                <w:color w:val="000000"/>
                <w:sz w:val="18"/>
                <w:szCs w:val="18"/>
              </w:rPr>
            </w:pPr>
            <w:r w:rsidRPr="00DC52EB">
              <w:rPr>
                <w:color w:val="000000"/>
                <w:sz w:val="18"/>
                <w:szCs w:val="18"/>
              </w:rPr>
              <w:t>1</w:t>
            </w:r>
          </w:p>
        </w:tc>
        <w:tc>
          <w:tcPr>
            <w:tcW w:w="0" w:type="auto"/>
            <w:shd w:val="clear" w:color="auto" w:fill="auto"/>
            <w:vAlign w:val="center"/>
          </w:tcPr>
          <w:p w14:paraId="5F081030" w14:textId="77777777" w:rsidR="00AA0AB6" w:rsidRPr="00DC52EB" w:rsidRDefault="00AA0AB6" w:rsidP="00F96626">
            <w:pPr>
              <w:spacing w:line="480" w:lineRule="auto"/>
              <w:jc w:val="center"/>
              <w:rPr>
                <w:color w:val="000000"/>
                <w:sz w:val="18"/>
                <w:szCs w:val="18"/>
              </w:rPr>
            </w:pPr>
          </w:p>
        </w:tc>
        <w:tc>
          <w:tcPr>
            <w:tcW w:w="0" w:type="auto"/>
            <w:shd w:val="clear" w:color="auto" w:fill="auto"/>
            <w:vAlign w:val="center"/>
          </w:tcPr>
          <w:p w14:paraId="5361F07B" w14:textId="77777777" w:rsidR="00AA0AB6" w:rsidRPr="00DC52EB" w:rsidRDefault="00AA0AB6" w:rsidP="00F96626">
            <w:pPr>
              <w:spacing w:line="480" w:lineRule="auto"/>
              <w:jc w:val="center"/>
              <w:rPr>
                <w:color w:val="000000"/>
                <w:sz w:val="18"/>
                <w:szCs w:val="18"/>
              </w:rPr>
            </w:pPr>
          </w:p>
        </w:tc>
        <w:tc>
          <w:tcPr>
            <w:tcW w:w="0" w:type="auto"/>
            <w:shd w:val="clear" w:color="auto" w:fill="auto"/>
            <w:vAlign w:val="center"/>
          </w:tcPr>
          <w:p w14:paraId="6F537FDD" w14:textId="77777777" w:rsidR="00AA0AB6" w:rsidRPr="00DC52EB" w:rsidRDefault="00AA0AB6" w:rsidP="00F96626">
            <w:pPr>
              <w:spacing w:line="480" w:lineRule="auto"/>
              <w:jc w:val="center"/>
              <w:rPr>
                <w:color w:val="000000"/>
                <w:sz w:val="18"/>
                <w:szCs w:val="18"/>
              </w:rPr>
            </w:pPr>
          </w:p>
        </w:tc>
      </w:tr>
      <w:tr w:rsidR="00AA0AB6" w:rsidRPr="00DC52EB" w14:paraId="36EAC4DA" w14:textId="77777777" w:rsidTr="00F96626">
        <w:tc>
          <w:tcPr>
            <w:tcW w:w="1526" w:type="dxa"/>
            <w:shd w:val="clear" w:color="auto" w:fill="auto"/>
          </w:tcPr>
          <w:p w14:paraId="1F47A55F" w14:textId="77777777" w:rsidR="00AA0AB6" w:rsidRPr="00DC52EB" w:rsidRDefault="00AA0AB6" w:rsidP="00F96626">
            <w:pPr>
              <w:spacing w:line="480" w:lineRule="auto"/>
              <w:jc w:val="both"/>
              <w:rPr>
                <w:color w:val="000000"/>
                <w:sz w:val="18"/>
                <w:szCs w:val="18"/>
              </w:rPr>
            </w:pPr>
            <w:r w:rsidRPr="00DC52EB">
              <w:rPr>
                <w:color w:val="000000"/>
                <w:sz w:val="18"/>
                <w:szCs w:val="18"/>
              </w:rPr>
              <w:t>Sorumluluk</w:t>
            </w:r>
          </w:p>
        </w:tc>
        <w:tc>
          <w:tcPr>
            <w:tcW w:w="878" w:type="dxa"/>
            <w:shd w:val="clear" w:color="auto" w:fill="auto"/>
            <w:vAlign w:val="center"/>
          </w:tcPr>
          <w:p w14:paraId="1A9FFA2A" w14:textId="77777777" w:rsidR="00AA0AB6" w:rsidRPr="00DC52EB" w:rsidRDefault="00AA0AB6" w:rsidP="00F96626">
            <w:pPr>
              <w:spacing w:line="480" w:lineRule="auto"/>
              <w:jc w:val="center"/>
              <w:rPr>
                <w:color w:val="000000"/>
                <w:sz w:val="18"/>
                <w:szCs w:val="18"/>
              </w:rPr>
            </w:pPr>
            <w:r w:rsidRPr="00DC52EB">
              <w:rPr>
                <w:color w:val="000000"/>
                <w:sz w:val="18"/>
                <w:szCs w:val="18"/>
              </w:rPr>
              <w:t>.218*</w:t>
            </w:r>
          </w:p>
        </w:tc>
        <w:tc>
          <w:tcPr>
            <w:tcW w:w="0" w:type="auto"/>
            <w:shd w:val="clear" w:color="auto" w:fill="auto"/>
            <w:vAlign w:val="center"/>
          </w:tcPr>
          <w:p w14:paraId="064CF022" w14:textId="77777777" w:rsidR="00AA0AB6" w:rsidRPr="00DC52EB" w:rsidRDefault="00AA0AB6" w:rsidP="00F96626">
            <w:pPr>
              <w:spacing w:line="480" w:lineRule="auto"/>
              <w:jc w:val="center"/>
              <w:rPr>
                <w:color w:val="000000"/>
                <w:sz w:val="18"/>
                <w:szCs w:val="18"/>
              </w:rPr>
            </w:pPr>
            <w:r w:rsidRPr="00DC52EB">
              <w:rPr>
                <w:color w:val="000000"/>
                <w:sz w:val="18"/>
                <w:szCs w:val="18"/>
              </w:rPr>
              <w:t>.051</w:t>
            </w:r>
          </w:p>
        </w:tc>
        <w:tc>
          <w:tcPr>
            <w:tcW w:w="0" w:type="auto"/>
            <w:shd w:val="clear" w:color="auto" w:fill="auto"/>
            <w:vAlign w:val="center"/>
          </w:tcPr>
          <w:p w14:paraId="50A4F7C8" w14:textId="77777777" w:rsidR="00AA0AB6" w:rsidRPr="00DC52EB" w:rsidRDefault="00AA0AB6" w:rsidP="00F96626">
            <w:pPr>
              <w:spacing w:line="480" w:lineRule="auto"/>
              <w:jc w:val="center"/>
              <w:rPr>
                <w:color w:val="000000"/>
                <w:sz w:val="18"/>
                <w:szCs w:val="18"/>
              </w:rPr>
            </w:pPr>
            <w:r w:rsidRPr="00DC52EB">
              <w:rPr>
                <w:color w:val="000000"/>
                <w:sz w:val="18"/>
                <w:szCs w:val="18"/>
              </w:rPr>
              <w:t>.113</w:t>
            </w:r>
          </w:p>
        </w:tc>
        <w:tc>
          <w:tcPr>
            <w:tcW w:w="0" w:type="auto"/>
            <w:shd w:val="clear" w:color="auto" w:fill="auto"/>
            <w:vAlign w:val="center"/>
          </w:tcPr>
          <w:p w14:paraId="63C28CAB" w14:textId="77777777" w:rsidR="00AA0AB6" w:rsidRPr="00DC52EB" w:rsidRDefault="00AA0AB6" w:rsidP="00F96626">
            <w:pPr>
              <w:spacing w:line="480" w:lineRule="auto"/>
              <w:jc w:val="center"/>
              <w:rPr>
                <w:color w:val="000000"/>
                <w:sz w:val="18"/>
                <w:szCs w:val="18"/>
              </w:rPr>
            </w:pPr>
            <w:r w:rsidRPr="00DC52EB">
              <w:rPr>
                <w:color w:val="000000"/>
                <w:sz w:val="18"/>
                <w:szCs w:val="18"/>
              </w:rPr>
              <w:t>1</w:t>
            </w:r>
          </w:p>
        </w:tc>
        <w:tc>
          <w:tcPr>
            <w:tcW w:w="0" w:type="auto"/>
            <w:shd w:val="clear" w:color="auto" w:fill="auto"/>
            <w:vAlign w:val="center"/>
          </w:tcPr>
          <w:p w14:paraId="399B743B" w14:textId="77777777" w:rsidR="00AA0AB6" w:rsidRPr="00DC52EB" w:rsidRDefault="00AA0AB6" w:rsidP="00F96626">
            <w:pPr>
              <w:spacing w:line="480" w:lineRule="auto"/>
              <w:jc w:val="center"/>
              <w:rPr>
                <w:color w:val="000000"/>
                <w:sz w:val="18"/>
                <w:szCs w:val="18"/>
              </w:rPr>
            </w:pPr>
          </w:p>
        </w:tc>
        <w:tc>
          <w:tcPr>
            <w:tcW w:w="0" w:type="auto"/>
            <w:shd w:val="clear" w:color="auto" w:fill="auto"/>
            <w:vAlign w:val="center"/>
          </w:tcPr>
          <w:p w14:paraId="1BC6DBCB" w14:textId="77777777" w:rsidR="00AA0AB6" w:rsidRPr="00DC52EB" w:rsidRDefault="00AA0AB6" w:rsidP="00F96626">
            <w:pPr>
              <w:spacing w:line="480" w:lineRule="auto"/>
              <w:jc w:val="center"/>
              <w:rPr>
                <w:color w:val="000000"/>
                <w:sz w:val="18"/>
                <w:szCs w:val="18"/>
              </w:rPr>
            </w:pPr>
          </w:p>
        </w:tc>
      </w:tr>
      <w:tr w:rsidR="00AA0AB6" w:rsidRPr="00DC52EB" w14:paraId="310A8538" w14:textId="77777777" w:rsidTr="00F96626">
        <w:tc>
          <w:tcPr>
            <w:tcW w:w="1526" w:type="dxa"/>
            <w:shd w:val="clear" w:color="auto" w:fill="auto"/>
          </w:tcPr>
          <w:p w14:paraId="678EAB52" w14:textId="77777777" w:rsidR="00AA0AB6" w:rsidRPr="00DC52EB" w:rsidRDefault="00AA0AB6" w:rsidP="00F96626">
            <w:pPr>
              <w:spacing w:line="480" w:lineRule="auto"/>
              <w:jc w:val="both"/>
              <w:rPr>
                <w:color w:val="000000"/>
                <w:sz w:val="18"/>
                <w:szCs w:val="18"/>
              </w:rPr>
            </w:pPr>
            <w:r w:rsidRPr="00DC52EB">
              <w:rPr>
                <w:color w:val="000000"/>
                <w:sz w:val="18"/>
                <w:szCs w:val="18"/>
              </w:rPr>
              <w:t>Nevrotiklik</w:t>
            </w:r>
          </w:p>
        </w:tc>
        <w:tc>
          <w:tcPr>
            <w:tcW w:w="878" w:type="dxa"/>
            <w:shd w:val="clear" w:color="auto" w:fill="auto"/>
            <w:vAlign w:val="center"/>
          </w:tcPr>
          <w:p w14:paraId="674F579B" w14:textId="77777777" w:rsidR="00AA0AB6" w:rsidRPr="00DC52EB" w:rsidRDefault="00AA0AB6" w:rsidP="00F96626">
            <w:pPr>
              <w:spacing w:line="480" w:lineRule="auto"/>
              <w:jc w:val="center"/>
              <w:rPr>
                <w:color w:val="000000"/>
                <w:sz w:val="18"/>
                <w:szCs w:val="18"/>
              </w:rPr>
            </w:pPr>
            <w:r w:rsidRPr="00DC52EB">
              <w:rPr>
                <w:color w:val="000000"/>
                <w:sz w:val="18"/>
                <w:szCs w:val="18"/>
              </w:rPr>
              <w:t>-.238*</w:t>
            </w:r>
          </w:p>
        </w:tc>
        <w:tc>
          <w:tcPr>
            <w:tcW w:w="0" w:type="auto"/>
            <w:shd w:val="clear" w:color="auto" w:fill="auto"/>
            <w:vAlign w:val="center"/>
          </w:tcPr>
          <w:p w14:paraId="69E0C7F2" w14:textId="77777777" w:rsidR="00AA0AB6" w:rsidRPr="00DC52EB" w:rsidRDefault="00AA0AB6" w:rsidP="00F96626">
            <w:pPr>
              <w:spacing w:line="480" w:lineRule="auto"/>
              <w:jc w:val="center"/>
              <w:rPr>
                <w:color w:val="000000"/>
                <w:sz w:val="18"/>
                <w:szCs w:val="18"/>
              </w:rPr>
            </w:pPr>
            <w:r w:rsidRPr="00DC52EB">
              <w:rPr>
                <w:color w:val="000000"/>
                <w:sz w:val="18"/>
                <w:szCs w:val="18"/>
              </w:rPr>
              <w:t>-.027</w:t>
            </w:r>
          </w:p>
        </w:tc>
        <w:tc>
          <w:tcPr>
            <w:tcW w:w="0" w:type="auto"/>
            <w:shd w:val="clear" w:color="auto" w:fill="auto"/>
            <w:vAlign w:val="center"/>
          </w:tcPr>
          <w:p w14:paraId="6F638BAB" w14:textId="77777777" w:rsidR="00AA0AB6" w:rsidRPr="00DC52EB" w:rsidRDefault="00AA0AB6" w:rsidP="00F96626">
            <w:pPr>
              <w:spacing w:line="480" w:lineRule="auto"/>
              <w:jc w:val="center"/>
              <w:rPr>
                <w:color w:val="000000"/>
                <w:sz w:val="18"/>
                <w:szCs w:val="18"/>
              </w:rPr>
            </w:pPr>
            <w:r w:rsidRPr="00DC52EB">
              <w:rPr>
                <w:color w:val="000000"/>
                <w:sz w:val="18"/>
                <w:szCs w:val="18"/>
              </w:rPr>
              <w:t>-.027*</w:t>
            </w:r>
          </w:p>
        </w:tc>
        <w:tc>
          <w:tcPr>
            <w:tcW w:w="0" w:type="auto"/>
            <w:shd w:val="clear" w:color="auto" w:fill="auto"/>
            <w:vAlign w:val="center"/>
          </w:tcPr>
          <w:p w14:paraId="58F20985" w14:textId="77777777" w:rsidR="00AA0AB6" w:rsidRPr="00DC52EB" w:rsidRDefault="00AA0AB6" w:rsidP="00F96626">
            <w:pPr>
              <w:spacing w:line="480" w:lineRule="auto"/>
              <w:jc w:val="center"/>
              <w:rPr>
                <w:color w:val="000000"/>
                <w:sz w:val="18"/>
                <w:szCs w:val="18"/>
              </w:rPr>
            </w:pPr>
            <w:r w:rsidRPr="00DC52EB">
              <w:rPr>
                <w:color w:val="000000"/>
                <w:sz w:val="18"/>
                <w:szCs w:val="18"/>
              </w:rPr>
              <w:t>-.158*</w:t>
            </w:r>
          </w:p>
        </w:tc>
        <w:tc>
          <w:tcPr>
            <w:tcW w:w="0" w:type="auto"/>
            <w:shd w:val="clear" w:color="auto" w:fill="auto"/>
            <w:vAlign w:val="center"/>
          </w:tcPr>
          <w:p w14:paraId="58640A75" w14:textId="77777777" w:rsidR="00AA0AB6" w:rsidRPr="00DC52EB" w:rsidRDefault="00AA0AB6" w:rsidP="00F96626">
            <w:pPr>
              <w:spacing w:line="480" w:lineRule="auto"/>
              <w:jc w:val="center"/>
              <w:rPr>
                <w:color w:val="000000"/>
                <w:sz w:val="18"/>
                <w:szCs w:val="18"/>
              </w:rPr>
            </w:pPr>
            <w:r w:rsidRPr="00DC52EB">
              <w:rPr>
                <w:color w:val="000000"/>
                <w:sz w:val="18"/>
                <w:szCs w:val="18"/>
              </w:rPr>
              <w:t>1</w:t>
            </w:r>
          </w:p>
        </w:tc>
        <w:tc>
          <w:tcPr>
            <w:tcW w:w="0" w:type="auto"/>
            <w:shd w:val="clear" w:color="auto" w:fill="auto"/>
            <w:vAlign w:val="center"/>
          </w:tcPr>
          <w:p w14:paraId="10F20DDD" w14:textId="77777777" w:rsidR="00AA0AB6" w:rsidRPr="00DC52EB" w:rsidRDefault="00AA0AB6" w:rsidP="00F96626">
            <w:pPr>
              <w:spacing w:line="480" w:lineRule="auto"/>
              <w:jc w:val="center"/>
              <w:rPr>
                <w:color w:val="000000"/>
                <w:sz w:val="18"/>
                <w:szCs w:val="18"/>
              </w:rPr>
            </w:pPr>
          </w:p>
        </w:tc>
      </w:tr>
      <w:tr w:rsidR="00AA0AB6" w:rsidRPr="00DC52EB" w14:paraId="315DD0D2" w14:textId="77777777" w:rsidTr="00F96626">
        <w:tc>
          <w:tcPr>
            <w:tcW w:w="1526" w:type="dxa"/>
            <w:shd w:val="clear" w:color="auto" w:fill="auto"/>
          </w:tcPr>
          <w:p w14:paraId="7BA57614" w14:textId="77777777" w:rsidR="00AA0AB6" w:rsidRPr="00DC52EB" w:rsidRDefault="00AA0AB6" w:rsidP="00F96626">
            <w:pPr>
              <w:spacing w:line="480" w:lineRule="auto"/>
              <w:jc w:val="both"/>
              <w:rPr>
                <w:color w:val="000000"/>
                <w:sz w:val="18"/>
                <w:szCs w:val="18"/>
              </w:rPr>
            </w:pPr>
            <w:r w:rsidRPr="00DC52EB">
              <w:rPr>
                <w:color w:val="000000"/>
                <w:sz w:val="18"/>
                <w:szCs w:val="18"/>
              </w:rPr>
              <w:t>Uyumluluk</w:t>
            </w:r>
          </w:p>
        </w:tc>
        <w:tc>
          <w:tcPr>
            <w:tcW w:w="878" w:type="dxa"/>
            <w:shd w:val="clear" w:color="auto" w:fill="auto"/>
            <w:vAlign w:val="center"/>
          </w:tcPr>
          <w:p w14:paraId="15AFDB13" w14:textId="77777777" w:rsidR="00AA0AB6" w:rsidRPr="00DC52EB" w:rsidRDefault="00AA0AB6" w:rsidP="00F96626">
            <w:pPr>
              <w:spacing w:line="480" w:lineRule="auto"/>
              <w:jc w:val="center"/>
              <w:rPr>
                <w:color w:val="000000"/>
                <w:sz w:val="18"/>
                <w:szCs w:val="18"/>
              </w:rPr>
            </w:pPr>
            <w:r w:rsidRPr="00DC52EB">
              <w:rPr>
                <w:color w:val="000000"/>
                <w:sz w:val="18"/>
                <w:szCs w:val="18"/>
              </w:rPr>
              <w:t>.203*</w:t>
            </w:r>
          </w:p>
        </w:tc>
        <w:tc>
          <w:tcPr>
            <w:tcW w:w="0" w:type="auto"/>
            <w:shd w:val="clear" w:color="auto" w:fill="auto"/>
            <w:vAlign w:val="center"/>
          </w:tcPr>
          <w:p w14:paraId="16741A7B" w14:textId="77777777" w:rsidR="00AA0AB6" w:rsidRPr="00DC52EB" w:rsidRDefault="00AA0AB6" w:rsidP="00F96626">
            <w:pPr>
              <w:spacing w:line="480" w:lineRule="auto"/>
              <w:jc w:val="center"/>
              <w:rPr>
                <w:color w:val="000000"/>
                <w:sz w:val="18"/>
                <w:szCs w:val="18"/>
              </w:rPr>
            </w:pPr>
            <w:r w:rsidRPr="00DC52EB">
              <w:rPr>
                <w:color w:val="000000"/>
                <w:sz w:val="18"/>
                <w:szCs w:val="18"/>
              </w:rPr>
              <w:t>.088</w:t>
            </w:r>
          </w:p>
        </w:tc>
        <w:tc>
          <w:tcPr>
            <w:tcW w:w="0" w:type="auto"/>
            <w:shd w:val="clear" w:color="auto" w:fill="auto"/>
            <w:vAlign w:val="center"/>
          </w:tcPr>
          <w:p w14:paraId="7F28AB75" w14:textId="77777777" w:rsidR="00AA0AB6" w:rsidRPr="00DC52EB" w:rsidRDefault="00AA0AB6" w:rsidP="00F96626">
            <w:pPr>
              <w:spacing w:line="480" w:lineRule="auto"/>
              <w:jc w:val="center"/>
              <w:rPr>
                <w:color w:val="000000"/>
                <w:sz w:val="18"/>
                <w:szCs w:val="18"/>
              </w:rPr>
            </w:pPr>
            <w:r w:rsidRPr="00DC52EB">
              <w:rPr>
                <w:color w:val="000000"/>
                <w:sz w:val="18"/>
                <w:szCs w:val="18"/>
              </w:rPr>
              <w:t>.077</w:t>
            </w:r>
          </w:p>
        </w:tc>
        <w:tc>
          <w:tcPr>
            <w:tcW w:w="0" w:type="auto"/>
            <w:shd w:val="clear" w:color="auto" w:fill="auto"/>
            <w:vAlign w:val="center"/>
          </w:tcPr>
          <w:p w14:paraId="5646B258" w14:textId="77777777" w:rsidR="00AA0AB6" w:rsidRPr="00DC52EB" w:rsidRDefault="00AA0AB6" w:rsidP="00F96626">
            <w:pPr>
              <w:spacing w:line="480" w:lineRule="auto"/>
              <w:jc w:val="center"/>
              <w:rPr>
                <w:color w:val="000000"/>
                <w:sz w:val="18"/>
                <w:szCs w:val="18"/>
              </w:rPr>
            </w:pPr>
            <w:r w:rsidRPr="00DC52EB">
              <w:rPr>
                <w:color w:val="000000"/>
                <w:sz w:val="18"/>
                <w:szCs w:val="18"/>
              </w:rPr>
              <w:t>.267*</w:t>
            </w:r>
          </w:p>
        </w:tc>
        <w:tc>
          <w:tcPr>
            <w:tcW w:w="0" w:type="auto"/>
            <w:shd w:val="clear" w:color="auto" w:fill="auto"/>
            <w:vAlign w:val="center"/>
          </w:tcPr>
          <w:p w14:paraId="7134CA22" w14:textId="77777777" w:rsidR="00AA0AB6" w:rsidRPr="00DC52EB" w:rsidRDefault="00AA0AB6" w:rsidP="00F96626">
            <w:pPr>
              <w:spacing w:line="480" w:lineRule="auto"/>
              <w:jc w:val="center"/>
              <w:rPr>
                <w:color w:val="000000"/>
                <w:sz w:val="18"/>
                <w:szCs w:val="18"/>
              </w:rPr>
            </w:pPr>
            <w:r w:rsidRPr="00DC52EB">
              <w:rPr>
                <w:color w:val="000000"/>
                <w:sz w:val="18"/>
                <w:szCs w:val="18"/>
              </w:rPr>
              <w:t>-.283*</w:t>
            </w:r>
          </w:p>
        </w:tc>
        <w:tc>
          <w:tcPr>
            <w:tcW w:w="0" w:type="auto"/>
            <w:shd w:val="clear" w:color="auto" w:fill="auto"/>
            <w:vAlign w:val="center"/>
          </w:tcPr>
          <w:p w14:paraId="113B7756" w14:textId="77777777" w:rsidR="00AA0AB6" w:rsidRPr="00DC52EB" w:rsidRDefault="00AA0AB6" w:rsidP="00F96626">
            <w:pPr>
              <w:spacing w:line="480" w:lineRule="auto"/>
              <w:jc w:val="center"/>
              <w:rPr>
                <w:color w:val="000000"/>
                <w:sz w:val="18"/>
                <w:szCs w:val="18"/>
              </w:rPr>
            </w:pPr>
            <w:r w:rsidRPr="00DC52EB">
              <w:rPr>
                <w:color w:val="000000"/>
                <w:sz w:val="18"/>
                <w:szCs w:val="18"/>
              </w:rPr>
              <w:t>1</w:t>
            </w:r>
          </w:p>
        </w:tc>
      </w:tr>
    </w:tbl>
    <w:p w14:paraId="250ECAD1" w14:textId="634516DA" w:rsidR="00774DA5" w:rsidRPr="00E57777" w:rsidRDefault="00774DA5" w:rsidP="00774DA5">
      <w:pPr>
        <w:spacing w:after="240"/>
        <w:rPr>
          <w:i/>
          <w:iCs/>
          <w:color w:val="000000"/>
          <w:sz w:val="18"/>
          <w:szCs w:val="18"/>
        </w:rPr>
      </w:pPr>
      <w:r w:rsidRPr="00E57777">
        <w:rPr>
          <w:i/>
          <w:iCs/>
          <w:color w:val="000000"/>
          <w:sz w:val="12"/>
          <w:szCs w:val="12"/>
        </w:rPr>
        <w:t xml:space="preserve"> </w:t>
      </w:r>
      <w:r w:rsidRPr="00E57777">
        <w:rPr>
          <w:i/>
          <w:iCs/>
          <w:color w:val="000000"/>
          <w:sz w:val="18"/>
          <w:szCs w:val="18"/>
        </w:rPr>
        <w:t>N=227, *p&lt;.005</w:t>
      </w:r>
    </w:p>
    <w:p w14:paraId="049A50F8" w14:textId="77777777" w:rsidR="00774DA5" w:rsidRPr="002F6042" w:rsidRDefault="00774DA5" w:rsidP="00A16ED7">
      <w:pPr>
        <w:spacing w:before="120" w:after="120" w:line="276" w:lineRule="auto"/>
        <w:jc w:val="both"/>
        <w:rPr>
          <w:color w:val="000000"/>
        </w:rPr>
      </w:pPr>
      <w:r w:rsidRPr="002F6042">
        <w:rPr>
          <w:color w:val="000000"/>
        </w:rPr>
        <w:t xml:space="preserve">Üniversite öğrencilerinin YBÖ eğilimleri ile gelişime açıklık arasında (r=.483, p&lt;.01) orta düzeyde pozitif, dışadönüklük arasında (r=.189, p&lt;.01) düşük düzeyde pozitif, sorumluluk arasında (r=.218, p&lt;.01) düşük düzeyde pozitif, nevrotiklik arasında (r=-.238, p&lt;.01) düşük düzeyde negatif, uyumluluk arasında (r=.203, p&lt;.01) düşük düzeyde pozitif yönde anlamlı ilişkiler olduğu tespit edilmiştir. </w:t>
      </w:r>
    </w:p>
    <w:p w14:paraId="2F20EEFF" w14:textId="77777777" w:rsidR="00774DA5" w:rsidRPr="002F6042" w:rsidRDefault="00774DA5" w:rsidP="00E57777">
      <w:pPr>
        <w:spacing w:before="120" w:after="120" w:line="276" w:lineRule="auto"/>
        <w:jc w:val="both"/>
        <w:rPr>
          <w:color w:val="000000"/>
        </w:rPr>
      </w:pPr>
      <w:r w:rsidRPr="002F6042">
        <w:rPr>
          <w:color w:val="000000"/>
        </w:rPr>
        <w:t xml:space="preserve">Çalışmamızda YBÖ değeri ile en yüksek düzeyde ilişkili olan kişilik özelliğinin gelişime açıklık olduğu bulunmuştur. Basit regresyon analizi sonucuna göre, öğrencilerin YBÖ eğilimlerindeki değişimin </w:t>
      </w:r>
      <w:proofErr w:type="gramStart"/>
      <w:r w:rsidRPr="002F6042">
        <w:rPr>
          <w:color w:val="000000"/>
        </w:rPr>
        <w:t>% 23</w:t>
      </w:r>
      <w:proofErr w:type="gramEnd"/>
      <w:r w:rsidRPr="002F6042">
        <w:rPr>
          <w:color w:val="000000"/>
        </w:rPr>
        <w:t xml:space="preserve">’ünü öğrencilerin gelişime açık kişilik özelliklerine sahip olmaları etkilemektedir (R=.233; p&lt;.001). Açık tipte kişiliğin, akademik başarı ortalamaları ile birlikte öğrencilerin YBÖ </w:t>
      </w:r>
      <w:r w:rsidRPr="002F6042">
        <w:rPr>
          <w:color w:val="000000"/>
        </w:rPr>
        <w:lastRenderedPageBreak/>
        <w:t xml:space="preserve">eğilimlerini beraber ne kadar </w:t>
      </w:r>
      <w:proofErr w:type="spellStart"/>
      <w:r w:rsidRPr="002F6042">
        <w:rPr>
          <w:color w:val="000000"/>
        </w:rPr>
        <w:t>yordadıklarına</w:t>
      </w:r>
      <w:proofErr w:type="spellEnd"/>
      <w:r w:rsidRPr="002F6042">
        <w:rPr>
          <w:color w:val="000000"/>
        </w:rPr>
        <w:t xml:space="preserve"> bakıldığında YBÖ eğilimlerindeki değişimin </w:t>
      </w:r>
      <w:proofErr w:type="gramStart"/>
      <w:r w:rsidRPr="002F6042">
        <w:rPr>
          <w:color w:val="000000"/>
        </w:rPr>
        <w:t>% 31</w:t>
      </w:r>
      <w:proofErr w:type="gramEnd"/>
      <w:r w:rsidRPr="002F6042">
        <w:rPr>
          <w:color w:val="000000"/>
        </w:rPr>
        <w:t>’ini açık tipte kişilik özelliği ve öğrencilerin akademik ortalamaları açıklamaktadır (R=.307; p&lt;.001).</w:t>
      </w:r>
    </w:p>
    <w:p w14:paraId="1D7D6942" w14:textId="77777777" w:rsidR="00774DA5" w:rsidRPr="005F0FAF" w:rsidRDefault="00774DA5" w:rsidP="00E57777">
      <w:pPr>
        <w:spacing w:before="120" w:after="120" w:line="276" w:lineRule="auto"/>
        <w:jc w:val="both"/>
        <w:rPr>
          <w:color w:val="000000"/>
        </w:rPr>
      </w:pPr>
      <w:r w:rsidRPr="002F6042">
        <w:rPr>
          <w:color w:val="000000"/>
        </w:rPr>
        <w:t xml:space="preserve">Bir başka bulgu ise; öğrencilerin YBÖ eğilimleri ile olumlu kişilik özellikleri (dışadönüklük, gelişime açıklık, uyumluluk, sorumluluk) arasında pozitif yönde bir ilişki gözlenirken, olumsuz </w:t>
      </w:r>
      <w:r w:rsidRPr="005F0FAF">
        <w:rPr>
          <w:color w:val="000000"/>
        </w:rPr>
        <w:t>kişilik özelliklerinden biri olan nevrotiklik arasında negatif yönde ve anlamlı bir ilişki bulunmuştur (r</w:t>
      </w:r>
      <w:proofErr w:type="gramStart"/>
      <w:r w:rsidRPr="005F0FAF">
        <w:rPr>
          <w:color w:val="000000"/>
        </w:rPr>
        <w:t>= -</w:t>
      </w:r>
      <w:proofErr w:type="gramEnd"/>
      <w:r w:rsidRPr="005F0FAF">
        <w:rPr>
          <w:color w:val="000000"/>
        </w:rPr>
        <w:t>.238, p&lt; .01).</w:t>
      </w:r>
    </w:p>
    <w:p w14:paraId="57344E22" w14:textId="75466F31" w:rsidR="00774DA5" w:rsidRPr="005F0FAF" w:rsidRDefault="00774DA5" w:rsidP="00E57777">
      <w:pPr>
        <w:spacing w:before="120" w:after="120" w:line="276" w:lineRule="auto"/>
        <w:jc w:val="both"/>
        <w:rPr>
          <w:color w:val="000000"/>
        </w:rPr>
      </w:pPr>
      <w:r w:rsidRPr="005F0FAF">
        <w:rPr>
          <w:color w:val="000000"/>
        </w:rPr>
        <w:t>Öğrencilerin YBÖ eğilimleri ile akademik başarı puanları arasındaki ilişki Tablo 4’te gösterilmiştir. Öğrencilerin YBÖ eğilimleri ile akademik başarı ortalamaları (r=.305, p&lt;.01) arasında anlamlı, pozitif yönde ve düşük düzeyde bir ilişki bulunmuştur (p&lt;.05).</w:t>
      </w:r>
    </w:p>
    <w:p w14:paraId="5085E3D6" w14:textId="77777777" w:rsidR="00774DA5" w:rsidRDefault="00774DA5" w:rsidP="00774DA5">
      <w:pPr>
        <w:spacing w:before="120" w:after="120"/>
        <w:rPr>
          <w:b/>
          <w:iCs/>
          <w:color w:val="000000"/>
          <w:sz w:val="20"/>
          <w:szCs w:val="20"/>
        </w:rPr>
      </w:pPr>
      <w:r w:rsidRPr="006620AE">
        <w:rPr>
          <w:b/>
          <w:color w:val="000000"/>
          <w:sz w:val="20"/>
          <w:szCs w:val="20"/>
        </w:rPr>
        <w:t>Tablo 4.</w:t>
      </w:r>
      <w:r w:rsidRPr="006620AE">
        <w:rPr>
          <w:color w:val="000000"/>
          <w:sz w:val="20"/>
          <w:szCs w:val="20"/>
        </w:rPr>
        <w:t xml:space="preserve"> </w:t>
      </w:r>
      <w:r w:rsidRPr="006620AE">
        <w:rPr>
          <w:b/>
          <w:iCs/>
          <w:color w:val="000000"/>
          <w:sz w:val="20"/>
          <w:szCs w:val="20"/>
        </w:rPr>
        <w:t>Öğrencilerin YBÖ Eğilimleri ile Akademik Başarı Ortalamaları Arasındaki İlişki</w:t>
      </w:r>
    </w:p>
    <w:tbl>
      <w:tblPr>
        <w:tblpPr w:leftFromText="141" w:rightFromText="141" w:vertAnchor="text" w:horzAnchor="margin" w:tblpY="-17"/>
        <w:tblW w:w="439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42"/>
        <w:gridCol w:w="426"/>
        <w:gridCol w:w="742"/>
        <w:gridCol w:w="1984"/>
      </w:tblGrid>
      <w:tr w:rsidR="00774DA5" w:rsidRPr="00DC52EB" w14:paraId="29B9F63F" w14:textId="77777777" w:rsidTr="007B634A">
        <w:trPr>
          <w:trHeight w:val="374"/>
        </w:trPr>
        <w:tc>
          <w:tcPr>
            <w:tcW w:w="1668" w:type="dxa"/>
            <w:gridSpan w:val="2"/>
            <w:shd w:val="clear" w:color="auto" w:fill="auto"/>
            <w:vAlign w:val="center"/>
          </w:tcPr>
          <w:p w14:paraId="77EEC525" w14:textId="77777777" w:rsidR="00774DA5" w:rsidRPr="00DC52EB" w:rsidRDefault="00774DA5" w:rsidP="00F96626">
            <w:pPr>
              <w:jc w:val="center"/>
              <w:rPr>
                <w:b/>
                <w:bCs/>
                <w:sz w:val="18"/>
                <w:szCs w:val="18"/>
              </w:rPr>
            </w:pPr>
          </w:p>
        </w:tc>
        <w:tc>
          <w:tcPr>
            <w:tcW w:w="742" w:type="dxa"/>
            <w:shd w:val="clear" w:color="auto" w:fill="auto"/>
            <w:vAlign w:val="center"/>
          </w:tcPr>
          <w:p w14:paraId="1E0E0BA3" w14:textId="77777777" w:rsidR="00774DA5" w:rsidRPr="00DC52EB" w:rsidRDefault="00774DA5" w:rsidP="00F96626">
            <w:pPr>
              <w:jc w:val="center"/>
              <w:rPr>
                <w:b/>
                <w:bCs/>
                <w:sz w:val="18"/>
                <w:szCs w:val="18"/>
              </w:rPr>
            </w:pPr>
            <w:r w:rsidRPr="00DC52EB">
              <w:rPr>
                <w:b/>
                <w:bCs/>
                <w:color w:val="000000"/>
                <w:sz w:val="18"/>
                <w:szCs w:val="18"/>
              </w:rPr>
              <w:t>YBÖ</w:t>
            </w:r>
          </w:p>
        </w:tc>
        <w:tc>
          <w:tcPr>
            <w:tcW w:w="1984" w:type="dxa"/>
            <w:shd w:val="clear" w:color="auto" w:fill="auto"/>
            <w:vAlign w:val="center"/>
          </w:tcPr>
          <w:p w14:paraId="1BE134F9" w14:textId="77777777" w:rsidR="00774DA5" w:rsidRPr="00DC52EB" w:rsidRDefault="00774DA5" w:rsidP="00F96626">
            <w:pPr>
              <w:jc w:val="center"/>
              <w:rPr>
                <w:b/>
                <w:bCs/>
                <w:sz w:val="18"/>
                <w:szCs w:val="18"/>
              </w:rPr>
            </w:pPr>
            <w:r w:rsidRPr="00DC52EB">
              <w:rPr>
                <w:b/>
                <w:bCs/>
                <w:color w:val="000000"/>
                <w:sz w:val="18"/>
                <w:szCs w:val="18"/>
              </w:rPr>
              <w:t>Akademik Başarı Ort.</w:t>
            </w:r>
          </w:p>
        </w:tc>
      </w:tr>
      <w:tr w:rsidR="00774DA5" w:rsidRPr="00DC52EB" w14:paraId="5C891C65" w14:textId="77777777" w:rsidTr="007B634A">
        <w:trPr>
          <w:trHeight w:val="374"/>
        </w:trPr>
        <w:tc>
          <w:tcPr>
            <w:tcW w:w="1242" w:type="dxa"/>
            <w:vMerge w:val="restart"/>
            <w:shd w:val="clear" w:color="auto" w:fill="auto"/>
            <w:vAlign w:val="center"/>
          </w:tcPr>
          <w:p w14:paraId="5E2894CB" w14:textId="77777777" w:rsidR="00774DA5" w:rsidRPr="00DC52EB" w:rsidRDefault="00774DA5" w:rsidP="00F96626">
            <w:pPr>
              <w:jc w:val="center"/>
              <w:rPr>
                <w:b/>
                <w:bCs/>
                <w:sz w:val="18"/>
                <w:szCs w:val="18"/>
              </w:rPr>
            </w:pPr>
            <w:r w:rsidRPr="00DC52EB">
              <w:rPr>
                <w:b/>
                <w:bCs/>
                <w:sz w:val="18"/>
                <w:szCs w:val="18"/>
              </w:rPr>
              <w:t>YBÖ</w:t>
            </w:r>
          </w:p>
        </w:tc>
        <w:tc>
          <w:tcPr>
            <w:tcW w:w="426" w:type="dxa"/>
            <w:shd w:val="clear" w:color="auto" w:fill="auto"/>
            <w:vAlign w:val="center"/>
          </w:tcPr>
          <w:p w14:paraId="55E11BA4" w14:textId="77777777" w:rsidR="00774DA5" w:rsidRPr="00DC52EB" w:rsidRDefault="00774DA5" w:rsidP="00F96626">
            <w:pPr>
              <w:jc w:val="center"/>
              <w:rPr>
                <w:sz w:val="18"/>
                <w:szCs w:val="18"/>
              </w:rPr>
            </w:pPr>
            <w:proofErr w:type="gramStart"/>
            <w:r w:rsidRPr="00DC52EB">
              <w:rPr>
                <w:sz w:val="18"/>
                <w:szCs w:val="18"/>
              </w:rPr>
              <w:t>r</w:t>
            </w:r>
            <w:proofErr w:type="gramEnd"/>
          </w:p>
        </w:tc>
        <w:tc>
          <w:tcPr>
            <w:tcW w:w="742" w:type="dxa"/>
            <w:shd w:val="clear" w:color="auto" w:fill="auto"/>
            <w:vAlign w:val="center"/>
          </w:tcPr>
          <w:p w14:paraId="37EE51FF" w14:textId="77777777" w:rsidR="00774DA5" w:rsidRPr="00DC52EB" w:rsidRDefault="00774DA5" w:rsidP="00F96626">
            <w:pPr>
              <w:jc w:val="center"/>
              <w:rPr>
                <w:sz w:val="18"/>
                <w:szCs w:val="18"/>
              </w:rPr>
            </w:pPr>
            <w:r w:rsidRPr="00DC52EB">
              <w:rPr>
                <w:sz w:val="18"/>
                <w:szCs w:val="18"/>
              </w:rPr>
              <w:t>1</w:t>
            </w:r>
          </w:p>
        </w:tc>
        <w:tc>
          <w:tcPr>
            <w:tcW w:w="1984" w:type="dxa"/>
            <w:shd w:val="clear" w:color="auto" w:fill="auto"/>
            <w:vAlign w:val="center"/>
          </w:tcPr>
          <w:p w14:paraId="4CCC814C" w14:textId="77777777" w:rsidR="00774DA5" w:rsidRPr="00DC52EB" w:rsidRDefault="00774DA5" w:rsidP="00F96626">
            <w:pPr>
              <w:jc w:val="center"/>
              <w:rPr>
                <w:sz w:val="18"/>
                <w:szCs w:val="18"/>
              </w:rPr>
            </w:pPr>
            <w:r w:rsidRPr="00DC52EB">
              <w:rPr>
                <w:sz w:val="18"/>
                <w:szCs w:val="18"/>
              </w:rPr>
              <w:t>.305</w:t>
            </w:r>
          </w:p>
        </w:tc>
      </w:tr>
      <w:tr w:rsidR="00774DA5" w:rsidRPr="00DC52EB" w14:paraId="3F42B10A" w14:textId="77777777" w:rsidTr="007B634A">
        <w:trPr>
          <w:trHeight w:val="374"/>
        </w:trPr>
        <w:tc>
          <w:tcPr>
            <w:tcW w:w="1242" w:type="dxa"/>
            <w:vMerge/>
            <w:shd w:val="clear" w:color="auto" w:fill="auto"/>
            <w:vAlign w:val="center"/>
          </w:tcPr>
          <w:p w14:paraId="13133C17" w14:textId="77777777" w:rsidR="00774DA5" w:rsidRPr="00DC52EB" w:rsidRDefault="00774DA5" w:rsidP="00F96626">
            <w:pPr>
              <w:jc w:val="center"/>
              <w:rPr>
                <w:b/>
                <w:bCs/>
                <w:sz w:val="18"/>
                <w:szCs w:val="18"/>
              </w:rPr>
            </w:pPr>
          </w:p>
        </w:tc>
        <w:tc>
          <w:tcPr>
            <w:tcW w:w="426" w:type="dxa"/>
            <w:shd w:val="clear" w:color="auto" w:fill="auto"/>
            <w:vAlign w:val="center"/>
          </w:tcPr>
          <w:p w14:paraId="63F4F952" w14:textId="77777777" w:rsidR="00774DA5" w:rsidRPr="00DC52EB" w:rsidRDefault="00774DA5" w:rsidP="00F96626">
            <w:pPr>
              <w:jc w:val="center"/>
              <w:rPr>
                <w:sz w:val="18"/>
                <w:szCs w:val="18"/>
              </w:rPr>
            </w:pPr>
            <w:r w:rsidRPr="00DC52EB">
              <w:rPr>
                <w:sz w:val="18"/>
                <w:szCs w:val="18"/>
              </w:rPr>
              <w:t>P</w:t>
            </w:r>
          </w:p>
        </w:tc>
        <w:tc>
          <w:tcPr>
            <w:tcW w:w="742" w:type="dxa"/>
            <w:shd w:val="clear" w:color="auto" w:fill="auto"/>
            <w:vAlign w:val="center"/>
          </w:tcPr>
          <w:p w14:paraId="480DBD1E" w14:textId="77777777" w:rsidR="00774DA5" w:rsidRPr="00DC52EB" w:rsidRDefault="00774DA5" w:rsidP="00F96626">
            <w:pPr>
              <w:jc w:val="center"/>
              <w:rPr>
                <w:sz w:val="18"/>
                <w:szCs w:val="18"/>
              </w:rPr>
            </w:pPr>
          </w:p>
        </w:tc>
        <w:tc>
          <w:tcPr>
            <w:tcW w:w="1984" w:type="dxa"/>
            <w:shd w:val="clear" w:color="auto" w:fill="auto"/>
            <w:vAlign w:val="center"/>
          </w:tcPr>
          <w:p w14:paraId="521D0B2D" w14:textId="77777777" w:rsidR="00774DA5" w:rsidRPr="00DC52EB" w:rsidRDefault="00774DA5" w:rsidP="00F96626">
            <w:pPr>
              <w:jc w:val="center"/>
              <w:rPr>
                <w:sz w:val="18"/>
                <w:szCs w:val="18"/>
              </w:rPr>
            </w:pPr>
            <w:r w:rsidRPr="00DC52EB">
              <w:rPr>
                <w:sz w:val="18"/>
                <w:szCs w:val="18"/>
              </w:rPr>
              <w:t>.000</w:t>
            </w:r>
          </w:p>
        </w:tc>
      </w:tr>
      <w:tr w:rsidR="00774DA5" w:rsidRPr="00DC52EB" w14:paraId="36062AF2" w14:textId="77777777" w:rsidTr="007B634A">
        <w:trPr>
          <w:trHeight w:val="374"/>
        </w:trPr>
        <w:tc>
          <w:tcPr>
            <w:tcW w:w="1242" w:type="dxa"/>
            <w:vMerge/>
            <w:shd w:val="clear" w:color="auto" w:fill="auto"/>
            <w:vAlign w:val="center"/>
          </w:tcPr>
          <w:p w14:paraId="7C8E917D" w14:textId="77777777" w:rsidR="00774DA5" w:rsidRPr="00DC52EB" w:rsidRDefault="00774DA5" w:rsidP="00F96626">
            <w:pPr>
              <w:jc w:val="center"/>
              <w:rPr>
                <w:b/>
                <w:bCs/>
                <w:sz w:val="18"/>
                <w:szCs w:val="18"/>
              </w:rPr>
            </w:pPr>
            <w:bookmarkStart w:id="6" w:name="_Hlk136858614"/>
          </w:p>
        </w:tc>
        <w:tc>
          <w:tcPr>
            <w:tcW w:w="426" w:type="dxa"/>
            <w:shd w:val="clear" w:color="auto" w:fill="auto"/>
            <w:vAlign w:val="center"/>
          </w:tcPr>
          <w:p w14:paraId="047065D8" w14:textId="77777777" w:rsidR="00774DA5" w:rsidRPr="00DC52EB" w:rsidRDefault="00774DA5" w:rsidP="00F96626">
            <w:pPr>
              <w:jc w:val="center"/>
              <w:rPr>
                <w:sz w:val="18"/>
                <w:szCs w:val="18"/>
              </w:rPr>
            </w:pPr>
            <w:r w:rsidRPr="00DC52EB">
              <w:rPr>
                <w:sz w:val="18"/>
                <w:szCs w:val="18"/>
              </w:rPr>
              <w:t>N</w:t>
            </w:r>
          </w:p>
        </w:tc>
        <w:tc>
          <w:tcPr>
            <w:tcW w:w="742" w:type="dxa"/>
            <w:shd w:val="clear" w:color="auto" w:fill="auto"/>
            <w:vAlign w:val="center"/>
          </w:tcPr>
          <w:p w14:paraId="66FFC5A4" w14:textId="77777777" w:rsidR="00774DA5" w:rsidRPr="00DC52EB" w:rsidRDefault="00774DA5" w:rsidP="00F96626">
            <w:pPr>
              <w:jc w:val="center"/>
              <w:rPr>
                <w:sz w:val="18"/>
                <w:szCs w:val="18"/>
              </w:rPr>
            </w:pPr>
          </w:p>
        </w:tc>
        <w:tc>
          <w:tcPr>
            <w:tcW w:w="1984" w:type="dxa"/>
            <w:shd w:val="clear" w:color="auto" w:fill="auto"/>
            <w:vAlign w:val="center"/>
          </w:tcPr>
          <w:p w14:paraId="7D4E0AED" w14:textId="77777777" w:rsidR="00774DA5" w:rsidRPr="00DC52EB" w:rsidRDefault="00774DA5" w:rsidP="00F96626">
            <w:pPr>
              <w:jc w:val="center"/>
              <w:rPr>
                <w:sz w:val="18"/>
                <w:szCs w:val="18"/>
              </w:rPr>
            </w:pPr>
            <w:r w:rsidRPr="00DC52EB">
              <w:rPr>
                <w:sz w:val="18"/>
                <w:szCs w:val="18"/>
              </w:rPr>
              <w:t>227</w:t>
            </w:r>
          </w:p>
        </w:tc>
      </w:tr>
      <w:bookmarkEnd w:id="6"/>
    </w:tbl>
    <w:p w14:paraId="2BCC1D1E" w14:textId="77777777" w:rsidR="00774DA5" w:rsidRDefault="00774DA5" w:rsidP="00774DA5">
      <w:pPr>
        <w:pStyle w:val="GvdeMetni"/>
        <w:spacing w:before="240" w:after="120"/>
        <w:rPr>
          <w:b/>
          <w:sz w:val="22"/>
          <w:szCs w:val="22"/>
        </w:rPr>
      </w:pPr>
    </w:p>
    <w:p w14:paraId="03027F92" w14:textId="77777777" w:rsidR="00774DA5" w:rsidRDefault="00774DA5" w:rsidP="00F12D9A">
      <w:pPr>
        <w:pStyle w:val="GvdeMetni"/>
        <w:spacing w:before="240" w:after="120"/>
        <w:rPr>
          <w:b/>
          <w:sz w:val="22"/>
          <w:szCs w:val="22"/>
        </w:rPr>
      </w:pPr>
    </w:p>
    <w:p w14:paraId="0F442A6A" w14:textId="77777777" w:rsidR="00774DA5" w:rsidRDefault="00774DA5" w:rsidP="00F12D9A">
      <w:pPr>
        <w:pStyle w:val="GvdeMetni"/>
        <w:spacing w:before="240" w:after="120"/>
        <w:rPr>
          <w:b/>
          <w:sz w:val="22"/>
          <w:szCs w:val="22"/>
        </w:rPr>
      </w:pPr>
    </w:p>
    <w:p w14:paraId="26BFBC15" w14:textId="34D0C211" w:rsidR="001E1C7B" w:rsidRDefault="001E1C7B" w:rsidP="001E1C7B">
      <w:pPr>
        <w:spacing w:before="120" w:after="120"/>
        <w:rPr>
          <w:b/>
          <w:iCs/>
          <w:color w:val="000000"/>
        </w:rPr>
      </w:pPr>
      <w:r w:rsidRPr="001423CE">
        <w:rPr>
          <w:b/>
          <w:iCs/>
          <w:color w:val="000000"/>
        </w:rPr>
        <w:t>4.Tartışma</w:t>
      </w:r>
    </w:p>
    <w:p w14:paraId="2EDDB40D" w14:textId="3DAEF780" w:rsidR="001E1C7B" w:rsidRPr="00F81A54" w:rsidRDefault="001E1C7B" w:rsidP="00194DD0">
      <w:pPr>
        <w:spacing w:before="120" w:after="120" w:line="276" w:lineRule="auto"/>
        <w:jc w:val="both"/>
        <w:rPr>
          <w:color w:val="000000"/>
        </w:rPr>
      </w:pPr>
      <w:r w:rsidRPr="00D015C6">
        <w:rPr>
          <w:color w:val="000000"/>
        </w:rPr>
        <w:t xml:space="preserve">Bu araştırmada üniversiteye yeni başlayan öğrencilerin YBÖ eğilimleri çeşitli değişkenler açısından incelenmiştir. Çalışmamızda </w:t>
      </w:r>
      <w:r w:rsidR="00B67D5F" w:rsidRPr="00D015C6">
        <w:rPr>
          <w:color w:val="000000"/>
        </w:rPr>
        <w:t>üniversite öğrencilerinin yaşam boyu öğrenme eğilimleri ölçeğinden aldıkları puanların ortalaması (124.17±22.09), ölçek orta puanının (94</w:t>
      </w:r>
      <w:r w:rsidR="00F81A54" w:rsidRPr="00D015C6">
        <w:rPr>
          <w:color w:val="000000"/>
        </w:rPr>
        <w:t>.</w:t>
      </w:r>
      <w:r w:rsidR="00B67D5F" w:rsidRPr="00D015C6">
        <w:rPr>
          <w:color w:val="000000"/>
        </w:rPr>
        <w:t>5) üstündedir. Buna göre öğrencilerin yaşam boyu öğrenme eğilimlerinin yüksek olduğu söylenebilir.</w:t>
      </w:r>
      <w:r w:rsidR="00F81A54" w:rsidRPr="00F81A54">
        <w:rPr>
          <w:color w:val="000000"/>
        </w:rPr>
        <w:t xml:space="preserve"> </w:t>
      </w:r>
      <w:r w:rsidRPr="00F81A54">
        <w:rPr>
          <w:color w:val="000000"/>
        </w:rPr>
        <w:t>Konu ile ilgili yapılan çalışmalar incelendiğinde; sağlık disiplinlerinde YBÖ ile ilgili yapılan çalışmaların oldukça kısıtlı olduğu var olan çalışmaların ise çoğunlukla hemşirelik ve tıp öğrencileri ile olduğu görülmektedir</w:t>
      </w:r>
      <w:r w:rsidR="007F64E5" w:rsidRPr="00F81A54">
        <w:rPr>
          <w:color w:val="000000"/>
        </w:rPr>
        <w:t xml:space="preserve"> (Güçlü ve ark., 2013; </w:t>
      </w:r>
      <w:proofErr w:type="spellStart"/>
      <w:r w:rsidR="007F64E5" w:rsidRPr="00F81A54">
        <w:rPr>
          <w:color w:val="000000"/>
        </w:rPr>
        <w:t>Şenyuva</w:t>
      </w:r>
      <w:proofErr w:type="spellEnd"/>
      <w:r w:rsidR="001423CE" w:rsidRPr="00F81A54">
        <w:rPr>
          <w:color w:val="000000"/>
        </w:rPr>
        <w:t xml:space="preserve"> ve</w:t>
      </w:r>
      <w:r w:rsidR="007F64E5" w:rsidRPr="00F81A54">
        <w:rPr>
          <w:color w:val="000000"/>
        </w:rPr>
        <w:t xml:space="preserve"> Kaya, 2014; </w:t>
      </w:r>
      <w:proofErr w:type="spellStart"/>
      <w:r w:rsidR="007F64E5" w:rsidRPr="00F81A54">
        <w:rPr>
          <w:color w:val="000000"/>
        </w:rPr>
        <w:t>Denat</w:t>
      </w:r>
      <w:proofErr w:type="spellEnd"/>
      <w:r w:rsidR="001423CE" w:rsidRPr="00F81A54">
        <w:rPr>
          <w:color w:val="000000"/>
        </w:rPr>
        <w:t xml:space="preserve"> ve</w:t>
      </w:r>
      <w:r w:rsidR="007F64E5" w:rsidRPr="00F81A54">
        <w:rPr>
          <w:color w:val="000000"/>
        </w:rPr>
        <w:t xml:space="preserve"> ark., 2016; Dikmen ve ark., 2016; Dikmen</w:t>
      </w:r>
      <w:r w:rsidR="001423CE" w:rsidRPr="00F81A54">
        <w:rPr>
          <w:color w:val="000000"/>
        </w:rPr>
        <w:t xml:space="preserve"> ve</w:t>
      </w:r>
      <w:r w:rsidR="007F64E5" w:rsidRPr="00F81A54">
        <w:rPr>
          <w:color w:val="000000"/>
        </w:rPr>
        <w:t xml:space="preserve"> ark., 2017; Uysal Yalçın</w:t>
      </w:r>
      <w:r w:rsidR="001423CE" w:rsidRPr="00F81A54">
        <w:rPr>
          <w:color w:val="000000"/>
        </w:rPr>
        <w:t xml:space="preserve"> ve </w:t>
      </w:r>
      <w:r w:rsidR="007F64E5" w:rsidRPr="00F81A54">
        <w:rPr>
          <w:color w:val="000000"/>
        </w:rPr>
        <w:t xml:space="preserve">ark., 2019). </w:t>
      </w:r>
      <w:r w:rsidRPr="00F81A54">
        <w:rPr>
          <w:color w:val="000000"/>
        </w:rPr>
        <w:t>Mevcut çalışmalar incelendiğin</w:t>
      </w:r>
      <w:r w:rsidR="00F81A54">
        <w:rPr>
          <w:color w:val="000000"/>
        </w:rPr>
        <w:t xml:space="preserve">de </w:t>
      </w:r>
      <w:r w:rsidRPr="00F81A54">
        <w:rPr>
          <w:color w:val="000000"/>
        </w:rPr>
        <w:t>Ayçiçek ve Karanfil’in (2021) çalışmasında üniversite öğrencilerinin YBÖ eğilimlerinin orta düzeyde olduğu sonucuna ulaşılmıştır. Dikmen ve ark. (2017) çalışmalarında Tıp Fakültesi öğrencilerinin YBÖ eğilimlerinin yüksek olduğu ifade etmişlerdir. Buna karşın, hemşirelik öğrencileri ile yapılan başka çalışmalarda çalışma bulgularımızdan farklı olarak öğrencilerinin YBÖ eğilimlerinin düşük olduğu saptanmıştır</w:t>
      </w:r>
      <w:r w:rsidR="007F64E5" w:rsidRPr="00F81A54">
        <w:rPr>
          <w:color w:val="000000"/>
        </w:rPr>
        <w:t xml:space="preserve"> (Dikmen</w:t>
      </w:r>
      <w:r w:rsidR="001423CE" w:rsidRPr="00F81A54">
        <w:rPr>
          <w:color w:val="000000"/>
        </w:rPr>
        <w:t xml:space="preserve"> ve </w:t>
      </w:r>
      <w:r w:rsidR="007F64E5" w:rsidRPr="00F81A54">
        <w:rPr>
          <w:color w:val="000000"/>
        </w:rPr>
        <w:t>ark., 2016; Tuğrul</w:t>
      </w:r>
      <w:r w:rsidR="001423CE" w:rsidRPr="00F81A54">
        <w:rPr>
          <w:color w:val="000000"/>
        </w:rPr>
        <w:t xml:space="preserve"> ve </w:t>
      </w:r>
      <w:proofErr w:type="spellStart"/>
      <w:r w:rsidR="007F64E5" w:rsidRPr="00F81A54">
        <w:rPr>
          <w:color w:val="000000"/>
        </w:rPr>
        <w:t>Denat</w:t>
      </w:r>
      <w:proofErr w:type="spellEnd"/>
      <w:r w:rsidR="007F64E5" w:rsidRPr="00F81A54">
        <w:rPr>
          <w:color w:val="000000"/>
        </w:rPr>
        <w:t>, 2019; Kılavuz</w:t>
      </w:r>
      <w:r w:rsidR="001423CE" w:rsidRPr="00F81A54">
        <w:rPr>
          <w:color w:val="000000"/>
        </w:rPr>
        <w:t xml:space="preserve"> ve </w:t>
      </w:r>
      <w:r w:rsidR="007F64E5" w:rsidRPr="00F81A54">
        <w:rPr>
          <w:color w:val="000000"/>
        </w:rPr>
        <w:t xml:space="preserve">Karabağ Aydın, 2020). </w:t>
      </w:r>
      <w:r w:rsidRPr="00F81A54">
        <w:rPr>
          <w:color w:val="000000"/>
        </w:rPr>
        <w:t xml:space="preserve">Uysal Yalçın ve ark. (2019) tarafından yapılan öğrencilerin YBÖ eğilimlerini belirlemeye ilişkin nitel çalışmada ise öğrencilerin, YBÖ kavramını bildikleri ancak </w:t>
      </w:r>
      <w:proofErr w:type="spellStart"/>
      <w:r w:rsidRPr="00F81A54">
        <w:rPr>
          <w:color w:val="000000"/>
        </w:rPr>
        <w:t>YBÖ’yi</w:t>
      </w:r>
      <w:proofErr w:type="spellEnd"/>
      <w:r w:rsidRPr="00F81A54">
        <w:rPr>
          <w:color w:val="000000"/>
        </w:rPr>
        <w:t xml:space="preserve"> geliştirmeye yönelik kaynakları kullanmakta eksik oldukları bildirilmektedir. Çalışma sonuçları arasındaki farklılıkların örneklem gruplarının farklılıklarından ve YBÖ eğiliminin birçok faktörden etkilenmesinden kaynaklandığı düşünülmektedir. </w:t>
      </w:r>
    </w:p>
    <w:p w14:paraId="28E5152C" w14:textId="77777777" w:rsidR="00BB0F62" w:rsidRDefault="001E1C7B" w:rsidP="00194DD0">
      <w:pPr>
        <w:spacing w:before="120" w:after="120" w:line="276" w:lineRule="auto"/>
        <w:jc w:val="both"/>
      </w:pPr>
      <w:r w:rsidRPr="002F6042">
        <w:rPr>
          <w:color w:val="000000"/>
        </w:rPr>
        <w:t xml:space="preserve">Çalışmamıza katılan öğrencilerin YBÖ eğilimleri cinsiyet değişkeni açısından incelendiğinde, kadın öğrencilerin YBÖ eğilimlerinin, erkek öğrencilerden daha yüksek olduğu belirlenmiştir. Mevcut çalışma ile benzer şekilde, yapılan diğer çalışmalarda da kadın öğrencilerin erkek öğrencilere kıyasla YBÖ eğilimlerinin </w:t>
      </w:r>
      <w:r w:rsidRPr="00D015C6">
        <w:rPr>
          <w:color w:val="000000"/>
        </w:rPr>
        <w:t xml:space="preserve">daha </w:t>
      </w:r>
      <w:r w:rsidR="00BB0F62" w:rsidRPr="00D015C6">
        <w:rPr>
          <w:color w:val="000000"/>
        </w:rPr>
        <w:t>yüksek</w:t>
      </w:r>
      <w:r w:rsidRPr="00D015C6">
        <w:rPr>
          <w:color w:val="000000"/>
        </w:rPr>
        <w:t xml:space="preserve"> olduğu</w:t>
      </w:r>
      <w:r w:rsidRPr="002F6042">
        <w:rPr>
          <w:color w:val="000000"/>
        </w:rPr>
        <w:t xml:space="preserve"> sonucuna ulaşılmıştır</w:t>
      </w:r>
      <w:r w:rsidR="007F64E5">
        <w:rPr>
          <w:color w:val="000000"/>
        </w:rPr>
        <w:t xml:space="preserve"> </w:t>
      </w:r>
      <w:r w:rsidR="007F64E5" w:rsidRPr="007C0F4B">
        <w:t xml:space="preserve">(Kılıç, 2014; </w:t>
      </w:r>
      <w:proofErr w:type="spellStart"/>
      <w:r w:rsidR="007F64E5" w:rsidRPr="007C0F4B">
        <w:t>Özçiftçi</w:t>
      </w:r>
      <w:proofErr w:type="spellEnd"/>
      <w:r w:rsidR="001423CE">
        <w:t xml:space="preserve"> ve </w:t>
      </w:r>
      <w:r w:rsidR="007F64E5" w:rsidRPr="007C0F4B">
        <w:t xml:space="preserve">Çakır, 2015). </w:t>
      </w:r>
      <w:r w:rsidRPr="002F6042">
        <w:rPr>
          <w:color w:val="000000"/>
        </w:rPr>
        <w:t xml:space="preserve"> Öğretmen adayları ile yapılan bazı çalışmalarda da çalışma bulgularımızı destekler sonuçlar elde edilmiştir</w:t>
      </w:r>
      <w:r w:rsidR="007F64E5">
        <w:rPr>
          <w:color w:val="000000"/>
        </w:rPr>
        <w:t xml:space="preserve"> </w:t>
      </w:r>
      <w:r w:rsidR="007F64E5" w:rsidRPr="007C0F4B">
        <w:t>(İzci</w:t>
      </w:r>
      <w:r w:rsidR="001423CE">
        <w:t xml:space="preserve"> ve</w:t>
      </w:r>
      <w:r w:rsidR="007F64E5" w:rsidRPr="007C0F4B">
        <w:t xml:space="preserve"> Koç, 2012; Diker Coşkun, 2012). </w:t>
      </w:r>
    </w:p>
    <w:p w14:paraId="3A80C46A" w14:textId="77777777" w:rsidR="00BB0F62" w:rsidRDefault="00BB0F62" w:rsidP="00194DD0">
      <w:pPr>
        <w:spacing w:before="120" w:after="120" w:line="276" w:lineRule="auto"/>
        <w:jc w:val="both"/>
      </w:pPr>
    </w:p>
    <w:p w14:paraId="36706BEA" w14:textId="079DA1E9" w:rsidR="006B55D9" w:rsidRDefault="001E1C7B" w:rsidP="00194DD0">
      <w:pPr>
        <w:spacing w:before="120" w:after="120" w:line="276" w:lineRule="auto"/>
        <w:jc w:val="both"/>
        <w:rPr>
          <w:color w:val="000000"/>
        </w:rPr>
      </w:pPr>
      <w:r w:rsidRPr="002F6042">
        <w:rPr>
          <w:color w:val="000000"/>
        </w:rPr>
        <w:t xml:space="preserve">Benzer şekilde </w:t>
      </w:r>
      <w:proofErr w:type="spellStart"/>
      <w:r w:rsidRPr="002F6042">
        <w:t>Ramamurthy</w:t>
      </w:r>
      <w:proofErr w:type="spellEnd"/>
      <w:r w:rsidRPr="002F6042">
        <w:t xml:space="preserve">, </w:t>
      </w:r>
      <w:proofErr w:type="spellStart"/>
      <w:r w:rsidRPr="002F6042">
        <w:t>Nadarajah</w:t>
      </w:r>
      <w:proofErr w:type="spellEnd"/>
      <w:r w:rsidRPr="002F6042">
        <w:t xml:space="preserve"> ve </w:t>
      </w:r>
      <w:proofErr w:type="spellStart"/>
      <w:r w:rsidRPr="002F6042">
        <w:t>Radhakrishnan’nın</w:t>
      </w:r>
      <w:proofErr w:type="spellEnd"/>
      <w:r w:rsidRPr="002F6042">
        <w:t xml:space="preserve"> (2021) tıp öğrencileri ile yaptıkları çalışmada erkek öğrencilerin kadın öğrencilere göre bilgiyi arama becerilerinin daha yüksek olduğu belirlenmiştir.</w:t>
      </w:r>
      <w:r w:rsidR="006B55D9">
        <w:t xml:space="preserve"> </w:t>
      </w:r>
      <w:r w:rsidR="006B55D9" w:rsidRPr="00D015C6">
        <w:t>Farklı kültürlerde YBÖ eğilimlerinin</w:t>
      </w:r>
      <w:r w:rsidR="00745CBE" w:rsidRPr="00D015C6">
        <w:t xml:space="preserve"> </w:t>
      </w:r>
      <w:bookmarkStart w:id="7" w:name="_Hlk137917819"/>
      <w:r w:rsidR="00745CBE" w:rsidRPr="00D015C6">
        <w:t>c</w:t>
      </w:r>
      <w:r w:rsidRPr="00D015C6">
        <w:rPr>
          <w:color w:val="000000"/>
        </w:rPr>
        <w:t>insiyete göre farklılık</w:t>
      </w:r>
      <w:r w:rsidR="00745CBE" w:rsidRPr="00D015C6">
        <w:rPr>
          <w:color w:val="000000"/>
        </w:rPr>
        <w:t xml:space="preserve"> göstermesi,</w:t>
      </w:r>
      <w:r w:rsidRPr="00D015C6">
        <w:rPr>
          <w:color w:val="000000"/>
        </w:rPr>
        <w:t xml:space="preserve"> kadınların ataerkil sistem içerisinde ekonomik, toplumsal ve mesleki olarak</w:t>
      </w:r>
      <w:r w:rsidR="00745CBE" w:rsidRPr="00D015C6">
        <w:rPr>
          <w:color w:val="000000"/>
        </w:rPr>
        <w:t xml:space="preserve"> toplumsal</w:t>
      </w:r>
      <w:r w:rsidRPr="00D015C6">
        <w:rPr>
          <w:color w:val="000000"/>
        </w:rPr>
        <w:t xml:space="preserve"> statü</w:t>
      </w:r>
      <w:r w:rsidR="00745CBE" w:rsidRPr="00D015C6">
        <w:rPr>
          <w:color w:val="000000"/>
        </w:rPr>
        <w:t xml:space="preserve">lerini </w:t>
      </w:r>
      <w:r w:rsidRPr="00D015C6">
        <w:rPr>
          <w:color w:val="000000"/>
        </w:rPr>
        <w:t>yükseltmeye yönelik daha fazla motivasyona sahip olmalarından</w:t>
      </w:r>
      <w:r w:rsidR="006B55D9" w:rsidRPr="00D015C6">
        <w:rPr>
          <w:color w:val="000000"/>
        </w:rPr>
        <w:t>,</w:t>
      </w:r>
      <w:r w:rsidRPr="00D015C6">
        <w:rPr>
          <w:color w:val="000000"/>
        </w:rPr>
        <w:t xml:space="preserve"> </w:t>
      </w:r>
      <w:r w:rsidR="006B55D9" w:rsidRPr="00D015C6">
        <w:rPr>
          <w:color w:val="000000"/>
        </w:rPr>
        <w:t xml:space="preserve">geleneksel cinsiyet rolleri ve kalıp yargılarıyla mücadele etme isteğinden </w:t>
      </w:r>
      <w:r w:rsidRPr="00D015C6">
        <w:t xml:space="preserve">kaynaklanabilir. </w:t>
      </w:r>
      <w:bookmarkEnd w:id="7"/>
      <w:r w:rsidR="00745CBE" w:rsidRPr="00D015C6">
        <w:t>Çalışmamızda öğrenci</w:t>
      </w:r>
      <w:r w:rsidR="002D7CB8" w:rsidRPr="00D015C6">
        <w:t>lerin</w:t>
      </w:r>
      <w:r w:rsidR="00745CBE" w:rsidRPr="00D015C6">
        <w:t xml:space="preserve"> </w:t>
      </w:r>
      <w:proofErr w:type="gramStart"/>
      <w:r w:rsidR="00745CBE" w:rsidRPr="00D015C6">
        <w:t>%86.8</w:t>
      </w:r>
      <w:proofErr w:type="gramEnd"/>
      <w:r w:rsidR="00745CBE" w:rsidRPr="00D015C6">
        <w:t>’inin kadın olması da yine toplumumuzda s</w:t>
      </w:r>
      <w:r w:rsidR="006B55D9" w:rsidRPr="00D015C6">
        <w:t>ağlık hizmetleri kapsamında yapılan işlerin niteliği</w:t>
      </w:r>
      <w:r w:rsidR="00745CBE" w:rsidRPr="00D015C6">
        <w:t>nin</w:t>
      </w:r>
      <w:r w:rsidR="006B55D9" w:rsidRPr="00D015C6">
        <w:t>, toplumsal cinsiyet rollerine göre ayrışmış kadın işlerine benzerlik göster</w:t>
      </w:r>
      <w:r w:rsidR="00745CBE" w:rsidRPr="00D015C6">
        <w:t>diğini, b</w:t>
      </w:r>
      <w:r w:rsidR="006B55D9" w:rsidRPr="00D015C6">
        <w:t>u benzerli</w:t>
      </w:r>
      <w:r w:rsidR="00745CBE" w:rsidRPr="00D015C6">
        <w:t>ğin</w:t>
      </w:r>
      <w:r w:rsidR="006B55D9" w:rsidRPr="00D015C6">
        <w:t xml:space="preserve">, geçmişten itibaren </w:t>
      </w:r>
      <w:r w:rsidR="00745CBE" w:rsidRPr="00D015C6">
        <w:t xml:space="preserve">özellikle </w:t>
      </w:r>
      <w:r w:rsidR="006B55D9" w:rsidRPr="00D015C6">
        <w:t>sağlık bakımının ön plana çıktığı hemşirelik, ebelik gibi mesleklerin kadınların</w:t>
      </w:r>
      <w:r w:rsidR="00745CBE" w:rsidRPr="00D015C6">
        <w:t xml:space="preserve"> mesleği</w:t>
      </w:r>
      <w:r w:rsidR="006B55D9" w:rsidRPr="00D015C6">
        <w:t xml:space="preserve"> olmasıyla sonuçlanmışt</w:t>
      </w:r>
      <w:r w:rsidR="00745CBE" w:rsidRPr="00D015C6">
        <w:t>ır.</w:t>
      </w:r>
    </w:p>
    <w:p w14:paraId="0467DF0F" w14:textId="43AAC5B4" w:rsidR="001E1C7B" w:rsidRPr="002F6042" w:rsidRDefault="001E1C7B" w:rsidP="00194DD0">
      <w:pPr>
        <w:spacing w:line="276" w:lineRule="auto"/>
        <w:jc w:val="both"/>
        <w:rPr>
          <w:color w:val="000000"/>
        </w:rPr>
      </w:pPr>
      <w:r w:rsidRPr="002F6042">
        <w:rPr>
          <w:color w:val="000000"/>
        </w:rPr>
        <w:t>Çalışmamızda gelişime açıklık kişilik özelliği ile YBÖ eğilimi arasında orta düzeyde ve pozitif bir ilişki olduğu bulunmuştur. YBÖ eğilimleri ile kişilik özelliklerini karşılaştıran çalışmaya rastlanmamıştır ancak yapılan çalışmalarda gelişime açıklık ile akademik başarı arasında ilişki olduğu belirtilmektedir</w:t>
      </w:r>
      <w:r w:rsidR="007F64E5">
        <w:rPr>
          <w:color w:val="000000"/>
        </w:rPr>
        <w:t xml:space="preserve"> </w:t>
      </w:r>
      <w:r w:rsidR="007F64E5" w:rsidRPr="007C0F4B">
        <w:t>(</w:t>
      </w:r>
      <w:proofErr w:type="spellStart"/>
      <w:r w:rsidR="007F64E5" w:rsidRPr="007C0F4B">
        <w:t>Laidra</w:t>
      </w:r>
      <w:proofErr w:type="spellEnd"/>
      <w:r w:rsidR="007F64E5" w:rsidRPr="007C0F4B">
        <w:t xml:space="preserve">, </w:t>
      </w:r>
      <w:proofErr w:type="spellStart"/>
      <w:r w:rsidR="007F64E5" w:rsidRPr="007C0F4B">
        <w:t>Pullmann</w:t>
      </w:r>
      <w:proofErr w:type="spellEnd"/>
      <w:r w:rsidR="001423CE">
        <w:t xml:space="preserve"> ve </w:t>
      </w:r>
      <w:proofErr w:type="spellStart"/>
      <w:r w:rsidR="001423CE" w:rsidRPr="007C0F4B">
        <w:t>Allik</w:t>
      </w:r>
      <w:proofErr w:type="spellEnd"/>
      <w:r w:rsidR="007F64E5" w:rsidRPr="007C0F4B">
        <w:t xml:space="preserve">, 2007; </w:t>
      </w:r>
      <w:proofErr w:type="spellStart"/>
      <w:r w:rsidR="007F64E5" w:rsidRPr="007C0F4B">
        <w:t>Poropat</w:t>
      </w:r>
      <w:proofErr w:type="spellEnd"/>
      <w:r w:rsidR="007F64E5" w:rsidRPr="007C0F4B">
        <w:t xml:space="preserve">, 2009). </w:t>
      </w:r>
      <w:r w:rsidRPr="002F6042">
        <w:rPr>
          <w:color w:val="000000"/>
        </w:rPr>
        <w:t xml:space="preserve">Erzen (2018), üniversite öğrencilerinin kişilik özelliklerinden sorumluluk, açıklık, dışa dönüklük, nevrotiklik ve uyumluluğun akademik başarının </w:t>
      </w:r>
      <w:proofErr w:type="spellStart"/>
      <w:r w:rsidRPr="002F6042">
        <w:rPr>
          <w:color w:val="000000"/>
        </w:rPr>
        <w:t>yordayıcısı</w:t>
      </w:r>
      <w:proofErr w:type="spellEnd"/>
      <w:r w:rsidRPr="002F6042">
        <w:rPr>
          <w:color w:val="000000"/>
        </w:rPr>
        <w:t xml:space="preserve"> olduğunu bildirmektedir. Çalışmamızda da YBÖ</w:t>
      </w:r>
      <w:r>
        <w:rPr>
          <w:color w:val="000000"/>
        </w:rPr>
        <w:t xml:space="preserve"> </w:t>
      </w:r>
      <w:r w:rsidRPr="002F6042">
        <w:rPr>
          <w:color w:val="000000"/>
        </w:rPr>
        <w:t xml:space="preserve">eğilimi ile sorumlu kişilik özelliği arasında pozitif yönde ve anlamlı bir ilişki bulunmuştur. </w:t>
      </w:r>
      <w:proofErr w:type="spellStart"/>
      <w:r w:rsidRPr="002F6042">
        <w:rPr>
          <w:color w:val="000000"/>
        </w:rPr>
        <w:t>Kurtz</w:t>
      </w:r>
      <w:proofErr w:type="spellEnd"/>
      <w:r w:rsidRPr="002F6042">
        <w:rPr>
          <w:color w:val="000000"/>
        </w:rPr>
        <w:t xml:space="preserve">, </w:t>
      </w:r>
      <w:proofErr w:type="spellStart"/>
      <w:r w:rsidRPr="002F6042">
        <w:rPr>
          <w:color w:val="000000"/>
        </w:rPr>
        <w:t>Puher</w:t>
      </w:r>
      <w:proofErr w:type="spellEnd"/>
      <w:r w:rsidRPr="002F6042">
        <w:rPr>
          <w:color w:val="000000"/>
        </w:rPr>
        <w:t xml:space="preserve"> ve </w:t>
      </w:r>
      <w:proofErr w:type="spellStart"/>
      <w:r w:rsidRPr="002F6042">
        <w:rPr>
          <w:color w:val="000000"/>
        </w:rPr>
        <w:t>Cross’un</w:t>
      </w:r>
      <w:proofErr w:type="spellEnd"/>
      <w:r w:rsidRPr="002F6042">
        <w:rPr>
          <w:color w:val="000000"/>
        </w:rPr>
        <w:t xml:space="preserve"> (2012) yaptığı bir çalışmada, sorumlu kişilik özeliğine sahip öğrencilerin üniversitedeki akademik faaliyetlere uyum sağlama konusunda daha becerikli olduklarını ve bu durumun akademik başarılarına olumlu yansıması olduğu belirtilmiştir</w:t>
      </w:r>
      <w:r w:rsidRPr="002F6042">
        <w:rPr>
          <w:rStyle w:val="fontstyle01"/>
          <w:color w:val="000000"/>
          <w:sz w:val="24"/>
          <w:szCs w:val="24"/>
        </w:rPr>
        <w:t xml:space="preserve">. </w:t>
      </w:r>
      <w:proofErr w:type="spellStart"/>
      <w:r w:rsidRPr="002F6042">
        <w:rPr>
          <w:color w:val="000000"/>
        </w:rPr>
        <w:t>Rabiner</w:t>
      </w:r>
      <w:proofErr w:type="spellEnd"/>
      <w:r w:rsidRPr="002F6042">
        <w:rPr>
          <w:color w:val="000000"/>
        </w:rPr>
        <w:t xml:space="preserve">, </w:t>
      </w:r>
      <w:proofErr w:type="spellStart"/>
      <w:r w:rsidRPr="002F6042">
        <w:rPr>
          <w:color w:val="000000"/>
        </w:rPr>
        <w:t>Anastopoulos</w:t>
      </w:r>
      <w:proofErr w:type="spellEnd"/>
      <w:r w:rsidRPr="002F6042">
        <w:rPr>
          <w:color w:val="000000"/>
        </w:rPr>
        <w:t xml:space="preserve">, </w:t>
      </w:r>
      <w:proofErr w:type="spellStart"/>
      <w:r w:rsidRPr="002F6042">
        <w:rPr>
          <w:color w:val="000000"/>
        </w:rPr>
        <w:t>Costello</w:t>
      </w:r>
      <w:proofErr w:type="spellEnd"/>
      <w:r w:rsidRPr="002F6042">
        <w:rPr>
          <w:color w:val="000000"/>
        </w:rPr>
        <w:t xml:space="preserve">, </w:t>
      </w:r>
      <w:proofErr w:type="spellStart"/>
      <w:r w:rsidRPr="002F6042">
        <w:rPr>
          <w:color w:val="000000"/>
        </w:rPr>
        <w:t>Hoyle</w:t>
      </w:r>
      <w:proofErr w:type="spellEnd"/>
      <w:r w:rsidRPr="002F6042">
        <w:rPr>
          <w:color w:val="000000"/>
        </w:rPr>
        <w:t xml:space="preserve"> ve </w:t>
      </w:r>
      <w:proofErr w:type="spellStart"/>
      <w:r w:rsidRPr="002F6042">
        <w:rPr>
          <w:color w:val="000000"/>
        </w:rPr>
        <w:t>Swartzwelder</w:t>
      </w:r>
      <w:proofErr w:type="spellEnd"/>
      <w:r w:rsidRPr="002F6042">
        <w:rPr>
          <w:color w:val="000000"/>
        </w:rPr>
        <w:t xml:space="preserve"> (2007) ise sorumluluk duygusu yüksek öğrencilerin dikkat düzeylerinin daha yüksek olduğunu belirtmişlerdir</w:t>
      </w:r>
      <w:r w:rsidRPr="002F6042">
        <w:rPr>
          <w:rStyle w:val="fontstyle01"/>
          <w:color w:val="000000"/>
          <w:sz w:val="24"/>
          <w:szCs w:val="24"/>
        </w:rPr>
        <w:t xml:space="preserve">. </w:t>
      </w:r>
      <w:r w:rsidRPr="002F6042">
        <w:rPr>
          <w:color w:val="000000"/>
        </w:rPr>
        <w:t>Sorumluluk duygusu yüksek bireylerin, hedefe yönelik ve disiplinli tutumlarının YBÖ için gerekli olan bilgiyi arama, işleme ve sebat etmenin daha kolay kazanılmasını sağladığı düşünülmektedir</w:t>
      </w:r>
      <w:r w:rsidRPr="002F6042">
        <w:rPr>
          <w:rStyle w:val="fontstyle01"/>
          <w:color w:val="000000"/>
          <w:sz w:val="24"/>
          <w:szCs w:val="24"/>
        </w:rPr>
        <w:t xml:space="preserve">. </w:t>
      </w:r>
      <w:r w:rsidRPr="002F6042">
        <w:rPr>
          <w:color w:val="000000"/>
        </w:rPr>
        <w:t>Çalışmamızda öğrencilerin YBÖ eğilimleri ile uyumluluk ve dışadönüklük kişilik özellikleri arasında düşük yönde pozitif bir ilişki bulunmuştur. Uyumluluk, diğer insanlarla uyumlu bir iletişim içerisinde olmanın yanı sıra, aynı zamanda mütevazı ve diğerlerine karşı saygılı olmayı da kapsayan tüm özelliklerdir</w:t>
      </w:r>
      <w:r w:rsidR="007F64E5">
        <w:rPr>
          <w:color w:val="000000"/>
        </w:rPr>
        <w:t xml:space="preserve"> </w:t>
      </w:r>
      <w:r w:rsidR="007F64E5" w:rsidRPr="007C0F4B">
        <w:t>(John</w:t>
      </w:r>
      <w:r w:rsidR="0052188B">
        <w:t xml:space="preserve"> ve </w:t>
      </w:r>
      <w:proofErr w:type="spellStart"/>
      <w:r w:rsidR="007F64E5" w:rsidRPr="007C0F4B">
        <w:t>Srivastava</w:t>
      </w:r>
      <w:proofErr w:type="spellEnd"/>
      <w:r w:rsidR="007F64E5" w:rsidRPr="007C0F4B">
        <w:t>, 1999).</w:t>
      </w:r>
      <w:r w:rsidRPr="002F6042">
        <w:rPr>
          <w:color w:val="000000"/>
        </w:rPr>
        <w:t xml:space="preserve"> Büyük beşli envanterinde yer alan bir diğer kişilik özelliği ise dışadönüklüktür. Dışadönük bireylerin, kişilerarası ilişkileri güçlü, sosyal kimseler oldukları, bunların yanında heyecanlı, konuşkan, girişken ve neşeli bireyler oldukları ifade edilmektedir</w:t>
      </w:r>
      <w:r w:rsidR="007F64E5">
        <w:rPr>
          <w:color w:val="000000"/>
        </w:rPr>
        <w:t xml:space="preserve"> </w:t>
      </w:r>
      <w:r w:rsidR="007F64E5" w:rsidRPr="007C0F4B">
        <w:t xml:space="preserve">(Somer, Korkmaz </w:t>
      </w:r>
      <w:r w:rsidR="0052188B">
        <w:t xml:space="preserve">ve </w:t>
      </w:r>
      <w:r w:rsidR="007F64E5" w:rsidRPr="007C0F4B">
        <w:t xml:space="preserve">Tatar, 2002). </w:t>
      </w:r>
      <w:r w:rsidRPr="002F6042">
        <w:rPr>
          <w:color w:val="000000"/>
        </w:rPr>
        <w:t>Enerjileri yüksek olan dışadönük bireyler sınırlı zamanda pek çok işi yapabilmektedirler</w:t>
      </w:r>
      <w:r w:rsidR="007F64E5">
        <w:rPr>
          <w:color w:val="000000"/>
        </w:rPr>
        <w:t xml:space="preserve"> </w:t>
      </w:r>
      <w:r w:rsidR="007F64E5" w:rsidRPr="007C0F4B">
        <w:t xml:space="preserve">(Wayne, </w:t>
      </w:r>
      <w:proofErr w:type="spellStart"/>
      <w:r w:rsidR="007F64E5" w:rsidRPr="007C0F4B">
        <w:t>Musisca</w:t>
      </w:r>
      <w:proofErr w:type="spellEnd"/>
      <w:r w:rsidR="007F64E5" w:rsidRPr="007C0F4B">
        <w:t xml:space="preserve"> ve </w:t>
      </w:r>
      <w:proofErr w:type="spellStart"/>
      <w:r w:rsidR="007F64E5" w:rsidRPr="007C0F4B">
        <w:t>Fleeson</w:t>
      </w:r>
      <w:proofErr w:type="spellEnd"/>
      <w:r w:rsidR="007F64E5" w:rsidRPr="007C0F4B">
        <w:t xml:space="preserve">, 2004). </w:t>
      </w:r>
      <w:r w:rsidRPr="002F6042">
        <w:rPr>
          <w:color w:val="000000"/>
        </w:rPr>
        <w:t>Bu bulgular doğrultusunda, dışadönük ve uyumlu bireylerin kişilerarası ilişkilerinin ve değişime uyum sağlama yeteneklerinin güçlü olmasının YBÖ eğilimlerini olumlu etkilemiş olabileceği düşünülmektedir. Buna karşın, nevrotik kişilik özelliğine sahip bireylerin ise kaygılı, güveni düşük, kendine acıyan ve stresi daha yoğun yaşayan bireyler olduğu belirtilmektedir</w:t>
      </w:r>
      <w:r w:rsidR="001423CE">
        <w:rPr>
          <w:color w:val="000000"/>
        </w:rPr>
        <w:t xml:space="preserve"> </w:t>
      </w:r>
      <w:r w:rsidR="001423CE" w:rsidRPr="007C0F4B">
        <w:t>(</w:t>
      </w:r>
      <w:proofErr w:type="spellStart"/>
      <w:r w:rsidR="001423CE" w:rsidRPr="007C0F4B">
        <w:t>McCrea</w:t>
      </w:r>
      <w:proofErr w:type="spellEnd"/>
      <w:r w:rsidR="0052188B">
        <w:t xml:space="preserve"> ve </w:t>
      </w:r>
      <w:proofErr w:type="spellStart"/>
      <w:r w:rsidR="001423CE" w:rsidRPr="007C0F4B">
        <w:t>Costa</w:t>
      </w:r>
      <w:proofErr w:type="spellEnd"/>
      <w:r w:rsidR="001423CE" w:rsidRPr="007C0F4B">
        <w:t xml:space="preserve">, 1989). </w:t>
      </w:r>
      <w:r w:rsidRPr="002F6042">
        <w:rPr>
          <w:color w:val="000000"/>
        </w:rPr>
        <w:t>Bu özellikler, bireyin zihinsel yeteneklerini ve kariyer planlarını olumsuz etkileyebilmektedir. Nitekim bizim çalışmamızda da üniversite öğrencilerinin YBÖ eğilimleri ile nevrotik kişilik özelliği arasında düşük düzeyde negatif bir ilişki</w:t>
      </w:r>
      <w:r>
        <w:rPr>
          <w:color w:val="000000"/>
        </w:rPr>
        <w:t xml:space="preserve"> </w:t>
      </w:r>
      <w:r w:rsidRPr="002F6042">
        <w:rPr>
          <w:color w:val="000000"/>
        </w:rPr>
        <w:t xml:space="preserve">bulunmuştur. Dolayısıyla YBÖ eğilimlerinin geliştirilebilmesi için bireylerin ruh sağlıklarının iyileştirilmesine yönelik adımların da atılması gerektiği sonucuna ulaşılabilir. YBÖ ve akademik başarı arasındaki ilişki değerlendirildiğinde ise çalışmamızda YBÖ eğilimi yüksek olan üniversite öğrencilerinin, akademik başarılarının da yüksek olduğu saptanmıştır. Yapılan </w:t>
      </w:r>
      <w:r w:rsidRPr="002F6042">
        <w:rPr>
          <w:color w:val="000000"/>
        </w:rPr>
        <w:lastRenderedPageBreak/>
        <w:t>çalışmalarda öğrencilerin YBÖ eğilimleri ile akademik özyeterlilikleri arasında orta düzeyde anlamlı ilişki olduğu belirtilmiştir</w:t>
      </w:r>
      <w:r w:rsidR="001423CE">
        <w:rPr>
          <w:color w:val="000000"/>
        </w:rPr>
        <w:t xml:space="preserve"> </w:t>
      </w:r>
      <w:r w:rsidR="001423CE" w:rsidRPr="007C0F4B">
        <w:t>(</w:t>
      </w:r>
      <w:proofErr w:type="spellStart"/>
      <w:r w:rsidR="001423CE" w:rsidRPr="007C0F4B">
        <w:t>Özçiftçi</w:t>
      </w:r>
      <w:proofErr w:type="spellEnd"/>
      <w:r w:rsidR="0052188B">
        <w:t xml:space="preserve"> ve</w:t>
      </w:r>
      <w:r w:rsidR="001423CE" w:rsidRPr="007C0F4B">
        <w:t xml:space="preserve"> Çakır, 2015; Güzel, 2017).</w:t>
      </w:r>
      <w:r w:rsidR="001423CE">
        <w:t xml:space="preserve"> </w:t>
      </w:r>
      <w:r w:rsidRPr="002F6042">
        <w:rPr>
          <w:color w:val="000000"/>
        </w:rPr>
        <w:t>Sıvacı ve Çöplü (2020)’nün üniversite öğrencileri ile yaptığı çalışmada ise akademik motivasyonun YBÖ eğilimlerini pozitif yönde etkilediği bildirilmektedir</w:t>
      </w:r>
      <w:r w:rsidR="001423CE">
        <w:rPr>
          <w:color w:val="000000"/>
        </w:rPr>
        <w:t>.</w:t>
      </w:r>
      <w:r w:rsidRPr="002F6042">
        <w:rPr>
          <w:color w:val="000000"/>
        </w:rPr>
        <w:t xml:space="preserve"> Bu bağlamda akademik başarısı yüksek olan öğrencilerin yaşam boyu öğrenme eğilimlerinin de daha yüksek olması beklenmektedir. </w:t>
      </w:r>
    </w:p>
    <w:p w14:paraId="1FE4F3E7" w14:textId="74E841F5" w:rsidR="001E1C7B" w:rsidRPr="002F6042" w:rsidRDefault="001E1C7B" w:rsidP="00194DD0">
      <w:pPr>
        <w:spacing w:before="120" w:after="120" w:line="276" w:lineRule="auto"/>
        <w:jc w:val="both"/>
        <w:rPr>
          <w:b/>
          <w:color w:val="000000"/>
        </w:rPr>
      </w:pPr>
      <w:r>
        <w:rPr>
          <w:b/>
          <w:color w:val="000000"/>
        </w:rPr>
        <w:t>5.</w:t>
      </w:r>
      <w:r w:rsidRPr="002F6042">
        <w:rPr>
          <w:b/>
          <w:color w:val="000000"/>
        </w:rPr>
        <w:t>S</w:t>
      </w:r>
      <w:r>
        <w:rPr>
          <w:b/>
          <w:color w:val="000000"/>
        </w:rPr>
        <w:t>onuçlar</w:t>
      </w:r>
    </w:p>
    <w:p w14:paraId="05137562" w14:textId="5FF222D6" w:rsidR="009F32F7" w:rsidRDefault="001E1C7B" w:rsidP="00194DD0">
      <w:pPr>
        <w:spacing w:line="276" w:lineRule="auto"/>
        <w:jc w:val="both"/>
        <w:rPr>
          <w:color w:val="000000"/>
        </w:rPr>
      </w:pPr>
      <w:r w:rsidRPr="002F6042">
        <w:rPr>
          <w:color w:val="000000"/>
        </w:rPr>
        <w:t>Sağlık alanındaki bilginin dinamik yapısı ve becerilerdeki değişimler dolayısıyla sağlık profesyoneli yetiştiren kurumların, yaşam boyu öğrenmeyi destekleyen yaklaşımları eğitim programlarına dâhil etmeleri gerekmektedir. Çalışmamızda öğrencilerin yaşam boyu öğrenme eğilimlerini, cinsiyet, kişilik özellikleri ve akademik başarının etkilediği görülmektedir. Bu doğrultuda öğrencilerin yaşam boyu öğrenme düzeylerinin geliştirilmesinde bu faktörlerin dikkate alınması yerinde olacaktır. Bunların yanında öğrencilere nasıl öğreneceklerini bilme, öğrenmeyi önceliklendirme, öğrendiği konuları içselleştirerek yaşamları ile ilişkilendirme gibi konularda bilgi, beceri ve tutum kazandıracak fırsatlar sunulmalıdır. Bu doğrultuda, üniversitelerin, öğrencilerin öz-yönetimli öğrenenler olabilmelerine katkı sağlayacak etkinliklere yer vererek yaşam boyu öğrenenler olmalarına katkıda bulunmaları yerinde olacaktır. Sağlık profesyonellerinin yaşam boyu öğrenme tutumlarını daha iyi anlayabilmek için, sağlık mesleklerinin çoğunluğunu içine</w:t>
      </w:r>
      <w:r>
        <w:rPr>
          <w:color w:val="000000"/>
        </w:rPr>
        <w:t xml:space="preserve"> </w:t>
      </w:r>
      <w:r w:rsidRPr="002F6042">
        <w:rPr>
          <w:color w:val="000000"/>
        </w:rPr>
        <w:t>alan, daha geçiş ölçekli, bütüncül ve karşılaştırmalı çalışmaların yapılması önerilmektedir.</w:t>
      </w:r>
    </w:p>
    <w:p w14:paraId="32D76B8C" w14:textId="77777777" w:rsidR="009F32F7" w:rsidRPr="002F6042" w:rsidRDefault="009F32F7" w:rsidP="00194DD0">
      <w:pPr>
        <w:spacing w:before="120" w:after="120" w:line="276" w:lineRule="auto"/>
        <w:rPr>
          <w:b/>
        </w:rPr>
      </w:pPr>
      <w:r w:rsidRPr="002F6042">
        <w:rPr>
          <w:b/>
        </w:rPr>
        <w:t xml:space="preserve">Teşekkür: </w:t>
      </w:r>
      <w:r w:rsidRPr="002F6042">
        <w:t>Çalışmaya gönüllü olarak katılarak bu çalışmanın yapılabilmesine destek olan öğrencilerimize teşekkür ederiz.</w:t>
      </w:r>
      <w:r w:rsidRPr="002F6042">
        <w:rPr>
          <w:b/>
        </w:rPr>
        <w:t xml:space="preserve"> </w:t>
      </w:r>
    </w:p>
    <w:p w14:paraId="0D45B952" w14:textId="77777777" w:rsidR="009F32F7" w:rsidRPr="002F6042" w:rsidRDefault="009F32F7" w:rsidP="00194DD0">
      <w:pPr>
        <w:spacing w:before="120" w:after="120" w:line="276" w:lineRule="auto"/>
        <w:rPr>
          <w:b/>
        </w:rPr>
      </w:pPr>
      <w:r w:rsidRPr="002F6042">
        <w:rPr>
          <w:b/>
        </w:rPr>
        <w:t xml:space="preserve">Yazar </w:t>
      </w:r>
      <w:r>
        <w:rPr>
          <w:b/>
        </w:rPr>
        <w:t>k</w:t>
      </w:r>
      <w:r w:rsidRPr="002F6042">
        <w:rPr>
          <w:b/>
        </w:rPr>
        <w:t xml:space="preserve">atkıları </w:t>
      </w:r>
    </w:p>
    <w:p w14:paraId="46E34200" w14:textId="77777777" w:rsidR="009F32F7" w:rsidRPr="002F6042" w:rsidRDefault="009F32F7" w:rsidP="00194DD0">
      <w:pPr>
        <w:spacing w:before="120" w:after="120" w:line="276" w:lineRule="auto"/>
      </w:pPr>
      <w:r w:rsidRPr="002F6042">
        <w:t xml:space="preserve">Yazarlar bu çalışmaya eşit ölçüde katkı sunmuşlardır. </w:t>
      </w:r>
    </w:p>
    <w:p w14:paraId="0A882183" w14:textId="77777777" w:rsidR="009F32F7" w:rsidRPr="002F6042" w:rsidRDefault="009F32F7" w:rsidP="00194DD0">
      <w:pPr>
        <w:spacing w:before="120" w:after="120" w:line="276" w:lineRule="auto"/>
        <w:rPr>
          <w:b/>
        </w:rPr>
      </w:pPr>
      <w:r w:rsidRPr="002F6042">
        <w:rPr>
          <w:b/>
        </w:rPr>
        <w:t xml:space="preserve">Finansal </w:t>
      </w:r>
      <w:r>
        <w:rPr>
          <w:b/>
        </w:rPr>
        <w:t>d</w:t>
      </w:r>
      <w:r w:rsidRPr="002F6042">
        <w:rPr>
          <w:b/>
        </w:rPr>
        <w:t>estek</w:t>
      </w:r>
    </w:p>
    <w:p w14:paraId="73AE0EFB" w14:textId="7533D152" w:rsidR="0052188B" w:rsidRPr="009F32F7" w:rsidRDefault="009F32F7" w:rsidP="00194DD0">
      <w:pPr>
        <w:spacing w:before="120" w:after="120" w:line="276" w:lineRule="auto"/>
      </w:pPr>
      <w:r w:rsidRPr="002F6042">
        <w:t xml:space="preserve">Çalışmanın yürütülmesi sırasında herhangi bir kurum ya da kişiden finansal destek alınmamıştır. </w:t>
      </w:r>
    </w:p>
    <w:p w14:paraId="4DBF4BA5" w14:textId="77777777" w:rsidR="00D015C6" w:rsidRDefault="00D015C6" w:rsidP="00A16ED7">
      <w:pPr>
        <w:spacing w:line="276" w:lineRule="auto"/>
        <w:jc w:val="both"/>
        <w:rPr>
          <w:b/>
        </w:rPr>
      </w:pPr>
    </w:p>
    <w:p w14:paraId="5286E43D" w14:textId="498B2A60" w:rsidR="00DC16D1" w:rsidRPr="00DC52EB" w:rsidRDefault="007A7D7E" w:rsidP="00A16ED7">
      <w:pPr>
        <w:spacing w:line="276" w:lineRule="auto"/>
        <w:jc w:val="both"/>
        <w:rPr>
          <w:color w:val="000000"/>
        </w:rPr>
      </w:pPr>
      <w:r w:rsidRPr="00FA3F59">
        <w:rPr>
          <w:b/>
        </w:rPr>
        <w:t>Kaynakça</w:t>
      </w:r>
    </w:p>
    <w:sdt>
      <w:sdtPr>
        <w:rPr>
          <w:rFonts w:ascii="Times New Roman" w:eastAsia="Times New Roman" w:hAnsi="Times New Roman" w:cs="Times New Roman"/>
          <w:sz w:val="18"/>
          <w:szCs w:val="18"/>
          <w:lang w:eastAsia="tr-TR" w:bidi="tr-TR"/>
        </w:rPr>
        <w:id w:val="111145805"/>
        <w:bibliography/>
      </w:sdtPr>
      <w:sdtEndPr>
        <w:rPr>
          <w:rFonts w:asciiTheme="minorHAnsi" w:eastAsiaTheme="minorHAnsi" w:hAnsiTheme="minorHAnsi" w:cstheme="minorBidi"/>
          <w:lang w:eastAsia="en-US" w:bidi="ar-SA"/>
        </w:rPr>
      </w:sdtEndPr>
      <w:sdtContent>
        <w:p w14:paraId="33130B21" w14:textId="1FB783FD" w:rsidR="001E1C7B" w:rsidRPr="005F0FAF" w:rsidRDefault="001E1C7B" w:rsidP="00A16ED7">
          <w:pPr>
            <w:pStyle w:val="Kaynaka"/>
            <w:spacing w:after="0" w:line="276" w:lineRule="auto"/>
            <w:contextualSpacing/>
            <w:jc w:val="both"/>
            <w:rPr>
              <w:rFonts w:ascii="Times New Roman" w:hAnsi="Times New Roman" w:cs="Times New Roman"/>
              <w:noProof/>
            </w:rPr>
          </w:pPr>
        </w:p>
        <w:p w14:paraId="237EE08B" w14:textId="77777777" w:rsidR="001E1C7B"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 xml:space="preserve">Altan, S. (2017). AST kişilik tiplerine göre yönetim becerisi. Avrasya Sosyal ve Ekonomi Araştırmaları Dergisi, 4(9),31-52. </w:t>
          </w:r>
        </w:p>
        <w:p w14:paraId="3035DCC3" w14:textId="77777777" w:rsidR="001E1C7B" w:rsidRPr="00DC52EB" w:rsidRDefault="001E1C7B" w:rsidP="00A16ED7">
          <w:pPr>
            <w:pStyle w:val="Kaynaka"/>
            <w:spacing w:after="0" w:line="276" w:lineRule="auto"/>
            <w:ind w:left="709" w:hanging="709"/>
            <w:contextualSpacing/>
            <w:jc w:val="both"/>
            <w:rPr>
              <w:rFonts w:ascii="Times New Roman" w:eastAsia="Times New Roman" w:hAnsi="Times New Roman" w:cs="Times New Roman"/>
              <w:bCs/>
              <w:lang w:eastAsia="tr-TR"/>
            </w:rPr>
          </w:pPr>
          <w:r w:rsidRPr="00DC52EB">
            <w:rPr>
              <w:rFonts w:ascii="Times New Roman" w:eastAsia="Times New Roman" w:hAnsi="Times New Roman" w:cs="Times New Roman"/>
              <w:bCs/>
              <w:lang w:eastAsia="tr-TR"/>
            </w:rPr>
            <w:t xml:space="preserve">Ayçiçek B. Karanfil B. (2021). </w:t>
          </w:r>
          <w:proofErr w:type="spellStart"/>
          <w:r w:rsidRPr="00DC52EB">
            <w:rPr>
              <w:rFonts w:ascii="Times New Roman" w:eastAsia="Times New Roman" w:hAnsi="Times New Roman" w:cs="Times New Roman"/>
              <w:bCs/>
              <w:lang w:eastAsia="tr-TR"/>
            </w:rPr>
            <w:t>Investigation</w:t>
          </w:r>
          <w:proofErr w:type="spellEnd"/>
          <w:r w:rsidRPr="00DC52EB">
            <w:rPr>
              <w:rFonts w:ascii="Times New Roman" w:eastAsia="Times New Roman" w:hAnsi="Times New Roman" w:cs="Times New Roman"/>
              <w:bCs/>
              <w:lang w:eastAsia="tr-TR"/>
            </w:rPr>
            <w:t xml:space="preserve"> of </w:t>
          </w:r>
          <w:proofErr w:type="spellStart"/>
          <w:r w:rsidRPr="00DC52EB">
            <w:rPr>
              <w:rFonts w:ascii="Times New Roman" w:eastAsia="Times New Roman" w:hAnsi="Times New Roman" w:cs="Times New Roman"/>
              <w:bCs/>
              <w:lang w:eastAsia="tr-TR"/>
            </w:rPr>
            <w:t>university</w:t>
          </w:r>
          <w:proofErr w:type="spellEnd"/>
          <w:r w:rsidRPr="00DC52EB">
            <w:rPr>
              <w:rFonts w:ascii="Times New Roman" w:eastAsia="Times New Roman" w:hAnsi="Times New Roman" w:cs="Times New Roman"/>
              <w:bCs/>
              <w:lang w:eastAsia="tr-TR"/>
            </w:rPr>
            <w:t xml:space="preserve"> </w:t>
          </w:r>
          <w:proofErr w:type="spellStart"/>
          <w:r w:rsidRPr="00DC52EB">
            <w:rPr>
              <w:rFonts w:ascii="Times New Roman" w:eastAsia="Times New Roman" w:hAnsi="Times New Roman" w:cs="Times New Roman"/>
              <w:bCs/>
              <w:lang w:eastAsia="tr-TR"/>
            </w:rPr>
            <w:t>students</w:t>
          </w:r>
          <w:proofErr w:type="spellEnd"/>
          <w:r w:rsidRPr="00DC52EB">
            <w:rPr>
              <w:rFonts w:ascii="Times New Roman" w:eastAsia="Times New Roman" w:hAnsi="Times New Roman" w:cs="Times New Roman"/>
              <w:bCs/>
              <w:lang w:eastAsia="tr-TR"/>
            </w:rPr>
            <w:t xml:space="preserve">' </w:t>
          </w:r>
          <w:proofErr w:type="spellStart"/>
          <w:r w:rsidRPr="00DC52EB">
            <w:rPr>
              <w:rFonts w:ascii="Times New Roman" w:eastAsia="Times New Roman" w:hAnsi="Times New Roman" w:cs="Times New Roman"/>
              <w:bCs/>
              <w:lang w:eastAsia="tr-TR"/>
            </w:rPr>
            <w:t>lifelong</w:t>
          </w:r>
          <w:proofErr w:type="spellEnd"/>
          <w:r w:rsidRPr="00DC52EB">
            <w:rPr>
              <w:rFonts w:ascii="Times New Roman" w:eastAsia="Times New Roman" w:hAnsi="Times New Roman" w:cs="Times New Roman"/>
              <w:bCs/>
              <w:lang w:eastAsia="tr-TR"/>
            </w:rPr>
            <w:t xml:space="preserve"> </w:t>
          </w:r>
          <w:proofErr w:type="spellStart"/>
          <w:r w:rsidRPr="00DC52EB">
            <w:rPr>
              <w:rFonts w:ascii="Times New Roman" w:eastAsia="Times New Roman" w:hAnsi="Times New Roman" w:cs="Times New Roman"/>
              <w:bCs/>
              <w:lang w:eastAsia="tr-TR"/>
            </w:rPr>
            <w:t>learning</w:t>
          </w:r>
          <w:proofErr w:type="spellEnd"/>
          <w:r w:rsidRPr="00DC52EB">
            <w:rPr>
              <w:rFonts w:ascii="Times New Roman" w:eastAsia="Times New Roman" w:hAnsi="Times New Roman" w:cs="Times New Roman"/>
              <w:bCs/>
              <w:lang w:eastAsia="tr-TR"/>
            </w:rPr>
            <w:t xml:space="preserve"> </w:t>
          </w:r>
          <w:proofErr w:type="spellStart"/>
          <w:r w:rsidRPr="00DC52EB">
            <w:rPr>
              <w:rFonts w:ascii="Times New Roman" w:eastAsia="Times New Roman" w:hAnsi="Times New Roman" w:cs="Times New Roman"/>
              <w:bCs/>
              <w:lang w:eastAsia="tr-TR"/>
            </w:rPr>
            <w:t>tendencies</w:t>
          </w:r>
          <w:proofErr w:type="spellEnd"/>
          <w:r w:rsidRPr="00DC52EB">
            <w:rPr>
              <w:rFonts w:ascii="Times New Roman" w:eastAsia="Times New Roman" w:hAnsi="Times New Roman" w:cs="Times New Roman"/>
              <w:bCs/>
              <w:lang w:eastAsia="tr-TR"/>
            </w:rPr>
            <w:t xml:space="preserve"> in </w:t>
          </w:r>
          <w:proofErr w:type="spellStart"/>
          <w:r w:rsidRPr="00DC52EB">
            <w:rPr>
              <w:rFonts w:ascii="Times New Roman" w:eastAsia="Times New Roman" w:hAnsi="Times New Roman" w:cs="Times New Roman"/>
              <w:bCs/>
              <w:lang w:eastAsia="tr-TR"/>
            </w:rPr>
            <w:t>terms</w:t>
          </w:r>
          <w:proofErr w:type="spellEnd"/>
          <w:r w:rsidRPr="00DC52EB">
            <w:rPr>
              <w:rFonts w:ascii="Times New Roman" w:eastAsia="Times New Roman" w:hAnsi="Times New Roman" w:cs="Times New Roman"/>
              <w:bCs/>
              <w:lang w:eastAsia="tr-TR"/>
            </w:rPr>
            <w:t xml:space="preserve"> of </w:t>
          </w:r>
          <w:proofErr w:type="spellStart"/>
          <w:r w:rsidRPr="00DC52EB">
            <w:rPr>
              <w:rFonts w:ascii="Times New Roman" w:eastAsia="Times New Roman" w:hAnsi="Times New Roman" w:cs="Times New Roman"/>
              <w:bCs/>
              <w:lang w:eastAsia="tr-TR"/>
            </w:rPr>
            <w:t>various</w:t>
          </w:r>
          <w:proofErr w:type="spellEnd"/>
          <w:r w:rsidRPr="00DC52EB">
            <w:rPr>
              <w:rFonts w:ascii="Times New Roman" w:eastAsia="Times New Roman" w:hAnsi="Times New Roman" w:cs="Times New Roman"/>
              <w:bCs/>
              <w:lang w:eastAsia="tr-TR"/>
            </w:rPr>
            <w:t xml:space="preserve"> </w:t>
          </w:r>
          <w:proofErr w:type="spellStart"/>
          <w:r w:rsidRPr="00DC52EB">
            <w:rPr>
              <w:rFonts w:ascii="Times New Roman" w:eastAsia="Times New Roman" w:hAnsi="Times New Roman" w:cs="Times New Roman"/>
              <w:bCs/>
              <w:lang w:eastAsia="tr-TR"/>
            </w:rPr>
            <w:t>variables</w:t>
          </w:r>
          <w:proofErr w:type="spellEnd"/>
          <w:r w:rsidRPr="00DC52EB">
            <w:rPr>
              <w:rFonts w:ascii="Times New Roman" w:eastAsia="Times New Roman" w:hAnsi="Times New Roman" w:cs="Times New Roman"/>
              <w:bCs/>
              <w:lang w:eastAsia="tr-TR"/>
            </w:rPr>
            <w:t>.</w:t>
          </w:r>
          <w:r w:rsidRPr="00DC52EB">
            <w:rPr>
              <w:rFonts w:ascii="Times New Roman" w:hAnsi="Times New Roman" w:cs="Times New Roman"/>
            </w:rPr>
            <w:t xml:space="preserve"> </w:t>
          </w:r>
          <w:proofErr w:type="spellStart"/>
          <w:r w:rsidRPr="00DC52EB">
            <w:rPr>
              <w:rFonts w:ascii="Times New Roman" w:hAnsi="Times New Roman" w:cs="Times New Roman"/>
            </w:rPr>
            <w:t>African</w:t>
          </w:r>
          <w:proofErr w:type="spellEnd"/>
          <w:r w:rsidRPr="00DC52EB">
            <w:rPr>
              <w:rFonts w:ascii="Times New Roman" w:hAnsi="Times New Roman" w:cs="Times New Roman"/>
            </w:rPr>
            <w:t xml:space="preserve"> </w:t>
          </w:r>
          <w:proofErr w:type="spellStart"/>
          <w:r w:rsidRPr="00DC52EB">
            <w:rPr>
              <w:rFonts w:ascii="Times New Roman" w:hAnsi="Times New Roman" w:cs="Times New Roman"/>
            </w:rPr>
            <w:t>Educational</w:t>
          </w:r>
          <w:proofErr w:type="spellEnd"/>
          <w:r w:rsidRPr="00DC52EB">
            <w:rPr>
              <w:rFonts w:ascii="Times New Roman" w:hAnsi="Times New Roman" w:cs="Times New Roman"/>
            </w:rPr>
            <w:t xml:space="preserve"> </w:t>
          </w:r>
          <w:proofErr w:type="spellStart"/>
          <w:r w:rsidRPr="00DC52EB">
            <w:rPr>
              <w:rFonts w:ascii="Times New Roman" w:hAnsi="Times New Roman" w:cs="Times New Roman"/>
            </w:rPr>
            <w:t>Research</w:t>
          </w:r>
          <w:proofErr w:type="spellEnd"/>
          <w:r w:rsidRPr="00DC52EB">
            <w:rPr>
              <w:rFonts w:ascii="Times New Roman" w:hAnsi="Times New Roman" w:cs="Times New Roman"/>
            </w:rPr>
            <w:t xml:space="preserve"> </w:t>
          </w:r>
          <w:proofErr w:type="spellStart"/>
          <w:r w:rsidRPr="00DC52EB">
            <w:rPr>
              <w:rFonts w:ascii="Times New Roman" w:hAnsi="Times New Roman" w:cs="Times New Roman"/>
            </w:rPr>
            <w:t>Journal</w:t>
          </w:r>
          <w:proofErr w:type="spellEnd"/>
          <w:r w:rsidRPr="00DC52EB">
            <w:rPr>
              <w:rFonts w:ascii="Times New Roman" w:hAnsi="Times New Roman" w:cs="Times New Roman"/>
            </w:rPr>
            <w:t xml:space="preserve">, </w:t>
          </w:r>
          <w:r w:rsidRPr="00DC52EB">
            <w:rPr>
              <w:rFonts w:ascii="Times New Roman" w:eastAsia="Times New Roman" w:hAnsi="Times New Roman" w:cs="Times New Roman"/>
              <w:bCs/>
              <w:lang w:eastAsia="tr-TR"/>
            </w:rPr>
            <w:t xml:space="preserve">9(1), 121-133. </w:t>
          </w:r>
        </w:p>
        <w:p w14:paraId="432C0651" w14:textId="77777777" w:rsidR="001E1C7B"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Berberoğlu, B. (2010). Yaşam boyu öğrenme ile bilgi ve iletişim teknolojileri açısından Türkiye’nin Avrupa Birliği’ndeki konumu. Bilgi Ekonomisi ve Yönetimi Dergisi</w:t>
          </w:r>
          <w:r w:rsidRPr="00DC52EB">
            <w:rPr>
              <w:rFonts w:ascii="Times New Roman" w:hAnsi="Times New Roman" w:cs="Times New Roman"/>
              <w:i/>
              <w:color w:val="000000"/>
            </w:rPr>
            <w:t>,</w:t>
          </w:r>
          <w:r w:rsidRPr="00DC52EB">
            <w:rPr>
              <w:rFonts w:ascii="Times New Roman" w:hAnsi="Times New Roman" w:cs="Times New Roman"/>
              <w:color w:val="000000"/>
            </w:rPr>
            <w:t xml:space="preserve"> </w:t>
          </w:r>
          <w:r w:rsidRPr="00DC52EB">
            <w:rPr>
              <w:rFonts w:ascii="Times New Roman" w:hAnsi="Times New Roman" w:cs="Times New Roman"/>
              <w:i/>
              <w:color w:val="000000"/>
            </w:rPr>
            <w:t>V</w:t>
          </w:r>
          <w:r w:rsidRPr="00DC52EB">
            <w:rPr>
              <w:rFonts w:ascii="Times New Roman" w:hAnsi="Times New Roman" w:cs="Times New Roman"/>
              <w:color w:val="000000"/>
            </w:rPr>
            <w:t xml:space="preserve">(II), 113-117. </w:t>
          </w:r>
        </w:p>
        <w:p w14:paraId="3E47CECF"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 xml:space="preserve">Bitlisli, F., Dinç, M., </w:t>
          </w:r>
          <w:proofErr w:type="spellStart"/>
          <w:r w:rsidRPr="00DC52EB">
            <w:rPr>
              <w:rFonts w:ascii="Times New Roman" w:hAnsi="Times New Roman" w:cs="Times New Roman"/>
              <w:color w:val="000000"/>
            </w:rPr>
            <w:t>Çetinceli</w:t>
          </w:r>
          <w:proofErr w:type="spellEnd"/>
          <w:r w:rsidRPr="00DC52EB">
            <w:rPr>
              <w:rFonts w:ascii="Times New Roman" w:hAnsi="Times New Roman" w:cs="Times New Roman"/>
              <w:color w:val="000000"/>
            </w:rPr>
            <w:t xml:space="preserve">, E., Kaygısız, Ü. (2013). Beş Faktör Kişilik Özellikleri </w:t>
          </w:r>
          <w:proofErr w:type="gramStart"/>
          <w:r w:rsidRPr="00DC52EB">
            <w:rPr>
              <w:rFonts w:ascii="Times New Roman" w:hAnsi="Times New Roman" w:cs="Times New Roman"/>
              <w:color w:val="000000"/>
            </w:rPr>
            <w:t>İle</w:t>
          </w:r>
          <w:proofErr w:type="gramEnd"/>
          <w:r w:rsidRPr="00DC52EB">
            <w:rPr>
              <w:rFonts w:ascii="Times New Roman" w:hAnsi="Times New Roman" w:cs="Times New Roman"/>
              <w:color w:val="000000"/>
            </w:rPr>
            <w:t xml:space="preserve"> Akademik İlişkisi: Süleyman Demirel Üniversitesi Isparta Meslek Yüksekokulu Öğrencilerine Yönelik Bir Araştırma. Süleyman Demirel Üniversitesi İktisadi ve İdari Bilimler Fakültesi Dergisi, 18(2), 459–480.</w:t>
          </w:r>
        </w:p>
        <w:p w14:paraId="206A049E"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Budak, Y. (2009). Yaşam boyu öğrenme ve ilköğretim programlarının hedeflemesi gereken insan tipi. Gazi Eğitim Fakültesi Dergisi, 29</w:t>
          </w:r>
          <w:r w:rsidRPr="00DC52EB">
            <w:rPr>
              <w:rFonts w:ascii="Times New Roman" w:hAnsi="Times New Roman" w:cs="Times New Roman"/>
              <w:i/>
              <w:color w:val="000000"/>
            </w:rPr>
            <w:t xml:space="preserve"> </w:t>
          </w:r>
          <w:r w:rsidRPr="00DC52EB">
            <w:rPr>
              <w:rFonts w:ascii="Times New Roman" w:hAnsi="Times New Roman" w:cs="Times New Roman"/>
              <w:color w:val="000000"/>
            </w:rPr>
            <w:t>(3), 693-708.</w:t>
          </w:r>
        </w:p>
        <w:p w14:paraId="00C97029"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lang w:eastAsia="tr-TR"/>
            </w:rPr>
          </w:pPr>
          <w:r w:rsidRPr="00DC52EB">
            <w:rPr>
              <w:rFonts w:ascii="Times New Roman" w:hAnsi="Times New Roman" w:cs="Times New Roman"/>
              <w:color w:val="000000"/>
            </w:rPr>
            <w:lastRenderedPageBreak/>
            <w:t xml:space="preserve">Coşkun, Y.D. (2009). Üniversite öğrencilerinin yaşam boyu öğrenme eğilimlerinin bazı değişkenler açısından incelenmesi. (Yayınlanmamış Doktora tezi). </w:t>
          </w:r>
          <w:hyperlink r:id="rId14" w:history="1">
            <w:r w:rsidRPr="00DC52EB">
              <w:rPr>
                <w:rStyle w:val="Kpr"/>
                <w:rFonts w:ascii="Times New Roman" w:hAnsi="Times New Roman" w:cs="Times New Roman"/>
                <w:color w:val="000000"/>
              </w:rPr>
              <w:t>https://tez.yok.gov.tr/UlusalTezMerkezi/</w:t>
            </w:r>
          </w:hyperlink>
          <w:r w:rsidRPr="00DC52EB">
            <w:rPr>
              <w:rFonts w:ascii="Times New Roman" w:hAnsi="Times New Roman" w:cs="Times New Roman"/>
              <w:color w:val="000000"/>
            </w:rPr>
            <w:t xml:space="preserve"> </w:t>
          </w:r>
          <w:r w:rsidRPr="00DC52EB">
            <w:rPr>
              <w:rFonts w:ascii="Times New Roman" w:hAnsi="Times New Roman" w:cs="Times New Roman"/>
              <w:color w:val="000000"/>
              <w:lang w:eastAsia="tr-TR"/>
            </w:rPr>
            <w:t xml:space="preserve">adresinden erişilmiştir. (Tez No: 258438). </w:t>
          </w:r>
        </w:p>
        <w:p w14:paraId="2FCF8DEA"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proofErr w:type="spellStart"/>
          <w:r w:rsidRPr="00DC52EB">
            <w:rPr>
              <w:rFonts w:ascii="Times New Roman" w:hAnsi="Times New Roman" w:cs="Times New Roman"/>
              <w:color w:val="000000"/>
            </w:rPr>
            <w:t>Denat</w:t>
          </w:r>
          <w:proofErr w:type="spellEnd"/>
          <w:r w:rsidRPr="00DC52EB">
            <w:rPr>
              <w:rFonts w:ascii="Times New Roman" w:hAnsi="Times New Roman" w:cs="Times New Roman"/>
              <w:color w:val="000000"/>
            </w:rPr>
            <w:t xml:space="preserve">, Y., Dikmen, Y., Filiz, N.Y. ve Başaran, H. (2016). Hemşirelik öğrencilerinde yaşam boyu öğrenme eğilimleri. </w:t>
          </w:r>
          <w:proofErr w:type="spellStart"/>
          <w:r w:rsidRPr="00DC52EB">
            <w:rPr>
              <w:rFonts w:ascii="Times New Roman" w:hAnsi="Times New Roman" w:cs="Times New Roman"/>
              <w:color w:val="000000"/>
            </w:rPr>
            <w:t>Journal</w:t>
          </w:r>
          <w:proofErr w:type="spellEnd"/>
          <w:r w:rsidRPr="00DC52EB">
            <w:rPr>
              <w:rFonts w:ascii="Times New Roman" w:hAnsi="Times New Roman" w:cs="Times New Roman"/>
              <w:color w:val="000000"/>
            </w:rPr>
            <w:t xml:space="preserve"> of Human </w:t>
          </w:r>
          <w:proofErr w:type="spellStart"/>
          <w:r w:rsidRPr="00DC52EB">
            <w:rPr>
              <w:rFonts w:ascii="Times New Roman" w:hAnsi="Times New Roman" w:cs="Times New Roman"/>
              <w:color w:val="000000"/>
            </w:rPr>
            <w:t>Rhythm</w:t>
          </w:r>
          <w:proofErr w:type="spellEnd"/>
          <w:r w:rsidRPr="00DC52EB">
            <w:rPr>
              <w:rFonts w:ascii="Times New Roman" w:hAnsi="Times New Roman" w:cs="Times New Roman"/>
              <w:color w:val="000000"/>
            </w:rPr>
            <w:t>, 2(1), 39-45.</w:t>
          </w:r>
        </w:p>
        <w:p w14:paraId="698647D4"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 xml:space="preserve">Dewey, J. (2007). </w:t>
          </w:r>
          <w:proofErr w:type="spellStart"/>
          <w:r w:rsidRPr="00DC52EB">
            <w:rPr>
              <w:rFonts w:ascii="Times New Roman" w:hAnsi="Times New Roman" w:cs="Times New Roman"/>
              <w:color w:val="000000"/>
            </w:rPr>
            <w:t>Democracy</w:t>
          </w:r>
          <w:proofErr w:type="spellEnd"/>
          <w:r w:rsidRPr="00DC52EB">
            <w:rPr>
              <w:rFonts w:ascii="Times New Roman" w:hAnsi="Times New Roman" w:cs="Times New Roman"/>
              <w:color w:val="000000"/>
            </w:rPr>
            <w:t xml:space="preserve"> and </w:t>
          </w:r>
          <w:proofErr w:type="spellStart"/>
          <w:r w:rsidRPr="00DC52EB">
            <w:rPr>
              <w:rFonts w:ascii="Times New Roman" w:hAnsi="Times New Roman" w:cs="Times New Roman"/>
              <w:color w:val="000000"/>
            </w:rPr>
            <w:t>Education</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Teddington</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Middlesex</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Echo</w:t>
          </w:r>
          <w:proofErr w:type="spellEnd"/>
          <w:r w:rsidRPr="00DC52EB">
            <w:rPr>
              <w:rFonts w:ascii="Times New Roman" w:hAnsi="Times New Roman" w:cs="Times New Roman"/>
              <w:color w:val="000000"/>
            </w:rPr>
            <w:t xml:space="preserve"> Library.</w:t>
          </w:r>
        </w:p>
        <w:p w14:paraId="2DB3E6AF"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Diker Coşkun, Y., ve Demirel, M. (2012). Üniversite öğrencilerinin yaşam boyu öğrenme eğilimleri. Hacettepe Üniversitesi Eğitim Fakültesi Dergisi, 42 (42), 108-120.</w:t>
          </w:r>
        </w:p>
        <w:p w14:paraId="018D1346"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 xml:space="preserve">Dikmen, Y., Uslu Yuvacı, H., ve Erol, F. (2017). Tıp fakültesi öğrencilerinin yaşam boyu öğrenme eğilimlerinin incelenmesi. </w:t>
          </w:r>
          <w:proofErr w:type="spellStart"/>
          <w:r w:rsidRPr="00DC52EB">
            <w:rPr>
              <w:rFonts w:ascii="Times New Roman" w:hAnsi="Times New Roman" w:cs="Times New Roman"/>
              <w:color w:val="000000"/>
            </w:rPr>
            <w:t>Journal</w:t>
          </w:r>
          <w:proofErr w:type="spellEnd"/>
          <w:r w:rsidRPr="00DC52EB">
            <w:rPr>
              <w:rFonts w:ascii="Times New Roman" w:hAnsi="Times New Roman" w:cs="Times New Roman"/>
              <w:color w:val="000000"/>
            </w:rPr>
            <w:t xml:space="preserve"> of Human </w:t>
          </w:r>
          <w:proofErr w:type="spellStart"/>
          <w:r w:rsidRPr="00DC52EB">
            <w:rPr>
              <w:rFonts w:ascii="Times New Roman" w:hAnsi="Times New Roman" w:cs="Times New Roman"/>
              <w:color w:val="000000"/>
            </w:rPr>
            <w:t>Sciences</w:t>
          </w:r>
          <w:proofErr w:type="spellEnd"/>
          <w:r w:rsidRPr="00DC52EB">
            <w:rPr>
              <w:rFonts w:ascii="Times New Roman" w:hAnsi="Times New Roman" w:cs="Times New Roman"/>
              <w:color w:val="000000"/>
            </w:rPr>
            <w:t>,</w:t>
          </w:r>
          <w:r w:rsidRPr="00DC52EB">
            <w:rPr>
              <w:rFonts w:ascii="Times New Roman" w:hAnsi="Times New Roman" w:cs="Times New Roman"/>
              <w:i/>
              <w:color w:val="000000"/>
            </w:rPr>
            <w:t xml:space="preserve"> </w:t>
          </w:r>
          <w:r w:rsidRPr="00DC52EB">
            <w:rPr>
              <w:rFonts w:ascii="Times New Roman" w:hAnsi="Times New Roman" w:cs="Times New Roman"/>
              <w:color w:val="000000"/>
            </w:rPr>
            <w:t>14(3), 2399-2408.</w:t>
          </w:r>
        </w:p>
        <w:p w14:paraId="2121F958"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 xml:space="preserve">Ekşioğlu, S., Tarhan, S. ve Çetin Gündüz, H. (2017). Yaşam boyu öğrenme eğilimleri ile </w:t>
          </w:r>
          <w:proofErr w:type="spellStart"/>
          <w:r w:rsidRPr="00DC52EB">
            <w:rPr>
              <w:rFonts w:ascii="Times New Roman" w:hAnsi="Times New Roman" w:cs="Times New Roman"/>
              <w:color w:val="000000"/>
            </w:rPr>
            <w:t>özyetkinlik</w:t>
          </w:r>
          <w:proofErr w:type="spellEnd"/>
          <w:r w:rsidRPr="00DC52EB">
            <w:rPr>
              <w:rFonts w:ascii="Times New Roman" w:hAnsi="Times New Roman" w:cs="Times New Roman"/>
              <w:color w:val="000000"/>
            </w:rPr>
            <w:t xml:space="preserve"> beklentisi ve kişilik özellikleri arasındaki ilişkinin incelenmesi. Kastamonu Eğitim Dergisi, 25(5), 1925-1940. </w:t>
          </w:r>
        </w:p>
        <w:p w14:paraId="192CF2DB"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 xml:space="preserve">Erzen E. (2018). Üniversiteye uyum: Ölçek geliştirilmesi ve uyumun kişilik geliştirilmesi-I: Ölçek ve alt ölçeklerin oluşturulması. Türk Psikoloji Dergisi, 17(49). </w:t>
          </w:r>
        </w:p>
        <w:p w14:paraId="2A10374F"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Güçlü, S., Bostan, N. ve Tabak, R.S. (2013). Dumlupınar Üniversitesi Hemşirelik Bölümü son sınıf öğrencilerinin yaşam boyu öğrenme davranışlarının belirlenmesi. Kastamonu Eğitim Dergisi, 21(2), 459-468.</w:t>
          </w:r>
        </w:p>
        <w:p w14:paraId="56AC757E"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Güzel, H. (2017). Öğretmen adaylarının yaşam boyu öğrenme eğilimlerinin incelenmesi. Uluslararası Eğitim Bilimleri Dergisi, 4(10), 312-325.</w:t>
          </w:r>
        </w:p>
        <w:p w14:paraId="09EAA46D"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İzci, E. ve Koç, S. (2012). Öğretmen adaylarının yaşam boyu öğrenmeye ilişkin görüşlerinin değerlendirilmesi. Adıyaman Üniversitesi Sosyal Bilimler Enstitüsü Dergisi,9,101-114.</w:t>
          </w:r>
        </w:p>
        <w:p w14:paraId="0C25872A"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 xml:space="preserve">John, O. P. and </w:t>
          </w:r>
          <w:proofErr w:type="spellStart"/>
          <w:r w:rsidRPr="00DC52EB">
            <w:rPr>
              <w:rFonts w:ascii="Times New Roman" w:hAnsi="Times New Roman" w:cs="Times New Roman"/>
              <w:color w:val="000000"/>
            </w:rPr>
            <w:t>Srivastava</w:t>
          </w:r>
          <w:proofErr w:type="spellEnd"/>
          <w:r w:rsidRPr="00DC52EB">
            <w:rPr>
              <w:rFonts w:ascii="Times New Roman" w:hAnsi="Times New Roman" w:cs="Times New Roman"/>
              <w:color w:val="000000"/>
            </w:rPr>
            <w:t xml:space="preserve">, S. (1999). </w:t>
          </w:r>
          <w:proofErr w:type="spellStart"/>
          <w:r w:rsidRPr="00DC52EB">
            <w:rPr>
              <w:rFonts w:ascii="Times New Roman" w:hAnsi="Times New Roman" w:cs="Times New Roman"/>
              <w:color w:val="000000"/>
            </w:rPr>
            <w:t>The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big</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five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trait</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taxonomy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History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measurement</w:t>
          </w:r>
          <w:proofErr w:type="spellEnd"/>
          <w:r w:rsidRPr="00DC52EB">
            <w:rPr>
              <w:rFonts w:ascii="Times New Roman" w:hAnsi="Times New Roman" w:cs="Times New Roman"/>
              <w:color w:val="000000"/>
            </w:rPr>
            <w:t xml:space="preserve"> and </w:t>
          </w:r>
          <w:proofErr w:type="spellStart"/>
          <w:r w:rsidRPr="00DC52EB">
            <w:rPr>
              <w:rFonts w:ascii="Times New Roman" w:hAnsi="Times New Roman" w:cs="Times New Roman"/>
              <w:color w:val="000000"/>
            </w:rPr>
            <w:t>theoretical</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perspectives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In</w:t>
          </w:r>
          <w:proofErr w:type="spellEnd"/>
          <w:r w:rsidRPr="00DC52EB">
            <w:rPr>
              <w:rFonts w:ascii="Times New Roman" w:hAnsi="Times New Roman" w:cs="Times New Roman"/>
              <w:color w:val="000000"/>
            </w:rPr>
            <w:t xml:space="preserve"> L. Pervin and O.P. John (</w:t>
          </w:r>
          <w:proofErr w:type="spellStart"/>
          <w:r w:rsidRPr="00DC52EB">
            <w:rPr>
              <w:rFonts w:ascii="Times New Roman" w:hAnsi="Times New Roman" w:cs="Times New Roman"/>
              <w:color w:val="000000"/>
            </w:rPr>
            <w:t>Eds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Handbook</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personality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Theory</w:t>
          </w:r>
          <w:proofErr w:type="spellEnd"/>
          <w:r w:rsidRPr="00DC52EB">
            <w:rPr>
              <w:rFonts w:ascii="Times New Roman" w:hAnsi="Times New Roman" w:cs="Times New Roman"/>
              <w:color w:val="000000"/>
            </w:rPr>
            <w:t xml:space="preserve"> and </w:t>
          </w:r>
          <w:proofErr w:type="spellStart"/>
          <w:r w:rsidRPr="00DC52EB">
            <w:rPr>
              <w:rFonts w:ascii="Times New Roman" w:hAnsi="Times New Roman" w:cs="Times New Roman"/>
              <w:color w:val="000000"/>
            </w:rPr>
            <w:t>research</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pp</w:t>
          </w:r>
          <w:proofErr w:type="spellEnd"/>
          <w:r w:rsidRPr="00DC52EB">
            <w:rPr>
              <w:rFonts w:ascii="Times New Roman" w:hAnsi="Times New Roman" w:cs="Times New Roman"/>
              <w:color w:val="000000"/>
            </w:rPr>
            <w:t xml:space="preserve">. 102-138). New York: </w:t>
          </w:r>
          <w:proofErr w:type="spellStart"/>
          <w:r w:rsidRPr="00DC52EB">
            <w:rPr>
              <w:rFonts w:ascii="Times New Roman" w:hAnsi="Times New Roman" w:cs="Times New Roman"/>
              <w:color w:val="000000"/>
            </w:rPr>
            <w:t>Guilford</w:t>
          </w:r>
          <w:proofErr w:type="spellEnd"/>
          <w:r w:rsidRPr="00DC52EB">
            <w:rPr>
              <w:rFonts w:ascii="Times New Roman" w:hAnsi="Times New Roman" w:cs="Times New Roman"/>
              <w:color w:val="000000"/>
            </w:rPr>
            <w:t>.</w:t>
          </w:r>
        </w:p>
        <w:p w14:paraId="23AB6D3B"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proofErr w:type="spellStart"/>
          <w:r w:rsidRPr="00DC52EB">
            <w:rPr>
              <w:rFonts w:ascii="Times New Roman" w:hAnsi="Times New Roman" w:cs="Times New Roman"/>
              <w:color w:val="000000"/>
            </w:rPr>
            <w:t>Kağnıcıoğlu</w:t>
          </w:r>
          <w:proofErr w:type="spellEnd"/>
          <w:r w:rsidRPr="00DC52EB">
            <w:rPr>
              <w:rFonts w:ascii="Times New Roman" w:hAnsi="Times New Roman" w:cs="Times New Roman"/>
              <w:color w:val="000000"/>
            </w:rPr>
            <w:t xml:space="preserve">, D., Duyan, E. C., </w:t>
          </w:r>
          <w:proofErr w:type="spellStart"/>
          <w:r w:rsidRPr="00DC52EB">
            <w:rPr>
              <w:rFonts w:ascii="Times New Roman" w:hAnsi="Times New Roman" w:cs="Times New Roman"/>
              <w:color w:val="000000"/>
            </w:rPr>
            <w:t>Etci</w:t>
          </w:r>
          <w:proofErr w:type="spellEnd"/>
          <w:r w:rsidRPr="00DC52EB">
            <w:rPr>
              <w:rFonts w:ascii="Times New Roman" w:hAnsi="Times New Roman" w:cs="Times New Roman"/>
              <w:color w:val="000000"/>
            </w:rPr>
            <w:t xml:space="preserve">, H. (2018). Y Kuşağının Kariyer Değerleri ve Kişilik Özelliklerinin Araştırılması ve Karşılaştırılması. “IS, GUC” </w:t>
          </w:r>
          <w:proofErr w:type="spellStart"/>
          <w:r w:rsidRPr="00DC52EB">
            <w:rPr>
              <w:rFonts w:ascii="Times New Roman" w:hAnsi="Times New Roman" w:cs="Times New Roman"/>
              <w:color w:val="000000"/>
            </w:rPr>
            <w:t>Industrial</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Relations</w:t>
          </w:r>
          <w:proofErr w:type="spellEnd"/>
          <w:r w:rsidRPr="00DC52EB">
            <w:rPr>
              <w:rFonts w:ascii="Times New Roman" w:hAnsi="Times New Roman" w:cs="Times New Roman"/>
              <w:color w:val="000000"/>
            </w:rPr>
            <w:t xml:space="preserve"> and Human </w:t>
          </w:r>
          <w:proofErr w:type="spellStart"/>
          <w:r w:rsidRPr="00DC52EB">
            <w:rPr>
              <w:rFonts w:ascii="Times New Roman" w:hAnsi="Times New Roman" w:cs="Times New Roman"/>
              <w:color w:val="000000"/>
            </w:rPr>
            <w:t>Resources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Journal</w:t>
          </w:r>
          <w:proofErr w:type="spellEnd"/>
          <w:r w:rsidRPr="00DC52EB">
            <w:rPr>
              <w:rFonts w:ascii="Times New Roman" w:hAnsi="Times New Roman" w:cs="Times New Roman"/>
              <w:color w:val="000000"/>
            </w:rPr>
            <w:t>, 20(4</w:t>
          </w:r>
          <w:proofErr w:type="gramStart"/>
          <w:r w:rsidRPr="00DC52EB">
            <w:rPr>
              <w:rFonts w:ascii="Times New Roman" w:hAnsi="Times New Roman" w:cs="Times New Roman"/>
              <w:color w:val="000000"/>
            </w:rPr>
            <w:t>),  61</w:t>
          </w:r>
          <w:proofErr w:type="gramEnd"/>
          <w:r w:rsidRPr="00DC52EB">
            <w:rPr>
              <w:rFonts w:ascii="Times New Roman" w:hAnsi="Times New Roman" w:cs="Times New Roman"/>
              <w:color w:val="000000"/>
            </w:rPr>
            <w:t>–90.</w:t>
          </w:r>
        </w:p>
        <w:p w14:paraId="57A06586"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 xml:space="preserve">Kılavuz F. ve Karabağ Aydın A. (2020). Hemşirelik öğrencilerinin bireysel girişimcilik algıları ve yaşam boyu öğrenme eğilimleri arasındaki ilişkinin belirlenmesi. Hacettepe Üniversitesi Hemşirelik Fakültesi Dergisi, 7(3), 240-248. </w:t>
          </w:r>
        </w:p>
        <w:p w14:paraId="16F3D190"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Kılıç, Ç. (2014). Öğretmen adaylarının yaşam boyu öğrenmeye yönelik algıları. Eğitim ve Öğretim Araştırmaları Dergisi, 3(4), 79-87.</w:t>
          </w:r>
        </w:p>
        <w:p w14:paraId="63E5E6AC" w14:textId="77777777" w:rsidR="005F0FAF" w:rsidRPr="00DC52EB" w:rsidRDefault="001E1C7B"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 xml:space="preserve">Köksal, N., and Çöğmen, S. (2013). </w:t>
          </w:r>
          <w:proofErr w:type="spellStart"/>
          <w:r w:rsidRPr="00DC52EB">
            <w:rPr>
              <w:rFonts w:ascii="Times New Roman" w:hAnsi="Times New Roman" w:cs="Times New Roman"/>
              <w:color w:val="000000"/>
            </w:rPr>
            <w:t>Pre</w:t>
          </w:r>
          <w:proofErr w:type="spellEnd"/>
          <w:r w:rsidRPr="00DC52EB">
            <w:rPr>
              <w:rFonts w:ascii="Times New Roman" w:hAnsi="Times New Roman" w:cs="Times New Roman"/>
              <w:color w:val="000000"/>
            </w:rPr>
            <w:t xml:space="preserve">-service </w:t>
          </w:r>
          <w:proofErr w:type="spellStart"/>
          <w:r w:rsidRPr="00DC52EB">
            <w:rPr>
              <w:rFonts w:ascii="Times New Roman" w:hAnsi="Times New Roman" w:cs="Times New Roman"/>
              <w:color w:val="000000"/>
            </w:rPr>
            <w:t>teachers</w:t>
          </w:r>
          <w:proofErr w:type="spellEnd"/>
          <w:r w:rsidRPr="00DC52EB">
            <w:rPr>
              <w:rFonts w:ascii="Times New Roman" w:hAnsi="Times New Roman" w:cs="Times New Roman"/>
              <w:color w:val="000000"/>
            </w:rPr>
            <w:t xml:space="preserve"> as </w:t>
          </w:r>
          <w:proofErr w:type="spellStart"/>
          <w:r w:rsidRPr="00DC52EB">
            <w:rPr>
              <w:rFonts w:ascii="Times New Roman" w:hAnsi="Times New Roman" w:cs="Times New Roman"/>
              <w:color w:val="000000"/>
            </w:rPr>
            <w:t>lifelong</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learners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University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facilities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for</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promoting</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their</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professional</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development</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Eurasian</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Journal</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Educational</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Research</w:t>
          </w:r>
          <w:proofErr w:type="spellEnd"/>
          <w:r w:rsidRPr="00DC52EB">
            <w:rPr>
              <w:rFonts w:ascii="Times New Roman" w:hAnsi="Times New Roman" w:cs="Times New Roman"/>
              <w:color w:val="000000"/>
            </w:rPr>
            <w:t>, 53, 21-40.</w:t>
          </w:r>
        </w:p>
        <w:p w14:paraId="673A1F23"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proofErr w:type="spellStart"/>
          <w:r w:rsidRPr="00DC52EB">
            <w:rPr>
              <w:rFonts w:ascii="Times New Roman" w:hAnsi="Times New Roman" w:cs="Times New Roman"/>
              <w:color w:val="000000"/>
            </w:rPr>
            <w:t>Kurtz</w:t>
          </w:r>
          <w:proofErr w:type="spellEnd"/>
          <w:r w:rsidRPr="00DC52EB">
            <w:rPr>
              <w:rFonts w:ascii="Times New Roman" w:hAnsi="Times New Roman" w:cs="Times New Roman"/>
              <w:color w:val="000000"/>
            </w:rPr>
            <w:t xml:space="preserve">, J. E., </w:t>
          </w:r>
          <w:proofErr w:type="spellStart"/>
          <w:r w:rsidRPr="00DC52EB">
            <w:rPr>
              <w:rFonts w:ascii="Times New Roman" w:hAnsi="Times New Roman" w:cs="Times New Roman"/>
              <w:color w:val="000000"/>
            </w:rPr>
            <w:t>Puher</w:t>
          </w:r>
          <w:proofErr w:type="spellEnd"/>
          <w:r w:rsidRPr="00DC52EB">
            <w:rPr>
              <w:rFonts w:ascii="Times New Roman" w:hAnsi="Times New Roman" w:cs="Times New Roman"/>
              <w:color w:val="000000"/>
            </w:rPr>
            <w:t xml:space="preserve">, M.A., Cross, N. A. (2012). </w:t>
          </w:r>
          <w:proofErr w:type="spellStart"/>
          <w:r w:rsidRPr="00DC52EB">
            <w:rPr>
              <w:rFonts w:ascii="Times New Roman" w:hAnsi="Times New Roman" w:cs="Times New Roman"/>
              <w:color w:val="000000"/>
            </w:rPr>
            <w:t>Prospective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prediction</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college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adjustment</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using</w:t>
          </w:r>
          <w:proofErr w:type="spellEnd"/>
          <w:r w:rsidRPr="00DC52EB">
            <w:rPr>
              <w:rFonts w:ascii="Times New Roman" w:hAnsi="Times New Roman" w:cs="Times New Roman"/>
              <w:color w:val="000000"/>
            </w:rPr>
            <w:t xml:space="preserve"> self and </w:t>
          </w:r>
          <w:proofErr w:type="spellStart"/>
          <w:r w:rsidRPr="00DC52EB">
            <w:rPr>
              <w:rFonts w:ascii="Times New Roman" w:hAnsi="Times New Roman" w:cs="Times New Roman"/>
              <w:color w:val="000000"/>
            </w:rPr>
            <w:t>informant-rated</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personality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traits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Journal</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Personality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Assessment</w:t>
          </w:r>
          <w:proofErr w:type="spellEnd"/>
          <w:r w:rsidRPr="00DC52EB">
            <w:rPr>
              <w:rFonts w:ascii="Times New Roman" w:hAnsi="Times New Roman" w:cs="Times New Roman"/>
              <w:color w:val="000000"/>
            </w:rPr>
            <w:t>, 94(6), 630–637.</w:t>
          </w:r>
        </w:p>
        <w:p w14:paraId="121BDE26"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proofErr w:type="spellStart"/>
          <w:r w:rsidRPr="00DC52EB">
            <w:rPr>
              <w:rFonts w:ascii="Times New Roman" w:hAnsi="Times New Roman" w:cs="Times New Roman"/>
              <w:color w:val="000000"/>
            </w:rPr>
            <w:t>Laidra</w:t>
          </w:r>
          <w:proofErr w:type="spellEnd"/>
          <w:r w:rsidRPr="00DC52EB">
            <w:rPr>
              <w:rFonts w:ascii="Times New Roman" w:hAnsi="Times New Roman" w:cs="Times New Roman"/>
              <w:color w:val="000000"/>
            </w:rPr>
            <w:t xml:space="preserve">, K. </w:t>
          </w:r>
          <w:proofErr w:type="spellStart"/>
          <w:r w:rsidRPr="00DC52EB">
            <w:rPr>
              <w:rFonts w:ascii="Times New Roman" w:hAnsi="Times New Roman" w:cs="Times New Roman"/>
              <w:color w:val="000000"/>
            </w:rPr>
            <w:t>Pullmann</w:t>
          </w:r>
          <w:proofErr w:type="spellEnd"/>
          <w:r w:rsidRPr="00DC52EB">
            <w:rPr>
              <w:rFonts w:ascii="Times New Roman" w:hAnsi="Times New Roman" w:cs="Times New Roman"/>
              <w:color w:val="000000"/>
            </w:rPr>
            <w:t xml:space="preserve">, H. and </w:t>
          </w:r>
          <w:proofErr w:type="spellStart"/>
          <w:r w:rsidRPr="00DC52EB">
            <w:rPr>
              <w:rFonts w:ascii="Times New Roman" w:hAnsi="Times New Roman" w:cs="Times New Roman"/>
              <w:color w:val="000000"/>
            </w:rPr>
            <w:t>Allik</w:t>
          </w:r>
          <w:proofErr w:type="spellEnd"/>
          <w:r w:rsidRPr="00DC52EB">
            <w:rPr>
              <w:rFonts w:ascii="Times New Roman" w:hAnsi="Times New Roman" w:cs="Times New Roman"/>
              <w:color w:val="000000"/>
            </w:rPr>
            <w:t xml:space="preserve">, J., (2007). </w:t>
          </w:r>
          <w:proofErr w:type="spellStart"/>
          <w:r w:rsidRPr="00DC52EB">
            <w:rPr>
              <w:rFonts w:ascii="Times New Roman" w:hAnsi="Times New Roman" w:cs="Times New Roman"/>
              <w:color w:val="000000"/>
            </w:rPr>
            <w:t>Personality</w:t>
          </w:r>
          <w:proofErr w:type="spellEnd"/>
          <w:r w:rsidRPr="00DC52EB">
            <w:rPr>
              <w:rFonts w:ascii="Times New Roman" w:hAnsi="Times New Roman" w:cs="Times New Roman"/>
              <w:color w:val="000000"/>
            </w:rPr>
            <w:t xml:space="preserve"> and </w:t>
          </w:r>
          <w:proofErr w:type="spellStart"/>
          <w:r w:rsidRPr="00DC52EB">
            <w:rPr>
              <w:rFonts w:ascii="Times New Roman" w:hAnsi="Times New Roman" w:cs="Times New Roman"/>
              <w:color w:val="000000"/>
            </w:rPr>
            <w:t>ıntelligence</w:t>
          </w:r>
          <w:proofErr w:type="spellEnd"/>
          <w:r w:rsidRPr="00DC52EB">
            <w:rPr>
              <w:rFonts w:ascii="Times New Roman" w:hAnsi="Times New Roman" w:cs="Times New Roman"/>
              <w:color w:val="000000"/>
            </w:rPr>
            <w:t xml:space="preserve"> as </w:t>
          </w:r>
          <w:proofErr w:type="spellStart"/>
          <w:r w:rsidRPr="00DC52EB">
            <w:rPr>
              <w:rFonts w:ascii="Times New Roman" w:hAnsi="Times New Roman" w:cs="Times New Roman"/>
              <w:color w:val="000000"/>
            </w:rPr>
            <w:t>predictors</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academic</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achievement</w:t>
          </w:r>
          <w:proofErr w:type="spellEnd"/>
          <w:r w:rsidRPr="00DC52EB">
            <w:rPr>
              <w:rFonts w:ascii="Times New Roman" w:hAnsi="Times New Roman" w:cs="Times New Roman"/>
              <w:color w:val="000000"/>
            </w:rPr>
            <w:t xml:space="preserve">: A </w:t>
          </w:r>
          <w:proofErr w:type="spellStart"/>
          <w:r w:rsidRPr="00DC52EB">
            <w:rPr>
              <w:rFonts w:ascii="Times New Roman" w:hAnsi="Times New Roman" w:cs="Times New Roman"/>
              <w:color w:val="000000"/>
            </w:rPr>
            <w:t>cross-sectional</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study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from</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elementary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to</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secondary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school</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Personality</w:t>
          </w:r>
          <w:proofErr w:type="spellEnd"/>
          <w:r w:rsidRPr="00DC52EB">
            <w:rPr>
              <w:rFonts w:ascii="Times New Roman" w:hAnsi="Times New Roman" w:cs="Times New Roman"/>
              <w:color w:val="000000"/>
            </w:rPr>
            <w:t xml:space="preserve"> and </w:t>
          </w:r>
          <w:proofErr w:type="spellStart"/>
          <w:r w:rsidRPr="00DC52EB">
            <w:rPr>
              <w:rFonts w:ascii="Times New Roman" w:hAnsi="Times New Roman" w:cs="Times New Roman"/>
              <w:color w:val="000000"/>
            </w:rPr>
            <w:t>Individual</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Differences</w:t>
          </w:r>
          <w:proofErr w:type="spellEnd"/>
          <w:r w:rsidRPr="00DC52EB">
            <w:rPr>
              <w:rFonts w:ascii="Times New Roman" w:hAnsi="Times New Roman" w:cs="Times New Roman"/>
              <w:color w:val="000000"/>
            </w:rPr>
            <w:t>, 42(3), 441-451.</w:t>
          </w:r>
        </w:p>
        <w:p w14:paraId="32F8E0B4"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proofErr w:type="spellStart"/>
          <w:r w:rsidRPr="00DC52EB">
            <w:rPr>
              <w:rFonts w:ascii="Times New Roman" w:hAnsi="Times New Roman" w:cs="Times New Roman"/>
              <w:color w:val="000000"/>
            </w:rPr>
            <w:t>McCrae</w:t>
          </w:r>
          <w:proofErr w:type="spellEnd"/>
          <w:r w:rsidRPr="00DC52EB">
            <w:rPr>
              <w:rFonts w:ascii="Times New Roman" w:hAnsi="Times New Roman" w:cs="Times New Roman"/>
              <w:color w:val="000000"/>
            </w:rPr>
            <w:t xml:space="preserve">, R.R. and </w:t>
          </w:r>
          <w:proofErr w:type="spellStart"/>
          <w:r w:rsidRPr="00DC52EB">
            <w:rPr>
              <w:rFonts w:ascii="Times New Roman" w:hAnsi="Times New Roman" w:cs="Times New Roman"/>
              <w:color w:val="000000"/>
            </w:rPr>
            <w:t>Costa</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Jr</w:t>
          </w:r>
          <w:proofErr w:type="spellEnd"/>
          <w:r w:rsidRPr="00DC52EB">
            <w:rPr>
              <w:rFonts w:ascii="Times New Roman" w:hAnsi="Times New Roman" w:cs="Times New Roman"/>
              <w:color w:val="000000"/>
            </w:rPr>
            <w:t xml:space="preserve">, P.T. (1989). </w:t>
          </w:r>
          <w:proofErr w:type="spellStart"/>
          <w:r w:rsidRPr="00DC52EB">
            <w:rPr>
              <w:rFonts w:ascii="Times New Roman" w:hAnsi="Times New Roman" w:cs="Times New Roman"/>
              <w:color w:val="000000"/>
            </w:rPr>
            <w:t>Reinterpreting</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the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myers‐briggs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type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indicator</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from</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the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perspective</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the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five‐factor</w:t>
          </w:r>
          <w:proofErr w:type="spellEnd"/>
          <w:r w:rsidRPr="00DC52EB">
            <w:rPr>
              <w:rFonts w:ascii="Times New Roman" w:hAnsi="Times New Roman" w:cs="Times New Roman"/>
              <w:color w:val="000000"/>
            </w:rPr>
            <w:t xml:space="preserve"> model of </w:t>
          </w:r>
          <w:proofErr w:type="spellStart"/>
          <w:r w:rsidRPr="00DC52EB">
            <w:rPr>
              <w:rFonts w:ascii="Times New Roman" w:hAnsi="Times New Roman" w:cs="Times New Roman"/>
              <w:color w:val="000000"/>
            </w:rPr>
            <w:t>personality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Journal</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Personality</w:t>
          </w:r>
          <w:proofErr w:type="spellEnd"/>
          <w:r w:rsidRPr="00DC52EB">
            <w:rPr>
              <w:rFonts w:ascii="Times New Roman" w:hAnsi="Times New Roman" w:cs="Times New Roman"/>
              <w:color w:val="000000"/>
            </w:rPr>
            <w:t>, 57</w:t>
          </w:r>
          <w:r w:rsidRPr="00DC52EB">
            <w:rPr>
              <w:rFonts w:ascii="Times New Roman" w:hAnsi="Times New Roman" w:cs="Times New Roman"/>
              <w:i/>
              <w:color w:val="000000"/>
            </w:rPr>
            <w:t>(</w:t>
          </w:r>
          <w:r w:rsidRPr="00DC52EB">
            <w:rPr>
              <w:rFonts w:ascii="Times New Roman" w:hAnsi="Times New Roman" w:cs="Times New Roman"/>
              <w:color w:val="000000"/>
            </w:rPr>
            <w:t>1), 17-40.</w:t>
          </w:r>
        </w:p>
        <w:p w14:paraId="5D69C9A0"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lastRenderedPageBreak/>
            <w:t xml:space="preserve">Novak, M.K., </w:t>
          </w:r>
          <w:proofErr w:type="spellStart"/>
          <w:r w:rsidRPr="00DC52EB">
            <w:rPr>
              <w:rFonts w:ascii="Times New Roman" w:hAnsi="Times New Roman" w:cs="Times New Roman"/>
              <w:color w:val="000000"/>
            </w:rPr>
            <w:t>Palladino</w:t>
          </w:r>
          <w:proofErr w:type="spellEnd"/>
          <w:r w:rsidRPr="00DC52EB">
            <w:rPr>
              <w:rFonts w:ascii="Times New Roman" w:hAnsi="Times New Roman" w:cs="Times New Roman"/>
              <w:color w:val="000000"/>
            </w:rPr>
            <w:t xml:space="preserve">, C., </w:t>
          </w:r>
          <w:proofErr w:type="spellStart"/>
          <w:r w:rsidRPr="00DC52EB">
            <w:rPr>
              <w:rFonts w:ascii="Times New Roman" w:hAnsi="Times New Roman" w:cs="Times New Roman"/>
              <w:color w:val="000000"/>
            </w:rPr>
            <w:t>Ange</w:t>
          </w:r>
          <w:proofErr w:type="spellEnd"/>
          <w:r w:rsidRPr="00DC52EB">
            <w:rPr>
              <w:rFonts w:ascii="Times New Roman" w:hAnsi="Times New Roman" w:cs="Times New Roman"/>
              <w:color w:val="000000"/>
            </w:rPr>
            <w:t xml:space="preserve">, B. and Richardson, D. (2014), </w:t>
          </w:r>
          <w:proofErr w:type="spellStart"/>
          <w:r w:rsidRPr="00DC52EB">
            <w:rPr>
              <w:rFonts w:ascii="Times New Roman" w:hAnsi="Times New Roman" w:cs="Times New Roman"/>
              <w:color w:val="000000"/>
            </w:rPr>
            <w:t>Measuring</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health</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professions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students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orientation</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toward</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lifelong</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learning</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Journal</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Allied</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Health</w:t>
          </w:r>
          <w:proofErr w:type="spellEnd"/>
          <w:r w:rsidRPr="00DC52EB">
            <w:rPr>
              <w:rFonts w:ascii="Times New Roman" w:hAnsi="Times New Roman" w:cs="Times New Roman"/>
              <w:color w:val="000000"/>
            </w:rPr>
            <w:t>, 43(3), 146-149.</w:t>
          </w:r>
        </w:p>
        <w:p w14:paraId="55E5C2F3"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proofErr w:type="spellStart"/>
          <w:r w:rsidRPr="00DC52EB">
            <w:rPr>
              <w:rFonts w:ascii="Times New Roman" w:hAnsi="Times New Roman" w:cs="Times New Roman"/>
              <w:color w:val="000000"/>
            </w:rPr>
            <w:t>Özçiftçi</w:t>
          </w:r>
          <w:proofErr w:type="spellEnd"/>
          <w:r w:rsidRPr="00DC52EB">
            <w:rPr>
              <w:rFonts w:ascii="Times New Roman" w:hAnsi="Times New Roman" w:cs="Times New Roman"/>
              <w:color w:val="000000"/>
            </w:rPr>
            <w:t>, M. ve Çakır, R. (2015</w:t>
          </w:r>
          <w:proofErr w:type="gramStart"/>
          <w:r w:rsidRPr="00DC52EB">
            <w:rPr>
              <w:rFonts w:ascii="Times New Roman" w:hAnsi="Times New Roman" w:cs="Times New Roman"/>
              <w:color w:val="000000"/>
            </w:rPr>
            <w:t>).Öğretmenlerin</w:t>
          </w:r>
          <w:proofErr w:type="gramEnd"/>
          <w:r w:rsidRPr="00DC52EB">
            <w:rPr>
              <w:rFonts w:ascii="Times New Roman" w:hAnsi="Times New Roman" w:cs="Times New Roman"/>
              <w:color w:val="000000"/>
            </w:rPr>
            <w:t xml:space="preserve"> yaşam boyu öğrenme eğilimleri ve eğitim teknolojisi standartları özyeterliklerinin incelenmesi. Eğitim Teknolojisi Kuram ve Uygulama, 5</w:t>
          </w:r>
          <w:r w:rsidRPr="00DC52EB">
            <w:rPr>
              <w:rFonts w:ascii="Times New Roman" w:hAnsi="Times New Roman" w:cs="Times New Roman"/>
              <w:i/>
              <w:color w:val="000000"/>
            </w:rPr>
            <w:t>(</w:t>
          </w:r>
          <w:r w:rsidRPr="00DC52EB">
            <w:rPr>
              <w:rFonts w:ascii="Times New Roman" w:hAnsi="Times New Roman" w:cs="Times New Roman"/>
              <w:color w:val="000000"/>
            </w:rPr>
            <w:t>1), 1-19.</w:t>
          </w:r>
        </w:p>
        <w:p w14:paraId="3AFF6118"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 xml:space="preserve">Polat, C. ve Odabaş, H. (2008). Bilgi toplumunda yaşam boyu öğrenmenin anahtarı: bilgi okuryazarlığı. Küreselleşme, Demokratikleşme ve Türkiye Uluslararası Sempozyumu Bildiri Kitabı (International </w:t>
          </w:r>
          <w:proofErr w:type="spellStart"/>
          <w:r w:rsidRPr="00DC52EB">
            <w:rPr>
              <w:rFonts w:ascii="Times New Roman" w:hAnsi="Times New Roman" w:cs="Times New Roman"/>
              <w:color w:val="000000"/>
            </w:rPr>
            <w:t>Symposium</w:t>
          </w:r>
          <w:proofErr w:type="spellEnd"/>
          <w:r w:rsidRPr="00DC52EB">
            <w:rPr>
              <w:rFonts w:ascii="Times New Roman" w:hAnsi="Times New Roman" w:cs="Times New Roman"/>
              <w:color w:val="000000"/>
            </w:rPr>
            <w:t xml:space="preserve"> on </w:t>
          </w:r>
          <w:proofErr w:type="spellStart"/>
          <w:r w:rsidRPr="00DC52EB">
            <w:rPr>
              <w:rFonts w:ascii="Times New Roman" w:hAnsi="Times New Roman" w:cs="Times New Roman"/>
              <w:color w:val="000000"/>
            </w:rPr>
            <w:t>Globalization</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Democratization</w:t>
          </w:r>
          <w:proofErr w:type="spellEnd"/>
          <w:r w:rsidRPr="00DC52EB">
            <w:rPr>
              <w:rFonts w:ascii="Times New Roman" w:hAnsi="Times New Roman" w:cs="Times New Roman"/>
              <w:color w:val="000000"/>
            </w:rPr>
            <w:t xml:space="preserve"> and </w:t>
          </w:r>
          <w:proofErr w:type="spellStart"/>
          <w:r w:rsidRPr="00DC52EB">
            <w:rPr>
              <w:rFonts w:ascii="Times New Roman" w:hAnsi="Times New Roman" w:cs="Times New Roman"/>
              <w:color w:val="000000"/>
            </w:rPr>
            <w:t>Turkey</w:t>
          </w:r>
          <w:proofErr w:type="spellEnd"/>
          <w:r w:rsidRPr="00DC52EB">
            <w:rPr>
              <w:rFonts w:ascii="Times New Roman" w:hAnsi="Times New Roman" w:cs="Times New Roman"/>
              <w:color w:val="000000"/>
            </w:rPr>
            <w:t>) (ss596-606). Akdeniz Üniversitesi, Antalya.</w:t>
          </w:r>
        </w:p>
        <w:p w14:paraId="314F5577"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proofErr w:type="spellStart"/>
          <w:r w:rsidRPr="00DC52EB">
            <w:rPr>
              <w:rFonts w:ascii="Times New Roman" w:hAnsi="Times New Roman" w:cs="Times New Roman"/>
              <w:color w:val="000000"/>
            </w:rPr>
            <w:t>Poropat</w:t>
          </w:r>
          <w:proofErr w:type="spellEnd"/>
          <w:r w:rsidRPr="00DC52EB">
            <w:rPr>
              <w:rFonts w:ascii="Times New Roman" w:hAnsi="Times New Roman" w:cs="Times New Roman"/>
              <w:color w:val="000000"/>
            </w:rPr>
            <w:t>, E.A., (2009). Meta-</w:t>
          </w:r>
          <w:proofErr w:type="spellStart"/>
          <w:r w:rsidRPr="00DC52EB">
            <w:rPr>
              <w:rFonts w:ascii="Times New Roman" w:hAnsi="Times New Roman" w:cs="Times New Roman"/>
              <w:color w:val="000000"/>
            </w:rPr>
            <w:t>analysis</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the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five-factor</w:t>
          </w:r>
          <w:proofErr w:type="spellEnd"/>
          <w:r w:rsidRPr="00DC52EB">
            <w:rPr>
              <w:rFonts w:ascii="Times New Roman" w:hAnsi="Times New Roman" w:cs="Times New Roman"/>
              <w:color w:val="000000"/>
            </w:rPr>
            <w:t xml:space="preserve"> model of </w:t>
          </w:r>
          <w:proofErr w:type="spellStart"/>
          <w:r w:rsidRPr="00DC52EB">
            <w:rPr>
              <w:rFonts w:ascii="Times New Roman" w:hAnsi="Times New Roman" w:cs="Times New Roman"/>
              <w:color w:val="000000"/>
            </w:rPr>
            <w:t>personality</w:t>
          </w:r>
          <w:proofErr w:type="spellEnd"/>
          <w:r w:rsidRPr="00DC52EB">
            <w:rPr>
              <w:rFonts w:ascii="Times New Roman" w:hAnsi="Times New Roman" w:cs="Times New Roman"/>
              <w:color w:val="000000"/>
            </w:rPr>
            <w:t xml:space="preserve"> and </w:t>
          </w:r>
          <w:proofErr w:type="spellStart"/>
          <w:r w:rsidRPr="00DC52EB">
            <w:rPr>
              <w:rFonts w:ascii="Times New Roman" w:hAnsi="Times New Roman" w:cs="Times New Roman"/>
              <w:color w:val="000000"/>
            </w:rPr>
            <w:t>academic</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performance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Psychological</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Bulletin</w:t>
          </w:r>
          <w:proofErr w:type="spellEnd"/>
          <w:r w:rsidRPr="00DC52EB">
            <w:rPr>
              <w:rFonts w:ascii="Times New Roman" w:hAnsi="Times New Roman" w:cs="Times New Roman"/>
              <w:color w:val="000000"/>
            </w:rPr>
            <w:t>, 135(2), 322-338.</w:t>
          </w:r>
        </w:p>
        <w:p w14:paraId="6A525EF3"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proofErr w:type="spellStart"/>
          <w:r w:rsidRPr="00DC52EB">
            <w:rPr>
              <w:rFonts w:ascii="Times New Roman" w:hAnsi="Times New Roman" w:cs="Times New Roman"/>
              <w:color w:val="000000"/>
            </w:rPr>
            <w:t>Rabiner</w:t>
          </w:r>
          <w:proofErr w:type="spellEnd"/>
          <w:r w:rsidRPr="00DC52EB">
            <w:rPr>
              <w:rFonts w:ascii="Times New Roman" w:hAnsi="Times New Roman" w:cs="Times New Roman"/>
              <w:color w:val="000000"/>
            </w:rPr>
            <w:t xml:space="preserve">, D. L., </w:t>
          </w:r>
          <w:proofErr w:type="spellStart"/>
          <w:r w:rsidRPr="00DC52EB">
            <w:rPr>
              <w:rFonts w:ascii="Times New Roman" w:hAnsi="Times New Roman" w:cs="Times New Roman"/>
              <w:color w:val="000000"/>
            </w:rPr>
            <w:t>Anastopoulos</w:t>
          </w:r>
          <w:proofErr w:type="spellEnd"/>
          <w:r w:rsidRPr="00DC52EB">
            <w:rPr>
              <w:rFonts w:ascii="Times New Roman" w:hAnsi="Times New Roman" w:cs="Times New Roman"/>
              <w:color w:val="000000"/>
            </w:rPr>
            <w:t xml:space="preserve">, A. D., </w:t>
          </w:r>
          <w:proofErr w:type="spellStart"/>
          <w:r w:rsidRPr="00DC52EB">
            <w:rPr>
              <w:rFonts w:ascii="Times New Roman" w:hAnsi="Times New Roman" w:cs="Times New Roman"/>
              <w:color w:val="000000"/>
            </w:rPr>
            <w:t>Costello</w:t>
          </w:r>
          <w:proofErr w:type="spellEnd"/>
          <w:r w:rsidRPr="00DC52EB">
            <w:rPr>
              <w:rFonts w:ascii="Times New Roman" w:hAnsi="Times New Roman" w:cs="Times New Roman"/>
              <w:color w:val="000000"/>
            </w:rPr>
            <w:t xml:space="preserve">, J., </w:t>
          </w:r>
          <w:proofErr w:type="spellStart"/>
          <w:r w:rsidRPr="00DC52EB">
            <w:rPr>
              <w:rFonts w:ascii="Times New Roman" w:hAnsi="Times New Roman" w:cs="Times New Roman"/>
              <w:color w:val="000000"/>
            </w:rPr>
            <w:t>Hoyle</w:t>
          </w:r>
          <w:proofErr w:type="spellEnd"/>
          <w:r w:rsidRPr="00DC52EB">
            <w:rPr>
              <w:rFonts w:ascii="Times New Roman" w:hAnsi="Times New Roman" w:cs="Times New Roman"/>
              <w:color w:val="000000"/>
            </w:rPr>
            <w:t xml:space="preserve">, R. H., and </w:t>
          </w:r>
          <w:proofErr w:type="spellStart"/>
          <w:r w:rsidRPr="00DC52EB">
            <w:rPr>
              <w:rFonts w:ascii="Times New Roman" w:hAnsi="Times New Roman" w:cs="Times New Roman"/>
              <w:color w:val="000000"/>
            </w:rPr>
            <w:t>Swartzwelder</w:t>
          </w:r>
          <w:proofErr w:type="spellEnd"/>
          <w:r w:rsidRPr="00DC52EB">
            <w:rPr>
              <w:rFonts w:ascii="Times New Roman" w:hAnsi="Times New Roman" w:cs="Times New Roman"/>
              <w:color w:val="000000"/>
            </w:rPr>
            <w:t xml:space="preserve">, H. S. (2007). </w:t>
          </w:r>
          <w:proofErr w:type="spellStart"/>
          <w:r w:rsidRPr="00DC52EB">
            <w:rPr>
              <w:rFonts w:ascii="Times New Roman" w:hAnsi="Times New Roman" w:cs="Times New Roman"/>
              <w:color w:val="000000"/>
            </w:rPr>
            <w:t>Adjustment</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to</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college</w:t>
          </w:r>
          <w:proofErr w:type="spellEnd"/>
          <w:r w:rsidRPr="00DC52EB">
            <w:rPr>
              <w:rFonts w:ascii="Times New Roman" w:hAnsi="Times New Roman" w:cs="Times New Roman"/>
              <w:color w:val="000000"/>
            </w:rPr>
            <w:t xml:space="preserve"> in </w:t>
          </w:r>
          <w:proofErr w:type="spellStart"/>
          <w:r w:rsidRPr="00DC52EB">
            <w:rPr>
              <w:rFonts w:ascii="Times New Roman" w:hAnsi="Times New Roman" w:cs="Times New Roman"/>
              <w:color w:val="000000"/>
            </w:rPr>
            <w:t>students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with</w:t>
          </w:r>
          <w:proofErr w:type="spellEnd"/>
          <w:r w:rsidRPr="00DC52EB">
            <w:rPr>
              <w:rFonts w:ascii="Times New Roman" w:hAnsi="Times New Roman" w:cs="Times New Roman"/>
              <w:color w:val="000000"/>
            </w:rPr>
            <w:t xml:space="preserve"> ADHD. </w:t>
          </w:r>
          <w:proofErr w:type="spellStart"/>
          <w:r w:rsidRPr="00DC52EB">
            <w:rPr>
              <w:rFonts w:ascii="Times New Roman" w:hAnsi="Times New Roman" w:cs="Times New Roman"/>
              <w:color w:val="000000"/>
            </w:rPr>
            <w:t>Journal</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Attention</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Disorders</w:t>
          </w:r>
          <w:proofErr w:type="spellEnd"/>
          <w:r w:rsidRPr="00DC52EB">
            <w:rPr>
              <w:rFonts w:ascii="Times New Roman" w:hAnsi="Times New Roman" w:cs="Times New Roman"/>
              <w:color w:val="000000"/>
            </w:rPr>
            <w:t xml:space="preserve">, 11(6), 689–699. </w:t>
          </w:r>
        </w:p>
        <w:p w14:paraId="10E55129"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rPr>
          </w:pPr>
          <w:proofErr w:type="spellStart"/>
          <w:r w:rsidRPr="00DC52EB">
            <w:rPr>
              <w:rFonts w:ascii="Times New Roman" w:hAnsi="Times New Roman" w:cs="Times New Roman"/>
            </w:rPr>
            <w:t>Ramamurthy</w:t>
          </w:r>
          <w:proofErr w:type="spellEnd"/>
          <w:r w:rsidRPr="00DC52EB">
            <w:rPr>
              <w:rFonts w:ascii="Times New Roman" w:hAnsi="Times New Roman" w:cs="Times New Roman"/>
            </w:rPr>
            <w:t xml:space="preserve">, S., Er HM, </w:t>
          </w:r>
          <w:proofErr w:type="spellStart"/>
          <w:r w:rsidRPr="00DC52EB">
            <w:rPr>
              <w:rFonts w:ascii="Times New Roman" w:hAnsi="Times New Roman" w:cs="Times New Roman"/>
            </w:rPr>
            <w:t>Nadarajah</w:t>
          </w:r>
          <w:proofErr w:type="spellEnd"/>
          <w:r w:rsidRPr="00DC52EB">
            <w:rPr>
              <w:rFonts w:ascii="Times New Roman" w:hAnsi="Times New Roman" w:cs="Times New Roman"/>
            </w:rPr>
            <w:t xml:space="preserve">, V.D. &amp; </w:t>
          </w:r>
          <w:proofErr w:type="spellStart"/>
          <w:r w:rsidRPr="00DC52EB">
            <w:rPr>
              <w:rFonts w:ascii="Times New Roman" w:hAnsi="Times New Roman" w:cs="Times New Roman"/>
            </w:rPr>
            <w:t>Radhakrishnan</w:t>
          </w:r>
          <w:proofErr w:type="spellEnd"/>
          <w:r w:rsidRPr="00DC52EB">
            <w:rPr>
              <w:rFonts w:ascii="Times New Roman" w:hAnsi="Times New Roman" w:cs="Times New Roman"/>
            </w:rPr>
            <w:t xml:space="preserve">, </w:t>
          </w:r>
          <w:proofErr w:type="gramStart"/>
          <w:r w:rsidRPr="00DC52EB">
            <w:rPr>
              <w:rFonts w:ascii="Times New Roman" w:hAnsi="Times New Roman" w:cs="Times New Roman"/>
            </w:rPr>
            <w:t>A.K.(</w:t>
          </w:r>
          <w:proofErr w:type="gramEnd"/>
          <w:r w:rsidRPr="00DC52EB">
            <w:rPr>
              <w:rFonts w:ascii="Times New Roman" w:hAnsi="Times New Roman" w:cs="Times New Roman"/>
            </w:rPr>
            <w:t xml:space="preserve">2021) </w:t>
          </w:r>
          <w:proofErr w:type="spellStart"/>
          <w:r w:rsidRPr="00DC52EB">
            <w:rPr>
              <w:rFonts w:ascii="Times New Roman" w:hAnsi="Times New Roman" w:cs="Times New Roman"/>
            </w:rPr>
            <w:t>Medical</w:t>
          </w:r>
          <w:proofErr w:type="spellEnd"/>
          <w:r w:rsidRPr="00DC52EB">
            <w:rPr>
              <w:rFonts w:ascii="Times New Roman" w:hAnsi="Times New Roman" w:cs="Times New Roman"/>
            </w:rPr>
            <w:t xml:space="preserve"> </w:t>
          </w:r>
          <w:proofErr w:type="spellStart"/>
          <w:r w:rsidRPr="00DC52EB">
            <w:rPr>
              <w:rFonts w:ascii="Times New Roman" w:hAnsi="Times New Roman" w:cs="Times New Roman"/>
            </w:rPr>
            <w:t>students</w:t>
          </w:r>
          <w:proofErr w:type="spellEnd"/>
          <w:r w:rsidRPr="00DC52EB">
            <w:rPr>
              <w:rFonts w:ascii="Times New Roman" w:hAnsi="Times New Roman" w:cs="Times New Roman"/>
            </w:rPr>
            <w:t xml:space="preserve">’ </w:t>
          </w:r>
          <w:proofErr w:type="spellStart"/>
          <w:r w:rsidRPr="00DC52EB">
            <w:rPr>
              <w:rFonts w:ascii="Times New Roman" w:hAnsi="Times New Roman" w:cs="Times New Roman"/>
            </w:rPr>
            <w:t>orientation</w:t>
          </w:r>
          <w:proofErr w:type="spellEnd"/>
          <w:r w:rsidRPr="00DC52EB">
            <w:rPr>
              <w:rFonts w:ascii="Times New Roman" w:hAnsi="Times New Roman" w:cs="Times New Roman"/>
            </w:rPr>
            <w:t xml:space="preserve"> </w:t>
          </w:r>
          <w:proofErr w:type="spellStart"/>
          <w:r w:rsidRPr="00DC52EB">
            <w:rPr>
              <w:rFonts w:ascii="Times New Roman" w:hAnsi="Times New Roman" w:cs="Times New Roman"/>
            </w:rPr>
            <w:t>toward</w:t>
          </w:r>
          <w:proofErr w:type="spellEnd"/>
          <w:r w:rsidRPr="00DC52EB">
            <w:rPr>
              <w:rFonts w:ascii="Times New Roman" w:hAnsi="Times New Roman" w:cs="Times New Roman"/>
            </w:rPr>
            <w:t xml:space="preserve"> </w:t>
          </w:r>
          <w:proofErr w:type="spellStart"/>
          <w:r w:rsidRPr="00DC52EB">
            <w:rPr>
              <w:rFonts w:ascii="Times New Roman" w:hAnsi="Times New Roman" w:cs="Times New Roman"/>
            </w:rPr>
            <w:t>lifelong</w:t>
          </w:r>
          <w:proofErr w:type="spellEnd"/>
          <w:r w:rsidRPr="00DC52EB">
            <w:rPr>
              <w:rFonts w:ascii="Times New Roman" w:hAnsi="Times New Roman" w:cs="Times New Roman"/>
            </w:rPr>
            <w:t xml:space="preserve"> </w:t>
          </w:r>
          <w:proofErr w:type="spellStart"/>
          <w:r w:rsidRPr="00DC52EB">
            <w:rPr>
              <w:rFonts w:ascii="Times New Roman" w:hAnsi="Times New Roman" w:cs="Times New Roman"/>
            </w:rPr>
            <w:t>learning</w:t>
          </w:r>
          <w:proofErr w:type="spellEnd"/>
          <w:r w:rsidRPr="00DC52EB">
            <w:rPr>
              <w:rFonts w:ascii="Times New Roman" w:hAnsi="Times New Roman" w:cs="Times New Roman"/>
            </w:rPr>
            <w:t xml:space="preserve"> in an </w:t>
          </w:r>
          <w:proofErr w:type="spellStart"/>
          <w:r w:rsidRPr="00DC52EB">
            <w:rPr>
              <w:rFonts w:ascii="Times New Roman" w:hAnsi="Times New Roman" w:cs="Times New Roman"/>
            </w:rPr>
            <w:t>outcome-based</w:t>
          </w:r>
          <w:proofErr w:type="spellEnd"/>
          <w:r w:rsidRPr="00DC52EB">
            <w:rPr>
              <w:rFonts w:ascii="Times New Roman" w:hAnsi="Times New Roman" w:cs="Times New Roman"/>
            </w:rPr>
            <w:t xml:space="preserve"> </w:t>
          </w:r>
          <w:proofErr w:type="spellStart"/>
          <w:r w:rsidRPr="00DC52EB">
            <w:rPr>
              <w:rFonts w:ascii="Times New Roman" w:hAnsi="Times New Roman" w:cs="Times New Roman"/>
            </w:rPr>
            <w:t>curriculum</w:t>
          </w:r>
          <w:proofErr w:type="spellEnd"/>
          <w:r w:rsidRPr="00DC52EB">
            <w:rPr>
              <w:rFonts w:ascii="Times New Roman" w:hAnsi="Times New Roman" w:cs="Times New Roman"/>
            </w:rPr>
            <w:t xml:space="preserve"> and </w:t>
          </w:r>
          <w:proofErr w:type="spellStart"/>
          <w:r w:rsidRPr="00DC52EB">
            <w:rPr>
              <w:rFonts w:ascii="Times New Roman" w:hAnsi="Times New Roman" w:cs="Times New Roman"/>
            </w:rPr>
            <w:t>the</w:t>
          </w:r>
          <w:proofErr w:type="spellEnd"/>
          <w:r w:rsidRPr="00DC52EB">
            <w:rPr>
              <w:rFonts w:ascii="Times New Roman" w:hAnsi="Times New Roman" w:cs="Times New Roman"/>
            </w:rPr>
            <w:t xml:space="preserve"> </w:t>
          </w:r>
          <w:proofErr w:type="spellStart"/>
          <w:r w:rsidRPr="00DC52EB">
            <w:rPr>
              <w:rFonts w:ascii="Times New Roman" w:hAnsi="Times New Roman" w:cs="Times New Roman"/>
            </w:rPr>
            <w:t>lessons</w:t>
          </w:r>
          <w:proofErr w:type="spellEnd"/>
          <w:r w:rsidRPr="00DC52EB">
            <w:rPr>
              <w:rFonts w:ascii="Times New Roman" w:hAnsi="Times New Roman" w:cs="Times New Roman"/>
            </w:rPr>
            <w:t xml:space="preserve"> </w:t>
          </w:r>
          <w:proofErr w:type="spellStart"/>
          <w:r w:rsidRPr="00DC52EB">
            <w:rPr>
              <w:rFonts w:ascii="Times New Roman" w:hAnsi="Times New Roman" w:cs="Times New Roman"/>
            </w:rPr>
            <w:t>learnt</w:t>
          </w:r>
          <w:proofErr w:type="spellEnd"/>
          <w:r w:rsidRPr="00DC52EB">
            <w:rPr>
              <w:rFonts w:ascii="Times New Roman" w:hAnsi="Times New Roman" w:cs="Times New Roman"/>
            </w:rPr>
            <w:t xml:space="preserve">, </w:t>
          </w:r>
          <w:proofErr w:type="spellStart"/>
          <w:r w:rsidRPr="00DC52EB">
            <w:rPr>
              <w:rFonts w:ascii="Times New Roman" w:hAnsi="Times New Roman" w:cs="Times New Roman"/>
            </w:rPr>
            <w:t>Medical</w:t>
          </w:r>
          <w:proofErr w:type="spellEnd"/>
          <w:r w:rsidRPr="00DC52EB">
            <w:rPr>
              <w:rFonts w:ascii="Times New Roman" w:hAnsi="Times New Roman" w:cs="Times New Roman"/>
            </w:rPr>
            <w:t xml:space="preserve"> </w:t>
          </w:r>
          <w:proofErr w:type="spellStart"/>
          <w:r w:rsidRPr="00DC52EB">
            <w:rPr>
              <w:rFonts w:ascii="Times New Roman" w:hAnsi="Times New Roman" w:cs="Times New Roman"/>
            </w:rPr>
            <w:t>Teacher</w:t>
          </w:r>
          <w:proofErr w:type="spellEnd"/>
          <w:r w:rsidRPr="00DC52EB">
            <w:rPr>
              <w:rFonts w:ascii="Times New Roman" w:hAnsi="Times New Roman" w:cs="Times New Roman"/>
            </w:rPr>
            <w:t>, 43(1), 6-11.</w:t>
          </w:r>
        </w:p>
        <w:p w14:paraId="290BFA06"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proofErr w:type="spellStart"/>
          <w:r w:rsidRPr="00DC52EB">
            <w:rPr>
              <w:rFonts w:ascii="Times New Roman" w:hAnsi="Times New Roman" w:cs="Times New Roman"/>
              <w:color w:val="000000"/>
            </w:rPr>
            <w:t>ShumanL</w:t>
          </w:r>
          <w:proofErr w:type="spellEnd"/>
          <w:r w:rsidRPr="00DC52EB">
            <w:rPr>
              <w:rFonts w:ascii="Times New Roman" w:hAnsi="Times New Roman" w:cs="Times New Roman"/>
              <w:color w:val="000000"/>
            </w:rPr>
            <w:t xml:space="preserve">. J., </w:t>
          </w:r>
          <w:proofErr w:type="spellStart"/>
          <w:r w:rsidRPr="00DC52EB">
            <w:rPr>
              <w:rFonts w:ascii="Times New Roman" w:hAnsi="Times New Roman" w:cs="Times New Roman"/>
              <w:color w:val="000000"/>
            </w:rPr>
            <w:t>Besterfield-Sacre</w:t>
          </w:r>
          <w:proofErr w:type="spellEnd"/>
          <w:r w:rsidRPr="00DC52EB">
            <w:rPr>
              <w:rFonts w:ascii="Times New Roman" w:hAnsi="Times New Roman" w:cs="Times New Roman"/>
              <w:color w:val="000000"/>
            </w:rPr>
            <w:t xml:space="preserve">, M., and </w:t>
          </w:r>
          <w:proofErr w:type="spellStart"/>
          <w:r w:rsidRPr="00DC52EB">
            <w:rPr>
              <w:rFonts w:ascii="Times New Roman" w:hAnsi="Times New Roman" w:cs="Times New Roman"/>
              <w:color w:val="000000"/>
            </w:rPr>
            <w:t>McGourty</w:t>
          </w:r>
          <w:proofErr w:type="spellEnd"/>
          <w:r w:rsidRPr="00DC52EB">
            <w:rPr>
              <w:rFonts w:ascii="Times New Roman" w:hAnsi="Times New Roman" w:cs="Times New Roman"/>
              <w:color w:val="000000"/>
            </w:rPr>
            <w:t xml:space="preserve">, J. (2005). </w:t>
          </w:r>
          <w:proofErr w:type="spellStart"/>
          <w:r w:rsidRPr="00DC52EB">
            <w:rPr>
              <w:rFonts w:ascii="Times New Roman" w:hAnsi="Times New Roman" w:cs="Times New Roman"/>
              <w:color w:val="000000"/>
            </w:rPr>
            <w:t>The</w:t>
          </w:r>
          <w:proofErr w:type="spellEnd"/>
          <w:r w:rsidRPr="00DC52EB">
            <w:rPr>
              <w:rFonts w:ascii="Times New Roman" w:hAnsi="Times New Roman" w:cs="Times New Roman"/>
              <w:color w:val="000000"/>
            </w:rPr>
            <w:t xml:space="preserve"> ABET “Professional </w:t>
          </w:r>
          <w:proofErr w:type="spellStart"/>
          <w:r w:rsidRPr="00DC52EB">
            <w:rPr>
              <w:rFonts w:ascii="Times New Roman" w:hAnsi="Times New Roman" w:cs="Times New Roman"/>
              <w:color w:val="000000"/>
            </w:rPr>
            <w:t>skills</w:t>
          </w:r>
          <w:proofErr w:type="spellEnd"/>
          <w:proofErr w:type="gramStart"/>
          <w:r w:rsidRPr="00DC52EB">
            <w:rPr>
              <w:rFonts w:ascii="Times New Roman" w:hAnsi="Times New Roman" w:cs="Times New Roman"/>
              <w:color w:val="000000"/>
            </w:rPr>
            <w:t>” -</w:t>
          </w:r>
          <w:proofErr w:type="gramEnd"/>
          <w:r w:rsidRPr="00DC52EB">
            <w:rPr>
              <w:rFonts w:ascii="Times New Roman" w:hAnsi="Times New Roman" w:cs="Times New Roman"/>
              <w:color w:val="000000"/>
            </w:rPr>
            <w:t xml:space="preserve"> can they be </w:t>
          </w:r>
          <w:proofErr w:type="spellStart"/>
          <w:r w:rsidRPr="00DC52EB">
            <w:rPr>
              <w:rFonts w:ascii="Times New Roman" w:hAnsi="Times New Roman" w:cs="Times New Roman"/>
              <w:color w:val="000000"/>
            </w:rPr>
            <w:t>taught</w:t>
          </w:r>
          <w:proofErr w:type="spellEnd"/>
          <w:r w:rsidRPr="00DC52EB">
            <w:rPr>
              <w:rFonts w:ascii="Times New Roman" w:hAnsi="Times New Roman" w:cs="Times New Roman"/>
              <w:color w:val="000000"/>
            </w:rPr>
            <w:t xml:space="preserve">? Can they be </w:t>
          </w:r>
          <w:proofErr w:type="spellStart"/>
          <w:r w:rsidRPr="00DC52EB">
            <w:rPr>
              <w:rFonts w:ascii="Times New Roman" w:hAnsi="Times New Roman" w:cs="Times New Roman"/>
              <w:color w:val="000000"/>
            </w:rPr>
            <w:t>assessed</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Journal</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Engineering</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Education</w:t>
          </w:r>
          <w:proofErr w:type="spellEnd"/>
          <w:r w:rsidRPr="00DC52EB">
            <w:rPr>
              <w:rFonts w:ascii="Times New Roman" w:hAnsi="Times New Roman" w:cs="Times New Roman"/>
              <w:color w:val="000000"/>
            </w:rPr>
            <w:t>, 94</w:t>
          </w:r>
          <w:r w:rsidRPr="00DC52EB">
            <w:rPr>
              <w:rFonts w:ascii="Times New Roman" w:hAnsi="Times New Roman" w:cs="Times New Roman"/>
              <w:i/>
              <w:color w:val="000000"/>
            </w:rPr>
            <w:t xml:space="preserve"> </w:t>
          </w:r>
          <w:r w:rsidRPr="00DC52EB">
            <w:rPr>
              <w:rFonts w:ascii="Times New Roman" w:hAnsi="Times New Roman" w:cs="Times New Roman"/>
              <w:color w:val="000000"/>
            </w:rPr>
            <w:t xml:space="preserve">(1), 41-55. </w:t>
          </w:r>
        </w:p>
        <w:p w14:paraId="7DBE8B78"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Sıvacı, S.Y. ve Çöplü, F. (2020). Üniversite öğrencilerinin akademik öz-yeterlikleri, akademik motivasyonları ve yaşam boyu öğrenme eğilimleri arasındaki ilişki</w:t>
          </w:r>
          <w:r w:rsidRPr="00DC52EB">
            <w:rPr>
              <w:rFonts w:ascii="Times New Roman" w:hAnsi="Times New Roman" w:cs="Times New Roman"/>
              <w:i/>
              <w:color w:val="000000"/>
            </w:rPr>
            <w:t xml:space="preserve">. </w:t>
          </w:r>
          <w:r w:rsidRPr="00DC52EB">
            <w:rPr>
              <w:rFonts w:ascii="Times New Roman" w:hAnsi="Times New Roman" w:cs="Times New Roman"/>
              <w:color w:val="000000"/>
            </w:rPr>
            <w:t>Kırşehir Eğitim Fakültesi Dergisi, 21(1), 667-700.</w:t>
          </w:r>
        </w:p>
        <w:p w14:paraId="1BA1DC6E"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111111"/>
              <w:shd w:val="clear" w:color="auto" w:fill="FFFFFF"/>
            </w:rPr>
          </w:pPr>
          <w:r w:rsidRPr="00DC52EB">
            <w:rPr>
              <w:rFonts w:ascii="Times New Roman" w:hAnsi="Times New Roman" w:cs="Times New Roman"/>
              <w:color w:val="111111"/>
              <w:shd w:val="clear" w:color="auto" w:fill="FFFFFF"/>
            </w:rPr>
            <w:t>Somer, O., Korkmaz, M., Tatar A. (2002). Beş Faktör Kişilik Envanterinin geliştirilmesi-1: Ölçek ve alt ölçeklerin oluşturulması. Türk Psikoloji Dergisi, 17(49), 21-37.</w:t>
          </w:r>
        </w:p>
        <w:p w14:paraId="4F8371B7"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 xml:space="preserve">Su, Y.H., Feng, L.Y., Yang, C.C. and Chen, T.L. (2012). How </w:t>
          </w:r>
          <w:proofErr w:type="spellStart"/>
          <w:r w:rsidRPr="00DC52EB">
            <w:rPr>
              <w:rFonts w:ascii="Times New Roman" w:hAnsi="Times New Roman" w:cs="Times New Roman"/>
              <w:color w:val="000000"/>
            </w:rPr>
            <w:t>teachers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support</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university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students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lifelong</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learning</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development</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for</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sustainable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futures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The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student’s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perspective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Futures</w:t>
          </w:r>
          <w:proofErr w:type="spellEnd"/>
          <w:r w:rsidRPr="00DC52EB">
            <w:rPr>
              <w:rFonts w:ascii="Times New Roman" w:hAnsi="Times New Roman" w:cs="Times New Roman"/>
              <w:color w:val="000000"/>
            </w:rPr>
            <w:t>, 44(2), 158-165.</w:t>
          </w:r>
        </w:p>
        <w:p w14:paraId="50537EBF"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 xml:space="preserve">Sümer, N., </w:t>
          </w:r>
          <w:proofErr w:type="spellStart"/>
          <w:r w:rsidRPr="00DC52EB">
            <w:rPr>
              <w:rFonts w:ascii="Times New Roman" w:hAnsi="Times New Roman" w:cs="Times New Roman"/>
              <w:color w:val="000000"/>
            </w:rPr>
            <w:t>Lajunen</w:t>
          </w:r>
          <w:proofErr w:type="spellEnd"/>
          <w:r w:rsidRPr="00DC52EB">
            <w:rPr>
              <w:rFonts w:ascii="Times New Roman" w:hAnsi="Times New Roman" w:cs="Times New Roman"/>
              <w:color w:val="000000"/>
            </w:rPr>
            <w:t xml:space="preserve">, T., and Özkan, T. (2005). </w:t>
          </w:r>
          <w:proofErr w:type="spellStart"/>
          <w:r w:rsidRPr="00DC52EB">
            <w:rPr>
              <w:rFonts w:ascii="Times New Roman" w:hAnsi="Times New Roman" w:cs="Times New Roman"/>
              <w:color w:val="000000"/>
            </w:rPr>
            <w:t>Big</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five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personality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traits</w:t>
          </w:r>
          <w:proofErr w:type="spellEnd"/>
          <w:r w:rsidRPr="00DC52EB">
            <w:rPr>
              <w:rFonts w:ascii="Times New Roman" w:hAnsi="Times New Roman" w:cs="Times New Roman"/>
              <w:color w:val="000000"/>
            </w:rPr>
            <w:t xml:space="preserve"> as </w:t>
          </w:r>
          <w:proofErr w:type="spellStart"/>
          <w:r w:rsidRPr="00DC52EB">
            <w:rPr>
              <w:rFonts w:ascii="Times New Roman" w:hAnsi="Times New Roman" w:cs="Times New Roman"/>
              <w:color w:val="000000"/>
            </w:rPr>
            <w:t>the</w:t>
          </w:r>
          <w:proofErr w:type="spellEnd"/>
          <w:r w:rsidRPr="00DC52EB">
            <w:rPr>
              <w:rFonts w:ascii="Times New Roman" w:hAnsi="Times New Roman" w:cs="Times New Roman"/>
              <w:color w:val="000000"/>
            </w:rPr>
            <w:t xml:space="preserve"> distal </w:t>
          </w:r>
          <w:proofErr w:type="spellStart"/>
          <w:r w:rsidRPr="00DC52EB">
            <w:rPr>
              <w:rFonts w:ascii="Times New Roman" w:hAnsi="Times New Roman" w:cs="Times New Roman"/>
              <w:color w:val="000000"/>
            </w:rPr>
            <w:t>predictors</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road</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accident</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involment</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In</w:t>
          </w:r>
          <w:proofErr w:type="spellEnd"/>
          <w:r w:rsidRPr="00DC52EB">
            <w:rPr>
              <w:rFonts w:ascii="Times New Roman" w:hAnsi="Times New Roman" w:cs="Times New Roman"/>
              <w:color w:val="000000"/>
            </w:rPr>
            <w:t xml:space="preserve"> G. </w:t>
          </w:r>
          <w:proofErr w:type="spellStart"/>
          <w:r w:rsidRPr="00DC52EB">
            <w:rPr>
              <w:rFonts w:ascii="Times New Roman" w:hAnsi="Times New Roman" w:cs="Times New Roman"/>
              <w:color w:val="000000"/>
            </w:rPr>
            <w:t>Underwood</w:t>
          </w:r>
          <w:proofErr w:type="spellEnd"/>
          <w:r w:rsidRPr="00DC52EB">
            <w:rPr>
              <w:rFonts w:ascii="Times New Roman" w:hAnsi="Times New Roman" w:cs="Times New Roman"/>
              <w:color w:val="000000"/>
            </w:rPr>
            <w:t xml:space="preserve">, (Ed.), </w:t>
          </w:r>
          <w:proofErr w:type="spellStart"/>
          <w:r w:rsidRPr="00DC52EB">
            <w:rPr>
              <w:rFonts w:ascii="Times New Roman" w:hAnsi="Times New Roman" w:cs="Times New Roman"/>
              <w:color w:val="000000"/>
            </w:rPr>
            <w:t>Traffic</w:t>
          </w:r>
          <w:proofErr w:type="spellEnd"/>
          <w:r w:rsidRPr="00DC52EB">
            <w:rPr>
              <w:rFonts w:ascii="Times New Roman" w:hAnsi="Times New Roman" w:cs="Times New Roman"/>
              <w:color w:val="000000"/>
            </w:rPr>
            <w:t xml:space="preserve"> and transport </w:t>
          </w:r>
          <w:proofErr w:type="spellStart"/>
          <w:r w:rsidRPr="00DC52EB">
            <w:rPr>
              <w:rFonts w:ascii="Times New Roman" w:hAnsi="Times New Roman" w:cs="Times New Roman"/>
              <w:color w:val="000000"/>
            </w:rPr>
            <w:t>psychology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pp</w:t>
          </w:r>
          <w:proofErr w:type="spellEnd"/>
          <w:r w:rsidRPr="00DC52EB">
            <w:rPr>
              <w:rFonts w:ascii="Times New Roman" w:hAnsi="Times New Roman" w:cs="Times New Roman"/>
              <w:color w:val="000000"/>
            </w:rPr>
            <w:t xml:space="preserve">. 215-227). Oxford: </w:t>
          </w:r>
          <w:proofErr w:type="spellStart"/>
          <w:r w:rsidRPr="00DC52EB">
            <w:rPr>
              <w:rFonts w:ascii="Times New Roman" w:hAnsi="Times New Roman" w:cs="Times New Roman"/>
              <w:color w:val="000000"/>
            </w:rPr>
            <w:t>Elsevier</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Press</w:t>
          </w:r>
          <w:proofErr w:type="spellEnd"/>
          <w:r w:rsidRPr="00DC52EB">
            <w:rPr>
              <w:rFonts w:ascii="Times New Roman" w:hAnsi="Times New Roman" w:cs="Times New Roman"/>
              <w:color w:val="000000"/>
            </w:rPr>
            <w:t xml:space="preserve">. </w:t>
          </w:r>
        </w:p>
        <w:p w14:paraId="7A81560C"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proofErr w:type="spellStart"/>
          <w:r w:rsidRPr="00DC52EB">
            <w:rPr>
              <w:rFonts w:ascii="Times New Roman" w:hAnsi="Times New Roman" w:cs="Times New Roman"/>
              <w:color w:val="000000"/>
            </w:rPr>
            <w:t>Şenyuva</w:t>
          </w:r>
          <w:proofErr w:type="spellEnd"/>
          <w:r w:rsidRPr="00DC52EB">
            <w:rPr>
              <w:rFonts w:ascii="Times New Roman" w:hAnsi="Times New Roman" w:cs="Times New Roman"/>
              <w:color w:val="000000"/>
            </w:rPr>
            <w:t xml:space="preserve">, E. ve Kaya, H. (2014). </w:t>
          </w:r>
          <w:proofErr w:type="spellStart"/>
          <w:r w:rsidRPr="00DC52EB">
            <w:rPr>
              <w:rFonts w:ascii="Times New Roman" w:hAnsi="Times New Roman" w:cs="Times New Roman"/>
              <w:color w:val="000000"/>
            </w:rPr>
            <w:t>Nurses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lifelong-learning</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tendencies</w:t>
          </w:r>
          <w:proofErr w:type="spellEnd"/>
          <w:r w:rsidRPr="00DC52EB">
            <w:rPr>
              <w:rFonts w:ascii="Times New Roman" w:hAnsi="Times New Roman" w:cs="Times New Roman"/>
              <w:color w:val="000000"/>
            </w:rPr>
            <w:t xml:space="preserve"> and </w:t>
          </w:r>
          <w:proofErr w:type="spellStart"/>
          <w:r w:rsidRPr="00DC52EB">
            <w:rPr>
              <w:rFonts w:ascii="Times New Roman" w:hAnsi="Times New Roman" w:cs="Times New Roman"/>
              <w:color w:val="000000"/>
            </w:rPr>
            <w:t>their</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attitudes</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toward</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distance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education</w:t>
          </w:r>
          <w:proofErr w:type="spellEnd"/>
          <w:r w:rsidRPr="00DC52EB">
            <w:rPr>
              <w:rFonts w:ascii="Times New Roman" w:hAnsi="Times New Roman" w:cs="Times New Roman"/>
              <w:color w:val="000000"/>
            </w:rPr>
            <w:t xml:space="preserve">: A </w:t>
          </w:r>
          <w:proofErr w:type="spellStart"/>
          <w:r w:rsidRPr="00DC52EB">
            <w:rPr>
              <w:rFonts w:ascii="Times New Roman" w:hAnsi="Times New Roman" w:cs="Times New Roman"/>
              <w:color w:val="000000"/>
            </w:rPr>
            <w:t>sample</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Turkey</w:t>
          </w:r>
          <w:proofErr w:type="spellEnd"/>
          <w:r w:rsidRPr="00DC52EB">
            <w:rPr>
              <w:rFonts w:ascii="Times New Roman" w:hAnsi="Times New Roman" w:cs="Times New Roman"/>
              <w:color w:val="000000"/>
            </w:rPr>
            <w:t>.</w:t>
          </w:r>
          <w:r w:rsidRPr="00DC52EB">
            <w:rPr>
              <w:rFonts w:ascii="Times New Roman" w:hAnsi="Times New Roman" w:cs="Times New Roman"/>
              <w:i/>
              <w:color w:val="000000"/>
            </w:rPr>
            <w:t xml:space="preserve"> </w:t>
          </w:r>
          <w:proofErr w:type="spellStart"/>
          <w:r w:rsidRPr="00DC52EB">
            <w:rPr>
              <w:rFonts w:ascii="Times New Roman" w:hAnsi="Times New Roman" w:cs="Times New Roman"/>
              <w:color w:val="000000"/>
            </w:rPr>
            <w:t>The</w:t>
          </w:r>
          <w:proofErr w:type="spellEnd"/>
          <w:r w:rsidRPr="00DC52EB">
            <w:rPr>
              <w:rFonts w:ascii="Times New Roman" w:hAnsi="Times New Roman" w:cs="Times New Roman"/>
              <w:color w:val="000000"/>
            </w:rPr>
            <w:t xml:space="preserve"> New </w:t>
          </w:r>
          <w:proofErr w:type="spellStart"/>
          <w:r w:rsidRPr="00DC52EB">
            <w:rPr>
              <w:rFonts w:ascii="Times New Roman" w:hAnsi="Times New Roman" w:cs="Times New Roman"/>
              <w:color w:val="000000"/>
            </w:rPr>
            <w:t>Educational</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Review</w:t>
          </w:r>
          <w:proofErr w:type="spellEnd"/>
          <w:r w:rsidRPr="00DC52EB">
            <w:rPr>
              <w:rFonts w:ascii="Times New Roman" w:hAnsi="Times New Roman" w:cs="Times New Roman"/>
              <w:color w:val="000000"/>
            </w:rPr>
            <w:t>, 36</w:t>
          </w:r>
          <w:r w:rsidRPr="00DC52EB">
            <w:rPr>
              <w:rFonts w:ascii="Times New Roman" w:hAnsi="Times New Roman" w:cs="Times New Roman"/>
              <w:i/>
              <w:color w:val="000000"/>
            </w:rPr>
            <w:t xml:space="preserve"> </w:t>
          </w:r>
          <w:r w:rsidRPr="00DC52EB">
            <w:rPr>
              <w:rFonts w:ascii="Times New Roman" w:hAnsi="Times New Roman" w:cs="Times New Roman"/>
              <w:color w:val="000000"/>
            </w:rPr>
            <w:t xml:space="preserve">(2), 17-29. </w:t>
          </w:r>
        </w:p>
        <w:p w14:paraId="642F4FF6"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 xml:space="preserve">Ulusoy, Y. Ö., Akfırat, O. N., Tura, G. (2018). Ebeveynlere Bağlanma ile Kişilik Özellikleri Arasındaki İlişki. </w:t>
          </w:r>
          <w:proofErr w:type="spellStart"/>
          <w:r w:rsidRPr="00DC52EB">
            <w:rPr>
              <w:rFonts w:ascii="Times New Roman" w:hAnsi="Times New Roman" w:cs="Times New Roman"/>
              <w:color w:val="000000"/>
            </w:rPr>
            <w:t>Journal</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Resilience</w:t>
          </w:r>
          <w:proofErr w:type="spellEnd"/>
          <w:r w:rsidRPr="00DC52EB">
            <w:rPr>
              <w:rFonts w:ascii="Times New Roman" w:hAnsi="Times New Roman" w:cs="Times New Roman"/>
              <w:color w:val="000000"/>
            </w:rPr>
            <w:t>, 2(1), 23–37.</w:t>
          </w:r>
        </w:p>
        <w:p w14:paraId="42A62D7F" w14:textId="77777777" w:rsidR="005F0FAF" w:rsidRPr="00DC52EB" w:rsidRDefault="005F0FAF" w:rsidP="00A16ED7">
          <w:pPr>
            <w:pStyle w:val="Kaynaka"/>
            <w:spacing w:after="0" w:line="276" w:lineRule="auto"/>
            <w:ind w:left="709" w:hanging="709"/>
            <w:contextualSpacing/>
            <w:jc w:val="both"/>
            <w:rPr>
              <w:rFonts w:ascii="Times New Roman" w:hAnsi="Times New Roman" w:cs="Times New Roman"/>
              <w:color w:val="000000"/>
            </w:rPr>
          </w:pPr>
          <w:r w:rsidRPr="00DC52EB">
            <w:rPr>
              <w:rFonts w:ascii="Times New Roman" w:hAnsi="Times New Roman" w:cs="Times New Roman"/>
              <w:color w:val="000000"/>
            </w:rPr>
            <w:t xml:space="preserve">Uysal Yalçın, S., Özarslan Z., Şimşek Şahin, E., Alptekin H.M., Erdoğan, B. ve Aydın Er, R. (2019). Hemşire adaylarının yaşam boyu öğrenme eğilimleri: nitel bir çalışma. Gümüşhane Üniversitesi Sağlık Bilimleri Dergisi, 8(1): 55-63. </w:t>
          </w:r>
        </w:p>
        <w:p w14:paraId="736C2583" w14:textId="1E8A81E7" w:rsidR="005F0FAF" w:rsidRPr="00DC52EB" w:rsidRDefault="005F0FAF" w:rsidP="00A16ED7">
          <w:pPr>
            <w:pStyle w:val="Kaynaka"/>
            <w:spacing w:after="0" w:line="276" w:lineRule="auto"/>
            <w:ind w:left="709" w:hanging="709"/>
            <w:contextualSpacing/>
            <w:jc w:val="both"/>
            <w:rPr>
              <w:rFonts w:ascii="Times New Roman" w:hAnsi="Times New Roman" w:cs="Times New Roman"/>
              <w:noProof/>
            </w:rPr>
          </w:pPr>
          <w:r w:rsidRPr="00DC52EB">
            <w:rPr>
              <w:rFonts w:ascii="Times New Roman" w:hAnsi="Times New Roman" w:cs="Times New Roman"/>
              <w:color w:val="000000"/>
            </w:rPr>
            <w:t xml:space="preserve">Wayne, J. H., </w:t>
          </w:r>
          <w:proofErr w:type="spellStart"/>
          <w:r w:rsidRPr="00DC52EB">
            <w:rPr>
              <w:rFonts w:ascii="Times New Roman" w:hAnsi="Times New Roman" w:cs="Times New Roman"/>
              <w:color w:val="000000"/>
            </w:rPr>
            <w:t>Musisca</w:t>
          </w:r>
          <w:proofErr w:type="spellEnd"/>
          <w:r w:rsidRPr="00DC52EB">
            <w:rPr>
              <w:rFonts w:ascii="Times New Roman" w:hAnsi="Times New Roman" w:cs="Times New Roman"/>
              <w:color w:val="000000"/>
            </w:rPr>
            <w:t xml:space="preserve">, N. and </w:t>
          </w:r>
          <w:proofErr w:type="spellStart"/>
          <w:r w:rsidRPr="00DC52EB">
            <w:rPr>
              <w:rFonts w:ascii="Times New Roman" w:hAnsi="Times New Roman" w:cs="Times New Roman"/>
              <w:color w:val="000000"/>
            </w:rPr>
            <w:t>Fleeson</w:t>
          </w:r>
          <w:proofErr w:type="spellEnd"/>
          <w:r w:rsidRPr="00DC52EB">
            <w:rPr>
              <w:rFonts w:ascii="Times New Roman" w:hAnsi="Times New Roman" w:cs="Times New Roman"/>
              <w:color w:val="000000"/>
            </w:rPr>
            <w:t xml:space="preserve">, W. (2004). </w:t>
          </w:r>
          <w:proofErr w:type="spellStart"/>
          <w:r w:rsidRPr="00DC52EB">
            <w:rPr>
              <w:rFonts w:ascii="Times New Roman" w:hAnsi="Times New Roman" w:cs="Times New Roman"/>
              <w:color w:val="000000"/>
            </w:rPr>
            <w:t>Considering</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the</w:t>
          </w:r>
          <w:proofErr w:type="spellEnd"/>
          <w:r w:rsidRPr="00DC52EB">
            <w:rPr>
              <w:rFonts w:ascii="Times New Roman" w:hAnsi="Times New Roman" w:cs="Times New Roman"/>
              <w:color w:val="000000"/>
            </w:rPr>
            <w:t xml:space="preserve"> role of </w:t>
          </w:r>
          <w:proofErr w:type="spellStart"/>
          <w:r w:rsidRPr="00DC52EB">
            <w:rPr>
              <w:rFonts w:ascii="Times New Roman" w:hAnsi="Times New Roman" w:cs="Times New Roman"/>
              <w:color w:val="000000"/>
            </w:rPr>
            <w:t>personality</w:t>
          </w:r>
          <w:proofErr w:type="spellEnd"/>
          <w:r w:rsidRPr="00DC52EB">
            <w:rPr>
              <w:rFonts w:ascii="Times New Roman" w:hAnsi="Times New Roman" w:cs="Times New Roman"/>
              <w:color w:val="000000"/>
            </w:rPr>
            <w:t xml:space="preserve"> in </w:t>
          </w:r>
          <w:proofErr w:type="spellStart"/>
          <w:r w:rsidRPr="00DC52EB">
            <w:rPr>
              <w:rFonts w:ascii="Times New Roman" w:hAnsi="Times New Roman" w:cs="Times New Roman"/>
              <w:color w:val="000000"/>
            </w:rPr>
            <w:t>the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work</w:t>
          </w:r>
          <w:proofErr w:type="spellEnd"/>
          <w:r w:rsidRPr="00DC52EB">
            <w:rPr>
              <w:rFonts w:ascii="Times New Roman" w:hAnsi="Times New Roman" w:cs="Times New Roman"/>
              <w:color w:val="000000"/>
            </w:rPr>
            <w:t>–</w:t>
          </w:r>
          <w:proofErr w:type="spellStart"/>
          <w:r w:rsidRPr="00DC52EB">
            <w:rPr>
              <w:rFonts w:ascii="Times New Roman" w:hAnsi="Times New Roman" w:cs="Times New Roman"/>
              <w:color w:val="000000"/>
            </w:rPr>
            <w:t>family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experience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Relationships</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the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big</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five</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to</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work</w:t>
          </w:r>
          <w:proofErr w:type="spellEnd"/>
          <w:r w:rsidRPr="00DC52EB">
            <w:rPr>
              <w:rFonts w:ascii="Times New Roman" w:hAnsi="Times New Roman" w:cs="Times New Roman"/>
              <w:color w:val="000000"/>
            </w:rPr>
            <w:t>–</w:t>
          </w:r>
          <w:proofErr w:type="spellStart"/>
          <w:r w:rsidRPr="00DC52EB">
            <w:rPr>
              <w:rFonts w:ascii="Times New Roman" w:hAnsi="Times New Roman" w:cs="Times New Roman"/>
              <w:color w:val="000000"/>
            </w:rPr>
            <w:t>family</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conflict</w:t>
          </w:r>
          <w:proofErr w:type="spellEnd"/>
          <w:r w:rsidRPr="00DC52EB">
            <w:rPr>
              <w:rFonts w:ascii="Times New Roman" w:hAnsi="Times New Roman" w:cs="Times New Roman"/>
              <w:color w:val="000000"/>
            </w:rPr>
            <w:t xml:space="preserve"> and </w:t>
          </w:r>
          <w:proofErr w:type="spellStart"/>
          <w:r w:rsidRPr="00DC52EB">
            <w:rPr>
              <w:rFonts w:ascii="Times New Roman" w:hAnsi="Times New Roman" w:cs="Times New Roman"/>
              <w:color w:val="000000"/>
            </w:rPr>
            <w:t>facilitation</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Journal</w:t>
          </w:r>
          <w:proofErr w:type="spellEnd"/>
          <w:r w:rsidRPr="00DC52EB">
            <w:rPr>
              <w:rFonts w:ascii="Times New Roman" w:hAnsi="Times New Roman" w:cs="Times New Roman"/>
              <w:color w:val="000000"/>
            </w:rPr>
            <w:t xml:space="preserve"> of </w:t>
          </w:r>
          <w:proofErr w:type="spellStart"/>
          <w:r w:rsidRPr="00DC52EB">
            <w:rPr>
              <w:rFonts w:ascii="Times New Roman" w:hAnsi="Times New Roman" w:cs="Times New Roman"/>
              <w:color w:val="000000"/>
            </w:rPr>
            <w:t>Vocational</w:t>
          </w:r>
          <w:proofErr w:type="spellEnd"/>
          <w:r w:rsidRPr="00DC52EB">
            <w:rPr>
              <w:rFonts w:ascii="Times New Roman" w:hAnsi="Times New Roman" w:cs="Times New Roman"/>
              <w:color w:val="000000"/>
            </w:rPr>
            <w:t xml:space="preserve"> </w:t>
          </w:r>
          <w:proofErr w:type="spellStart"/>
          <w:r w:rsidRPr="00DC52EB">
            <w:rPr>
              <w:rFonts w:ascii="Times New Roman" w:hAnsi="Times New Roman" w:cs="Times New Roman"/>
              <w:color w:val="000000"/>
            </w:rPr>
            <w:t>Behavior</w:t>
          </w:r>
          <w:proofErr w:type="spellEnd"/>
          <w:r w:rsidRPr="00DC52EB">
            <w:rPr>
              <w:rFonts w:ascii="Times New Roman" w:hAnsi="Times New Roman" w:cs="Times New Roman"/>
              <w:color w:val="000000"/>
            </w:rPr>
            <w:t>, 64(1), 108–130.</w:t>
          </w:r>
        </w:p>
        <w:p w14:paraId="287FA685" w14:textId="2F7D31CF" w:rsidR="00813D78" w:rsidRDefault="00000000" w:rsidP="00A16ED7">
          <w:pPr>
            <w:pStyle w:val="Kaynaka"/>
            <w:spacing w:line="276" w:lineRule="auto"/>
            <w:ind w:left="709" w:hanging="709"/>
            <w:contextualSpacing/>
            <w:jc w:val="both"/>
            <w:rPr>
              <w:sz w:val="18"/>
              <w:szCs w:val="18"/>
            </w:rPr>
          </w:pPr>
        </w:p>
      </w:sdtContent>
    </w:sdt>
    <w:sectPr w:rsidR="00813D78" w:rsidSect="008924A6">
      <w:footnotePr>
        <w:numRestart w:val="eachSect"/>
      </w:footnotePr>
      <w:type w:val="continuous"/>
      <w:pgSz w:w="11907" w:h="16839" w:code="9"/>
      <w:pgMar w:top="1985" w:right="1701" w:bottom="198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6F9B" w14:textId="77777777" w:rsidR="00AE440A" w:rsidRDefault="00AE440A" w:rsidP="0037110A">
      <w:r>
        <w:separator/>
      </w:r>
    </w:p>
  </w:endnote>
  <w:endnote w:type="continuationSeparator" w:id="0">
    <w:p w14:paraId="468DDD18" w14:textId="77777777" w:rsidR="00AE440A" w:rsidRDefault="00AE440A" w:rsidP="0037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dvTimes">
    <w:altName w:val="Times New Roman"/>
    <w:charset w:val="00"/>
    <w:family w:val="roman"/>
    <w:pitch w:val="default"/>
  </w:font>
  <w:font w:name="BemboBookMTPro-Regular">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TimesNewRoman">
    <w:altName w:val="Times New Roman"/>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728459"/>
      <w:docPartObj>
        <w:docPartGallery w:val="Page Numbers (Bottom of Page)"/>
        <w:docPartUnique/>
      </w:docPartObj>
    </w:sdtPr>
    <w:sdtEndPr>
      <w:rPr>
        <w:color w:val="7F7F7F" w:themeColor="background1" w:themeShade="7F"/>
        <w:spacing w:val="60"/>
      </w:rPr>
    </w:sdtEndPr>
    <w:sdtContent>
      <w:p w14:paraId="2939057B" w14:textId="478ACA8E" w:rsidR="009E23ED" w:rsidRDefault="009E23ED">
        <w:pPr>
          <w:pStyle w:val="AltBilgi"/>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Sayfa</w:t>
        </w:r>
      </w:p>
    </w:sdtContent>
  </w:sdt>
  <w:p w14:paraId="4855D51A" w14:textId="77777777" w:rsidR="003D71D1" w:rsidRPr="003D71D1" w:rsidRDefault="003D71D1">
    <w:pPr>
      <w:pStyle w:val="AltBilgi"/>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93B7" w14:textId="77777777" w:rsidR="00E57777" w:rsidRDefault="00E57777" w:rsidP="00E57777">
    <w:pPr>
      <w:pStyle w:val="AltBilgi"/>
      <w:rPr>
        <w:sz w:val="16"/>
        <w:szCs w:val="16"/>
      </w:rPr>
    </w:pPr>
    <w:r w:rsidRPr="003D71D1">
      <w:rPr>
        <w:sz w:val="16"/>
        <w:szCs w:val="16"/>
      </w:rPr>
      <w:t xml:space="preserve">*Sorumlu yazar e </w:t>
    </w:r>
    <w:proofErr w:type="gramStart"/>
    <w:r w:rsidRPr="003D71D1">
      <w:rPr>
        <w:sz w:val="16"/>
        <w:szCs w:val="16"/>
      </w:rPr>
      <w:t>mail</w:t>
    </w:r>
    <w:proofErr w:type="gramEnd"/>
    <w:r w:rsidRPr="003D71D1">
      <w:rPr>
        <w:sz w:val="16"/>
        <w:szCs w:val="16"/>
      </w:rPr>
      <w:t xml:space="preserve"> adresi:</w:t>
    </w:r>
    <w:r>
      <w:rPr>
        <w:sz w:val="16"/>
        <w:szCs w:val="16"/>
      </w:rPr>
      <w:t xml:space="preserve"> </w:t>
    </w:r>
    <w:hyperlink r:id="rId1" w:history="1">
      <w:r w:rsidRPr="00357ACD">
        <w:rPr>
          <w:rStyle w:val="Kpr"/>
          <w:sz w:val="16"/>
          <w:szCs w:val="16"/>
        </w:rPr>
        <w:t>emel.elem@ksbu.edu.tr</w:t>
      </w:r>
    </w:hyperlink>
  </w:p>
  <w:p w14:paraId="56CB9890" w14:textId="77777777" w:rsidR="00E57777" w:rsidRPr="00E1587D" w:rsidRDefault="00E57777" w:rsidP="00E57777">
    <w:pPr>
      <w:pStyle w:val="AltBilgi"/>
      <w:rPr>
        <w:sz w:val="16"/>
        <w:szCs w:val="16"/>
      </w:rPr>
    </w:pPr>
    <w:r w:rsidRPr="00E1587D">
      <w:rPr>
        <w:sz w:val="16"/>
        <w:szCs w:val="16"/>
      </w:rPr>
      <w:t xml:space="preserve">Araştırmaya başlamadan önce </w:t>
    </w:r>
    <w:r>
      <w:rPr>
        <w:sz w:val="16"/>
        <w:szCs w:val="16"/>
      </w:rPr>
      <w:t xml:space="preserve">Kütahya Sağlık Bilimleri </w:t>
    </w:r>
    <w:r w:rsidRPr="00E1587D">
      <w:rPr>
        <w:sz w:val="16"/>
        <w:szCs w:val="16"/>
      </w:rPr>
      <w:t xml:space="preserve">Üniversitesi, </w:t>
    </w:r>
    <w:r>
      <w:rPr>
        <w:sz w:val="16"/>
        <w:szCs w:val="16"/>
      </w:rPr>
      <w:t>Girişimsel Olmayan Klinik Araştırmalar</w:t>
    </w:r>
    <w:r w:rsidRPr="00E1587D">
      <w:rPr>
        <w:sz w:val="16"/>
        <w:szCs w:val="16"/>
      </w:rPr>
      <w:t xml:space="preserve"> Etik Kurulu Başkanlığı’ndan 1</w:t>
    </w:r>
    <w:r>
      <w:rPr>
        <w:sz w:val="16"/>
        <w:szCs w:val="16"/>
      </w:rPr>
      <w:t>4</w:t>
    </w:r>
    <w:r w:rsidRPr="00E1587D">
      <w:rPr>
        <w:sz w:val="16"/>
        <w:szCs w:val="16"/>
      </w:rPr>
      <w:t>.0</w:t>
    </w:r>
    <w:r>
      <w:rPr>
        <w:sz w:val="16"/>
        <w:szCs w:val="16"/>
      </w:rPr>
      <w:t>7</w:t>
    </w:r>
    <w:r w:rsidRPr="00E1587D">
      <w:rPr>
        <w:sz w:val="16"/>
        <w:szCs w:val="16"/>
      </w:rPr>
      <w:t>.202</w:t>
    </w:r>
    <w:r>
      <w:rPr>
        <w:sz w:val="16"/>
        <w:szCs w:val="16"/>
      </w:rPr>
      <w:t>0</w:t>
    </w:r>
    <w:r w:rsidRPr="00E1587D">
      <w:rPr>
        <w:sz w:val="16"/>
        <w:szCs w:val="16"/>
      </w:rPr>
      <w:t xml:space="preserve"> tarih ve 202</w:t>
    </w:r>
    <w:r>
      <w:rPr>
        <w:sz w:val="16"/>
        <w:szCs w:val="16"/>
      </w:rPr>
      <w:t>0</w:t>
    </w:r>
    <w:r w:rsidRPr="00E1587D">
      <w:rPr>
        <w:sz w:val="16"/>
        <w:szCs w:val="16"/>
      </w:rPr>
      <w:t>/</w:t>
    </w:r>
    <w:r>
      <w:rPr>
        <w:sz w:val="16"/>
        <w:szCs w:val="16"/>
      </w:rPr>
      <w:t>11</w:t>
    </w:r>
    <w:r w:rsidRPr="00E1587D">
      <w:rPr>
        <w:sz w:val="16"/>
        <w:szCs w:val="16"/>
      </w:rPr>
      <w:t xml:space="preserve"> sayılı kararı ile etik kurul kararı alınmıştır</w:t>
    </w:r>
  </w:p>
  <w:p w14:paraId="10EC2105" w14:textId="77777777" w:rsidR="00E57777" w:rsidRDefault="00E577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627A" w14:textId="77777777" w:rsidR="00AE440A" w:rsidRDefault="00AE440A" w:rsidP="0037110A">
      <w:r>
        <w:separator/>
      </w:r>
    </w:p>
  </w:footnote>
  <w:footnote w:type="continuationSeparator" w:id="0">
    <w:p w14:paraId="5DF8D8DE" w14:textId="77777777" w:rsidR="00AE440A" w:rsidRDefault="00AE440A" w:rsidP="00371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89C"/>
    <w:multiLevelType w:val="multilevel"/>
    <w:tmpl w:val="BEB47D1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30B42C15"/>
    <w:multiLevelType w:val="multilevel"/>
    <w:tmpl w:val="47EA2E2A"/>
    <w:lvl w:ilvl="0">
      <w:start w:val="1"/>
      <w:numFmt w:val="decimal"/>
      <w:lvlText w:val="%1."/>
      <w:lvlJc w:val="left"/>
      <w:pPr>
        <w:ind w:left="497" w:hanging="497"/>
      </w:pPr>
      <w:rPr>
        <w:rFonts w:hint="default"/>
      </w:rPr>
    </w:lvl>
    <w:lvl w:ilvl="1">
      <w:start w:val="1"/>
      <w:numFmt w:val="decimal"/>
      <w:lvlText w:val="%1.%2."/>
      <w:lvlJc w:val="left"/>
      <w:pPr>
        <w:ind w:left="497" w:hanging="497"/>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4425EE"/>
    <w:multiLevelType w:val="hybridMultilevel"/>
    <w:tmpl w:val="61161B70"/>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822FEA"/>
    <w:multiLevelType w:val="multilevel"/>
    <w:tmpl w:val="FFFFFFFF"/>
    <w:lvl w:ilvl="0">
      <w:start w:val="1"/>
      <w:numFmt w:val="decimal"/>
      <w:lvlText w:val="%1."/>
      <w:lvlJc w:val="left"/>
      <w:pPr>
        <w:ind w:left="497" w:hanging="497"/>
      </w:pPr>
      <w:rPr>
        <w:rFonts w:hint="default"/>
        <w:b/>
      </w:rPr>
    </w:lvl>
    <w:lvl w:ilvl="1">
      <w:start w:val="1"/>
      <w:numFmt w:val="decimal"/>
      <w:lvlText w:val="%1.%2."/>
      <w:lvlJc w:val="left"/>
      <w:pPr>
        <w:ind w:left="497" w:hanging="497"/>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00E18F8"/>
    <w:multiLevelType w:val="hybridMultilevel"/>
    <w:tmpl w:val="0396E59E"/>
    <w:lvl w:ilvl="0" w:tplc="B1B29044">
      <w:start w:val="1"/>
      <w:numFmt w:val="decimal"/>
      <w:lvlText w:val="%1."/>
      <w:lvlJc w:val="left"/>
      <w:pPr>
        <w:ind w:left="720" w:hanging="360"/>
      </w:pPr>
      <w:rPr>
        <w:rFonts w:ascii="Times New Roman" w:hAnsi="Times New Roman" w:cs="Times New Roman" w:hint="default"/>
        <w:b/>
        <w:color w:val="auto"/>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5240B6"/>
    <w:multiLevelType w:val="multilevel"/>
    <w:tmpl w:val="16F2B278"/>
    <w:lvl w:ilvl="0">
      <w:start w:val="4"/>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08C17BC"/>
    <w:multiLevelType w:val="hybridMultilevel"/>
    <w:tmpl w:val="F0E04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0908CB"/>
    <w:multiLevelType w:val="multilevel"/>
    <w:tmpl w:val="5978D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18810868">
    <w:abstractNumId w:val="5"/>
  </w:num>
  <w:num w:numId="2" w16cid:durableId="1458720419">
    <w:abstractNumId w:val="4"/>
  </w:num>
  <w:num w:numId="3" w16cid:durableId="1648510170">
    <w:abstractNumId w:val="0"/>
  </w:num>
  <w:num w:numId="4" w16cid:durableId="1534070844">
    <w:abstractNumId w:val="7"/>
  </w:num>
  <w:num w:numId="5" w16cid:durableId="2061123803">
    <w:abstractNumId w:val="1"/>
  </w:num>
  <w:num w:numId="6" w16cid:durableId="1105004923">
    <w:abstractNumId w:val="2"/>
  </w:num>
  <w:num w:numId="7" w16cid:durableId="601453541">
    <w:abstractNumId w:val="3"/>
  </w:num>
  <w:num w:numId="8" w16cid:durableId="152197354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510"/>
  <w:hyphenationZone w:val="425"/>
  <w:characterSpacingControl w:val="doNotCompress"/>
  <w:hdrShapeDefaults>
    <o:shapedefaults v:ext="edit" spidmax="2050"/>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95"/>
    <w:rsid w:val="000004F2"/>
    <w:rsid w:val="00003B5B"/>
    <w:rsid w:val="00005CE1"/>
    <w:rsid w:val="00006BB1"/>
    <w:rsid w:val="00007F2F"/>
    <w:rsid w:val="000120A1"/>
    <w:rsid w:val="00022256"/>
    <w:rsid w:val="0002459B"/>
    <w:rsid w:val="00025BD8"/>
    <w:rsid w:val="00026116"/>
    <w:rsid w:val="000304E4"/>
    <w:rsid w:val="00037F05"/>
    <w:rsid w:val="00053794"/>
    <w:rsid w:val="00055D47"/>
    <w:rsid w:val="00063026"/>
    <w:rsid w:val="0006767B"/>
    <w:rsid w:val="00097040"/>
    <w:rsid w:val="000970E9"/>
    <w:rsid w:val="000A5584"/>
    <w:rsid w:val="000B23F5"/>
    <w:rsid w:val="000B4CD4"/>
    <w:rsid w:val="000B7417"/>
    <w:rsid w:val="000D7588"/>
    <w:rsid w:val="000E0381"/>
    <w:rsid w:val="000E16B6"/>
    <w:rsid w:val="000E63AC"/>
    <w:rsid w:val="000E7466"/>
    <w:rsid w:val="000F3870"/>
    <w:rsid w:val="000F7436"/>
    <w:rsid w:val="00122BDB"/>
    <w:rsid w:val="001240B3"/>
    <w:rsid w:val="0012477E"/>
    <w:rsid w:val="0012541E"/>
    <w:rsid w:val="00127A88"/>
    <w:rsid w:val="001423CE"/>
    <w:rsid w:val="001426EC"/>
    <w:rsid w:val="00142B81"/>
    <w:rsid w:val="001450D7"/>
    <w:rsid w:val="00145951"/>
    <w:rsid w:val="00145998"/>
    <w:rsid w:val="00150D22"/>
    <w:rsid w:val="00152EF9"/>
    <w:rsid w:val="00163EA4"/>
    <w:rsid w:val="00164981"/>
    <w:rsid w:val="00165165"/>
    <w:rsid w:val="00170B2A"/>
    <w:rsid w:val="00171AA9"/>
    <w:rsid w:val="00174FFD"/>
    <w:rsid w:val="00177D07"/>
    <w:rsid w:val="001945EA"/>
    <w:rsid w:val="001946D3"/>
    <w:rsid w:val="00194DD0"/>
    <w:rsid w:val="001A070F"/>
    <w:rsid w:val="001A5262"/>
    <w:rsid w:val="001A7BB5"/>
    <w:rsid w:val="001B1099"/>
    <w:rsid w:val="001B5A21"/>
    <w:rsid w:val="001C67BC"/>
    <w:rsid w:val="001D0C86"/>
    <w:rsid w:val="001E1C7B"/>
    <w:rsid w:val="001E2510"/>
    <w:rsid w:val="001E6559"/>
    <w:rsid w:val="00210A9F"/>
    <w:rsid w:val="00223677"/>
    <w:rsid w:val="002314DB"/>
    <w:rsid w:val="00232C03"/>
    <w:rsid w:val="00235E5D"/>
    <w:rsid w:val="002377D1"/>
    <w:rsid w:val="00250266"/>
    <w:rsid w:val="00252B11"/>
    <w:rsid w:val="002677ED"/>
    <w:rsid w:val="0027017E"/>
    <w:rsid w:val="00270AEE"/>
    <w:rsid w:val="002733DB"/>
    <w:rsid w:val="002749FB"/>
    <w:rsid w:val="00275EC8"/>
    <w:rsid w:val="00287A54"/>
    <w:rsid w:val="002A0E3C"/>
    <w:rsid w:val="002A5A11"/>
    <w:rsid w:val="002A6ADC"/>
    <w:rsid w:val="002B0A5F"/>
    <w:rsid w:val="002B11F0"/>
    <w:rsid w:val="002B7702"/>
    <w:rsid w:val="002D7CB8"/>
    <w:rsid w:val="002E35FA"/>
    <w:rsid w:val="002F1CFF"/>
    <w:rsid w:val="002F1E89"/>
    <w:rsid w:val="002F5F58"/>
    <w:rsid w:val="0030374D"/>
    <w:rsid w:val="0030445F"/>
    <w:rsid w:val="00307F7A"/>
    <w:rsid w:val="00310765"/>
    <w:rsid w:val="00310C88"/>
    <w:rsid w:val="00323FDF"/>
    <w:rsid w:val="00324B38"/>
    <w:rsid w:val="00330D01"/>
    <w:rsid w:val="00331B69"/>
    <w:rsid w:val="003341B2"/>
    <w:rsid w:val="00334865"/>
    <w:rsid w:val="00336B21"/>
    <w:rsid w:val="00342208"/>
    <w:rsid w:val="0035268D"/>
    <w:rsid w:val="00361188"/>
    <w:rsid w:val="00364E4A"/>
    <w:rsid w:val="0037110A"/>
    <w:rsid w:val="00377AEE"/>
    <w:rsid w:val="00384122"/>
    <w:rsid w:val="00386CE6"/>
    <w:rsid w:val="003928C8"/>
    <w:rsid w:val="003948DE"/>
    <w:rsid w:val="003A3E7D"/>
    <w:rsid w:val="003B4C2F"/>
    <w:rsid w:val="003B7366"/>
    <w:rsid w:val="003C0F39"/>
    <w:rsid w:val="003C2C11"/>
    <w:rsid w:val="003C68B9"/>
    <w:rsid w:val="003D5328"/>
    <w:rsid w:val="003D65A1"/>
    <w:rsid w:val="003D71D1"/>
    <w:rsid w:val="003E4F9B"/>
    <w:rsid w:val="003E61DE"/>
    <w:rsid w:val="003F0C3B"/>
    <w:rsid w:val="003F3223"/>
    <w:rsid w:val="003F41A5"/>
    <w:rsid w:val="003F5D26"/>
    <w:rsid w:val="004004BE"/>
    <w:rsid w:val="0040597A"/>
    <w:rsid w:val="0042005F"/>
    <w:rsid w:val="00420B8F"/>
    <w:rsid w:val="00421DE0"/>
    <w:rsid w:val="004261C4"/>
    <w:rsid w:val="004353AC"/>
    <w:rsid w:val="00437D59"/>
    <w:rsid w:val="00440BD0"/>
    <w:rsid w:val="004452BB"/>
    <w:rsid w:val="00447BD8"/>
    <w:rsid w:val="00450171"/>
    <w:rsid w:val="00460F78"/>
    <w:rsid w:val="00470F59"/>
    <w:rsid w:val="00471C7C"/>
    <w:rsid w:val="00477146"/>
    <w:rsid w:val="004818F1"/>
    <w:rsid w:val="0048338B"/>
    <w:rsid w:val="00484CD4"/>
    <w:rsid w:val="00486951"/>
    <w:rsid w:val="004916C5"/>
    <w:rsid w:val="00492A99"/>
    <w:rsid w:val="004A0E58"/>
    <w:rsid w:val="004A23AF"/>
    <w:rsid w:val="004B7BA6"/>
    <w:rsid w:val="004E5CAD"/>
    <w:rsid w:val="004F0DF6"/>
    <w:rsid w:val="004F5DAA"/>
    <w:rsid w:val="004F775E"/>
    <w:rsid w:val="0050081E"/>
    <w:rsid w:val="00512F13"/>
    <w:rsid w:val="00516B57"/>
    <w:rsid w:val="0052188B"/>
    <w:rsid w:val="00523D8F"/>
    <w:rsid w:val="005259C4"/>
    <w:rsid w:val="00525FBA"/>
    <w:rsid w:val="00532C80"/>
    <w:rsid w:val="005349C8"/>
    <w:rsid w:val="005351A3"/>
    <w:rsid w:val="00541052"/>
    <w:rsid w:val="00541ED8"/>
    <w:rsid w:val="00543430"/>
    <w:rsid w:val="0054647C"/>
    <w:rsid w:val="005474EB"/>
    <w:rsid w:val="005535BD"/>
    <w:rsid w:val="00553B66"/>
    <w:rsid w:val="0056077C"/>
    <w:rsid w:val="0056525F"/>
    <w:rsid w:val="00565344"/>
    <w:rsid w:val="005751E1"/>
    <w:rsid w:val="0058039F"/>
    <w:rsid w:val="00585895"/>
    <w:rsid w:val="00586F91"/>
    <w:rsid w:val="00592217"/>
    <w:rsid w:val="005A4B58"/>
    <w:rsid w:val="005A62CB"/>
    <w:rsid w:val="005A7CF6"/>
    <w:rsid w:val="005B20C5"/>
    <w:rsid w:val="005B69AD"/>
    <w:rsid w:val="005C53D5"/>
    <w:rsid w:val="005D6381"/>
    <w:rsid w:val="005E1099"/>
    <w:rsid w:val="005F0E63"/>
    <w:rsid w:val="005F0FAF"/>
    <w:rsid w:val="005F1442"/>
    <w:rsid w:val="005F1EBD"/>
    <w:rsid w:val="005F473A"/>
    <w:rsid w:val="00603513"/>
    <w:rsid w:val="00605488"/>
    <w:rsid w:val="006108C2"/>
    <w:rsid w:val="00610F92"/>
    <w:rsid w:val="00611E06"/>
    <w:rsid w:val="00620CD0"/>
    <w:rsid w:val="00623BF6"/>
    <w:rsid w:val="00627130"/>
    <w:rsid w:val="006340D6"/>
    <w:rsid w:val="006413AC"/>
    <w:rsid w:val="00645B92"/>
    <w:rsid w:val="006502FF"/>
    <w:rsid w:val="006524A3"/>
    <w:rsid w:val="006563FE"/>
    <w:rsid w:val="0065693F"/>
    <w:rsid w:val="00657FB7"/>
    <w:rsid w:val="0066096D"/>
    <w:rsid w:val="00661DEE"/>
    <w:rsid w:val="00667F45"/>
    <w:rsid w:val="00681B9E"/>
    <w:rsid w:val="00684E5D"/>
    <w:rsid w:val="0069128F"/>
    <w:rsid w:val="00691747"/>
    <w:rsid w:val="006A5471"/>
    <w:rsid w:val="006B2B11"/>
    <w:rsid w:val="006B55D9"/>
    <w:rsid w:val="006C0D43"/>
    <w:rsid w:val="006C6277"/>
    <w:rsid w:val="006D2845"/>
    <w:rsid w:val="006E649D"/>
    <w:rsid w:val="006F0CA2"/>
    <w:rsid w:val="007002D1"/>
    <w:rsid w:val="00700CCE"/>
    <w:rsid w:val="00701AC5"/>
    <w:rsid w:val="0070258A"/>
    <w:rsid w:val="007045AA"/>
    <w:rsid w:val="00707C35"/>
    <w:rsid w:val="007103C0"/>
    <w:rsid w:val="00711E06"/>
    <w:rsid w:val="007223CB"/>
    <w:rsid w:val="00726819"/>
    <w:rsid w:val="007372EC"/>
    <w:rsid w:val="00737B50"/>
    <w:rsid w:val="0074048A"/>
    <w:rsid w:val="00745CBE"/>
    <w:rsid w:val="00754C40"/>
    <w:rsid w:val="007606D6"/>
    <w:rsid w:val="007621ED"/>
    <w:rsid w:val="00771CCF"/>
    <w:rsid w:val="00772FAE"/>
    <w:rsid w:val="00774DA5"/>
    <w:rsid w:val="0077700C"/>
    <w:rsid w:val="00781979"/>
    <w:rsid w:val="0078278A"/>
    <w:rsid w:val="0078281D"/>
    <w:rsid w:val="00783557"/>
    <w:rsid w:val="007844FD"/>
    <w:rsid w:val="00785E09"/>
    <w:rsid w:val="00786F0B"/>
    <w:rsid w:val="007901CD"/>
    <w:rsid w:val="007A7D7E"/>
    <w:rsid w:val="007B026D"/>
    <w:rsid w:val="007B4FE5"/>
    <w:rsid w:val="007B5B8B"/>
    <w:rsid w:val="007B634A"/>
    <w:rsid w:val="007C050E"/>
    <w:rsid w:val="007C5812"/>
    <w:rsid w:val="007D4887"/>
    <w:rsid w:val="007D647F"/>
    <w:rsid w:val="007E0E10"/>
    <w:rsid w:val="007E570F"/>
    <w:rsid w:val="007E5B44"/>
    <w:rsid w:val="007E6916"/>
    <w:rsid w:val="007F413C"/>
    <w:rsid w:val="007F64E5"/>
    <w:rsid w:val="007F7EAB"/>
    <w:rsid w:val="00801279"/>
    <w:rsid w:val="00803482"/>
    <w:rsid w:val="00807553"/>
    <w:rsid w:val="00813D78"/>
    <w:rsid w:val="00821A0B"/>
    <w:rsid w:val="00822EE0"/>
    <w:rsid w:val="00824A9F"/>
    <w:rsid w:val="00830A18"/>
    <w:rsid w:val="00831AB1"/>
    <w:rsid w:val="00831B79"/>
    <w:rsid w:val="00834498"/>
    <w:rsid w:val="00837D58"/>
    <w:rsid w:val="00845236"/>
    <w:rsid w:val="008462E4"/>
    <w:rsid w:val="00855FBC"/>
    <w:rsid w:val="00857606"/>
    <w:rsid w:val="00864FE2"/>
    <w:rsid w:val="00867270"/>
    <w:rsid w:val="008707EB"/>
    <w:rsid w:val="00871E2A"/>
    <w:rsid w:val="00872910"/>
    <w:rsid w:val="00874F50"/>
    <w:rsid w:val="00876147"/>
    <w:rsid w:val="00882144"/>
    <w:rsid w:val="008831A3"/>
    <w:rsid w:val="008858BF"/>
    <w:rsid w:val="00885C71"/>
    <w:rsid w:val="00887322"/>
    <w:rsid w:val="00891675"/>
    <w:rsid w:val="00891894"/>
    <w:rsid w:val="008924A6"/>
    <w:rsid w:val="00894D53"/>
    <w:rsid w:val="00896C9A"/>
    <w:rsid w:val="008A0B19"/>
    <w:rsid w:val="008A21F1"/>
    <w:rsid w:val="008A611A"/>
    <w:rsid w:val="008E0006"/>
    <w:rsid w:val="008E743C"/>
    <w:rsid w:val="008F049D"/>
    <w:rsid w:val="00911E72"/>
    <w:rsid w:val="00912787"/>
    <w:rsid w:val="009208BC"/>
    <w:rsid w:val="00930824"/>
    <w:rsid w:val="00934D44"/>
    <w:rsid w:val="00937C7C"/>
    <w:rsid w:val="00942AFE"/>
    <w:rsid w:val="00955679"/>
    <w:rsid w:val="009571BB"/>
    <w:rsid w:val="009620EF"/>
    <w:rsid w:val="00962DEA"/>
    <w:rsid w:val="0097398F"/>
    <w:rsid w:val="009804DA"/>
    <w:rsid w:val="00982832"/>
    <w:rsid w:val="009843A7"/>
    <w:rsid w:val="0099157A"/>
    <w:rsid w:val="009939A5"/>
    <w:rsid w:val="009963CE"/>
    <w:rsid w:val="009A1C6C"/>
    <w:rsid w:val="009A2AE7"/>
    <w:rsid w:val="009C00DA"/>
    <w:rsid w:val="009C0AFB"/>
    <w:rsid w:val="009C3CAF"/>
    <w:rsid w:val="009D2A6B"/>
    <w:rsid w:val="009D4CF4"/>
    <w:rsid w:val="009D6EE6"/>
    <w:rsid w:val="009E23ED"/>
    <w:rsid w:val="009E5B5B"/>
    <w:rsid w:val="009E5D4D"/>
    <w:rsid w:val="009F1376"/>
    <w:rsid w:val="009F2B8D"/>
    <w:rsid w:val="009F32F7"/>
    <w:rsid w:val="00A037CC"/>
    <w:rsid w:val="00A10145"/>
    <w:rsid w:val="00A137E1"/>
    <w:rsid w:val="00A138CB"/>
    <w:rsid w:val="00A16ED7"/>
    <w:rsid w:val="00A25A6B"/>
    <w:rsid w:val="00A34DF1"/>
    <w:rsid w:val="00A40571"/>
    <w:rsid w:val="00A43DE8"/>
    <w:rsid w:val="00A52931"/>
    <w:rsid w:val="00A54D5D"/>
    <w:rsid w:val="00A6516B"/>
    <w:rsid w:val="00A66940"/>
    <w:rsid w:val="00A71A00"/>
    <w:rsid w:val="00A73DD1"/>
    <w:rsid w:val="00A80D82"/>
    <w:rsid w:val="00A8519C"/>
    <w:rsid w:val="00AA0AB6"/>
    <w:rsid w:val="00AA201F"/>
    <w:rsid w:val="00AB04EA"/>
    <w:rsid w:val="00AC1229"/>
    <w:rsid w:val="00AC15D8"/>
    <w:rsid w:val="00AC2F27"/>
    <w:rsid w:val="00AC444D"/>
    <w:rsid w:val="00AC556B"/>
    <w:rsid w:val="00AD1D57"/>
    <w:rsid w:val="00AE440A"/>
    <w:rsid w:val="00AE5281"/>
    <w:rsid w:val="00AE7E7D"/>
    <w:rsid w:val="00AF065F"/>
    <w:rsid w:val="00AF645C"/>
    <w:rsid w:val="00B0230C"/>
    <w:rsid w:val="00B06802"/>
    <w:rsid w:val="00B11DEF"/>
    <w:rsid w:val="00B12A12"/>
    <w:rsid w:val="00B12BBD"/>
    <w:rsid w:val="00B2374E"/>
    <w:rsid w:val="00B240DF"/>
    <w:rsid w:val="00B24547"/>
    <w:rsid w:val="00B24DA5"/>
    <w:rsid w:val="00B34497"/>
    <w:rsid w:val="00B34F29"/>
    <w:rsid w:val="00B441D8"/>
    <w:rsid w:val="00B45E97"/>
    <w:rsid w:val="00B47818"/>
    <w:rsid w:val="00B52292"/>
    <w:rsid w:val="00B5322B"/>
    <w:rsid w:val="00B57779"/>
    <w:rsid w:val="00B65F6C"/>
    <w:rsid w:val="00B66AEF"/>
    <w:rsid w:val="00B67D5F"/>
    <w:rsid w:val="00B7012D"/>
    <w:rsid w:val="00B7220C"/>
    <w:rsid w:val="00B74180"/>
    <w:rsid w:val="00B9051D"/>
    <w:rsid w:val="00B91C8D"/>
    <w:rsid w:val="00B92A72"/>
    <w:rsid w:val="00B943B6"/>
    <w:rsid w:val="00BA3C7F"/>
    <w:rsid w:val="00BB079A"/>
    <w:rsid w:val="00BB0F62"/>
    <w:rsid w:val="00BB2A36"/>
    <w:rsid w:val="00BB69F9"/>
    <w:rsid w:val="00BC55F3"/>
    <w:rsid w:val="00BD0D8E"/>
    <w:rsid w:val="00BE1D87"/>
    <w:rsid w:val="00BF0D26"/>
    <w:rsid w:val="00BF7D06"/>
    <w:rsid w:val="00C00D13"/>
    <w:rsid w:val="00C01922"/>
    <w:rsid w:val="00C01995"/>
    <w:rsid w:val="00C02E05"/>
    <w:rsid w:val="00C16230"/>
    <w:rsid w:val="00C20413"/>
    <w:rsid w:val="00C23F56"/>
    <w:rsid w:val="00C56350"/>
    <w:rsid w:val="00C60BED"/>
    <w:rsid w:val="00C60FBC"/>
    <w:rsid w:val="00C63299"/>
    <w:rsid w:val="00C67536"/>
    <w:rsid w:val="00C728A6"/>
    <w:rsid w:val="00C8154D"/>
    <w:rsid w:val="00C822FA"/>
    <w:rsid w:val="00C9172D"/>
    <w:rsid w:val="00C94533"/>
    <w:rsid w:val="00C959F0"/>
    <w:rsid w:val="00CA3DEF"/>
    <w:rsid w:val="00CA64A1"/>
    <w:rsid w:val="00CB0B11"/>
    <w:rsid w:val="00CB104E"/>
    <w:rsid w:val="00CB6DB5"/>
    <w:rsid w:val="00CD1F98"/>
    <w:rsid w:val="00CD5D51"/>
    <w:rsid w:val="00CE3EB4"/>
    <w:rsid w:val="00CE6259"/>
    <w:rsid w:val="00CE6790"/>
    <w:rsid w:val="00CF0785"/>
    <w:rsid w:val="00CF2876"/>
    <w:rsid w:val="00CF4325"/>
    <w:rsid w:val="00CF7EF0"/>
    <w:rsid w:val="00D00B6B"/>
    <w:rsid w:val="00D015C6"/>
    <w:rsid w:val="00D016F8"/>
    <w:rsid w:val="00D023DF"/>
    <w:rsid w:val="00D038DA"/>
    <w:rsid w:val="00D12443"/>
    <w:rsid w:val="00D20478"/>
    <w:rsid w:val="00D21BBA"/>
    <w:rsid w:val="00D32DCF"/>
    <w:rsid w:val="00D346E9"/>
    <w:rsid w:val="00D41009"/>
    <w:rsid w:val="00D4496A"/>
    <w:rsid w:val="00D54C8D"/>
    <w:rsid w:val="00D55041"/>
    <w:rsid w:val="00D606D6"/>
    <w:rsid w:val="00D611FA"/>
    <w:rsid w:val="00D70606"/>
    <w:rsid w:val="00D71BBC"/>
    <w:rsid w:val="00D925D4"/>
    <w:rsid w:val="00D93918"/>
    <w:rsid w:val="00DA3B0D"/>
    <w:rsid w:val="00DA662C"/>
    <w:rsid w:val="00DB50A6"/>
    <w:rsid w:val="00DB63B4"/>
    <w:rsid w:val="00DC1356"/>
    <w:rsid w:val="00DC16D1"/>
    <w:rsid w:val="00DC3636"/>
    <w:rsid w:val="00DC52EB"/>
    <w:rsid w:val="00DC533A"/>
    <w:rsid w:val="00DD32DD"/>
    <w:rsid w:val="00DD3BE3"/>
    <w:rsid w:val="00DE1DB3"/>
    <w:rsid w:val="00DF5664"/>
    <w:rsid w:val="00DF582A"/>
    <w:rsid w:val="00E11856"/>
    <w:rsid w:val="00E14CBC"/>
    <w:rsid w:val="00E1587D"/>
    <w:rsid w:val="00E169EB"/>
    <w:rsid w:val="00E16C7F"/>
    <w:rsid w:val="00E17385"/>
    <w:rsid w:val="00E20E71"/>
    <w:rsid w:val="00E235AE"/>
    <w:rsid w:val="00E315B9"/>
    <w:rsid w:val="00E326DC"/>
    <w:rsid w:val="00E41E4D"/>
    <w:rsid w:val="00E42A05"/>
    <w:rsid w:val="00E50E96"/>
    <w:rsid w:val="00E5759A"/>
    <w:rsid w:val="00E57777"/>
    <w:rsid w:val="00E61C87"/>
    <w:rsid w:val="00E71A9B"/>
    <w:rsid w:val="00E76921"/>
    <w:rsid w:val="00E77ABE"/>
    <w:rsid w:val="00E81546"/>
    <w:rsid w:val="00E867B1"/>
    <w:rsid w:val="00E92033"/>
    <w:rsid w:val="00EA1137"/>
    <w:rsid w:val="00EA3864"/>
    <w:rsid w:val="00EA3C0B"/>
    <w:rsid w:val="00EA412B"/>
    <w:rsid w:val="00EA7A40"/>
    <w:rsid w:val="00EA7EB1"/>
    <w:rsid w:val="00EB202C"/>
    <w:rsid w:val="00EC358F"/>
    <w:rsid w:val="00EC5937"/>
    <w:rsid w:val="00ED01AD"/>
    <w:rsid w:val="00ED4ED2"/>
    <w:rsid w:val="00EF6D5D"/>
    <w:rsid w:val="00EF789F"/>
    <w:rsid w:val="00F00F18"/>
    <w:rsid w:val="00F103F8"/>
    <w:rsid w:val="00F12D9A"/>
    <w:rsid w:val="00F14ACC"/>
    <w:rsid w:val="00F15231"/>
    <w:rsid w:val="00F226DE"/>
    <w:rsid w:val="00F2603C"/>
    <w:rsid w:val="00F26120"/>
    <w:rsid w:val="00F3460B"/>
    <w:rsid w:val="00F409AA"/>
    <w:rsid w:val="00F47ED0"/>
    <w:rsid w:val="00F51D52"/>
    <w:rsid w:val="00F55A92"/>
    <w:rsid w:val="00F63DCB"/>
    <w:rsid w:val="00F712F1"/>
    <w:rsid w:val="00F81A54"/>
    <w:rsid w:val="00F83024"/>
    <w:rsid w:val="00F848A6"/>
    <w:rsid w:val="00F864DB"/>
    <w:rsid w:val="00F90CB3"/>
    <w:rsid w:val="00FA0513"/>
    <w:rsid w:val="00FA1334"/>
    <w:rsid w:val="00FA2A5F"/>
    <w:rsid w:val="00FA3F59"/>
    <w:rsid w:val="00FA5098"/>
    <w:rsid w:val="00FB022B"/>
    <w:rsid w:val="00FB195B"/>
    <w:rsid w:val="00FB37DE"/>
    <w:rsid w:val="00FB5BA6"/>
    <w:rsid w:val="00FB68D3"/>
    <w:rsid w:val="00FC02E2"/>
    <w:rsid w:val="00FC241A"/>
    <w:rsid w:val="00FC2B5D"/>
    <w:rsid w:val="00FC38B5"/>
    <w:rsid w:val="00FC505F"/>
    <w:rsid w:val="00FC6453"/>
    <w:rsid w:val="00FD071B"/>
    <w:rsid w:val="00FD329C"/>
    <w:rsid w:val="00FD3763"/>
    <w:rsid w:val="00FD45E8"/>
    <w:rsid w:val="00FD46A2"/>
    <w:rsid w:val="00FD5C5D"/>
    <w:rsid w:val="00FE2E78"/>
    <w:rsid w:val="00FE7361"/>
    <w:rsid w:val="00FE76EC"/>
    <w:rsid w:val="00FF02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F7DA2"/>
  <w15:docId w15:val="{12F8907F-2280-4765-A319-AFA81DC4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5895"/>
    <w:pPr>
      <w:widowControl w:val="0"/>
      <w:autoSpaceDE w:val="0"/>
      <w:autoSpaceDN w:val="0"/>
      <w:spacing w:after="0" w:line="240" w:lineRule="auto"/>
    </w:pPr>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DC16D1"/>
    <w:pPr>
      <w:keepNext/>
      <w:keepLines/>
      <w:widowControl/>
      <w:autoSpaceDE/>
      <w:autoSpaceDN/>
      <w:spacing w:before="240" w:line="259" w:lineRule="auto"/>
      <w:outlineLvl w:val="0"/>
    </w:pPr>
    <w:rPr>
      <w:rFonts w:asciiTheme="majorHAnsi" w:eastAsiaTheme="majorEastAsia" w:hAnsiTheme="majorHAnsi" w:cstheme="majorBidi"/>
      <w:color w:val="2F5496" w:themeColor="accent1" w:themeShade="BF"/>
      <w:sz w:val="32"/>
      <w:szCs w:val="32"/>
      <w:lang w:eastAsia="en-US" w:bidi="ar-SA"/>
    </w:rPr>
  </w:style>
  <w:style w:type="paragraph" w:styleId="Balk2">
    <w:name w:val="heading 2"/>
    <w:basedOn w:val="Normal"/>
    <w:link w:val="Balk2Char"/>
    <w:uiPriority w:val="9"/>
    <w:qFormat/>
    <w:rsid w:val="00007F2F"/>
    <w:pPr>
      <w:widowControl/>
      <w:autoSpaceDE/>
      <w:autoSpaceDN/>
      <w:spacing w:before="100" w:beforeAutospacing="1" w:after="100" w:afterAutospacing="1"/>
      <w:outlineLvl w:val="1"/>
    </w:pPr>
    <w:rPr>
      <w:b/>
      <w:bCs/>
      <w:sz w:val="36"/>
      <w:szCs w:val="36"/>
      <w:lang w:bidi="ar-SA"/>
    </w:rPr>
  </w:style>
  <w:style w:type="paragraph" w:styleId="Balk3">
    <w:name w:val="heading 3"/>
    <w:basedOn w:val="Normal"/>
    <w:next w:val="Normal"/>
    <w:link w:val="Balk3Char"/>
    <w:uiPriority w:val="9"/>
    <w:unhideWhenUsed/>
    <w:qFormat/>
    <w:rsid w:val="005E109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C8154D"/>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7621ED"/>
    <w:pPr>
      <w:keepNext/>
      <w:keepLines/>
      <w:spacing w:before="4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24547"/>
    <w:pPr>
      <w:spacing w:line="271" w:lineRule="auto"/>
      <w:jc w:val="both"/>
    </w:pPr>
    <w:rPr>
      <w:w w:val="110"/>
      <w:sz w:val="18"/>
      <w:szCs w:val="18"/>
    </w:rPr>
  </w:style>
  <w:style w:type="character" w:customStyle="1" w:styleId="GvdeMetniChar">
    <w:name w:val="Gövde Metni Char"/>
    <w:basedOn w:val="VarsaylanParagrafYazTipi"/>
    <w:link w:val="GvdeMetni"/>
    <w:uiPriority w:val="1"/>
    <w:rsid w:val="00B24547"/>
    <w:rPr>
      <w:rFonts w:ascii="Times New Roman" w:eastAsia="Times New Roman" w:hAnsi="Times New Roman" w:cs="Times New Roman"/>
      <w:w w:val="110"/>
      <w:sz w:val="18"/>
      <w:szCs w:val="18"/>
      <w:lang w:val="tr-TR" w:eastAsia="tr-TR" w:bidi="tr-TR"/>
    </w:rPr>
  </w:style>
  <w:style w:type="table" w:styleId="TabloKlavuzu">
    <w:name w:val="Table Grid"/>
    <w:basedOn w:val="NormalTablo"/>
    <w:uiPriority w:val="59"/>
    <w:rsid w:val="00DE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24547"/>
    <w:pPr>
      <w:ind w:left="791" w:hanging="480"/>
      <w:jc w:val="both"/>
    </w:pPr>
    <w:rPr>
      <w:color w:val="000000" w:themeColor="text1"/>
      <w:sz w:val="18"/>
    </w:rPr>
  </w:style>
  <w:style w:type="character" w:styleId="Kpr">
    <w:name w:val="Hyperlink"/>
    <w:basedOn w:val="VarsaylanParagrafYazTipi"/>
    <w:uiPriority w:val="99"/>
    <w:unhideWhenUsed/>
    <w:rsid w:val="00037F05"/>
    <w:rPr>
      <w:color w:val="0563C1" w:themeColor="hyperlink"/>
      <w:u w:val="single"/>
    </w:rPr>
  </w:style>
  <w:style w:type="paragraph" w:customStyle="1" w:styleId="subsection">
    <w:name w:val="subsection"/>
    <w:basedOn w:val="Normal"/>
    <w:rsid w:val="00A10145"/>
    <w:pPr>
      <w:numPr>
        <w:ilvl w:val="1"/>
        <w:numId w:val="1"/>
      </w:numPr>
    </w:pPr>
  </w:style>
  <w:style w:type="paragraph" w:customStyle="1" w:styleId="subsubsection">
    <w:name w:val="subsubsection"/>
    <w:basedOn w:val="Normal"/>
    <w:rsid w:val="00A10145"/>
    <w:pPr>
      <w:numPr>
        <w:ilvl w:val="2"/>
        <w:numId w:val="1"/>
      </w:numPr>
    </w:pPr>
  </w:style>
  <w:style w:type="paragraph" w:customStyle="1" w:styleId="FigureCaption">
    <w:name w:val="FigureCaption"/>
    <w:rsid w:val="002B7702"/>
    <w:pPr>
      <w:spacing w:before="170" w:after="0" w:line="240" w:lineRule="auto"/>
      <w:ind w:left="28"/>
      <w:jc w:val="center"/>
    </w:pPr>
    <w:rPr>
      <w:rFonts w:ascii="Times" w:eastAsia="Times New Roman" w:hAnsi="Times" w:cs="Times New Roman"/>
      <w:color w:val="000000"/>
      <w:lang w:val="en-GB"/>
    </w:rPr>
  </w:style>
  <w:style w:type="paragraph" w:customStyle="1" w:styleId="BodyChar">
    <w:name w:val="Body Char"/>
    <w:link w:val="BodyCharChar"/>
    <w:rsid w:val="002B7702"/>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2B7702"/>
    <w:rPr>
      <w:rFonts w:ascii="Times" w:eastAsia="Times New Roman" w:hAnsi="Times" w:cs="Times New Roman"/>
      <w:color w:val="000000"/>
      <w:lang w:val="en-GB"/>
    </w:rPr>
  </w:style>
  <w:style w:type="paragraph" w:styleId="BalonMetni">
    <w:name w:val="Balloon Text"/>
    <w:basedOn w:val="Normal"/>
    <w:link w:val="BalonMetniChar"/>
    <w:uiPriority w:val="99"/>
    <w:semiHidden/>
    <w:unhideWhenUsed/>
    <w:rsid w:val="002B7702"/>
    <w:rPr>
      <w:rFonts w:ascii="Tahoma" w:hAnsi="Tahoma" w:cs="Tahoma"/>
      <w:sz w:val="16"/>
      <w:szCs w:val="16"/>
    </w:rPr>
  </w:style>
  <w:style w:type="character" w:customStyle="1" w:styleId="BalonMetniChar">
    <w:name w:val="Balon Metni Char"/>
    <w:basedOn w:val="VarsaylanParagrafYazTipi"/>
    <w:link w:val="BalonMetni"/>
    <w:uiPriority w:val="99"/>
    <w:semiHidden/>
    <w:rsid w:val="002B7702"/>
    <w:rPr>
      <w:rFonts w:ascii="Tahoma" w:eastAsia="Times New Roman" w:hAnsi="Tahoma" w:cs="Tahoma"/>
      <w:sz w:val="16"/>
      <w:szCs w:val="16"/>
      <w:lang w:val="tr-TR" w:eastAsia="tr-TR" w:bidi="tr-TR"/>
    </w:rPr>
  </w:style>
  <w:style w:type="paragraph" w:styleId="DipnotMetni">
    <w:name w:val="footnote text"/>
    <w:basedOn w:val="Normal"/>
    <w:link w:val="DipnotMetniChar"/>
    <w:uiPriority w:val="99"/>
    <w:semiHidden/>
    <w:unhideWhenUsed/>
    <w:rsid w:val="0037110A"/>
    <w:rPr>
      <w:sz w:val="20"/>
      <w:szCs w:val="20"/>
    </w:rPr>
  </w:style>
  <w:style w:type="character" w:customStyle="1" w:styleId="DipnotMetniChar">
    <w:name w:val="Dipnot Metni Char"/>
    <w:basedOn w:val="VarsaylanParagrafYazTipi"/>
    <w:link w:val="DipnotMetni"/>
    <w:uiPriority w:val="99"/>
    <w:semiHidden/>
    <w:rsid w:val="0037110A"/>
    <w:rPr>
      <w:rFonts w:ascii="Times New Roman" w:eastAsia="Times New Roman" w:hAnsi="Times New Roman" w:cs="Times New Roman"/>
      <w:sz w:val="20"/>
      <w:szCs w:val="20"/>
      <w:lang w:val="tr-TR" w:eastAsia="tr-TR" w:bidi="tr-TR"/>
    </w:rPr>
  </w:style>
  <w:style w:type="character" w:styleId="DipnotBavurusu">
    <w:name w:val="footnote reference"/>
    <w:basedOn w:val="VarsaylanParagrafYazTipi"/>
    <w:uiPriority w:val="99"/>
    <w:semiHidden/>
    <w:unhideWhenUsed/>
    <w:rsid w:val="0037110A"/>
    <w:rPr>
      <w:vertAlign w:val="superscript"/>
    </w:rPr>
  </w:style>
  <w:style w:type="character" w:customStyle="1" w:styleId="Balk2Char">
    <w:name w:val="Başlık 2 Char"/>
    <w:basedOn w:val="VarsaylanParagrafYazTipi"/>
    <w:link w:val="Balk2"/>
    <w:uiPriority w:val="9"/>
    <w:rsid w:val="00007F2F"/>
    <w:rPr>
      <w:rFonts w:ascii="Times New Roman" w:eastAsia="Times New Roman" w:hAnsi="Times New Roman" w:cs="Times New Roman"/>
      <w:b/>
      <w:bCs/>
      <w:sz w:val="36"/>
      <w:szCs w:val="36"/>
      <w:lang w:val="tr-TR" w:eastAsia="tr-TR"/>
    </w:rPr>
  </w:style>
  <w:style w:type="paragraph" w:styleId="stBilgi">
    <w:name w:val="header"/>
    <w:basedOn w:val="Normal"/>
    <w:link w:val="stBilgiChar"/>
    <w:uiPriority w:val="99"/>
    <w:unhideWhenUsed/>
    <w:rsid w:val="00FC241A"/>
    <w:pPr>
      <w:tabs>
        <w:tab w:val="center" w:pos="4536"/>
        <w:tab w:val="right" w:pos="9072"/>
      </w:tabs>
    </w:pPr>
  </w:style>
  <w:style w:type="character" w:customStyle="1" w:styleId="stBilgiChar">
    <w:name w:val="Üst Bilgi Char"/>
    <w:basedOn w:val="VarsaylanParagrafYazTipi"/>
    <w:link w:val="stBilgi"/>
    <w:uiPriority w:val="99"/>
    <w:rsid w:val="00FC241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FC241A"/>
    <w:pPr>
      <w:tabs>
        <w:tab w:val="center" w:pos="4536"/>
        <w:tab w:val="right" w:pos="9072"/>
      </w:tabs>
    </w:pPr>
  </w:style>
  <w:style w:type="character" w:customStyle="1" w:styleId="AltBilgiChar">
    <w:name w:val="Alt Bilgi Char"/>
    <w:basedOn w:val="VarsaylanParagrafYazTipi"/>
    <w:link w:val="AltBilgi"/>
    <w:uiPriority w:val="99"/>
    <w:rsid w:val="00FC241A"/>
    <w:rPr>
      <w:rFonts w:ascii="Times New Roman" w:eastAsia="Times New Roman" w:hAnsi="Times New Roman" w:cs="Times New Roman"/>
      <w:lang w:val="tr-TR" w:eastAsia="tr-TR" w:bidi="tr-TR"/>
    </w:rPr>
  </w:style>
  <w:style w:type="character" w:customStyle="1" w:styleId="Balk4Char">
    <w:name w:val="Başlık 4 Char"/>
    <w:basedOn w:val="VarsaylanParagrafYazTipi"/>
    <w:link w:val="Balk4"/>
    <w:uiPriority w:val="9"/>
    <w:rsid w:val="00C8154D"/>
    <w:rPr>
      <w:rFonts w:asciiTheme="majorHAnsi" w:eastAsiaTheme="majorEastAsia" w:hAnsiTheme="majorHAnsi" w:cstheme="majorBidi"/>
      <w:i/>
      <w:iCs/>
      <w:color w:val="2F5496" w:themeColor="accent1" w:themeShade="BF"/>
      <w:lang w:val="tr-TR" w:eastAsia="tr-TR" w:bidi="tr-TR"/>
    </w:rPr>
  </w:style>
  <w:style w:type="character" w:customStyle="1" w:styleId="Balk3Char">
    <w:name w:val="Başlık 3 Char"/>
    <w:basedOn w:val="VarsaylanParagrafYazTipi"/>
    <w:link w:val="Balk3"/>
    <w:uiPriority w:val="9"/>
    <w:rsid w:val="005E1099"/>
    <w:rPr>
      <w:rFonts w:asciiTheme="majorHAnsi" w:eastAsiaTheme="majorEastAsia" w:hAnsiTheme="majorHAnsi" w:cstheme="majorBidi"/>
      <w:color w:val="1F3763" w:themeColor="accent1" w:themeShade="7F"/>
      <w:sz w:val="24"/>
      <w:szCs w:val="24"/>
      <w:lang w:val="tr-TR" w:eastAsia="tr-TR" w:bidi="tr-TR"/>
    </w:rPr>
  </w:style>
  <w:style w:type="paragraph" w:customStyle="1" w:styleId="TezMetni15aralkl">
    <w:name w:val="Tez Metni_1.5 aralıklı"/>
    <w:basedOn w:val="Normal"/>
    <w:link w:val="TezMetni15aralklChar"/>
    <w:rsid w:val="005E1099"/>
    <w:pPr>
      <w:widowControl/>
      <w:autoSpaceDE/>
      <w:autoSpaceDN/>
      <w:spacing w:before="120" w:after="120" w:line="360" w:lineRule="auto"/>
      <w:ind w:firstLine="720"/>
      <w:jc w:val="both"/>
    </w:pPr>
    <w:rPr>
      <w:noProof/>
      <w:sz w:val="24"/>
      <w:szCs w:val="24"/>
      <w:lang w:eastAsia="en-US" w:bidi="ar-SA"/>
    </w:rPr>
  </w:style>
  <w:style w:type="paragraph" w:styleId="ResimYazs">
    <w:name w:val="caption"/>
    <w:basedOn w:val="Normal"/>
    <w:next w:val="TezMetni15aralkl"/>
    <w:uiPriority w:val="35"/>
    <w:qFormat/>
    <w:rsid w:val="005E1099"/>
    <w:pPr>
      <w:widowControl/>
      <w:autoSpaceDE/>
      <w:autoSpaceDN/>
      <w:spacing w:before="180" w:after="180"/>
      <w:ind w:left="851" w:hanging="851"/>
    </w:pPr>
    <w:rPr>
      <w:b/>
      <w:bCs/>
      <w:szCs w:val="20"/>
      <w:lang w:eastAsia="en-US" w:bidi="ar-SA"/>
    </w:rPr>
  </w:style>
  <w:style w:type="character" w:customStyle="1" w:styleId="TezMetni15aralklChar">
    <w:name w:val="Tez Metni_1.5 aralıklı Char"/>
    <w:link w:val="TezMetni15aralkl"/>
    <w:locked/>
    <w:rsid w:val="005E1099"/>
    <w:rPr>
      <w:rFonts w:ascii="Times New Roman" w:eastAsia="Times New Roman" w:hAnsi="Times New Roman" w:cs="Times New Roman"/>
      <w:noProof/>
      <w:sz w:val="24"/>
      <w:szCs w:val="24"/>
      <w:lang w:val="tr-TR"/>
    </w:rPr>
  </w:style>
  <w:style w:type="paragraph" w:styleId="NormalWeb">
    <w:name w:val="Normal (Web)"/>
    <w:basedOn w:val="Normal"/>
    <w:uiPriority w:val="99"/>
    <w:unhideWhenUsed/>
    <w:rsid w:val="00307F7A"/>
    <w:pPr>
      <w:widowControl/>
      <w:autoSpaceDE/>
      <w:autoSpaceDN/>
      <w:spacing w:before="100" w:beforeAutospacing="1" w:after="100" w:afterAutospacing="1"/>
    </w:pPr>
    <w:rPr>
      <w:sz w:val="24"/>
      <w:szCs w:val="24"/>
      <w:lang w:bidi="ar-SA"/>
    </w:rPr>
  </w:style>
  <w:style w:type="table" w:styleId="DzTablo2">
    <w:name w:val="Plain Table 2"/>
    <w:basedOn w:val="NormalTablo"/>
    <w:uiPriority w:val="42"/>
    <w:rsid w:val="00A34DF1"/>
    <w:pPr>
      <w:spacing w:after="0" w:line="240" w:lineRule="auto"/>
    </w:pPr>
    <w:rPr>
      <w:sz w:val="24"/>
      <w:szCs w:val="24"/>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etin">
    <w:name w:val="metin"/>
    <w:basedOn w:val="Normal"/>
    <w:link w:val="metinChar"/>
    <w:qFormat/>
    <w:rsid w:val="009843A7"/>
    <w:pPr>
      <w:adjustRightInd w:val="0"/>
      <w:spacing w:line="360" w:lineRule="auto"/>
      <w:jc w:val="both"/>
    </w:pPr>
    <w:rPr>
      <w:sz w:val="24"/>
      <w:szCs w:val="24"/>
      <w:lang w:bidi="ar-SA"/>
    </w:rPr>
  </w:style>
  <w:style w:type="character" w:customStyle="1" w:styleId="metinChar">
    <w:name w:val="metin Char"/>
    <w:basedOn w:val="VarsaylanParagrafYazTipi"/>
    <w:link w:val="metin"/>
    <w:rsid w:val="009843A7"/>
    <w:rPr>
      <w:rFonts w:ascii="Times New Roman" w:eastAsia="Times New Roman" w:hAnsi="Times New Roman" w:cs="Times New Roman"/>
      <w:sz w:val="24"/>
      <w:szCs w:val="24"/>
      <w:lang w:val="tr-TR" w:eastAsia="tr-TR"/>
    </w:rPr>
  </w:style>
  <w:style w:type="paragraph" w:styleId="AralkYok">
    <w:name w:val="No Spacing"/>
    <w:uiPriority w:val="1"/>
    <w:qFormat/>
    <w:rsid w:val="0074048A"/>
    <w:pPr>
      <w:spacing w:after="0" w:line="240" w:lineRule="auto"/>
    </w:pPr>
    <w:rPr>
      <w:lang w:val="tr-TR"/>
    </w:rPr>
  </w:style>
  <w:style w:type="character" w:styleId="Vurgu">
    <w:name w:val="Emphasis"/>
    <w:basedOn w:val="VarsaylanParagrafYazTipi"/>
    <w:uiPriority w:val="20"/>
    <w:qFormat/>
    <w:rsid w:val="0074048A"/>
    <w:rPr>
      <w:i/>
      <w:iCs/>
    </w:rPr>
  </w:style>
  <w:style w:type="character" w:customStyle="1" w:styleId="Balk1Char">
    <w:name w:val="Başlık 1 Char"/>
    <w:basedOn w:val="VarsaylanParagrafYazTipi"/>
    <w:link w:val="Balk1"/>
    <w:uiPriority w:val="9"/>
    <w:rsid w:val="00DC16D1"/>
    <w:rPr>
      <w:rFonts w:asciiTheme="majorHAnsi" w:eastAsiaTheme="majorEastAsia" w:hAnsiTheme="majorHAnsi" w:cstheme="majorBidi"/>
      <w:color w:val="2F5496" w:themeColor="accent1" w:themeShade="BF"/>
      <w:sz w:val="32"/>
      <w:szCs w:val="32"/>
      <w:lang w:val="tr-TR"/>
    </w:rPr>
  </w:style>
  <w:style w:type="character" w:customStyle="1" w:styleId="fontstyle01">
    <w:name w:val="fontstyle01"/>
    <w:basedOn w:val="VarsaylanParagrafYazTipi"/>
    <w:rsid w:val="00DC16D1"/>
    <w:rPr>
      <w:rFonts w:ascii="AdvTimes" w:hAnsi="AdvTimes" w:hint="default"/>
      <w:b w:val="0"/>
      <w:bCs w:val="0"/>
      <w:i w:val="0"/>
      <w:iCs w:val="0"/>
      <w:color w:val="242021"/>
      <w:sz w:val="20"/>
      <w:szCs w:val="20"/>
    </w:rPr>
  </w:style>
  <w:style w:type="character" w:customStyle="1" w:styleId="fontstyle31">
    <w:name w:val="fontstyle31"/>
    <w:basedOn w:val="VarsaylanParagrafYazTipi"/>
    <w:rsid w:val="00DC16D1"/>
    <w:rPr>
      <w:rFonts w:ascii="BemboBookMTPro-Regular" w:hAnsi="BemboBookMTPro-Regular" w:hint="default"/>
      <w:b w:val="0"/>
      <w:bCs w:val="0"/>
      <w:i w:val="0"/>
      <w:iCs w:val="0"/>
      <w:color w:val="242021"/>
      <w:sz w:val="14"/>
      <w:szCs w:val="14"/>
    </w:rPr>
  </w:style>
  <w:style w:type="table" w:customStyle="1" w:styleId="DzTablo11">
    <w:name w:val="Düz Tablo 11"/>
    <w:basedOn w:val="NormalTablo"/>
    <w:uiPriority w:val="41"/>
    <w:rsid w:val="0058039F"/>
    <w:pPr>
      <w:spacing w:after="0" w:line="240" w:lineRule="auto"/>
    </w:pPr>
    <w:rPr>
      <w:rFonts w:ascii="Times New Roman" w:hAnsi="Times New Roman"/>
      <w:lang w:val="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1">
    <w:name w:val="Plain Table 1"/>
    <w:basedOn w:val="NormalTablo"/>
    <w:uiPriority w:val="41"/>
    <w:rsid w:val="008A0B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mlenmeyenBahsetme">
    <w:name w:val="Unresolved Mention"/>
    <w:basedOn w:val="VarsaylanParagrafYazTipi"/>
    <w:uiPriority w:val="99"/>
    <w:semiHidden/>
    <w:unhideWhenUsed/>
    <w:rsid w:val="00E61C87"/>
    <w:rPr>
      <w:color w:val="605E5C"/>
      <w:shd w:val="clear" w:color="auto" w:fill="E1DFDD"/>
    </w:rPr>
  </w:style>
  <w:style w:type="character" w:styleId="YerTutucuMetni">
    <w:name w:val="Placeholder Text"/>
    <w:basedOn w:val="VarsaylanParagrafYazTipi"/>
    <w:uiPriority w:val="99"/>
    <w:semiHidden/>
    <w:rsid w:val="0056525F"/>
    <w:rPr>
      <w:color w:val="808080"/>
    </w:rPr>
  </w:style>
  <w:style w:type="paragraph" w:styleId="SonNotMetni">
    <w:name w:val="endnote text"/>
    <w:basedOn w:val="Normal"/>
    <w:link w:val="SonNotMetniChar"/>
    <w:uiPriority w:val="99"/>
    <w:semiHidden/>
    <w:unhideWhenUsed/>
    <w:rsid w:val="0056525F"/>
    <w:rPr>
      <w:sz w:val="20"/>
      <w:szCs w:val="20"/>
    </w:rPr>
  </w:style>
  <w:style w:type="character" w:customStyle="1" w:styleId="SonNotMetniChar">
    <w:name w:val="Son Not Metni Char"/>
    <w:basedOn w:val="VarsaylanParagrafYazTipi"/>
    <w:link w:val="SonNotMetni"/>
    <w:uiPriority w:val="99"/>
    <w:semiHidden/>
    <w:rsid w:val="0056525F"/>
    <w:rPr>
      <w:rFonts w:ascii="Times New Roman" w:eastAsia="Times New Roman" w:hAnsi="Times New Roman" w:cs="Times New Roman"/>
      <w:sz w:val="20"/>
      <w:szCs w:val="20"/>
      <w:lang w:val="tr-TR" w:eastAsia="tr-TR" w:bidi="tr-TR"/>
    </w:rPr>
  </w:style>
  <w:style w:type="character" w:styleId="SonNotBavurusu">
    <w:name w:val="endnote reference"/>
    <w:basedOn w:val="VarsaylanParagrafYazTipi"/>
    <w:uiPriority w:val="99"/>
    <w:semiHidden/>
    <w:unhideWhenUsed/>
    <w:rsid w:val="0056525F"/>
    <w:rPr>
      <w:vertAlign w:val="superscript"/>
    </w:rPr>
  </w:style>
  <w:style w:type="character" w:customStyle="1" w:styleId="Balk5Char">
    <w:name w:val="Başlık 5 Char"/>
    <w:basedOn w:val="VarsaylanParagrafYazTipi"/>
    <w:link w:val="Balk5"/>
    <w:uiPriority w:val="9"/>
    <w:rsid w:val="007621ED"/>
    <w:rPr>
      <w:rFonts w:asciiTheme="majorHAnsi" w:eastAsiaTheme="majorEastAsia" w:hAnsiTheme="majorHAnsi" w:cstheme="majorBidi"/>
      <w:color w:val="2F5496" w:themeColor="accent1" w:themeShade="BF"/>
      <w:lang w:val="tr-TR" w:eastAsia="tr-TR" w:bidi="tr-TR"/>
    </w:rPr>
  </w:style>
  <w:style w:type="paragraph" w:styleId="Kaynaka">
    <w:name w:val="Bibliography"/>
    <w:basedOn w:val="Normal"/>
    <w:next w:val="Normal"/>
    <w:uiPriority w:val="37"/>
    <w:unhideWhenUsed/>
    <w:rsid w:val="00FD5C5D"/>
    <w:pPr>
      <w:widowControl/>
      <w:autoSpaceDE/>
      <w:autoSpaceDN/>
      <w:spacing w:after="160" w:line="256" w:lineRule="auto"/>
    </w:pPr>
    <w:rPr>
      <w:rFonts w:asciiTheme="minorHAnsi" w:eastAsiaTheme="minorHAnsi" w:hAnsiTheme="minorHAnsi" w:cstheme="minorBidi"/>
      <w:lang w:eastAsia="en-US" w:bidi="ar-SA"/>
    </w:rPr>
  </w:style>
  <w:style w:type="character" w:styleId="AklamaBavurusu">
    <w:name w:val="annotation reference"/>
    <w:basedOn w:val="VarsaylanParagrafYazTipi"/>
    <w:uiPriority w:val="99"/>
    <w:semiHidden/>
    <w:unhideWhenUsed/>
    <w:rsid w:val="00B240DF"/>
    <w:rPr>
      <w:sz w:val="16"/>
      <w:szCs w:val="16"/>
    </w:rPr>
  </w:style>
  <w:style w:type="paragraph" w:styleId="AklamaMetni">
    <w:name w:val="annotation text"/>
    <w:basedOn w:val="Normal"/>
    <w:link w:val="AklamaMetniChar"/>
    <w:uiPriority w:val="99"/>
    <w:semiHidden/>
    <w:unhideWhenUsed/>
    <w:rsid w:val="00B240DF"/>
    <w:rPr>
      <w:sz w:val="20"/>
      <w:szCs w:val="20"/>
    </w:rPr>
  </w:style>
  <w:style w:type="character" w:customStyle="1" w:styleId="AklamaMetniChar">
    <w:name w:val="Açıklama Metni Char"/>
    <w:basedOn w:val="VarsaylanParagrafYazTipi"/>
    <w:link w:val="AklamaMetni"/>
    <w:uiPriority w:val="99"/>
    <w:semiHidden/>
    <w:rsid w:val="00B240DF"/>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B240DF"/>
    <w:rPr>
      <w:b/>
      <w:bCs/>
    </w:rPr>
  </w:style>
  <w:style w:type="character" w:customStyle="1" w:styleId="AklamaKonusuChar">
    <w:name w:val="Açıklama Konusu Char"/>
    <w:basedOn w:val="AklamaMetniChar"/>
    <w:link w:val="AklamaKonusu"/>
    <w:uiPriority w:val="99"/>
    <w:semiHidden/>
    <w:rsid w:val="00B240DF"/>
    <w:rPr>
      <w:rFonts w:ascii="Times New Roman" w:eastAsia="Times New Roman" w:hAnsi="Times New Roman" w:cs="Times New Roman"/>
      <w:b/>
      <w:bCs/>
      <w:sz w:val="20"/>
      <w:szCs w:val="20"/>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98">
      <w:bodyDiv w:val="1"/>
      <w:marLeft w:val="0"/>
      <w:marRight w:val="0"/>
      <w:marTop w:val="0"/>
      <w:marBottom w:val="0"/>
      <w:divBdr>
        <w:top w:val="none" w:sz="0" w:space="0" w:color="auto"/>
        <w:left w:val="none" w:sz="0" w:space="0" w:color="auto"/>
        <w:bottom w:val="none" w:sz="0" w:space="0" w:color="auto"/>
        <w:right w:val="none" w:sz="0" w:space="0" w:color="auto"/>
      </w:divBdr>
    </w:div>
    <w:div w:id="109399416">
      <w:bodyDiv w:val="1"/>
      <w:marLeft w:val="0"/>
      <w:marRight w:val="0"/>
      <w:marTop w:val="0"/>
      <w:marBottom w:val="0"/>
      <w:divBdr>
        <w:top w:val="none" w:sz="0" w:space="0" w:color="auto"/>
        <w:left w:val="none" w:sz="0" w:space="0" w:color="auto"/>
        <w:bottom w:val="none" w:sz="0" w:space="0" w:color="auto"/>
        <w:right w:val="none" w:sz="0" w:space="0" w:color="auto"/>
      </w:divBdr>
    </w:div>
    <w:div w:id="251939534">
      <w:bodyDiv w:val="1"/>
      <w:marLeft w:val="0"/>
      <w:marRight w:val="0"/>
      <w:marTop w:val="0"/>
      <w:marBottom w:val="0"/>
      <w:divBdr>
        <w:top w:val="none" w:sz="0" w:space="0" w:color="auto"/>
        <w:left w:val="none" w:sz="0" w:space="0" w:color="auto"/>
        <w:bottom w:val="none" w:sz="0" w:space="0" w:color="auto"/>
        <w:right w:val="none" w:sz="0" w:space="0" w:color="auto"/>
      </w:divBdr>
    </w:div>
    <w:div w:id="415788561">
      <w:bodyDiv w:val="1"/>
      <w:marLeft w:val="0"/>
      <w:marRight w:val="0"/>
      <w:marTop w:val="0"/>
      <w:marBottom w:val="0"/>
      <w:divBdr>
        <w:top w:val="none" w:sz="0" w:space="0" w:color="auto"/>
        <w:left w:val="none" w:sz="0" w:space="0" w:color="auto"/>
        <w:bottom w:val="none" w:sz="0" w:space="0" w:color="auto"/>
        <w:right w:val="none" w:sz="0" w:space="0" w:color="auto"/>
      </w:divBdr>
    </w:div>
    <w:div w:id="490220839">
      <w:bodyDiv w:val="1"/>
      <w:marLeft w:val="0"/>
      <w:marRight w:val="0"/>
      <w:marTop w:val="0"/>
      <w:marBottom w:val="0"/>
      <w:divBdr>
        <w:top w:val="none" w:sz="0" w:space="0" w:color="auto"/>
        <w:left w:val="none" w:sz="0" w:space="0" w:color="auto"/>
        <w:bottom w:val="none" w:sz="0" w:space="0" w:color="auto"/>
        <w:right w:val="none" w:sz="0" w:space="0" w:color="auto"/>
      </w:divBdr>
    </w:div>
    <w:div w:id="631667838">
      <w:bodyDiv w:val="1"/>
      <w:marLeft w:val="0"/>
      <w:marRight w:val="0"/>
      <w:marTop w:val="0"/>
      <w:marBottom w:val="0"/>
      <w:divBdr>
        <w:top w:val="none" w:sz="0" w:space="0" w:color="auto"/>
        <w:left w:val="none" w:sz="0" w:space="0" w:color="auto"/>
        <w:bottom w:val="none" w:sz="0" w:space="0" w:color="auto"/>
        <w:right w:val="none" w:sz="0" w:space="0" w:color="auto"/>
      </w:divBdr>
    </w:div>
    <w:div w:id="695741714">
      <w:bodyDiv w:val="1"/>
      <w:marLeft w:val="0"/>
      <w:marRight w:val="0"/>
      <w:marTop w:val="0"/>
      <w:marBottom w:val="0"/>
      <w:divBdr>
        <w:top w:val="none" w:sz="0" w:space="0" w:color="auto"/>
        <w:left w:val="none" w:sz="0" w:space="0" w:color="auto"/>
        <w:bottom w:val="none" w:sz="0" w:space="0" w:color="auto"/>
        <w:right w:val="none" w:sz="0" w:space="0" w:color="auto"/>
      </w:divBdr>
    </w:div>
    <w:div w:id="745033633">
      <w:bodyDiv w:val="1"/>
      <w:marLeft w:val="0"/>
      <w:marRight w:val="0"/>
      <w:marTop w:val="0"/>
      <w:marBottom w:val="0"/>
      <w:divBdr>
        <w:top w:val="none" w:sz="0" w:space="0" w:color="auto"/>
        <w:left w:val="none" w:sz="0" w:space="0" w:color="auto"/>
        <w:bottom w:val="none" w:sz="0" w:space="0" w:color="auto"/>
        <w:right w:val="none" w:sz="0" w:space="0" w:color="auto"/>
      </w:divBdr>
      <w:divsChild>
        <w:div w:id="631324868">
          <w:marLeft w:val="0"/>
          <w:marRight w:val="0"/>
          <w:marTop w:val="0"/>
          <w:marBottom w:val="0"/>
          <w:divBdr>
            <w:top w:val="none" w:sz="0" w:space="0" w:color="auto"/>
            <w:left w:val="none" w:sz="0" w:space="0" w:color="auto"/>
            <w:bottom w:val="none" w:sz="0" w:space="0" w:color="auto"/>
            <w:right w:val="none" w:sz="0" w:space="0" w:color="auto"/>
          </w:divBdr>
        </w:div>
      </w:divsChild>
    </w:div>
    <w:div w:id="781264499">
      <w:bodyDiv w:val="1"/>
      <w:marLeft w:val="0"/>
      <w:marRight w:val="0"/>
      <w:marTop w:val="0"/>
      <w:marBottom w:val="0"/>
      <w:divBdr>
        <w:top w:val="none" w:sz="0" w:space="0" w:color="auto"/>
        <w:left w:val="none" w:sz="0" w:space="0" w:color="auto"/>
        <w:bottom w:val="none" w:sz="0" w:space="0" w:color="auto"/>
        <w:right w:val="none" w:sz="0" w:space="0" w:color="auto"/>
      </w:divBdr>
    </w:div>
    <w:div w:id="823425752">
      <w:bodyDiv w:val="1"/>
      <w:marLeft w:val="0"/>
      <w:marRight w:val="0"/>
      <w:marTop w:val="0"/>
      <w:marBottom w:val="0"/>
      <w:divBdr>
        <w:top w:val="none" w:sz="0" w:space="0" w:color="auto"/>
        <w:left w:val="none" w:sz="0" w:space="0" w:color="auto"/>
        <w:bottom w:val="none" w:sz="0" w:space="0" w:color="auto"/>
        <w:right w:val="none" w:sz="0" w:space="0" w:color="auto"/>
      </w:divBdr>
    </w:div>
    <w:div w:id="985547672">
      <w:bodyDiv w:val="1"/>
      <w:marLeft w:val="0"/>
      <w:marRight w:val="0"/>
      <w:marTop w:val="0"/>
      <w:marBottom w:val="0"/>
      <w:divBdr>
        <w:top w:val="none" w:sz="0" w:space="0" w:color="auto"/>
        <w:left w:val="none" w:sz="0" w:space="0" w:color="auto"/>
        <w:bottom w:val="none" w:sz="0" w:space="0" w:color="auto"/>
        <w:right w:val="none" w:sz="0" w:space="0" w:color="auto"/>
      </w:divBdr>
    </w:div>
    <w:div w:id="1134909569">
      <w:bodyDiv w:val="1"/>
      <w:marLeft w:val="0"/>
      <w:marRight w:val="0"/>
      <w:marTop w:val="0"/>
      <w:marBottom w:val="0"/>
      <w:divBdr>
        <w:top w:val="none" w:sz="0" w:space="0" w:color="auto"/>
        <w:left w:val="none" w:sz="0" w:space="0" w:color="auto"/>
        <w:bottom w:val="none" w:sz="0" w:space="0" w:color="auto"/>
        <w:right w:val="none" w:sz="0" w:space="0" w:color="auto"/>
      </w:divBdr>
    </w:div>
    <w:div w:id="1227060612">
      <w:bodyDiv w:val="1"/>
      <w:marLeft w:val="0"/>
      <w:marRight w:val="0"/>
      <w:marTop w:val="0"/>
      <w:marBottom w:val="0"/>
      <w:divBdr>
        <w:top w:val="none" w:sz="0" w:space="0" w:color="auto"/>
        <w:left w:val="none" w:sz="0" w:space="0" w:color="auto"/>
        <w:bottom w:val="none" w:sz="0" w:space="0" w:color="auto"/>
        <w:right w:val="none" w:sz="0" w:space="0" w:color="auto"/>
      </w:divBdr>
    </w:div>
    <w:div w:id="1247156975">
      <w:bodyDiv w:val="1"/>
      <w:marLeft w:val="0"/>
      <w:marRight w:val="0"/>
      <w:marTop w:val="0"/>
      <w:marBottom w:val="0"/>
      <w:divBdr>
        <w:top w:val="none" w:sz="0" w:space="0" w:color="auto"/>
        <w:left w:val="none" w:sz="0" w:space="0" w:color="auto"/>
        <w:bottom w:val="none" w:sz="0" w:space="0" w:color="auto"/>
        <w:right w:val="none" w:sz="0" w:space="0" w:color="auto"/>
      </w:divBdr>
    </w:div>
    <w:div w:id="1258445535">
      <w:bodyDiv w:val="1"/>
      <w:marLeft w:val="0"/>
      <w:marRight w:val="0"/>
      <w:marTop w:val="0"/>
      <w:marBottom w:val="0"/>
      <w:divBdr>
        <w:top w:val="none" w:sz="0" w:space="0" w:color="auto"/>
        <w:left w:val="none" w:sz="0" w:space="0" w:color="auto"/>
        <w:bottom w:val="none" w:sz="0" w:space="0" w:color="auto"/>
        <w:right w:val="none" w:sz="0" w:space="0" w:color="auto"/>
      </w:divBdr>
    </w:div>
    <w:div w:id="1342198299">
      <w:bodyDiv w:val="1"/>
      <w:marLeft w:val="0"/>
      <w:marRight w:val="0"/>
      <w:marTop w:val="0"/>
      <w:marBottom w:val="0"/>
      <w:divBdr>
        <w:top w:val="none" w:sz="0" w:space="0" w:color="auto"/>
        <w:left w:val="none" w:sz="0" w:space="0" w:color="auto"/>
        <w:bottom w:val="none" w:sz="0" w:space="0" w:color="auto"/>
        <w:right w:val="none" w:sz="0" w:space="0" w:color="auto"/>
      </w:divBdr>
    </w:div>
    <w:div w:id="1368095065">
      <w:bodyDiv w:val="1"/>
      <w:marLeft w:val="0"/>
      <w:marRight w:val="0"/>
      <w:marTop w:val="0"/>
      <w:marBottom w:val="0"/>
      <w:divBdr>
        <w:top w:val="none" w:sz="0" w:space="0" w:color="auto"/>
        <w:left w:val="none" w:sz="0" w:space="0" w:color="auto"/>
        <w:bottom w:val="none" w:sz="0" w:space="0" w:color="auto"/>
        <w:right w:val="none" w:sz="0" w:space="0" w:color="auto"/>
      </w:divBdr>
    </w:div>
    <w:div w:id="1369720774">
      <w:bodyDiv w:val="1"/>
      <w:marLeft w:val="0"/>
      <w:marRight w:val="0"/>
      <w:marTop w:val="0"/>
      <w:marBottom w:val="0"/>
      <w:divBdr>
        <w:top w:val="none" w:sz="0" w:space="0" w:color="auto"/>
        <w:left w:val="none" w:sz="0" w:space="0" w:color="auto"/>
        <w:bottom w:val="none" w:sz="0" w:space="0" w:color="auto"/>
        <w:right w:val="none" w:sz="0" w:space="0" w:color="auto"/>
      </w:divBdr>
    </w:div>
    <w:div w:id="1381713129">
      <w:bodyDiv w:val="1"/>
      <w:marLeft w:val="0"/>
      <w:marRight w:val="0"/>
      <w:marTop w:val="0"/>
      <w:marBottom w:val="0"/>
      <w:divBdr>
        <w:top w:val="none" w:sz="0" w:space="0" w:color="auto"/>
        <w:left w:val="none" w:sz="0" w:space="0" w:color="auto"/>
        <w:bottom w:val="none" w:sz="0" w:space="0" w:color="auto"/>
        <w:right w:val="none" w:sz="0" w:space="0" w:color="auto"/>
      </w:divBdr>
    </w:div>
    <w:div w:id="1487818044">
      <w:bodyDiv w:val="1"/>
      <w:marLeft w:val="0"/>
      <w:marRight w:val="0"/>
      <w:marTop w:val="0"/>
      <w:marBottom w:val="0"/>
      <w:divBdr>
        <w:top w:val="none" w:sz="0" w:space="0" w:color="auto"/>
        <w:left w:val="none" w:sz="0" w:space="0" w:color="auto"/>
        <w:bottom w:val="none" w:sz="0" w:space="0" w:color="auto"/>
        <w:right w:val="none" w:sz="0" w:space="0" w:color="auto"/>
      </w:divBdr>
    </w:div>
    <w:div w:id="1775006826">
      <w:bodyDiv w:val="1"/>
      <w:marLeft w:val="0"/>
      <w:marRight w:val="0"/>
      <w:marTop w:val="0"/>
      <w:marBottom w:val="0"/>
      <w:divBdr>
        <w:top w:val="none" w:sz="0" w:space="0" w:color="auto"/>
        <w:left w:val="none" w:sz="0" w:space="0" w:color="auto"/>
        <w:bottom w:val="none" w:sz="0" w:space="0" w:color="auto"/>
        <w:right w:val="none" w:sz="0" w:space="0" w:color="auto"/>
      </w:divBdr>
    </w:div>
    <w:div w:id="1849828926">
      <w:bodyDiv w:val="1"/>
      <w:marLeft w:val="0"/>
      <w:marRight w:val="0"/>
      <w:marTop w:val="0"/>
      <w:marBottom w:val="0"/>
      <w:divBdr>
        <w:top w:val="none" w:sz="0" w:space="0" w:color="auto"/>
        <w:left w:val="none" w:sz="0" w:space="0" w:color="auto"/>
        <w:bottom w:val="none" w:sz="0" w:space="0" w:color="auto"/>
        <w:right w:val="none" w:sz="0" w:space="0" w:color="auto"/>
      </w:divBdr>
    </w:div>
    <w:div w:id="1881623019">
      <w:bodyDiv w:val="1"/>
      <w:marLeft w:val="0"/>
      <w:marRight w:val="0"/>
      <w:marTop w:val="0"/>
      <w:marBottom w:val="0"/>
      <w:divBdr>
        <w:top w:val="none" w:sz="0" w:space="0" w:color="auto"/>
        <w:left w:val="none" w:sz="0" w:space="0" w:color="auto"/>
        <w:bottom w:val="none" w:sz="0" w:space="0" w:color="auto"/>
        <w:right w:val="none" w:sz="0" w:space="0" w:color="auto"/>
      </w:divBdr>
    </w:div>
    <w:div w:id="1911228401">
      <w:bodyDiv w:val="1"/>
      <w:marLeft w:val="0"/>
      <w:marRight w:val="0"/>
      <w:marTop w:val="0"/>
      <w:marBottom w:val="0"/>
      <w:divBdr>
        <w:top w:val="none" w:sz="0" w:space="0" w:color="auto"/>
        <w:left w:val="none" w:sz="0" w:space="0" w:color="auto"/>
        <w:bottom w:val="none" w:sz="0" w:space="0" w:color="auto"/>
        <w:right w:val="none" w:sz="0" w:space="0" w:color="auto"/>
      </w:divBdr>
    </w:div>
    <w:div w:id="1914581283">
      <w:bodyDiv w:val="1"/>
      <w:marLeft w:val="0"/>
      <w:marRight w:val="0"/>
      <w:marTop w:val="0"/>
      <w:marBottom w:val="0"/>
      <w:divBdr>
        <w:top w:val="none" w:sz="0" w:space="0" w:color="auto"/>
        <w:left w:val="none" w:sz="0" w:space="0" w:color="auto"/>
        <w:bottom w:val="none" w:sz="0" w:space="0" w:color="auto"/>
        <w:right w:val="none" w:sz="0" w:space="0" w:color="auto"/>
      </w:divBdr>
    </w:div>
    <w:div w:id="20807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0311-21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0000-0002-2113-723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ez.yok.gov.tr/UlusalTezMerkez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mel.elem@ksb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WHO</b:Tag>
    <b:SourceType>InternetSite</b:SourceType>
    <b:Guid>{E0DF2B73-6A02-443D-BA01-8ADF08C43CB9}</b:Guid>
    <b:Title>World Health Organisation</b:Title>
    <b:Author>
      <b:Author>
        <b:Corporate>WHO</b:Corporate>
      </b:Author>
    </b:Author>
    <b:DayAccessed>29</b:DayAccessed>
    <b:Year>2020</b:Year>
    <b:YearAccessed>2020</b:YearAccessed>
    <b:MonthAccessed>04</b:MonthAccessed>
    <b:URL>https://www.who.int/docs/default-source/coronaviruse/situation-reports/20200419-sitrep-90-covid-19.pdf?sfvrsn=551d47fd_2</b:URL>
    <b:RefOrder>1</b:RefOrder>
  </b:Source>
  <b:Source>
    <b:Tag>Sym20</b:Tag>
    <b:SourceType>InternetSite</b:SourceType>
    <b:Guid>{61089CE6-12D6-4154-B755-A7CCA151C04E}</b:Guid>
    <b:Title>Symptoms of Coronavirus CDC</b:Title>
    <b:InternetSiteTitle>Centers for Disease Control and Prevention (CDC)</b:InternetSiteTitle>
    <b:YearAccessed>2020</b:YearAccessed>
    <b:MonthAccessed>04</b:MonthAccessed>
    <b:DayAccessed>28</b:DayAccessed>
    <b:URL>www.cdc.gov/coronavirus/2019-ncov/symptoms-testing/symptoms.html</b:URL>
    <b:Year>2020</b:Year>
    <b:RefOrder>2</b:RefOrder>
  </b:Source>
  <b:Source>
    <b:Tag>Çır11</b:Tag>
    <b:SourceType>JournalArticle</b:SourceType>
    <b:Guid>{C54B9248-5564-436E-810A-73EA7EB0523B}</b:Guid>
    <b:Title>Domuz Gribi (H1N1) Salgınıyla İlişkili Algıların, Kaygı ve Kaçınma Düzeyi Değişkenleri Bağlamında İncelenmesi</b:Title>
    <b:Year>2011</b:Year>
    <b:JournalName>Türk Psikoloji Dergisi</b:JournalName>
    <b:Pages>49-64</b:Pages>
    <b:Author>
      <b:Author>
        <b:NameList>
          <b:Person>
            <b:Last>Çırakoğlu</b:Last>
            <b:First>Okan Cem</b:First>
          </b:Person>
        </b:NameList>
      </b:Author>
    </b:Author>
    <b:Volume>26</b:Volume>
    <b:Issue>67</b:Issue>
    <b:RefOrder>3</b:RefOrder>
  </b:Source>
  <b:Source>
    <b:Tag>Büy06</b:Tag>
    <b:SourceType>Book</b:SourceType>
    <b:Guid>{DC05DF52-414F-4034-8996-94234687FEAE}</b:Guid>
    <b:Title>Sosyal Bilimler İçin Veri Analizi El Kitabı İstatistik Araştırma Deseni - SPSS Uygulamaları ve Yorum</b:Title>
    <b:Year>2006</b:Year>
    <b:Author>
      <b:Author>
        <b:NameList>
          <b:Person>
            <b:Last>Büyüköztürk</b:Last>
            <b:First>Ş.</b:First>
          </b:Person>
        </b:NameList>
      </b:Author>
    </b:Author>
    <b:City>Ankara</b:City>
    <b:Publisher>Pegema Yayıncılık</b:Publisher>
    <b:RefOrder>4</b:RefOrder>
  </b:Source>
  <b:Source>
    <b:Tag>Zey20</b:Tag>
    <b:SourceType>JournalArticle</b:SourceType>
    <b:Guid>{17DAEDA0-A8B0-4DEA-AD67-00778227AC95}</b:Guid>
    <b:Author>
      <b:Author>
        <b:NameList>
          <b:Person>
            <b:Last>Altın</b:Last>
            <b:First>Zeynep</b:First>
          </b:Person>
        </b:NameList>
      </b:Author>
    </b:Author>
    <b:Title>COVID-19 Pandemisinde Yaşlılar</b:Title>
    <b:Year>2020</b:Year>
    <b:JournalName>Tepecik Eğit. ve Araşt. Hast. Dergisi</b:JournalName>
    <b:Pages>49-57</b:Pages>
    <b:RefOrder>5</b:RefOrder>
  </b:Source>
  <b:Source>
    <b:Tag>Zha20</b:Tag>
    <b:SourceType>JournalArticle</b:SourceType>
    <b:Guid>{8A5EFD93-EC98-412A-BFE0-788FBE6B70ED}</b:Guid>
    <b:Author>
      <b:Author>
        <b:NameList>
          <b:Person>
            <b:Last>Zhang</b:Last>
            <b:First>Wen-rui</b:First>
          </b:Person>
          <b:Person>
            <b:Last>Wang</b:Last>
            <b:First>Kun</b:First>
          </b:Person>
          <b:Person>
            <b:Last>Yin</b:Last>
            <b:First>Lu</b:First>
          </b:Person>
          <b:Person>
            <b:Last>Zhao</b:Last>
            <b:First>Wen-feng</b:First>
          </b:Person>
          <b:Person>
            <b:Last>Xue</b:Last>
            <b:First>Wen-feng</b:First>
          </b:Person>
          <b:Person>
            <b:Last>Xue</b:Last>
            <b:First>Qing</b:First>
          </b:Person>
          <b:Person>
            <b:Last>Peng</b:Last>
            <b:First>Mao</b:First>
          </b:Person>
          <b:Person>
            <b:Last>Min</b:Last>
            <b:First>Bao-quan</b:First>
          </b:Person>
          <b:Person>
            <b:Last>Tian</b:Last>
            <b:First>Qing</b:First>
          </b:Person>
          <b:Person>
            <b:Last>Leng</b:Last>
            <b:First>Hai-xia</b:First>
          </b:Person>
          <b:Person>
            <b:Last>Du</b:Last>
            <b:First>Jia-lin</b:First>
          </b:Person>
          <b:Person>
            <b:Last>Chang</b:Last>
            <b:First>Hong</b:First>
          </b:Person>
          <b:Person>
            <b:Last>Yang</b:Last>
            <b:First>Yuan</b:First>
          </b:Person>
          <b:Person>
            <b:Last>Li</b:Last>
            <b:First>Wei</b:First>
          </b:Person>
          <b:Person>
            <b:Last>Shangguan</b:Last>
            <b:First>Fang-fang</b:First>
          </b:Person>
          <b:Person>
            <b:Last>Yan</b:Last>
            <b:First>Tian-yi</b:First>
          </b:Person>
          <b:Person>
            <b:Last>Dong</b:Last>
            <b:First>Hui-qing</b:First>
          </b:Person>
          <b:Person>
            <b:Last>Han</b:Last>
            <b:First>Ying</b:First>
          </b:Person>
          <b:Person>
            <b:Last>Wang</b:Last>
            <b:First>Yu-ping</b:First>
          </b:Person>
          <b:Person>
            <b:Last>Cosci</b:Last>
            <b:First>Fiammetta</b:First>
          </b:Person>
          <b:Person>
            <b:Last>Wang</b:Last>
            <b:First>Hong-xing</b:First>
          </b:Person>
        </b:NameList>
      </b:Author>
    </b:Author>
    <b:Title>Mental Health and Psychosocial Problems of Medical Health Workers during the COVID-19 Epidemic in China</b:Title>
    <b:JournalName>Psychother Psychosom</b:JournalName>
    <b:Year>2020</b:Year>
    <b:RefOrder>6</b:RefOrder>
  </b:Source>
  <b:Source>
    <b:Tag>Aşk20</b:Tag>
    <b:SourceType>JournalArticle</b:SourceType>
    <b:Guid>{A80CA2BB-2F38-45E5-A79F-11955338A4C3}</b:Guid>
    <b:Author>
      <b:Author>
        <b:NameList>
          <b:Person>
            <b:Last>Aşkın</b:Last>
            <b:First>Rüstem</b:First>
          </b:Person>
          <b:Person>
            <b:Last>Bozkurt</b:Last>
            <b:First>Yasemin</b:First>
          </b:Person>
          <b:Person>
            <b:Last>Zeybek</b:Last>
            <b:First>Zekiye</b:First>
          </b:Person>
        </b:NameList>
      </b:Author>
    </b:Author>
    <b:Title>COVID-19 Pandemisi: Psikolojik Etkileri ve Terapötik Müdahaleler</b:Title>
    <b:JournalName>İstanbul Ticaret Üniversitesi Sosyal Bilimler Dergisi</b:JournalName>
    <b:Year>2020</b:Year>
    <b:Pages>304-318</b:Pages>
    <b:RefOrder>7</b:RefOrder>
  </b:Source>
</b:Sources>
</file>

<file path=customXml/itemProps1.xml><?xml version="1.0" encoding="utf-8"?>
<ds:datastoreItem xmlns:ds="http://schemas.openxmlformats.org/officeDocument/2006/customXml" ds:itemID="{BB68D102-0DD9-4408-BC87-54D50237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4905</Words>
  <Characters>27963</Characters>
  <Application>Microsoft Office Word</Application>
  <DocSecurity>0</DocSecurity>
  <Lines>233</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7</dc:creator>
  <cp:lastModifiedBy>Kaan SEVİM</cp:lastModifiedBy>
  <cp:revision>3</cp:revision>
  <cp:lastPrinted>2020-12-04T22:05:00Z</cp:lastPrinted>
  <dcterms:created xsi:type="dcterms:W3CDTF">2023-08-31T15:42:00Z</dcterms:created>
  <dcterms:modified xsi:type="dcterms:W3CDTF">2023-09-01T08:34:00Z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