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78"/>
        <w:gridCol w:w="1701"/>
        <w:gridCol w:w="2693"/>
      </w:tblGrid>
      <w:tr w:rsidR="002147C4" w:rsidTr="000609A5">
        <w:trPr>
          <w:trHeight w:val="1710"/>
        </w:trPr>
        <w:tc>
          <w:tcPr>
            <w:tcW w:w="4678" w:type="dxa"/>
            <w:vAlign w:val="center"/>
          </w:tcPr>
          <w:p w:rsidR="002147C4" w:rsidRPr="00CE22E5" w:rsidRDefault="002147C4" w:rsidP="002147C4">
            <w:pPr>
              <w:jc w:val="center"/>
              <w:rPr>
                <w:rFonts w:ascii="Century Gothic" w:hAnsi="Century Gothic"/>
                <w:b/>
              </w:rPr>
            </w:pPr>
            <w:r>
              <w:rPr>
                <w:rFonts w:ascii="Century Gothic" w:hAnsi="Century Gothic"/>
                <w:b/>
                <w:noProof/>
                <w:lang w:eastAsia="tr-TR"/>
              </w:rPr>
              <w:drawing>
                <wp:inline distT="0" distB="0" distL="0" distR="0">
                  <wp:extent cx="2161032" cy="737616"/>
                  <wp:effectExtent l="0" t="0" r="0" b="5715"/>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bf logo_baskentli.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61032" cy="737616"/>
                          </a:xfrm>
                          <a:prstGeom prst="rect">
                            <a:avLst/>
                          </a:prstGeom>
                        </pic:spPr>
                      </pic:pic>
                    </a:graphicData>
                  </a:graphic>
                </wp:inline>
              </w:drawing>
            </w:r>
          </w:p>
        </w:tc>
        <w:tc>
          <w:tcPr>
            <w:tcW w:w="4394" w:type="dxa"/>
            <w:gridSpan w:val="2"/>
            <w:vAlign w:val="center"/>
          </w:tcPr>
          <w:p w:rsidR="006C740C" w:rsidRPr="00CE22E5" w:rsidRDefault="002147C4" w:rsidP="0021373D">
            <w:pPr>
              <w:jc w:val="center"/>
              <w:rPr>
                <w:rFonts w:ascii="Century Gothic" w:hAnsi="Century Gothic"/>
                <w:b/>
              </w:rPr>
            </w:pPr>
            <w:r>
              <w:rPr>
                <w:rFonts w:ascii="Century Gothic" w:hAnsi="Century Gothic"/>
                <w:b/>
                <w:noProof/>
                <w:lang w:eastAsia="tr-TR"/>
              </w:rPr>
              <w:drawing>
                <wp:inline distT="0" distB="0" distL="0" distR="0">
                  <wp:extent cx="1440000" cy="847919"/>
                  <wp:effectExtent l="0" t="0" r="8255"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BF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40000" cy="847919"/>
                          </a:xfrm>
                          <a:prstGeom prst="rect">
                            <a:avLst/>
                          </a:prstGeom>
                        </pic:spPr>
                      </pic:pic>
                    </a:graphicData>
                  </a:graphic>
                </wp:inline>
              </w:drawing>
            </w:r>
          </w:p>
        </w:tc>
      </w:tr>
      <w:tr w:rsidR="008C5CC1" w:rsidTr="00065682">
        <w:trPr>
          <w:trHeight w:val="1422"/>
        </w:trPr>
        <w:tc>
          <w:tcPr>
            <w:tcW w:w="6379" w:type="dxa"/>
            <w:gridSpan w:val="2"/>
            <w:vMerge w:val="restart"/>
            <w:vAlign w:val="center"/>
          </w:tcPr>
          <w:p w:rsidR="008C5CC1" w:rsidRDefault="008C5CC1" w:rsidP="008C5CC1">
            <w:pPr>
              <w:rPr>
                <w:rFonts w:ascii="Century Gothic" w:hAnsi="Century Gothic"/>
                <w:b/>
                <w:color w:val="FF0000"/>
                <w:sz w:val="28"/>
              </w:rPr>
            </w:pPr>
          </w:p>
          <w:p w:rsidR="008C5CC1" w:rsidRPr="00BF6F6C" w:rsidRDefault="008C5CC1" w:rsidP="008C5CC1">
            <w:pPr>
              <w:rPr>
                <w:rFonts w:ascii="Century Gothic" w:hAnsi="Century Gothic"/>
                <w:b/>
                <w:color w:val="FF0000"/>
                <w:sz w:val="28"/>
              </w:rPr>
            </w:pPr>
            <w:r w:rsidRPr="00BF6F6C">
              <w:rPr>
                <w:rFonts w:ascii="Century Gothic" w:hAnsi="Century Gothic"/>
                <w:b/>
                <w:color w:val="FF0000"/>
                <w:sz w:val="28"/>
              </w:rPr>
              <w:t xml:space="preserve">Araştırma Makalesi / Research </w:t>
            </w:r>
            <w:proofErr w:type="spellStart"/>
            <w:r w:rsidRPr="00492444">
              <w:rPr>
                <w:rFonts w:ascii="Century Gothic" w:hAnsi="Century Gothic"/>
                <w:b/>
                <w:color w:val="FF0000"/>
                <w:sz w:val="28"/>
              </w:rPr>
              <w:t>Article</w:t>
            </w:r>
            <w:proofErr w:type="spellEnd"/>
          </w:p>
          <w:p w:rsidR="008C5CC1" w:rsidRDefault="008C5CC1" w:rsidP="008A042C">
            <w:pPr>
              <w:rPr>
                <w:rFonts w:ascii="Century Gothic" w:hAnsi="Century Gothic"/>
                <w:b/>
                <w:bCs/>
                <w:sz w:val="28"/>
              </w:rPr>
            </w:pPr>
          </w:p>
          <w:p w:rsidR="008C5CC1" w:rsidRPr="008C5CC1" w:rsidRDefault="008C5CC1" w:rsidP="006C740C">
            <w:pPr>
              <w:rPr>
                <w:rFonts w:ascii="Century Gothic" w:hAnsi="Century Gothic"/>
                <w:b/>
                <w:bCs/>
                <w:sz w:val="28"/>
              </w:rPr>
            </w:pPr>
            <w:r w:rsidRPr="008A042C">
              <w:rPr>
                <w:rFonts w:ascii="Century Gothic" w:hAnsi="Century Gothic"/>
                <w:b/>
                <w:bCs/>
                <w:sz w:val="28"/>
              </w:rPr>
              <w:t xml:space="preserve">BIST Ana </w:t>
            </w:r>
            <w:r>
              <w:rPr>
                <w:rFonts w:ascii="Century Gothic" w:hAnsi="Century Gothic"/>
                <w:b/>
                <w:bCs/>
                <w:sz w:val="28"/>
              </w:rPr>
              <w:t>Metal (</w:t>
            </w:r>
            <w:r w:rsidRPr="008C5CC1">
              <w:rPr>
                <w:rFonts w:ascii="Century Gothic" w:hAnsi="Century Gothic"/>
                <w:b/>
                <w:bCs/>
                <w:i/>
                <w:sz w:val="28"/>
              </w:rPr>
              <w:t>XMANA)</w:t>
            </w:r>
            <w:r w:rsidRPr="001E10AE">
              <w:rPr>
                <w:rFonts w:ascii="Century Gothic" w:hAnsi="Century Gothic"/>
                <w:b/>
                <w:bCs/>
                <w:sz w:val="28"/>
              </w:rPr>
              <w:t xml:space="preserve"> </w:t>
            </w:r>
            <w:r w:rsidRPr="008A042C">
              <w:rPr>
                <w:rFonts w:ascii="Century Gothic" w:hAnsi="Century Gothic"/>
                <w:b/>
                <w:bCs/>
                <w:sz w:val="28"/>
              </w:rPr>
              <w:t xml:space="preserve">Endeksinde İşlem Gören </w:t>
            </w:r>
            <w:r>
              <w:rPr>
                <w:rFonts w:ascii="Century Gothic" w:hAnsi="Century Gothic"/>
                <w:b/>
                <w:bCs/>
                <w:sz w:val="28"/>
              </w:rPr>
              <w:t>İşletmelerin</w:t>
            </w:r>
            <w:r w:rsidRPr="008A042C">
              <w:rPr>
                <w:rFonts w:ascii="Century Gothic" w:hAnsi="Century Gothic"/>
                <w:b/>
                <w:bCs/>
                <w:sz w:val="28"/>
              </w:rPr>
              <w:t xml:space="preserve"> Finansal Performans Sıralamalarının TOPSİS Yöntemi İle Belirlenmesi</w:t>
            </w:r>
          </w:p>
          <w:p w:rsidR="008C5CC1" w:rsidRPr="001E10AE" w:rsidRDefault="008C5CC1" w:rsidP="001E10AE">
            <w:pPr>
              <w:autoSpaceDE w:val="0"/>
              <w:autoSpaceDN w:val="0"/>
              <w:adjustRightInd w:val="0"/>
              <w:spacing w:before="120" w:after="120"/>
              <w:rPr>
                <w:rFonts w:ascii="Century Gothic" w:eastAsia="Times New Roman" w:hAnsi="Century Gothic" w:cs="Times New Roman"/>
                <w:b/>
                <w:bCs/>
                <w:i/>
                <w:sz w:val="24"/>
                <w:lang w:val="en-US" w:eastAsia="tr-TR"/>
              </w:rPr>
            </w:pPr>
            <w:proofErr w:type="spellStart"/>
            <w:r w:rsidRPr="0089532E">
              <w:rPr>
                <w:rFonts w:ascii="Century Gothic" w:hAnsi="Century Gothic" w:cs="Times New Roman"/>
                <w:bCs/>
                <w:i/>
                <w:sz w:val="24"/>
                <w:szCs w:val="24"/>
              </w:rPr>
              <w:t>Determination</w:t>
            </w:r>
            <w:proofErr w:type="spellEnd"/>
            <w:r w:rsidRPr="001E10AE">
              <w:rPr>
                <w:rFonts w:ascii="Century Gothic" w:eastAsia="Times New Roman" w:hAnsi="Century Gothic" w:cs="Times New Roman"/>
                <w:bCs/>
                <w:i/>
                <w:sz w:val="24"/>
                <w:lang w:val="en-US" w:eastAsia="tr-TR"/>
              </w:rPr>
              <w:t xml:space="preserve"> </w:t>
            </w:r>
            <w:r>
              <w:rPr>
                <w:rFonts w:ascii="Century Gothic" w:eastAsia="Times New Roman" w:hAnsi="Century Gothic" w:cs="Times New Roman"/>
                <w:bCs/>
                <w:i/>
                <w:sz w:val="24"/>
                <w:lang w:val="en-US" w:eastAsia="tr-TR"/>
              </w:rPr>
              <w:t>of</w:t>
            </w:r>
            <w:r w:rsidRPr="001E10AE">
              <w:rPr>
                <w:rFonts w:ascii="Century Gothic" w:eastAsia="Times New Roman" w:hAnsi="Century Gothic" w:cs="Times New Roman"/>
                <w:bCs/>
                <w:i/>
                <w:sz w:val="24"/>
                <w:lang w:val="en-US" w:eastAsia="tr-TR"/>
              </w:rPr>
              <w:t xml:space="preserve"> </w:t>
            </w:r>
            <w:r>
              <w:rPr>
                <w:rFonts w:ascii="Century Gothic" w:eastAsia="Times New Roman" w:hAnsi="Century Gothic" w:cs="Times New Roman"/>
                <w:bCs/>
                <w:i/>
                <w:sz w:val="24"/>
                <w:lang w:val="en-US" w:eastAsia="tr-TR"/>
              </w:rPr>
              <w:t xml:space="preserve">Financial Performance Rankings of the </w:t>
            </w:r>
            <w:r w:rsidRPr="00155980">
              <w:rPr>
                <w:rFonts w:ascii="Century Gothic" w:eastAsia="Times New Roman" w:hAnsi="Century Gothic" w:cs="Times New Roman"/>
                <w:bCs/>
                <w:i/>
                <w:sz w:val="24"/>
                <w:lang w:eastAsia="tr-TR"/>
              </w:rPr>
              <w:t>E</w:t>
            </w:r>
            <w:r>
              <w:rPr>
                <w:rFonts w:ascii="Century Gothic" w:eastAsia="Times New Roman" w:hAnsi="Century Gothic" w:cs="Times New Roman"/>
                <w:bCs/>
                <w:i/>
                <w:sz w:val="24"/>
                <w:lang w:eastAsia="tr-TR"/>
              </w:rPr>
              <w:t>nterpri</w:t>
            </w:r>
            <w:r w:rsidRPr="00155980">
              <w:rPr>
                <w:rFonts w:ascii="Century Gothic" w:eastAsia="Times New Roman" w:hAnsi="Century Gothic" w:cs="Times New Roman"/>
                <w:bCs/>
                <w:i/>
                <w:sz w:val="24"/>
                <w:lang w:eastAsia="tr-TR"/>
              </w:rPr>
              <w:t>ses</w:t>
            </w:r>
            <w:r>
              <w:rPr>
                <w:rFonts w:ascii="Century Gothic" w:eastAsia="Times New Roman" w:hAnsi="Century Gothic" w:cs="Times New Roman"/>
                <w:bCs/>
                <w:i/>
                <w:sz w:val="24"/>
                <w:lang w:val="en-US" w:eastAsia="tr-TR"/>
              </w:rPr>
              <w:t xml:space="preserve"> in t</w:t>
            </w:r>
            <w:r w:rsidRPr="001E10AE">
              <w:rPr>
                <w:rFonts w:ascii="Century Gothic" w:eastAsia="Times New Roman" w:hAnsi="Century Gothic" w:cs="Times New Roman"/>
                <w:bCs/>
                <w:i/>
                <w:sz w:val="24"/>
                <w:lang w:val="en-US" w:eastAsia="tr-TR"/>
              </w:rPr>
              <w:t>he BIST</w:t>
            </w:r>
            <w:r>
              <w:rPr>
                <w:rFonts w:ascii="Century Gothic" w:eastAsia="Times New Roman" w:hAnsi="Century Gothic" w:cs="Times New Roman"/>
                <w:bCs/>
                <w:i/>
                <w:sz w:val="24"/>
                <w:lang w:val="en-US" w:eastAsia="tr-TR"/>
              </w:rPr>
              <w:t xml:space="preserve"> Basic Metal Index (</w:t>
            </w:r>
            <w:r w:rsidRPr="001E10AE">
              <w:rPr>
                <w:rFonts w:ascii="Century Gothic" w:eastAsia="Times New Roman" w:hAnsi="Century Gothic" w:cs="Times New Roman"/>
                <w:bCs/>
                <w:i/>
                <w:sz w:val="24"/>
                <w:lang w:val="en-US" w:eastAsia="tr-TR"/>
              </w:rPr>
              <w:t>XMANA</w:t>
            </w:r>
            <w:r>
              <w:rPr>
                <w:rFonts w:ascii="Century Gothic" w:eastAsia="Times New Roman" w:hAnsi="Century Gothic" w:cs="Times New Roman"/>
                <w:bCs/>
                <w:i/>
                <w:sz w:val="24"/>
                <w:lang w:val="en-US" w:eastAsia="tr-TR"/>
              </w:rPr>
              <w:t>)with</w:t>
            </w:r>
            <w:r w:rsidRPr="001E10AE">
              <w:rPr>
                <w:rFonts w:ascii="Century Gothic" w:eastAsia="Times New Roman" w:hAnsi="Century Gothic" w:cs="Times New Roman"/>
                <w:bCs/>
                <w:i/>
                <w:sz w:val="24"/>
                <w:lang w:val="en-US" w:eastAsia="tr-TR"/>
              </w:rPr>
              <w:t xml:space="preserve"> TOPSIS Method</w:t>
            </w:r>
          </w:p>
          <w:p w:rsidR="008C5CC1" w:rsidRPr="003C2F34" w:rsidRDefault="008C5CC1" w:rsidP="006C740C">
            <w:pPr>
              <w:autoSpaceDE w:val="0"/>
              <w:autoSpaceDN w:val="0"/>
              <w:adjustRightInd w:val="0"/>
              <w:spacing w:before="120" w:after="120"/>
              <w:rPr>
                <w:rFonts w:ascii="Century Gothic" w:eastAsia="Times New Roman" w:hAnsi="Century Gothic" w:cs="Times New Roman"/>
                <w:i/>
                <w:lang w:val="en-GB" w:eastAsia="tr-TR"/>
              </w:rPr>
            </w:pPr>
          </w:p>
        </w:tc>
        <w:tc>
          <w:tcPr>
            <w:tcW w:w="2693" w:type="dxa"/>
            <w:vAlign w:val="center"/>
          </w:tcPr>
          <w:p w:rsidR="008C5CC1" w:rsidRPr="0021373D" w:rsidRDefault="008C5CC1" w:rsidP="00971C41">
            <w:pPr>
              <w:autoSpaceDE w:val="0"/>
              <w:autoSpaceDN w:val="0"/>
              <w:adjustRightInd w:val="0"/>
              <w:jc w:val="right"/>
              <w:rPr>
                <w:rFonts w:ascii="Century Gothic" w:eastAsia="Times New Roman" w:hAnsi="Century Gothic" w:cs="Times New Roman"/>
                <w:i/>
                <w:sz w:val="16"/>
                <w:lang w:eastAsia="tr-TR"/>
              </w:rPr>
            </w:pPr>
            <w:r w:rsidRPr="0021373D">
              <w:rPr>
                <w:rFonts w:ascii="Century Gothic" w:eastAsia="Times New Roman" w:hAnsi="Century Gothic" w:cs="Times New Roman"/>
                <w:i/>
                <w:sz w:val="16"/>
                <w:lang w:eastAsia="tr-TR"/>
              </w:rPr>
              <w:t xml:space="preserve">ISSN: </w:t>
            </w:r>
            <w:r w:rsidR="002F3C74" w:rsidRPr="002F3C74">
              <w:rPr>
                <w:rFonts w:ascii="Century Gothic" w:eastAsia="Times New Roman" w:hAnsi="Century Gothic" w:cs="Times New Roman"/>
                <w:i/>
                <w:sz w:val="16"/>
                <w:lang w:eastAsia="tr-TR"/>
              </w:rPr>
              <w:t>2687-4091</w:t>
            </w:r>
            <w:bookmarkStart w:id="0" w:name="_GoBack"/>
            <w:bookmarkEnd w:id="0"/>
          </w:p>
          <w:p w:rsidR="008C5CC1" w:rsidRPr="0021373D" w:rsidRDefault="008C5CC1" w:rsidP="00971C41">
            <w:pPr>
              <w:autoSpaceDE w:val="0"/>
              <w:autoSpaceDN w:val="0"/>
              <w:adjustRightInd w:val="0"/>
              <w:jc w:val="right"/>
              <w:rPr>
                <w:rFonts w:ascii="Century Gothic" w:eastAsia="Times New Roman" w:hAnsi="Century Gothic" w:cs="Times New Roman"/>
                <w:i/>
                <w:sz w:val="16"/>
                <w:lang w:eastAsia="tr-TR"/>
              </w:rPr>
            </w:pPr>
            <w:r w:rsidRPr="0021373D">
              <w:rPr>
                <w:rFonts w:ascii="Century Gothic" w:eastAsia="Times New Roman" w:hAnsi="Century Gothic" w:cs="Times New Roman"/>
                <w:i/>
                <w:sz w:val="16"/>
                <w:lang w:eastAsia="tr-TR"/>
              </w:rPr>
              <w:t>JCS, Volume (</w:t>
            </w:r>
            <w:r w:rsidR="00492444">
              <w:rPr>
                <w:rFonts w:ascii="Century Gothic" w:eastAsia="Times New Roman" w:hAnsi="Century Gothic" w:cs="Times New Roman"/>
                <w:i/>
                <w:sz w:val="16"/>
                <w:lang w:eastAsia="tr-TR"/>
              </w:rPr>
              <w:t>X</w:t>
            </w:r>
            <w:r w:rsidRPr="0021373D">
              <w:rPr>
                <w:rFonts w:ascii="Century Gothic" w:eastAsia="Times New Roman" w:hAnsi="Century Gothic" w:cs="Times New Roman"/>
                <w:i/>
                <w:sz w:val="16"/>
                <w:lang w:eastAsia="tr-TR"/>
              </w:rPr>
              <w:t>)</w:t>
            </w:r>
            <w:r w:rsidR="00492444">
              <w:rPr>
                <w:rFonts w:ascii="Century Gothic" w:eastAsia="Times New Roman" w:hAnsi="Century Gothic" w:cs="Times New Roman"/>
                <w:i/>
                <w:sz w:val="16"/>
                <w:lang w:eastAsia="tr-TR"/>
              </w:rPr>
              <w:t>1</w:t>
            </w:r>
          </w:p>
          <w:p w:rsidR="008C5CC1" w:rsidRPr="006C740C" w:rsidRDefault="00C82597" w:rsidP="00971C41">
            <w:pPr>
              <w:autoSpaceDE w:val="0"/>
              <w:autoSpaceDN w:val="0"/>
              <w:adjustRightInd w:val="0"/>
              <w:jc w:val="right"/>
              <w:rPr>
                <w:rFonts w:ascii="Century Gothic" w:eastAsia="Times New Roman" w:hAnsi="Century Gothic" w:cs="Times New Roman"/>
                <w:i/>
                <w:lang w:eastAsia="tr-TR"/>
              </w:rPr>
            </w:pPr>
            <w:hyperlink r:id="rId10" w:history="1">
              <w:r w:rsidR="008C5CC1" w:rsidRPr="0021373D">
                <w:rPr>
                  <w:rStyle w:val="Kpr"/>
                  <w:rFonts w:ascii="Century Gothic" w:eastAsia="Times New Roman" w:hAnsi="Century Gothic" w:cs="Times New Roman"/>
                  <w:i/>
                  <w:sz w:val="16"/>
                  <w:lang w:eastAsia="tr-TR"/>
                </w:rPr>
                <w:t>https://dergipark.org.tr/jcsci</w:t>
              </w:r>
            </w:hyperlink>
            <w:r w:rsidR="008C5CC1" w:rsidRPr="006C740C">
              <w:rPr>
                <w:rFonts w:ascii="Century Gothic" w:eastAsia="Times New Roman" w:hAnsi="Century Gothic" w:cs="Times New Roman"/>
                <w:i/>
                <w:sz w:val="16"/>
                <w:lang w:eastAsia="tr-TR"/>
              </w:rPr>
              <w:t xml:space="preserve"> </w:t>
            </w:r>
          </w:p>
        </w:tc>
      </w:tr>
      <w:tr w:rsidR="008C5CC1" w:rsidTr="000609A5">
        <w:trPr>
          <w:trHeight w:val="1950"/>
        </w:trPr>
        <w:tc>
          <w:tcPr>
            <w:tcW w:w="6379" w:type="dxa"/>
            <w:gridSpan w:val="2"/>
            <w:vMerge/>
            <w:vAlign w:val="center"/>
          </w:tcPr>
          <w:p w:rsidR="008C5CC1" w:rsidRDefault="008C5CC1" w:rsidP="008C5CC1">
            <w:pPr>
              <w:rPr>
                <w:rFonts w:ascii="Century Gothic" w:hAnsi="Century Gothic"/>
                <w:b/>
                <w:color w:val="FF0000"/>
                <w:sz w:val="28"/>
              </w:rPr>
            </w:pPr>
          </w:p>
        </w:tc>
        <w:tc>
          <w:tcPr>
            <w:tcW w:w="2693" w:type="dxa"/>
            <w:vAlign w:val="center"/>
          </w:tcPr>
          <w:p w:rsidR="008C5CC1" w:rsidRDefault="008C5CC1" w:rsidP="008C5CC1">
            <w:pPr>
              <w:autoSpaceDE w:val="0"/>
              <w:autoSpaceDN w:val="0"/>
              <w:adjustRightInd w:val="0"/>
              <w:jc w:val="right"/>
              <w:rPr>
                <w:rFonts w:ascii="Century Gothic" w:eastAsia="Times New Roman" w:hAnsi="Century Gothic" w:cs="Times New Roman"/>
                <w:sz w:val="16"/>
                <w:lang w:eastAsia="tr-TR"/>
              </w:rPr>
            </w:pPr>
            <w:r>
              <w:rPr>
                <w:rFonts w:ascii="Century Gothic" w:eastAsia="Times New Roman" w:hAnsi="Century Gothic" w:cs="Times New Roman"/>
                <w:sz w:val="16"/>
                <w:lang w:eastAsia="tr-TR"/>
              </w:rPr>
              <w:t>Atıf Gösterimi:</w:t>
            </w:r>
          </w:p>
          <w:p w:rsidR="008C5CC1" w:rsidRPr="0021373D" w:rsidRDefault="00492444" w:rsidP="008C5CC1">
            <w:pPr>
              <w:autoSpaceDE w:val="0"/>
              <w:autoSpaceDN w:val="0"/>
              <w:adjustRightInd w:val="0"/>
              <w:jc w:val="right"/>
              <w:rPr>
                <w:rFonts w:ascii="Century Gothic" w:eastAsia="Times New Roman" w:hAnsi="Century Gothic" w:cs="Times New Roman"/>
                <w:i/>
                <w:sz w:val="16"/>
                <w:lang w:eastAsia="tr-TR"/>
              </w:rPr>
            </w:pPr>
            <w:r>
              <w:rPr>
                <w:rFonts w:ascii="Century Gothic" w:eastAsia="Times New Roman" w:hAnsi="Century Gothic" w:cs="Times New Roman"/>
                <w:sz w:val="16"/>
                <w:lang w:eastAsia="tr-TR"/>
              </w:rPr>
              <w:t>XXXXX, Y</w:t>
            </w:r>
            <w:r w:rsidR="008C5CC1" w:rsidRPr="008C5CC1">
              <w:rPr>
                <w:rFonts w:ascii="Century Gothic" w:eastAsia="Times New Roman" w:hAnsi="Century Gothic" w:cs="Times New Roman"/>
                <w:sz w:val="16"/>
                <w:lang w:eastAsia="tr-TR"/>
              </w:rPr>
              <w:t>. (2023). BIST Ana Metal (XMANA) Endeksinde İşlem Gören İşletmelerin Finansal Performans Sıralamalarının TOPSİS Yöntemi İle Belirlenmesi. Başkent Üniversitesi Ticari Biliml</w:t>
            </w:r>
            <w:r>
              <w:rPr>
                <w:rFonts w:ascii="Century Gothic" w:eastAsia="Times New Roman" w:hAnsi="Century Gothic" w:cs="Times New Roman"/>
                <w:sz w:val="16"/>
                <w:lang w:eastAsia="tr-TR"/>
              </w:rPr>
              <w:t>er Fakültesi Dergisi, (X</w:t>
            </w:r>
            <w:r w:rsidR="008C5CC1">
              <w:rPr>
                <w:rFonts w:ascii="Century Gothic" w:eastAsia="Times New Roman" w:hAnsi="Century Gothic" w:cs="Times New Roman"/>
                <w:sz w:val="16"/>
                <w:lang w:eastAsia="tr-TR"/>
              </w:rPr>
              <w:t>)1, 1-20</w:t>
            </w:r>
          </w:p>
        </w:tc>
      </w:tr>
      <w:tr w:rsidR="003874D2" w:rsidTr="000609A5">
        <w:trPr>
          <w:trHeight w:val="3130"/>
        </w:trPr>
        <w:tc>
          <w:tcPr>
            <w:tcW w:w="9072" w:type="dxa"/>
            <w:gridSpan w:val="3"/>
            <w:vAlign w:val="center"/>
          </w:tcPr>
          <w:p w:rsidR="003874D2" w:rsidRPr="00CE22E5" w:rsidRDefault="003874D2" w:rsidP="00971C41">
            <w:pPr>
              <w:rPr>
                <w:rFonts w:ascii="Century Gothic" w:hAnsi="Century Gothic"/>
              </w:rPr>
            </w:pPr>
          </w:p>
          <w:p w:rsidR="00E86DA4" w:rsidRPr="00E86DA4" w:rsidRDefault="00E86DA4" w:rsidP="00971C41">
            <w:pPr>
              <w:rPr>
                <w:rFonts w:ascii="Century Gothic" w:hAnsi="Century Gothic"/>
                <w:color w:val="000000" w:themeColor="text1"/>
              </w:rPr>
            </w:pPr>
          </w:p>
        </w:tc>
      </w:tr>
      <w:tr w:rsidR="003874D2" w:rsidTr="000609A5">
        <w:tc>
          <w:tcPr>
            <w:tcW w:w="9072" w:type="dxa"/>
            <w:gridSpan w:val="3"/>
            <w:shd w:val="clear" w:color="auto" w:fill="EFF9FF"/>
          </w:tcPr>
          <w:p w:rsidR="003874D2" w:rsidRPr="00CE22E5" w:rsidRDefault="003874D2" w:rsidP="003874D2">
            <w:pPr>
              <w:spacing w:before="120" w:after="120"/>
              <w:jc w:val="both"/>
              <w:rPr>
                <w:rFonts w:ascii="Century Gothic" w:eastAsia="Times New Roman" w:hAnsi="Century Gothic" w:cs="Times New Roman"/>
                <w:i/>
                <w:lang w:eastAsia="tr-TR"/>
              </w:rPr>
            </w:pPr>
            <w:r w:rsidRPr="00CE22E5">
              <w:rPr>
                <w:rFonts w:ascii="Century Gothic" w:eastAsia="Times New Roman" w:hAnsi="Century Gothic" w:cs="Times New Roman"/>
                <w:b/>
                <w:i/>
                <w:lang w:eastAsia="tr-TR"/>
              </w:rPr>
              <w:t>Özet</w:t>
            </w:r>
          </w:p>
          <w:p w:rsidR="00335239" w:rsidRDefault="00335239" w:rsidP="003874D2">
            <w:pPr>
              <w:autoSpaceDE w:val="0"/>
              <w:autoSpaceDN w:val="0"/>
              <w:adjustRightInd w:val="0"/>
              <w:spacing w:before="120" w:after="120"/>
              <w:jc w:val="both"/>
              <w:rPr>
                <w:rFonts w:ascii="Century Gothic" w:eastAsia="Times New Roman" w:hAnsi="Century Gothic" w:cs="Times New Roman"/>
                <w:i/>
                <w:lang w:eastAsia="tr-TR"/>
              </w:rPr>
            </w:pPr>
            <w:r w:rsidRPr="000E54D1">
              <w:rPr>
                <w:rFonts w:ascii="Century Gothic" w:eastAsia="Times New Roman" w:hAnsi="Century Gothic" w:cs="Times New Roman"/>
                <w:b/>
                <w:i/>
                <w:lang w:eastAsia="tr-TR"/>
              </w:rPr>
              <w:t>Amaç:</w:t>
            </w:r>
            <w:r>
              <w:rPr>
                <w:rFonts w:ascii="Century Gothic" w:eastAsia="Times New Roman" w:hAnsi="Century Gothic" w:cs="Times New Roman"/>
                <w:i/>
                <w:lang w:eastAsia="tr-TR"/>
              </w:rPr>
              <w:t xml:space="preserve"> </w:t>
            </w:r>
            <w:r w:rsidR="00223DBA" w:rsidRPr="00223DBA">
              <w:rPr>
                <w:rFonts w:ascii="Century Gothic" w:eastAsia="Times New Roman" w:hAnsi="Century Gothic" w:cs="Times New Roman"/>
                <w:bCs/>
                <w:i/>
                <w:lang w:eastAsia="tr-TR"/>
              </w:rPr>
              <w:t xml:space="preserve">Finansal performans değerlendirmesi </w:t>
            </w:r>
            <w:r w:rsidR="00217DEB">
              <w:rPr>
                <w:rFonts w:ascii="Century Gothic" w:eastAsia="Times New Roman" w:hAnsi="Century Gothic" w:cs="Times New Roman"/>
                <w:bCs/>
                <w:i/>
                <w:lang w:eastAsia="tr-TR"/>
              </w:rPr>
              <w:t>işletmelerin</w:t>
            </w:r>
            <w:r w:rsidR="00223DBA">
              <w:rPr>
                <w:rFonts w:ascii="Century Gothic" w:eastAsia="Times New Roman" w:hAnsi="Century Gothic" w:cs="Times New Roman"/>
                <w:bCs/>
                <w:i/>
                <w:lang w:eastAsia="tr-TR"/>
              </w:rPr>
              <w:t xml:space="preserve"> sektördeki </w:t>
            </w:r>
            <w:r w:rsidR="00223DBA" w:rsidRPr="00223DBA">
              <w:rPr>
                <w:rFonts w:ascii="Century Gothic" w:eastAsia="Times New Roman" w:hAnsi="Century Gothic" w:cs="Times New Roman"/>
                <w:bCs/>
                <w:i/>
                <w:lang w:eastAsia="tr-TR"/>
              </w:rPr>
              <w:t>durumunu ortaya koyarak finans alanındaki karar vericiler için yol gösterici olmaktadır.</w:t>
            </w:r>
            <w:r w:rsidR="00223DBA">
              <w:rPr>
                <w:rFonts w:ascii="Century Gothic" w:eastAsia="Times New Roman" w:hAnsi="Century Gothic" w:cs="Times New Roman"/>
                <w:bCs/>
                <w:i/>
                <w:lang w:eastAsia="tr-TR"/>
              </w:rPr>
              <w:t xml:space="preserve"> </w:t>
            </w:r>
            <w:r w:rsidR="008A042C" w:rsidRPr="008A042C">
              <w:rPr>
                <w:rFonts w:ascii="Century Gothic" w:eastAsia="Times New Roman" w:hAnsi="Century Gothic" w:cs="Times New Roman"/>
                <w:bCs/>
                <w:i/>
                <w:lang w:eastAsia="tr-TR"/>
              </w:rPr>
              <w:t>Değerlendirme süreci bir şirketin etkinliğini yansıttığı için finansal performans ölçütleri doğru bir şekilde tanımlanmalıdır.</w:t>
            </w:r>
            <w:r w:rsidR="008A042C" w:rsidRPr="008A042C">
              <w:rPr>
                <w:rFonts w:ascii="Century Gothic" w:eastAsia="Times New Roman" w:hAnsi="Century Gothic" w:cs="Times New Roman"/>
                <w:i/>
                <w:lang w:eastAsia="tr-TR"/>
              </w:rPr>
              <w:t xml:space="preserve"> Bu kapsamda ç</w:t>
            </w:r>
            <w:r w:rsidR="008A042C" w:rsidRPr="008A042C">
              <w:rPr>
                <w:rFonts w:ascii="Century Gothic" w:eastAsia="Times New Roman" w:hAnsi="Century Gothic" w:cs="Times New Roman"/>
                <w:bCs/>
                <w:i/>
                <w:lang w:eastAsia="tr-TR"/>
              </w:rPr>
              <w:t xml:space="preserve">alışmada, BIST Metal Ana (XMANA) Endeksinde işlem gören </w:t>
            </w:r>
            <w:r w:rsidR="00217DEB">
              <w:rPr>
                <w:rFonts w:ascii="Century Gothic" w:eastAsia="Times New Roman" w:hAnsi="Century Gothic" w:cs="Times New Roman"/>
                <w:bCs/>
                <w:i/>
                <w:lang w:eastAsia="tr-TR"/>
              </w:rPr>
              <w:t>işletmelerin</w:t>
            </w:r>
            <w:r w:rsidR="008A042C" w:rsidRPr="008A042C">
              <w:rPr>
                <w:rFonts w:ascii="Century Gothic" w:eastAsia="Times New Roman" w:hAnsi="Century Gothic" w:cs="Times New Roman"/>
                <w:bCs/>
                <w:i/>
                <w:lang w:eastAsia="tr-TR"/>
              </w:rPr>
              <w:t xml:space="preserve"> finansal performans sıralamalarının belirlenmesi amaçlanmıştır</w:t>
            </w:r>
            <w:r w:rsidR="008A042C">
              <w:rPr>
                <w:rFonts w:ascii="Century Gothic" w:eastAsia="Times New Roman" w:hAnsi="Century Gothic" w:cs="Times New Roman"/>
                <w:bCs/>
                <w:i/>
                <w:lang w:eastAsia="tr-TR"/>
              </w:rPr>
              <w:t>.</w:t>
            </w:r>
          </w:p>
          <w:p w:rsidR="00335239" w:rsidRDefault="00335239" w:rsidP="003874D2">
            <w:pPr>
              <w:autoSpaceDE w:val="0"/>
              <w:autoSpaceDN w:val="0"/>
              <w:adjustRightInd w:val="0"/>
              <w:spacing w:before="120" w:after="120"/>
              <w:jc w:val="both"/>
              <w:rPr>
                <w:rFonts w:ascii="Century Gothic" w:eastAsia="Times New Roman" w:hAnsi="Century Gothic" w:cs="Times New Roman"/>
                <w:i/>
                <w:lang w:eastAsia="tr-TR"/>
              </w:rPr>
            </w:pPr>
            <w:r w:rsidRPr="000E54D1">
              <w:rPr>
                <w:rFonts w:ascii="Century Gothic" w:eastAsia="Times New Roman" w:hAnsi="Century Gothic" w:cs="Times New Roman"/>
                <w:b/>
                <w:i/>
                <w:lang w:eastAsia="tr-TR"/>
              </w:rPr>
              <w:t>Yöntem:</w:t>
            </w:r>
            <w:r w:rsidR="00A1332E">
              <w:rPr>
                <w:rFonts w:ascii="Century Gothic" w:eastAsia="Times New Roman" w:hAnsi="Century Gothic" w:cs="Times New Roman"/>
                <w:i/>
                <w:lang w:eastAsia="tr-TR"/>
              </w:rPr>
              <w:t xml:space="preserve"> </w:t>
            </w:r>
            <w:r w:rsidR="008A042C" w:rsidRPr="008A042C">
              <w:rPr>
                <w:rFonts w:ascii="Century Gothic" w:eastAsia="Times New Roman" w:hAnsi="Century Gothic" w:cs="Times New Roman"/>
                <w:i/>
                <w:lang w:eastAsia="tr-TR"/>
              </w:rPr>
              <w:t>S</w:t>
            </w:r>
            <w:r w:rsidR="008A042C" w:rsidRPr="008A042C">
              <w:rPr>
                <w:rFonts w:ascii="Century Gothic" w:eastAsia="Times New Roman" w:hAnsi="Century Gothic" w:cs="Times New Roman"/>
                <w:bCs/>
                <w:i/>
                <w:lang w:eastAsia="tr-TR"/>
              </w:rPr>
              <w:t xml:space="preserve">öz konusu </w:t>
            </w:r>
            <w:r w:rsidR="00217DEB">
              <w:rPr>
                <w:rFonts w:ascii="Century Gothic" w:eastAsia="Times New Roman" w:hAnsi="Century Gothic" w:cs="Times New Roman"/>
                <w:bCs/>
                <w:i/>
                <w:lang w:eastAsia="tr-TR"/>
              </w:rPr>
              <w:t>işletmelerin</w:t>
            </w:r>
            <w:r w:rsidR="008A042C" w:rsidRPr="008A042C">
              <w:rPr>
                <w:rFonts w:ascii="Century Gothic" w:eastAsia="Times New Roman" w:hAnsi="Century Gothic" w:cs="Times New Roman"/>
                <w:bCs/>
                <w:i/>
                <w:lang w:eastAsia="tr-TR"/>
              </w:rPr>
              <w:t xml:space="preserve"> 2017-2021 dönemi için yıllık finansal oranla</w:t>
            </w:r>
            <w:r w:rsidR="00E87ACF">
              <w:rPr>
                <w:rFonts w:ascii="Century Gothic" w:eastAsia="Times New Roman" w:hAnsi="Century Gothic" w:cs="Times New Roman"/>
                <w:bCs/>
                <w:i/>
                <w:lang w:eastAsia="tr-TR"/>
              </w:rPr>
              <w:t xml:space="preserve">rı </w:t>
            </w:r>
            <w:r w:rsidR="0066566E">
              <w:rPr>
                <w:rFonts w:ascii="Century Gothic" w:eastAsia="Times New Roman" w:hAnsi="Century Gothic" w:cs="Times New Roman"/>
                <w:bCs/>
                <w:i/>
                <w:lang w:eastAsia="tr-TR"/>
              </w:rPr>
              <w:t xml:space="preserve">kullanılmıştır. Likidite, </w:t>
            </w:r>
            <w:r w:rsidR="0066566E" w:rsidRPr="000839E6">
              <w:rPr>
                <w:rFonts w:ascii="Century Gothic" w:eastAsia="Times New Roman" w:hAnsi="Century Gothic" w:cs="Times New Roman"/>
                <w:bCs/>
                <w:i/>
                <w:lang w:eastAsia="tr-TR"/>
              </w:rPr>
              <w:t>k</w:t>
            </w:r>
            <m:oMath>
              <m:r>
                <w:rPr>
                  <w:rFonts w:ascii="Cambria Math" w:eastAsia="Times New Roman" w:hAnsi="Cambria Math" w:cs="Times New Roman"/>
                  <w:lang w:eastAsia="tr-TR"/>
                </w:rPr>
                <m:t>â</m:t>
              </m:r>
            </m:oMath>
            <w:r w:rsidR="008A042C" w:rsidRPr="000839E6">
              <w:rPr>
                <w:rFonts w:ascii="Century Gothic" w:eastAsia="Times New Roman" w:hAnsi="Century Gothic" w:cs="Times New Roman"/>
                <w:bCs/>
                <w:i/>
                <w:lang w:eastAsia="tr-TR"/>
              </w:rPr>
              <w:t>rlılık</w:t>
            </w:r>
            <w:r w:rsidR="008A042C" w:rsidRPr="008A042C">
              <w:rPr>
                <w:rFonts w:ascii="Century Gothic" w:eastAsia="Times New Roman" w:hAnsi="Century Gothic" w:cs="Times New Roman"/>
                <w:bCs/>
                <w:i/>
                <w:lang w:eastAsia="tr-TR"/>
              </w:rPr>
              <w:t>, finansal yapı ve faaliyetler ile ilgili 4 ana başlık altında üçer alt oran belirlenmiştir.</w:t>
            </w:r>
            <w:r w:rsidR="008A042C" w:rsidRPr="008A042C">
              <w:rPr>
                <w:rFonts w:ascii="Century Gothic" w:eastAsia="Times New Roman" w:hAnsi="Century Gothic" w:cs="Times New Roman"/>
                <w:i/>
                <w:lang w:eastAsia="tr-TR"/>
              </w:rPr>
              <w:t xml:space="preserve"> </w:t>
            </w:r>
            <w:r w:rsidR="008A042C" w:rsidRPr="008A042C">
              <w:rPr>
                <w:rFonts w:ascii="Century Gothic" w:eastAsia="Times New Roman" w:hAnsi="Century Gothic" w:cs="Times New Roman"/>
                <w:bCs/>
                <w:i/>
                <w:lang w:eastAsia="tr-TR"/>
              </w:rPr>
              <w:t xml:space="preserve">Finansal verilerin analizinde TOPSİS çok </w:t>
            </w:r>
            <w:proofErr w:type="gramStart"/>
            <w:r w:rsidR="008A042C" w:rsidRPr="008A042C">
              <w:rPr>
                <w:rFonts w:ascii="Century Gothic" w:eastAsia="Times New Roman" w:hAnsi="Century Gothic" w:cs="Times New Roman"/>
                <w:bCs/>
                <w:i/>
                <w:lang w:eastAsia="tr-TR"/>
              </w:rPr>
              <w:t>kriterli</w:t>
            </w:r>
            <w:proofErr w:type="gramEnd"/>
            <w:r w:rsidR="008A042C" w:rsidRPr="008A042C">
              <w:rPr>
                <w:rFonts w:ascii="Century Gothic" w:eastAsia="Times New Roman" w:hAnsi="Century Gothic" w:cs="Times New Roman"/>
                <w:bCs/>
                <w:i/>
                <w:lang w:eastAsia="tr-TR"/>
              </w:rPr>
              <w:t xml:space="preserve"> karar verme yöntemi kullanılmıştır</w:t>
            </w:r>
            <w:r w:rsidR="008A042C">
              <w:rPr>
                <w:rFonts w:ascii="Century Gothic" w:eastAsia="Times New Roman" w:hAnsi="Century Gothic" w:cs="Times New Roman"/>
                <w:i/>
                <w:lang w:eastAsia="tr-TR"/>
              </w:rPr>
              <w:t>.</w:t>
            </w:r>
          </w:p>
          <w:p w:rsidR="008A042C" w:rsidRPr="008A042C" w:rsidRDefault="00335239" w:rsidP="008A042C">
            <w:pPr>
              <w:autoSpaceDE w:val="0"/>
              <w:autoSpaceDN w:val="0"/>
              <w:adjustRightInd w:val="0"/>
              <w:spacing w:before="120" w:after="120"/>
              <w:jc w:val="both"/>
              <w:rPr>
                <w:rFonts w:ascii="Century Gothic" w:eastAsia="Times New Roman" w:hAnsi="Century Gothic" w:cs="Times New Roman"/>
                <w:i/>
                <w:lang w:eastAsia="tr-TR"/>
              </w:rPr>
            </w:pPr>
            <w:r w:rsidRPr="000E54D1">
              <w:rPr>
                <w:rFonts w:ascii="Century Gothic" w:eastAsia="Times New Roman" w:hAnsi="Century Gothic" w:cs="Times New Roman"/>
                <w:b/>
                <w:i/>
                <w:lang w:eastAsia="tr-TR"/>
              </w:rPr>
              <w:t>Bulgular:</w:t>
            </w:r>
            <w:r w:rsidR="00A1332E">
              <w:rPr>
                <w:rFonts w:ascii="Century Gothic" w:eastAsia="Times New Roman" w:hAnsi="Century Gothic" w:cs="Times New Roman"/>
                <w:i/>
                <w:lang w:eastAsia="tr-TR"/>
              </w:rPr>
              <w:t xml:space="preserve"> </w:t>
            </w:r>
            <w:r w:rsidR="008A042C" w:rsidRPr="008A042C">
              <w:rPr>
                <w:rFonts w:ascii="Century Gothic" w:eastAsia="Times New Roman" w:hAnsi="Century Gothic" w:cs="Times New Roman"/>
                <w:i/>
                <w:lang w:eastAsia="tr-TR"/>
              </w:rPr>
              <w:t xml:space="preserve">2017 ve 2018 yıllarında ilk sırada olan Ereğli Demir Ve Çelik Fabrikaları T.A.Ş. sonraki yıllarda yerini kaybetse de ilk sıralarda yer almaya devam etmektedir. 2019 ve 2020 yıllarında ise daha önce 2.sırada yer alan </w:t>
            </w:r>
            <w:proofErr w:type="spellStart"/>
            <w:r w:rsidR="008A042C" w:rsidRPr="008A042C">
              <w:rPr>
                <w:rFonts w:ascii="Century Gothic" w:eastAsia="Times New Roman" w:hAnsi="Century Gothic" w:cs="Times New Roman"/>
                <w:i/>
                <w:lang w:eastAsia="tr-TR"/>
              </w:rPr>
              <w:t>Çemtaş</w:t>
            </w:r>
            <w:proofErr w:type="spellEnd"/>
            <w:r w:rsidR="008A042C" w:rsidRPr="008A042C">
              <w:rPr>
                <w:rFonts w:ascii="Century Gothic" w:eastAsia="Times New Roman" w:hAnsi="Century Gothic" w:cs="Times New Roman"/>
                <w:i/>
                <w:lang w:eastAsia="tr-TR"/>
              </w:rPr>
              <w:t xml:space="preserve"> Çelik Makina Sanayi Ve Ticaret A.Ş. ilk sıraya yükselmiştir. 2021 yılında ise ilk sıraya </w:t>
            </w:r>
            <w:proofErr w:type="spellStart"/>
            <w:r w:rsidR="008A042C" w:rsidRPr="008A042C">
              <w:rPr>
                <w:rFonts w:ascii="Century Gothic" w:eastAsia="Times New Roman" w:hAnsi="Century Gothic" w:cs="Times New Roman"/>
                <w:i/>
                <w:lang w:eastAsia="tr-TR"/>
              </w:rPr>
              <w:t>Çemaş</w:t>
            </w:r>
            <w:proofErr w:type="spellEnd"/>
            <w:r w:rsidR="008A042C" w:rsidRPr="008A042C">
              <w:rPr>
                <w:rFonts w:ascii="Century Gothic" w:eastAsia="Times New Roman" w:hAnsi="Century Gothic" w:cs="Times New Roman"/>
                <w:i/>
                <w:lang w:eastAsia="tr-TR"/>
              </w:rPr>
              <w:t xml:space="preserve"> Döküm Sanayi A.Ş. gelmiştir. İncelenen endeksteki en büyük sıçramayı gerçekleştiren </w:t>
            </w:r>
            <w:proofErr w:type="spellStart"/>
            <w:r w:rsidR="008A042C" w:rsidRPr="008A042C">
              <w:rPr>
                <w:rFonts w:ascii="Century Gothic" w:eastAsia="Times New Roman" w:hAnsi="Century Gothic" w:cs="Times New Roman"/>
                <w:i/>
                <w:lang w:eastAsia="tr-TR"/>
              </w:rPr>
              <w:t>Çemaş</w:t>
            </w:r>
            <w:proofErr w:type="spellEnd"/>
            <w:r w:rsidR="008A042C" w:rsidRPr="008A042C">
              <w:rPr>
                <w:rFonts w:ascii="Century Gothic" w:eastAsia="Times New Roman" w:hAnsi="Century Gothic" w:cs="Times New Roman"/>
                <w:i/>
                <w:lang w:eastAsia="tr-TR"/>
              </w:rPr>
              <w:t xml:space="preserve"> Döküm </w:t>
            </w:r>
            <w:r w:rsidR="008A042C" w:rsidRPr="008A042C">
              <w:rPr>
                <w:rFonts w:ascii="Century Gothic" w:eastAsia="Times New Roman" w:hAnsi="Century Gothic" w:cs="Times New Roman"/>
                <w:i/>
                <w:lang w:eastAsia="tr-TR"/>
              </w:rPr>
              <w:lastRenderedPageBreak/>
              <w:t xml:space="preserve">Sanayi </w:t>
            </w:r>
            <w:proofErr w:type="spellStart"/>
            <w:r w:rsidR="008A042C" w:rsidRPr="008A042C">
              <w:rPr>
                <w:rFonts w:ascii="Century Gothic" w:eastAsia="Times New Roman" w:hAnsi="Century Gothic" w:cs="Times New Roman"/>
                <w:i/>
                <w:lang w:eastAsia="tr-TR"/>
              </w:rPr>
              <w:t>A.Ş.nin</w:t>
            </w:r>
            <w:proofErr w:type="spellEnd"/>
            <w:r w:rsidR="008A042C" w:rsidRPr="008A042C">
              <w:rPr>
                <w:rFonts w:ascii="Century Gothic" w:eastAsia="Times New Roman" w:hAnsi="Century Gothic" w:cs="Times New Roman"/>
                <w:i/>
                <w:lang w:eastAsia="tr-TR"/>
              </w:rPr>
              <w:t xml:space="preserve"> 2017 yılında son sırada ve 2018 yılında ise sondan bir önceki sırada yer aldığı görülmektedir.</w:t>
            </w:r>
          </w:p>
          <w:p w:rsidR="00335239" w:rsidRDefault="00335239" w:rsidP="003874D2">
            <w:pPr>
              <w:autoSpaceDE w:val="0"/>
              <w:autoSpaceDN w:val="0"/>
              <w:adjustRightInd w:val="0"/>
              <w:spacing w:before="120" w:after="120"/>
              <w:jc w:val="both"/>
              <w:rPr>
                <w:rFonts w:ascii="Century Gothic" w:eastAsia="Times New Roman" w:hAnsi="Century Gothic" w:cs="Times New Roman"/>
                <w:i/>
                <w:lang w:eastAsia="tr-TR"/>
              </w:rPr>
            </w:pPr>
            <w:r w:rsidRPr="000E54D1">
              <w:rPr>
                <w:rFonts w:ascii="Century Gothic" w:eastAsia="Times New Roman" w:hAnsi="Century Gothic" w:cs="Times New Roman"/>
                <w:b/>
                <w:i/>
                <w:lang w:eastAsia="tr-TR"/>
              </w:rPr>
              <w:t>Sonuç ve Katkılar:</w:t>
            </w:r>
            <w:r w:rsidR="00F11B43" w:rsidRPr="00F11B43">
              <w:rPr>
                <w:rFonts w:ascii="Century Gothic" w:hAnsi="Century Gothic"/>
              </w:rPr>
              <w:t xml:space="preserve"> </w:t>
            </w:r>
            <w:proofErr w:type="spellStart"/>
            <w:r w:rsidR="00F11B43" w:rsidRPr="00F11B43">
              <w:rPr>
                <w:rFonts w:ascii="Century Gothic" w:eastAsia="Times New Roman" w:hAnsi="Century Gothic" w:cs="Times New Roman"/>
                <w:i/>
                <w:lang w:eastAsia="tr-TR"/>
              </w:rPr>
              <w:t>BİST’te</w:t>
            </w:r>
            <w:proofErr w:type="spellEnd"/>
            <w:r w:rsidR="00F11B43" w:rsidRPr="00F11B43">
              <w:rPr>
                <w:rFonts w:ascii="Century Gothic" w:eastAsia="Times New Roman" w:hAnsi="Century Gothic" w:cs="Times New Roman"/>
                <w:i/>
                <w:lang w:eastAsia="tr-TR"/>
              </w:rPr>
              <w:t xml:space="preserve"> işlem gören ana metal sanayi </w:t>
            </w:r>
            <w:r w:rsidR="00217DEB" w:rsidRPr="00217DEB">
              <w:rPr>
                <w:rFonts w:ascii="Century Gothic" w:eastAsia="Times New Roman" w:hAnsi="Century Gothic" w:cs="Times New Roman"/>
                <w:bCs/>
                <w:i/>
                <w:lang w:eastAsia="tr-TR"/>
              </w:rPr>
              <w:t>işletmelerin</w:t>
            </w:r>
            <w:r w:rsidR="00F11B43" w:rsidRPr="00F11B43">
              <w:rPr>
                <w:rFonts w:ascii="Century Gothic" w:eastAsia="Times New Roman" w:hAnsi="Century Gothic" w:cs="Times New Roman"/>
                <w:i/>
                <w:lang w:eastAsia="tr-TR"/>
              </w:rPr>
              <w:t xml:space="preserve"> performansı incelenmiş ve özellikle likidite ve finansal yapı oranlarındaki dalgalanmanın şirketlerin finansal performansı üzerinde etkisi olduğu tespit edilmiştir. </w:t>
            </w:r>
            <w:r w:rsidR="00A1332E">
              <w:rPr>
                <w:rFonts w:ascii="Century Gothic" w:eastAsia="Times New Roman" w:hAnsi="Century Gothic" w:cs="Times New Roman"/>
                <w:i/>
                <w:lang w:eastAsia="tr-TR"/>
              </w:rPr>
              <w:t xml:space="preserve"> </w:t>
            </w:r>
            <w:r w:rsidR="008A042C" w:rsidRPr="008A042C">
              <w:rPr>
                <w:rFonts w:ascii="Century Gothic" w:eastAsia="Times New Roman" w:hAnsi="Century Gothic" w:cs="Times New Roman"/>
                <w:i/>
                <w:lang w:eastAsia="tr-TR"/>
              </w:rPr>
              <w:t xml:space="preserve">TOPSIS kullanılarak ana metal sanayi </w:t>
            </w:r>
            <w:r w:rsidR="00217DEB" w:rsidRPr="00217DEB">
              <w:rPr>
                <w:rFonts w:ascii="Century Gothic" w:eastAsia="Times New Roman" w:hAnsi="Century Gothic" w:cs="Times New Roman"/>
                <w:bCs/>
                <w:i/>
                <w:lang w:eastAsia="tr-TR"/>
              </w:rPr>
              <w:t>işletmelerin</w:t>
            </w:r>
            <w:r w:rsidR="008A042C" w:rsidRPr="008A042C">
              <w:rPr>
                <w:rFonts w:ascii="Century Gothic" w:eastAsia="Times New Roman" w:hAnsi="Century Gothic" w:cs="Times New Roman"/>
                <w:i/>
                <w:lang w:eastAsia="tr-TR"/>
              </w:rPr>
              <w:t xml:space="preserve"> finansal performansını değerlendiren bu çalışma, </w:t>
            </w:r>
            <w:r w:rsidR="00B775D1" w:rsidRPr="00B775D1">
              <w:rPr>
                <w:rFonts w:ascii="Century Gothic" w:eastAsia="Times New Roman" w:hAnsi="Century Gothic" w:cs="Times New Roman"/>
                <w:i/>
                <w:lang w:eastAsia="tr-TR"/>
              </w:rPr>
              <w:t>araştırmacılara</w:t>
            </w:r>
            <w:r w:rsidR="00B775D1">
              <w:rPr>
                <w:rFonts w:ascii="Century Gothic" w:eastAsia="Times New Roman" w:hAnsi="Century Gothic" w:cs="Times New Roman"/>
                <w:i/>
                <w:lang w:eastAsia="tr-TR"/>
              </w:rPr>
              <w:t xml:space="preserve"> ve sektördeki uygulayıcılara </w:t>
            </w:r>
            <w:r w:rsidR="008A042C" w:rsidRPr="008A042C">
              <w:rPr>
                <w:rFonts w:ascii="Century Gothic" w:eastAsia="Times New Roman" w:hAnsi="Century Gothic" w:cs="Times New Roman"/>
                <w:i/>
                <w:lang w:eastAsia="tr-TR"/>
              </w:rPr>
              <w:t>yol gösterici niteliktedir.</w:t>
            </w:r>
          </w:p>
          <w:p w:rsidR="00335239" w:rsidRDefault="00EA3DA9" w:rsidP="003874D2">
            <w:pPr>
              <w:autoSpaceDE w:val="0"/>
              <w:autoSpaceDN w:val="0"/>
              <w:adjustRightInd w:val="0"/>
              <w:spacing w:before="120" w:after="120"/>
              <w:jc w:val="both"/>
              <w:rPr>
                <w:rFonts w:ascii="Century Gothic" w:eastAsia="Times New Roman" w:hAnsi="Century Gothic" w:cs="Times New Roman"/>
                <w:i/>
                <w:lang w:eastAsia="tr-TR"/>
              </w:rPr>
            </w:pPr>
            <w:r w:rsidRPr="000E54D1">
              <w:rPr>
                <w:rFonts w:ascii="Century Gothic" w:eastAsia="Times New Roman" w:hAnsi="Century Gothic" w:cs="Times New Roman"/>
                <w:b/>
                <w:i/>
                <w:lang w:eastAsia="tr-TR"/>
              </w:rPr>
              <w:t>Sınırlılıklar:</w:t>
            </w:r>
            <w:r>
              <w:rPr>
                <w:rFonts w:ascii="Century Gothic" w:eastAsia="Times New Roman" w:hAnsi="Century Gothic" w:cs="Times New Roman"/>
                <w:i/>
                <w:lang w:eastAsia="tr-TR"/>
              </w:rPr>
              <w:t xml:space="preserve"> </w:t>
            </w:r>
            <w:r w:rsidR="008A042C" w:rsidRPr="008A042C">
              <w:rPr>
                <w:rFonts w:ascii="Century Gothic" w:eastAsia="Times New Roman" w:hAnsi="Century Gothic" w:cs="Times New Roman"/>
                <w:i/>
                <w:lang w:eastAsia="tr-TR"/>
              </w:rPr>
              <w:t xml:space="preserve">Türkiye’de </w:t>
            </w:r>
            <w:r w:rsidR="00223DBA">
              <w:rPr>
                <w:rFonts w:ascii="Century Gothic" w:eastAsia="Times New Roman" w:hAnsi="Century Gothic" w:cs="Times New Roman"/>
                <w:i/>
                <w:lang w:eastAsia="tr-TR"/>
              </w:rPr>
              <w:t xml:space="preserve">ana metal sanayi sektöründe </w:t>
            </w:r>
            <w:r w:rsidR="00223DBA" w:rsidRPr="00223DBA">
              <w:rPr>
                <w:rFonts w:ascii="Century Gothic" w:eastAsia="Times New Roman" w:hAnsi="Century Gothic" w:cs="Times New Roman"/>
                <w:i/>
                <w:lang w:eastAsia="tr-TR"/>
              </w:rPr>
              <w:t>faaliyet gösteren</w:t>
            </w:r>
            <w:r w:rsidR="005E4CF4">
              <w:rPr>
                <w:rFonts w:ascii="Century Gothic" w:eastAsia="Times New Roman" w:hAnsi="Century Gothic" w:cs="Times New Roman"/>
                <w:i/>
                <w:lang w:eastAsia="tr-TR"/>
              </w:rPr>
              <w:t xml:space="preserve"> bütün</w:t>
            </w:r>
            <w:r w:rsidR="008A042C" w:rsidRPr="008A042C">
              <w:rPr>
                <w:rFonts w:ascii="Century Gothic" w:eastAsia="Times New Roman" w:hAnsi="Century Gothic" w:cs="Times New Roman"/>
                <w:i/>
                <w:lang w:eastAsia="tr-TR"/>
              </w:rPr>
              <w:t xml:space="preserve"> işletmelerin mali tablolarına </w:t>
            </w:r>
            <w:r w:rsidR="00223DBA">
              <w:rPr>
                <w:rFonts w:ascii="Century Gothic" w:eastAsia="Times New Roman" w:hAnsi="Century Gothic" w:cs="Times New Roman"/>
                <w:i/>
                <w:lang w:eastAsia="tr-TR"/>
              </w:rPr>
              <w:t>erişimdeki zorluk</w:t>
            </w:r>
            <w:r w:rsidR="008A042C" w:rsidRPr="008A042C">
              <w:rPr>
                <w:rFonts w:ascii="Century Gothic" w:eastAsia="Times New Roman" w:hAnsi="Century Gothic" w:cs="Times New Roman"/>
                <w:i/>
                <w:lang w:eastAsia="tr-TR"/>
              </w:rPr>
              <w:t xml:space="preserve"> sebebi ile çalışma </w:t>
            </w:r>
            <w:proofErr w:type="spellStart"/>
            <w:r w:rsidR="008A042C" w:rsidRPr="008A042C">
              <w:rPr>
                <w:rFonts w:ascii="Century Gothic" w:eastAsia="Times New Roman" w:hAnsi="Century Gothic" w:cs="Times New Roman"/>
                <w:i/>
                <w:lang w:eastAsia="tr-TR"/>
              </w:rPr>
              <w:t>BİST’de</w:t>
            </w:r>
            <w:proofErr w:type="spellEnd"/>
            <w:r w:rsidR="008A042C" w:rsidRPr="008A042C">
              <w:rPr>
                <w:rFonts w:ascii="Century Gothic" w:eastAsia="Times New Roman" w:hAnsi="Century Gothic" w:cs="Times New Roman"/>
                <w:i/>
                <w:lang w:eastAsia="tr-TR"/>
              </w:rPr>
              <w:t xml:space="preserve"> işlem gören ana metal sanayi işletmeleriyle sınırlı tutulmuştur</w:t>
            </w:r>
            <w:r w:rsidR="008A042C">
              <w:rPr>
                <w:rFonts w:ascii="Century Gothic" w:eastAsia="Times New Roman" w:hAnsi="Century Gothic" w:cs="Times New Roman"/>
                <w:i/>
                <w:lang w:eastAsia="tr-TR"/>
              </w:rPr>
              <w:t>.</w:t>
            </w:r>
          </w:p>
          <w:p w:rsidR="003874D2" w:rsidRDefault="003874D2" w:rsidP="003874D2">
            <w:pPr>
              <w:autoSpaceDE w:val="0"/>
              <w:autoSpaceDN w:val="0"/>
              <w:adjustRightInd w:val="0"/>
              <w:spacing w:before="120" w:after="120"/>
              <w:jc w:val="both"/>
              <w:rPr>
                <w:rFonts w:ascii="Century Gothic" w:eastAsia="Times New Roman" w:hAnsi="Century Gothic" w:cs="Times New Roman"/>
                <w:lang w:eastAsia="tr-TR"/>
              </w:rPr>
            </w:pPr>
            <w:r w:rsidRPr="00CE22E5">
              <w:rPr>
                <w:rFonts w:ascii="Century Gothic" w:eastAsia="Times New Roman" w:hAnsi="Century Gothic" w:cs="Times New Roman"/>
                <w:b/>
                <w:lang w:eastAsia="tr-TR"/>
              </w:rPr>
              <w:t>Anahtar Kelimeler:</w:t>
            </w:r>
            <w:r w:rsidR="008A042C" w:rsidRPr="008A042C">
              <w:rPr>
                <w:rFonts w:ascii="Times New Roman" w:eastAsia="Times New Roman" w:hAnsi="Times New Roman" w:cs="Times New Roman"/>
                <w:bCs/>
                <w:sz w:val="24"/>
                <w:szCs w:val="24"/>
              </w:rPr>
              <w:t xml:space="preserve"> </w:t>
            </w:r>
            <w:r w:rsidR="008A042C" w:rsidRPr="008A042C">
              <w:rPr>
                <w:rFonts w:ascii="Century Gothic" w:eastAsia="Times New Roman" w:hAnsi="Century Gothic" w:cs="Times New Roman"/>
                <w:bCs/>
                <w:lang w:eastAsia="tr-TR"/>
              </w:rPr>
              <w:t xml:space="preserve">Ana metal sanayi, Çok </w:t>
            </w:r>
            <w:proofErr w:type="gramStart"/>
            <w:r w:rsidR="008A042C" w:rsidRPr="008A042C">
              <w:rPr>
                <w:rFonts w:ascii="Century Gothic" w:eastAsia="Times New Roman" w:hAnsi="Century Gothic" w:cs="Times New Roman"/>
                <w:bCs/>
                <w:lang w:eastAsia="tr-TR"/>
              </w:rPr>
              <w:t>kriterli</w:t>
            </w:r>
            <w:proofErr w:type="gramEnd"/>
            <w:r w:rsidR="008A042C" w:rsidRPr="008A042C">
              <w:rPr>
                <w:rFonts w:ascii="Century Gothic" w:eastAsia="Times New Roman" w:hAnsi="Century Gothic" w:cs="Times New Roman"/>
                <w:bCs/>
                <w:lang w:eastAsia="tr-TR"/>
              </w:rPr>
              <w:t xml:space="preserve"> karar verme, TOPSİS yöntemi.</w:t>
            </w:r>
          </w:p>
          <w:p w:rsidR="003874D2" w:rsidRPr="009061C2" w:rsidRDefault="002147C4" w:rsidP="00376978">
            <w:pPr>
              <w:autoSpaceDE w:val="0"/>
              <w:autoSpaceDN w:val="0"/>
              <w:adjustRightInd w:val="0"/>
              <w:spacing w:before="120" w:after="120"/>
              <w:jc w:val="both"/>
              <w:rPr>
                <w:rFonts w:ascii="Century Gothic" w:eastAsia="Times New Roman" w:hAnsi="Century Gothic" w:cs="Times New Roman"/>
                <w:lang w:eastAsia="tr-TR"/>
              </w:rPr>
            </w:pPr>
            <w:r w:rsidRPr="002147C4">
              <w:rPr>
                <w:rFonts w:ascii="Century Gothic" w:eastAsia="Times New Roman" w:hAnsi="Century Gothic" w:cs="Times New Roman"/>
                <w:b/>
                <w:lang w:eastAsia="tr-TR"/>
              </w:rPr>
              <w:t>Jel Kodu:</w:t>
            </w:r>
            <w:r w:rsidR="00376978">
              <w:rPr>
                <w:rFonts w:ascii="Century Gothic" w:eastAsia="Times New Roman" w:hAnsi="Century Gothic" w:cs="Times New Roman"/>
                <w:lang w:eastAsia="tr-TR"/>
              </w:rPr>
              <w:t xml:space="preserve"> G32, C02, M41.</w:t>
            </w:r>
          </w:p>
        </w:tc>
      </w:tr>
    </w:tbl>
    <w:p w:rsidR="00A1332E" w:rsidRDefault="00A1332E" w:rsidP="00CE22E5">
      <w:pPr>
        <w:spacing w:before="120" w:after="120"/>
        <w:rPr>
          <w:rFonts w:ascii="Century Gothic" w:eastAsia="Times New Roman" w:hAnsi="Century Gothic" w:cs="Times New Roman"/>
          <w:b/>
          <w:i/>
          <w:lang w:eastAsia="tr-TR"/>
        </w:rPr>
      </w:pPr>
    </w:p>
    <w:p w:rsidR="00CE22E5" w:rsidRPr="00CE22E5" w:rsidRDefault="00CE22E5" w:rsidP="00CE22E5">
      <w:pPr>
        <w:spacing w:before="120" w:after="120"/>
        <w:rPr>
          <w:rFonts w:ascii="Century Gothic" w:eastAsia="Times New Roman" w:hAnsi="Century Gothic" w:cs="Times New Roman"/>
          <w:b/>
          <w:i/>
          <w:lang w:eastAsia="tr-TR"/>
        </w:rPr>
      </w:pPr>
      <w:proofErr w:type="spellStart"/>
      <w:r w:rsidRPr="00CE22E5">
        <w:rPr>
          <w:rFonts w:ascii="Century Gothic" w:eastAsia="Times New Roman" w:hAnsi="Century Gothic" w:cs="Times New Roman"/>
          <w:b/>
          <w:i/>
          <w:lang w:eastAsia="tr-TR"/>
        </w:rPr>
        <w:t>Abstract</w:t>
      </w:r>
      <w:proofErr w:type="spellEnd"/>
    </w:p>
    <w:p w:rsidR="001E10AE" w:rsidRPr="001E10AE" w:rsidRDefault="00A1332E" w:rsidP="001E10AE">
      <w:pPr>
        <w:autoSpaceDE w:val="0"/>
        <w:autoSpaceDN w:val="0"/>
        <w:adjustRightInd w:val="0"/>
        <w:spacing w:before="120" w:after="120"/>
        <w:jc w:val="both"/>
        <w:rPr>
          <w:rFonts w:ascii="Century Gothic" w:eastAsia="Times New Roman" w:hAnsi="Century Gothic" w:cs="Times New Roman"/>
          <w:i/>
          <w:lang w:val="en-US" w:eastAsia="tr-TR"/>
        </w:rPr>
      </w:pPr>
      <w:proofErr w:type="spellStart"/>
      <w:r w:rsidRPr="000E54D1">
        <w:rPr>
          <w:rFonts w:ascii="Century Gothic" w:eastAsia="Times New Roman" w:hAnsi="Century Gothic" w:cs="Times New Roman"/>
          <w:b/>
          <w:i/>
          <w:lang w:eastAsia="tr-TR"/>
        </w:rPr>
        <w:t>Purpose</w:t>
      </w:r>
      <w:proofErr w:type="spellEnd"/>
      <w:r w:rsidRPr="000E54D1">
        <w:rPr>
          <w:rFonts w:ascii="Century Gothic" w:eastAsia="Times New Roman" w:hAnsi="Century Gothic" w:cs="Times New Roman"/>
          <w:b/>
          <w:i/>
          <w:lang w:eastAsia="tr-TR"/>
        </w:rPr>
        <w:t>:</w:t>
      </w:r>
      <w:r>
        <w:rPr>
          <w:rFonts w:ascii="Century Gothic" w:eastAsia="Times New Roman" w:hAnsi="Century Gothic" w:cs="Times New Roman"/>
          <w:i/>
          <w:lang w:eastAsia="tr-TR"/>
        </w:rPr>
        <w:t xml:space="preserve"> </w:t>
      </w:r>
      <w:r w:rsidR="00223DBA" w:rsidRPr="00223DBA">
        <w:rPr>
          <w:rFonts w:ascii="Century Gothic" w:eastAsia="Times New Roman" w:hAnsi="Century Gothic" w:cs="Times New Roman"/>
          <w:i/>
          <w:lang w:val="en-US" w:eastAsia="tr-TR"/>
        </w:rPr>
        <w:t xml:space="preserve">Financial performance evaluation provides a guide for decision makers in the field of finance by revealing the situation of </w:t>
      </w:r>
      <w:proofErr w:type="spellStart"/>
      <w:r w:rsidR="00217DEB">
        <w:rPr>
          <w:rFonts w:ascii="Century Gothic" w:eastAsia="Times New Roman" w:hAnsi="Century Gothic" w:cs="Times New Roman"/>
          <w:bCs/>
          <w:i/>
          <w:lang w:eastAsia="tr-TR"/>
        </w:rPr>
        <w:t>e</w:t>
      </w:r>
      <w:r w:rsidR="00217DEB" w:rsidRPr="00217DEB">
        <w:rPr>
          <w:rFonts w:ascii="Century Gothic" w:eastAsia="Times New Roman" w:hAnsi="Century Gothic" w:cs="Times New Roman"/>
          <w:bCs/>
          <w:i/>
          <w:lang w:eastAsia="tr-TR"/>
        </w:rPr>
        <w:t>nterprises</w:t>
      </w:r>
      <w:proofErr w:type="spellEnd"/>
      <w:r w:rsidR="00223DBA" w:rsidRPr="00223DBA">
        <w:rPr>
          <w:rFonts w:ascii="Century Gothic" w:eastAsia="Times New Roman" w:hAnsi="Century Gothic" w:cs="Times New Roman"/>
          <w:i/>
          <w:lang w:val="en-US" w:eastAsia="tr-TR"/>
        </w:rPr>
        <w:t xml:space="preserve"> in the s</w:t>
      </w:r>
      <w:r w:rsidR="00223DBA">
        <w:rPr>
          <w:rFonts w:ascii="Century Gothic" w:eastAsia="Times New Roman" w:hAnsi="Century Gothic" w:cs="Times New Roman"/>
          <w:i/>
          <w:lang w:val="en-US" w:eastAsia="tr-TR"/>
        </w:rPr>
        <w:t>ector</w:t>
      </w:r>
      <w:r w:rsidR="001E10AE" w:rsidRPr="001E10AE">
        <w:rPr>
          <w:rFonts w:ascii="Century Gothic" w:eastAsia="Times New Roman" w:hAnsi="Century Gothic" w:cs="Times New Roman"/>
          <w:i/>
          <w:lang w:val="en-US" w:eastAsia="tr-TR"/>
        </w:rPr>
        <w:t xml:space="preserve">. Financial performance measures must be precisely defined because the evaluation process reflects </w:t>
      </w:r>
      <w:proofErr w:type="gramStart"/>
      <w:r w:rsidR="001E10AE" w:rsidRPr="001E10AE">
        <w:rPr>
          <w:rFonts w:ascii="Century Gothic" w:eastAsia="Times New Roman" w:hAnsi="Century Gothic" w:cs="Times New Roman"/>
          <w:i/>
          <w:lang w:val="en-US" w:eastAsia="tr-TR"/>
        </w:rPr>
        <w:t>a</w:t>
      </w:r>
      <w:proofErr w:type="gramEnd"/>
      <w:r w:rsidR="001E10AE" w:rsidRPr="001E10AE">
        <w:rPr>
          <w:rFonts w:ascii="Century Gothic" w:eastAsia="Times New Roman" w:hAnsi="Century Gothic" w:cs="Times New Roman"/>
          <w:i/>
          <w:lang w:val="en-US" w:eastAsia="tr-TR"/>
        </w:rPr>
        <w:t xml:space="preserve"> </w:t>
      </w:r>
      <w:proofErr w:type="spellStart"/>
      <w:r w:rsidR="00217DEB" w:rsidRPr="00217DEB">
        <w:rPr>
          <w:rFonts w:ascii="Century Gothic" w:eastAsia="Times New Roman" w:hAnsi="Century Gothic" w:cs="Times New Roman"/>
          <w:bCs/>
          <w:i/>
          <w:lang w:eastAsia="tr-TR"/>
        </w:rPr>
        <w:t>enterpri</w:t>
      </w:r>
      <w:r w:rsidR="00217DEB">
        <w:rPr>
          <w:rFonts w:ascii="Century Gothic" w:eastAsia="Times New Roman" w:hAnsi="Century Gothic" w:cs="Times New Roman"/>
          <w:bCs/>
          <w:i/>
          <w:lang w:eastAsia="tr-TR"/>
        </w:rPr>
        <w:t>se</w:t>
      </w:r>
      <w:proofErr w:type="spellEnd"/>
      <w:r w:rsidR="001E10AE" w:rsidRPr="001E10AE">
        <w:rPr>
          <w:rFonts w:ascii="Century Gothic" w:eastAsia="Times New Roman" w:hAnsi="Century Gothic" w:cs="Times New Roman"/>
          <w:i/>
          <w:lang w:val="en-US" w:eastAsia="tr-TR"/>
        </w:rPr>
        <w:t>'s effectiveness. In this context, it is aimed at determining the financial performance rankings of the</w:t>
      </w:r>
      <w:r w:rsidR="00217DEB" w:rsidRPr="00217DEB">
        <w:rPr>
          <w:rFonts w:ascii="Century Gothic" w:eastAsia="Times New Roman" w:hAnsi="Century Gothic" w:cs="Times New Roman"/>
          <w:bCs/>
          <w:i/>
          <w:lang w:eastAsia="tr-TR"/>
        </w:rPr>
        <w:t xml:space="preserve"> </w:t>
      </w:r>
      <w:proofErr w:type="spellStart"/>
      <w:r w:rsidR="00217DEB" w:rsidRPr="00217DEB">
        <w:rPr>
          <w:rFonts w:ascii="Century Gothic" w:eastAsia="Times New Roman" w:hAnsi="Century Gothic" w:cs="Times New Roman"/>
          <w:bCs/>
          <w:i/>
          <w:lang w:eastAsia="tr-TR"/>
        </w:rPr>
        <w:t>enterprises</w:t>
      </w:r>
      <w:proofErr w:type="spellEnd"/>
      <w:r w:rsidR="00217DEB" w:rsidRPr="00217DEB">
        <w:rPr>
          <w:rFonts w:ascii="Century Gothic" w:eastAsia="Times New Roman" w:hAnsi="Century Gothic" w:cs="Times New Roman"/>
          <w:i/>
          <w:lang w:val="en-US" w:eastAsia="tr-TR"/>
        </w:rPr>
        <w:t xml:space="preserve"> </w:t>
      </w:r>
      <w:r w:rsidR="001E10AE" w:rsidRPr="001E10AE">
        <w:rPr>
          <w:rFonts w:ascii="Century Gothic" w:eastAsia="Times New Roman" w:hAnsi="Century Gothic" w:cs="Times New Roman"/>
          <w:i/>
          <w:lang w:val="en-US" w:eastAsia="tr-TR"/>
        </w:rPr>
        <w:t>in the BIST Basic Metal (XMANA) Index.</w:t>
      </w:r>
    </w:p>
    <w:p w:rsidR="001E10AE" w:rsidRPr="001E10AE" w:rsidRDefault="00A1332E" w:rsidP="001E10AE">
      <w:pPr>
        <w:autoSpaceDE w:val="0"/>
        <w:autoSpaceDN w:val="0"/>
        <w:adjustRightInd w:val="0"/>
        <w:spacing w:before="120" w:after="120"/>
        <w:jc w:val="both"/>
        <w:rPr>
          <w:rFonts w:ascii="Century Gothic" w:eastAsia="Times New Roman" w:hAnsi="Century Gothic" w:cs="Times New Roman"/>
          <w:bCs/>
          <w:i/>
          <w:lang w:val="en-US" w:eastAsia="tr-TR"/>
        </w:rPr>
      </w:pPr>
      <w:proofErr w:type="spellStart"/>
      <w:r w:rsidRPr="000E54D1">
        <w:rPr>
          <w:rFonts w:ascii="Century Gothic" w:eastAsia="Times New Roman" w:hAnsi="Century Gothic" w:cs="Times New Roman"/>
          <w:b/>
          <w:i/>
          <w:lang w:eastAsia="tr-TR"/>
        </w:rPr>
        <w:t>Methodology</w:t>
      </w:r>
      <w:proofErr w:type="spellEnd"/>
      <w:r w:rsidRPr="000E54D1">
        <w:rPr>
          <w:rFonts w:ascii="Century Gothic" w:eastAsia="Times New Roman" w:hAnsi="Century Gothic" w:cs="Times New Roman"/>
          <w:b/>
          <w:i/>
          <w:lang w:eastAsia="tr-TR"/>
        </w:rPr>
        <w:t>:</w:t>
      </w:r>
      <w:r w:rsidR="001E10AE" w:rsidRPr="001E10AE">
        <w:rPr>
          <w:rFonts w:ascii="Times New Roman" w:hAnsi="Times New Roman" w:cs="Times New Roman"/>
          <w:i/>
          <w:sz w:val="24"/>
          <w:szCs w:val="24"/>
          <w:lang w:val="en-US"/>
        </w:rPr>
        <w:t xml:space="preserve"> </w:t>
      </w:r>
      <w:r w:rsidR="001E10AE" w:rsidRPr="001E10AE">
        <w:rPr>
          <w:rFonts w:ascii="Century Gothic" w:eastAsia="Times New Roman" w:hAnsi="Century Gothic" w:cs="Times New Roman"/>
          <w:i/>
          <w:lang w:val="en-US" w:eastAsia="tr-TR"/>
        </w:rPr>
        <w:t xml:space="preserve">Annual financial ratios for the 2017–2021 period of XMANA </w:t>
      </w:r>
      <w:proofErr w:type="spellStart"/>
      <w:r w:rsidR="00217DEB" w:rsidRPr="00217DEB">
        <w:rPr>
          <w:rFonts w:ascii="Century Gothic" w:eastAsia="Times New Roman" w:hAnsi="Century Gothic" w:cs="Times New Roman"/>
          <w:bCs/>
          <w:i/>
          <w:lang w:eastAsia="tr-TR"/>
        </w:rPr>
        <w:t>enterprises</w:t>
      </w:r>
      <w:proofErr w:type="spellEnd"/>
      <w:r w:rsidR="001E10AE" w:rsidRPr="001E10AE">
        <w:rPr>
          <w:rFonts w:ascii="Century Gothic" w:eastAsia="Times New Roman" w:hAnsi="Century Gothic" w:cs="Times New Roman"/>
          <w:i/>
          <w:lang w:val="en-US" w:eastAsia="tr-TR"/>
        </w:rPr>
        <w:t xml:space="preserve"> are used. Three sub-ratios were determined under four main headings related to liquidity, profitability, financial structure, and activities. The TOPSIS multi-criteria decision-making method was used in the analysis of financial data.</w:t>
      </w:r>
    </w:p>
    <w:p w:rsidR="00A1332E" w:rsidRDefault="00A1332E" w:rsidP="00A1332E">
      <w:pPr>
        <w:autoSpaceDE w:val="0"/>
        <w:autoSpaceDN w:val="0"/>
        <w:adjustRightInd w:val="0"/>
        <w:spacing w:before="120" w:after="120"/>
        <w:jc w:val="both"/>
        <w:rPr>
          <w:rFonts w:ascii="Century Gothic" w:eastAsia="Times New Roman" w:hAnsi="Century Gothic" w:cs="Times New Roman"/>
          <w:i/>
          <w:lang w:eastAsia="tr-TR"/>
        </w:rPr>
      </w:pPr>
      <w:proofErr w:type="spellStart"/>
      <w:r w:rsidRPr="000E54D1">
        <w:rPr>
          <w:rFonts w:ascii="Century Gothic" w:eastAsia="Times New Roman" w:hAnsi="Century Gothic" w:cs="Times New Roman"/>
          <w:b/>
          <w:i/>
          <w:lang w:eastAsia="tr-TR"/>
        </w:rPr>
        <w:t>Findings</w:t>
      </w:r>
      <w:proofErr w:type="spellEnd"/>
      <w:r w:rsidRPr="000E54D1">
        <w:rPr>
          <w:rFonts w:ascii="Century Gothic" w:eastAsia="Times New Roman" w:hAnsi="Century Gothic" w:cs="Times New Roman"/>
          <w:b/>
          <w:i/>
          <w:lang w:eastAsia="tr-TR"/>
        </w:rPr>
        <w:t>:</w:t>
      </w:r>
      <w:r w:rsidR="004462AF" w:rsidRPr="004462AF">
        <w:rPr>
          <w:rFonts w:ascii="Times New Roman" w:hAnsi="Times New Roman" w:cs="Times New Roman"/>
          <w:i/>
          <w:sz w:val="24"/>
          <w:szCs w:val="24"/>
          <w:lang w:val="en-US"/>
        </w:rPr>
        <w:t xml:space="preserve"> </w:t>
      </w:r>
      <w:proofErr w:type="spellStart"/>
      <w:r w:rsidR="00217DEB">
        <w:rPr>
          <w:rFonts w:ascii="Century Gothic" w:eastAsia="Times New Roman" w:hAnsi="Century Gothic" w:cs="Times New Roman"/>
          <w:i/>
          <w:lang w:val="en-US" w:eastAsia="tr-TR"/>
        </w:rPr>
        <w:t>Ereğli</w:t>
      </w:r>
      <w:proofErr w:type="spellEnd"/>
      <w:r w:rsidR="00217DEB">
        <w:rPr>
          <w:rFonts w:ascii="Century Gothic" w:eastAsia="Times New Roman" w:hAnsi="Century Gothic" w:cs="Times New Roman"/>
          <w:i/>
          <w:lang w:val="en-US" w:eastAsia="tr-TR"/>
        </w:rPr>
        <w:t xml:space="preserve"> Demir v</w:t>
      </w:r>
      <w:r w:rsidR="004462AF" w:rsidRPr="004462AF">
        <w:rPr>
          <w:rFonts w:ascii="Century Gothic" w:eastAsia="Times New Roman" w:hAnsi="Century Gothic" w:cs="Times New Roman"/>
          <w:i/>
          <w:lang w:val="en-US" w:eastAsia="tr-TR"/>
        </w:rPr>
        <w:t xml:space="preserve">e Çelik </w:t>
      </w:r>
      <w:proofErr w:type="spellStart"/>
      <w:r w:rsidR="004462AF" w:rsidRPr="004462AF">
        <w:rPr>
          <w:rFonts w:ascii="Century Gothic" w:eastAsia="Times New Roman" w:hAnsi="Century Gothic" w:cs="Times New Roman"/>
          <w:i/>
          <w:lang w:val="en-US" w:eastAsia="tr-TR"/>
        </w:rPr>
        <w:t>Fabrikaları</w:t>
      </w:r>
      <w:proofErr w:type="spellEnd"/>
      <w:r w:rsidR="004462AF" w:rsidRPr="004462AF">
        <w:rPr>
          <w:rFonts w:ascii="Century Gothic" w:eastAsia="Times New Roman" w:hAnsi="Century Gothic" w:cs="Times New Roman"/>
          <w:i/>
          <w:lang w:val="en-US" w:eastAsia="tr-TR"/>
        </w:rPr>
        <w:t xml:space="preserve"> AŞ, which ranked first in 2017 and 2018, maintains its first-place position despite losing ground in subsequent years. In 2019 and 2020, </w:t>
      </w:r>
      <w:proofErr w:type="spellStart"/>
      <w:r w:rsidR="004462AF" w:rsidRPr="004462AF">
        <w:rPr>
          <w:rFonts w:ascii="Century Gothic" w:eastAsia="Times New Roman" w:hAnsi="Century Gothic" w:cs="Times New Roman"/>
          <w:i/>
          <w:lang w:val="en-US" w:eastAsia="tr-TR"/>
        </w:rPr>
        <w:t>Çemtaş</w:t>
      </w:r>
      <w:proofErr w:type="spellEnd"/>
      <w:r w:rsidR="004462AF" w:rsidRPr="004462AF">
        <w:rPr>
          <w:rFonts w:ascii="Century Gothic" w:eastAsia="Times New Roman" w:hAnsi="Century Gothic" w:cs="Times New Roman"/>
          <w:i/>
          <w:lang w:val="en-US" w:eastAsia="tr-TR"/>
        </w:rPr>
        <w:t xml:space="preserve"> Çelik </w:t>
      </w:r>
      <w:proofErr w:type="spellStart"/>
      <w:r w:rsidR="004462AF" w:rsidRPr="004462AF">
        <w:rPr>
          <w:rFonts w:ascii="Century Gothic" w:eastAsia="Times New Roman" w:hAnsi="Century Gothic" w:cs="Times New Roman"/>
          <w:i/>
          <w:lang w:val="en-US" w:eastAsia="tr-TR"/>
        </w:rPr>
        <w:t>Makina</w:t>
      </w:r>
      <w:proofErr w:type="spellEnd"/>
      <w:r w:rsidR="004462AF" w:rsidRPr="004462AF">
        <w:rPr>
          <w:rFonts w:ascii="Century Gothic" w:eastAsia="Times New Roman" w:hAnsi="Century Gothic" w:cs="Times New Roman"/>
          <w:i/>
          <w:lang w:val="en-US" w:eastAsia="tr-TR"/>
        </w:rPr>
        <w:t xml:space="preserve"> </w:t>
      </w:r>
      <w:proofErr w:type="spellStart"/>
      <w:r w:rsidR="004462AF" w:rsidRPr="004462AF">
        <w:rPr>
          <w:rFonts w:ascii="Century Gothic" w:eastAsia="Times New Roman" w:hAnsi="Century Gothic" w:cs="Times New Roman"/>
          <w:i/>
          <w:lang w:val="en-US" w:eastAsia="tr-TR"/>
        </w:rPr>
        <w:t>Sanayi</w:t>
      </w:r>
      <w:proofErr w:type="spellEnd"/>
      <w:r w:rsidR="004462AF" w:rsidRPr="004462AF">
        <w:rPr>
          <w:rFonts w:ascii="Century Gothic" w:eastAsia="Times New Roman" w:hAnsi="Century Gothic" w:cs="Times New Roman"/>
          <w:i/>
          <w:lang w:val="en-US" w:eastAsia="tr-TR"/>
        </w:rPr>
        <w:t xml:space="preserve"> ve </w:t>
      </w:r>
      <w:proofErr w:type="spellStart"/>
      <w:r w:rsidR="004462AF" w:rsidRPr="004462AF">
        <w:rPr>
          <w:rFonts w:ascii="Century Gothic" w:eastAsia="Times New Roman" w:hAnsi="Century Gothic" w:cs="Times New Roman"/>
          <w:i/>
          <w:lang w:val="en-US" w:eastAsia="tr-TR"/>
        </w:rPr>
        <w:t>Ticaret</w:t>
      </w:r>
      <w:proofErr w:type="spellEnd"/>
      <w:r w:rsidR="004462AF" w:rsidRPr="004462AF">
        <w:rPr>
          <w:rFonts w:ascii="Century Gothic" w:eastAsia="Times New Roman" w:hAnsi="Century Gothic" w:cs="Times New Roman"/>
          <w:i/>
          <w:lang w:val="en-US" w:eastAsia="tr-TR"/>
        </w:rPr>
        <w:t xml:space="preserve"> AŞ which had previously been in second place, rose to first place. </w:t>
      </w:r>
      <w:proofErr w:type="spellStart"/>
      <w:r w:rsidR="004462AF" w:rsidRPr="004462AF">
        <w:rPr>
          <w:rFonts w:ascii="Century Gothic" w:eastAsia="Times New Roman" w:hAnsi="Century Gothic" w:cs="Times New Roman"/>
          <w:i/>
          <w:lang w:val="en-US" w:eastAsia="tr-TR"/>
        </w:rPr>
        <w:t>Çemaş</w:t>
      </w:r>
      <w:proofErr w:type="spellEnd"/>
      <w:r w:rsidR="004462AF" w:rsidRPr="004462AF">
        <w:rPr>
          <w:rFonts w:ascii="Century Gothic" w:eastAsia="Times New Roman" w:hAnsi="Century Gothic" w:cs="Times New Roman"/>
          <w:i/>
          <w:lang w:val="en-US" w:eastAsia="tr-TR"/>
        </w:rPr>
        <w:t xml:space="preserve"> </w:t>
      </w:r>
      <w:proofErr w:type="spellStart"/>
      <w:r w:rsidR="004462AF" w:rsidRPr="004462AF">
        <w:rPr>
          <w:rFonts w:ascii="Century Gothic" w:eastAsia="Times New Roman" w:hAnsi="Century Gothic" w:cs="Times New Roman"/>
          <w:i/>
          <w:lang w:val="en-US" w:eastAsia="tr-TR"/>
        </w:rPr>
        <w:t>Döküm</w:t>
      </w:r>
      <w:proofErr w:type="spellEnd"/>
      <w:r w:rsidR="004462AF" w:rsidRPr="004462AF">
        <w:rPr>
          <w:rFonts w:ascii="Century Gothic" w:eastAsia="Times New Roman" w:hAnsi="Century Gothic" w:cs="Times New Roman"/>
          <w:i/>
          <w:lang w:val="en-US" w:eastAsia="tr-TR"/>
        </w:rPr>
        <w:t xml:space="preserve"> </w:t>
      </w:r>
      <w:proofErr w:type="spellStart"/>
      <w:r w:rsidR="004462AF" w:rsidRPr="004462AF">
        <w:rPr>
          <w:rFonts w:ascii="Century Gothic" w:eastAsia="Times New Roman" w:hAnsi="Century Gothic" w:cs="Times New Roman"/>
          <w:i/>
          <w:lang w:val="en-US" w:eastAsia="tr-TR"/>
        </w:rPr>
        <w:t>Sanayi</w:t>
      </w:r>
      <w:proofErr w:type="spellEnd"/>
      <w:r w:rsidR="004462AF" w:rsidRPr="004462AF">
        <w:rPr>
          <w:rFonts w:ascii="Century Gothic" w:eastAsia="Times New Roman" w:hAnsi="Century Gothic" w:cs="Times New Roman"/>
          <w:i/>
          <w:lang w:val="en-US" w:eastAsia="tr-TR"/>
        </w:rPr>
        <w:t xml:space="preserve"> AŞ took first place in 2021. It can be seen that </w:t>
      </w:r>
      <w:proofErr w:type="spellStart"/>
      <w:r w:rsidR="004462AF" w:rsidRPr="004462AF">
        <w:rPr>
          <w:rFonts w:ascii="Century Gothic" w:eastAsia="Times New Roman" w:hAnsi="Century Gothic" w:cs="Times New Roman"/>
          <w:i/>
          <w:lang w:val="en-US" w:eastAsia="tr-TR"/>
        </w:rPr>
        <w:t>Çemaş</w:t>
      </w:r>
      <w:proofErr w:type="spellEnd"/>
      <w:r w:rsidR="004462AF" w:rsidRPr="004462AF">
        <w:rPr>
          <w:rFonts w:ascii="Century Gothic" w:eastAsia="Times New Roman" w:hAnsi="Century Gothic" w:cs="Times New Roman"/>
          <w:i/>
          <w:lang w:val="en-US" w:eastAsia="tr-TR"/>
        </w:rPr>
        <w:t xml:space="preserve"> </w:t>
      </w:r>
      <w:proofErr w:type="spellStart"/>
      <w:r w:rsidR="004462AF" w:rsidRPr="004462AF">
        <w:rPr>
          <w:rFonts w:ascii="Century Gothic" w:eastAsia="Times New Roman" w:hAnsi="Century Gothic" w:cs="Times New Roman"/>
          <w:i/>
          <w:lang w:val="en-US" w:eastAsia="tr-TR"/>
        </w:rPr>
        <w:t>Döküm</w:t>
      </w:r>
      <w:proofErr w:type="spellEnd"/>
      <w:r w:rsidR="004462AF" w:rsidRPr="004462AF">
        <w:rPr>
          <w:rFonts w:ascii="Century Gothic" w:eastAsia="Times New Roman" w:hAnsi="Century Gothic" w:cs="Times New Roman"/>
          <w:i/>
          <w:lang w:val="en-US" w:eastAsia="tr-TR"/>
        </w:rPr>
        <w:t xml:space="preserve"> </w:t>
      </w:r>
      <w:proofErr w:type="spellStart"/>
      <w:r w:rsidR="004462AF" w:rsidRPr="004462AF">
        <w:rPr>
          <w:rFonts w:ascii="Century Gothic" w:eastAsia="Times New Roman" w:hAnsi="Century Gothic" w:cs="Times New Roman"/>
          <w:i/>
          <w:lang w:val="en-US" w:eastAsia="tr-TR"/>
        </w:rPr>
        <w:t>Sanayi</w:t>
      </w:r>
      <w:proofErr w:type="spellEnd"/>
      <w:r w:rsidR="004462AF" w:rsidRPr="004462AF">
        <w:rPr>
          <w:rFonts w:ascii="Century Gothic" w:eastAsia="Times New Roman" w:hAnsi="Century Gothic" w:cs="Times New Roman"/>
          <w:i/>
          <w:lang w:val="en-US" w:eastAsia="tr-TR"/>
        </w:rPr>
        <w:t xml:space="preserve"> AŞ which made the greatest leap in the index examined, was last in 2017 and second to last in 2018. </w:t>
      </w:r>
      <w:r>
        <w:rPr>
          <w:rFonts w:ascii="Century Gothic" w:eastAsia="Times New Roman" w:hAnsi="Century Gothic" w:cs="Times New Roman"/>
          <w:i/>
          <w:lang w:eastAsia="tr-TR"/>
        </w:rPr>
        <w:t xml:space="preserve"> </w:t>
      </w:r>
    </w:p>
    <w:p w:rsidR="00AE64EB" w:rsidRDefault="00A1332E" w:rsidP="0092799E">
      <w:pPr>
        <w:autoSpaceDE w:val="0"/>
        <w:autoSpaceDN w:val="0"/>
        <w:adjustRightInd w:val="0"/>
        <w:spacing w:before="120" w:after="120"/>
        <w:jc w:val="both"/>
        <w:rPr>
          <w:rFonts w:ascii="Century Gothic" w:eastAsia="Times New Roman" w:hAnsi="Century Gothic" w:cs="Times New Roman"/>
          <w:i/>
          <w:lang w:val="en-US" w:eastAsia="tr-TR"/>
        </w:rPr>
      </w:pPr>
      <w:proofErr w:type="spellStart"/>
      <w:r w:rsidRPr="000E54D1">
        <w:rPr>
          <w:rFonts w:ascii="Century Gothic" w:eastAsia="Times New Roman" w:hAnsi="Century Gothic" w:cs="Times New Roman"/>
          <w:b/>
          <w:i/>
          <w:lang w:eastAsia="tr-TR"/>
        </w:rPr>
        <w:t>Implications</w:t>
      </w:r>
      <w:proofErr w:type="spellEnd"/>
      <w:r w:rsidRPr="000E54D1">
        <w:rPr>
          <w:rFonts w:ascii="Century Gothic" w:eastAsia="Times New Roman" w:hAnsi="Century Gothic" w:cs="Times New Roman"/>
          <w:b/>
          <w:i/>
          <w:lang w:eastAsia="tr-TR"/>
        </w:rPr>
        <w:t>:</w:t>
      </w:r>
      <w:r>
        <w:rPr>
          <w:rFonts w:ascii="Century Gothic" w:eastAsia="Times New Roman" w:hAnsi="Century Gothic" w:cs="Times New Roman"/>
          <w:i/>
          <w:lang w:eastAsia="tr-TR"/>
        </w:rPr>
        <w:t xml:space="preserve"> </w:t>
      </w:r>
      <w:r w:rsidR="00527EEF" w:rsidRPr="00527EEF">
        <w:rPr>
          <w:rFonts w:ascii="Century Gothic" w:eastAsia="Times New Roman" w:hAnsi="Century Gothic" w:cs="Times New Roman"/>
          <w:i/>
          <w:lang w:eastAsia="tr-TR"/>
        </w:rPr>
        <w:t xml:space="preserve">The </w:t>
      </w:r>
      <w:proofErr w:type="spellStart"/>
      <w:r w:rsidR="00527EEF" w:rsidRPr="00527EEF">
        <w:rPr>
          <w:rFonts w:ascii="Century Gothic" w:eastAsia="Times New Roman" w:hAnsi="Century Gothic" w:cs="Times New Roman"/>
          <w:i/>
          <w:lang w:eastAsia="tr-TR"/>
        </w:rPr>
        <w:t>performance</w:t>
      </w:r>
      <w:proofErr w:type="spellEnd"/>
      <w:r w:rsidR="00527EEF" w:rsidRPr="00527EEF">
        <w:rPr>
          <w:rFonts w:ascii="Century Gothic" w:eastAsia="Times New Roman" w:hAnsi="Century Gothic" w:cs="Times New Roman"/>
          <w:i/>
          <w:lang w:eastAsia="tr-TR"/>
        </w:rPr>
        <w:t xml:space="preserve"> of </w:t>
      </w:r>
      <w:proofErr w:type="spellStart"/>
      <w:r w:rsidR="00527EEF" w:rsidRPr="00527EEF">
        <w:rPr>
          <w:rFonts w:ascii="Century Gothic" w:eastAsia="Times New Roman" w:hAnsi="Century Gothic" w:cs="Times New Roman"/>
          <w:i/>
          <w:lang w:eastAsia="tr-TR"/>
        </w:rPr>
        <w:t>the</w:t>
      </w:r>
      <w:proofErr w:type="spellEnd"/>
      <w:r w:rsidR="00527EEF" w:rsidRPr="00527EEF">
        <w:rPr>
          <w:rFonts w:ascii="Century Gothic" w:eastAsia="Times New Roman" w:hAnsi="Century Gothic" w:cs="Times New Roman"/>
          <w:i/>
          <w:lang w:eastAsia="tr-TR"/>
        </w:rPr>
        <w:t xml:space="preserve"> </w:t>
      </w:r>
      <w:proofErr w:type="spellStart"/>
      <w:r w:rsidR="00527EEF" w:rsidRPr="00527EEF">
        <w:rPr>
          <w:rFonts w:ascii="Century Gothic" w:eastAsia="Times New Roman" w:hAnsi="Century Gothic" w:cs="Times New Roman"/>
          <w:i/>
          <w:lang w:eastAsia="tr-TR"/>
        </w:rPr>
        <w:t>basic</w:t>
      </w:r>
      <w:proofErr w:type="spellEnd"/>
      <w:r w:rsidR="00527EEF" w:rsidRPr="00527EEF">
        <w:rPr>
          <w:rFonts w:ascii="Century Gothic" w:eastAsia="Times New Roman" w:hAnsi="Century Gothic" w:cs="Times New Roman"/>
          <w:i/>
          <w:lang w:eastAsia="tr-TR"/>
        </w:rPr>
        <w:t xml:space="preserve"> metal </w:t>
      </w:r>
      <w:proofErr w:type="spellStart"/>
      <w:r w:rsidR="00527EEF" w:rsidRPr="00527EEF">
        <w:rPr>
          <w:rFonts w:ascii="Century Gothic" w:eastAsia="Times New Roman" w:hAnsi="Century Gothic" w:cs="Times New Roman"/>
          <w:i/>
          <w:lang w:eastAsia="tr-TR"/>
        </w:rPr>
        <w:t>industry</w:t>
      </w:r>
      <w:proofErr w:type="spellEnd"/>
      <w:r w:rsidR="00527EEF" w:rsidRPr="00527EEF">
        <w:rPr>
          <w:rFonts w:ascii="Century Gothic" w:eastAsia="Times New Roman" w:hAnsi="Century Gothic" w:cs="Times New Roman"/>
          <w:i/>
          <w:lang w:eastAsia="tr-TR"/>
        </w:rPr>
        <w:t xml:space="preserve"> </w:t>
      </w:r>
      <w:proofErr w:type="spellStart"/>
      <w:r w:rsidR="00217DEB" w:rsidRPr="00217DEB">
        <w:rPr>
          <w:rFonts w:ascii="Century Gothic" w:eastAsia="Times New Roman" w:hAnsi="Century Gothic" w:cs="Times New Roman"/>
          <w:bCs/>
          <w:i/>
          <w:lang w:eastAsia="tr-TR"/>
        </w:rPr>
        <w:t>enterprises</w:t>
      </w:r>
      <w:proofErr w:type="spellEnd"/>
      <w:r w:rsidR="00527EEF" w:rsidRPr="00527EEF">
        <w:rPr>
          <w:rFonts w:ascii="Century Gothic" w:eastAsia="Times New Roman" w:hAnsi="Century Gothic" w:cs="Times New Roman"/>
          <w:i/>
          <w:lang w:eastAsia="tr-TR"/>
        </w:rPr>
        <w:t xml:space="preserve"> </w:t>
      </w:r>
      <w:proofErr w:type="spellStart"/>
      <w:r w:rsidR="00527EEF" w:rsidRPr="00527EEF">
        <w:rPr>
          <w:rFonts w:ascii="Century Gothic" w:eastAsia="Times New Roman" w:hAnsi="Century Gothic" w:cs="Times New Roman"/>
          <w:i/>
          <w:lang w:eastAsia="tr-TR"/>
        </w:rPr>
        <w:t>traded</w:t>
      </w:r>
      <w:proofErr w:type="spellEnd"/>
      <w:r w:rsidR="00527EEF" w:rsidRPr="00527EEF">
        <w:rPr>
          <w:rFonts w:ascii="Century Gothic" w:eastAsia="Times New Roman" w:hAnsi="Century Gothic" w:cs="Times New Roman"/>
          <w:i/>
          <w:lang w:eastAsia="tr-TR"/>
        </w:rPr>
        <w:t xml:space="preserve"> in </w:t>
      </w:r>
      <w:proofErr w:type="spellStart"/>
      <w:r w:rsidR="00527EEF" w:rsidRPr="00527EEF">
        <w:rPr>
          <w:rFonts w:ascii="Century Gothic" w:eastAsia="Times New Roman" w:hAnsi="Century Gothic" w:cs="Times New Roman"/>
          <w:i/>
          <w:lang w:eastAsia="tr-TR"/>
        </w:rPr>
        <w:t>the</w:t>
      </w:r>
      <w:proofErr w:type="spellEnd"/>
      <w:r w:rsidR="00527EEF" w:rsidRPr="00527EEF">
        <w:rPr>
          <w:rFonts w:ascii="Century Gothic" w:eastAsia="Times New Roman" w:hAnsi="Century Gothic" w:cs="Times New Roman"/>
          <w:i/>
          <w:lang w:eastAsia="tr-TR"/>
        </w:rPr>
        <w:t xml:space="preserve"> BIST has </w:t>
      </w:r>
      <w:proofErr w:type="spellStart"/>
      <w:r w:rsidR="00527EEF" w:rsidRPr="00527EEF">
        <w:rPr>
          <w:rFonts w:ascii="Century Gothic" w:eastAsia="Times New Roman" w:hAnsi="Century Gothic" w:cs="Times New Roman"/>
          <w:i/>
          <w:lang w:eastAsia="tr-TR"/>
        </w:rPr>
        <w:t>been</w:t>
      </w:r>
      <w:proofErr w:type="spellEnd"/>
      <w:r w:rsidR="00527EEF" w:rsidRPr="00527EEF">
        <w:rPr>
          <w:rFonts w:ascii="Century Gothic" w:eastAsia="Times New Roman" w:hAnsi="Century Gothic" w:cs="Times New Roman"/>
          <w:i/>
          <w:lang w:eastAsia="tr-TR"/>
        </w:rPr>
        <w:t xml:space="preserve"> </w:t>
      </w:r>
      <w:proofErr w:type="spellStart"/>
      <w:r w:rsidR="00527EEF" w:rsidRPr="00527EEF">
        <w:rPr>
          <w:rFonts w:ascii="Century Gothic" w:eastAsia="Times New Roman" w:hAnsi="Century Gothic" w:cs="Times New Roman"/>
          <w:i/>
          <w:lang w:eastAsia="tr-TR"/>
        </w:rPr>
        <w:t>examined</w:t>
      </w:r>
      <w:proofErr w:type="spellEnd"/>
      <w:r w:rsidR="00527EEF" w:rsidRPr="00527EEF">
        <w:rPr>
          <w:rFonts w:ascii="Century Gothic" w:eastAsia="Times New Roman" w:hAnsi="Century Gothic" w:cs="Times New Roman"/>
          <w:i/>
          <w:lang w:eastAsia="tr-TR"/>
        </w:rPr>
        <w:t xml:space="preserve"> and it has </w:t>
      </w:r>
      <w:proofErr w:type="spellStart"/>
      <w:r w:rsidR="00527EEF" w:rsidRPr="00527EEF">
        <w:rPr>
          <w:rFonts w:ascii="Century Gothic" w:eastAsia="Times New Roman" w:hAnsi="Century Gothic" w:cs="Times New Roman"/>
          <w:i/>
          <w:lang w:eastAsia="tr-TR"/>
        </w:rPr>
        <w:t>been</w:t>
      </w:r>
      <w:proofErr w:type="spellEnd"/>
      <w:r w:rsidR="00527EEF" w:rsidRPr="00527EEF">
        <w:rPr>
          <w:rFonts w:ascii="Century Gothic" w:eastAsia="Times New Roman" w:hAnsi="Century Gothic" w:cs="Times New Roman"/>
          <w:i/>
          <w:lang w:eastAsia="tr-TR"/>
        </w:rPr>
        <w:t xml:space="preserve"> </w:t>
      </w:r>
      <w:proofErr w:type="spellStart"/>
      <w:r w:rsidR="00527EEF" w:rsidRPr="00527EEF">
        <w:rPr>
          <w:rFonts w:ascii="Century Gothic" w:eastAsia="Times New Roman" w:hAnsi="Century Gothic" w:cs="Times New Roman"/>
          <w:i/>
          <w:lang w:eastAsia="tr-TR"/>
        </w:rPr>
        <w:t>determined</w:t>
      </w:r>
      <w:proofErr w:type="spellEnd"/>
      <w:r w:rsidR="00527EEF" w:rsidRPr="00527EEF">
        <w:rPr>
          <w:rFonts w:ascii="Century Gothic" w:eastAsia="Times New Roman" w:hAnsi="Century Gothic" w:cs="Times New Roman"/>
          <w:i/>
          <w:lang w:eastAsia="tr-TR"/>
        </w:rPr>
        <w:t xml:space="preserve"> </w:t>
      </w:r>
      <w:proofErr w:type="spellStart"/>
      <w:r w:rsidR="00527EEF" w:rsidRPr="00527EEF">
        <w:rPr>
          <w:rFonts w:ascii="Century Gothic" w:eastAsia="Times New Roman" w:hAnsi="Century Gothic" w:cs="Times New Roman"/>
          <w:i/>
          <w:lang w:eastAsia="tr-TR"/>
        </w:rPr>
        <w:t>that</w:t>
      </w:r>
      <w:proofErr w:type="spellEnd"/>
      <w:r w:rsidR="00527EEF" w:rsidRPr="00527EEF">
        <w:rPr>
          <w:rFonts w:ascii="Century Gothic" w:eastAsia="Times New Roman" w:hAnsi="Century Gothic" w:cs="Times New Roman"/>
          <w:i/>
          <w:lang w:eastAsia="tr-TR"/>
        </w:rPr>
        <w:t xml:space="preserve"> </w:t>
      </w:r>
      <w:proofErr w:type="spellStart"/>
      <w:r w:rsidR="00527EEF" w:rsidRPr="00527EEF">
        <w:rPr>
          <w:rFonts w:ascii="Century Gothic" w:eastAsia="Times New Roman" w:hAnsi="Century Gothic" w:cs="Times New Roman"/>
          <w:i/>
          <w:lang w:eastAsia="tr-TR"/>
        </w:rPr>
        <w:t>the</w:t>
      </w:r>
      <w:proofErr w:type="spellEnd"/>
      <w:r w:rsidR="00527EEF" w:rsidRPr="00527EEF">
        <w:rPr>
          <w:rFonts w:ascii="Century Gothic" w:eastAsia="Times New Roman" w:hAnsi="Century Gothic" w:cs="Times New Roman"/>
          <w:i/>
          <w:lang w:eastAsia="tr-TR"/>
        </w:rPr>
        <w:t xml:space="preserve"> </w:t>
      </w:r>
      <w:proofErr w:type="spellStart"/>
      <w:r w:rsidR="00527EEF" w:rsidRPr="00527EEF">
        <w:rPr>
          <w:rFonts w:ascii="Century Gothic" w:eastAsia="Times New Roman" w:hAnsi="Century Gothic" w:cs="Times New Roman"/>
          <w:i/>
          <w:lang w:eastAsia="tr-TR"/>
        </w:rPr>
        <w:t>fluctuations</w:t>
      </w:r>
      <w:proofErr w:type="spellEnd"/>
      <w:r w:rsidR="00527EEF" w:rsidRPr="00527EEF">
        <w:rPr>
          <w:rFonts w:ascii="Century Gothic" w:eastAsia="Times New Roman" w:hAnsi="Century Gothic" w:cs="Times New Roman"/>
          <w:i/>
          <w:lang w:eastAsia="tr-TR"/>
        </w:rPr>
        <w:t xml:space="preserve"> in </w:t>
      </w:r>
      <w:proofErr w:type="spellStart"/>
      <w:r w:rsidR="00527EEF" w:rsidRPr="00527EEF">
        <w:rPr>
          <w:rFonts w:ascii="Century Gothic" w:eastAsia="Times New Roman" w:hAnsi="Century Gothic" w:cs="Times New Roman"/>
          <w:i/>
          <w:lang w:eastAsia="tr-TR"/>
        </w:rPr>
        <w:t>the</w:t>
      </w:r>
      <w:proofErr w:type="spellEnd"/>
      <w:r w:rsidR="00527EEF" w:rsidRPr="00527EEF">
        <w:rPr>
          <w:rFonts w:ascii="Century Gothic" w:eastAsia="Times New Roman" w:hAnsi="Century Gothic" w:cs="Times New Roman"/>
          <w:i/>
          <w:lang w:eastAsia="tr-TR"/>
        </w:rPr>
        <w:t xml:space="preserve"> </w:t>
      </w:r>
      <w:proofErr w:type="spellStart"/>
      <w:r w:rsidR="00527EEF" w:rsidRPr="00527EEF">
        <w:rPr>
          <w:rFonts w:ascii="Century Gothic" w:eastAsia="Times New Roman" w:hAnsi="Century Gothic" w:cs="Times New Roman"/>
          <w:i/>
          <w:lang w:eastAsia="tr-TR"/>
        </w:rPr>
        <w:t>liquidity</w:t>
      </w:r>
      <w:proofErr w:type="spellEnd"/>
      <w:r w:rsidR="00527EEF" w:rsidRPr="00527EEF">
        <w:rPr>
          <w:rFonts w:ascii="Century Gothic" w:eastAsia="Times New Roman" w:hAnsi="Century Gothic" w:cs="Times New Roman"/>
          <w:i/>
          <w:lang w:eastAsia="tr-TR"/>
        </w:rPr>
        <w:t xml:space="preserve"> and </w:t>
      </w:r>
      <w:proofErr w:type="spellStart"/>
      <w:r w:rsidR="00527EEF" w:rsidRPr="00527EEF">
        <w:rPr>
          <w:rFonts w:ascii="Century Gothic" w:eastAsia="Times New Roman" w:hAnsi="Century Gothic" w:cs="Times New Roman"/>
          <w:i/>
          <w:lang w:eastAsia="tr-TR"/>
        </w:rPr>
        <w:t>financial</w:t>
      </w:r>
      <w:proofErr w:type="spellEnd"/>
      <w:r w:rsidR="00527EEF" w:rsidRPr="00527EEF">
        <w:rPr>
          <w:rFonts w:ascii="Century Gothic" w:eastAsia="Times New Roman" w:hAnsi="Century Gothic" w:cs="Times New Roman"/>
          <w:i/>
          <w:lang w:eastAsia="tr-TR"/>
        </w:rPr>
        <w:t xml:space="preserve"> </w:t>
      </w:r>
      <w:proofErr w:type="spellStart"/>
      <w:r w:rsidR="00527EEF" w:rsidRPr="00527EEF">
        <w:rPr>
          <w:rFonts w:ascii="Century Gothic" w:eastAsia="Times New Roman" w:hAnsi="Century Gothic" w:cs="Times New Roman"/>
          <w:i/>
          <w:lang w:eastAsia="tr-TR"/>
        </w:rPr>
        <w:t>structure</w:t>
      </w:r>
      <w:proofErr w:type="spellEnd"/>
      <w:r w:rsidR="00527EEF" w:rsidRPr="00527EEF">
        <w:rPr>
          <w:rFonts w:ascii="Century Gothic" w:eastAsia="Times New Roman" w:hAnsi="Century Gothic" w:cs="Times New Roman"/>
          <w:i/>
          <w:lang w:eastAsia="tr-TR"/>
        </w:rPr>
        <w:t xml:space="preserve"> </w:t>
      </w:r>
      <w:proofErr w:type="spellStart"/>
      <w:r w:rsidR="00527EEF" w:rsidRPr="00527EEF">
        <w:rPr>
          <w:rFonts w:ascii="Century Gothic" w:eastAsia="Times New Roman" w:hAnsi="Century Gothic" w:cs="Times New Roman"/>
          <w:i/>
          <w:lang w:eastAsia="tr-TR"/>
        </w:rPr>
        <w:t>ratios</w:t>
      </w:r>
      <w:proofErr w:type="spellEnd"/>
      <w:r w:rsidR="00527EEF" w:rsidRPr="00527EEF">
        <w:rPr>
          <w:rFonts w:ascii="Century Gothic" w:eastAsia="Times New Roman" w:hAnsi="Century Gothic" w:cs="Times New Roman"/>
          <w:i/>
          <w:lang w:eastAsia="tr-TR"/>
        </w:rPr>
        <w:t xml:space="preserve"> </w:t>
      </w:r>
      <w:proofErr w:type="spellStart"/>
      <w:r w:rsidR="00527EEF" w:rsidRPr="00527EEF">
        <w:rPr>
          <w:rFonts w:ascii="Century Gothic" w:eastAsia="Times New Roman" w:hAnsi="Century Gothic" w:cs="Times New Roman"/>
          <w:i/>
          <w:lang w:eastAsia="tr-TR"/>
        </w:rPr>
        <w:t>have</w:t>
      </w:r>
      <w:proofErr w:type="spellEnd"/>
      <w:r w:rsidR="00527EEF" w:rsidRPr="00527EEF">
        <w:rPr>
          <w:rFonts w:ascii="Century Gothic" w:eastAsia="Times New Roman" w:hAnsi="Century Gothic" w:cs="Times New Roman"/>
          <w:i/>
          <w:lang w:eastAsia="tr-TR"/>
        </w:rPr>
        <w:t xml:space="preserve"> an </w:t>
      </w:r>
      <w:proofErr w:type="spellStart"/>
      <w:r w:rsidR="00527EEF" w:rsidRPr="00527EEF">
        <w:rPr>
          <w:rFonts w:ascii="Century Gothic" w:eastAsia="Times New Roman" w:hAnsi="Century Gothic" w:cs="Times New Roman"/>
          <w:i/>
          <w:lang w:eastAsia="tr-TR"/>
        </w:rPr>
        <w:t>effect</w:t>
      </w:r>
      <w:proofErr w:type="spellEnd"/>
      <w:r w:rsidR="00527EEF" w:rsidRPr="00527EEF">
        <w:rPr>
          <w:rFonts w:ascii="Century Gothic" w:eastAsia="Times New Roman" w:hAnsi="Century Gothic" w:cs="Times New Roman"/>
          <w:i/>
          <w:lang w:eastAsia="tr-TR"/>
        </w:rPr>
        <w:t xml:space="preserve"> on </w:t>
      </w:r>
      <w:proofErr w:type="spellStart"/>
      <w:r w:rsidR="00527EEF" w:rsidRPr="00527EEF">
        <w:rPr>
          <w:rFonts w:ascii="Century Gothic" w:eastAsia="Times New Roman" w:hAnsi="Century Gothic" w:cs="Times New Roman"/>
          <w:i/>
          <w:lang w:eastAsia="tr-TR"/>
        </w:rPr>
        <w:t>the</w:t>
      </w:r>
      <w:proofErr w:type="spellEnd"/>
      <w:r w:rsidR="00527EEF" w:rsidRPr="00527EEF">
        <w:rPr>
          <w:rFonts w:ascii="Century Gothic" w:eastAsia="Times New Roman" w:hAnsi="Century Gothic" w:cs="Times New Roman"/>
          <w:i/>
          <w:lang w:eastAsia="tr-TR"/>
        </w:rPr>
        <w:t xml:space="preserve"> </w:t>
      </w:r>
      <w:proofErr w:type="spellStart"/>
      <w:r w:rsidR="00527EEF" w:rsidRPr="00527EEF">
        <w:rPr>
          <w:rFonts w:ascii="Century Gothic" w:eastAsia="Times New Roman" w:hAnsi="Century Gothic" w:cs="Times New Roman"/>
          <w:i/>
          <w:lang w:eastAsia="tr-TR"/>
        </w:rPr>
        <w:t>financial</w:t>
      </w:r>
      <w:proofErr w:type="spellEnd"/>
      <w:r w:rsidR="00527EEF" w:rsidRPr="00527EEF">
        <w:rPr>
          <w:rFonts w:ascii="Century Gothic" w:eastAsia="Times New Roman" w:hAnsi="Century Gothic" w:cs="Times New Roman"/>
          <w:i/>
          <w:lang w:eastAsia="tr-TR"/>
        </w:rPr>
        <w:t xml:space="preserve"> </w:t>
      </w:r>
      <w:proofErr w:type="spellStart"/>
      <w:r w:rsidR="00527EEF" w:rsidRPr="00527EEF">
        <w:rPr>
          <w:rFonts w:ascii="Century Gothic" w:eastAsia="Times New Roman" w:hAnsi="Century Gothic" w:cs="Times New Roman"/>
          <w:i/>
          <w:lang w:eastAsia="tr-TR"/>
        </w:rPr>
        <w:t>performance</w:t>
      </w:r>
      <w:proofErr w:type="spellEnd"/>
      <w:r w:rsidR="00527EEF" w:rsidRPr="00527EEF">
        <w:rPr>
          <w:rFonts w:ascii="Century Gothic" w:eastAsia="Times New Roman" w:hAnsi="Century Gothic" w:cs="Times New Roman"/>
          <w:i/>
          <w:lang w:eastAsia="tr-TR"/>
        </w:rPr>
        <w:t xml:space="preserve"> of </w:t>
      </w:r>
      <w:proofErr w:type="spellStart"/>
      <w:r w:rsidR="00527EEF" w:rsidRPr="00527EEF">
        <w:rPr>
          <w:rFonts w:ascii="Century Gothic" w:eastAsia="Times New Roman" w:hAnsi="Century Gothic" w:cs="Times New Roman"/>
          <w:i/>
          <w:lang w:eastAsia="tr-TR"/>
        </w:rPr>
        <w:t>the</w:t>
      </w:r>
      <w:proofErr w:type="spellEnd"/>
      <w:r w:rsidR="00527EEF" w:rsidRPr="00527EEF">
        <w:rPr>
          <w:rFonts w:ascii="Century Gothic" w:eastAsia="Times New Roman" w:hAnsi="Century Gothic" w:cs="Times New Roman"/>
          <w:i/>
          <w:lang w:eastAsia="tr-TR"/>
        </w:rPr>
        <w:t xml:space="preserve"> </w:t>
      </w:r>
      <w:proofErr w:type="spellStart"/>
      <w:r w:rsidR="00217DEB" w:rsidRPr="00217DEB">
        <w:rPr>
          <w:rFonts w:ascii="Century Gothic" w:eastAsia="Times New Roman" w:hAnsi="Century Gothic" w:cs="Times New Roman"/>
          <w:bCs/>
          <w:i/>
          <w:lang w:eastAsia="tr-TR"/>
        </w:rPr>
        <w:t>enterprises</w:t>
      </w:r>
      <w:proofErr w:type="spellEnd"/>
      <w:r w:rsidR="00527EEF" w:rsidRPr="00527EEF">
        <w:rPr>
          <w:rFonts w:ascii="Century Gothic" w:eastAsia="Times New Roman" w:hAnsi="Century Gothic" w:cs="Times New Roman"/>
          <w:i/>
          <w:lang w:eastAsia="tr-TR"/>
        </w:rPr>
        <w:t>.</w:t>
      </w:r>
      <w:r w:rsidR="00527EEF">
        <w:rPr>
          <w:rFonts w:ascii="Century Gothic" w:eastAsia="Times New Roman" w:hAnsi="Century Gothic" w:cs="Times New Roman"/>
          <w:i/>
          <w:lang w:eastAsia="tr-TR"/>
        </w:rPr>
        <w:t xml:space="preserve"> </w:t>
      </w:r>
      <w:r w:rsidR="004462AF" w:rsidRPr="004462AF">
        <w:rPr>
          <w:rFonts w:ascii="Century Gothic" w:eastAsia="Times New Roman" w:hAnsi="Century Gothic" w:cs="Times New Roman"/>
          <w:i/>
          <w:lang w:val="en-US" w:eastAsia="tr-TR"/>
        </w:rPr>
        <w:t xml:space="preserve">This study can help </w:t>
      </w:r>
      <w:r w:rsidR="00AE64EB" w:rsidRPr="00AE64EB">
        <w:rPr>
          <w:rFonts w:ascii="Century Gothic" w:eastAsia="Times New Roman" w:hAnsi="Century Gothic" w:cs="Times New Roman"/>
          <w:i/>
          <w:lang w:val="en-US" w:eastAsia="tr-TR"/>
        </w:rPr>
        <w:t xml:space="preserve">researchers </w:t>
      </w:r>
      <w:r w:rsidR="00AE64EB">
        <w:rPr>
          <w:rFonts w:ascii="Century Gothic" w:eastAsia="Times New Roman" w:hAnsi="Century Gothic" w:cs="Times New Roman"/>
          <w:i/>
          <w:lang w:val="en-US" w:eastAsia="tr-TR"/>
        </w:rPr>
        <w:t xml:space="preserve">and practitioners in the sector </w:t>
      </w:r>
      <w:r w:rsidR="004462AF" w:rsidRPr="004462AF">
        <w:rPr>
          <w:rFonts w:ascii="Century Gothic" w:eastAsia="Times New Roman" w:hAnsi="Century Gothic" w:cs="Times New Roman"/>
          <w:i/>
          <w:lang w:val="en-US" w:eastAsia="tr-TR"/>
        </w:rPr>
        <w:t xml:space="preserve">by advising them on their preferences by using TOPSIS to assess the financial performance of </w:t>
      </w:r>
      <w:proofErr w:type="spellStart"/>
      <w:r w:rsidR="00217DEB" w:rsidRPr="00217DEB">
        <w:rPr>
          <w:rFonts w:ascii="Century Gothic" w:eastAsia="Times New Roman" w:hAnsi="Century Gothic" w:cs="Times New Roman"/>
          <w:bCs/>
          <w:i/>
          <w:lang w:eastAsia="tr-TR"/>
        </w:rPr>
        <w:t>enterprises</w:t>
      </w:r>
      <w:proofErr w:type="spellEnd"/>
      <w:r w:rsidR="004462AF" w:rsidRPr="004462AF">
        <w:rPr>
          <w:rFonts w:ascii="Century Gothic" w:eastAsia="Times New Roman" w:hAnsi="Century Gothic" w:cs="Times New Roman"/>
          <w:i/>
          <w:lang w:val="en-US" w:eastAsia="tr-TR"/>
        </w:rPr>
        <w:t xml:space="preserve"> in the basic metal industry. </w:t>
      </w:r>
    </w:p>
    <w:p w:rsidR="00EA3DA9" w:rsidRDefault="00EA3DA9" w:rsidP="0092799E">
      <w:pPr>
        <w:autoSpaceDE w:val="0"/>
        <w:autoSpaceDN w:val="0"/>
        <w:adjustRightInd w:val="0"/>
        <w:spacing w:before="120" w:after="120"/>
        <w:jc w:val="both"/>
        <w:rPr>
          <w:rFonts w:ascii="Century Gothic" w:eastAsia="Times New Roman" w:hAnsi="Century Gothic" w:cs="Times New Roman"/>
          <w:i/>
          <w:lang w:eastAsia="tr-TR"/>
        </w:rPr>
      </w:pPr>
      <w:proofErr w:type="spellStart"/>
      <w:r w:rsidRPr="000E54D1">
        <w:rPr>
          <w:rFonts w:ascii="Century Gothic" w:eastAsia="Times New Roman" w:hAnsi="Century Gothic" w:cs="Times New Roman"/>
          <w:b/>
          <w:i/>
          <w:lang w:eastAsia="tr-TR"/>
        </w:rPr>
        <w:t>Limitations</w:t>
      </w:r>
      <w:proofErr w:type="spellEnd"/>
      <w:r w:rsidR="000E54D1">
        <w:rPr>
          <w:rFonts w:ascii="Century Gothic" w:eastAsia="Times New Roman" w:hAnsi="Century Gothic" w:cs="Times New Roman"/>
          <w:b/>
          <w:i/>
          <w:lang w:eastAsia="tr-TR"/>
        </w:rPr>
        <w:t>:</w:t>
      </w:r>
      <w:r w:rsidR="004462AF">
        <w:rPr>
          <w:rFonts w:ascii="Century Gothic" w:eastAsia="Times New Roman" w:hAnsi="Century Gothic" w:cs="Times New Roman"/>
          <w:i/>
          <w:lang w:eastAsia="tr-TR"/>
        </w:rPr>
        <w:t xml:space="preserve"> </w:t>
      </w:r>
      <w:r w:rsidR="00223DBA" w:rsidRPr="00223DBA">
        <w:rPr>
          <w:rFonts w:ascii="Century Gothic" w:eastAsia="Times New Roman" w:hAnsi="Century Gothic" w:cs="Times New Roman"/>
          <w:i/>
          <w:lang w:val="en-US" w:eastAsia="tr-TR"/>
        </w:rPr>
        <w:t>Due to the difficulty in accessing the financial statements of the</w:t>
      </w:r>
      <w:r w:rsidR="00F25DB1">
        <w:rPr>
          <w:rFonts w:ascii="Century Gothic" w:eastAsia="Times New Roman" w:hAnsi="Century Gothic" w:cs="Times New Roman"/>
          <w:i/>
          <w:lang w:val="en-US" w:eastAsia="tr-TR"/>
        </w:rPr>
        <w:t xml:space="preserve"> all</w:t>
      </w:r>
      <w:r w:rsidR="00223DBA" w:rsidRPr="00223DBA">
        <w:rPr>
          <w:rFonts w:ascii="Century Gothic" w:eastAsia="Times New Roman" w:hAnsi="Century Gothic" w:cs="Times New Roman"/>
          <w:i/>
          <w:lang w:val="en-US" w:eastAsia="tr-TR"/>
        </w:rPr>
        <w:t xml:space="preserve"> enterprises operating in the basic metal industry sector in Turkey, the study was limited to the basic metal industry</w:t>
      </w:r>
      <w:r w:rsidR="00223DBA">
        <w:rPr>
          <w:rFonts w:ascii="Century Gothic" w:eastAsia="Times New Roman" w:hAnsi="Century Gothic" w:cs="Times New Roman"/>
          <w:i/>
          <w:lang w:val="en-US" w:eastAsia="tr-TR"/>
        </w:rPr>
        <w:t xml:space="preserve"> enterprises traded on the BIST</w:t>
      </w:r>
      <w:r w:rsidR="004462AF" w:rsidRPr="004462AF">
        <w:rPr>
          <w:rFonts w:ascii="Century Gothic" w:eastAsia="Times New Roman" w:hAnsi="Century Gothic" w:cs="Times New Roman"/>
          <w:i/>
          <w:lang w:val="en-US" w:eastAsia="tr-TR"/>
        </w:rPr>
        <w:t>.</w:t>
      </w:r>
    </w:p>
    <w:p w:rsidR="006D171A" w:rsidRDefault="00CE22E5" w:rsidP="00700C78">
      <w:pPr>
        <w:spacing w:before="120" w:after="120"/>
        <w:jc w:val="both"/>
        <w:rPr>
          <w:rFonts w:ascii="Century Gothic" w:eastAsia="Times New Roman" w:hAnsi="Century Gothic" w:cs="Times New Roman"/>
          <w:lang w:eastAsia="tr-TR"/>
        </w:rPr>
      </w:pPr>
      <w:proofErr w:type="spellStart"/>
      <w:r w:rsidRPr="00CE22E5">
        <w:rPr>
          <w:rFonts w:ascii="Century Gothic" w:eastAsia="Times New Roman" w:hAnsi="Century Gothic" w:cs="Times New Roman"/>
          <w:b/>
          <w:lang w:eastAsia="tr-TR"/>
        </w:rPr>
        <w:t>Keywords</w:t>
      </w:r>
      <w:proofErr w:type="spellEnd"/>
      <w:r w:rsidRPr="00CE22E5">
        <w:rPr>
          <w:rFonts w:ascii="Century Gothic" w:eastAsia="Times New Roman" w:hAnsi="Century Gothic" w:cs="Times New Roman"/>
          <w:b/>
          <w:lang w:eastAsia="tr-TR"/>
        </w:rPr>
        <w:t>:</w:t>
      </w:r>
      <w:r w:rsidRPr="00CE22E5">
        <w:rPr>
          <w:rFonts w:ascii="Century Gothic" w:eastAsia="Times New Roman" w:hAnsi="Century Gothic" w:cs="Times New Roman"/>
          <w:lang w:eastAsia="tr-TR"/>
        </w:rPr>
        <w:t xml:space="preserve"> </w:t>
      </w:r>
      <w:r w:rsidR="008A042C" w:rsidRPr="008A042C">
        <w:rPr>
          <w:rFonts w:ascii="Century Gothic" w:eastAsia="Times New Roman" w:hAnsi="Century Gothic" w:cs="Times New Roman"/>
          <w:bCs/>
          <w:lang w:eastAsia="tr-TR"/>
        </w:rPr>
        <w:t xml:space="preserve">Basic metal </w:t>
      </w:r>
      <w:proofErr w:type="spellStart"/>
      <w:r w:rsidR="008A042C" w:rsidRPr="008A042C">
        <w:rPr>
          <w:rFonts w:ascii="Century Gothic" w:eastAsia="Times New Roman" w:hAnsi="Century Gothic" w:cs="Times New Roman"/>
          <w:bCs/>
          <w:lang w:eastAsia="tr-TR"/>
        </w:rPr>
        <w:t>ındustry</w:t>
      </w:r>
      <w:proofErr w:type="spellEnd"/>
      <w:r w:rsidR="008A042C" w:rsidRPr="008A042C">
        <w:rPr>
          <w:rFonts w:ascii="Century Gothic" w:eastAsia="Times New Roman" w:hAnsi="Century Gothic" w:cs="Times New Roman"/>
          <w:bCs/>
          <w:lang w:eastAsia="tr-TR"/>
        </w:rPr>
        <w:t>, Multi-</w:t>
      </w:r>
      <w:proofErr w:type="spellStart"/>
      <w:r w:rsidR="008A042C" w:rsidRPr="008A042C">
        <w:rPr>
          <w:rFonts w:ascii="Century Gothic" w:eastAsia="Times New Roman" w:hAnsi="Century Gothic" w:cs="Times New Roman"/>
          <w:bCs/>
          <w:lang w:eastAsia="tr-TR"/>
        </w:rPr>
        <w:t>criteria</w:t>
      </w:r>
      <w:proofErr w:type="spellEnd"/>
      <w:r w:rsidR="008A042C" w:rsidRPr="008A042C">
        <w:rPr>
          <w:rFonts w:ascii="Century Gothic" w:eastAsia="Times New Roman" w:hAnsi="Century Gothic" w:cs="Times New Roman"/>
          <w:bCs/>
          <w:lang w:eastAsia="tr-TR"/>
        </w:rPr>
        <w:t xml:space="preserve"> </w:t>
      </w:r>
      <w:proofErr w:type="spellStart"/>
      <w:r w:rsidR="008A042C" w:rsidRPr="008A042C">
        <w:rPr>
          <w:rFonts w:ascii="Century Gothic" w:eastAsia="Times New Roman" w:hAnsi="Century Gothic" w:cs="Times New Roman"/>
          <w:bCs/>
          <w:lang w:eastAsia="tr-TR"/>
        </w:rPr>
        <w:t>decision</w:t>
      </w:r>
      <w:proofErr w:type="spellEnd"/>
      <w:r w:rsidR="008A042C" w:rsidRPr="008A042C">
        <w:rPr>
          <w:rFonts w:ascii="Century Gothic" w:eastAsia="Times New Roman" w:hAnsi="Century Gothic" w:cs="Times New Roman"/>
          <w:bCs/>
          <w:lang w:eastAsia="tr-TR"/>
        </w:rPr>
        <w:t xml:space="preserve"> </w:t>
      </w:r>
      <w:proofErr w:type="spellStart"/>
      <w:r w:rsidR="008A042C" w:rsidRPr="008A042C">
        <w:rPr>
          <w:rFonts w:ascii="Century Gothic" w:eastAsia="Times New Roman" w:hAnsi="Century Gothic" w:cs="Times New Roman"/>
          <w:bCs/>
          <w:lang w:eastAsia="tr-TR"/>
        </w:rPr>
        <w:t>making</w:t>
      </w:r>
      <w:proofErr w:type="spellEnd"/>
      <w:r w:rsidR="008A042C" w:rsidRPr="008A042C">
        <w:rPr>
          <w:rFonts w:ascii="Century Gothic" w:eastAsia="Times New Roman" w:hAnsi="Century Gothic" w:cs="Times New Roman"/>
          <w:bCs/>
          <w:lang w:eastAsia="tr-TR"/>
        </w:rPr>
        <w:t xml:space="preserve">, TOPSIS </w:t>
      </w:r>
      <w:proofErr w:type="spellStart"/>
      <w:r w:rsidR="008A042C" w:rsidRPr="008A042C">
        <w:rPr>
          <w:rFonts w:ascii="Century Gothic" w:eastAsia="Times New Roman" w:hAnsi="Century Gothic" w:cs="Times New Roman"/>
          <w:bCs/>
          <w:lang w:eastAsia="tr-TR"/>
        </w:rPr>
        <w:t>method</w:t>
      </w:r>
      <w:proofErr w:type="spellEnd"/>
      <w:r w:rsidR="008A042C" w:rsidRPr="008A042C">
        <w:rPr>
          <w:rFonts w:ascii="Century Gothic" w:eastAsia="Times New Roman" w:hAnsi="Century Gothic" w:cs="Times New Roman"/>
          <w:bCs/>
          <w:lang w:eastAsia="tr-TR"/>
        </w:rPr>
        <w:t>.</w:t>
      </w:r>
    </w:p>
    <w:p w:rsidR="00700C78" w:rsidRPr="003C2F34" w:rsidRDefault="00700C78" w:rsidP="00700C78">
      <w:pPr>
        <w:spacing w:before="120" w:after="960"/>
        <w:jc w:val="both"/>
        <w:rPr>
          <w:rFonts w:ascii="Century Gothic" w:eastAsia="Times New Roman" w:hAnsi="Century Gothic" w:cs="Times New Roman"/>
          <w:lang w:eastAsia="tr-TR"/>
        </w:rPr>
      </w:pPr>
      <w:r w:rsidRPr="008A042C">
        <w:rPr>
          <w:rFonts w:ascii="Century Gothic" w:eastAsia="Times New Roman" w:hAnsi="Century Gothic" w:cs="Times New Roman"/>
          <w:b/>
          <w:lang w:eastAsia="tr-TR"/>
        </w:rPr>
        <w:t xml:space="preserve">Jel </w:t>
      </w:r>
      <w:proofErr w:type="spellStart"/>
      <w:r w:rsidRPr="008A042C">
        <w:rPr>
          <w:rFonts w:ascii="Century Gothic" w:eastAsia="Times New Roman" w:hAnsi="Century Gothic" w:cs="Times New Roman"/>
          <w:b/>
          <w:lang w:eastAsia="tr-TR"/>
        </w:rPr>
        <w:t>Codes</w:t>
      </w:r>
      <w:proofErr w:type="spellEnd"/>
      <w:r w:rsidRPr="008A042C">
        <w:rPr>
          <w:rFonts w:ascii="Century Gothic" w:eastAsia="Times New Roman" w:hAnsi="Century Gothic" w:cs="Times New Roman"/>
          <w:b/>
          <w:lang w:eastAsia="tr-TR"/>
        </w:rPr>
        <w:t>:</w:t>
      </w:r>
      <w:r>
        <w:rPr>
          <w:rFonts w:ascii="Century Gothic" w:eastAsia="Times New Roman" w:hAnsi="Century Gothic" w:cs="Times New Roman"/>
          <w:lang w:eastAsia="tr-TR"/>
        </w:rPr>
        <w:t xml:space="preserve"> </w:t>
      </w:r>
      <w:r w:rsidR="00376978" w:rsidRPr="00376978">
        <w:rPr>
          <w:rFonts w:ascii="Century Gothic" w:eastAsia="Times New Roman" w:hAnsi="Century Gothic" w:cs="Times New Roman"/>
          <w:lang w:eastAsia="tr-TR"/>
        </w:rPr>
        <w:t>G32, C02, M41.</w:t>
      </w:r>
    </w:p>
    <w:p w:rsidR="00CE22E5" w:rsidRPr="00CE22E5" w:rsidRDefault="00CE22E5" w:rsidP="00CE22E5">
      <w:pPr>
        <w:pStyle w:val="ListeParagraf"/>
        <w:numPr>
          <w:ilvl w:val="0"/>
          <w:numId w:val="10"/>
        </w:numPr>
        <w:spacing w:before="120" w:after="120"/>
        <w:jc w:val="both"/>
        <w:rPr>
          <w:rFonts w:ascii="Century Gothic" w:eastAsia="Times New Roman" w:hAnsi="Century Gothic" w:cs="Times New Roman"/>
          <w:b/>
          <w:lang w:eastAsia="tr-TR"/>
        </w:rPr>
      </w:pPr>
      <w:r w:rsidRPr="00CE22E5">
        <w:rPr>
          <w:rFonts w:ascii="Century Gothic" w:eastAsia="Times New Roman" w:hAnsi="Century Gothic" w:cs="Times New Roman"/>
          <w:b/>
          <w:lang w:eastAsia="tr-TR"/>
        </w:rPr>
        <w:lastRenderedPageBreak/>
        <w:t>Giriş</w:t>
      </w:r>
    </w:p>
    <w:p w:rsidR="00C0635E" w:rsidRPr="00C0635E" w:rsidRDefault="00C0635E" w:rsidP="00C0635E">
      <w:pPr>
        <w:spacing w:before="120" w:after="120"/>
        <w:ind w:firstLine="743"/>
        <w:jc w:val="both"/>
        <w:rPr>
          <w:rFonts w:ascii="Century Gothic" w:eastAsia="Times New Roman" w:hAnsi="Century Gothic" w:cs="Times New Roman"/>
          <w:bCs/>
          <w:lang w:eastAsia="en-GB"/>
        </w:rPr>
      </w:pPr>
      <w:r w:rsidRPr="00C0635E">
        <w:rPr>
          <w:rFonts w:ascii="Century Gothic" w:eastAsia="Times New Roman" w:hAnsi="Century Gothic" w:cs="Times New Roman"/>
          <w:bCs/>
          <w:lang w:eastAsia="en-GB"/>
        </w:rPr>
        <w:t>Ana metal sanayi sektörü Türkiye’nin kalkınmasına katkı sağla</w:t>
      </w:r>
      <w:r w:rsidR="00866E8B">
        <w:rPr>
          <w:rFonts w:ascii="Century Gothic" w:eastAsia="Times New Roman" w:hAnsi="Century Gothic" w:cs="Times New Roman"/>
          <w:bCs/>
          <w:lang w:eastAsia="en-GB"/>
        </w:rPr>
        <w:t xml:space="preserve">yan en önemli sektörlerden biridir </w:t>
      </w:r>
      <w:r w:rsidR="00606BDC">
        <w:rPr>
          <w:rFonts w:ascii="Poppins" w:hAnsi="Poppins"/>
          <w:color w:val="212529"/>
          <w:sz w:val="18"/>
          <w:szCs w:val="18"/>
          <w:shd w:val="clear" w:color="auto" w:fill="F7F8FA"/>
        </w:rPr>
        <w:t>(</w:t>
      </w:r>
      <w:r w:rsidR="00606BDC">
        <w:rPr>
          <w:rFonts w:ascii="Century Gothic" w:eastAsia="Times New Roman" w:hAnsi="Century Gothic" w:cs="Times New Roman"/>
          <w:bCs/>
          <w:lang w:eastAsia="en-GB"/>
        </w:rPr>
        <w:t xml:space="preserve">Eyüboğlu ve Bayraktar, </w:t>
      </w:r>
      <w:r w:rsidR="00606BDC" w:rsidRPr="00606BDC">
        <w:rPr>
          <w:rFonts w:ascii="Century Gothic" w:eastAsia="Times New Roman" w:hAnsi="Century Gothic" w:cs="Times New Roman"/>
          <w:bCs/>
          <w:lang w:eastAsia="en-GB"/>
        </w:rPr>
        <w:t>2019)</w:t>
      </w:r>
      <w:r w:rsidRPr="00C0635E">
        <w:rPr>
          <w:rFonts w:ascii="Century Gothic" w:eastAsia="Times New Roman" w:hAnsi="Century Gothic" w:cs="Times New Roman"/>
          <w:bCs/>
          <w:lang w:eastAsia="en-GB"/>
        </w:rPr>
        <w:t xml:space="preserve">. Başta inşaat, kimya, enerji ve otomotiv olmak üzere pek çok sektörde kullanım alanı bulan </w:t>
      </w:r>
      <w:r w:rsidR="00F44E31">
        <w:rPr>
          <w:rFonts w:ascii="Century Gothic" w:eastAsia="Times New Roman" w:hAnsi="Century Gothic" w:cs="Times New Roman"/>
          <w:bCs/>
          <w:lang w:eastAsia="en-GB"/>
        </w:rPr>
        <w:t xml:space="preserve">bu </w:t>
      </w:r>
      <w:r w:rsidR="00165D61">
        <w:rPr>
          <w:rFonts w:ascii="Century Gothic" w:eastAsia="Times New Roman" w:hAnsi="Century Gothic" w:cs="Times New Roman"/>
          <w:bCs/>
          <w:lang w:eastAsia="en-GB"/>
        </w:rPr>
        <w:t>sektör,</w:t>
      </w:r>
      <w:r w:rsidRPr="00C0635E">
        <w:rPr>
          <w:rFonts w:ascii="Century Gothic" w:eastAsia="Times New Roman" w:hAnsi="Century Gothic" w:cs="Times New Roman"/>
          <w:bCs/>
          <w:lang w:eastAsia="en-GB"/>
        </w:rPr>
        <w:t xml:space="preserve"> özellikle dem</w:t>
      </w:r>
      <w:r w:rsidR="00165D61">
        <w:rPr>
          <w:rFonts w:ascii="Century Gothic" w:eastAsia="Times New Roman" w:hAnsi="Century Gothic" w:cs="Times New Roman"/>
          <w:bCs/>
          <w:lang w:eastAsia="en-GB"/>
        </w:rPr>
        <w:t>ir-çelik alanındaki gelişmeler ile</w:t>
      </w:r>
      <w:r w:rsidRPr="00C0635E">
        <w:rPr>
          <w:rFonts w:ascii="Century Gothic" w:eastAsia="Times New Roman" w:hAnsi="Century Gothic" w:cs="Times New Roman"/>
          <w:bCs/>
          <w:lang w:eastAsia="en-GB"/>
        </w:rPr>
        <w:t xml:space="preserve"> ön plana </w:t>
      </w:r>
      <w:r w:rsidR="00165D61">
        <w:rPr>
          <w:rFonts w:ascii="Century Gothic" w:eastAsia="Times New Roman" w:hAnsi="Century Gothic" w:cs="Times New Roman"/>
          <w:bCs/>
          <w:lang w:eastAsia="en-GB"/>
        </w:rPr>
        <w:t>çıkmaktadır</w:t>
      </w:r>
      <w:r w:rsidR="00606BDC" w:rsidRPr="00606BDC">
        <w:t xml:space="preserve"> </w:t>
      </w:r>
      <w:r w:rsidR="00606BDC" w:rsidRPr="00606BDC">
        <w:rPr>
          <w:rFonts w:ascii="Century Gothic" w:eastAsia="Times New Roman" w:hAnsi="Century Gothic" w:cs="Times New Roman"/>
          <w:bCs/>
          <w:lang w:eastAsia="en-GB"/>
        </w:rPr>
        <w:t>(A&amp;T Bank, 2017</w:t>
      </w:r>
      <w:r w:rsidR="00606BDC">
        <w:rPr>
          <w:rFonts w:ascii="Century Gothic" w:eastAsia="Times New Roman" w:hAnsi="Century Gothic" w:cs="Times New Roman"/>
          <w:bCs/>
          <w:lang w:eastAsia="en-GB"/>
        </w:rPr>
        <w:t>)</w:t>
      </w:r>
      <w:r w:rsidRPr="00C0635E">
        <w:rPr>
          <w:rFonts w:ascii="Century Gothic" w:eastAsia="Times New Roman" w:hAnsi="Century Gothic" w:cs="Times New Roman"/>
          <w:bCs/>
          <w:lang w:eastAsia="en-GB"/>
        </w:rPr>
        <w:t xml:space="preserve">. Ana metal sanayi sektörü </w:t>
      </w:r>
      <w:proofErr w:type="spellStart"/>
      <w:r w:rsidRPr="00C0635E">
        <w:rPr>
          <w:rFonts w:ascii="Century Gothic" w:eastAsia="Times New Roman" w:hAnsi="Century Gothic" w:cs="Times New Roman"/>
          <w:bCs/>
          <w:lang w:eastAsia="en-GB"/>
        </w:rPr>
        <w:t>TÜİK’in</w:t>
      </w:r>
      <w:proofErr w:type="spellEnd"/>
      <w:r w:rsidRPr="00C0635E">
        <w:rPr>
          <w:rFonts w:ascii="Century Gothic" w:eastAsia="Times New Roman" w:hAnsi="Century Gothic" w:cs="Times New Roman"/>
          <w:bCs/>
          <w:lang w:eastAsia="en-GB"/>
        </w:rPr>
        <w:t xml:space="preserve"> sınıflandırmasına göre demir-çelik ana sanayi ve demir-çelik dışındaki ana metal sanayi alt sektörlerinden oluşmaktadır. Demir-çelik dışındaki ana metal sanayi ise değerli metal, alüminyum, kurşun, çinko, kalay, bakır ve demir dışındaki diğer metallerin üretimini içermektedir (tuik.gov.tr). 2021 yılında imalat sanayi alt sektörlerinde ana metal sanayinin  kapasite kullanımı 2019 yılında  %76,8, 2020 yılında  %76,5</w:t>
      </w:r>
      <w:r w:rsidR="00F857CD">
        <w:rPr>
          <w:rFonts w:ascii="Century Gothic" w:eastAsia="Times New Roman" w:hAnsi="Century Gothic" w:cs="Times New Roman"/>
          <w:bCs/>
          <w:lang w:eastAsia="en-GB"/>
        </w:rPr>
        <w:t xml:space="preserve"> </w:t>
      </w:r>
      <w:r w:rsidRPr="00C0635E">
        <w:rPr>
          <w:rFonts w:ascii="Century Gothic" w:eastAsia="Times New Roman" w:hAnsi="Century Gothic" w:cs="Times New Roman"/>
          <w:bCs/>
          <w:lang w:eastAsia="en-GB"/>
        </w:rPr>
        <w:t>ve 2021 yıl</w:t>
      </w:r>
      <w:r w:rsidR="00F857CD">
        <w:rPr>
          <w:rFonts w:ascii="Century Gothic" w:eastAsia="Times New Roman" w:hAnsi="Century Gothic" w:cs="Times New Roman"/>
          <w:bCs/>
          <w:lang w:eastAsia="en-GB"/>
        </w:rPr>
        <w:t xml:space="preserve">ında %81,3 iken üretim endeksi </w:t>
      </w:r>
      <w:r w:rsidRPr="00C0635E">
        <w:rPr>
          <w:rFonts w:ascii="Century Gothic" w:eastAsia="Times New Roman" w:hAnsi="Century Gothic" w:cs="Times New Roman"/>
          <w:bCs/>
          <w:lang w:eastAsia="en-GB"/>
        </w:rPr>
        <w:t xml:space="preserve"> 2019 yılında %94,5, 2020 yılında %96,4 ve  2021 yılında</w:t>
      </w:r>
      <w:r w:rsidR="00F857CD">
        <w:rPr>
          <w:rFonts w:ascii="Century Gothic" w:eastAsia="Times New Roman" w:hAnsi="Century Gothic" w:cs="Times New Roman"/>
          <w:bCs/>
          <w:lang w:eastAsia="en-GB"/>
        </w:rPr>
        <w:t xml:space="preserve"> ise </w:t>
      </w:r>
      <w:r w:rsidRPr="00C0635E">
        <w:rPr>
          <w:rFonts w:ascii="Century Gothic" w:eastAsia="Times New Roman" w:hAnsi="Century Gothic" w:cs="Times New Roman"/>
          <w:bCs/>
          <w:lang w:eastAsia="en-GB"/>
        </w:rPr>
        <w:t xml:space="preserve"> %116,8’dir (</w:t>
      </w:r>
      <w:proofErr w:type="gramStart"/>
      <w:r w:rsidRPr="00C0635E">
        <w:rPr>
          <w:rFonts w:ascii="Century Gothic" w:eastAsia="Times New Roman" w:hAnsi="Century Gothic" w:cs="Times New Roman"/>
          <w:bCs/>
          <w:lang w:eastAsia="en-GB"/>
        </w:rPr>
        <w:t>tobb.org.tr</w:t>
      </w:r>
      <w:proofErr w:type="gramEnd"/>
      <w:r w:rsidRPr="00C0635E">
        <w:rPr>
          <w:rFonts w:ascii="Century Gothic" w:eastAsia="Times New Roman" w:hAnsi="Century Gothic" w:cs="Times New Roman"/>
          <w:bCs/>
          <w:lang w:eastAsia="en-GB"/>
        </w:rPr>
        <w:t>).</w:t>
      </w:r>
    </w:p>
    <w:p w:rsidR="00C0635E" w:rsidRPr="00416E55" w:rsidRDefault="00C0635E" w:rsidP="00416E55">
      <w:pPr>
        <w:spacing w:before="120" w:after="120"/>
        <w:ind w:firstLine="743"/>
        <w:jc w:val="both"/>
        <w:rPr>
          <w:rFonts w:ascii="Century Gothic" w:eastAsia="Times New Roman" w:hAnsi="Century Gothic" w:cs="Times New Roman"/>
          <w:bCs/>
          <w:lang w:eastAsia="en-GB"/>
        </w:rPr>
      </w:pPr>
      <w:r w:rsidRPr="00C0635E">
        <w:rPr>
          <w:rFonts w:ascii="Century Gothic" w:eastAsia="Times New Roman" w:hAnsi="Century Gothic" w:cs="Times New Roman"/>
          <w:bCs/>
          <w:lang w:eastAsia="en-GB"/>
        </w:rPr>
        <w:t xml:space="preserve">Türkiye‘de ana metal sanayi,  imalat sanayi üretiminin ve ihracatının ana </w:t>
      </w:r>
      <w:r w:rsidR="00792064">
        <w:rPr>
          <w:rFonts w:ascii="Century Gothic" w:eastAsia="Times New Roman" w:hAnsi="Century Gothic" w:cs="Times New Roman"/>
          <w:bCs/>
          <w:lang w:eastAsia="en-GB"/>
        </w:rPr>
        <w:t>yükleni</w:t>
      </w:r>
      <w:r w:rsidRPr="00C0635E">
        <w:rPr>
          <w:rFonts w:ascii="Century Gothic" w:eastAsia="Times New Roman" w:hAnsi="Century Gothic" w:cs="Times New Roman"/>
          <w:bCs/>
          <w:lang w:eastAsia="en-GB"/>
        </w:rPr>
        <w:t>cisidir. 2015 tarihinden itibaren sektörün üretim ve ihracatında hızlı bir ivme yakalanmıştır. Ancak, ana dış pazarlardaki talebin zay</w:t>
      </w:r>
      <w:r w:rsidR="00BA7446">
        <w:rPr>
          <w:rFonts w:ascii="Century Gothic" w:eastAsia="Times New Roman" w:hAnsi="Century Gothic" w:cs="Times New Roman"/>
          <w:bCs/>
          <w:lang w:eastAsia="en-GB"/>
        </w:rPr>
        <w:t xml:space="preserve">ıflamaya başlaması ve </w:t>
      </w:r>
      <w:r w:rsidRPr="00C0635E">
        <w:rPr>
          <w:rFonts w:ascii="Century Gothic" w:eastAsia="Times New Roman" w:hAnsi="Century Gothic" w:cs="Times New Roman"/>
          <w:bCs/>
          <w:lang w:eastAsia="en-GB"/>
        </w:rPr>
        <w:t>bunun yanında da Amerika Birleşik Devletleri (ABD) ve Avrupa Birliği (AB) gibi büyük ticari ortakları</w:t>
      </w:r>
      <w:r w:rsidR="00F44E31">
        <w:rPr>
          <w:rFonts w:ascii="Century Gothic" w:eastAsia="Times New Roman" w:hAnsi="Century Gothic" w:cs="Times New Roman"/>
          <w:bCs/>
          <w:lang w:eastAsia="en-GB"/>
        </w:rPr>
        <w:t>nın</w:t>
      </w:r>
      <w:r w:rsidRPr="00C0635E">
        <w:rPr>
          <w:rFonts w:ascii="Century Gothic" w:eastAsia="Times New Roman" w:hAnsi="Century Gothic" w:cs="Times New Roman"/>
          <w:bCs/>
          <w:lang w:eastAsia="en-GB"/>
        </w:rPr>
        <w:t xml:space="preserve"> yakın dönemde yürürlüğe koydukları t</w:t>
      </w:r>
      <w:r w:rsidR="00F44E31">
        <w:rPr>
          <w:rFonts w:ascii="Century Gothic" w:eastAsia="Times New Roman" w:hAnsi="Century Gothic" w:cs="Times New Roman"/>
          <w:bCs/>
          <w:lang w:eastAsia="en-GB"/>
        </w:rPr>
        <w:t xml:space="preserve">icareti kısıtlayıcı uygulamalar, </w:t>
      </w:r>
      <w:r w:rsidRPr="00C0635E">
        <w:rPr>
          <w:rFonts w:ascii="Century Gothic" w:eastAsia="Times New Roman" w:hAnsi="Century Gothic" w:cs="Times New Roman"/>
          <w:bCs/>
          <w:lang w:eastAsia="en-GB"/>
        </w:rPr>
        <w:t xml:space="preserve">sektörün ihracat performansını olumsuz yönde etkilemiştir. </w:t>
      </w:r>
      <w:r w:rsidR="00BA7446">
        <w:rPr>
          <w:rFonts w:ascii="Century Gothic" w:eastAsia="Times New Roman" w:hAnsi="Century Gothic" w:cs="Times New Roman"/>
          <w:bCs/>
          <w:lang w:eastAsia="en-GB"/>
        </w:rPr>
        <w:t>K</w:t>
      </w:r>
      <w:r w:rsidRPr="00C0635E">
        <w:rPr>
          <w:rFonts w:ascii="Century Gothic" w:eastAsia="Times New Roman" w:hAnsi="Century Gothic" w:cs="Times New Roman"/>
          <w:bCs/>
          <w:lang w:eastAsia="en-GB"/>
        </w:rPr>
        <w:t>üresel ölçekte sektörün en önemli üreticisi konumunda olan Çin’in üretim ve ihracat stratejileri Türkiye’nin de içinde olduğu çok sayıda ülkenin rekabet</w:t>
      </w:r>
      <w:r w:rsidR="00416E55">
        <w:rPr>
          <w:rFonts w:ascii="Century Gothic" w:eastAsia="Times New Roman" w:hAnsi="Century Gothic" w:cs="Times New Roman"/>
          <w:bCs/>
          <w:lang w:eastAsia="en-GB"/>
        </w:rPr>
        <w:t xml:space="preserve"> gücünü yakından etkilemektedir </w:t>
      </w:r>
      <w:r w:rsidR="00416E55" w:rsidRPr="00416E55">
        <w:rPr>
          <w:rFonts w:ascii="Century Gothic" w:eastAsia="Times New Roman" w:hAnsi="Century Gothic" w:cs="Times New Roman"/>
          <w:bCs/>
          <w:lang w:eastAsia="en-GB"/>
        </w:rPr>
        <w:t>(A&amp;T Bank, 2017).</w:t>
      </w:r>
    </w:p>
    <w:p w:rsidR="00C0635E" w:rsidRPr="00C0635E" w:rsidRDefault="00C0635E" w:rsidP="00C0635E">
      <w:pPr>
        <w:spacing w:before="120" w:after="120"/>
        <w:ind w:firstLine="743"/>
        <w:jc w:val="both"/>
        <w:rPr>
          <w:rFonts w:ascii="Century Gothic" w:eastAsia="Times New Roman" w:hAnsi="Century Gothic" w:cs="Times New Roman"/>
          <w:bCs/>
          <w:lang w:eastAsia="en-GB"/>
        </w:rPr>
      </w:pPr>
      <w:r w:rsidRPr="00C0635E">
        <w:rPr>
          <w:rFonts w:ascii="Century Gothic" w:eastAsia="Times New Roman" w:hAnsi="Century Gothic" w:cs="Times New Roman"/>
          <w:bCs/>
          <w:lang w:eastAsia="en-GB"/>
        </w:rPr>
        <w:t>Günümüzün rekabetçi dünya ekonomisinde bir şirketin finansal performansının değerlendirilmesi sadece yöneticiler, alacaklılar ve mevcut/potansiyel yatırımcılar için değil, aynı sektörde yer alan şirketler için de büyük önem taşımaktadır.</w:t>
      </w:r>
      <w:r w:rsidRPr="00C0635E">
        <w:rPr>
          <w:rFonts w:ascii="Century Gothic" w:eastAsia="Times New Roman" w:hAnsi="Century Gothic" w:cs="Times New Roman"/>
          <w:lang w:eastAsia="en-GB"/>
        </w:rPr>
        <w:t xml:space="preserve"> </w:t>
      </w:r>
      <w:r w:rsidRPr="00C0635E">
        <w:rPr>
          <w:rFonts w:ascii="Century Gothic" w:eastAsia="Times New Roman" w:hAnsi="Century Gothic" w:cs="Times New Roman"/>
          <w:bCs/>
          <w:lang w:eastAsia="en-GB"/>
        </w:rPr>
        <w:t>Şirketlerin performans değerlendirmesi genellikle finansal analizler kapsamında yapılmaktadır. Finansal performans kavramı getiri, verimlilik, çıktı ve ekonomik büyüme gibi farklı anlamlar altında ele alındığından performans değerlendirme sürecinde finansal oranların kullanılması hem şirketler hem de ilgili sektörler için uygun olmaktadır.</w:t>
      </w:r>
      <w:r w:rsidRPr="00C0635E">
        <w:rPr>
          <w:rFonts w:ascii="Century Gothic" w:eastAsia="Times New Roman" w:hAnsi="Century Gothic" w:cs="Times New Roman"/>
          <w:lang w:eastAsia="en-GB"/>
        </w:rPr>
        <w:t xml:space="preserve"> </w:t>
      </w:r>
      <w:r w:rsidRPr="00C0635E">
        <w:rPr>
          <w:rFonts w:ascii="Century Gothic" w:eastAsia="Times New Roman" w:hAnsi="Century Gothic" w:cs="Times New Roman"/>
          <w:bCs/>
          <w:lang w:eastAsia="en-GB"/>
        </w:rPr>
        <w:t>Gelir tablosu ve bilançolarda yer alan verilerden elde edilen finansal oranlar, şirketlerin performanslarının ve finansal varlıklarının belirlenmesinde önemli ölçüm araç</w:t>
      </w:r>
      <w:r w:rsidR="00BA7446">
        <w:rPr>
          <w:rFonts w:ascii="Century Gothic" w:eastAsia="Times New Roman" w:hAnsi="Century Gothic" w:cs="Times New Roman"/>
          <w:bCs/>
          <w:lang w:eastAsia="en-GB"/>
        </w:rPr>
        <w:t xml:space="preserve">ları olarak kabul edilmektedir </w:t>
      </w:r>
      <w:r w:rsidRPr="00C0635E">
        <w:rPr>
          <w:rFonts w:ascii="Century Gothic" w:eastAsia="Times New Roman" w:hAnsi="Century Gothic" w:cs="Times New Roman"/>
          <w:bCs/>
          <w:lang w:eastAsia="en-GB"/>
        </w:rPr>
        <w:t>(</w:t>
      </w:r>
      <w:proofErr w:type="spellStart"/>
      <w:r w:rsidRPr="00C0635E">
        <w:rPr>
          <w:rFonts w:ascii="Century Gothic" w:eastAsia="Times New Roman" w:hAnsi="Century Gothic" w:cs="Times New Roman"/>
          <w:bCs/>
          <w:lang w:eastAsia="en-GB"/>
        </w:rPr>
        <w:t>Chen</w:t>
      </w:r>
      <w:proofErr w:type="spellEnd"/>
      <w:r w:rsidRPr="00C0635E">
        <w:rPr>
          <w:rFonts w:ascii="Century Gothic" w:eastAsia="Times New Roman" w:hAnsi="Century Gothic" w:cs="Times New Roman"/>
          <w:bCs/>
          <w:lang w:eastAsia="en-GB"/>
        </w:rPr>
        <w:t xml:space="preserve"> ve </w:t>
      </w:r>
      <w:proofErr w:type="spellStart"/>
      <w:r w:rsidRPr="00C0635E">
        <w:rPr>
          <w:rFonts w:ascii="Century Gothic" w:eastAsia="Times New Roman" w:hAnsi="Century Gothic" w:cs="Times New Roman"/>
          <w:bCs/>
          <w:lang w:eastAsia="en-GB"/>
        </w:rPr>
        <w:t>Shimerda</w:t>
      </w:r>
      <w:proofErr w:type="spellEnd"/>
      <w:r w:rsidRPr="00C0635E">
        <w:rPr>
          <w:rFonts w:ascii="Century Gothic" w:eastAsia="Times New Roman" w:hAnsi="Century Gothic" w:cs="Times New Roman"/>
          <w:bCs/>
          <w:lang w:eastAsia="en-GB"/>
        </w:rPr>
        <w:t>, 1981).</w:t>
      </w:r>
    </w:p>
    <w:p w:rsidR="00C0635E" w:rsidRPr="00C0635E" w:rsidRDefault="00C0635E" w:rsidP="00C0635E">
      <w:pPr>
        <w:spacing w:before="120" w:after="120"/>
        <w:ind w:firstLine="743"/>
        <w:jc w:val="both"/>
        <w:rPr>
          <w:rFonts w:ascii="Century Gothic" w:eastAsia="Times New Roman" w:hAnsi="Century Gothic" w:cs="Times New Roman"/>
          <w:bCs/>
          <w:lang w:eastAsia="en-GB"/>
        </w:rPr>
      </w:pPr>
      <w:r w:rsidRPr="00C0635E">
        <w:rPr>
          <w:rFonts w:ascii="Century Gothic" w:eastAsia="Times New Roman" w:hAnsi="Century Gothic" w:cs="Times New Roman"/>
          <w:bCs/>
          <w:lang w:eastAsia="en-GB"/>
        </w:rPr>
        <w:t>Finansal oranlar, finansal tablo kalemleri arasındaki ilişkileri matematiksel olarak göstermektedir (İç vd</w:t>
      </w:r>
      <w:proofErr w:type="gramStart"/>
      <w:r w:rsidRPr="00C0635E">
        <w:rPr>
          <w:rFonts w:ascii="Century Gothic" w:eastAsia="Times New Roman" w:hAnsi="Century Gothic" w:cs="Times New Roman"/>
          <w:bCs/>
          <w:lang w:eastAsia="en-GB"/>
        </w:rPr>
        <w:t>.,</w:t>
      </w:r>
      <w:proofErr w:type="gramEnd"/>
      <w:r w:rsidRPr="00C0635E">
        <w:rPr>
          <w:rFonts w:ascii="Century Gothic" w:eastAsia="Times New Roman" w:hAnsi="Century Gothic" w:cs="Times New Roman"/>
          <w:bCs/>
          <w:lang w:eastAsia="en-GB"/>
        </w:rPr>
        <w:t xml:space="preserve"> 2015). Finansal oranlar ile </w:t>
      </w:r>
      <w:r w:rsidR="00165D61">
        <w:rPr>
          <w:rFonts w:ascii="Century Gothic" w:eastAsia="Times New Roman" w:hAnsi="Century Gothic" w:cs="Times New Roman"/>
          <w:bCs/>
          <w:lang w:eastAsia="en-GB"/>
        </w:rPr>
        <w:t>işletmelerin</w:t>
      </w:r>
      <w:r w:rsidRPr="00C0635E">
        <w:rPr>
          <w:rFonts w:ascii="Century Gothic" w:eastAsia="Times New Roman" w:hAnsi="Century Gothic" w:cs="Times New Roman"/>
          <w:bCs/>
          <w:lang w:eastAsia="en-GB"/>
        </w:rPr>
        <w:t xml:space="preserve"> likidite, büyüme ve </w:t>
      </w:r>
      <w:r w:rsidR="000E4335">
        <w:rPr>
          <w:rFonts w:ascii="Century Gothic" w:eastAsia="Times New Roman" w:hAnsi="Century Gothic" w:cs="Times New Roman"/>
          <w:bCs/>
          <w:lang w:eastAsia="en-GB"/>
        </w:rPr>
        <w:t>k</w:t>
      </w:r>
      <m:oMath>
        <m:acc>
          <m:accPr>
            <m:ctrlPr>
              <w:rPr>
                <w:rFonts w:ascii="Cambria Math" w:eastAsia="Times New Roman" w:hAnsi="Cambria Math" w:cs="Times New Roman"/>
                <w:bCs/>
                <w:lang w:eastAsia="en-GB"/>
              </w:rPr>
            </m:ctrlPr>
          </m:accPr>
          <m:e>
            <m:r>
              <m:rPr>
                <m:sty m:val="p"/>
              </m:rPr>
              <w:rPr>
                <w:rFonts w:ascii="Cambria Math" w:eastAsia="Times New Roman" w:hAnsi="Cambria Math" w:cs="Times New Roman"/>
                <w:lang w:eastAsia="en-GB"/>
              </w:rPr>
              <m:t>a</m:t>
            </m:r>
          </m:e>
        </m:acc>
      </m:oMath>
      <w:r w:rsidR="000E4335">
        <w:rPr>
          <w:rFonts w:ascii="Century Gothic" w:eastAsia="Times New Roman" w:hAnsi="Century Gothic" w:cs="Times New Roman"/>
          <w:bCs/>
          <w:lang w:eastAsia="en-GB"/>
        </w:rPr>
        <w:t xml:space="preserve">rlılık </w:t>
      </w:r>
      <w:r w:rsidRPr="00C0635E">
        <w:rPr>
          <w:rFonts w:ascii="Century Gothic" w:eastAsia="Times New Roman" w:hAnsi="Century Gothic" w:cs="Times New Roman"/>
          <w:bCs/>
          <w:lang w:eastAsia="en-GB"/>
        </w:rPr>
        <w:t xml:space="preserve">açısından güçlü ve zayıf yönleri ortaya konulabilmektedir. Finansal oranlar elde etmek amacıyla </w:t>
      </w:r>
      <w:r w:rsidR="00165D61" w:rsidRPr="00165D61">
        <w:rPr>
          <w:rFonts w:ascii="Century Gothic" w:eastAsia="Times New Roman" w:hAnsi="Century Gothic" w:cs="Times New Roman"/>
          <w:bCs/>
          <w:lang w:eastAsia="en-GB"/>
        </w:rPr>
        <w:t>işletmelerin</w:t>
      </w:r>
      <w:r w:rsidRPr="00C0635E">
        <w:rPr>
          <w:rFonts w:ascii="Century Gothic" w:eastAsia="Times New Roman" w:hAnsi="Century Gothic" w:cs="Times New Roman"/>
          <w:bCs/>
          <w:lang w:eastAsia="en-GB"/>
        </w:rPr>
        <w:t xml:space="preserve"> yıl </w:t>
      </w:r>
      <w:proofErr w:type="gramStart"/>
      <w:r w:rsidRPr="00C0635E">
        <w:rPr>
          <w:rFonts w:ascii="Century Gothic" w:eastAsia="Times New Roman" w:hAnsi="Century Gothic" w:cs="Times New Roman"/>
          <w:bCs/>
          <w:lang w:eastAsia="en-GB"/>
        </w:rPr>
        <w:t>bazlı</w:t>
      </w:r>
      <w:proofErr w:type="gramEnd"/>
      <w:r w:rsidRPr="00C0635E">
        <w:rPr>
          <w:rFonts w:ascii="Century Gothic" w:eastAsia="Times New Roman" w:hAnsi="Century Gothic" w:cs="Times New Roman"/>
          <w:bCs/>
          <w:lang w:eastAsia="en-GB"/>
        </w:rPr>
        <w:t xml:space="preserve"> değişimleri ve sektör bazlı performans karşılaştırmaları yapılmaktadır (</w:t>
      </w:r>
      <w:proofErr w:type="spellStart"/>
      <w:r w:rsidRPr="00C0635E">
        <w:rPr>
          <w:rFonts w:ascii="Century Gothic" w:eastAsia="Times New Roman" w:hAnsi="Century Gothic" w:cs="Times New Roman"/>
          <w:bCs/>
          <w:lang w:eastAsia="en-GB"/>
        </w:rPr>
        <w:t>Uyguntürk</w:t>
      </w:r>
      <w:proofErr w:type="spellEnd"/>
      <w:r w:rsidRPr="00C0635E">
        <w:rPr>
          <w:rFonts w:ascii="Century Gothic" w:eastAsia="Times New Roman" w:hAnsi="Century Gothic" w:cs="Times New Roman"/>
          <w:bCs/>
          <w:lang w:eastAsia="en-GB"/>
        </w:rPr>
        <w:t xml:space="preserve">, Korkmaz 2012). Finansal oranlar, finansal sektör uygulamalarına ve finans </w:t>
      </w:r>
      <w:proofErr w:type="gramStart"/>
      <w:r w:rsidRPr="00C0635E">
        <w:rPr>
          <w:rFonts w:ascii="Century Gothic" w:eastAsia="Times New Roman" w:hAnsi="Century Gothic" w:cs="Times New Roman"/>
          <w:bCs/>
          <w:lang w:eastAsia="en-GB"/>
        </w:rPr>
        <w:t>literatürüne</w:t>
      </w:r>
      <w:proofErr w:type="gramEnd"/>
      <w:r w:rsidRPr="00C0635E">
        <w:rPr>
          <w:rFonts w:ascii="Century Gothic" w:eastAsia="Times New Roman" w:hAnsi="Century Gothic" w:cs="Times New Roman"/>
          <w:bCs/>
          <w:lang w:eastAsia="en-GB"/>
        </w:rPr>
        <w:t xml:space="preserve"> göre seçilmektedir. Temel olarak finansal oranlar, likidite, finansal yapı, faaliyet ve </w:t>
      </w:r>
      <w:r w:rsidR="000E4335" w:rsidRPr="000E4335">
        <w:rPr>
          <w:rFonts w:ascii="Century Gothic" w:eastAsia="Times New Roman" w:hAnsi="Century Gothic" w:cs="Times New Roman"/>
          <w:bCs/>
          <w:lang w:eastAsia="en-GB"/>
        </w:rPr>
        <w:t>k</w:t>
      </w:r>
      <m:oMath>
        <m:acc>
          <m:accPr>
            <m:ctrlPr>
              <w:rPr>
                <w:rFonts w:ascii="Cambria Math" w:eastAsia="Times New Roman" w:hAnsi="Cambria Math" w:cs="Times New Roman"/>
                <w:bCs/>
                <w:lang w:eastAsia="en-GB"/>
              </w:rPr>
            </m:ctrlPr>
          </m:accPr>
          <m:e>
            <m:r>
              <m:rPr>
                <m:sty m:val="p"/>
              </m:rPr>
              <w:rPr>
                <w:rFonts w:ascii="Cambria Math" w:eastAsia="Times New Roman" w:hAnsi="Cambria Math" w:cs="Times New Roman"/>
                <w:lang w:eastAsia="en-GB"/>
              </w:rPr>
              <m:t>a</m:t>
            </m:r>
          </m:e>
        </m:acc>
      </m:oMath>
      <w:r w:rsidR="000E4335" w:rsidRPr="000E4335">
        <w:rPr>
          <w:rFonts w:ascii="Century Gothic" w:eastAsia="Times New Roman" w:hAnsi="Century Gothic" w:cs="Times New Roman"/>
          <w:bCs/>
          <w:lang w:eastAsia="en-GB"/>
        </w:rPr>
        <w:t>rlılık</w:t>
      </w:r>
      <w:r w:rsidRPr="00C0635E">
        <w:rPr>
          <w:rFonts w:ascii="Century Gothic" w:eastAsia="Times New Roman" w:hAnsi="Century Gothic" w:cs="Times New Roman"/>
          <w:bCs/>
          <w:lang w:eastAsia="en-GB"/>
        </w:rPr>
        <w:t xml:space="preserve"> oranları olmak üzere dört grupta sınıflandırılmaktadır. </w:t>
      </w:r>
      <w:r w:rsidR="00165D61">
        <w:rPr>
          <w:rFonts w:ascii="Century Gothic" w:eastAsia="Times New Roman" w:hAnsi="Century Gothic" w:cs="Times New Roman"/>
          <w:bCs/>
          <w:lang w:eastAsia="en-GB"/>
        </w:rPr>
        <w:t>İ</w:t>
      </w:r>
      <w:r w:rsidR="00165D61" w:rsidRPr="00165D61">
        <w:rPr>
          <w:rFonts w:ascii="Century Gothic" w:eastAsia="Times New Roman" w:hAnsi="Century Gothic" w:cs="Times New Roman"/>
          <w:bCs/>
          <w:lang w:eastAsia="en-GB"/>
        </w:rPr>
        <w:t>şletmelerin</w:t>
      </w:r>
      <w:r w:rsidRPr="00C0635E">
        <w:rPr>
          <w:rFonts w:ascii="Century Gothic" w:eastAsia="Times New Roman" w:hAnsi="Century Gothic" w:cs="Times New Roman"/>
          <w:bCs/>
          <w:lang w:eastAsia="en-GB"/>
        </w:rPr>
        <w:t xml:space="preserve"> kısa vadeli borçlarını ödeyebilme gücü likidite oranları ile belirlenmektedir. Cari oran, likidite oranı ve nakit oran birinci grupta yer almaktadır. </w:t>
      </w:r>
      <w:r w:rsidR="00165D61">
        <w:rPr>
          <w:rFonts w:ascii="Century Gothic" w:eastAsia="Times New Roman" w:hAnsi="Century Gothic" w:cs="Times New Roman"/>
          <w:bCs/>
          <w:lang w:eastAsia="en-GB"/>
        </w:rPr>
        <w:t>İşletmenin</w:t>
      </w:r>
      <w:r w:rsidRPr="00C0635E">
        <w:rPr>
          <w:rFonts w:ascii="Century Gothic" w:eastAsia="Times New Roman" w:hAnsi="Century Gothic" w:cs="Times New Roman"/>
          <w:bCs/>
          <w:lang w:eastAsia="en-GB"/>
        </w:rPr>
        <w:t xml:space="preserve"> dış kaynak kullanım düzeyinin belirlenmesinde finansal yapı oranları kullanılmaktadır. Duran </w:t>
      </w:r>
      <w:r w:rsidR="00AC7846" w:rsidRPr="00C0635E">
        <w:rPr>
          <w:rFonts w:ascii="Century Gothic" w:eastAsia="Times New Roman" w:hAnsi="Century Gothic" w:cs="Times New Roman"/>
          <w:bCs/>
          <w:lang w:eastAsia="en-GB"/>
        </w:rPr>
        <w:t xml:space="preserve">varlıklar / aktif, kısa vade borç / aktif, toplam borç / </w:t>
      </w:r>
      <w:proofErr w:type="spellStart"/>
      <w:r w:rsidR="00AC7846" w:rsidRPr="00C0635E">
        <w:rPr>
          <w:rFonts w:ascii="Century Gothic" w:eastAsia="Times New Roman" w:hAnsi="Century Gothic" w:cs="Times New Roman"/>
          <w:bCs/>
          <w:lang w:eastAsia="en-GB"/>
        </w:rPr>
        <w:t>özsermaye</w:t>
      </w:r>
      <w:proofErr w:type="spellEnd"/>
      <w:r w:rsidR="00AC7846" w:rsidRPr="00C0635E">
        <w:rPr>
          <w:rFonts w:ascii="Century Gothic" w:eastAsia="Times New Roman" w:hAnsi="Century Gothic" w:cs="Times New Roman"/>
          <w:bCs/>
          <w:lang w:eastAsia="en-GB"/>
        </w:rPr>
        <w:t xml:space="preserve"> </w:t>
      </w:r>
      <w:r w:rsidRPr="00C0635E">
        <w:rPr>
          <w:rFonts w:ascii="Century Gothic" w:eastAsia="Times New Roman" w:hAnsi="Century Gothic" w:cs="Times New Roman"/>
          <w:bCs/>
          <w:lang w:eastAsia="en-GB"/>
        </w:rPr>
        <w:t xml:space="preserve">oranı ikinci grupta ele alınır ve varlıkların satılması durumunda borçlarla sübvanse edilen varlıkların yüzdesini tespit etmek mümkündür (Dumanoğlu 2010). İşletme </w:t>
      </w:r>
      <w:proofErr w:type="spellStart"/>
      <w:r w:rsidRPr="00C0635E">
        <w:rPr>
          <w:rFonts w:ascii="Century Gothic" w:eastAsia="Times New Roman" w:hAnsi="Century Gothic" w:cs="Times New Roman"/>
          <w:bCs/>
          <w:lang w:eastAsia="en-GB"/>
        </w:rPr>
        <w:t>rasyoları</w:t>
      </w:r>
      <w:proofErr w:type="spellEnd"/>
      <w:r w:rsidRPr="00C0635E">
        <w:rPr>
          <w:rFonts w:ascii="Century Gothic" w:eastAsia="Times New Roman" w:hAnsi="Century Gothic" w:cs="Times New Roman"/>
          <w:bCs/>
          <w:lang w:eastAsia="en-GB"/>
        </w:rPr>
        <w:t xml:space="preserve">, </w:t>
      </w:r>
      <w:r w:rsidR="00E429EB" w:rsidRPr="00E429EB">
        <w:rPr>
          <w:rFonts w:ascii="Century Gothic" w:eastAsia="Times New Roman" w:hAnsi="Century Gothic" w:cs="Times New Roman"/>
          <w:bCs/>
          <w:lang w:eastAsia="en-GB"/>
        </w:rPr>
        <w:t>işletmelerin</w:t>
      </w:r>
      <w:r w:rsidRPr="00C0635E">
        <w:rPr>
          <w:rFonts w:ascii="Century Gothic" w:eastAsia="Times New Roman" w:hAnsi="Century Gothic" w:cs="Times New Roman"/>
          <w:bCs/>
          <w:lang w:eastAsia="en-GB"/>
        </w:rPr>
        <w:t xml:space="preserve"> varlıklarının etkin kullanım düzeyini göstermek için kullanılmaktadır. Aktif büyüme, </w:t>
      </w:r>
      <w:r w:rsidR="00AC7846" w:rsidRPr="00C0635E">
        <w:rPr>
          <w:rFonts w:ascii="Century Gothic" w:eastAsia="Times New Roman" w:hAnsi="Century Gothic" w:cs="Times New Roman"/>
          <w:bCs/>
          <w:lang w:eastAsia="en-GB"/>
        </w:rPr>
        <w:t xml:space="preserve">net satışlar büyüme (%) ve alacak </w:t>
      </w:r>
      <w:r w:rsidRPr="00C0635E">
        <w:rPr>
          <w:rFonts w:ascii="Century Gothic" w:eastAsia="Times New Roman" w:hAnsi="Century Gothic" w:cs="Times New Roman"/>
          <w:bCs/>
          <w:lang w:eastAsia="en-GB"/>
        </w:rPr>
        <w:t xml:space="preserve">devir hızı üçüncü grupta ele </w:t>
      </w:r>
      <w:r w:rsidRPr="00C0635E">
        <w:rPr>
          <w:rFonts w:ascii="Century Gothic" w:eastAsia="Times New Roman" w:hAnsi="Century Gothic" w:cs="Times New Roman"/>
          <w:bCs/>
          <w:lang w:eastAsia="en-GB"/>
        </w:rPr>
        <w:lastRenderedPageBreak/>
        <w:t xml:space="preserve">alınmaktadır. Kârlılık oranları, </w:t>
      </w:r>
      <w:r w:rsidR="00E429EB" w:rsidRPr="00E429EB">
        <w:rPr>
          <w:rFonts w:ascii="Century Gothic" w:eastAsia="Times New Roman" w:hAnsi="Century Gothic" w:cs="Times New Roman"/>
          <w:bCs/>
          <w:lang w:eastAsia="en-GB"/>
        </w:rPr>
        <w:t>işletmelerin</w:t>
      </w:r>
      <w:r w:rsidRPr="00C0635E">
        <w:rPr>
          <w:rFonts w:ascii="Century Gothic" w:eastAsia="Times New Roman" w:hAnsi="Century Gothic" w:cs="Times New Roman"/>
          <w:bCs/>
          <w:lang w:eastAsia="en-GB"/>
        </w:rPr>
        <w:t xml:space="preserve"> faaliyetleri yerine getirildikten sonra kazanma gücünü ölçmek için kullanılmaktadır. Aktif </w:t>
      </w:r>
      <w:r w:rsidR="000E4335" w:rsidRPr="000E4335">
        <w:rPr>
          <w:rFonts w:ascii="Century Gothic" w:eastAsia="Times New Roman" w:hAnsi="Century Gothic" w:cs="Times New Roman"/>
          <w:bCs/>
          <w:lang w:eastAsia="en-GB"/>
        </w:rPr>
        <w:t>k</w:t>
      </w:r>
      <m:oMath>
        <m:acc>
          <m:accPr>
            <m:ctrlPr>
              <w:rPr>
                <w:rFonts w:ascii="Cambria Math" w:eastAsia="Times New Roman" w:hAnsi="Cambria Math" w:cs="Times New Roman"/>
                <w:bCs/>
                <w:lang w:eastAsia="en-GB"/>
              </w:rPr>
            </m:ctrlPr>
          </m:accPr>
          <m:e>
            <m:r>
              <m:rPr>
                <m:sty m:val="p"/>
              </m:rPr>
              <w:rPr>
                <w:rFonts w:ascii="Cambria Math" w:eastAsia="Times New Roman" w:hAnsi="Cambria Math" w:cs="Times New Roman"/>
                <w:lang w:eastAsia="en-GB"/>
              </w:rPr>
              <m:t>a</m:t>
            </m:r>
          </m:e>
        </m:acc>
      </m:oMath>
      <w:r w:rsidR="000E4335" w:rsidRPr="000E4335">
        <w:rPr>
          <w:rFonts w:ascii="Century Gothic" w:eastAsia="Times New Roman" w:hAnsi="Century Gothic" w:cs="Times New Roman"/>
          <w:bCs/>
          <w:lang w:eastAsia="en-GB"/>
        </w:rPr>
        <w:t>rlılık</w:t>
      </w:r>
      <w:r w:rsidRPr="00C0635E">
        <w:rPr>
          <w:rFonts w:ascii="Century Gothic" w:eastAsia="Times New Roman" w:hAnsi="Century Gothic" w:cs="Times New Roman"/>
          <w:bCs/>
          <w:lang w:eastAsia="en-GB"/>
        </w:rPr>
        <w:t xml:space="preserve"> (ROA), FAVÖK </w:t>
      </w:r>
      <w:proofErr w:type="gramStart"/>
      <w:r w:rsidRPr="00C0635E">
        <w:rPr>
          <w:rFonts w:ascii="Century Gothic" w:eastAsia="Times New Roman" w:hAnsi="Century Gothic" w:cs="Times New Roman"/>
          <w:bCs/>
          <w:lang w:eastAsia="en-GB"/>
        </w:rPr>
        <w:t>marjı</w:t>
      </w:r>
      <w:proofErr w:type="gramEnd"/>
      <w:r w:rsidRPr="00C0635E">
        <w:rPr>
          <w:rFonts w:ascii="Century Gothic" w:eastAsia="Times New Roman" w:hAnsi="Century Gothic" w:cs="Times New Roman"/>
          <w:bCs/>
          <w:lang w:eastAsia="en-GB"/>
        </w:rPr>
        <w:t xml:space="preserve"> ve </w:t>
      </w:r>
      <w:proofErr w:type="spellStart"/>
      <w:r w:rsidRPr="00C0635E">
        <w:rPr>
          <w:rFonts w:ascii="Century Gothic" w:eastAsia="Times New Roman" w:hAnsi="Century Gothic" w:cs="Times New Roman"/>
          <w:bCs/>
          <w:lang w:eastAsia="en-GB"/>
        </w:rPr>
        <w:t>özsermaye</w:t>
      </w:r>
      <w:proofErr w:type="spellEnd"/>
      <w:r w:rsidRPr="00C0635E">
        <w:rPr>
          <w:rFonts w:ascii="Century Gothic" w:eastAsia="Times New Roman" w:hAnsi="Century Gothic" w:cs="Times New Roman"/>
          <w:bCs/>
          <w:lang w:eastAsia="en-GB"/>
        </w:rPr>
        <w:t xml:space="preserve"> </w:t>
      </w:r>
      <w:r w:rsidR="000E4335" w:rsidRPr="000E4335">
        <w:rPr>
          <w:rFonts w:ascii="Century Gothic" w:eastAsia="Times New Roman" w:hAnsi="Century Gothic" w:cs="Times New Roman"/>
          <w:bCs/>
          <w:lang w:eastAsia="en-GB"/>
        </w:rPr>
        <w:t>k</w:t>
      </w:r>
      <m:oMath>
        <m:acc>
          <m:accPr>
            <m:ctrlPr>
              <w:rPr>
                <w:rFonts w:ascii="Cambria Math" w:eastAsia="Times New Roman" w:hAnsi="Cambria Math" w:cs="Times New Roman"/>
                <w:bCs/>
                <w:lang w:eastAsia="en-GB"/>
              </w:rPr>
            </m:ctrlPr>
          </m:accPr>
          <m:e>
            <m:r>
              <m:rPr>
                <m:sty m:val="p"/>
              </m:rPr>
              <w:rPr>
                <w:rFonts w:ascii="Cambria Math" w:eastAsia="Times New Roman" w:hAnsi="Cambria Math" w:cs="Times New Roman"/>
                <w:lang w:eastAsia="en-GB"/>
              </w:rPr>
              <m:t>a</m:t>
            </m:r>
          </m:e>
        </m:acc>
      </m:oMath>
      <w:r w:rsidR="000E4335">
        <w:rPr>
          <w:rFonts w:ascii="Century Gothic" w:eastAsia="Times New Roman" w:hAnsi="Century Gothic" w:cs="Times New Roman"/>
          <w:bCs/>
          <w:lang w:eastAsia="en-GB"/>
        </w:rPr>
        <w:t>rlılığı</w:t>
      </w:r>
      <w:r w:rsidRPr="00C0635E">
        <w:rPr>
          <w:rFonts w:ascii="Century Gothic" w:eastAsia="Times New Roman" w:hAnsi="Century Gothic" w:cs="Times New Roman"/>
          <w:bCs/>
          <w:lang w:eastAsia="en-GB"/>
        </w:rPr>
        <w:t xml:space="preserve"> (ROE) gibi oranlar son grupta yer almaktadır.</w:t>
      </w:r>
    </w:p>
    <w:p w:rsidR="00C0635E" w:rsidRPr="00C0635E" w:rsidRDefault="00C0635E" w:rsidP="00C0635E">
      <w:pPr>
        <w:spacing w:before="120" w:after="120"/>
        <w:ind w:firstLine="743"/>
        <w:jc w:val="both"/>
        <w:rPr>
          <w:rFonts w:ascii="Century Gothic" w:eastAsia="Times New Roman" w:hAnsi="Century Gothic" w:cs="Times New Roman"/>
          <w:bCs/>
          <w:lang w:eastAsia="en-GB"/>
        </w:rPr>
      </w:pPr>
      <w:r w:rsidRPr="00C0635E">
        <w:rPr>
          <w:rFonts w:ascii="Century Gothic" w:eastAsia="Times New Roman" w:hAnsi="Century Gothic" w:cs="Times New Roman"/>
          <w:bCs/>
          <w:lang w:eastAsia="en-GB"/>
        </w:rPr>
        <w:t xml:space="preserve">Performans değerlendirmesinde en sık kullanılan finansal oranlar, genellikle </w:t>
      </w:r>
      <w:r w:rsidR="000E4335" w:rsidRPr="000E4335">
        <w:rPr>
          <w:rFonts w:ascii="Century Gothic" w:eastAsia="Times New Roman" w:hAnsi="Century Gothic" w:cs="Times New Roman"/>
          <w:bCs/>
          <w:lang w:eastAsia="en-GB"/>
        </w:rPr>
        <w:t>k</w:t>
      </w:r>
      <m:oMath>
        <m:acc>
          <m:accPr>
            <m:ctrlPr>
              <w:rPr>
                <w:rFonts w:ascii="Cambria Math" w:eastAsia="Times New Roman" w:hAnsi="Cambria Math" w:cs="Times New Roman"/>
                <w:bCs/>
                <w:lang w:eastAsia="en-GB"/>
              </w:rPr>
            </m:ctrlPr>
          </m:accPr>
          <m:e>
            <m:r>
              <m:rPr>
                <m:sty m:val="p"/>
              </m:rPr>
              <w:rPr>
                <w:rFonts w:ascii="Cambria Math" w:eastAsia="Times New Roman" w:hAnsi="Cambria Math" w:cs="Times New Roman"/>
                <w:lang w:eastAsia="en-GB"/>
              </w:rPr>
              <m:t>a</m:t>
            </m:r>
          </m:e>
        </m:acc>
      </m:oMath>
      <w:r w:rsidR="000E4335" w:rsidRPr="000E4335">
        <w:rPr>
          <w:rFonts w:ascii="Century Gothic" w:eastAsia="Times New Roman" w:hAnsi="Century Gothic" w:cs="Times New Roman"/>
          <w:bCs/>
          <w:lang w:eastAsia="en-GB"/>
        </w:rPr>
        <w:t>rlılık</w:t>
      </w:r>
      <w:r w:rsidR="000E4335">
        <w:rPr>
          <w:rFonts w:ascii="Century Gothic" w:eastAsia="Times New Roman" w:hAnsi="Century Gothic" w:cs="Times New Roman"/>
          <w:bCs/>
          <w:lang w:eastAsia="en-GB"/>
        </w:rPr>
        <w:t>la</w:t>
      </w:r>
      <w:r w:rsidRPr="00C0635E">
        <w:rPr>
          <w:rFonts w:ascii="Century Gothic" w:eastAsia="Times New Roman" w:hAnsi="Century Gothic" w:cs="Times New Roman"/>
          <w:bCs/>
          <w:lang w:eastAsia="en-GB"/>
        </w:rPr>
        <w:t xml:space="preserve"> ilişkilendirilen geleneksel finansal göstergelerdir. Muhase</w:t>
      </w:r>
      <w:r w:rsidR="00BA7446">
        <w:rPr>
          <w:rFonts w:ascii="Century Gothic" w:eastAsia="Times New Roman" w:hAnsi="Century Gothic" w:cs="Times New Roman"/>
          <w:bCs/>
          <w:lang w:eastAsia="en-GB"/>
        </w:rPr>
        <w:t xml:space="preserve">be tabanlı finansal performans </w:t>
      </w:r>
      <w:r w:rsidRPr="00C0635E">
        <w:rPr>
          <w:rFonts w:ascii="Century Gothic" w:eastAsia="Times New Roman" w:hAnsi="Century Gothic" w:cs="Times New Roman"/>
          <w:bCs/>
          <w:lang w:eastAsia="en-GB"/>
        </w:rPr>
        <w:t>ölçümleri olarak bilinen geleneksel finansal ölçümler, temel olarak şirketin finansal durumunu ve performansını değerlendirmek için kullanılmıştır. Bu ölçümler, hem yatırımcılara hem de analistlere, bir şirketin işleyişini değerlendirebilmeleri ve zaman içinde sektördeki konumunu analiz edebilmeleri için faydalı</w:t>
      </w:r>
      <w:r w:rsidR="00BA7446">
        <w:rPr>
          <w:rFonts w:ascii="Century Gothic" w:eastAsia="Times New Roman" w:hAnsi="Century Gothic" w:cs="Times New Roman"/>
          <w:bCs/>
          <w:lang w:eastAsia="en-GB"/>
        </w:rPr>
        <w:t xml:space="preserve"> nicel finansal bilgiler sağlamaktadır </w:t>
      </w:r>
      <w:r w:rsidRPr="00C0635E">
        <w:rPr>
          <w:rFonts w:ascii="Century Gothic" w:eastAsia="Times New Roman" w:hAnsi="Century Gothic" w:cs="Times New Roman"/>
          <w:bCs/>
          <w:lang w:eastAsia="en-GB"/>
        </w:rPr>
        <w:t>(</w:t>
      </w:r>
      <w:proofErr w:type="spellStart"/>
      <w:r w:rsidRPr="00C0635E">
        <w:rPr>
          <w:rFonts w:ascii="Century Gothic" w:eastAsia="Times New Roman" w:hAnsi="Century Gothic" w:cs="Times New Roman"/>
          <w:bCs/>
          <w:lang w:eastAsia="en-GB"/>
        </w:rPr>
        <w:t>Gallizo</w:t>
      </w:r>
      <w:proofErr w:type="spellEnd"/>
      <w:r w:rsidRPr="00C0635E">
        <w:rPr>
          <w:rFonts w:ascii="Century Gothic" w:eastAsia="Times New Roman" w:hAnsi="Century Gothic" w:cs="Times New Roman"/>
          <w:bCs/>
          <w:lang w:eastAsia="en-GB"/>
        </w:rPr>
        <w:t xml:space="preserve"> ve Salvador, 2003).</w:t>
      </w:r>
    </w:p>
    <w:p w:rsidR="00C0635E" w:rsidRPr="00C0635E" w:rsidRDefault="00C0635E" w:rsidP="00C0635E">
      <w:pPr>
        <w:spacing w:before="120" w:after="120"/>
        <w:ind w:firstLine="743"/>
        <w:jc w:val="both"/>
        <w:rPr>
          <w:rFonts w:ascii="Century Gothic" w:eastAsia="Times New Roman" w:hAnsi="Century Gothic" w:cs="Times New Roman"/>
          <w:bCs/>
          <w:lang w:eastAsia="en-GB"/>
        </w:rPr>
      </w:pPr>
      <w:r w:rsidRPr="00C0635E">
        <w:rPr>
          <w:rFonts w:ascii="Century Gothic" w:eastAsia="Times New Roman" w:hAnsi="Century Gothic" w:cs="Times New Roman"/>
          <w:bCs/>
          <w:lang w:eastAsia="en-GB"/>
        </w:rPr>
        <w:t xml:space="preserve">Bu kapsamda çalışma likidite, </w:t>
      </w:r>
      <w:r w:rsidR="000E4335" w:rsidRPr="000E4335">
        <w:rPr>
          <w:rFonts w:ascii="Century Gothic" w:eastAsia="Times New Roman" w:hAnsi="Century Gothic" w:cs="Times New Roman"/>
          <w:bCs/>
          <w:lang w:eastAsia="en-GB"/>
        </w:rPr>
        <w:t>k</w:t>
      </w:r>
      <m:oMath>
        <m:acc>
          <m:accPr>
            <m:ctrlPr>
              <w:rPr>
                <w:rFonts w:ascii="Cambria Math" w:eastAsia="Times New Roman" w:hAnsi="Cambria Math" w:cs="Times New Roman"/>
                <w:bCs/>
                <w:lang w:eastAsia="en-GB"/>
              </w:rPr>
            </m:ctrlPr>
          </m:accPr>
          <m:e>
            <m:r>
              <m:rPr>
                <m:sty m:val="p"/>
              </m:rPr>
              <w:rPr>
                <w:rFonts w:ascii="Cambria Math" w:eastAsia="Times New Roman" w:hAnsi="Cambria Math" w:cs="Times New Roman"/>
                <w:lang w:eastAsia="en-GB"/>
              </w:rPr>
              <m:t>a</m:t>
            </m:r>
          </m:e>
        </m:acc>
      </m:oMath>
      <w:r w:rsidR="000E4335" w:rsidRPr="000E4335">
        <w:rPr>
          <w:rFonts w:ascii="Century Gothic" w:eastAsia="Times New Roman" w:hAnsi="Century Gothic" w:cs="Times New Roman"/>
          <w:bCs/>
          <w:lang w:eastAsia="en-GB"/>
        </w:rPr>
        <w:t>rlılık</w:t>
      </w:r>
      <w:r w:rsidRPr="00C0635E">
        <w:rPr>
          <w:rFonts w:ascii="Century Gothic" w:eastAsia="Times New Roman" w:hAnsi="Century Gothic" w:cs="Times New Roman"/>
          <w:bCs/>
          <w:lang w:eastAsia="en-GB"/>
        </w:rPr>
        <w:t xml:space="preserve">, finansal yapı oranları ve faaliyet oranları olmak üzere dört farklı </w:t>
      </w:r>
      <w:r w:rsidR="00F44E31">
        <w:rPr>
          <w:rFonts w:ascii="Century Gothic" w:eastAsia="Times New Roman" w:hAnsi="Century Gothic" w:cs="Times New Roman"/>
          <w:bCs/>
          <w:lang w:eastAsia="en-GB"/>
        </w:rPr>
        <w:t xml:space="preserve">finansal oran </w:t>
      </w:r>
      <w:r w:rsidRPr="00C0635E">
        <w:rPr>
          <w:rFonts w:ascii="Century Gothic" w:eastAsia="Times New Roman" w:hAnsi="Century Gothic" w:cs="Times New Roman"/>
          <w:bCs/>
          <w:lang w:eastAsia="en-GB"/>
        </w:rPr>
        <w:t xml:space="preserve">sınıflandırmasına odaklanmaktadır. Bu gruplar ana </w:t>
      </w:r>
      <w:proofErr w:type="gramStart"/>
      <w:r w:rsidRPr="00C0635E">
        <w:rPr>
          <w:rFonts w:ascii="Century Gothic" w:eastAsia="Times New Roman" w:hAnsi="Century Gothic" w:cs="Times New Roman"/>
          <w:bCs/>
          <w:lang w:eastAsia="en-GB"/>
        </w:rPr>
        <w:t>kriter</w:t>
      </w:r>
      <w:proofErr w:type="gramEnd"/>
      <w:r w:rsidRPr="00C0635E">
        <w:rPr>
          <w:rFonts w:ascii="Century Gothic" w:eastAsia="Times New Roman" w:hAnsi="Century Gothic" w:cs="Times New Roman"/>
          <w:bCs/>
          <w:lang w:eastAsia="en-GB"/>
        </w:rPr>
        <w:t xml:space="preserve"> olarak belirlenir ve her birinin alt kriterleri vardır. Çalışma kapsamında BIST Metal Ana Endeksinde işlem gören </w:t>
      </w:r>
      <w:r w:rsidR="00E429EB" w:rsidRPr="00E429EB">
        <w:rPr>
          <w:rFonts w:ascii="Century Gothic" w:eastAsia="Times New Roman" w:hAnsi="Century Gothic" w:cs="Times New Roman"/>
          <w:bCs/>
          <w:lang w:eastAsia="en-GB"/>
        </w:rPr>
        <w:t>işletmelerin</w:t>
      </w:r>
      <w:r w:rsidRPr="00C0635E">
        <w:rPr>
          <w:rFonts w:ascii="Century Gothic" w:eastAsia="Times New Roman" w:hAnsi="Century Gothic" w:cs="Times New Roman"/>
          <w:bCs/>
          <w:lang w:eastAsia="en-GB"/>
        </w:rPr>
        <w:t xml:space="preserve"> finansal performans sıralamalarının belirlenmesi amaçlanmıştır. Bu amaçla söz konusu</w:t>
      </w:r>
      <w:r w:rsidR="00E429EB" w:rsidRPr="00E429EB">
        <w:rPr>
          <w:rFonts w:ascii="Century Gothic" w:eastAsia="Times New Roman" w:hAnsi="Century Gothic" w:cs="Times New Roman"/>
          <w:bCs/>
          <w:lang w:eastAsia="en-GB"/>
        </w:rPr>
        <w:t xml:space="preserve"> işletmelerin </w:t>
      </w:r>
      <w:r w:rsidRPr="00C0635E">
        <w:rPr>
          <w:rFonts w:ascii="Century Gothic" w:eastAsia="Times New Roman" w:hAnsi="Century Gothic" w:cs="Times New Roman"/>
          <w:bCs/>
          <w:lang w:eastAsia="en-GB"/>
        </w:rPr>
        <w:t>2017-2021 dönemi için yıllık finansal oranlar</w:t>
      </w:r>
      <w:r w:rsidR="00BA7446">
        <w:rPr>
          <w:rFonts w:ascii="Century Gothic" w:eastAsia="Times New Roman" w:hAnsi="Century Gothic" w:cs="Times New Roman"/>
          <w:bCs/>
          <w:lang w:eastAsia="en-GB"/>
        </w:rPr>
        <w:t>ı</w:t>
      </w:r>
      <w:r w:rsidRPr="00C0635E">
        <w:rPr>
          <w:rFonts w:ascii="Century Gothic" w:eastAsia="Times New Roman" w:hAnsi="Century Gothic" w:cs="Times New Roman"/>
          <w:bCs/>
          <w:lang w:eastAsia="en-GB"/>
        </w:rPr>
        <w:t xml:space="preserve"> kullanılmıştır.</w:t>
      </w:r>
    </w:p>
    <w:p w:rsidR="00CE22E5" w:rsidRPr="00CE22E5" w:rsidRDefault="00CE22E5" w:rsidP="008C5CC1">
      <w:pPr>
        <w:spacing w:before="120" w:after="120"/>
        <w:jc w:val="both"/>
        <w:rPr>
          <w:rFonts w:ascii="Century Gothic" w:eastAsia="Times New Roman" w:hAnsi="Century Gothic" w:cs="Times New Roman"/>
          <w:lang w:eastAsia="tr-TR"/>
        </w:rPr>
      </w:pPr>
    </w:p>
    <w:p w:rsidR="00CE22E5" w:rsidRPr="00CE22E5" w:rsidRDefault="00C0635E" w:rsidP="00C0635E">
      <w:pPr>
        <w:pStyle w:val="ListeParagraf"/>
        <w:numPr>
          <w:ilvl w:val="0"/>
          <w:numId w:val="10"/>
        </w:numPr>
        <w:tabs>
          <w:tab w:val="left" w:pos="1026"/>
        </w:tabs>
        <w:spacing w:before="120" w:after="120"/>
        <w:jc w:val="both"/>
        <w:rPr>
          <w:rFonts w:ascii="Century Gothic" w:eastAsia="Times New Roman" w:hAnsi="Century Gothic" w:cs="Times New Roman"/>
          <w:b/>
          <w:lang w:eastAsia="en-GB"/>
        </w:rPr>
      </w:pPr>
      <w:r w:rsidRPr="00C0635E">
        <w:rPr>
          <w:rFonts w:ascii="Century Gothic" w:eastAsia="Times New Roman" w:hAnsi="Century Gothic" w:cs="Times New Roman"/>
          <w:b/>
          <w:lang w:eastAsia="en-GB"/>
        </w:rPr>
        <w:t>Literatür Taraması</w:t>
      </w:r>
    </w:p>
    <w:p w:rsidR="00C0635E" w:rsidRPr="00C0635E" w:rsidRDefault="00C0635E" w:rsidP="0001399A">
      <w:pPr>
        <w:spacing w:before="120" w:after="120"/>
        <w:ind w:firstLine="708"/>
        <w:jc w:val="both"/>
        <w:rPr>
          <w:rFonts w:ascii="Century Gothic" w:eastAsia="Times New Roman" w:hAnsi="Century Gothic" w:cs="Times New Roman"/>
          <w:bCs/>
          <w:lang w:eastAsia="tr-TR"/>
        </w:rPr>
      </w:pPr>
      <w:r w:rsidRPr="00C0635E">
        <w:rPr>
          <w:rFonts w:ascii="Century Gothic" w:eastAsia="Times New Roman" w:hAnsi="Century Gothic" w:cs="Times New Roman"/>
          <w:bCs/>
          <w:lang w:eastAsia="tr-TR"/>
        </w:rPr>
        <w:t xml:space="preserve">Objektif yöntemlerle değerlendirilen ilk finansal analiz çalışmaları </w:t>
      </w:r>
      <w:proofErr w:type="spellStart"/>
      <w:r w:rsidRPr="00C0635E">
        <w:rPr>
          <w:rFonts w:ascii="Century Gothic" w:eastAsia="Times New Roman" w:hAnsi="Century Gothic" w:cs="Times New Roman"/>
          <w:bCs/>
          <w:lang w:eastAsia="tr-TR"/>
        </w:rPr>
        <w:t>Altman</w:t>
      </w:r>
      <w:proofErr w:type="spellEnd"/>
      <w:r w:rsidRPr="00C0635E">
        <w:rPr>
          <w:rFonts w:ascii="Century Gothic" w:eastAsia="Times New Roman" w:hAnsi="Century Gothic" w:cs="Times New Roman"/>
          <w:bCs/>
          <w:lang w:eastAsia="tr-TR"/>
        </w:rPr>
        <w:t xml:space="preserve"> (1968) tarafından yapılmıştır. </w:t>
      </w:r>
      <w:proofErr w:type="spellStart"/>
      <w:r w:rsidRPr="00C0635E">
        <w:rPr>
          <w:rFonts w:ascii="Century Gothic" w:eastAsia="Times New Roman" w:hAnsi="Century Gothic" w:cs="Times New Roman"/>
          <w:bCs/>
          <w:lang w:eastAsia="tr-TR"/>
        </w:rPr>
        <w:t>Altman</w:t>
      </w:r>
      <w:proofErr w:type="spellEnd"/>
      <w:r w:rsidRPr="00C0635E">
        <w:rPr>
          <w:rFonts w:ascii="Century Gothic" w:eastAsia="Times New Roman" w:hAnsi="Century Gothic" w:cs="Times New Roman"/>
          <w:bCs/>
          <w:lang w:eastAsia="tr-TR"/>
        </w:rPr>
        <w:t xml:space="preserve"> çalışmasında, finansal oranları kullanarak “z skoru modeli” adlı bir </w:t>
      </w:r>
      <w:proofErr w:type="spellStart"/>
      <w:r w:rsidRPr="00C0635E">
        <w:rPr>
          <w:rFonts w:ascii="Century Gothic" w:eastAsia="Times New Roman" w:hAnsi="Century Gothic" w:cs="Times New Roman"/>
          <w:bCs/>
          <w:lang w:eastAsia="tr-TR"/>
        </w:rPr>
        <w:t>diskriminant</w:t>
      </w:r>
      <w:proofErr w:type="spellEnd"/>
      <w:r w:rsidRPr="00C0635E">
        <w:rPr>
          <w:rFonts w:ascii="Century Gothic" w:eastAsia="Times New Roman" w:hAnsi="Century Gothic" w:cs="Times New Roman"/>
          <w:bCs/>
          <w:lang w:eastAsia="tr-TR"/>
        </w:rPr>
        <w:t xml:space="preserve"> fonksiyonu oluşturmuştur. Verilerin elde</w:t>
      </w:r>
      <w:r w:rsidR="00930E9F">
        <w:rPr>
          <w:rFonts w:ascii="Century Gothic" w:eastAsia="Times New Roman" w:hAnsi="Century Gothic" w:cs="Times New Roman"/>
          <w:bCs/>
          <w:lang w:eastAsia="tr-TR"/>
        </w:rPr>
        <w:t xml:space="preserve"> edilmesinde ve veri girişinde </w:t>
      </w:r>
      <w:r w:rsidRPr="00C0635E">
        <w:rPr>
          <w:rFonts w:ascii="Century Gothic" w:eastAsia="Times New Roman" w:hAnsi="Century Gothic" w:cs="Times New Roman"/>
          <w:bCs/>
          <w:lang w:eastAsia="tr-TR"/>
        </w:rPr>
        <w:t>yaşanan zorluklar, geçmiş yıll</w:t>
      </w:r>
      <w:r w:rsidR="00930E9F">
        <w:rPr>
          <w:rFonts w:ascii="Century Gothic" w:eastAsia="Times New Roman" w:hAnsi="Century Gothic" w:cs="Times New Roman"/>
          <w:bCs/>
          <w:lang w:eastAsia="tr-TR"/>
        </w:rPr>
        <w:t>ara ait verilere dayalı yöntemlerin</w:t>
      </w:r>
      <w:r w:rsidRPr="00C0635E">
        <w:rPr>
          <w:rFonts w:ascii="Century Gothic" w:eastAsia="Times New Roman" w:hAnsi="Century Gothic" w:cs="Times New Roman"/>
          <w:bCs/>
          <w:lang w:eastAsia="tr-TR"/>
        </w:rPr>
        <w:t xml:space="preserve"> geliştirilmesine neden olmuştur. </w:t>
      </w:r>
      <w:r w:rsidR="0001399A">
        <w:rPr>
          <w:rFonts w:ascii="Century Gothic" w:eastAsia="Times New Roman" w:hAnsi="Century Gothic" w:cs="Times New Roman"/>
          <w:bCs/>
          <w:lang w:eastAsia="tr-TR"/>
        </w:rPr>
        <w:t>İ</w:t>
      </w:r>
      <w:r w:rsidR="00E429EB" w:rsidRPr="00E429EB">
        <w:rPr>
          <w:rFonts w:ascii="Century Gothic" w:eastAsia="Times New Roman" w:hAnsi="Century Gothic" w:cs="Times New Roman"/>
          <w:bCs/>
          <w:lang w:eastAsia="tr-TR"/>
        </w:rPr>
        <w:t>şletmelerin</w:t>
      </w:r>
      <w:r w:rsidRPr="00C0635E">
        <w:rPr>
          <w:rFonts w:ascii="Century Gothic" w:eastAsia="Times New Roman" w:hAnsi="Century Gothic" w:cs="Times New Roman"/>
          <w:bCs/>
          <w:lang w:eastAsia="tr-TR"/>
        </w:rPr>
        <w:t xml:space="preserve"> finansal performansının ölçülmesinde ÇKKV yöntemlerinin kullanımı 1980'li yıllardan itibaren yaygınlaşmaya başlamıştır (İç vd. 2015).</w:t>
      </w:r>
      <w:r w:rsidRPr="00C0635E">
        <w:rPr>
          <w:rFonts w:ascii="Century Gothic" w:eastAsia="Times New Roman" w:hAnsi="Century Gothic" w:cs="Times New Roman"/>
          <w:lang w:eastAsia="tr-TR"/>
        </w:rPr>
        <w:t xml:space="preserve"> </w:t>
      </w:r>
      <w:r w:rsidR="009322F5">
        <w:rPr>
          <w:rFonts w:ascii="Century Gothic" w:eastAsia="Times New Roman" w:hAnsi="Century Gothic" w:cs="Times New Roman"/>
          <w:bCs/>
          <w:lang w:eastAsia="tr-TR"/>
        </w:rPr>
        <w:t xml:space="preserve">Feng ve </w:t>
      </w:r>
      <w:proofErr w:type="spellStart"/>
      <w:r w:rsidR="009322F5">
        <w:rPr>
          <w:rFonts w:ascii="Century Gothic" w:eastAsia="Times New Roman" w:hAnsi="Century Gothic" w:cs="Times New Roman"/>
          <w:bCs/>
          <w:lang w:eastAsia="tr-TR"/>
        </w:rPr>
        <w:t>Wang</w:t>
      </w:r>
      <w:proofErr w:type="spellEnd"/>
      <w:r w:rsidR="009322F5">
        <w:rPr>
          <w:rFonts w:ascii="Century Gothic" w:eastAsia="Times New Roman" w:hAnsi="Century Gothic" w:cs="Times New Roman"/>
          <w:bCs/>
          <w:lang w:eastAsia="tr-TR"/>
        </w:rPr>
        <w:t xml:space="preserve"> (2000) </w:t>
      </w:r>
      <w:r w:rsidR="00930E9F">
        <w:rPr>
          <w:rFonts w:ascii="Century Gothic" w:eastAsia="Times New Roman" w:hAnsi="Century Gothic" w:cs="Times New Roman"/>
          <w:bCs/>
          <w:lang w:eastAsia="tr-TR"/>
        </w:rPr>
        <w:t>çalışmalarında,</w:t>
      </w:r>
      <w:r w:rsidRPr="00C0635E">
        <w:rPr>
          <w:rFonts w:ascii="Century Gothic" w:eastAsia="Times New Roman" w:hAnsi="Century Gothic" w:cs="Times New Roman"/>
          <w:bCs/>
          <w:lang w:eastAsia="tr-TR"/>
        </w:rPr>
        <w:t xml:space="preserve"> Tayvan'da faaliyet göster</w:t>
      </w:r>
      <w:r w:rsidR="009322F5">
        <w:rPr>
          <w:rFonts w:ascii="Century Gothic" w:eastAsia="Times New Roman" w:hAnsi="Century Gothic" w:cs="Times New Roman"/>
          <w:bCs/>
          <w:lang w:eastAsia="tr-TR"/>
        </w:rPr>
        <w:t>en beş havayolu şirketinin</w:t>
      </w:r>
      <w:r w:rsidR="00930E9F">
        <w:rPr>
          <w:rFonts w:ascii="Century Gothic" w:eastAsia="Times New Roman" w:hAnsi="Century Gothic" w:cs="Times New Roman"/>
          <w:bCs/>
          <w:lang w:eastAsia="tr-TR"/>
        </w:rPr>
        <w:t xml:space="preserve"> performansı</w:t>
      </w:r>
      <w:r w:rsidR="009322F5">
        <w:rPr>
          <w:rFonts w:ascii="Century Gothic" w:eastAsia="Times New Roman" w:hAnsi="Century Gothic" w:cs="Times New Roman"/>
          <w:bCs/>
          <w:lang w:eastAsia="tr-TR"/>
        </w:rPr>
        <w:t>nı</w:t>
      </w:r>
      <w:r w:rsidRPr="00C0635E">
        <w:rPr>
          <w:rFonts w:ascii="Century Gothic" w:eastAsia="Times New Roman" w:hAnsi="Century Gothic" w:cs="Times New Roman"/>
          <w:bCs/>
          <w:lang w:eastAsia="tr-TR"/>
        </w:rPr>
        <w:t xml:space="preserve"> TOPSIS aracılığ</w:t>
      </w:r>
      <w:r w:rsidR="009322F5">
        <w:rPr>
          <w:rFonts w:ascii="Century Gothic" w:eastAsia="Times New Roman" w:hAnsi="Century Gothic" w:cs="Times New Roman"/>
          <w:bCs/>
          <w:lang w:eastAsia="tr-TR"/>
        </w:rPr>
        <w:t>ıyla incelemiş ve havayolları şirketlerinin</w:t>
      </w:r>
      <w:r w:rsidRPr="00C0635E">
        <w:rPr>
          <w:rFonts w:ascii="Century Gothic" w:eastAsia="Times New Roman" w:hAnsi="Century Gothic" w:cs="Times New Roman"/>
          <w:bCs/>
          <w:lang w:eastAsia="tr-TR"/>
        </w:rPr>
        <w:t xml:space="preserve"> performansının belirlenmesinde finansal göstergelerin önemli </w:t>
      </w:r>
      <w:r w:rsidR="00930E9F">
        <w:rPr>
          <w:rFonts w:ascii="Century Gothic" w:eastAsia="Times New Roman" w:hAnsi="Century Gothic" w:cs="Times New Roman"/>
          <w:bCs/>
          <w:lang w:eastAsia="tr-TR"/>
        </w:rPr>
        <w:t>bir etken olduğu</w:t>
      </w:r>
      <w:r w:rsidRPr="00C0635E">
        <w:rPr>
          <w:rFonts w:ascii="Century Gothic" w:eastAsia="Times New Roman" w:hAnsi="Century Gothic" w:cs="Times New Roman"/>
          <w:bCs/>
          <w:lang w:eastAsia="tr-TR"/>
        </w:rPr>
        <w:t xml:space="preserve"> sonucuna </w:t>
      </w:r>
      <w:r w:rsidR="0001399A">
        <w:rPr>
          <w:rFonts w:ascii="Century Gothic" w:eastAsia="Times New Roman" w:hAnsi="Century Gothic" w:cs="Times New Roman"/>
          <w:bCs/>
          <w:lang w:eastAsia="tr-TR"/>
        </w:rPr>
        <w:t>ulaş</w:t>
      </w:r>
      <w:r w:rsidR="009322F5">
        <w:rPr>
          <w:rFonts w:ascii="Century Gothic" w:eastAsia="Times New Roman" w:hAnsi="Century Gothic" w:cs="Times New Roman"/>
          <w:bCs/>
          <w:lang w:eastAsia="tr-TR"/>
        </w:rPr>
        <w:t>mışlardır.</w:t>
      </w:r>
      <w:r w:rsidRPr="00C0635E">
        <w:rPr>
          <w:rFonts w:ascii="Century Gothic" w:eastAsia="Times New Roman" w:hAnsi="Century Gothic" w:cs="Times New Roman"/>
          <w:bCs/>
          <w:lang w:eastAsia="tr-TR"/>
        </w:rPr>
        <w:t xml:space="preserve"> Yurdakul ve İç (2003), beş büyük ölçekli otomobil firmasını finansal yapıları ve durumları açısından incelemişlerdir. Her yıla ait performans değe</w:t>
      </w:r>
      <w:r w:rsidR="00155980">
        <w:rPr>
          <w:rFonts w:ascii="Century Gothic" w:eastAsia="Times New Roman" w:hAnsi="Century Gothic" w:cs="Times New Roman"/>
          <w:bCs/>
          <w:lang w:eastAsia="tr-TR"/>
        </w:rPr>
        <w:t>rlerini, menkul kıymetlerin yıl</w:t>
      </w:r>
      <w:r w:rsidRPr="00C0635E">
        <w:rPr>
          <w:rFonts w:ascii="Century Gothic" w:eastAsia="Times New Roman" w:hAnsi="Century Gothic" w:cs="Times New Roman"/>
          <w:bCs/>
          <w:lang w:eastAsia="tr-TR"/>
        </w:rPr>
        <w:t>sonu kapanış fiyatları ile karşılaştırılarak 2001 yılı ile uy</w:t>
      </w:r>
      <w:r w:rsidR="0001399A">
        <w:rPr>
          <w:rFonts w:ascii="Century Gothic" w:eastAsia="Times New Roman" w:hAnsi="Century Gothic" w:cs="Times New Roman"/>
          <w:bCs/>
          <w:lang w:eastAsia="tr-TR"/>
        </w:rPr>
        <w:t xml:space="preserve">umlu sonuçlar elde etmişlerdir. </w:t>
      </w:r>
      <w:r w:rsidRPr="00C0635E">
        <w:rPr>
          <w:rFonts w:ascii="Century Gothic" w:eastAsia="Times New Roman" w:hAnsi="Century Gothic" w:cs="Times New Roman"/>
          <w:bCs/>
          <w:lang w:eastAsia="tr-TR"/>
        </w:rPr>
        <w:t xml:space="preserve">Abbasi vd. (2008), İran'da bir banka üzerinde yaptıkları analizde, TOPSIS yöntemine göre </w:t>
      </w:r>
      <w:r w:rsidR="000E4335" w:rsidRPr="000E4335">
        <w:rPr>
          <w:rFonts w:ascii="Century Gothic" w:eastAsia="Times New Roman" w:hAnsi="Century Gothic" w:cs="Times New Roman"/>
          <w:bCs/>
          <w:lang w:eastAsia="tr-TR"/>
        </w:rPr>
        <w:t>k</w:t>
      </w:r>
      <m:oMath>
        <m:acc>
          <m:accPr>
            <m:ctrlPr>
              <w:rPr>
                <w:rFonts w:ascii="Cambria Math" w:eastAsia="Times New Roman" w:hAnsi="Cambria Math" w:cs="Times New Roman"/>
                <w:bCs/>
                <w:lang w:eastAsia="tr-TR"/>
              </w:rPr>
            </m:ctrlPr>
          </m:accPr>
          <m:e>
            <m:r>
              <m:rPr>
                <m:sty m:val="p"/>
              </m:rPr>
              <w:rPr>
                <w:rFonts w:ascii="Cambria Math" w:eastAsia="Times New Roman" w:hAnsi="Cambria Math" w:cs="Times New Roman"/>
                <w:lang w:eastAsia="tr-TR"/>
              </w:rPr>
              <m:t>a</m:t>
            </m:r>
          </m:e>
        </m:acc>
      </m:oMath>
      <w:r w:rsidR="000E4335" w:rsidRPr="000E4335">
        <w:rPr>
          <w:rFonts w:ascii="Century Gothic" w:eastAsia="Times New Roman" w:hAnsi="Century Gothic" w:cs="Times New Roman"/>
          <w:bCs/>
          <w:lang w:eastAsia="tr-TR"/>
        </w:rPr>
        <w:t>rlılık</w:t>
      </w:r>
      <w:r w:rsidRPr="00C0635E">
        <w:rPr>
          <w:rFonts w:ascii="Century Gothic" w:eastAsia="Times New Roman" w:hAnsi="Century Gothic" w:cs="Times New Roman"/>
          <w:bCs/>
          <w:lang w:eastAsia="tr-TR"/>
        </w:rPr>
        <w:t xml:space="preserve"> açısından en iyi hesabın cari hesap olduğunu belirlemişlerdir. </w:t>
      </w:r>
      <w:proofErr w:type="spellStart"/>
      <w:r w:rsidRPr="00C0635E">
        <w:rPr>
          <w:rFonts w:ascii="Century Gothic" w:eastAsia="Times New Roman" w:hAnsi="Century Gothic" w:cs="Times New Roman"/>
          <w:bCs/>
          <w:lang w:eastAsia="tr-TR"/>
        </w:rPr>
        <w:t>Wang</w:t>
      </w:r>
      <w:proofErr w:type="spellEnd"/>
      <w:r w:rsidRPr="00C0635E">
        <w:rPr>
          <w:rFonts w:ascii="Century Gothic" w:eastAsia="Times New Roman" w:hAnsi="Century Gothic" w:cs="Times New Roman"/>
          <w:bCs/>
          <w:lang w:eastAsia="tr-TR"/>
        </w:rPr>
        <w:t xml:space="preserve"> (2014), Tayvan'daki konteyner taşımacılığı şirketlerinin finansal performansını incelemek için bulanık TOPSIS yöntemini kullanmıştır.</w:t>
      </w:r>
    </w:p>
    <w:p w:rsidR="00C0635E" w:rsidRPr="00C0635E" w:rsidRDefault="00C0635E" w:rsidP="00C0635E">
      <w:pPr>
        <w:spacing w:before="120" w:after="120"/>
        <w:ind w:firstLine="708"/>
        <w:jc w:val="both"/>
        <w:rPr>
          <w:rFonts w:ascii="Century Gothic" w:eastAsia="Times New Roman" w:hAnsi="Century Gothic" w:cs="Times New Roman"/>
          <w:bCs/>
          <w:lang w:eastAsia="tr-TR"/>
        </w:rPr>
      </w:pPr>
      <w:r w:rsidRPr="00C0635E">
        <w:rPr>
          <w:rFonts w:ascii="Century Gothic" w:eastAsia="Times New Roman" w:hAnsi="Century Gothic" w:cs="Times New Roman"/>
          <w:bCs/>
          <w:lang w:eastAsia="tr-TR"/>
        </w:rPr>
        <w:t xml:space="preserve">2006-2010 dönemi için İMKB’ işlem gören on üç metal ana sanayi işletmesinin finansal performanslarını TOPSIS yöntemi ile analiz ettikleri çalışmalarında </w:t>
      </w:r>
      <w:proofErr w:type="spellStart"/>
      <w:r w:rsidRPr="00C0635E">
        <w:rPr>
          <w:rFonts w:ascii="Century Gothic" w:eastAsia="Times New Roman" w:hAnsi="Century Gothic" w:cs="Times New Roman"/>
          <w:bCs/>
          <w:lang w:eastAsia="tr-TR"/>
        </w:rPr>
        <w:t>Uygurtürk</w:t>
      </w:r>
      <w:proofErr w:type="spellEnd"/>
      <w:r w:rsidRPr="00C0635E">
        <w:rPr>
          <w:rFonts w:ascii="Century Gothic" w:eastAsia="Times New Roman" w:hAnsi="Century Gothic" w:cs="Times New Roman"/>
          <w:bCs/>
          <w:lang w:eastAsia="tr-TR"/>
        </w:rPr>
        <w:t xml:space="preserve"> ve Korkmaz (2012) finansal oran olarak; </w:t>
      </w:r>
      <w:proofErr w:type="spellStart"/>
      <w:r w:rsidRPr="00C0635E">
        <w:rPr>
          <w:rFonts w:ascii="Century Gothic" w:eastAsia="Times New Roman" w:hAnsi="Century Gothic" w:cs="Times New Roman"/>
          <w:bCs/>
          <w:lang w:eastAsia="tr-TR"/>
        </w:rPr>
        <w:t>likitide</w:t>
      </w:r>
      <w:proofErr w:type="spellEnd"/>
      <w:r w:rsidRPr="00C0635E">
        <w:rPr>
          <w:rFonts w:ascii="Century Gothic" w:eastAsia="Times New Roman" w:hAnsi="Century Gothic" w:cs="Times New Roman"/>
          <w:bCs/>
          <w:lang w:eastAsia="tr-TR"/>
        </w:rPr>
        <w:t xml:space="preserve"> oranı, cari oran, stok devir hızı, toplam aktif devir hızı, sabit aktif devir hızı, toplam borçlar/toplam aktifler, net kar </w:t>
      </w:r>
      <w:proofErr w:type="gramStart"/>
      <w:r w:rsidRPr="00C0635E">
        <w:rPr>
          <w:rFonts w:ascii="Century Gothic" w:eastAsia="Times New Roman" w:hAnsi="Century Gothic" w:cs="Times New Roman"/>
          <w:bCs/>
          <w:lang w:eastAsia="tr-TR"/>
        </w:rPr>
        <w:t>marjı</w:t>
      </w:r>
      <w:proofErr w:type="gramEnd"/>
      <w:r w:rsidRPr="00C0635E">
        <w:rPr>
          <w:rFonts w:ascii="Century Gothic" w:eastAsia="Times New Roman" w:hAnsi="Century Gothic" w:cs="Times New Roman"/>
          <w:bCs/>
          <w:lang w:eastAsia="tr-TR"/>
        </w:rPr>
        <w:t xml:space="preserve"> ve öz sermaye </w:t>
      </w:r>
      <w:r w:rsidR="000E4335" w:rsidRPr="000E4335">
        <w:rPr>
          <w:rFonts w:ascii="Century Gothic" w:eastAsia="Times New Roman" w:hAnsi="Century Gothic" w:cs="Times New Roman"/>
          <w:bCs/>
          <w:lang w:eastAsia="tr-TR"/>
        </w:rPr>
        <w:t>k</w:t>
      </w:r>
      <m:oMath>
        <m:acc>
          <m:accPr>
            <m:ctrlPr>
              <w:rPr>
                <w:rFonts w:ascii="Cambria Math" w:eastAsia="Times New Roman" w:hAnsi="Cambria Math" w:cs="Times New Roman"/>
                <w:bCs/>
                <w:lang w:eastAsia="tr-TR"/>
              </w:rPr>
            </m:ctrlPr>
          </m:accPr>
          <m:e>
            <m:r>
              <m:rPr>
                <m:sty m:val="p"/>
              </m:rPr>
              <w:rPr>
                <w:rFonts w:ascii="Cambria Math" w:eastAsia="Times New Roman" w:hAnsi="Cambria Math" w:cs="Times New Roman"/>
                <w:lang w:eastAsia="tr-TR"/>
              </w:rPr>
              <m:t>a</m:t>
            </m:r>
          </m:e>
        </m:acc>
      </m:oMath>
      <w:r w:rsidR="000E4335">
        <w:rPr>
          <w:rFonts w:ascii="Century Gothic" w:eastAsia="Times New Roman" w:hAnsi="Century Gothic" w:cs="Times New Roman"/>
          <w:bCs/>
          <w:lang w:eastAsia="tr-TR"/>
        </w:rPr>
        <w:t>rlılığı</w:t>
      </w:r>
      <w:r w:rsidRPr="00C0635E">
        <w:rPr>
          <w:rFonts w:ascii="Century Gothic" w:eastAsia="Times New Roman" w:hAnsi="Century Gothic" w:cs="Times New Roman"/>
          <w:bCs/>
          <w:lang w:eastAsia="tr-TR"/>
        </w:rPr>
        <w:t xml:space="preserve"> oranlarını kulla</w:t>
      </w:r>
      <w:r w:rsidR="00930E9F">
        <w:rPr>
          <w:rFonts w:ascii="Century Gothic" w:eastAsia="Times New Roman" w:hAnsi="Century Gothic" w:cs="Times New Roman"/>
          <w:bCs/>
          <w:lang w:eastAsia="tr-TR"/>
        </w:rPr>
        <w:t>nmış</w:t>
      </w:r>
      <w:r w:rsidR="0001399A">
        <w:rPr>
          <w:rFonts w:ascii="Century Gothic" w:eastAsia="Times New Roman" w:hAnsi="Century Gothic" w:cs="Times New Roman"/>
          <w:bCs/>
          <w:lang w:eastAsia="tr-TR"/>
        </w:rPr>
        <w:t>tır.</w:t>
      </w:r>
      <w:r w:rsidRPr="00C0635E">
        <w:rPr>
          <w:rFonts w:ascii="Century Gothic" w:eastAsia="Times New Roman" w:hAnsi="Century Gothic" w:cs="Times New Roman"/>
          <w:bCs/>
          <w:lang w:eastAsia="tr-TR"/>
        </w:rPr>
        <w:t xml:space="preserve"> Çalışmada, ana metal sanayi sektöründe faaliyette bulunan işletmelerin performanslarının ele alınan dönem itibari ile değişkenlik gösterdiği sonucuna </w:t>
      </w:r>
      <w:r w:rsidR="009322F5">
        <w:rPr>
          <w:rFonts w:ascii="Century Gothic" w:eastAsia="Times New Roman" w:hAnsi="Century Gothic" w:cs="Times New Roman"/>
          <w:bCs/>
          <w:lang w:eastAsia="tr-TR"/>
        </w:rPr>
        <w:t>ulaşılmıştır.</w:t>
      </w:r>
    </w:p>
    <w:p w:rsidR="00C0635E" w:rsidRPr="00C0635E" w:rsidRDefault="00C0635E" w:rsidP="00C0635E">
      <w:pPr>
        <w:spacing w:before="120" w:after="120"/>
        <w:ind w:firstLine="708"/>
        <w:jc w:val="both"/>
        <w:rPr>
          <w:rFonts w:ascii="Century Gothic" w:eastAsia="Times New Roman" w:hAnsi="Century Gothic" w:cs="Times New Roman"/>
          <w:bCs/>
          <w:lang w:eastAsia="tr-TR"/>
        </w:rPr>
      </w:pPr>
      <w:proofErr w:type="spellStart"/>
      <w:r w:rsidRPr="00C0635E">
        <w:rPr>
          <w:rFonts w:ascii="Century Gothic" w:eastAsia="Times New Roman" w:hAnsi="Century Gothic" w:cs="Times New Roman"/>
          <w:bCs/>
          <w:lang w:eastAsia="tr-TR"/>
        </w:rPr>
        <w:t>Ömürbek</w:t>
      </w:r>
      <w:proofErr w:type="spellEnd"/>
      <w:r w:rsidRPr="00C0635E">
        <w:rPr>
          <w:rFonts w:ascii="Century Gothic" w:eastAsia="Times New Roman" w:hAnsi="Century Gothic" w:cs="Times New Roman"/>
          <w:bCs/>
          <w:lang w:eastAsia="tr-TR"/>
        </w:rPr>
        <w:t xml:space="preserve"> ve Mercan (2014) çalışmalarında 22 alt sektöre ayrılan imalat sektörünü TOPSIS ve ELECTRE yöntemleri ile finansal açıdan değerlendirmişlerdir. Değerlendirme sonucunda her iki yöntemde de Kok kömürü ve rafine edilmiş petrol ürünleri imalatı sektörü ilk sırayı almıştır.</w:t>
      </w:r>
    </w:p>
    <w:p w:rsidR="00C0635E" w:rsidRPr="00C0635E" w:rsidRDefault="00C0635E" w:rsidP="00C0635E">
      <w:pPr>
        <w:spacing w:before="120" w:after="120"/>
        <w:ind w:firstLine="708"/>
        <w:jc w:val="both"/>
        <w:rPr>
          <w:rFonts w:ascii="Century Gothic" w:eastAsia="Times New Roman" w:hAnsi="Century Gothic" w:cs="Times New Roman"/>
          <w:bCs/>
          <w:lang w:eastAsia="tr-TR"/>
        </w:rPr>
      </w:pPr>
      <w:r w:rsidRPr="00C0635E">
        <w:rPr>
          <w:rFonts w:ascii="Century Gothic" w:eastAsia="Times New Roman" w:hAnsi="Century Gothic" w:cs="Times New Roman"/>
          <w:bCs/>
          <w:lang w:eastAsia="tr-TR"/>
        </w:rPr>
        <w:lastRenderedPageBreak/>
        <w:t xml:space="preserve">BIST Ana Metal Endeksi’nde yer alan şirketlerin finansal performanslarını 2011- 2015 dönemi açısından analiz eden </w:t>
      </w:r>
      <w:proofErr w:type="spellStart"/>
      <w:r w:rsidRPr="00C0635E">
        <w:rPr>
          <w:rFonts w:ascii="Century Gothic" w:eastAsia="Times New Roman" w:hAnsi="Century Gothic" w:cs="Times New Roman"/>
          <w:bCs/>
          <w:lang w:eastAsia="tr-TR"/>
        </w:rPr>
        <w:t>Şit</w:t>
      </w:r>
      <w:proofErr w:type="spellEnd"/>
      <w:r w:rsidRPr="00C0635E">
        <w:rPr>
          <w:rFonts w:ascii="Century Gothic" w:eastAsia="Times New Roman" w:hAnsi="Century Gothic" w:cs="Times New Roman"/>
          <w:bCs/>
          <w:lang w:eastAsia="tr-TR"/>
        </w:rPr>
        <w:t xml:space="preserve"> vd. (2017), TOPSIS yönetimi ile finansal oranların karşılaştırmasını yaptıkları çalışma</w:t>
      </w:r>
      <w:r w:rsidR="00930E9F">
        <w:rPr>
          <w:rFonts w:ascii="Century Gothic" w:eastAsia="Times New Roman" w:hAnsi="Century Gothic" w:cs="Times New Roman"/>
          <w:bCs/>
          <w:lang w:eastAsia="tr-TR"/>
        </w:rPr>
        <w:t>nın</w:t>
      </w:r>
      <w:r w:rsidRPr="00C0635E">
        <w:rPr>
          <w:rFonts w:ascii="Century Gothic" w:eastAsia="Times New Roman" w:hAnsi="Century Gothic" w:cs="Times New Roman"/>
          <w:bCs/>
          <w:lang w:eastAsia="tr-TR"/>
        </w:rPr>
        <w:t xml:space="preserve"> sonucunda</w:t>
      </w:r>
      <w:r w:rsidR="00930E9F">
        <w:rPr>
          <w:rFonts w:ascii="Century Gothic" w:eastAsia="Times New Roman" w:hAnsi="Century Gothic" w:cs="Times New Roman"/>
          <w:bCs/>
          <w:lang w:eastAsia="tr-TR"/>
        </w:rPr>
        <w:t>,</w:t>
      </w:r>
      <w:r w:rsidRPr="00C0635E">
        <w:rPr>
          <w:rFonts w:ascii="Century Gothic" w:eastAsia="Times New Roman" w:hAnsi="Century Gothic" w:cs="Times New Roman"/>
          <w:bCs/>
          <w:lang w:eastAsia="tr-TR"/>
        </w:rPr>
        <w:t xml:space="preserve"> sektörde faaliyet gösteren şirketlerin finansal performanslarının yıllar itibari ile değişkenlik gösterdiğini ifade etmişlerdir.</w:t>
      </w:r>
    </w:p>
    <w:p w:rsidR="00C0635E" w:rsidRPr="00C0635E" w:rsidRDefault="00C0635E" w:rsidP="00C0635E">
      <w:pPr>
        <w:spacing w:before="120" w:after="120"/>
        <w:ind w:firstLine="708"/>
        <w:jc w:val="both"/>
        <w:rPr>
          <w:rFonts w:ascii="Century Gothic" w:eastAsia="Times New Roman" w:hAnsi="Century Gothic" w:cs="Times New Roman"/>
          <w:bCs/>
          <w:lang w:eastAsia="tr-TR"/>
        </w:rPr>
      </w:pPr>
      <w:r w:rsidRPr="00C0635E">
        <w:rPr>
          <w:rFonts w:ascii="Century Gothic" w:eastAsia="Times New Roman" w:hAnsi="Century Gothic" w:cs="Times New Roman"/>
          <w:bCs/>
          <w:lang w:eastAsia="tr-TR"/>
        </w:rPr>
        <w:t xml:space="preserve">Yanık ve Eren (2017), BIST-100 de işlem gören otomotiv imalat sektöründeki 11 ayrı firmayı inceledikleri çalışmalarında, çok </w:t>
      </w:r>
      <w:proofErr w:type="gramStart"/>
      <w:r w:rsidRPr="00C0635E">
        <w:rPr>
          <w:rFonts w:ascii="Century Gothic" w:eastAsia="Times New Roman" w:hAnsi="Century Gothic" w:cs="Times New Roman"/>
          <w:bCs/>
          <w:lang w:eastAsia="tr-TR"/>
        </w:rPr>
        <w:t>kriterli</w:t>
      </w:r>
      <w:proofErr w:type="gramEnd"/>
      <w:r w:rsidRPr="00C0635E">
        <w:rPr>
          <w:rFonts w:ascii="Century Gothic" w:eastAsia="Times New Roman" w:hAnsi="Century Gothic" w:cs="Times New Roman"/>
          <w:bCs/>
          <w:lang w:eastAsia="tr-TR"/>
        </w:rPr>
        <w:t xml:space="preserve"> karar verme yöntemlerinden TOPSIS, VIKOR, EL</w:t>
      </w:r>
      <w:r w:rsidR="00930E9F">
        <w:rPr>
          <w:rFonts w:ascii="Century Gothic" w:eastAsia="Times New Roman" w:hAnsi="Century Gothic" w:cs="Times New Roman"/>
          <w:bCs/>
          <w:lang w:eastAsia="tr-TR"/>
        </w:rPr>
        <w:t>ECTRE yöntemleri</w:t>
      </w:r>
      <w:r w:rsidR="00E402A9">
        <w:rPr>
          <w:rFonts w:ascii="Century Gothic" w:eastAsia="Times New Roman" w:hAnsi="Century Gothic" w:cs="Times New Roman"/>
          <w:bCs/>
          <w:lang w:eastAsia="tr-TR"/>
        </w:rPr>
        <w:t>ni</w:t>
      </w:r>
      <w:r w:rsidR="00930E9F">
        <w:rPr>
          <w:rFonts w:ascii="Century Gothic" w:eastAsia="Times New Roman" w:hAnsi="Century Gothic" w:cs="Times New Roman"/>
          <w:bCs/>
          <w:lang w:eastAsia="tr-TR"/>
        </w:rPr>
        <w:t xml:space="preserve"> kullanmışlardır.</w:t>
      </w:r>
      <w:r w:rsidRPr="00C0635E">
        <w:rPr>
          <w:rFonts w:ascii="Century Gothic" w:eastAsia="Times New Roman" w:hAnsi="Century Gothic" w:cs="Times New Roman"/>
          <w:bCs/>
          <w:lang w:eastAsia="tr-TR"/>
        </w:rPr>
        <w:t xml:space="preserve"> Karar vermede kullanılacak </w:t>
      </w:r>
      <w:proofErr w:type="gramStart"/>
      <w:r w:rsidRPr="00C0635E">
        <w:rPr>
          <w:rFonts w:ascii="Century Gothic" w:eastAsia="Times New Roman" w:hAnsi="Century Gothic" w:cs="Times New Roman"/>
          <w:bCs/>
          <w:lang w:eastAsia="tr-TR"/>
        </w:rPr>
        <w:t>kriterlerin</w:t>
      </w:r>
      <w:proofErr w:type="gramEnd"/>
      <w:r w:rsidRPr="00C0635E">
        <w:rPr>
          <w:rFonts w:ascii="Century Gothic" w:eastAsia="Times New Roman" w:hAnsi="Century Gothic" w:cs="Times New Roman"/>
          <w:bCs/>
          <w:lang w:eastAsia="tr-TR"/>
        </w:rPr>
        <w:t xml:space="preserve"> birbirlerine göre ağırlıkları AHP yöntemi kullanılarak elde edilmiştir. Elde edilen skorların 2011-2015 yıllarına ait finansal performansları ve performans sıralaması bulunmuştur.  </w:t>
      </w:r>
    </w:p>
    <w:p w:rsidR="00C0635E" w:rsidRPr="00C0635E" w:rsidRDefault="00C0635E" w:rsidP="00C0635E">
      <w:pPr>
        <w:spacing w:before="120" w:after="120"/>
        <w:ind w:firstLine="708"/>
        <w:jc w:val="both"/>
        <w:rPr>
          <w:rFonts w:ascii="Century Gothic" w:eastAsia="Times New Roman" w:hAnsi="Century Gothic" w:cs="Times New Roman"/>
          <w:bCs/>
          <w:iCs/>
          <w:lang w:eastAsia="tr-TR"/>
        </w:rPr>
      </w:pPr>
      <w:r w:rsidRPr="00C0635E">
        <w:rPr>
          <w:rFonts w:ascii="Century Gothic" w:eastAsia="Times New Roman" w:hAnsi="Century Gothic" w:cs="Times New Roman"/>
          <w:bCs/>
          <w:iCs/>
          <w:lang w:eastAsia="tr-TR"/>
        </w:rPr>
        <w:t xml:space="preserve">Eyüboğlu ve Bayraktar (2019) yaptıkları çalışmada, 2014-2016 dönemi için ana metal sanayinde yer alan alt sektörlerin finansal performansları açısından likidite, finansal yapı, aktivite ve </w:t>
      </w:r>
      <w:r w:rsidR="000E4335" w:rsidRPr="000E4335">
        <w:rPr>
          <w:rFonts w:ascii="Century Gothic" w:eastAsia="Times New Roman" w:hAnsi="Century Gothic" w:cs="Times New Roman"/>
          <w:bCs/>
          <w:iCs/>
          <w:lang w:eastAsia="tr-TR"/>
        </w:rPr>
        <w:t>k</w:t>
      </w:r>
      <m:oMath>
        <m:acc>
          <m:accPr>
            <m:ctrlPr>
              <w:rPr>
                <w:rFonts w:ascii="Cambria Math" w:eastAsia="Times New Roman" w:hAnsi="Cambria Math" w:cs="Times New Roman"/>
                <w:bCs/>
                <w:iCs/>
                <w:lang w:eastAsia="tr-TR"/>
              </w:rPr>
            </m:ctrlPr>
          </m:accPr>
          <m:e>
            <m:r>
              <m:rPr>
                <m:sty m:val="p"/>
              </m:rPr>
              <w:rPr>
                <w:rFonts w:ascii="Cambria Math" w:eastAsia="Times New Roman" w:hAnsi="Cambria Math" w:cs="Times New Roman"/>
                <w:lang w:eastAsia="tr-TR"/>
              </w:rPr>
              <m:t>a</m:t>
            </m:r>
          </m:e>
        </m:acc>
      </m:oMath>
      <w:r w:rsidR="000E4335" w:rsidRPr="000E4335">
        <w:rPr>
          <w:rFonts w:ascii="Century Gothic" w:eastAsia="Times New Roman" w:hAnsi="Century Gothic" w:cs="Times New Roman"/>
          <w:bCs/>
          <w:iCs/>
          <w:lang w:eastAsia="tr-TR"/>
        </w:rPr>
        <w:t>rlılık</w:t>
      </w:r>
      <w:r w:rsidRPr="00C0635E">
        <w:rPr>
          <w:rFonts w:ascii="Century Gothic" w:eastAsia="Times New Roman" w:hAnsi="Century Gothic" w:cs="Times New Roman"/>
          <w:bCs/>
          <w:iCs/>
          <w:lang w:eastAsia="tr-TR"/>
        </w:rPr>
        <w:t xml:space="preserve"> oranlarını dikkate alarak finansal performanslarını AHP ve TOPSIS yöntemleri </w:t>
      </w:r>
      <w:r w:rsidR="00E402A9">
        <w:rPr>
          <w:rFonts w:ascii="Century Gothic" w:eastAsia="Times New Roman" w:hAnsi="Century Gothic" w:cs="Times New Roman"/>
          <w:bCs/>
          <w:iCs/>
          <w:lang w:eastAsia="tr-TR"/>
        </w:rPr>
        <w:t xml:space="preserve">ile </w:t>
      </w:r>
      <w:r w:rsidRPr="00C0635E">
        <w:rPr>
          <w:rFonts w:ascii="Century Gothic" w:eastAsia="Times New Roman" w:hAnsi="Century Gothic" w:cs="Times New Roman"/>
          <w:bCs/>
          <w:iCs/>
          <w:lang w:eastAsia="tr-TR"/>
        </w:rPr>
        <w:t xml:space="preserve">analiz etmişlerdir. </w:t>
      </w:r>
      <w:proofErr w:type="spellStart"/>
      <w:r w:rsidRPr="00C0635E">
        <w:rPr>
          <w:rFonts w:ascii="Century Gothic" w:eastAsia="Times New Roman" w:hAnsi="Century Gothic" w:cs="Times New Roman"/>
          <w:bCs/>
          <w:iCs/>
          <w:lang w:eastAsia="tr-TR"/>
        </w:rPr>
        <w:t>BIST’te</w:t>
      </w:r>
      <w:proofErr w:type="spellEnd"/>
      <w:r w:rsidRPr="00C0635E">
        <w:rPr>
          <w:rFonts w:ascii="Century Gothic" w:eastAsia="Times New Roman" w:hAnsi="Century Gothic" w:cs="Times New Roman"/>
          <w:bCs/>
          <w:iCs/>
          <w:lang w:eastAsia="tr-TR"/>
        </w:rPr>
        <w:t xml:space="preserve"> işlem gören imalat sektöründeki işletmelerin yıllık finansal performans sıralamaları</w:t>
      </w:r>
      <w:r w:rsidR="00930E9F">
        <w:rPr>
          <w:rFonts w:ascii="Century Gothic" w:eastAsia="Times New Roman" w:hAnsi="Century Gothic" w:cs="Times New Roman"/>
          <w:bCs/>
          <w:iCs/>
          <w:lang w:eastAsia="tr-TR"/>
        </w:rPr>
        <w:t>nı</w:t>
      </w:r>
      <w:r w:rsidRPr="00C0635E">
        <w:rPr>
          <w:rFonts w:ascii="Century Gothic" w:eastAsia="Times New Roman" w:hAnsi="Century Gothic" w:cs="Times New Roman"/>
          <w:bCs/>
          <w:iCs/>
          <w:lang w:eastAsia="tr-TR"/>
        </w:rPr>
        <w:t xml:space="preserve"> belirledikleri çalışmalarında Şahin ve Bilgin Sarı (2019), işletmelerin finansal performans sıralamalarının yapılması için çok </w:t>
      </w:r>
      <w:proofErr w:type="gramStart"/>
      <w:r w:rsidRPr="00C0635E">
        <w:rPr>
          <w:rFonts w:ascii="Century Gothic" w:eastAsia="Times New Roman" w:hAnsi="Century Gothic" w:cs="Times New Roman"/>
          <w:bCs/>
          <w:iCs/>
          <w:lang w:eastAsia="tr-TR"/>
        </w:rPr>
        <w:t>kriterli</w:t>
      </w:r>
      <w:proofErr w:type="gramEnd"/>
      <w:r w:rsidRPr="00C0635E">
        <w:rPr>
          <w:rFonts w:ascii="Century Gothic" w:eastAsia="Times New Roman" w:hAnsi="Century Gothic" w:cs="Times New Roman"/>
          <w:bCs/>
          <w:iCs/>
          <w:lang w:eastAsia="tr-TR"/>
        </w:rPr>
        <w:t xml:space="preserve"> karar verme tekniklerinden TOPSİS ve VİKOR yöntemlerini kulla</w:t>
      </w:r>
      <w:r w:rsidR="00930E9F">
        <w:rPr>
          <w:rFonts w:ascii="Century Gothic" w:eastAsia="Times New Roman" w:hAnsi="Century Gothic" w:cs="Times New Roman"/>
          <w:bCs/>
          <w:iCs/>
          <w:lang w:eastAsia="tr-TR"/>
        </w:rPr>
        <w:t>n</w:t>
      </w:r>
      <w:r w:rsidRPr="00C0635E">
        <w:rPr>
          <w:rFonts w:ascii="Century Gothic" w:eastAsia="Times New Roman" w:hAnsi="Century Gothic" w:cs="Times New Roman"/>
          <w:bCs/>
          <w:iCs/>
          <w:lang w:eastAsia="tr-TR"/>
        </w:rPr>
        <w:t xml:space="preserve">mışlardır. </w:t>
      </w:r>
    </w:p>
    <w:p w:rsidR="00C0635E" w:rsidRPr="00C0635E" w:rsidRDefault="00C0635E" w:rsidP="00C0635E">
      <w:pPr>
        <w:spacing w:before="120" w:after="120"/>
        <w:ind w:firstLine="708"/>
        <w:jc w:val="both"/>
        <w:rPr>
          <w:rFonts w:ascii="Century Gothic" w:eastAsia="Times New Roman" w:hAnsi="Century Gothic" w:cs="Times New Roman"/>
          <w:bCs/>
          <w:iCs/>
          <w:lang w:eastAsia="tr-TR"/>
        </w:rPr>
      </w:pPr>
      <w:proofErr w:type="spellStart"/>
      <w:r w:rsidRPr="00C0635E">
        <w:rPr>
          <w:rFonts w:ascii="Century Gothic" w:eastAsia="Times New Roman" w:hAnsi="Century Gothic" w:cs="Times New Roman"/>
          <w:bCs/>
          <w:iCs/>
          <w:lang w:eastAsia="tr-TR"/>
        </w:rPr>
        <w:t>Omrani</w:t>
      </w:r>
      <w:proofErr w:type="spellEnd"/>
      <w:r w:rsidRPr="00C0635E">
        <w:rPr>
          <w:rFonts w:ascii="Century Gothic" w:eastAsia="Times New Roman" w:hAnsi="Century Gothic" w:cs="Times New Roman"/>
          <w:bCs/>
          <w:iCs/>
          <w:lang w:eastAsia="tr-TR"/>
        </w:rPr>
        <w:t xml:space="preserve"> vd. (2019) 2013, 2014 ve 2015 yıllarında Tahran Menkul Kıymetler Borsası'nda işlem gören çimento endüstrisi imalat şirketlerinin performansını finansal oranlar kullanarak ve farklı karar vericilerin tercihlerini dikkate alarak değerlendirmek için bulanık bir model </w:t>
      </w:r>
      <w:r w:rsidR="00930E9F">
        <w:rPr>
          <w:rFonts w:ascii="Century Gothic" w:eastAsia="Times New Roman" w:hAnsi="Century Gothic" w:cs="Times New Roman"/>
          <w:bCs/>
          <w:iCs/>
          <w:lang w:eastAsia="tr-TR"/>
        </w:rPr>
        <w:t>oluşturmuşlar ve</w:t>
      </w:r>
      <w:r w:rsidRPr="00C0635E">
        <w:rPr>
          <w:rFonts w:ascii="Century Gothic" w:eastAsia="Times New Roman" w:hAnsi="Century Gothic" w:cs="Times New Roman"/>
          <w:bCs/>
          <w:iCs/>
          <w:lang w:eastAsia="tr-TR"/>
        </w:rPr>
        <w:t xml:space="preserve"> TOPSIS yöntemini kullanarak çimento sanayi şirketlerini sıralanmışlardır.</w:t>
      </w:r>
    </w:p>
    <w:p w:rsidR="00C0635E" w:rsidRDefault="00E402A9" w:rsidP="00C0635E">
      <w:pPr>
        <w:spacing w:before="120" w:after="120"/>
        <w:ind w:firstLine="708"/>
        <w:jc w:val="both"/>
        <w:rPr>
          <w:rFonts w:ascii="Century Gothic" w:eastAsia="Times New Roman" w:hAnsi="Century Gothic" w:cs="Times New Roman"/>
          <w:bCs/>
          <w:lang w:eastAsia="tr-TR"/>
        </w:rPr>
      </w:pPr>
      <w:r>
        <w:rPr>
          <w:rFonts w:ascii="Century Gothic" w:eastAsia="Times New Roman" w:hAnsi="Century Gothic" w:cs="Times New Roman"/>
          <w:bCs/>
          <w:lang w:eastAsia="tr-TR"/>
        </w:rPr>
        <w:t xml:space="preserve">Acar ve Sarıyer (2022) </w:t>
      </w:r>
      <w:r w:rsidR="00C0635E" w:rsidRPr="00C0635E">
        <w:rPr>
          <w:rFonts w:ascii="Century Gothic" w:eastAsia="Times New Roman" w:hAnsi="Century Gothic" w:cs="Times New Roman"/>
          <w:bCs/>
          <w:lang w:eastAsia="tr-TR"/>
        </w:rPr>
        <w:t xml:space="preserve">çalışmalarında, Borsa İstanbul'da 2017 yılı içinde işlem gören 17 ana metal sanayi firmasının finansal </w:t>
      </w:r>
      <w:r>
        <w:rPr>
          <w:rFonts w:ascii="Century Gothic" w:eastAsia="Times New Roman" w:hAnsi="Century Gothic" w:cs="Times New Roman"/>
          <w:bCs/>
          <w:lang w:eastAsia="tr-TR"/>
        </w:rPr>
        <w:t>performansının</w:t>
      </w:r>
      <w:r w:rsidR="00C0635E" w:rsidRPr="00C0635E">
        <w:rPr>
          <w:rFonts w:ascii="Century Gothic" w:eastAsia="Times New Roman" w:hAnsi="Century Gothic" w:cs="Times New Roman"/>
          <w:bCs/>
          <w:lang w:eastAsia="tr-TR"/>
        </w:rPr>
        <w:t xml:space="preserve"> hesaplanmasında</w:t>
      </w:r>
      <w:r>
        <w:rPr>
          <w:rFonts w:ascii="Century Gothic" w:eastAsia="Times New Roman" w:hAnsi="Century Gothic" w:cs="Times New Roman"/>
          <w:bCs/>
          <w:lang w:eastAsia="tr-TR"/>
        </w:rPr>
        <w:t>;</w:t>
      </w:r>
      <w:r w:rsidR="00C0635E" w:rsidRPr="00C0635E">
        <w:rPr>
          <w:rFonts w:ascii="Century Gothic" w:eastAsia="Times New Roman" w:hAnsi="Century Gothic" w:cs="Times New Roman"/>
          <w:bCs/>
          <w:lang w:eastAsia="tr-TR"/>
        </w:rPr>
        <w:t xml:space="preserve"> likidite, verimlilik, kârl</w:t>
      </w:r>
      <w:r>
        <w:rPr>
          <w:rFonts w:ascii="Century Gothic" w:eastAsia="Times New Roman" w:hAnsi="Century Gothic" w:cs="Times New Roman"/>
          <w:bCs/>
          <w:lang w:eastAsia="tr-TR"/>
        </w:rPr>
        <w:t xml:space="preserve">ılık ve sermaye yapısı oranlarını finansal oranların </w:t>
      </w:r>
      <w:r w:rsidR="00C0635E" w:rsidRPr="00C0635E">
        <w:rPr>
          <w:rFonts w:ascii="Century Gothic" w:eastAsia="Times New Roman" w:hAnsi="Century Gothic" w:cs="Times New Roman"/>
          <w:bCs/>
          <w:lang w:eastAsia="tr-TR"/>
        </w:rPr>
        <w:t xml:space="preserve">ana ölçütü olarak kabul </w:t>
      </w:r>
      <w:r>
        <w:rPr>
          <w:rFonts w:ascii="Century Gothic" w:eastAsia="Times New Roman" w:hAnsi="Century Gothic" w:cs="Times New Roman"/>
          <w:bCs/>
          <w:lang w:eastAsia="tr-TR"/>
        </w:rPr>
        <w:t>etmişlerdir. K</w:t>
      </w:r>
      <w:r w:rsidR="00C0635E" w:rsidRPr="00C0635E">
        <w:rPr>
          <w:rFonts w:ascii="Century Gothic" w:eastAsia="Times New Roman" w:hAnsi="Century Gothic" w:cs="Times New Roman"/>
          <w:bCs/>
          <w:lang w:eastAsia="tr-TR"/>
        </w:rPr>
        <w:t>riterler Analitik Hiyerarşik Süreç (AHP) kullanıl</w:t>
      </w:r>
      <w:r w:rsidR="00930E9F">
        <w:rPr>
          <w:rFonts w:ascii="Century Gothic" w:eastAsia="Times New Roman" w:hAnsi="Century Gothic" w:cs="Times New Roman"/>
          <w:bCs/>
          <w:lang w:eastAsia="tr-TR"/>
        </w:rPr>
        <w:t xml:space="preserve">arak, </w:t>
      </w:r>
      <w:proofErr w:type="spellStart"/>
      <w:r w:rsidR="00930E9F">
        <w:rPr>
          <w:rFonts w:ascii="Century Gothic" w:eastAsia="Times New Roman" w:hAnsi="Century Gothic" w:cs="Times New Roman"/>
          <w:bCs/>
          <w:lang w:eastAsia="tr-TR"/>
        </w:rPr>
        <w:t>ağırlıklandırılmış</w:t>
      </w:r>
      <w:proofErr w:type="spellEnd"/>
      <w:r w:rsidR="00930E9F">
        <w:rPr>
          <w:rFonts w:ascii="Century Gothic" w:eastAsia="Times New Roman" w:hAnsi="Century Gothic" w:cs="Times New Roman"/>
          <w:bCs/>
          <w:lang w:eastAsia="tr-TR"/>
        </w:rPr>
        <w:t xml:space="preserve"> ve </w:t>
      </w:r>
      <w:r w:rsidR="00C0635E" w:rsidRPr="00C0635E">
        <w:rPr>
          <w:rFonts w:ascii="Century Gothic" w:eastAsia="Times New Roman" w:hAnsi="Century Gothic" w:cs="Times New Roman"/>
          <w:bCs/>
          <w:lang w:eastAsia="tr-TR"/>
        </w:rPr>
        <w:t>TOPSIS aracılığı ile bu ağırlıklar 17 firmayı sıralamak için kullanılmıştır. Elde edilen sıralamaya göre, 2017 yılında şirketlerin kapanış fiyatlarına göre sıralamalar karşılaştırılmıştır.</w:t>
      </w:r>
    </w:p>
    <w:p w:rsidR="00492444" w:rsidRPr="00C0635E" w:rsidRDefault="00492444" w:rsidP="00C0635E">
      <w:pPr>
        <w:spacing w:before="120" w:after="120"/>
        <w:ind w:firstLine="708"/>
        <w:jc w:val="both"/>
        <w:rPr>
          <w:rFonts w:ascii="Century Gothic" w:eastAsia="Times New Roman" w:hAnsi="Century Gothic" w:cs="Times New Roman"/>
          <w:bCs/>
          <w:lang w:eastAsia="tr-TR"/>
        </w:rPr>
      </w:pPr>
    </w:p>
    <w:p w:rsidR="00CE22E5" w:rsidRPr="00CE22E5" w:rsidRDefault="00CE22E5" w:rsidP="00CE22E5">
      <w:pPr>
        <w:pStyle w:val="ListeParagraf"/>
        <w:numPr>
          <w:ilvl w:val="0"/>
          <w:numId w:val="10"/>
        </w:numPr>
        <w:spacing w:before="120" w:after="120"/>
        <w:jc w:val="both"/>
        <w:rPr>
          <w:rFonts w:ascii="Century Gothic" w:eastAsia="Times New Roman" w:hAnsi="Century Gothic" w:cs="Times New Roman"/>
          <w:b/>
          <w:lang w:eastAsia="tr-TR"/>
        </w:rPr>
      </w:pPr>
      <w:r w:rsidRPr="00CE22E5">
        <w:rPr>
          <w:rFonts w:ascii="Century Gothic" w:eastAsia="Times New Roman" w:hAnsi="Century Gothic" w:cs="Times New Roman"/>
          <w:b/>
          <w:lang w:eastAsia="tr-TR"/>
        </w:rPr>
        <w:t>Yöntem</w:t>
      </w:r>
    </w:p>
    <w:p w:rsidR="00C0635E" w:rsidRDefault="00C0635E" w:rsidP="00C0635E">
      <w:pPr>
        <w:spacing w:before="120" w:after="120"/>
        <w:ind w:firstLine="743"/>
        <w:jc w:val="both"/>
        <w:rPr>
          <w:rFonts w:ascii="Century Gothic" w:eastAsia="Times New Roman" w:hAnsi="Century Gothic" w:cs="Times New Roman"/>
          <w:lang w:eastAsia="tr-TR"/>
        </w:rPr>
      </w:pPr>
      <w:r w:rsidRPr="00C0635E">
        <w:rPr>
          <w:rFonts w:ascii="Century Gothic" w:eastAsia="Times New Roman" w:hAnsi="Century Gothic" w:cs="Times New Roman"/>
          <w:lang w:eastAsia="tr-TR"/>
        </w:rPr>
        <w:t xml:space="preserve">Çalışmada BIST Metal Ana (XMANA) Endeksinde işlem gören </w:t>
      </w:r>
      <w:r w:rsidR="00E429EB" w:rsidRPr="00E429EB">
        <w:rPr>
          <w:rFonts w:ascii="Century Gothic" w:eastAsia="Times New Roman" w:hAnsi="Century Gothic" w:cs="Times New Roman"/>
          <w:bCs/>
          <w:lang w:eastAsia="tr-TR"/>
        </w:rPr>
        <w:t>işletmelerin</w:t>
      </w:r>
      <w:r w:rsidRPr="00C0635E">
        <w:rPr>
          <w:rFonts w:ascii="Century Gothic" w:eastAsia="Times New Roman" w:hAnsi="Century Gothic" w:cs="Times New Roman"/>
          <w:lang w:eastAsia="tr-TR"/>
        </w:rPr>
        <w:t xml:space="preserve"> finansal performans sıralamalarının belirlenmesi amaçlanmıştır. Bu amaçla söz konusu </w:t>
      </w:r>
      <w:r w:rsidR="00E429EB" w:rsidRPr="00E429EB">
        <w:rPr>
          <w:rFonts w:ascii="Century Gothic" w:eastAsia="Times New Roman" w:hAnsi="Century Gothic" w:cs="Times New Roman"/>
          <w:bCs/>
          <w:lang w:eastAsia="tr-TR"/>
        </w:rPr>
        <w:t>işletmelerin</w:t>
      </w:r>
      <w:r w:rsidRPr="00C0635E">
        <w:rPr>
          <w:rFonts w:ascii="Century Gothic" w:eastAsia="Times New Roman" w:hAnsi="Century Gothic" w:cs="Times New Roman"/>
          <w:lang w:eastAsia="tr-TR"/>
        </w:rPr>
        <w:t xml:space="preserve"> 2017-2021 dönemi için yıllık finansal oranlar kullanılmıştır. Likidite, </w:t>
      </w:r>
      <w:r w:rsidR="000E4335" w:rsidRPr="000E4335">
        <w:rPr>
          <w:rFonts w:ascii="Century Gothic" w:eastAsia="Times New Roman" w:hAnsi="Century Gothic" w:cs="Times New Roman"/>
          <w:bCs/>
          <w:lang w:eastAsia="tr-TR"/>
        </w:rPr>
        <w:t>k</w:t>
      </w:r>
      <m:oMath>
        <m:acc>
          <m:accPr>
            <m:ctrlPr>
              <w:rPr>
                <w:rFonts w:ascii="Cambria Math" w:eastAsia="Times New Roman" w:hAnsi="Cambria Math" w:cs="Times New Roman"/>
                <w:bCs/>
                <w:lang w:eastAsia="tr-TR"/>
              </w:rPr>
            </m:ctrlPr>
          </m:accPr>
          <m:e>
            <m:r>
              <m:rPr>
                <m:sty m:val="p"/>
              </m:rPr>
              <w:rPr>
                <w:rFonts w:ascii="Cambria Math" w:eastAsia="Times New Roman" w:hAnsi="Cambria Math" w:cs="Times New Roman"/>
                <w:lang w:eastAsia="tr-TR"/>
              </w:rPr>
              <m:t>a</m:t>
            </m:r>
          </m:e>
        </m:acc>
      </m:oMath>
      <w:r w:rsidR="000E4335" w:rsidRPr="000E4335">
        <w:rPr>
          <w:rFonts w:ascii="Century Gothic" w:eastAsia="Times New Roman" w:hAnsi="Century Gothic" w:cs="Times New Roman"/>
          <w:bCs/>
          <w:lang w:eastAsia="tr-TR"/>
        </w:rPr>
        <w:t>rlılık</w:t>
      </w:r>
      <w:r w:rsidRPr="00C0635E">
        <w:rPr>
          <w:rFonts w:ascii="Century Gothic" w:eastAsia="Times New Roman" w:hAnsi="Century Gothic" w:cs="Times New Roman"/>
          <w:lang w:eastAsia="tr-TR"/>
        </w:rPr>
        <w:t xml:space="preserve">, finansal yapı ve faaliyetler ile ilgili 4 ana başlık altında üçer oran belirlenmiştir. Veriler KAP ve </w:t>
      </w:r>
      <w:proofErr w:type="spellStart"/>
      <w:r w:rsidRPr="00C0635E">
        <w:rPr>
          <w:rFonts w:ascii="Century Gothic" w:eastAsia="Times New Roman" w:hAnsi="Century Gothic" w:cs="Times New Roman"/>
          <w:lang w:eastAsia="tr-TR"/>
        </w:rPr>
        <w:t>Stockkeys</w:t>
      </w:r>
      <w:proofErr w:type="spellEnd"/>
      <w:r w:rsidRPr="00C0635E">
        <w:rPr>
          <w:rFonts w:ascii="Century Gothic" w:eastAsia="Times New Roman" w:hAnsi="Century Gothic" w:cs="Times New Roman"/>
          <w:lang w:eastAsia="tr-TR"/>
        </w:rPr>
        <w:t xml:space="preserve"> uygulamasından elde edilmiştir. </w:t>
      </w:r>
    </w:p>
    <w:p w:rsidR="008C5CC1" w:rsidRDefault="008C5CC1" w:rsidP="00C0635E">
      <w:pPr>
        <w:spacing w:before="120" w:after="120"/>
        <w:ind w:firstLine="743"/>
        <w:jc w:val="both"/>
        <w:rPr>
          <w:rFonts w:ascii="Century Gothic" w:eastAsia="Times New Roman" w:hAnsi="Century Gothic" w:cs="Times New Roman"/>
          <w:lang w:eastAsia="tr-TR"/>
        </w:rPr>
      </w:pPr>
    </w:p>
    <w:p w:rsidR="008C5CC1" w:rsidRDefault="008C5CC1" w:rsidP="00C0635E">
      <w:pPr>
        <w:spacing w:before="120" w:after="120"/>
        <w:ind w:firstLine="743"/>
        <w:jc w:val="both"/>
        <w:rPr>
          <w:rFonts w:ascii="Century Gothic" w:eastAsia="Times New Roman" w:hAnsi="Century Gothic" w:cs="Times New Roman"/>
          <w:lang w:eastAsia="tr-TR"/>
        </w:rPr>
      </w:pPr>
    </w:p>
    <w:p w:rsidR="008C5CC1" w:rsidRDefault="008C5CC1" w:rsidP="00C0635E">
      <w:pPr>
        <w:spacing w:before="120" w:after="120"/>
        <w:ind w:firstLine="743"/>
        <w:jc w:val="both"/>
        <w:rPr>
          <w:rFonts w:ascii="Century Gothic" w:eastAsia="Times New Roman" w:hAnsi="Century Gothic" w:cs="Times New Roman"/>
          <w:lang w:eastAsia="tr-TR"/>
        </w:rPr>
      </w:pPr>
    </w:p>
    <w:p w:rsidR="008C5CC1" w:rsidRDefault="008C5CC1" w:rsidP="00C0635E">
      <w:pPr>
        <w:spacing w:before="120" w:after="120"/>
        <w:ind w:firstLine="743"/>
        <w:jc w:val="both"/>
        <w:rPr>
          <w:rFonts w:ascii="Century Gothic" w:eastAsia="Times New Roman" w:hAnsi="Century Gothic" w:cs="Times New Roman"/>
          <w:lang w:eastAsia="tr-TR"/>
        </w:rPr>
      </w:pPr>
    </w:p>
    <w:p w:rsidR="008C5CC1" w:rsidRDefault="008C5CC1" w:rsidP="00C0635E">
      <w:pPr>
        <w:spacing w:before="120" w:after="120"/>
        <w:ind w:firstLine="743"/>
        <w:jc w:val="both"/>
        <w:rPr>
          <w:rFonts w:ascii="Century Gothic" w:eastAsia="Times New Roman" w:hAnsi="Century Gothic" w:cs="Times New Roman"/>
          <w:lang w:eastAsia="tr-TR"/>
        </w:rPr>
      </w:pPr>
    </w:p>
    <w:p w:rsidR="008C5CC1" w:rsidRDefault="008C5CC1" w:rsidP="00C0635E">
      <w:pPr>
        <w:spacing w:before="120" w:after="120"/>
        <w:ind w:firstLine="743"/>
        <w:jc w:val="both"/>
        <w:rPr>
          <w:rFonts w:ascii="Century Gothic" w:eastAsia="Times New Roman" w:hAnsi="Century Gothic" w:cs="Times New Roman"/>
          <w:lang w:eastAsia="tr-TR"/>
        </w:rPr>
      </w:pPr>
    </w:p>
    <w:p w:rsidR="008C5CC1" w:rsidRDefault="008C5CC1" w:rsidP="00C0635E">
      <w:pPr>
        <w:spacing w:before="120" w:after="120"/>
        <w:ind w:firstLine="743"/>
        <w:jc w:val="both"/>
        <w:rPr>
          <w:rFonts w:ascii="Century Gothic" w:eastAsia="Times New Roman" w:hAnsi="Century Gothic" w:cs="Times New Roman"/>
          <w:lang w:eastAsia="tr-TR"/>
        </w:rPr>
      </w:pPr>
    </w:p>
    <w:p w:rsidR="00C0635E" w:rsidRPr="0007471F" w:rsidRDefault="00C0635E" w:rsidP="005A7E37">
      <w:pPr>
        <w:spacing w:before="120" w:after="120"/>
        <w:jc w:val="center"/>
        <w:rPr>
          <w:rFonts w:ascii="Century Gothic" w:eastAsia="Times New Roman" w:hAnsi="Century Gothic" w:cs="Times New Roman"/>
          <w:i/>
          <w:iCs/>
          <w:lang w:eastAsia="tr-TR"/>
        </w:rPr>
      </w:pPr>
      <w:r w:rsidRPr="0007471F">
        <w:rPr>
          <w:rFonts w:ascii="Century Gothic" w:eastAsia="Times New Roman" w:hAnsi="Century Gothic" w:cs="Times New Roman"/>
          <w:i/>
          <w:iCs/>
          <w:lang w:eastAsia="tr-TR"/>
        </w:rPr>
        <w:lastRenderedPageBreak/>
        <w:t xml:space="preserve">Tablo </w:t>
      </w:r>
      <w:r w:rsidRPr="0007471F">
        <w:rPr>
          <w:rFonts w:ascii="Century Gothic" w:eastAsia="Times New Roman" w:hAnsi="Century Gothic" w:cs="Times New Roman"/>
          <w:i/>
          <w:iCs/>
          <w:lang w:eastAsia="tr-TR"/>
        </w:rPr>
        <w:fldChar w:fldCharType="begin"/>
      </w:r>
      <w:r w:rsidRPr="0007471F">
        <w:rPr>
          <w:rFonts w:ascii="Century Gothic" w:eastAsia="Times New Roman" w:hAnsi="Century Gothic" w:cs="Times New Roman"/>
          <w:i/>
          <w:iCs/>
          <w:lang w:eastAsia="tr-TR"/>
        </w:rPr>
        <w:instrText xml:space="preserve"> SEQ Tablo \* ARABIC </w:instrText>
      </w:r>
      <w:r w:rsidRPr="0007471F">
        <w:rPr>
          <w:rFonts w:ascii="Century Gothic" w:eastAsia="Times New Roman" w:hAnsi="Century Gothic" w:cs="Times New Roman"/>
          <w:i/>
          <w:iCs/>
          <w:lang w:eastAsia="tr-TR"/>
        </w:rPr>
        <w:fldChar w:fldCharType="separate"/>
      </w:r>
      <w:r w:rsidRPr="0007471F">
        <w:rPr>
          <w:rFonts w:ascii="Century Gothic" w:eastAsia="Times New Roman" w:hAnsi="Century Gothic" w:cs="Times New Roman"/>
          <w:i/>
          <w:iCs/>
          <w:lang w:eastAsia="tr-TR"/>
        </w:rPr>
        <w:t>1</w:t>
      </w:r>
      <w:r w:rsidRPr="0007471F">
        <w:rPr>
          <w:rFonts w:ascii="Century Gothic" w:eastAsia="Times New Roman" w:hAnsi="Century Gothic" w:cs="Times New Roman"/>
          <w:i/>
          <w:lang w:eastAsia="tr-TR"/>
        </w:rPr>
        <w:fldChar w:fldCharType="end"/>
      </w:r>
      <w:r w:rsidR="001C586D">
        <w:rPr>
          <w:rFonts w:ascii="Century Gothic" w:eastAsia="Times New Roman" w:hAnsi="Century Gothic" w:cs="Times New Roman"/>
          <w:i/>
          <w:lang w:eastAsia="tr-TR"/>
        </w:rPr>
        <w:t>.</w:t>
      </w:r>
      <w:r w:rsidRPr="0007471F">
        <w:rPr>
          <w:rFonts w:ascii="Century Gothic" w:eastAsia="Times New Roman" w:hAnsi="Century Gothic" w:cs="Times New Roman"/>
          <w:i/>
          <w:iCs/>
          <w:lang w:eastAsia="tr-TR"/>
        </w:rPr>
        <w:t xml:space="preserve"> Kullanılan Finansal Oranlar</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2"/>
        <w:gridCol w:w="3879"/>
        <w:gridCol w:w="1981"/>
      </w:tblGrid>
      <w:tr w:rsidR="00C0635E" w:rsidRPr="0007471F" w:rsidTr="0007471F">
        <w:trPr>
          <w:trHeight w:val="340"/>
          <w:jc w:val="center"/>
        </w:trPr>
        <w:tc>
          <w:tcPr>
            <w:tcW w:w="1767" w:type="pct"/>
            <w:shd w:val="clear" w:color="auto" w:fill="auto"/>
            <w:noWrap/>
            <w:vAlign w:val="center"/>
            <w:hideMark/>
          </w:tcPr>
          <w:p w:rsidR="00C0635E" w:rsidRPr="0007471F" w:rsidRDefault="00C0635E" w:rsidP="00C0635E">
            <w:pPr>
              <w:spacing w:before="120" w:after="120"/>
              <w:ind w:firstLine="743"/>
              <w:jc w:val="both"/>
              <w:rPr>
                <w:rFonts w:ascii="Century Gothic" w:eastAsia="Times New Roman" w:hAnsi="Century Gothic" w:cs="Times New Roman"/>
                <w:b/>
                <w:sz w:val="16"/>
                <w:szCs w:val="16"/>
                <w:lang w:eastAsia="tr-TR"/>
              </w:rPr>
            </w:pPr>
            <w:r w:rsidRPr="0007471F">
              <w:rPr>
                <w:rFonts w:ascii="Century Gothic" w:eastAsia="Times New Roman" w:hAnsi="Century Gothic" w:cs="Times New Roman"/>
                <w:b/>
                <w:sz w:val="16"/>
                <w:szCs w:val="16"/>
                <w:lang w:eastAsia="tr-TR"/>
              </w:rPr>
              <w:t>Oran Grubu</w:t>
            </w:r>
          </w:p>
        </w:tc>
        <w:tc>
          <w:tcPr>
            <w:tcW w:w="2140" w:type="pct"/>
            <w:shd w:val="clear" w:color="auto" w:fill="auto"/>
            <w:noWrap/>
            <w:vAlign w:val="center"/>
            <w:hideMark/>
          </w:tcPr>
          <w:p w:rsidR="00C0635E" w:rsidRPr="0007471F" w:rsidRDefault="00C0635E" w:rsidP="00C0635E">
            <w:pPr>
              <w:spacing w:before="120" w:after="120"/>
              <w:ind w:firstLine="743"/>
              <w:jc w:val="both"/>
              <w:rPr>
                <w:rFonts w:ascii="Century Gothic" w:eastAsia="Times New Roman" w:hAnsi="Century Gothic" w:cs="Times New Roman"/>
                <w:b/>
                <w:sz w:val="16"/>
                <w:szCs w:val="16"/>
                <w:lang w:eastAsia="tr-TR"/>
              </w:rPr>
            </w:pPr>
            <w:r w:rsidRPr="0007471F">
              <w:rPr>
                <w:rFonts w:ascii="Century Gothic" w:eastAsia="Times New Roman" w:hAnsi="Century Gothic" w:cs="Times New Roman"/>
                <w:b/>
                <w:sz w:val="16"/>
                <w:szCs w:val="16"/>
                <w:lang w:eastAsia="tr-TR"/>
              </w:rPr>
              <w:t>Oran</w:t>
            </w:r>
          </w:p>
        </w:tc>
        <w:tc>
          <w:tcPr>
            <w:tcW w:w="1093" w:type="pct"/>
            <w:shd w:val="clear" w:color="auto" w:fill="auto"/>
            <w:noWrap/>
            <w:vAlign w:val="center"/>
            <w:hideMark/>
          </w:tcPr>
          <w:p w:rsidR="00C0635E" w:rsidRPr="0007471F" w:rsidRDefault="00C0635E" w:rsidP="00C0635E">
            <w:pPr>
              <w:spacing w:before="120" w:after="120"/>
              <w:ind w:firstLine="743"/>
              <w:jc w:val="both"/>
              <w:rPr>
                <w:rFonts w:ascii="Century Gothic" w:eastAsia="Times New Roman" w:hAnsi="Century Gothic" w:cs="Times New Roman"/>
                <w:b/>
                <w:sz w:val="16"/>
                <w:szCs w:val="16"/>
                <w:lang w:eastAsia="tr-TR"/>
              </w:rPr>
            </w:pPr>
            <w:r w:rsidRPr="0007471F">
              <w:rPr>
                <w:rFonts w:ascii="Century Gothic" w:eastAsia="Times New Roman" w:hAnsi="Century Gothic" w:cs="Times New Roman"/>
                <w:b/>
                <w:sz w:val="16"/>
                <w:szCs w:val="16"/>
                <w:lang w:eastAsia="tr-TR"/>
              </w:rPr>
              <w:t>Kısaltma</w:t>
            </w:r>
          </w:p>
        </w:tc>
      </w:tr>
      <w:tr w:rsidR="00C0635E" w:rsidRPr="0007471F" w:rsidTr="0007471F">
        <w:trPr>
          <w:trHeight w:val="340"/>
          <w:jc w:val="center"/>
        </w:trPr>
        <w:tc>
          <w:tcPr>
            <w:tcW w:w="1767" w:type="pct"/>
            <w:vMerge w:val="restart"/>
            <w:shd w:val="clear" w:color="auto" w:fill="auto"/>
            <w:noWrap/>
            <w:vAlign w:val="center"/>
            <w:hideMark/>
          </w:tcPr>
          <w:p w:rsidR="00C0635E" w:rsidRPr="0007471F" w:rsidRDefault="00C0635E" w:rsidP="00C0635E">
            <w:pPr>
              <w:spacing w:before="120" w:after="120"/>
              <w:ind w:firstLine="743"/>
              <w:jc w:val="both"/>
              <w:rPr>
                <w:rFonts w:ascii="Century Gothic" w:eastAsia="Times New Roman" w:hAnsi="Century Gothic" w:cs="Times New Roman"/>
                <w:b/>
                <w:sz w:val="16"/>
                <w:szCs w:val="16"/>
                <w:lang w:eastAsia="tr-TR"/>
              </w:rPr>
            </w:pPr>
            <w:r w:rsidRPr="0007471F">
              <w:rPr>
                <w:rFonts w:ascii="Century Gothic" w:eastAsia="Times New Roman" w:hAnsi="Century Gothic" w:cs="Times New Roman"/>
                <w:b/>
                <w:sz w:val="16"/>
                <w:szCs w:val="16"/>
                <w:lang w:eastAsia="tr-TR"/>
              </w:rPr>
              <w:t>Likidite oranları</w:t>
            </w:r>
          </w:p>
        </w:tc>
        <w:tc>
          <w:tcPr>
            <w:tcW w:w="2140" w:type="pct"/>
            <w:shd w:val="clear" w:color="auto" w:fill="auto"/>
            <w:noWrap/>
            <w:vAlign w:val="center"/>
            <w:hideMark/>
          </w:tcPr>
          <w:p w:rsidR="00C0635E" w:rsidRPr="0007471F" w:rsidRDefault="00C0635E" w:rsidP="00C0635E">
            <w:pPr>
              <w:spacing w:before="120" w:after="120"/>
              <w:ind w:firstLine="743"/>
              <w:jc w:val="both"/>
              <w:rPr>
                <w:rFonts w:ascii="Century Gothic" w:eastAsia="Times New Roman" w:hAnsi="Century Gothic" w:cs="Times New Roman"/>
                <w:sz w:val="16"/>
                <w:szCs w:val="16"/>
                <w:lang w:eastAsia="tr-TR"/>
              </w:rPr>
            </w:pPr>
            <w:r w:rsidRPr="0007471F">
              <w:rPr>
                <w:rFonts w:ascii="Century Gothic" w:eastAsia="Times New Roman" w:hAnsi="Century Gothic" w:cs="Times New Roman"/>
                <w:sz w:val="16"/>
                <w:szCs w:val="16"/>
                <w:lang w:eastAsia="tr-TR"/>
              </w:rPr>
              <w:t>Cari oran</w:t>
            </w:r>
          </w:p>
        </w:tc>
        <w:tc>
          <w:tcPr>
            <w:tcW w:w="1093" w:type="pct"/>
            <w:shd w:val="clear" w:color="auto" w:fill="auto"/>
            <w:noWrap/>
            <w:vAlign w:val="center"/>
            <w:hideMark/>
          </w:tcPr>
          <w:p w:rsidR="00C0635E" w:rsidRPr="0007471F" w:rsidRDefault="00C0635E" w:rsidP="00C0635E">
            <w:pPr>
              <w:spacing w:before="120" w:after="120"/>
              <w:ind w:firstLine="743"/>
              <w:jc w:val="both"/>
              <w:rPr>
                <w:rFonts w:ascii="Century Gothic" w:eastAsia="Times New Roman" w:hAnsi="Century Gothic" w:cs="Times New Roman"/>
                <w:sz w:val="16"/>
                <w:szCs w:val="16"/>
                <w:lang w:eastAsia="tr-TR"/>
              </w:rPr>
            </w:pPr>
            <w:r w:rsidRPr="0007471F">
              <w:rPr>
                <w:rFonts w:ascii="Century Gothic" w:eastAsia="Times New Roman" w:hAnsi="Century Gothic" w:cs="Times New Roman"/>
                <w:sz w:val="16"/>
                <w:szCs w:val="16"/>
                <w:lang w:eastAsia="tr-TR"/>
              </w:rPr>
              <w:t>CO</w:t>
            </w:r>
          </w:p>
        </w:tc>
      </w:tr>
      <w:tr w:rsidR="00C0635E" w:rsidRPr="0007471F" w:rsidTr="0007471F">
        <w:trPr>
          <w:trHeight w:val="340"/>
          <w:jc w:val="center"/>
        </w:trPr>
        <w:tc>
          <w:tcPr>
            <w:tcW w:w="1767" w:type="pct"/>
            <w:vMerge/>
            <w:vAlign w:val="center"/>
            <w:hideMark/>
          </w:tcPr>
          <w:p w:rsidR="00C0635E" w:rsidRPr="0007471F" w:rsidRDefault="00C0635E" w:rsidP="00C0635E">
            <w:pPr>
              <w:spacing w:before="120" w:after="120"/>
              <w:ind w:firstLine="743"/>
              <w:jc w:val="both"/>
              <w:rPr>
                <w:rFonts w:ascii="Century Gothic" w:eastAsia="Times New Roman" w:hAnsi="Century Gothic" w:cs="Times New Roman"/>
                <w:b/>
                <w:sz w:val="16"/>
                <w:szCs w:val="16"/>
                <w:lang w:eastAsia="tr-TR"/>
              </w:rPr>
            </w:pPr>
          </w:p>
        </w:tc>
        <w:tc>
          <w:tcPr>
            <w:tcW w:w="2140" w:type="pct"/>
            <w:shd w:val="clear" w:color="auto" w:fill="auto"/>
            <w:noWrap/>
            <w:vAlign w:val="center"/>
            <w:hideMark/>
          </w:tcPr>
          <w:p w:rsidR="00C0635E" w:rsidRPr="0007471F" w:rsidRDefault="00C0635E" w:rsidP="00C0635E">
            <w:pPr>
              <w:spacing w:before="120" w:after="120"/>
              <w:ind w:firstLine="743"/>
              <w:jc w:val="both"/>
              <w:rPr>
                <w:rFonts w:ascii="Century Gothic" w:eastAsia="Times New Roman" w:hAnsi="Century Gothic" w:cs="Times New Roman"/>
                <w:sz w:val="16"/>
                <w:szCs w:val="16"/>
                <w:lang w:eastAsia="tr-TR"/>
              </w:rPr>
            </w:pPr>
            <w:r w:rsidRPr="0007471F">
              <w:rPr>
                <w:rFonts w:ascii="Century Gothic" w:eastAsia="Times New Roman" w:hAnsi="Century Gothic" w:cs="Times New Roman"/>
                <w:sz w:val="16"/>
                <w:szCs w:val="16"/>
                <w:lang w:eastAsia="tr-TR"/>
              </w:rPr>
              <w:t>Likidite oranı</w:t>
            </w:r>
          </w:p>
        </w:tc>
        <w:tc>
          <w:tcPr>
            <w:tcW w:w="1093" w:type="pct"/>
            <w:shd w:val="clear" w:color="auto" w:fill="auto"/>
            <w:noWrap/>
            <w:vAlign w:val="center"/>
            <w:hideMark/>
          </w:tcPr>
          <w:p w:rsidR="00C0635E" w:rsidRPr="0007471F" w:rsidRDefault="00C0635E" w:rsidP="00C0635E">
            <w:pPr>
              <w:spacing w:before="120" w:after="120"/>
              <w:ind w:firstLine="743"/>
              <w:jc w:val="both"/>
              <w:rPr>
                <w:rFonts w:ascii="Century Gothic" w:eastAsia="Times New Roman" w:hAnsi="Century Gothic" w:cs="Times New Roman"/>
                <w:sz w:val="16"/>
                <w:szCs w:val="16"/>
                <w:lang w:eastAsia="tr-TR"/>
              </w:rPr>
            </w:pPr>
            <w:r w:rsidRPr="0007471F">
              <w:rPr>
                <w:rFonts w:ascii="Century Gothic" w:eastAsia="Times New Roman" w:hAnsi="Century Gothic" w:cs="Times New Roman"/>
                <w:sz w:val="16"/>
                <w:szCs w:val="16"/>
                <w:lang w:eastAsia="tr-TR"/>
              </w:rPr>
              <w:t>LO</w:t>
            </w:r>
          </w:p>
        </w:tc>
      </w:tr>
      <w:tr w:rsidR="00C0635E" w:rsidRPr="0007471F" w:rsidTr="0007471F">
        <w:trPr>
          <w:trHeight w:val="340"/>
          <w:jc w:val="center"/>
        </w:trPr>
        <w:tc>
          <w:tcPr>
            <w:tcW w:w="1767" w:type="pct"/>
            <w:vMerge/>
            <w:vAlign w:val="center"/>
            <w:hideMark/>
          </w:tcPr>
          <w:p w:rsidR="00C0635E" w:rsidRPr="0007471F" w:rsidRDefault="00C0635E" w:rsidP="00C0635E">
            <w:pPr>
              <w:spacing w:before="120" w:after="120"/>
              <w:ind w:firstLine="743"/>
              <w:jc w:val="both"/>
              <w:rPr>
                <w:rFonts w:ascii="Century Gothic" w:eastAsia="Times New Roman" w:hAnsi="Century Gothic" w:cs="Times New Roman"/>
                <w:b/>
                <w:sz w:val="16"/>
                <w:szCs w:val="16"/>
                <w:lang w:eastAsia="tr-TR"/>
              </w:rPr>
            </w:pPr>
          </w:p>
        </w:tc>
        <w:tc>
          <w:tcPr>
            <w:tcW w:w="2140" w:type="pct"/>
            <w:shd w:val="clear" w:color="auto" w:fill="auto"/>
            <w:noWrap/>
            <w:vAlign w:val="center"/>
            <w:hideMark/>
          </w:tcPr>
          <w:p w:rsidR="00C0635E" w:rsidRPr="0007471F" w:rsidRDefault="00C0635E" w:rsidP="00C0635E">
            <w:pPr>
              <w:spacing w:before="120" w:after="120"/>
              <w:ind w:firstLine="743"/>
              <w:jc w:val="both"/>
              <w:rPr>
                <w:rFonts w:ascii="Century Gothic" w:eastAsia="Times New Roman" w:hAnsi="Century Gothic" w:cs="Times New Roman"/>
                <w:sz w:val="16"/>
                <w:szCs w:val="16"/>
                <w:lang w:eastAsia="tr-TR"/>
              </w:rPr>
            </w:pPr>
            <w:r w:rsidRPr="0007471F">
              <w:rPr>
                <w:rFonts w:ascii="Century Gothic" w:eastAsia="Times New Roman" w:hAnsi="Century Gothic" w:cs="Times New Roman"/>
                <w:sz w:val="16"/>
                <w:szCs w:val="16"/>
                <w:lang w:eastAsia="tr-TR"/>
              </w:rPr>
              <w:t>Nakit oran</w:t>
            </w:r>
          </w:p>
        </w:tc>
        <w:tc>
          <w:tcPr>
            <w:tcW w:w="1093" w:type="pct"/>
            <w:shd w:val="clear" w:color="auto" w:fill="auto"/>
            <w:noWrap/>
            <w:vAlign w:val="center"/>
            <w:hideMark/>
          </w:tcPr>
          <w:p w:rsidR="00C0635E" w:rsidRPr="0007471F" w:rsidRDefault="00C0635E" w:rsidP="00C0635E">
            <w:pPr>
              <w:spacing w:before="120" w:after="120"/>
              <w:ind w:firstLine="743"/>
              <w:jc w:val="both"/>
              <w:rPr>
                <w:rFonts w:ascii="Century Gothic" w:eastAsia="Times New Roman" w:hAnsi="Century Gothic" w:cs="Times New Roman"/>
                <w:sz w:val="16"/>
                <w:szCs w:val="16"/>
                <w:lang w:eastAsia="tr-TR"/>
              </w:rPr>
            </w:pPr>
            <w:r w:rsidRPr="0007471F">
              <w:rPr>
                <w:rFonts w:ascii="Century Gothic" w:eastAsia="Times New Roman" w:hAnsi="Century Gothic" w:cs="Times New Roman"/>
                <w:sz w:val="16"/>
                <w:szCs w:val="16"/>
                <w:lang w:eastAsia="tr-TR"/>
              </w:rPr>
              <w:t>NO</w:t>
            </w:r>
          </w:p>
        </w:tc>
      </w:tr>
      <w:tr w:rsidR="00C0635E" w:rsidRPr="0007471F" w:rsidTr="0007471F">
        <w:trPr>
          <w:trHeight w:val="340"/>
          <w:jc w:val="center"/>
        </w:trPr>
        <w:tc>
          <w:tcPr>
            <w:tcW w:w="1767" w:type="pct"/>
            <w:vMerge w:val="restart"/>
            <w:shd w:val="clear" w:color="auto" w:fill="auto"/>
            <w:noWrap/>
            <w:vAlign w:val="center"/>
            <w:hideMark/>
          </w:tcPr>
          <w:p w:rsidR="00C0635E" w:rsidRPr="0007471F" w:rsidRDefault="000E4335" w:rsidP="00C0635E">
            <w:pPr>
              <w:spacing w:before="120" w:after="120"/>
              <w:ind w:firstLine="743"/>
              <w:jc w:val="both"/>
              <w:rPr>
                <w:rFonts w:ascii="Century Gothic" w:eastAsia="Times New Roman" w:hAnsi="Century Gothic" w:cs="Times New Roman"/>
                <w:b/>
                <w:sz w:val="16"/>
                <w:szCs w:val="16"/>
                <w:lang w:eastAsia="tr-TR"/>
              </w:rPr>
            </w:pPr>
            <m:oMath>
              <m:r>
                <m:rPr>
                  <m:sty m:val="bi"/>
                </m:rPr>
                <w:rPr>
                  <w:rFonts w:ascii="Cambria Math" w:eastAsia="Times New Roman" w:hAnsi="Cambria Math" w:cs="Times New Roman"/>
                  <w:sz w:val="16"/>
                  <w:szCs w:val="16"/>
                  <w:lang w:eastAsia="tr-TR"/>
                </w:rPr>
                <m:t>K</m:t>
              </m:r>
              <m:acc>
                <m:accPr>
                  <m:ctrlPr>
                    <w:rPr>
                      <w:rFonts w:ascii="Cambria Math" w:eastAsia="Times New Roman" w:hAnsi="Cambria Math" w:cs="Times New Roman"/>
                      <w:b/>
                      <w:bCs/>
                      <w:sz w:val="16"/>
                      <w:szCs w:val="16"/>
                      <w:lang w:eastAsia="tr-TR"/>
                    </w:rPr>
                  </m:ctrlPr>
                </m:accPr>
                <m:e>
                  <m:r>
                    <m:rPr>
                      <m:sty m:val="b"/>
                    </m:rPr>
                    <w:rPr>
                      <w:rFonts w:ascii="Cambria Math" w:eastAsia="Times New Roman" w:hAnsi="Cambria Math" w:cs="Times New Roman"/>
                      <w:sz w:val="16"/>
                      <w:szCs w:val="16"/>
                      <w:lang w:eastAsia="tr-TR"/>
                    </w:rPr>
                    <m:t>a</m:t>
                  </m:r>
                </m:e>
              </m:acc>
            </m:oMath>
            <w:r w:rsidRPr="000E4335">
              <w:rPr>
                <w:rFonts w:ascii="Century Gothic" w:eastAsia="Times New Roman" w:hAnsi="Century Gothic" w:cs="Times New Roman"/>
                <w:b/>
                <w:bCs/>
                <w:sz w:val="16"/>
                <w:szCs w:val="16"/>
                <w:lang w:eastAsia="tr-TR"/>
              </w:rPr>
              <w:t>rlılık</w:t>
            </w:r>
            <w:r w:rsidR="00C0635E" w:rsidRPr="0007471F">
              <w:rPr>
                <w:rFonts w:ascii="Century Gothic" w:eastAsia="Times New Roman" w:hAnsi="Century Gothic" w:cs="Times New Roman"/>
                <w:b/>
                <w:sz w:val="16"/>
                <w:szCs w:val="16"/>
                <w:lang w:eastAsia="tr-TR"/>
              </w:rPr>
              <w:t xml:space="preserve"> oranları</w:t>
            </w:r>
          </w:p>
        </w:tc>
        <w:tc>
          <w:tcPr>
            <w:tcW w:w="2140" w:type="pct"/>
            <w:shd w:val="clear" w:color="auto" w:fill="auto"/>
            <w:noWrap/>
            <w:vAlign w:val="center"/>
            <w:hideMark/>
          </w:tcPr>
          <w:p w:rsidR="00C0635E" w:rsidRPr="0007471F" w:rsidRDefault="00C0635E" w:rsidP="00C0635E">
            <w:pPr>
              <w:spacing w:before="120" w:after="120"/>
              <w:ind w:firstLine="743"/>
              <w:jc w:val="both"/>
              <w:rPr>
                <w:rFonts w:ascii="Century Gothic" w:eastAsia="Times New Roman" w:hAnsi="Century Gothic" w:cs="Times New Roman"/>
                <w:sz w:val="16"/>
                <w:szCs w:val="16"/>
                <w:lang w:eastAsia="tr-TR"/>
              </w:rPr>
            </w:pPr>
            <w:r w:rsidRPr="0007471F">
              <w:rPr>
                <w:rFonts w:ascii="Century Gothic" w:eastAsia="Times New Roman" w:hAnsi="Century Gothic" w:cs="Times New Roman"/>
                <w:sz w:val="16"/>
                <w:szCs w:val="16"/>
                <w:lang w:eastAsia="tr-TR"/>
              </w:rPr>
              <w:t xml:space="preserve">Aktif </w:t>
            </w:r>
            <w:r w:rsidR="000E4335">
              <w:rPr>
                <w:rFonts w:ascii="Century Gothic" w:eastAsia="Times New Roman" w:hAnsi="Century Gothic" w:cs="Times New Roman"/>
                <w:bCs/>
                <w:sz w:val="16"/>
                <w:szCs w:val="16"/>
                <w:lang w:eastAsia="tr-TR"/>
              </w:rPr>
              <w:t>K</w:t>
            </w:r>
            <m:oMath>
              <m:acc>
                <m:accPr>
                  <m:ctrlPr>
                    <w:rPr>
                      <w:rFonts w:ascii="Cambria Math" w:eastAsia="Times New Roman" w:hAnsi="Cambria Math" w:cs="Times New Roman"/>
                      <w:bCs/>
                      <w:sz w:val="16"/>
                      <w:szCs w:val="16"/>
                      <w:lang w:eastAsia="tr-TR"/>
                    </w:rPr>
                  </m:ctrlPr>
                </m:accPr>
                <m:e>
                  <m:r>
                    <m:rPr>
                      <m:sty m:val="p"/>
                    </m:rPr>
                    <w:rPr>
                      <w:rFonts w:ascii="Cambria Math" w:eastAsia="Times New Roman" w:hAnsi="Cambria Math" w:cs="Times New Roman"/>
                      <w:sz w:val="16"/>
                      <w:szCs w:val="16"/>
                      <w:lang w:eastAsia="tr-TR"/>
                    </w:rPr>
                    <m:t>a</m:t>
                  </m:r>
                </m:e>
              </m:acc>
            </m:oMath>
            <w:r w:rsidR="000E4335" w:rsidRPr="000E4335">
              <w:rPr>
                <w:rFonts w:ascii="Century Gothic" w:eastAsia="Times New Roman" w:hAnsi="Century Gothic" w:cs="Times New Roman"/>
                <w:bCs/>
                <w:sz w:val="16"/>
                <w:szCs w:val="16"/>
                <w:lang w:eastAsia="tr-TR"/>
              </w:rPr>
              <w:t>rlılık</w:t>
            </w:r>
            <w:r w:rsidRPr="0007471F">
              <w:rPr>
                <w:rFonts w:ascii="Century Gothic" w:eastAsia="Times New Roman" w:hAnsi="Century Gothic" w:cs="Times New Roman"/>
                <w:sz w:val="16"/>
                <w:szCs w:val="16"/>
                <w:lang w:eastAsia="tr-TR"/>
              </w:rPr>
              <w:t xml:space="preserve"> (ROA)</w:t>
            </w:r>
          </w:p>
        </w:tc>
        <w:tc>
          <w:tcPr>
            <w:tcW w:w="1093" w:type="pct"/>
            <w:shd w:val="clear" w:color="auto" w:fill="auto"/>
            <w:noWrap/>
            <w:vAlign w:val="center"/>
            <w:hideMark/>
          </w:tcPr>
          <w:p w:rsidR="00C0635E" w:rsidRPr="0007471F" w:rsidRDefault="00C0635E" w:rsidP="00C0635E">
            <w:pPr>
              <w:spacing w:before="120" w:after="120"/>
              <w:ind w:firstLine="743"/>
              <w:jc w:val="both"/>
              <w:rPr>
                <w:rFonts w:ascii="Century Gothic" w:eastAsia="Times New Roman" w:hAnsi="Century Gothic" w:cs="Times New Roman"/>
                <w:sz w:val="16"/>
                <w:szCs w:val="16"/>
                <w:lang w:eastAsia="tr-TR"/>
              </w:rPr>
            </w:pPr>
            <w:r w:rsidRPr="0007471F">
              <w:rPr>
                <w:rFonts w:ascii="Century Gothic" w:eastAsia="Times New Roman" w:hAnsi="Century Gothic" w:cs="Times New Roman"/>
                <w:sz w:val="16"/>
                <w:szCs w:val="16"/>
                <w:lang w:eastAsia="tr-TR"/>
              </w:rPr>
              <w:t>ROA</w:t>
            </w:r>
          </w:p>
        </w:tc>
      </w:tr>
      <w:tr w:rsidR="00C0635E" w:rsidRPr="0007471F" w:rsidTr="0007471F">
        <w:trPr>
          <w:trHeight w:val="340"/>
          <w:jc w:val="center"/>
        </w:trPr>
        <w:tc>
          <w:tcPr>
            <w:tcW w:w="1767" w:type="pct"/>
            <w:vMerge/>
            <w:vAlign w:val="center"/>
            <w:hideMark/>
          </w:tcPr>
          <w:p w:rsidR="00C0635E" w:rsidRPr="0007471F" w:rsidRDefault="00C0635E" w:rsidP="00C0635E">
            <w:pPr>
              <w:spacing w:before="120" w:after="120"/>
              <w:ind w:firstLine="743"/>
              <w:jc w:val="both"/>
              <w:rPr>
                <w:rFonts w:ascii="Century Gothic" w:eastAsia="Times New Roman" w:hAnsi="Century Gothic" w:cs="Times New Roman"/>
                <w:b/>
                <w:sz w:val="16"/>
                <w:szCs w:val="16"/>
                <w:lang w:eastAsia="tr-TR"/>
              </w:rPr>
            </w:pPr>
          </w:p>
        </w:tc>
        <w:tc>
          <w:tcPr>
            <w:tcW w:w="2140" w:type="pct"/>
            <w:shd w:val="clear" w:color="auto" w:fill="auto"/>
            <w:noWrap/>
            <w:vAlign w:val="center"/>
            <w:hideMark/>
          </w:tcPr>
          <w:p w:rsidR="00C0635E" w:rsidRPr="0007471F" w:rsidRDefault="00C0635E" w:rsidP="00C0635E">
            <w:pPr>
              <w:spacing w:before="120" w:after="120"/>
              <w:ind w:firstLine="743"/>
              <w:jc w:val="both"/>
              <w:rPr>
                <w:rFonts w:ascii="Century Gothic" w:eastAsia="Times New Roman" w:hAnsi="Century Gothic" w:cs="Times New Roman"/>
                <w:sz w:val="16"/>
                <w:szCs w:val="16"/>
                <w:lang w:eastAsia="tr-TR"/>
              </w:rPr>
            </w:pPr>
            <w:r w:rsidRPr="0007471F">
              <w:rPr>
                <w:rFonts w:ascii="Century Gothic" w:eastAsia="Times New Roman" w:hAnsi="Century Gothic" w:cs="Times New Roman"/>
                <w:sz w:val="16"/>
                <w:szCs w:val="16"/>
                <w:lang w:eastAsia="tr-TR"/>
              </w:rPr>
              <w:t xml:space="preserve">FAVÖK </w:t>
            </w:r>
            <w:proofErr w:type="gramStart"/>
            <w:r w:rsidRPr="0007471F">
              <w:rPr>
                <w:rFonts w:ascii="Century Gothic" w:eastAsia="Times New Roman" w:hAnsi="Century Gothic" w:cs="Times New Roman"/>
                <w:sz w:val="16"/>
                <w:szCs w:val="16"/>
                <w:lang w:eastAsia="tr-TR"/>
              </w:rPr>
              <w:t>marjı</w:t>
            </w:r>
            <w:proofErr w:type="gramEnd"/>
          </w:p>
        </w:tc>
        <w:tc>
          <w:tcPr>
            <w:tcW w:w="1093" w:type="pct"/>
            <w:shd w:val="clear" w:color="auto" w:fill="auto"/>
            <w:noWrap/>
            <w:vAlign w:val="center"/>
            <w:hideMark/>
          </w:tcPr>
          <w:p w:rsidR="00C0635E" w:rsidRPr="0007471F" w:rsidRDefault="00C0635E" w:rsidP="00C0635E">
            <w:pPr>
              <w:spacing w:before="120" w:after="120"/>
              <w:ind w:firstLine="743"/>
              <w:jc w:val="both"/>
              <w:rPr>
                <w:rFonts w:ascii="Century Gothic" w:eastAsia="Times New Roman" w:hAnsi="Century Gothic" w:cs="Times New Roman"/>
                <w:sz w:val="16"/>
                <w:szCs w:val="16"/>
                <w:lang w:eastAsia="tr-TR"/>
              </w:rPr>
            </w:pPr>
            <w:r w:rsidRPr="0007471F">
              <w:rPr>
                <w:rFonts w:ascii="Century Gothic" w:eastAsia="Times New Roman" w:hAnsi="Century Gothic" w:cs="Times New Roman"/>
                <w:sz w:val="16"/>
                <w:szCs w:val="16"/>
                <w:lang w:eastAsia="tr-TR"/>
              </w:rPr>
              <w:t>FAV</w:t>
            </w:r>
          </w:p>
        </w:tc>
      </w:tr>
      <w:tr w:rsidR="00C0635E" w:rsidRPr="0007471F" w:rsidTr="0007471F">
        <w:trPr>
          <w:trHeight w:val="340"/>
          <w:jc w:val="center"/>
        </w:trPr>
        <w:tc>
          <w:tcPr>
            <w:tcW w:w="1767" w:type="pct"/>
            <w:vMerge/>
            <w:vAlign w:val="center"/>
            <w:hideMark/>
          </w:tcPr>
          <w:p w:rsidR="00C0635E" w:rsidRPr="0007471F" w:rsidRDefault="00C0635E" w:rsidP="00C0635E">
            <w:pPr>
              <w:spacing w:before="120" w:after="120"/>
              <w:ind w:firstLine="743"/>
              <w:jc w:val="both"/>
              <w:rPr>
                <w:rFonts w:ascii="Century Gothic" w:eastAsia="Times New Roman" w:hAnsi="Century Gothic" w:cs="Times New Roman"/>
                <w:b/>
                <w:sz w:val="16"/>
                <w:szCs w:val="16"/>
                <w:lang w:eastAsia="tr-TR"/>
              </w:rPr>
            </w:pPr>
          </w:p>
        </w:tc>
        <w:tc>
          <w:tcPr>
            <w:tcW w:w="2140" w:type="pct"/>
            <w:shd w:val="clear" w:color="auto" w:fill="auto"/>
            <w:noWrap/>
            <w:vAlign w:val="center"/>
            <w:hideMark/>
          </w:tcPr>
          <w:p w:rsidR="00C0635E" w:rsidRPr="0007471F" w:rsidRDefault="00C0635E" w:rsidP="00C0635E">
            <w:pPr>
              <w:spacing w:before="120" w:after="120"/>
              <w:ind w:firstLine="743"/>
              <w:jc w:val="both"/>
              <w:rPr>
                <w:rFonts w:ascii="Century Gothic" w:eastAsia="Times New Roman" w:hAnsi="Century Gothic" w:cs="Times New Roman"/>
                <w:sz w:val="16"/>
                <w:szCs w:val="16"/>
                <w:lang w:eastAsia="tr-TR"/>
              </w:rPr>
            </w:pPr>
            <w:proofErr w:type="spellStart"/>
            <w:r w:rsidRPr="0007471F">
              <w:rPr>
                <w:rFonts w:ascii="Century Gothic" w:eastAsia="Times New Roman" w:hAnsi="Century Gothic" w:cs="Times New Roman"/>
                <w:sz w:val="16"/>
                <w:szCs w:val="16"/>
                <w:lang w:eastAsia="tr-TR"/>
              </w:rPr>
              <w:t>Özsermaye</w:t>
            </w:r>
            <w:proofErr w:type="spellEnd"/>
            <w:r w:rsidRPr="0007471F">
              <w:rPr>
                <w:rFonts w:ascii="Century Gothic" w:eastAsia="Times New Roman" w:hAnsi="Century Gothic" w:cs="Times New Roman"/>
                <w:sz w:val="16"/>
                <w:szCs w:val="16"/>
                <w:lang w:eastAsia="tr-TR"/>
              </w:rPr>
              <w:t xml:space="preserve"> </w:t>
            </w:r>
            <w:r w:rsidR="000E4335" w:rsidRPr="000E4335">
              <w:rPr>
                <w:rFonts w:ascii="Century Gothic" w:eastAsia="Times New Roman" w:hAnsi="Century Gothic" w:cs="Times New Roman"/>
                <w:bCs/>
                <w:sz w:val="16"/>
                <w:szCs w:val="16"/>
                <w:lang w:eastAsia="tr-TR"/>
              </w:rPr>
              <w:t>k</w:t>
            </w:r>
            <m:oMath>
              <m:acc>
                <m:accPr>
                  <m:ctrlPr>
                    <w:rPr>
                      <w:rFonts w:ascii="Cambria Math" w:eastAsia="Times New Roman" w:hAnsi="Cambria Math" w:cs="Times New Roman"/>
                      <w:bCs/>
                      <w:sz w:val="16"/>
                      <w:szCs w:val="16"/>
                      <w:lang w:eastAsia="tr-TR"/>
                    </w:rPr>
                  </m:ctrlPr>
                </m:accPr>
                <m:e>
                  <m:r>
                    <m:rPr>
                      <m:sty m:val="p"/>
                    </m:rPr>
                    <w:rPr>
                      <w:rFonts w:ascii="Cambria Math" w:eastAsia="Times New Roman" w:hAnsi="Cambria Math" w:cs="Times New Roman"/>
                      <w:sz w:val="16"/>
                      <w:szCs w:val="16"/>
                      <w:lang w:eastAsia="tr-TR"/>
                    </w:rPr>
                    <m:t>a</m:t>
                  </m:r>
                </m:e>
              </m:acc>
            </m:oMath>
            <w:r w:rsidR="000E4335">
              <w:rPr>
                <w:rFonts w:ascii="Century Gothic" w:eastAsia="Times New Roman" w:hAnsi="Century Gothic" w:cs="Times New Roman"/>
                <w:bCs/>
                <w:sz w:val="16"/>
                <w:szCs w:val="16"/>
                <w:lang w:eastAsia="tr-TR"/>
              </w:rPr>
              <w:t>rlılığı</w:t>
            </w:r>
            <w:r w:rsidRPr="0007471F">
              <w:rPr>
                <w:rFonts w:ascii="Century Gothic" w:eastAsia="Times New Roman" w:hAnsi="Century Gothic" w:cs="Times New Roman"/>
                <w:sz w:val="16"/>
                <w:szCs w:val="16"/>
                <w:lang w:eastAsia="tr-TR"/>
              </w:rPr>
              <w:t xml:space="preserve"> (ROE)</w:t>
            </w:r>
          </w:p>
        </w:tc>
        <w:tc>
          <w:tcPr>
            <w:tcW w:w="1093" w:type="pct"/>
            <w:shd w:val="clear" w:color="auto" w:fill="auto"/>
            <w:noWrap/>
            <w:vAlign w:val="center"/>
            <w:hideMark/>
          </w:tcPr>
          <w:p w:rsidR="00C0635E" w:rsidRPr="0007471F" w:rsidRDefault="00C0635E" w:rsidP="00C0635E">
            <w:pPr>
              <w:spacing w:before="120" w:after="120"/>
              <w:ind w:firstLine="743"/>
              <w:jc w:val="both"/>
              <w:rPr>
                <w:rFonts w:ascii="Century Gothic" w:eastAsia="Times New Roman" w:hAnsi="Century Gothic" w:cs="Times New Roman"/>
                <w:sz w:val="16"/>
                <w:szCs w:val="16"/>
                <w:lang w:eastAsia="tr-TR"/>
              </w:rPr>
            </w:pPr>
            <w:r w:rsidRPr="0007471F">
              <w:rPr>
                <w:rFonts w:ascii="Century Gothic" w:eastAsia="Times New Roman" w:hAnsi="Century Gothic" w:cs="Times New Roman"/>
                <w:sz w:val="16"/>
                <w:szCs w:val="16"/>
                <w:lang w:eastAsia="tr-TR"/>
              </w:rPr>
              <w:t>ROE</w:t>
            </w:r>
          </w:p>
        </w:tc>
      </w:tr>
      <w:tr w:rsidR="00C0635E" w:rsidRPr="0007471F" w:rsidTr="0007471F">
        <w:trPr>
          <w:trHeight w:val="340"/>
          <w:jc w:val="center"/>
        </w:trPr>
        <w:tc>
          <w:tcPr>
            <w:tcW w:w="1767" w:type="pct"/>
            <w:vMerge w:val="restart"/>
            <w:shd w:val="clear" w:color="auto" w:fill="auto"/>
            <w:noWrap/>
            <w:vAlign w:val="center"/>
            <w:hideMark/>
          </w:tcPr>
          <w:p w:rsidR="00C0635E" w:rsidRPr="0007471F" w:rsidRDefault="00C0635E" w:rsidP="00C0635E">
            <w:pPr>
              <w:spacing w:before="120" w:after="120"/>
              <w:ind w:firstLine="743"/>
              <w:jc w:val="both"/>
              <w:rPr>
                <w:rFonts w:ascii="Century Gothic" w:eastAsia="Times New Roman" w:hAnsi="Century Gothic" w:cs="Times New Roman"/>
                <w:b/>
                <w:sz w:val="16"/>
                <w:szCs w:val="16"/>
                <w:lang w:eastAsia="tr-TR"/>
              </w:rPr>
            </w:pPr>
            <w:r w:rsidRPr="0007471F">
              <w:rPr>
                <w:rFonts w:ascii="Century Gothic" w:eastAsia="Times New Roman" w:hAnsi="Century Gothic" w:cs="Times New Roman"/>
                <w:b/>
                <w:sz w:val="16"/>
                <w:szCs w:val="16"/>
                <w:lang w:eastAsia="tr-TR"/>
              </w:rPr>
              <w:t>Finansal yapı oranları</w:t>
            </w:r>
          </w:p>
        </w:tc>
        <w:tc>
          <w:tcPr>
            <w:tcW w:w="2140" w:type="pct"/>
            <w:shd w:val="clear" w:color="auto" w:fill="auto"/>
            <w:noWrap/>
            <w:vAlign w:val="center"/>
            <w:hideMark/>
          </w:tcPr>
          <w:p w:rsidR="00C0635E" w:rsidRPr="0007471F" w:rsidRDefault="00C0635E" w:rsidP="00C0635E">
            <w:pPr>
              <w:spacing w:before="120" w:after="120"/>
              <w:ind w:firstLine="743"/>
              <w:jc w:val="both"/>
              <w:rPr>
                <w:rFonts w:ascii="Century Gothic" w:eastAsia="Times New Roman" w:hAnsi="Century Gothic" w:cs="Times New Roman"/>
                <w:sz w:val="16"/>
                <w:szCs w:val="16"/>
                <w:lang w:eastAsia="tr-TR"/>
              </w:rPr>
            </w:pPr>
            <w:r w:rsidRPr="0007471F">
              <w:rPr>
                <w:rFonts w:ascii="Century Gothic" w:eastAsia="Times New Roman" w:hAnsi="Century Gothic" w:cs="Times New Roman"/>
                <w:sz w:val="16"/>
                <w:szCs w:val="16"/>
                <w:lang w:eastAsia="tr-TR"/>
              </w:rPr>
              <w:t>Duran Varlıklar / Aktif</w:t>
            </w:r>
          </w:p>
        </w:tc>
        <w:tc>
          <w:tcPr>
            <w:tcW w:w="1093" w:type="pct"/>
            <w:shd w:val="clear" w:color="auto" w:fill="auto"/>
            <w:noWrap/>
            <w:vAlign w:val="center"/>
            <w:hideMark/>
          </w:tcPr>
          <w:p w:rsidR="00C0635E" w:rsidRPr="0007471F" w:rsidRDefault="00C0635E" w:rsidP="00C0635E">
            <w:pPr>
              <w:spacing w:before="120" w:after="120"/>
              <w:ind w:firstLine="743"/>
              <w:jc w:val="both"/>
              <w:rPr>
                <w:rFonts w:ascii="Century Gothic" w:eastAsia="Times New Roman" w:hAnsi="Century Gothic" w:cs="Times New Roman"/>
                <w:sz w:val="16"/>
                <w:szCs w:val="16"/>
                <w:lang w:eastAsia="tr-TR"/>
              </w:rPr>
            </w:pPr>
            <w:r w:rsidRPr="0007471F">
              <w:rPr>
                <w:rFonts w:ascii="Century Gothic" w:eastAsia="Times New Roman" w:hAnsi="Century Gothic" w:cs="Times New Roman"/>
                <w:sz w:val="16"/>
                <w:szCs w:val="16"/>
                <w:lang w:eastAsia="tr-TR"/>
              </w:rPr>
              <w:t>DVA</w:t>
            </w:r>
          </w:p>
        </w:tc>
      </w:tr>
      <w:tr w:rsidR="00C0635E" w:rsidRPr="0007471F" w:rsidTr="0007471F">
        <w:trPr>
          <w:trHeight w:val="340"/>
          <w:jc w:val="center"/>
        </w:trPr>
        <w:tc>
          <w:tcPr>
            <w:tcW w:w="1767" w:type="pct"/>
            <w:vMerge/>
            <w:vAlign w:val="center"/>
            <w:hideMark/>
          </w:tcPr>
          <w:p w:rsidR="00C0635E" w:rsidRPr="0007471F" w:rsidRDefault="00C0635E" w:rsidP="00C0635E">
            <w:pPr>
              <w:spacing w:before="120" w:after="120"/>
              <w:ind w:firstLine="743"/>
              <w:jc w:val="both"/>
              <w:rPr>
                <w:rFonts w:ascii="Century Gothic" w:eastAsia="Times New Roman" w:hAnsi="Century Gothic" w:cs="Times New Roman"/>
                <w:b/>
                <w:sz w:val="16"/>
                <w:szCs w:val="16"/>
                <w:lang w:eastAsia="tr-TR"/>
              </w:rPr>
            </w:pPr>
          </w:p>
        </w:tc>
        <w:tc>
          <w:tcPr>
            <w:tcW w:w="2140" w:type="pct"/>
            <w:shd w:val="clear" w:color="auto" w:fill="auto"/>
            <w:noWrap/>
            <w:vAlign w:val="center"/>
            <w:hideMark/>
          </w:tcPr>
          <w:p w:rsidR="00C0635E" w:rsidRPr="0007471F" w:rsidRDefault="00C0635E" w:rsidP="00C0635E">
            <w:pPr>
              <w:spacing w:before="120" w:after="120"/>
              <w:ind w:firstLine="743"/>
              <w:jc w:val="both"/>
              <w:rPr>
                <w:rFonts w:ascii="Century Gothic" w:eastAsia="Times New Roman" w:hAnsi="Century Gothic" w:cs="Times New Roman"/>
                <w:sz w:val="16"/>
                <w:szCs w:val="16"/>
                <w:lang w:eastAsia="tr-TR"/>
              </w:rPr>
            </w:pPr>
            <w:r w:rsidRPr="0007471F">
              <w:rPr>
                <w:rFonts w:ascii="Century Gothic" w:eastAsia="Times New Roman" w:hAnsi="Century Gothic" w:cs="Times New Roman"/>
                <w:sz w:val="16"/>
                <w:szCs w:val="16"/>
                <w:lang w:eastAsia="tr-TR"/>
              </w:rPr>
              <w:t>Kısa Vade Borç / Aktif</w:t>
            </w:r>
          </w:p>
        </w:tc>
        <w:tc>
          <w:tcPr>
            <w:tcW w:w="1093" w:type="pct"/>
            <w:shd w:val="clear" w:color="auto" w:fill="auto"/>
            <w:noWrap/>
            <w:vAlign w:val="center"/>
            <w:hideMark/>
          </w:tcPr>
          <w:p w:rsidR="00C0635E" w:rsidRPr="0007471F" w:rsidRDefault="00C0635E" w:rsidP="00C0635E">
            <w:pPr>
              <w:spacing w:before="120" w:after="120"/>
              <w:ind w:firstLine="743"/>
              <w:jc w:val="both"/>
              <w:rPr>
                <w:rFonts w:ascii="Century Gothic" w:eastAsia="Times New Roman" w:hAnsi="Century Gothic" w:cs="Times New Roman"/>
                <w:sz w:val="16"/>
                <w:szCs w:val="16"/>
                <w:lang w:eastAsia="tr-TR"/>
              </w:rPr>
            </w:pPr>
            <w:r w:rsidRPr="0007471F">
              <w:rPr>
                <w:rFonts w:ascii="Century Gothic" w:eastAsia="Times New Roman" w:hAnsi="Century Gothic" w:cs="Times New Roman"/>
                <w:sz w:val="16"/>
                <w:szCs w:val="16"/>
                <w:lang w:eastAsia="tr-TR"/>
              </w:rPr>
              <w:t>KVA</w:t>
            </w:r>
          </w:p>
        </w:tc>
      </w:tr>
      <w:tr w:rsidR="00C0635E" w:rsidRPr="0007471F" w:rsidTr="0007471F">
        <w:trPr>
          <w:trHeight w:val="340"/>
          <w:jc w:val="center"/>
        </w:trPr>
        <w:tc>
          <w:tcPr>
            <w:tcW w:w="1767" w:type="pct"/>
            <w:vMerge/>
            <w:vAlign w:val="center"/>
            <w:hideMark/>
          </w:tcPr>
          <w:p w:rsidR="00C0635E" w:rsidRPr="0007471F" w:rsidRDefault="00C0635E" w:rsidP="00C0635E">
            <w:pPr>
              <w:spacing w:before="120" w:after="120"/>
              <w:ind w:firstLine="743"/>
              <w:jc w:val="both"/>
              <w:rPr>
                <w:rFonts w:ascii="Century Gothic" w:eastAsia="Times New Roman" w:hAnsi="Century Gothic" w:cs="Times New Roman"/>
                <w:b/>
                <w:sz w:val="16"/>
                <w:szCs w:val="16"/>
                <w:lang w:eastAsia="tr-TR"/>
              </w:rPr>
            </w:pPr>
          </w:p>
        </w:tc>
        <w:tc>
          <w:tcPr>
            <w:tcW w:w="2140" w:type="pct"/>
            <w:shd w:val="clear" w:color="auto" w:fill="auto"/>
            <w:noWrap/>
            <w:vAlign w:val="center"/>
            <w:hideMark/>
          </w:tcPr>
          <w:p w:rsidR="00C0635E" w:rsidRPr="0007471F" w:rsidRDefault="00C0635E" w:rsidP="00C0635E">
            <w:pPr>
              <w:spacing w:before="120" w:after="120"/>
              <w:ind w:firstLine="743"/>
              <w:jc w:val="both"/>
              <w:rPr>
                <w:rFonts w:ascii="Century Gothic" w:eastAsia="Times New Roman" w:hAnsi="Century Gothic" w:cs="Times New Roman"/>
                <w:sz w:val="16"/>
                <w:szCs w:val="16"/>
                <w:lang w:eastAsia="tr-TR"/>
              </w:rPr>
            </w:pPr>
            <w:r w:rsidRPr="0007471F">
              <w:rPr>
                <w:rFonts w:ascii="Century Gothic" w:eastAsia="Times New Roman" w:hAnsi="Century Gothic" w:cs="Times New Roman"/>
                <w:sz w:val="16"/>
                <w:szCs w:val="16"/>
                <w:lang w:eastAsia="tr-TR"/>
              </w:rPr>
              <w:t xml:space="preserve">Toplam Borç / </w:t>
            </w:r>
            <w:proofErr w:type="spellStart"/>
            <w:r w:rsidRPr="0007471F">
              <w:rPr>
                <w:rFonts w:ascii="Century Gothic" w:eastAsia="Times New Roman" w:hAnsi="Century Gothic" w:cs="Times New Roman"/>
                <w:sz w:val="16"/>
                <w:szCs w:val="16"/>
                <w:lang w:eastAsia="tr-TR"/>
              </w:rPr>
              <w:t>Özsermaye</w:t>
            </w:r>
            <w:proofErr w:type="spellEnd"/>
          </w:p>
        </w:tc>
        <w:tc>
          <w:tcPr>
            <w:tcW w:w="1093" w:type="pct"/>
            <w:shd w:val="clear" w:color="auto" w:fill="auto"/>
            <w:noWrap/>
            <w:vAlign w:val="center"/>
            <w:hideMark/>
          </w:tcPr>
          <w:p w:rsidR="00C0635E" w:rsidRPr="0007471F" w:rsidRDefault="00C0635E" w:rsidP="00C0635E">
            <w:pPr>
              <w:spacing w:before="120" w:after="120"/>
              <w:ind w:firstLine="743"/>
              <w:jc w:val="both"/>
              <w:rPr>
                <w:rFonts w:ascii="Century Gothic" w:eastAsia="Times New Roman" w:hAnsi="Century Gothic" w:cs="Times New Roman"/>
                <w:sz w:val="16"/>
                <w:szCs w:val="16"/>
                <w:lang w:eastAsia="tr-TR"/>
              </w:rPr>
            </w:pPr>
            <w:r w:rsidRPr="0007471F">
              <w:rPr>
                <w:rFonts w:ascii="Century Gothic" w:eastAsia="Times New Roman" w:hAnsi="Century Gothic" w:cs="Times New Roman"/>
                <w:sz w:val="16"/>
                <w:szCs w:val="16"/>
                <w:lang w:eastAsia="tr-TR"/>
              </w:rPr>
              <w:t>TBO</w:t>
            </w:r>
          </w:p>
        </w:tc>
      </w:tr>
      <w:tr w:rsidR="00C0635E" w:rsidRPr="0007471F" w:rsidTr="0007471F">
        <w:trPr>
          <w:trHeight w:val="340"/>
          <w:jc w:val="center"/>
        </w:trPr>
        <w:tc>
          <w:tcPr>
            <w:tcW w:w="1767" w:type="pct"/>
            <w:vMerge w:val="restart"/>
            <w:shd w:val="clear" w:color="auto" w:fill="auto"/>
            <w:noWrap/>
            <w:vAlign w:val="center"/>
            <w:hideMark/>
          </w:tcPr>
          <w:p w:rsidR="00C0635E" w:rsidRPr="0007471F" w:rsidRDefault="00C0635E" w:rsidP="00C0635E">
            <w:pPr>
              <w:spacing w:before="120" w:after="120"/>
              <w:ind w:firstLine="743"/>
              <w:jc w:val="both"/>
              <w:rPr>
                <w:rFonts w:ascii="Century Gothic" w:eastAsia="Times New Roman" w:hAnsi="Century Gothic" w:cs="Times New Roman"/>
                <w:b/>
                <w:sz w:val="16"/>
                <w:szCs w:val="16"/>
                <w:lang w:eastAsia="tr-TR"/>
              </w:rPr>
            </w:pPr>
            <w:r w:rsidRPr="0007471F">
              <w:rPr>
                <w:rFonts w:ascii="Century Gothic" w:eastAsia="Times New Roman" w:hAnsi="Century Gothic" w:cs="Times New Roman"/>
                <w:b/>
                <w:sz w:val="16"/>
                <w:szCs w:val="16"/>
                <w:lang w:eastAsia="tr-TR"/>
              </w:rPr>
              <w:t>Faaliyet oranları</w:t>
            </w:r>
          </w:p>
        </w:tc>
        <w:tc>
          <w:tcPr>
            <w:tcW w:w="2140" w:type="pct"/>
            <w:shd w:val="clear" w:color="auto" w:fill="auto"/>
            <w:noWrap/>
            <w:vAlign w:val="center"/>
            <w:hideMark/>
          </w:tcPr>
          <w:p w:rsidR="00C0635E" w:rsidRPr="0007471F" w:rsidRDefault="00C0635E" w:rsidP="00C0635E">
            <w:pPr>
              <w:spacing w:before="120" w:after="120"/>
              <w:ind w:firstLine="743"/>
              <w:jc w:val="both"/>
              <w:rPr>
                <w:rFonts w:ascii="Century Gothic" w:eastAsia="Times New Roman" w:hAnsi="Century Gothic" w:cs="Times New Roman"/>
                <w:sz w:val="16"/>
                <w:szCs w:val="16"/>
                <w:lang w:eastAsia="tr-TR"/>
              </w:rPr>
            </w:pPr>
            <w:r w:rsidRPr="0007471F">
              <w:rPr>
                <w:rFonts w:ascii="Century Gothic" w:eastAsia="Times New Roman" w:hAnsi="Century Gothic" w:cs="Times New Roman"/>
                <w:sz w:val="16"/>
                <w:szCs w:val="16"/>
                <w:lang w:eastAsia="tr-TR"/>
              </w:rPr>
              <w:t>Aktif büyüme</w:t>
            </w:r>
          </w:p>
        </w:tc>
        <w:tc>
          <w:tcPr>
            <w:tcW w:w="1093" w:type="pct"/>
            <w:shd w:val="clear" w:color="auto" w:fill="auto"/>
            <w:noWrap/>
            <w:vAlign w:val="center"/>
            <w:hideMark/>
          </w:tcPr>
          <w:p w:rsidR="00C0635E" w:rsidRPr="0007471F" w:rsidRDefault="00C0635E" w:rsidP="00C0635E">
            <w:pPr>
              <w:spacing w:before="120" w:after="120"/>
              <w:ind w:firstLine="743"/>
              <w:jc w:val="both"/>
              <w:rPr>
                <w:rFonts w:ascii="Century Gothic" w:eastAsia="Times New Roman" w:hAnsi="Century Gothic" w:cs="Times New Roman"/>
                <w:sz w:val="16"/>
                <w:szCs w:val="16"/>
                <w:lang w:eastAsia="tr-TR"/>
              </w:rPr>
            </w:pPr>
            <w:r w:rsidRPr="0007471F">
              <w:rPr>
                <w:rFonts w:ascii="Century Gothic" w:eastAsia="Times New Roman" w:hAnsi="Century Gothic" w:cs="Times New Roman"/>
                <w:sz w:val="16"/>
                <w:szCs w:val="16"/>
                <w:lang w:eastAsia="tr-TR"/>
              </w:rPr>
              <w:t>AB</w:t>
            </w:r>
          </w:p>
        </w:tc>
      </w:tr>
      <w:tr w:rsidR="00C0635E" w:rsidRPr="0007471F" w:rsidTr="0007471F">
        <w:trPr>
          <w:trHeight w:val="340"/>
          <w:jc w:val="center"/>
        </w:trPr>
        <w:tc>
          <w:tcPr>
            <w:tcW w:w="1767" w:type="pct"/>
            <w:vMerge/>
            <w:vAlign w:val="center"/>
            <w:hideMark/>
          </w:tcPr>
          <w:p w:rsidR="00C0635E" w:rsidRPr="0007471F" w:rsidRDefault="00C0635E" w:rsidP="00C0635E">
            <w:pPr>
              <w:spacing w:before="120" w:after="120"/>
              <w:ind w:firstLine="743"/>
              <w:jc w:val="both"/>
              <w:rPr>
                <w:rFonts w:ascii="Century Gothic" w:eastAsia="Times New Roman" w:hAnsi="Century Gothic" w:cs="Times New Roman"/>
                <w:sz w:val="16"/>
                <w:szCs w:val="16"/>
                <w:lang w:eastAsia="tr-TR"/>
              </w:rPr>
            </w:pPr>
          </w:p>
        </w:tc>
        <w:tc>
          <w:tcPr>
            <w:tcW w:w="2140" w:type="pct"/>
            <w:shd w:val="clear" w:color="auto" w:fill="auto"/>
            <w:noWrap/>
            <w:vAlign w:val="center"/>
            <w:hideMark/>
          </w:tcPr>
          <w:p w:rsidR="00C0635E" w:rsidRPr="0007471F" w:rsidRDefault="00C0635E" w:rsidP="00C0635E">
            <w:pPr>
              <w:spacing w:before="120" w:after="120"/>
              <w:ind w:firstLine="743"/>
              <w:jc w:val="both"/>
              <w:rPr>
                <w:rFonts w:ascii="Century Gothic" w:eastAsia="Times New Roman" w:hAnsi="Century Gothic" w:cs="Times New Roman"/>
                <w:sz w:val="16"/>
                <w:szCs w:val="16"/>
                <w:lang w:eastAsia="tr-TR"/>
              </w:rPr>
            </w:pPr>
            <w:r w:rsidRPr="0007471F">
              <w:rPr>
                <w:rFonts w:ascii="Century Gothic" w:eastAsia="Times New Roman" w:hAnsi="Century Gothic" w:cs="Times New Roman"/>
                <w:sz w:val="16"/>
                <w:szCs w:val="16"/>
                <w:lang w:eastAsia="tr-TR"/>
              </w:rPr>
              <w:t>Net Satışlar Büyüme (%)</w:t>
            </w:r>
          </w:p>
        </w:tc>
        <w:tc>
          <w:tcPr>
            <w:tcW w:w="1093" w:type="pct"/>
            <w:shd w:val="clear" w:color="auto" w:fill="auto"/>
            <w:noWrap/>
            <w:vAlign w:val="center"/>
            <w:hideMark/>
          </w:tcPr>
          <w:p w:rsidR="00C0635E" w:rsidRPr="0007471F" w:rsidRDefault="00C0635E" w:rsidP="00C0635E">
            <w:pPr>
              <w:spacing w:before="120" w:after="120"/>
              <w:ind w:firstLine="743"/>
              <w:jc w:val="both"/>
              <w:rPr>
                <w:rFonts w:ascii="Century Gothic" w:eastAsia="Times New Roman" w:hAnsi="Century Gothic" w:cs="Times New Roman"/>
                <w:sz w:val="16"/>
                <w:szCs w:val="16"/>
                <w:lang w:eastAsia="tr-TR"/>
              </w:rPr>
            </w:pPr>
            <w:r w:rsidRPr="0007471F">
              <w:rPr>
                <w:rFonts w:ascii="Century Gothic" w:eastAsia="Times New Roman" w:hAnsi="Century Gothic" w:cs="Times New Roman"/>
                <w:sz w:val="16"/>
                <w:szCs w:val="16"/>
                <w:lang w:eastAsia="tr-TR"/>
              </w:rPr>
              <w:t>NSB</w:t>
            </w:r>
          </w:p>
        </w:tc>
      </w:tr>
      <w:tr w:rsidR="00C0635E" w:rsidRPr="0007471F" w:rsidTr="0007471F">
        <w:trPr>
          <w:trHeight w:val="340"/>
          <w:jc w:val="center"/>
        </w:trPr>
        <w:tc>
          <w:tcPr>
            <w:tcW w:w="1767" w:type="pct"/>
            <w:vMerge/>
            <w:vAlign w:val="center"/>
            <w:hideMark/>
          </w:tcPr>
          <w:p w:rsidR="00C0635E" w:rsidRPr="0007471F" w:rsidRDefault="00C0635E" w:rsidP="00C0635E">
            <w:pPr>
              <w:spacing w:before="120" w:after="120"/>
              <w:ind w:firstLine="743"/>
              <w:jc w:val="both"/>
              <w:rPr>
                <w:rFonts w:ascii="Century Gothic" w:eastAsia="Times New Roman" w:hAnsi="Century Gothic" w:cs="Times New Roman"/>
                <w:sz w:val="16"/>
                <w:szCs w:val="16"/>
                <w:lang w:eastAsia="tr-TR"/>
              </w:rPr>
            </w:pPr>
          </w:p>
        </w:tc>
        <w:tc>
          <w:tcPr>
            <w:tcW w:w="2140" w:type="pct"/>
            <w:shd w:val="clear" w:color="auto" w:fill="auto"/>
            <w:noWrap/>
            <w:vAlign w:val="center"/>
            <w:hideMark/>
          </w:tcPr>
          <w:p w:rsidR="00C0635E" w:rsidRPr="0007471F" w:rsidRDefault="00C0635E" w:rsidP="00C0635E">
            <w:pPr>
              <w:spacing w:before="120" w:after="120"/>
              <w:ind w:firstLine="743"/>
              <w:jc w:val="both"/>
              <w:rPr>
                <w:rFonts w:ascii="Century Gothic" w:eastAsia="Times New Roman" w:hAnsi="Century Gothic" w:cs="Times New Roman"/>
                <w:sz w:val="16"/>
                <w:szCs w:val="16"/>
                <w:lang w:eastAsia="tr-TR"/>
              </w:rPr>
            </w:pPr>
            <w:r w:rsidRPr="0007471F">
              <w:rPr>
                <w:rFonts w:ascii="Century Gothic" w:eastAsia="Times New Roman" w:hAnsi="Century Gothic" w:cs="Times New Roman"/>
                <w:sz w:val="16"/>
                <w:szCs w:val="16"/>
                <w:lang w:eastAsia="tr-TR"/>
              </w:rPr>
              <w:t>Alacak devir hızı</w:t>
            </w:r>
          </w:p>
        </w:tc>
        <w:tc>
          <w:tcPr>
            <w:tcW w:w="1093" w:type="pct"/>
            <w:shd w:val="clear" w:color="auto" w:fill="auto"/>
            <w:noWrap/>
            <w:vAlign w:val="center"/>
            <w:hideMark/>
          </w:tcPr>
          <w:p w:rsidR="00C0635E" w:rsidRPr="0007471F" w:rsidRDefault="00C0635E" w:rsidP="00C0635E">
            <w:pPr>
              <w:spacing w:before="120" w:after="120"/>
              <w:ind w:firstLine="743"/>
              <w:jc w:val="both"/>
              <w:rPr>
                <w:rFonts w:ascii="Century Gothic" w:eastAsia="Times New Roman" w:hAnsi="Century Gothic" w:cs="Times New Roman"/>
                <w:sz w:val="16"/>
                <w:szCs w:val="16"/>
                <w:lang w:eastAsia="tr-TR"/>
              </w:rPr>
            </w:pPr>
            <w:r w:rsidRPr="0007471F">
              <w:rPr>
                <w:rFonts w:ascii="Century Gothic" w:eastAsia="Times New Roman" w:hAnsi="Century Gothic" w:cs="Times New Roman"/>
                <w:sz w:val="16"/>
                <w:szCs w:val="16"/>
                <w:lang w:eastAsia="tr-TR"/>
              </w:rPr>
              <w:t>ADH</w:t>
            </w:r>
          </w:p>
        </w:tc>
      </w:tr>
    </w:tbl>
    <w:p w:rsidR="00C0635E" w:rsidRDefault="00C0635E" w:rsidP="00C0635E">
      <w:pPr>
        <w:spacing w:before="120" w:after="120"/>
        <w:ind w:firstLine="743"/>
        <w:jc w:val="both"/>
        <w:rPr>
          <w:rFonts w:ascii="Century Gothic" w:eastAsia="Times New Roman" w:hAnsi="Century Gothic" w:cs="Times New Roman"/>
          <w:lang w:eastAsia="tr-TR"/>
        </w:rPr>
      </w:pPr>
      <w:r w:rsidRPr="00C0635E">
        <w:rPr>
          <w:rFonts w:ascii="Century Gothic" w:eastAsia="Times New Roman" w:hAnsi="Century Gothic" w:cs="Times New Roman"/>
          <w:lang w:eastAsia="tr-TR"/>
        </w:rPr>
        <w:t>BIST Metal Ana endeksinde yer alan</w:t>
      </w:r>
      <w:r w:rsidR="00E429EB">
        <w:rPr>
          <w:rFonts w:ascii="Century Gothic" w:eastAsia="Times New Roman" w:hAnsi="Century Gothic" w:cs="Times New Roman"/>
          <w:lang w:eastAsia="tr-TR"/>
        </w:rPr>
        <w:t xml:space="preserve"> işletmeler</w:t>
      </w:r>
      <w:r w:rsidRPr="00C0635E">
        <w:rPr>
          <w:rFonts w:ascii="Century Gothic" w:eastAsia="Times New Roman" w:hAnsi="Century Gothic" w:cs="Times New Roman"/>
          <w:lang w:eastAsia="tr-TR"/>
        </w:rPr>
        <w:t xml:space="preserve"> ve borsa kodları ise aşağıdaki tabloda verilmiştir.</w:t>
      </w:r>
    </w:p>
    <w:p w:rsidR="00492444" w:rsidRDefault="00492444" w:rsidP="00C0635E">
      <w:pPr>
        <w:spacing w:before="120" w:after="120"/>
        <w:ind w:firstLine="743"/>
        <w:jc w:val="both"/>
        <w:rPr>
          <w:rFonts w:ascii="Century Gothic" w:eastAsia="Times New Roman" w:hAnsi="Century Gothic" w:cs="Times New Roman"/>
          <w:lang w:eastAsia="tr-TR"/>
        </w:rPr>
      </w:pPr>
    </w:p>
    <w:p w:rsidR="00CE22E5" w:rsidRPr="00CE22E5" w:rsidRDefault="00CE22E5" w:rsidP="00CE22E5">
      <w:pPr>
        <w:pStyle w:val="ListeParagraf"/>
        <w:numPr>
          <w:ilvl w:val="0"/>
          <w:numId w:val="10"/>
        </w:numPr>
        <w:rPr>
          <w:rFonts w:ascii="Century Gothic" w:hAnsi="Century Gothic"/>
        </w:rPr>
      </w:pPr>
      <w:r w:rsidRPr="00CE22E5">
        <w:rPr>
          <w:rFonts w:ascii="Century Gothic" w:hAnsi="Century Gothic"/>
          <w:b/>
        </w:rPr>
        <w:t>Sonuç ve Öneriler</w:t>
      </w:r>
    </w:p>
    <w:p w:rsidR="00A307B9" w:rsidRPr="00A307B9" w:rsidRDefault="00A307B9" w:rsidP="00A307B9">
      <w:pPr>
        <w:ind w:firstLine="601"/>
        <w:jc w:val="both"/>
        <w:rPr>
          <w:rFonts w:ascii="Century Gothic" w:hAnsi="Century Gothic"/>
        </w:rPr>
      </w:pPr>
      <w:r w:rsidRPr="00A307B9">
        <w:rPr>
          <w:rFonts w:ascii="Century Gothic" w:hAnsi="Century Gothic"/>
        </w:rPr>
        <w:t>Türkiye’de ana metal sanayi</w:t>
      </w:r>
      <w:r w:rsidR="00C63F27">
        <w:rPr>
          <w:rFonts w:ascii="Century Gothic" w:hAnsi="Century Gothic"/>
        </w:rPr>
        <w:t>,</w:t>
      </w:r>
      <w:r w:rsidRPr="00A307B9">
        <w:rPr>
          <w:rFonts w:ascii="Century Gothic" w:hAnsi="Century Gothic"/>
        </w:rPr>
        <w:t xml:space="preserve"> imalat sanayi üretim</w:t>
      </w:r>
      <w:r w:rsidR="00C63F27">
        <w:rPr>
          <w:rFonts w:ascii="Century Gothic" w:hAnsi="Century Gothic"/>
        </w:rPr>
        <w:t>inin</w:t>
      </w:r>
      <w:r w:rsidRPr="00A307B9">
        <w:rPr>
          <w:rFonts w:ascii="Century Gothic" w:hAnsi="Century Gothic"/>
        </w:rPr>
        <w:t xml:space="preserve"> ve ihracatının ikinci büyük sektörüdür. 2016 tarihinden itibaren sektörün ihracatında gözlenen yüksek performans, sektörde en büyük paya sahip demir-çelik ürünlerinden kaynaklanmaktadır. Çin’in 2016 sonrası üretim kısıtlamasından dolayı dış pazarlardaki ağırlığı azalmış ve ana metal sektörünün ana kullanıcısı olan inşaat ve altyapı faaliyetleri ile otomotiv ve beyaz eşya sektörlerindeki iç talep te daralmıştır.</w:t>
      </w:r>
    </w:p>
    <w:p w:rsidR="00A307B9" w:rsidRPr="00A307B9" w:rsidRDefault="00A307B9" w:rsidP="00A307B9">
      <w:pPr>
        <w:ind w:firstLine="601"/>
        <w:jc w:val="both"/>
        <w:rPr>
          <w:rFonts w:ascii="Century Gothic" w:hAnsi="Century Gothic"/>
        </w:rPr>
      </w:pPr>
      <w:r w:rsidRPr="00A307B9">
        <w:rPr>
          <w:rFonts w:ascii="Century Gothic" w:hAnsi="Century Gothic"/>
        </w:rPr>
        <w:t xml:space="preserve">Bir şirketin kâr, maliyet, üretim, işçilik gibi önemli fonksiyon ve </w:t>
      </w:r>
      <w:proofErr w:type="gramStart"/>
      <w:r w:rsidRPr="00A307B9">
        <w:rPr>
          <w:rFonts w:ascii="Century Gothic" w:hAnsi="Century Gothic"/>
        </w:rPr>
        <w:t>enstrümanlarını</w:t>
      </w:r>
      <w:proofErr w:type="gramEnd"/>
      <w:r w:rsidRPr="00A307B9">
        <w:rPr>
          <w:rFonts w:ascii="Century Gothic" w:hAnsi="Century Gothic"/>
        </w:rPr>
        <w:t xml:space="preserve"> başarıyla kullanıp kullanmadığı performansın ölçülmesi ve analizi ile anlaşılır. Ayrıca performans ölçümü, şirketlerin ürün ve hizmet kalitelerini artırmaları ve rekabette ayakta kalabilmeleri için </w:t>
      </w:r>
      <w:r w:rsidR="00C63F27">
        <w:rPr>
          <w:rFonts w:ascii="Century Gothic" w:hAnsi="Century Gothic"/>
        </w:rPr>
        <w:t xml:space="preserve">de </w:t>
      </w:r>
      <w:r w:rsidRPr="00A307B9">
        <w:rPr>
          <w:rFonts w:ascii="Century Gothic" w:hAnsi="Century Gothic"/>
        </w:rPr>
        <w:t>çok önemlidir. Bu nedenle, performansın düzenli aralıklar</w:t>
      </w:r>
      <w:r w:rsidR="00C63F27">
        <w:rPr>
          <w:rFonts w:ascii="Century Gothic" w:hAnsi="Century Gothic"/>
        </w:rPr>
        <w:t>la değerlendirilmesi gerekmektedir.</w:t>
      </w:r>
      <w:r w:rsidRPr="00A307B9">
        <w:rPr>
          <w:rFonts w:ascii="Century Gothic" w:hAnsi="Century Gothic"/>
        </w:rPr>
        <w:t xml:space="preserve"> Ancak birbiriyle ilişkili pek çok değişkeni içinde barındıran ve bu ilişkilerin bulundukları sektörler gibi faktörlere bağlı olarak değişkenlik gösterdiği karmaşık organizasyonlarda, </w:t>
      </w:r>
      <w:r w:rsidR="00C63F27">
        <w:rPr>
          <w:rFonts w:ascii="Century Gothic" w:hAnsi="Century Gothic"/>
        </w:rPr>
        <w:t>şirketin finansal</w:t>
      </w:r>
      <w:r w:rsidRPr="00A307B9">
        <w:rPr>
          <w:rFonts w:ascii="Century Gothic" w:hAnsi="Century Gothic"/>
        </w:rPr>
        <w:t xml:space="preserve"> performansını sadece karar vericinin deneyimi ve uzmanlığı üzerinden değerlendirmek </w:t>
      </w:r>
      <w:r w:rsidR="004D4B23">
        <w:rPr>
          <w:rFonts w:ascii="Century Gothic" w:hAnsi="Century Gothic"/>
        </w:rPr>
        <w:t xml:space="preserve">de </w:t>
      </w:r>
      <w:r w:rsidRPr="00A307B9">
        <w:rPr>
          <w:rFonts w:ascii="Century Gothic" w:hAnsi="Century Gothic"/>
        </w:rPr>
        <w:t>doğru değildir.</w:t>
      </w:r>
    </w:p>
    <w:p w:rsidR="00A307B9" w:rsidRPr="00A307B9" w:rsidRDefault="00A307B9" w:rsidP="00A307B9">
      <w:pPr>
        <w:ind w:firstLine="601"/>
        <w:jc w:val="both"/>
        <w:rPr>
          <w:rFonts w:ascii="Century Gothic" w:hAnsi="Century Gothic"/>
        </w:rPr>
      </w:pPr>
      <w:r w:rsidRPr="00A307B9">
        <w:rPr>
          <w:rFonts w:ascii="Century Gothic" w:hAnsi="Century Gothic"/>
        </w:rPr>
        <w:t xml:space="preserve">Bu nedenle, farklı amaçları olan ve hatta birbiriyle çatışan birçok alternatif arasından en uygun olanın seçilmesini mümkün kılacak önlemlere ihtiyaç duyulmaktadır. Çalışmada </w:t>
      </w:r>
      <w:r w:rsidRPr="00A307B9">
        <w:rPr>
          <w:rFonts w:ascii="Century Gothic" w:hAnsi="Century Gothic"/>
          <w:bCs/>
        </w:rPr>
        <w:t xml:space="preserve">BIST Metal Ana Endeksinde işlem gören </w:t>
      </w:r>
      <w:r w:rsidR="00E429EB" w:rsidRPr="00E429EB">
        <w:rPr>
          <w:rFonts w:ascii="Century Gothic" w:hAnsi="Century Gothic"/>
          <w:bCs/>
        </w:rPr>
        <w:t>işletmelerin</w:t>
      </w:r>
      <w:r w:rsidRPr="00A307B9">
        <w:rPr>
          <w:rFonts w:ascii="Century Gothic" w:hAnsi="Century Gothic"/>
          <w:bCs/>
        </w:rPr>
        <w:t xml:space="preserve"> finansal performans sıralamalarının belirlenmesi amaçlanmıştır. Bu amaçla söz konusu </w:t>
      </w:r>
      <w:r w:rsidR="00E429EB" w:rsidRPr="00E429EB">
        <w:rPr>
          <w:rFonts w:ascii="Century Gothic" w:hAnsi="Century Gothic"/>
          <w:bCs/>
        </w:rPr>
        <w:t xml:space="preserve">işletmelerin </w:t>
      </w:r>
      <w:r w:rsidR="00E429EB">
        <w:rPr>
          <w:rFonts w:ascii="Century Gothic" w:hAnsi="Century Gothic"/>
          <w:bCs/>
        </w:rPr>
        <w:t>f</w:t>
      </w:r>
      <w:r w:rsidRPr="00A307B9">
        <w:rPr>
          <w:rFonts w:ascii="Century Gothic" w:hAnsi="Century Gothic"/>
          <w:bCs/>
        </w:rPr>
        <w:t xml:space="preserve">inansal performans göstergesi olarak seçilen 4 ana 12 alt </w:t>
      </w:r>
      <w:r w:rsidR="00C63F27">
        <w:rPr>
          <w:rFonts w:ascii="Century Gothic" w:hAnsi="Century Gothic"/>
          <w:bCs/>
        </w:rPr>
        <w:t>finansal oran</w:t>
      </w:r>
      <w:r w:rsidRPr="00A307B9">
        <w:rPr>
          <w:rFonts w:ascii="Century Gothic" w:hAnsi="Century Gothic"/>
          <w:bCs/>
        </w:rPr>
        <w:t xml:space="preserve">, </w:t>
      </w:r>
      <w:r w:rsidRPr="00A307B9">
        <w:rPr>
          <w:rFonts w:ascii="Century Gothic" w:hAnsi="Century Gothic"/>
          <w:bCs/>
        </w:rPr>
        <w:lastRenderedPageBreak/>
        <w:t xml:space="preserve">2017-2021 dönemi için yıllık olarak hesaplanmış ve kurumların performansları her yıl için sıralanmıştır. </w:t>
      </w:r>
    </w:p>
    <w:p w:rsidR="005B311D" w:rsidRPr="0092799E" w:rsidRDefault="00A307B9" w:rsidP="00A307B9">
      <w:pPr>
        <w:ind w:firstLine="601"/>
        <w:jc w:val="both"/>
        <w:rPr>
          <w:rFonts w:ascii="Century Gothic" w:hAnsi="Century Gothic"/>
        </w:rPr>
      </w:pPr>
      <w:r w:rsidRPr="00A307B9">
        <w:rPr>
          <w:rFonts w:ascii="Century Gothic" w:hAnsi="Century Gothic"/>
        </w:rPr>
        <w:t xml:space="preserve">TOPSIS yöntemi kullanılarak elde edilen işletmelerin sıralamasına bakıldığında, çalışmaya </w:t>
      </w:r>
      <w:proofErr w:type="gramStart"/>
      <w:r w:rsidRPr="00A307B9">
        <w:rPr>
          <w:rFonts w:ascii="Century Gothic" w:hAnsi="Century Gothic"/>
        </w:rPr>
        <w:t>dahil</w:t>
      </w:r>
      <w:proofErr w:type="gramEnd"/>
      <w:r w:rsidRPr="00A307B9">
        <w:rPr>
          <w:rFonts w:ascii="Century Gothic" w:hAnsi="Century Gothic"/>
        </w:rPr>
        <w:t xml:space="preserve"> edilen her yıl için performans bakımından birinci sırada yer </w:t>
      </w:r>
      <w:r w:rsidR="00C63F27">
        <w:rPr>
          <w:rFonts w:ascii="Century Gothic" w:hAnsi="Century Gothic"/>
        </w:rPr>
        <w:t xml:space="preserve">alan </w:t>
      </w:r>
      <w:r w:rsidR="00E429EB">
        <w:rPr>
          <w:rFonts w:ascii="Century Gothic" w:hAnsi="Century Gothic"/>
        </w:rPr>
        <w:t>işletmelerin</w:t>
      </w:r>
      <w:r w:rsidRPr="00A307B9">
        <w:rPr>
          <w:rFonts w:ascii="Century Gothic" w:hAnsi="Century Gothic"/>
        </w:rPr>
        <w:t xml:space="preserve"> değişkenlik gösterdiği görülmektedir. 2017 ve 2018 yıllarında birinci sırada olan </w:t>
      </w:r>
      <w:r w:rsidR="004A46C9">
        <w:rPr>
          <w:rFonts w:ascii="Century Gothic" w:hAnsi="Century Gothic"/>
        </w:rPr>
        <w:t xml:space="preserve">işletme </w:t>
      </w:r>
      <w:r w:rsidRPr="00A307B9">
        <w:rPr>
          <w:rFonts w:ascii="Century Gothic" w:hAnsi="Century Gothic"/>
        </w:rPr>
        <w:t xml:space="preserve">EREGL iken 2019-2020 yıllarında CEMTS, 2021 yılında ise CEMAS </w:t>
      </w:r>
      <w:r w:rsidR="00E429EB">
        <w:rPr>
          <w:rFonts w:ascii="Century Gothic" w:hAnsi="Century Gothic"/>
        </w:rPr>
        <w:t xml:space="preserve">şirketi </w:t>
      </w:r>
      <w:r w:rsidRPr="00A307B9">
        <w:rPr>
          <w:rFonts w:ascii="Century Gothic" w:hAnsi="Century Gothic"/>
        </w:rPr>
        <w:t>olmuştur. Analizin veri setinde yer alan CEMAS şirketine ait verile bakıldığında 2017-2018-2019 yıllarında performans olarak son sıralarda iken 2020-2021 yıllarında üst sıralara yükselmiştir. Son yıldaki performans artışı, 2021 yılına göre Likidite Oranı ve Nakit Oranı değişkenlerindeki oransal artışlardan kaynaklanmıştır. Şirketin Likidite Oranlarındaki performans puanındaki bu artış, şirketin sıralama</w:t>
      </w:r>
      <w:r w:rsidR="00C63F27">
        <w:rPr>
          <w:rFonts w:ascii="Century Gothic" w:hAnsi="Century Gothic"/>
        </w:rPr>
        <w:t xml:space="preserve">sının </w:t>
      </w:r>
      <w:r w:rsidRPr="00A307B9">
        <w:rPr>
          <w:rFonts w:ascii="Century Gothic" w:hAnsi="Century Gothic"/>
        </w:rPr>
        <w:t xml:space="preserve">tırmanmasına neden olmuştur. Son olarak IZMDC </w:t>
      </w:r>
      <w:r w:rsidR="00E429EB">
        <w:rPr>
          <w:rFonts w:ascii="Century Gothic" w:hAnsi="Century Gothic"/>
        </w:rPr>
        <w:t>şirketinin</w:t>
      </w:r>
      <w:r w:rsidR="00C63F27">
        <w:rPr>
          <w:rFonts w:ascii="Century Gothic" w:hAnsi="Century Gothic"/>
        </w:rPr>
        <w:t xml:space="preserve"> </w:t>
      </w:r>
      <w:r w:rsidRPr="00A307B9">
        <w:rPr>
          <w:rFonts w:ascii="Century Gothic" w:hAnsi="Century Gothic"/>
        </w:rPr>
        <w:t xml:space="preserve">verileri, bu işletmenin 2018-2019-2020-2021 dönemleri için genel olarak son sırada yer aldığını göstermektedir. Bu çalışmada finansal oranlar kullanılarak </w:t>
      </w:r>
      <w:proofErr w:type="spellStart"/>
      <w:r w:rsidRPr="00A307B9">
        <w:rPr>
          <w:rFonts w:ascii="Century Gothic" w:hAnsi="Century Gothic"/>
        </w:rPr>
        <w:t>BİST’te</w:t>
      </w:r>
      <w:proofErr w:type="spellEnd"/>
      <w:r w:rsidRPr="00A307B9">
        <w:rPr>
          <w:rFonts w:ascii="Century Gothic" w:hAnsi="Century Gothic"/>
        </w:rPr>
        <w:t xml:space="preserve"> işlem gören ana metal sanayi </w:t>
      </w:r>
      <w:r w:rsidR="00E429EB">
        <w:rPr>
          <w:rFonts w:ascii="Century Gothic" w:hAnsi="Century Gothic"/>
        </w:rPr>
        <w:t>işletmelerinin</w:t>
      </w:r>
      <w:r w:rsidRPr="00A307B9">
        <w:rPr>
          <w:rFonts w:ascii="Century Gothic" w:hAnsi="Century Gothic"/>
        </w:rPr>
        <w:t xml:space="preserve"> performansı incelenmiş ve özellikle likidite ve finansal yapı oranlarındaki dalgalanmanın </w:t>
      </w:r>
      <w:r w:rsidR="00C63F27">
        <w:rPr>
          <w:rFonts w:ascii="Century Gothic" w:hAnsi="Century Gothic"/>
        </w:rPr>
        <w:t>şirketlerin finansal performans</w:t>
      </w:r>
      <w:r w:rsidRPr="00A307B9">
        <w:rPr>
          <w:rFonts w:ascii="Century Gothic" w:hAnsi="Century Gothic"/>
        </w:rPr>
        <w:t xml:space="preserve">ı üzerinde etkisi olduğu tespit edilmiştir. TOPSIS </w:t>
      </w:r>
      <w:r w:rsidR="00C63F27">
        <w:rPr>
          <w:rFonts w:ascii="Century Gothic" w:hAnsi="Century Gothic"/>
        </w:rPr>
        <w:t xml:space="preserve">yöntemi </w:t>
      </w:r>
      <w:r w:rsidRPr="00A307B9">
        <w:rPr>
          <w:rFonts w:ascii="Century Gothic" w:hAnsi="Century Gothic"/>
        </w:rPr>
        <w:t xml:space="preserve">kullanılarak ana metal sanayi </w:t>
      </w:r>
      <w:r w:rsidR="00E429EB">
        <w:rPr>
          <w:rFonts w:ascii="Century Gothic" w:hAnsi="Century Gothic"/>
        </w:rPr>
        <w:t>işletmelerinin</w:t>
      </w:r>
      <w:r w:rsidRPr="00A307B9">
        <w:rPr>
          <w:rFonts w:ascii="Century Gothic" w:hAnsi="Century Gothic"/>
        </w:rPr>
        <w:t xml:space="preserve"> finansal performansını değerlendiren bu çalışma</w:t>
      </w:r>
      <w:r w:rsidR="00E429EB">
        <w:rPr>
          <w:rFonts w:ascii="Century Gothic" w:hAnsi="Century Gothic"/>
        </w:rPr>
        <w:t xml:space="preserve"> gerek araştırmacılara gerekse sektör uygulayıcılarına</w:t>
      </w:r>
      <w:r w:rsidRPr="00A307B9">
        <w:rPr>
          <w:rFonts w:ascii="Century Gothic" w:hAnsi="Century Gothic"/>
        </w:rPr>
        <w:t xml:space="preserve"> yol gösterici niteliktedir. </w:t>
      </w:r>
      <w:proofErr w:type="spellStart"/>
      <w:r w:rsidRPr="00A307B9">
        <w:rPr>
          <w:rFonts w:ascii="Century Gothic" w:hAnsi="Century Gothic"/>
        </w:rPr>
        <w:t>BIST'te</w:t>
      </w:r>
      <w:proofErr w:type="spellEnd"/>
      <w:r w:rsidRPr="00A307B9">
        <w:rPr>
          <w:rFonts w:ascii="Century Gothic" w:hAnsi="Century Gothic"/>
        </w:rPr>
        <w:t xml:space="preserve"> işlem gören ana metal sanayi </w:t>
      </w:r>
      <w:r w:rsidR="00E429EB" w:rsidRPr="00E429EB">
        <w:rPr>
          <w:rFonts w:ascii="Century Gothic" w:hAnsi="Century Gothic"/>
          <w:bCs/>
        </w:rPr>
        <w:t>işletmelerin</w:t>
      </w:r>
      <w:r w:rsidR="00E429EB">
        <w:rPr>
          <w:rFonts w:ascii="Century Gothic" w:hAnsi="Century Gothic"/>
          <w:bCs/>
        </w:rPr>
        <w:t>in</w:t>
      </w:r>
      <w:r w:rsidRPr="00A307B9">
        <w:rPr>
          <w:rFonts w:ascii="Century Gothic" w:hAnsi="Century Gothic"/>
        </w:rPr>
        <w:t xml:space="preserve"> performanslarının ölçülmesine ilişkin farklı ağırlık ve sıralama yaklaşımlarının </w:t>
      </w:r>
      <w:proofErr w:type="gramStart"/>
      <w:r w:rsidRPr="00A307B9">
        <w:rPr>
          <w:rFonts w:ascii="Century Gothic" w:hAnsi="Century Gothic"/>
        </w:rPr>
        <w:t>entegre</w:t>
      </w:r>
      <w:proofErr w:type="gramEnd"/>
      <w:r w:rsidRPr="00A307B9">
        <w:rPr>
          <w:rFonts w:ascii="Century Gothic" w:hAnsi="Century Gothic"/>
        </w:rPr>
        <w:t xml:space="preserve"> edilmesi daha ileri araştırmalar için önerilmektedir. Ayrıca, bu yöntem i</w:t>
      </w:r>
      <w:r w:rsidR="004D4B23">
        <w:rPr>
          <w:rFonts w:ascii="Century Gothic" w:hAnsi="Century Gothic"/>
        </w:rPr>
        <w:t xml:space="preserve">le diğer sektörlerdeki </w:t>
      </w:r>
      <w:r w:rsidR="00E429EB">
        <w:rPr>
          <w:rFonts w:ascii="Century Gothic" w:hAnsi="Century Gothic"/>
        </w:rPr>
        <w:t>işletmeler</w:t>
      </w:r>
      <w:r w:rsidRPr="00A307B9">
        <w:rPr>
          <w:rFonts w:ascii="Century Gothic" w:hAnsi="Century Gothic"/>
        </w:rPr>
        <w:t xml:space="preserve"> finansal performanslarına göre sıralanabilir ve farklı yıllara göre karşılaştırma yapılabilir.</w:t>
      </w:r>
    </w:p>
    <w:p w:rsidR="008C5CC1" w:rsidRDefault="008C5CC1" w:rsidP="00134797">
      <w:pPr>
        <w:spacing w:before="120" w:after="0"/>
        <w:jc w:val="both"/>
        <w:rPr>
          <w:rFonts w:ascii="Century Gothic" w:hAnsi="Century Gothic"/>
          <w:b/>
          <w:szCs w:val="24"/>
        </w:rPr>
      </w:pPr>
    </w:p>
    <w:p w:rsidR="00134797" w:rsidRDefault="00134797" w:rsidP="00134797">
      <w:pPr>
        <w:spacing w:before="120" w:after="0"/>
        <w:jc w:val="both"/>
        <w:rPr>
          <w:rFonts w:ascii="Century Gothic" w:hAnsi="Century Gothic" w:cs="Times New Roman"/>
          <w:b/>
          <w:bCs/>
        </w:rPr>
      </w:pPr>
      <w:r>
        <w:rPr>
          <w:rFonts w:ascii="Century Gothic" w:hAnsi="Century Gothic" w:cs="Times New Roman"/>
          <w:b/>
          <w:bCs/>
        </w:rPr>
        <w:t>____________________________________________________________________________</w:t>
      </w:r>
    </w:p>
    <w:p w:rsidR="00134797" w:rsidRDefault="00134797" w:rsidP="00134797">
      <w:pPr>
        <w:spacing w:before="120" w:after="0"/>
        <w:jc w:val="both"/>
        <w:rPr>
          <w:rFonts w:ascii="Century Gothic" w:hAnsi="Century Gothic" w:cs="Times New Roman"/>
          <w:b/>
          <w:bCs/>
        </w:rPr>
      </w:pPr>
      <w:r>
        <w:rPr>
          <w:rFonts w:ascii="Century Gothic" w:hAnsi="Century Gothic" w:cs="Times New Roman"/>
          <w:b/>
          <w:bCs/>
        </w:rPr>
        <w:t xml:space="preserve">Araştırma ve Yayın Etiği Beyanı </w:t>
      </w:r>
    </w:p>
    <w:p w:rsidR="00134797" w:rsidRDefault="00134797" w:rsidP="00134797">
      <w:pPr>
        <w:spacing w:before="120" w:after="120"/>
        <w:jc w:val="both"/>
        <w:rPr>
          <w:rFonts w:ascii="Century Gothic" w:eastAsia="Times New Roman" w:hAnsi="Century Gothic" w:cs="Times New Roman"/>
          <w:lang w:eastAsia="tr-TR"/>
        </w:rPr>
      </w:pPr>
      <w:r>
        <w:rPr>
          <w:rFonts w:ascii="Century Gothic" w:eastAsia="Times New Roman" w:hAnsi="Century Gothic" w:cs="Times New Roman"/>
          <w:lang w:eastAsia="tr-TR"/>
        </w:rPr>
        <w:t xml:space="preserve">Bu çalışmanın tüm hazırlanma süreçlerinde etik kurallara uyulduğunu yazarlar beyan eder. Aksi bir durumun tespiti halinde Ticari Bilimler Fakültesi Dergisinin hiçbir sorumluluğu olmayıp, tüm sorumluluk çalışmanın yazarlarına aittir. Bu çalışma etik kurul izni gerektirmemektedir. </w:t>
      </w:r>
    </w:p>
    <w:p w:rsidR="00134797" w:rsidRDefault="00134797" w:rsidP="00134797">
      <w:pPr>
        <w:spacing w:before="120" w:after="120"/>
        <w:jc w:val="both"/>
        <w:rPr>
          <w:rFonts w:ascii="Century Gothic" w:eastAsia="Times New Roman" w:hAnsi="Century Gothic" w:cs="Times New Roman"/>
          <w:b/>
          <w:lang w:eastAsia="tr-TR"/>
        </w:rPr>
      </w:pPr>
      <w:r>
        <w:rPr>
          <w:rFonts w:ascii="Century Gothic" w:eastAsia="Times New Roman" w:hAnsi="Century Gothic" w:cs="Times New Roman"/>
          <w:b/>
          <w:lang w:eastAsia="tr-TR"/>
        </w:rPr>
        <w:t xml:space="preserve">Research and </w:t>
      </w:r>
      <w:proofErr w:type="spellStart"/>
      <w:r>
        <w:rPr>
          <w:rFonts w:ascii="Century Gothic" w:eastAsia="Times New Roman" w:hAnsi="Century Gothic" w:cs="Times New Roman"/>
          <w:b/>
          <w:lang w:eastAsia="tr-TR"/>
        </w:rPr>
        <w:t>Publication</w:t>
      </w:r>
      <w:proofErr w:type="spellEnd"/>
      <w:r>
        <w:rPr>
          <w:rFonts w:ascii="Century Gothic" w:eastAsia="Times New Roman" w:hAnsi="Century Gothic" w:cs="Times New Roman"/>
          <w:b/>
          <w:lang w:eastAsia="tr-TR"/>
        </w:rPr>
        <w:t xml:space="preserve"> </w:t>
      </w:r>
      <w:proofErr w:type="spellStart"/>
      <w:r>
        <w:rPr>
          <w:rFonts w:ascii="Century Gothic" w:eastAsia="Times New Roman" w:hAnsi="Century Gothic" w:cs="Times New Roman"/>
          <w:b/>
          <w:lang w:eastAsia="tr-TR"/>
        </w:rPr>
        <w:t>Ethics</w:t>
      </w:r>
      <w:proofErr w:type="spellEnd"/>
      <w:r>
        <w:rPr>
          <w:rFonts w:ascii="Century Gothic" w:eastAsia="Times New Roman" w:hAnsi="Century Gothic" w:cs="Times New Roman"/>
          <w:b/>
          <w:lang w:eastAsia="tr-TR"/>
        </w:rPr>
        <w:t xml:space="preserve"> Statement </w:t>
      </w:r>
    </w:p>
    <w:p w:rsidR="00134797" w:rsidRDefault="00134797" w:rsidP="00134797">
      <w:pPr>
        <w:spacing w:before="120" w:after="120"/>
        <w:jc w:val="both"/>
        <w:rPr>
          <w:rFonts w:ascii="Century Gothic" w:eastAsia="Times New Roman" w:hAnsi="Century Gothic" w:cs="Times New Roman"/>
          <w:lang w:eastAsia="tr-TR"/>
        </w:rPr>
      </w:pPr>
      <w:r>
        <w:rPr>
          <w:rFonts w:ascii="Century Gothic" w:eastAsia="Times New Roman" w:hAnsi="Century Gothic" w:cs="Times New Roman"/>
          <w:lang w:eastAsia="tr-TR"/>
        </w:rPr>
        <w:t xml:space="preserve">The </w:t>
      </w:r>
      <w:proofErr w:type="spellStart"/>
      <w:r>
        <w:rPr>
          <w:rFonts w:ascii="Century Gothic" w:eastAsia="Times New Roman" w:hAnsi="Century Gothic" w:cs="Times New Roman"/>
          <w:lang w:eastAsia="tr-TR"/>
        </w:rPr>
        <w:t>authors</w:t>
      </w:r>
      <w:proofErr w:type="spellEnd"/>
      <w:r>
        <w:rPr>
          <w:rFonts w:ascii="Century Gothic" w:eastAsia="Times New Roman" w:hAnsi="Century Gothic" w:cs="Times New Roman"/>
          <w:lang w:eastAsia="tr-TR"/>
        </w:rPr>
        <w:t xml:space="preserve"> </w:t>
      </w:r>
      <w:proofErr w:type="spellStart"/>
      <w:r>
        <w:rPr>
          <w:rFonts w:ascii="Century Gothic" w:eastAsia="Times New Roman" w:hAnsi="Century Gothic" w:cs="Times New Roman"/>
          <w:lang w:eastAsia="tr-TR"/>
        </w:rPr>
        <w:t>declare</w:t>
      </w:r>
      <w:proofErr w:type="spellEnd"/>
      <w:r>
        <w:rPr>
          <w:rFonts w:ascii="Century Gothic" w:eastAsia="Times New Roman" w:hAnsi="Century Gothic" w:cs="Times New Roman"/>
          <w:lang w:eastAsia="tr-TR"/>
        </w:rPr>
        <w:t xml:space="preserve"> </w:t>
      </w:r>
      <w:proofErr w:type="spellStart"/>
      <w:r>
        <w:rPr>
          <w:rFonts w:ascii="Century Gothic" w:eastAsia="Times New Roman" w:hAnsi="Century Gothic" w:cs="Times New Roman"/>
          <w:lang w:eastAsia="tr-TR"/>
        </w:rPr>
        <w:t>that</w:t>
      </w:r>
      <w:proofErr w:type="spellEnd"/>
      <w:r>
        <w:rPr>
          <w:rFonts w:ascii="Century Gothic" w:eastAsia="Times New Roman" w:hAnsi="Century Gothic" w:cs="Times New Roman"/>
          <w:lang w:eastAsia="tr-TR"/>
        </w:rPr>
        <w:t xml:space="preserve"> </w:t>
      </w:r>
      <w:proofErr w:type="spellStart"/>
      <w:r>
        <w:rPr>
          <w:rFonts w:ascii="Century Gothic" w:eastAsia="Times New Roman" w:hAnsi="Century Gothic" w:cs="Times New Roman"/>
          <w:lang w:eastAsia="tr-TR"/>
        </w:rPr>
        <w:t>ethical</w:t>
      </w:r>
      <w:proofErr w:type="spellEnd"/>
      <w:r>
        <w:rPr>
          <w:rFonts w:ascii="Century Gothic" w:eastAsia="Times New Roman" w:hAnsi="Century Gothic" w:cs="Times New Roman"/>
          <w:lang w:eastAsia="tr-TR"/>
        </w:rPr>
        <w:t xml:space="preserve"> </w:t>
      </w:r>
      <w:proofErr w:type="spellStart"/>
      <w:r>
        <w:rPr>
          <w:rFonts w:ascii="Century Gothic" w:eastAsia="Times New Roman" w:hAnsi="Century Gothic" w:cs="Times New Roman"/>
          <w:lang w:eastAsia="tr-TR"/>
        </w:rPr>
        <w:t>rules</w:t>
      </w:r>
      <w:proofErr w:type="spellEnd"/>
      <w:r>
        <w:rPr>
          <w:rFonts w:ascii="Century Gothic" w:eastAsia="Times New Roman" w:hAnsi="Century Gothic" w:cs="Times New Roman"/>
          <w:lang w:eastAsia="tr-TR"/>
        </w:rPr>
        <w:t xml:space="preserve"> </w:t>
      </w:r>
      <w:proofErr w:type="spellStart"/>
      <w:r>
        <w:rPr>
          <w:rFonts w:ascii="Century Gothic" w:eastAsia="Times New Roman" w:hAnsi="Century Gothic" w:cs="Times New Roman"/>
          <w:lang w:eastAsia="tr-TR"/>
        </w:rPr>
        <w:t>are</w:t>
      </w:r>
      <w:proofErr w:type="spellEnd"/>
      <w:r>
        <w:rPr>
          <w:rFonts w:ascii="Century Gothic" w:eastAsia="Times New Roman" w:hAnsi="Century Gothic" w:cs="Times New Roman"/>
          <w:lang w:eastAsia="tr-TR"/>
        </w:rPr>
        <w:t xml:space="preserve"> </w:t>
      </w:r>
      <w:proofErr w:type="spellStart"/>
      <w:r>
        <w:rPr>
          <w:rFonts w:ascii="Century Gothic" w:eastAsia="Times New Roman" w:hAnsi="Century Gothic" w:cs="Times New Roman"/>
          <w:lang w:eastAsia="tr-TR"/>
        </w:rPr>
        <w:t>followed</w:t>
      </w:r>
      <w:proofErr w:type="spellEnd"/>
      <w:r>
        <w:rPr>
          <w:rFonts w:ascii="Century Gothic" w:eastAsia="Times New Roman" w:hAnsi="Century Gothic" w:cs="Times New Roman"/>
          <w:lang w:eastAsia="tr-TR"/>
        </w:rPr>
        <w:t xml:space="preserve"> in </w:t>
      </w:r>
      <w:proofErr w:type="spellStart"/>
      <w:r>
        <w:rPr>
          <w:rFonts w:ascii="Century Gothic" w:eastAsia="Times New Roman" w:hAnsi="Century Gothic" w:cs="Times New Roman"/>
          <w:lang w:eastAsia="tr-TR"/>
        </w:rPr>
        <w:t>all</w:t>
      </w:r>
      <w:proofErr w:type="spellEnd"/>
      <w:r>
        <w:rPr>
          <w:rFonts w:ascii="Century Gothic" w:eastAsia="Times New Roman" w:hAnsi="Century Gothic" w:cs="Times New Roman"/>
          <w:lang w:eastAsia="tr-TR"/>
        </w:rPr>
        <w:t xml:space="preserve"> </w:t>
      </w:r>
      <w:proofErr w:type="spellStart"/>
      <w:r>
        <w:rPr>
          <w:rFonts w:ascii="Century Gothic" w:eastAsia="Times New Roman" w:hAnsi="Century Gothic" w:cs="Times New Roman"/>
          <w:lang w:eastAsia="tr-TR"/>
        </w:rPr>
        <w:t>preparation</w:t>
      </w:r>
      <w:proofErr w:type="spellEnd"/>
      <w:r>
        <w:rPr>
          <w:rFonts w:ascii="Century Gothic" w:eastAsia="Times New Roman" w:hAnsi="Century Gothic" w:cs="Times New Roman"/>
          <w:lang w:eastAsia="tr-TR"/>
        </w:rPr>
        <w:t xml:space="preserve"> </w:t>
      </w:r>
      <w:proofErr w:type="spellStart"/>
      <w:r>
        <w:rPr>
          <w:rFonts w:ascii="Century Gothic" w:eastAsia="Times New Roman" w:hAnsi="Century Gothic" w:cs="Times New Roman"/>
          <w:lang w:eastAsia="tr-TR"/>
        </w:rPr>
        <w:t>processes</w:t>
      </w:r>
      <w:proofErr w:type="spellEnd"/>
      <w:r>
        <w:rPr>
          <w:rFonts w:ascii="Century Gothic" w:eastAsia="Times New Roman" w:hAnsi="Century Gothic" w:cs="Times New Roman"/>
          <w:lang w:eastAsia="tr-TR"/>
        </w:rPr>
        <w:t xml:space="preserve"> of </w:t>
      </w:r>
      <w:proofErr w:type="spellStart"/>
      <w:r>
        <w:rPr>
          <w:rFonts w:ascii="Century Gothic" w:eastAsia="Times New Roman" w:hAnsi="Century Gothic" w:cs="Times New Roman"/>
          <w:lang w:eastAsia="tr-TR"/>
        </w:rPr>
        <w:t>this</w:t>
      </w:r>
      <w:proofErr w:type="spellEnd"/>
      <w:r>
        <w:rPr>
          <w:rFonts w:ascii="Century Gothic" w:eastAsia="Times New Roman" w:hAnsi="Century Gothic" w:cs="Times New Roman"/>
          <w:lang w:eastAsia="tr-TR"/>
        </w:rPr>
        <w:t xml:space="preserve"> </w:t>
      </w:r>
      <w:proofErr w:type="spellStart"/>
      <w:r>
        <w:rPr>
          <w:rFonts w:ascii="Century Gothic" w:eastAsia="Times New Roman" w:hAnsi="Century Gothic" w:cs="Times New Roman"/>
          <w:lang w:eastAsia="tr-TR"/>
        </w:rPr>
        <w:t>study</w:t>
      </w:r>
      <w:proofErr w:type="spellEnd"/>
      <w:r>
        <w:rPr>
          <w:rFonts w:ascii="Century Gothic" w:eastAsia="Times New Roman" w:hAnsi="Century Gothic" w:cs="Times New Roman"/>
          <w:lang w:eastAsia="tr-TR"/>
        </w:rPr>
        <w:t xml:space="preserve">. </w:t>
      </w:r>
      <w:proofErr w:type="spellStart"/>
      <w:r>
        <w:rPr>
          <w:rFonts w:ascii="Century Gothic" w:eastAsia="Times New Roman" w:hAnsi="Century Gothic" w:cs="Times New Roman"/>
          <w:lang w:eastAsia="tr-TR"/>
        </w:rPr>
        <w:t>In</w:t>
      </w:r>
      <w:proofErr w:type="spellEnd"/>
      <w:r>
        <w:rPr>
          <w:rFonts w:ascii="Century Gothic" w:eastAsia="Times New Roman" w:hAnsi="Century Gothic" w:cs="Times New Roman"/>
          <w:lang w:eastAsia="tr-TR"/>
        </w:rPr>
        <w:t xml:space="preserve"> </w:t>
      </w:r>
      <w:proofErr w:type="spellStart"/>
      <w:r>
        <w:rPr>
          <w:rFonts w:ascii="Century Gothic" w:eastAsia="Times New Roman" w:hAnsi="Century Gothic" w:cs="Times New Roman"/>
          <w:lang w:eastAsia="tr-TR"/>
        </w:rPr>
        <w:t>case</w:t>
      </w:r>
      <w:proofErr w:type="spellEnd"/>
      <w:r>
        <w:rPr>
          <w:rFonts w:ascii="Century Gothic" w:eastAsia="Times New Roman" w:hAnsi="Century Gothic" w:cs="Times New Roman"/>
          <w:lang w:eastAsia="tr-TR"/>
        </w:rPr>
        <w:t xml:space="preserve"> of </w:t>
      </w:r>
      <w:proofErr w:type="spellStart"/>
      <w:r>
        <w:rPr>
          <w:rFonts w:ascii="Century Gothic" w:eastAsia="Times New Roman" w:hAnsi="Century Gothic" w:cs="Times New Roman"/>
          <w:lang w:eastAsia="tr-TR"/>
        </w:rPr>
        <w:t>detection</w:t>
      </w:r>
      <w:proofErr w:type="spellEnd"/>
      <w:r>
        <w:rPr>
          <w:rFonts w:ascii="Century Gothic" w:eastAsia="Times New Roman" w:hAnsi="Century Gothic" w:cs="Times New Roman"/>
          <w:lang w:eastAsia="tr-TR"/>
        </w:rPr>
        <w:t xml:space="preserve"> of a </w:t>
      </w:r>
      <w:proofErr w:type="spellStart"/>
      <w:r>
        <w:rPr>
          <w:rFonts w:ascii="Century Gothic" w:eastAsia="Times New Roman" w:hAnsi="Century Gothic" w:cs="Times New Roman"/>
          <w:lang w:eastAsia="tr-TR"/>
        </w:rPr>
        <w:t>contrary</w:t>
      </w:r>
      <w:proofErr w:type="spellEnd"/>
      <w:r>
        <w:rPr>
          <w:rFonts w:ascii="Century Gothic" w:eastAsia="Times New Roman" w:hAnsi="Century Gothic" w:cs="Times New Roman"/>
          <w:lang w:eastAsia="tr-TR"/>
        </w:rPr>
        <w:t xml:space="preserve"> </w:t>
      </w:r>
      <w:proofErr w:type="spellStart"/>
      <w:r>
        <w:rPr>
          <w:rFonts w:ascii="Century Gothic" w:eastAsia="Times New Roman" w:hAnsi="Century Gothic" w:cs="Times New Roman"/>
          <w:lang w:eastAsia="tr-TR"/>
        </w:rPr>
        <w:t>situation</w:t>
      </w:r>
      <w:proofErr w:type="spellEnd"/>
      <w:r>
        <w:rPr>
          <w:rFonts w:ascii="Century Gothic" w:eastAsia="Times New Roman" w:hAnsi="Century Gothic" w:cs="Times New Roman"/>
          <w:lang w:eastAsia="tr-TR"/>
        </w:rPr>
        <w:t xml:space="preserve">, Journal of Commercial </w:t>
      </w:r>
      <w:proofErr w:type="spellStart"/>
      <w:r>
        <w:rPr>
          <w:rFonts w:ascii="Century Gothic" w:eastAsia="Times New Roman" w:hAnsi="Century Gothic" w:cs="Times New Roman"/>
          <w:lang w:eastAsia="tr-TR"/>
        </w:rPr>
        <w:t>Sciences</w:t>
      </w:r>
      <w:proofErr w:type="spellEnd"/>
      <w:r>
        <w:rPr>
          <w:rFonts w:ascii="Century Gothic" w:eastAsia="Times New Roman" w:hAnsi="Century Gothic" w:cs="Times New Roman"/>
          <w:lang w:eastAsia="tr-TR"/>
        </w:rPr>
        <w:t xml:space="preserve"> has </w:t>
      </w:r>
      <w:proofErr w:type="spellStart"/>
      <w:r>
        <w:rPr>
          <w:rFonts w:ascii="Century Gothic" w:eastAsia="Times New Roman" w:hAnsi="Century Gothic" w:cs="Times New Roman"/>
          <w:lang w:eastAsia="tr-TR"/>
        </w:rPr>
        <w:t>no</w:t>
      </w:r>
      <w:proofErr w:type="spellEnd"/>
      <w:r>
        <w:rPr>
          <w:rFonts w:ascii="Century Gothic" w:eastAsia="Times New Roman" w:hAnsi="Century Gothic" w:cs="Times New Roman"/>
          <w:lang w:eastAsia="tr-TR"/>
        </w:rPr>
        <w:t xml:space="preserve"> </w:t>
      </w:r>
      <w:proofErr w:type="spellStart"/>
      <w:r>
        <w:rPr>
          <w:rFonts w:ascii="Century Gothic" w:eastAsia="Times New Roman" w:hAnsi="Century Gothic" w:cs="Times New Roman"/>
          <w:lang w:eastAsia="tr-TR"/>
        </w:rPr>
        <w:t>responsibility</w:t>
      </w:r>
      <w:proofErr w:type="spellEnd"/>
      <w:r>
        <w:rPr>
          <w:rFonts w:ascii="Century Gothic" w:eastAsia="Times New Roman" w:hAnsi="Century Gothic" w:cs="Times New Roman"/>
          <w:lang w:eastAsia="tr-TR"/>
        </w:rPr>
        <w:t xml:space="preserve"> and </w:t>
      </w:r>
      <w:proofErr w:type="spellStart"/>
      <w:r>
        <w:rPr>
          <w:rFonts w:ascii="Century Gothic" w:eastAsia="Times New Roman" w:hAnsi="Century Gothic" w:cs="Times New Roman"/>
          <w:lang w:eastAsia="tr-TR"/>
        </w:rPr>
        <w:t>all</w:t>
      </w:r>
      <w:proofErr w:type="spellEnd"/>
      <w:r>
        <w:rPr>
          <w:rFonts w:ascii="Century Gothic" w:eastAsia="Times New Roman" w:hAnsi="Century Gothic" w:cs="Times New Roman"/>
          <w:lang w:eastAsia="tr-TR"/>
        </w:rPr>
        <w:t xml:space="preserve"> </w:t>
      </w:r>
      <w:proofErr w:type="spellStart"/>
      <w:r>
        <w:rPr>
          <w:rFonts w:ascii="Century Gothic" w:eastAsia="Times New Roman" w:hAnsi="Century Gothic" w:cs="Times New Roman"/>
          <w:lang w:eastAsia="tr-TR"/>
        </w:rPr>
        <w:t>responsibility</w:t>
      </w:r>
      <w:proofErr w:type="spellEnd"/>
      <w:r>
        <w:rPr>
          <w:rFonts w:ascii="Century Gothic" w:eastAsia="Times New Roman" w:hAnsi="Century Gothic" w:cs="Times New Roman"/>
          <w:lang w:eastAsia="tr-TR"/>
        </w:rPr>
        <w:t xml:space="preserve"> </w:t>
      </w:r>
      <w:proofErr w:type="spellStart"/>
      <w:r>
        <w:rPr>
          <w:rFonts w:ascii="Century Gothic" w:eastAsia="Times New Roman" w:hAnsi="Century Gothic" w:cs="Times New Roman"/>
          <w:lang w:eastAsia="tr-TR"/>
        </w:rPr>
        <w:t>belongs</w:t>
      </w:r>
      <w:proofErr w:type="spellEnd"/>
      <w:r>
        <w:rPr>
          <w:rFonts w:ascii="Century Gothic" w:eastAsia="Times New Roman" w:hAnsi="Century Gothic" w:cs="Times New Roman"/>
          <w:lang w:eastAsia="tr-TR"/>
        </w:rPr>
        <w:t xml:space="preserve"> </w:t>
      </w:r>
      <w:proofErr w:type="spellStart"/>
      <w:r>
        <w:rPr>
          <w:rFonts w:ascii="Century Gothic" w:eastAsia="Times New Roman" w:hAnsi="Century Gothic" w:cs="Times New Roman"/>
          <w:lang w:eastAsia="tr-TR"/>
        </w:rPr>
        <w:t>to</w:t>
      </w:r>
      <w:proofErr w:type="spellEnd"/>
      <w:r>
        <w:rPr>
          <w:rFonts w:ascii="Century Gothic" w:eastAsia="Times New Roman" w:hAnsi="Century Gothic" w:cs="Times New Roman"/>
          <w:lang w:eastAsia="tr-TR"/>
        </w:rPr>
        <w:t xml:space="preserve"> </w:t>
      </w:r>
      <w:proofErr w:type="spellStart"/>
      <w:r>
        <w:rPr>
          <w:rFonts w:ascii="Century Gothic" w:eastAsia="Times New Roman" w:hAnsi="Century Gothic" w:cs="Times New Roman"/>
          <w:lang w:eastAsia="tr-TR"/>
        </w:rPr>
        <w:t>the</w:t>
      </w:r>
      <w:proofErr w:type="spellEnd"/>
      <w:r>
        <w:rPr>
          <w:rFonts w:ascii="Century Gothic" w:eastAsia="Times New Roman" w:hAnsi="Century Gothic" w:cs="Times New Roman"/>
          <w:lang w:eastAsia="tr-TR"/>
        </w:rPr>
        <w:t xml:space="preserve"> </w:t>
      </w:r>
      <w:proofErr w:type="spellStart"/>
      <w:r>
        <w:rPr>
          <w:rFonts w:ascii="Century Gothic" w:eastAsia="Times New Roman" w:hAnsi="Century Gothic" w:cs="Times New Roman"/>
          <w:lang w:eastAsia="tr-TR"/>
        </w:rPr>
        <w:t>authors</w:t>
      </w:r>
      <w:proofErr w:type="spellEnd"/>
      <w:r>
        <w:rPr>
          <w:rFonts w:ascii="Century Gothic" w:eastAsia="Times New Roman" w:hAnsi="Century Gothic" w:cs="Times New Roman"/>
          <w:lang w:eastAsia="tr-TR"/>
        </w:rPr>
        <w:t xml:space="preserve"> of </w:t>
      </w:r>
      <w:proofErr w:type="spellStart"/>
      <w:r>
        <w:rPr>
          <w:rFonts w:ascii="Century Gothic" w:eastAsia="Times New Roman" w:hAnsi="Century Gothic" w:cs="Times New Roman"/>
          <w:lang w:eastAsia="tr-TR"/>
        </w:rPr>
        <w:t>the</w:t>
      </w:r>
      <w:proofErr w:type="spellEnd"/>
      <w:r>
        <w:rPr>
          <w:rFonts w:ascii="Century Gothic" w:eastAsia="Times New Roman" w:hAnsi="Century Gothic" w:cs="Times New Roman"/>
          <w:lang w:eastAsia="tr-TR"/>
        </w:rPr>
        <w:t xml:space="preserve"> </w:t>
      </w:r>
      <w:proofErr w:type="spellStart"/>
      <w:r>
        <w:rPr>
          <w:rFonts w:ascii="Century Gothic" w:eastAsia="Times New Roman" w:hAnsi="Century Gothic" w:cs="Times New Roman"/>
          <w:lang w:eastAsia="tr-TR"/>
        </w:rPr>
        <w:t>study</w:t>
      </w:r>
      <w:proofErr w:type="spellEnd"/>
      <w:r>
        <w:rPr>
          <w:rFonts w:ascii="Century Gothic" w:eastAsia="Times New Roman" w:hAnsi="Century Gothic" w:cs="Times New Roman"/>
          <w:lang w:eastAsia="tr-TR"/>
        </w:rPr>
        <w:t xml:space="preserve">. </w:t>
      </w:r>
      <w:proofErr w:type="spellStart"/>
      <w:r>
        <w:rPr>
          <w:rFonts w:ascii="Century Gothic" w:eastAsia="Times New Roman" w:hAnsi="Century Gothic" w:cs="Times New Roman"/>
          <w:lang w:eastAsia="tr-TR"/>
        </w:rPr>
        <w:t>This</w:t>
      </w:r>
      <w:proofErr w:type="spellEnd"/>
      <w:r>
        <w:rPr>
          <w:rFonts w:ascii="Century Gothic" w:eastAsia="Times New Roman" w:hAnsi="Century Gothic" w:cs="Times New Roman"/>
          <w:lang w:eastAsia="tr-TR"/>
        </w:rPr>
        <w:t xml:space="preserve"> </w:t>
      </w:r>
      <w:proofErr w:type="spellStart"/>
      <w:r>
        <w:rPr>
          <w:rFonts w:ascii="Century Gothic" w:eastAsia="Times New Roman" w:hAnsi="Century Gothic" w:cs="Times New Roman"/>
          <w:lang w:eastAsia="tr-TR"/>
        </w:rPr>
        <w:t>study</w:t>
      </w:r>
      <w:proofErr w:type="spellEnd"/>
      <w:r>
        <w:rPr>
          <w:rFonts w:ascii="Century Gothic" w:eastAsia="Times New Roman" w:hAnsi="Century Gothic" w:cs="Times New Roman"/>
          <w:lang w:eastAsia="tr-TR"/>
        </w:rPr>
        <w:t xml:space="preserve"> </w:t>
      </w:r>
      <w:proofErr w:type="spellStart"/>
      <w:r>
        <w:rPr>
          <w:rFonts w:ascii="Century Gothic" w:eastAsia="Times New Roman" w:hAnsi="Century Gothic" w:cs="Times New Roman"/>
          <w:lang w:eastAsia="tr-TR"/>
        </w:rPr>
        <w:t>does</w:t>
      </w:r>
      <w:proofErr w:type="spellEnd"/>
      <w:r>
        <w:rPr>
          <w:rFonts w:ascii="Century Gothic" w:eastAsia="Times New Roman" w:hAnsi="Century Gothic" w:cs="Times New Roman"/>
          <w:lang w:eastAsia="tr-TR"/>
        </w:rPr>
        <w:t xml:space="preserve"> not </w:t>
      </w:r>
      <w:proofErr w:type="spellStart"/>
      <w:r>
        <w:rPr>
          <w:rFonts w:ascii="Century Gothic" w:eastAsia="Times New Roman" w:hAnsi="Century Gothic" w:cs="Times New Roman"/>
          <w:lang w:eastAsia="tr-TR"/>
        </w:rPr>
        <w:t>require</w:t>
      </w:r>
      <w:proofErr w:type="spellEnd"/>
      <w:r>
        <w:rPr>
          <w:rFonts w:ascii="Century Gothic" w:eastAsia="Times New Roman" w:hAnsi="Century Gothic" w:cs="Times New Roman"/>
          <w:lang w:eastAsia="tr-TR"/>
        </w:rPr>
        <w:t xml:space="preserve"> </w:t>
      </w:r>
      <w:proofErr w:type="spellStart"/>
      <w:r>
        <w:rPr>
          <w:rFonts w:ascii="Century Gothic" w:eastAsia="Times New Roman" w:hAnsi="Century Gothic" w:cs="Times New Roman"/>
          <w:lang w:eastAsia="tr-TR"/>
        </w:rPr>
        <w:t>ethics</w:t>
      </w:r>
      <w:proofErr w:type="spellEnd"/>
      <w:r>
        <w:rPr>
          <w:rFonts w:ascii="Century Gothic" w:eastAsia="Times New Roman" w:hAnsi="Century Gothic" w:cs="Times New Roman"/>
          <w:lang w:eastAsia="tr-TR"/>
        </w:rPr>
        <w:t xml:space="preserve"> </w:t>
      </w:r>
      <w:proofErr w:type="spellStart"/>
      <w:r>
        <w:rPr>
          <w:rFonts w:ascii="Century Gothic" w:eastAsia="Times New Roman" w:hAnsi="Century Gothic" w:cs="Times New Roman"/>
          <w:lang w:eastAsia="tr-TR"/>
        </w:rPr>
        <w:t>committee</w:t>
      </w:r>
      <w:proofErr w:type="spellEnd"/>
      <w:r>
        <w:rPr>
          <w:rFonts w:ascii="Century Gothic" w:eastAsia="Times New Roman" w:hAnsi="Century Gothic" w:cs="Times New Roman"/>
          <w:lang w:eastAsia="tr-TR"/>
        </w:rPr>
        <w:t xml:space="preserve"> </w:t>
      </w:r>
      <w:proofErr w:type="spellStart"/>
      <w:r>
        <w:rPr>
          <w:rFonts w:ascii="Century Gothic" w:eastAsia="Times New Roman" w:hAnsi="Century Gothic" w:cs="Times New Roman"/>
          <w:lang w:eastAsia="tr-TR"/>
        </w:rPr>
        <w:t>approval</w:t>
      </w:r>
      <w:proofErr w:type="spellEnd"/>
      <w:r>
        <w:rPr>
          <w:rFonts w:ascii="Century Gothic" w:eastAsia="Times New Roman" w:hAnsi="Century Gothic" w:cs="Times New Roman"/>
          <w:lang w:eastAsia="tr-TR"/>
        </w:rPr>
        <w:t xml:space="preserve">. </w:t>
      </w:r>
    </w:p>
    <w:p w:rsidR="00134797" w:rsidRDefault="00134797" w:rsidP="00CE22E5">
      <w:pPr>
        <w:ind w:left="709" w:hanging="709"/>
        <w:jc w:val="both"/>
        <w:rPr>
          <w:rFonts w:ascii="Century Gothic" w:hAnsi="Century Gothic"/>
          <w:b/>
          <w:szCs w:val="24"/>
        </w:rPr>
      </w:pPr>
      <w:r>
        <w:rPr>
          <w:rFonts w:ascii="Century Gothic" w:hAnsi="Century Gothic"/>
          <w:b/>
          <w:szCs w:val="24"/>
        </w:rPr>
        <w:t>__________________________________________________________________________________</w:t>
      </w:r>
    </w:p>
    <w:p w:rsidR="005A7E37" w:rsidRDefault="005A7E37" w:rsidP="00CE22E5">
      <w:pPr>
        <w:ind w:left="709" w:hanging="709"/>
        <w:jc w:val="both"/>
        <w:rPr>
          <w:rFonts w:ascii="Century Gothic" w:hAnsi="Century Gothic"/>
          <w:b/>
          <w:szCs w:val="24"/>
        </w:rPr>
      </w:pPr>
    </w:p>
    <w:p w:rsidR="00CE22E5" w:rsidRPr="00CE22E5" w:rsidRDefault="00CE22E5" w:rsidP="00CE22E5">
      <w:pPr>
        <w:ind w:left="709" w:hanging="709"/>
        <w:jc w:val="both"/>
        <w:rPr>
          <w:rFonts w:ascii="Century Gothic" w:hAnsi="Century Gothic"/>
          <w:b/>
          <w:szCs w:val="24"/>
        </w:rPr>
      </w:pPr>
      <w:r w:rsidRPr="00CE22E5">
        <w:rPr>
          <w:rFonts w:ascii="Century Gothic" w:hAnsi="Century Gothic"/>
          <w:b/>
          <w:szCs w:val="24"/>
        </w:rPr>
        <w:t>Kaynakça</w:t>
      </w:r>
    </w:p>
    <w:p w:rsidR="00A307B9" w:rsidRPr="00A307B9" w:rsidRDefault="00A307B9" w:rsidP="00A307B9">
      <w:pPr>
        <w:ind w:left="709" w:hanging="709"/>
        <w:jc w:val="both"/>
        <w:rPr>
          <w:rFonts w:ascii="Century Gothic" w:hAnsi="Century Gothic"/>
          <w:szCs w:val="24"/>
        </w:rPr>
      </w:pPr>
      <w:r w:rsidRPr="00A307B9">
        <w:rPr>
          <w:rFonts w:ascii="Century Gothic" w:hAnsi="Century Gothic"/>
          <w:szCs w:val="24"/>
        </w:rPr>
        <w:t>Abbasi, M. K</w:t>
      </w:r>
      <w:proofErr w:type="gramStart"/>
      <w:r w:rsidRPr="00A307B9">
        <w:rPr>
          <w:rFonts w:ascii="Century Gothic" w:hAnsi="Century Gothic"/>
          <w:szCs w:val="24"/>
        </w:rPr>
        <w:t>.,</w:t>
      </w:r>
      <w:proofErr w:type="gramEnd"/>
      <w:r w:rsidRPr="00A307B9">
        <w:rPr>
          <w:rFonts w:ascii="Century Gothic" w:hAnsi="Century Gothic"/>
          <w:szCs w:val="24"/>
        </w:rPr>
        <w:t xml:space="preserve"> </w:t>
      </w:r>
      <w:proofErr w:type="spellStart"/>
      <w:r w:rsidRPr="00A307B9">
        <w:rPr>
          <w:rFonts w:ascii="Century Gothic" w:hAnsi="Century Gothic"/>
          <w:szCs w:val="24"/>
        </w:rPr>
        <w:t>Hemmati</w:t>
      </w:r>
      <w:proofErr w:type="spellEnd"/>
      <w:r w:rsidRPr="00A307B9">
        <w:rPr>
          <w:rFonts w:ascii="Century Gothic" w:hAnsi="Century Gothic"/>
          <w:szCs w:val="24"/>
        </w:rPr>
        <w:t xml:space="preserve">, H. </w:t>
      </w:r>
      <w:r>
        <w:rPr>
          <w:rFonts w:ascii="Century Gothic" w:hAnsi="Century Gothic"/>
          <w:szCs w:val="24"/>
        </w:rPr>
        <w:t>and</w:t>
      </w:r>
      <w:r w:rsidRPr="00A307B9">
        <w:rPr>
          <w:rFonts w:ascii="Century Gothic" w:hAnsi="Century Gothic"/>
          <w:szCs w:val="24"/>
        </w:rPr>
        <w:t xml:space="preserve"> </w:t>
      </w:r>
      <w:proofErr w:type="spellStart"/>
      <w:r w:rsidRPr="00A307B9">
        <w:rPr>
          <w:rFonts w:ascii="Century Gothic" w:hAnsi="Century Gothic"/>
          <w:szCs w:val="24"/>
        </w:rPr>
        <w:t>Abdolshah</w:t>
      </w:r>
      <w:proofErr w:type="spellEnd"/>
      <w:r w:rsidRPr="00A307B9">
        <w:rPr>
          <w:rFonts w:ascii="Century Gothic" w:hAnsi="Century Gothic"/>
          <w:szCs w:val="24"/>
        </w:rPr>
        <w:t xml:space="preserve">, M. (2008) Analysis and </w:t>
      </w:r>
      <w:proofErr w:type="spellStart"/>
      <w:r w:rsidRPr="00A307B9">
        <w:rPr>
          <w:rFonts w:ascii="Century Gothic" w:hAnsi="Century Gothic"/>
          <w:szCs w:val="24"/>
        </w:rPr>
        <w:t>Prioritizing</w:t>
      </w:r>
      <w:proofErr w:type="spellEnd"/>
      <w:r w:rsidRPr="00A307B9">
        <w:rPr>
          <w:rFonts w:ascii="Century Gothic" w:hAnsi="Century Gothic"/>
          <w:szCs w:val="24"/>
        </w:rPr>
        <w:t xml:space="preserve"> Bank </w:t>
      </w:r>
      <w:proofErr w:type="spellStart"/>
      <w:r w:rsidRPr="00A307B9">
        <w:rPr>
          <w:rFonts w:ascii="Century Gothic" w:hAnsi="Century Gothic"/>
          <w:szCs w:val="24"/>
        </w:rPr>
        <w:t>Account</w:t>
      </w:r>
      <w:proofErr w:type="spellEnd"/>
      <w:r w:rsidRPr="00A307B9">
        <w:rPr>
          <w:rFonts w:ascii="Century Gothic" w:hAnsi="Century Gothic"/>
          <w:szCs w:val="24"/>
        </w:rPr>
        <w:t xml:space="preserve"> </w:t>
      </w:r>
      <w:proofErr w:type="spellStart"/>
      <w:r w:rsidRPr="00A307B9">
        <w:rPr>
          <w:rFonts w:ascii="Century Gothic" w:hAnsi="Century Gothic"/>
          <w:szCs w:val="24"/>
        </w:rPr>
        <w:t>with</w:t>
      </w:r>
      <w:proofErr w:type="spellEnd"/>
      <w:r w:rsidRPr="00A307B9">
        <w:rPr>
          <w:rFonts w:ascii="Century Gothic" w:hAnsi="Century Gothic"/>
          <w:szCs w:val="24"/>
        </w:rPr>
        <w:t xml:space="preserve"> TOPSIS </w:t>
      </w:r>
      <w:proofErr w:type="spellStart"/>
      <w:r w:rsidRPr="00A307B9">
        <w:rPr>
          <w:rFonts w:ascii="Century Gothic" w:hAnsi="Century Gothic"/>
          <w:szCs w:val="24"/>
        </w:rPr>
        <w:t>Multiple-Criteria</w:t>
      </w:r>
      <w:proofErr w:type="spellEnd"/>
      <w:r w:rsidRPr="00A307B9">
        <w:rPr>
          <w:rFonts w:ascii="Century Gothic" w:hAnsi="Century Gothic"/>
          <w:szCs w:val="24"/>
        </w:rPr>
        <w:t xml:space="preserve"> </w:t>
      </w:r>
      <w:proofErr w:type="spellStart"/>
      <w:r w:rsidRPr="00A307B9">
        <w:rPr>
          <w:rFonts w:ascii="Century Gothic" w:hAnsi="Century Gothic"/>
          <w:szCs w:val="24"/>
        </w:rPr>
        <w:t>Decision</w:t>
      </w:r>
      <w:proofErr w:type="spellEnd"/>
      <w:r w:rsidRPr="00A307B9">
        <w:rPr>
          <w:rFonts w:ascii="Century Gothic" w:hAnsi="Century Gothic"/>
          <w:szCs w:val="24"/>
        </w:rPr>
        <w:t xml:space="preserve"> - A </w:t>
      </w:r>
      <w:proofErr w:type="spellStart"/>
      <w:r w:rsidRPr="00A307B9">
        <w:rPr>
          <w:rFonts w:ascii="Century Gothic" w:hAnsi="Century Gothic"/>
          <w:szCs w:val="24"/>
        </w:rPr>
        <w:t>Study</w:t>
      </w:r>
      <w:proofErr w:type="spellEnd"/>
      <w:r w:rsidRPr="00A307B9">
        <w:rPr>
          <w:rFonts w:ascii="Century Gothic" w:hAnsi="Century Gothic"/>
          <w:szCs w:val="24"/>
        </w:rPr>
        <w:t xml:space="preserve"> of Refah Bank in Iran, 21st </w:t>
      </w:r>
      <w:proofErr w:type="spellStart"/>
      <w:r w:rsidRPr="00A307B9">
        <w:rPr>
          <w:rFonts w:ascii="Century Gothic" w:hAnsi="Century Gothic"/>
          <w:szCs w:val="24"/>
        </w:rPr>
        <w:t>Australasian</w:t>
      </w:r>
      <w:proofErr w:type="spellEnd"/>
      <w:r w:rsidRPr="00A307B9">
        <w:rPr>
          <w:rFonts w:ascii="Century Gothic" w:hAnsi="Century Gothic"/>
          <w:szCs w:val="24"/>
        </w:rPr>
        <w:t xml:space="preserve"> Finance and </w:t>
      </w:r>
      <w:proofErr w:type="spellStart"/>
      <w:r w:rsidRPr="00A307B9">
        <w:rPr>
          <w:rFonts w:ascii="Century Gothic" w:hAnsi="Century Gothic"/>
          <w:szCs w:val="24"/>
        </w:rPr>
        <w:t>Banking</w:t>
      </w:r>
      <w:proofErr w:type="spellEnd"/>
      <w:r w:rsidRPr="00A307B9">
        <w:rPr>
          <w:rFonts w:ascii="Century Gothic" w:hAnsi="Century Gothic"/>
          <w:szCs w:val="24"/>
        </w:rPr>
        <w:t xml:space="preserve"> Conference, 16-18 </w:t>
      </w:r>
      <w:proofErr w:type="spellStart"/>
      <w:r w:rsidRPr="00A307B9">
        <w:rPr>
          <w:rFonts w:ascii="Century Gothic" w:hAnsi="Century Gothic"/>
          <w:szCs w:val="24"/>
        </w:rPr>
        <w:t>December</w:t>
      </w:r>
      <w:proofErr w:type="spellEnd"/>
      <w:r w:rsidRPr="00A307B9">
        <w:rPr>
          <w:rFonts w:ascii="Century Gothic" w:hAnsi="Century Gothic"/>
          <w:szCs w:val="24"/>
        </w:rPr>
        <w:t xml:space="preserve">, </w:t>
      </w:r>
      <w:proofErr w:type="spellStart"/>
      <w:r w:rsidRPr="00A307B9">
        <w:rPr>
          <w:rFonts w:ascii="Century Gothic" w:hAnsi="Century Gothic"/>
          <w:szCs w:val="24"/>
        </w:rPr>
        <w:t>Australia</w:t>
      </w:r>
      <w:proofErr w:type="spellEnd"/>
    </w:p>
    <w:p w:rsidR="00A307B9" w:rsidRPr="00A307B9" w:rsidRDefault="00A307B9" w:rsidP="00A307B9">
      <w:pPr>
        <w:ind w:left="709" w:hanging="709"/>
        <w:jc w:val="both"/>
        <w:rPr>
          <w:rFonts w:ascii="Century Gothic" w:hAnsi="Century Gothic"/>
          <w:szCs w:val="24"/>
        </w:rPr>
      </w:pPr>
      <w:r w:rsidRPr="00A307B9">
        <w:rPr>
          <w:rFonts w:ascii="Century Gothic" w:hAnsi="Century Gothic"/>
          <w:szCs w:val="24"/>
        </w:rPr>
        <w:lastRenderedPageBreak/>
        <w:t>Acar, E</w:t>
      </w:r>
      <w:proofErr w:type="gramStart"/>
      <w:r w:rsidRPr="00A307B9">
        <w:rPr>
          <w:rFonts w:ascii="Century Gothic" w:hAnsi="Century Gothic"/>
          <w:szCs w:val="24"/>
        </w:rPr>
        <w:t>.,</w:t>
      </w:r>
      <w:proofErr w:type="gramEnd"/>
      <w:r w:rsidRPr="00A307B9">
        <w:rPr>
          <w:rFonts w:ascii="Century Gothic" w:hAnsi="Century Gothic"/>
          <w:szCs w:val="24"/>
        </w:rPr>
        <w:t xml:space="preserve"> </w:t>
      </w:r>
      <w:r>
        <w:rPr>
          <w:rFonts w:ascii="Century Gothic" w:hAnsi="Century Gothic"/>
          <w:szCs w:val="24"/>
        </w:rPr>
        <w:t>ve</w:t>
      </w:r>
      <w:r w:rsidRPr="00A307B9">
        <w:rPr>
          <w:rFonts w:ascii="Century Gothic" w:hAnsi="Century Gothic"/>
          <w:szCs w:val="24"/>
        </w:rPr>
        <w:t xml:space="preserve"> Sarıyer, G. (2021). Türk Ana Metal Sanayi Finansal Performans Değerlendirmesi: AHP ve TOPSIS Uygulaması. </w:t>
      </w:r>
      <w:r w:rsidRPr="00A307B9">
        <w:rPr>
          <w:rFonts w:ascii="Century Gothic" w:hAnsi="Century Gothic"/>
          <w:i/>
          <w:iCs/>
          <w:szCs w:val="24"/>
        </w:rPr>
        <w:t>Uluslararası İktisadi ve İdari İncelemeler Dergisi</w:t>
      </w:r>
      <w:r w:rsidRPr="00A307B9">
        <w:rPr>
          <w:rFonts w:ascii="Century Gothic" w:hAnsi="Century Gothic"/>
          <w:szCs w:val="24"/>
        </w:rPr>
        <w:t>, </w:t>
      </w:r>
      <w:r w:rsidRPr="00A307B9">
        <w:rPr>
          <w:rFonts w:ascii="Century Gothic" w:hAnsi="Century Gothic"/>
          <w:i/>
          <w:iCs/>
          <w:szCs w:val="24"/>
        </w:rPr>
        <w:t>31</w:t>
      </w:r>
      <w:r w:rsidRPr="00A307B9">
        <w:rPr>
          <w:rFonts w:ascii="Century Gothic" w:hAnsi="Century Gothic"/>
          <w:szCs w:val="24"/>
        </w:rPr>
        <w:t>, 113-128.</w:t>
      </w:r>
    </w:p>
    <w:p w:rsidR="00A307B9" w:rsidRPr="00A307B9" w:rsidRDefault="00A307B9" w:rsidP="00A307B9">
      <w:pPr>
        <w:ind w:left="709" w:hanging="709"/>
        <w:jc w:val="both"/>
        <w:rPr>
          <w:rFonts w:ascii="Century Gothic" w:hAnsi="Century Gothic"/>
          <w:szCs w:val="24"/>
        </w:rPr>
      </w:pPr>
      <w:proofErr w:type="spellStart"/>
      <w:r w:rsidRPr="00A307B9">
        <w:rPr>
          <w:rFonts w:ascii="Century Gothic" w:hAnsi="Century Gothic"/>
          <w:szCs w:val="24"/>
        </w:rPr>
        <w:t>Altman</w:t>
      </w:r>
      <w:proofErr w:type="spellEnd"/>
      <w:r w:rsidRPr="00A307B9">
        <w:rPr>
          <w:rFonts w:ascii="Century Gothic" w:hAnsi="Century Gothic"/>
          <w:szCs w:val="24"/>
        </w:rPr>
        <w:t xml:space="preserve">, E.I. (1968). Financial </w:t>
      </w:r>
      <w:proofErr w:type="spellStart"/>
      <w:r w:rsidRPr="00A307B9">
        <w:rPr>
          <w:rFonts w:ascii="Century Gothic" w:hAnsi="Century Gothic"/>
          <w:szCs w:val="24"/>
        </w:rPr>
        <w:t>Ratios</w:t>
      </w:r>
      <w:proofErr w:type="spellEnd"/>
      <w:r w:rsidRPr="00A307B9">
        <w:rPr>
          <w:rFonts w:ascii="Century Gothic" w:hAnsi="Century Gothic"/>
          <w:szCs w:val="24"/>
        </w:rPr>
        <w:t xml:space="preserve">, </w:t>
      </w:r>
      <w:proofErr w:type="spellStart"/>
      <w:r w:rsidRPr="00A307B9">
        <w:rPr>
          <w:rFonts w:ascii="Century Gothic" w:hAnsi="Century Gothic"/>
          <w:szCs w:val="24"/>
        </w:rPr>
        <w:t>Discriminant</w:t>
      </w:r>
      <w:proofErr w:type="spellEnd"/>
      <w:r w:rsidRPr="00A307B9">
        <w:rPr>
          <w:rFonts w:ascii="Century Gothic" w:hAnsi="Century Gothic"/>
          <w:szCs w:val="24"/>
        </w:rPr>
        <w:t xml:space="preserve"> Analysis And The </w:t>
      </w:r>
      <w:proofErr w:type="spellStart"/>
      <w:r w:rsidRPr="00A307B9">
        <w:rPr>
          <w:rFonts w:ascii="Century Gothic" w:hAnsi="Century Gothic"/>
          <w:szCs w:val="24"/>
        </w:rPr>
        <w:t>Prediction</w:t>
      </w:r>
      <w:proofErr w:type="spellEnd"/>
      <w:r w:rsidRPr="00A307B9">
        <w:rPr>
          <w:rFonts w:ascii="Century Gothic" w:hAnsi="Century Gothic"/>
          <w:szCs w:val="24"/>
        </w:rPr>
        <w:t xml:space="preserve"> of </w:t>
      </w:r>
      <w:proofErr w:type="spellStart"/>
      <w:r w:rsidRPr="00A307B9">
        <w:rPr>
          <w:rFonts w:ascii="Century Gothic" w:hAnsi="Century Gothic"/>
          <w:szCs w:val="24"/>
        </w:rPr>
        <w:t>Corporate</w:t>
      </w:r>
      <w:proofErr w:type="spellEnd"/>
      <w:r w:rsidRPr="00A307B9">
        <w:rPr>
          <w:rFonts w:ascii="Century Gothic" w:hAnsi="Century Gothic"/>
          <w:szCs w:val="24"/>
        </w:rPr>
        <w:t xml:space="preserve"> </w:t>
      </w:r>
      <w:proofErr w:type="spellStart"/>
      <w:r w:rsidRPr="00A307B9">
        <w:rPr>
          <w:rFonts w:ascii="Century Gothic" w:hAnsi="Century Gothic"/>
          <w:szCs w:val="24"/>
        </w:rPr>
        <w:t>Bankruptcy</w:t>
      </w:r>
      <w:proofErr w:type="spellEnd"/>
      <w:r w:rsidRPr="00A307B9">
        <w:rPr>
          <w:rFonts w:ascii="Century Gothic" w:hAnsi="Century Gothic"/>
          <w:szCs w:val="24"/>
        </w:rPr>
        <w:t xml:space="preserve">. </w:t>
      </w:r>
      <w:r w:rsidRPr="00A307B9">
        <w:rPr>
          <w:rFonts w:ascii="Century Gothic" w:hAnsi="Century Gothic"/>
          <w:i/>
          <w:szCs w:val="24"/>
        </w:rPr>
        <w:t>The Journal of Finance</w:t>
      </w:r>
      <w:r w:rsidRPr="00A307B9">
        <w:rPr>
          <w:rFonts w:ascii="Century Gothic" w:hAnsi="Century Gothic"/>
          <w:szCs w:val="24"/>
        </w:rPr>
        <w:t>, 23(4), 589-609. http://dx.doi. org/10.1111/j.1540-6261.tb00843.x.</w:t>
      </w:r>
    </w:p>
    <w:p w:rsidR="00A307B9" w:rsidRPr="00A307B9" w:rsidRDefault="00A307B9" w:rsidP="00A307B9">
      <w:pPr>
        <w:ind w:left="709" w:hanging="709"/>
        <w:jc w:val="both"/>
        <w:rPr>
          <w:rFonts w:ascii="Century Gothic" w:hAnsi="Century Gothic"/>
          <w:szCs w:val="24"/>
        </w:rPr>
      </w:pPr>
      <w:proofErr w:type="spellStart"/>
      <w:r w:rsidRPr="00A307B9">
        <w:rPr>
          <w:rFonts w:ascii="Century Gothic" w:hAnsi="Century Gothic"/>
          <w:szCs w:val="24"/>
        </w:rPr>
        <w:t>Behzadian</w:t>
      </w:r>
      <w:proofErr w:type="spellEnd"/>
      <w:r w:rsidRPr="00A307B9">
        <w:rPr>
          <w:rFonts w:ascii="Century Gothic" w:hAnsi="Century Gothic"/>
          <w:szCs w:val="24"/>
        </w:rPr>
        <w:t>, M</w:t>
      </w:r>
      <w:proofErr w:type="gramStart"/>
      <w:r w:rsidRPr="00A307B9">
        <w:rPr>
          <w:rFonts w:ascii="Century Gothic" w:hAnsi="Century Gothic"/>
          <w:szCs w:val="24"/>
        </w:rPr>
        <w:t>.,</w:t>
      </w:r>
      <w:proofErr w:type="gramEnd"/>
      <w:r w:rsidRPr="00A307B9">
        <w:rPr>
          <w:rFonts w:ascii="Century Gothic" w:hAnsi="Century Gothic"/>
          <w:szCs w:val="24"/>
        </w:rPr>
        <w:t xml:space="preserve"> </w:t>
      </w:r>
      <w:proofErr w:type="spellStart"/>
      <w:r>
        <w:rPr>
          <w:rFonts w:ascii="Century Gothic" w:hAnsi="Century Gothic"/>
          <w:szCs w:val="24"/>
        </w:rPr>
        <w:t>Otaghsara</w:t>
      </w:r>
      <w:proofErr w:type="spellEnd"/>
      <w:r>
        <w:rPr>
          <w:rFonts w:ascii="Century Gothic" w:hAnsi="Century Gothic"/>
          <w:szCs w:val="24"/>
        </w:rPr>
        <w:t xml:space="preserve">, S. K., </w:t>
      </w:r>
      <w:proofErr w:type="spellStart"/>
      <w:r>
        <w:rPr>
          <w:rFonts w:ascii="Century Gothic" w:hAnsi="Century Gothic"/>
          <w:szCs w:val="24"/>
        </w:rPr>
        <w:t>Yazdani</w:t>
      </w:r>
      <w:proofErr w:type="spellEnd"/>
      <w:r>
        <w:rPr>
          <w:rFonts w:ascii="Century Gothic" w:hAnsi="Century Gothic"/>
          <w:szCs w:val="24"/>
        </w:rPr>
        <w:t>, M., and</w:t>
      </w:r>
      <w:r w:rsidRPr="00A307B9">
        <w:rPr>
          <w:rFonts w:ascii="Century Gothic" w:hAnsi="Century Gothic"/>
          <w:szCs w:val="24"/>
        </w:rPr>
        <w:t xml:space="preserve"> </w:t>
      </w:r>
      <w:proofErr w:type="spellStart"/>
      <w:r w:rsidRPr="00A307B9">
        <w:rPr>
          <w:rFonts w:ascii="Century Gothic" w:hAnsi="Century Gothic"/>
          <w:szCs w:val="24"/>
        </w:rPr>
        <w:t>Ignatius</w:t>
      </w:r>
      <w:proofErr w:type="spellEnd"/>
      <w:r w:rsidRPr="00A307B9">
        <w:rPr>
          <w:rFonts w:ascii="Century Gothic" w:hAnsi="Century Gothic"/>
          <w:szCs w:val="24"/>
        </w:rPr>
        <w:t xml:space="preserve">, J. (2012). A </w:t>
      </w:r>
      <w:proofErr w:type="spellStart"/>
      <w:r w:rsidRPr="00A307B9">
        <w:rPr>
          <w:rFonts w:ascii="Century Gothic" w:hAnsi="Century Gothic"/>
          <w:szCs w:val="24"/>
        </w:rPr>
        <w:t>state</w:t>
      </w:r>
      <w:proofErr w:type="spellEnd"/>
      <w:r w:rsidRPr="00A307B9">
        <w:rPr>
          <w:rFonts w:ascii="Century Gothic" w:hAnsi="Century Gothic"/>
          <w:szCs w:val="24"/>
        </w:rPr>
        <w:t xml:space="preserve">-of </w:t>
      </w:r>
      <w:proofErr w:type="spellStart"/>
      <w:r w:rsidRPr="00A307B9">
        <w:rPr>
          <w:rFonts w:ascii="Century Gothic" w:hAnsi="Century Gothic"/>
          <w:szCs w:val="24"/>
        </w:rPr>
        <w:t>the</w:t>
      </w:r>
      <w:proofErr w:type="spellEnd"/>
      <w:r w:rsidRPr="00A307B9">
        <w:rPr>
          <w:rFonts w:ascii="Century Gothic" w:hAnsi="Century Gothic"/>
          <w:szCs w:val="24"/>
        </w:rPr>
        <w:t xml:space="preserve">-art </w:t>
      </w:r>
      <w:proofErr w:type="spellStart"/>
      <w:r w:rsidRPr="00A307B9">
        <w:rPr>
          <w:rFonts w:ascii="Century Gothic" w:hAnsi="Century Gothic"/>
          <w:szCs w:val="24"/>
        </w:rPr>
        <w:t>survey</w:t>
      </w:r>
      <w:proofErr w:type="spellEnd"/>
      <w:r w:rsidRPr="00A307B9">
        <w:rPr>
          <w:rFonts w:ascii="Century Gothic" w:hAnsi="Century Gothic"/>
          <w:szCs w:val="24"/>
        </w:rPr>
        <w:t xml:space="preserve"> of TOPSIS </w:t>
      </w:r>
      <w:proofErr w:type="spellStart"/>
      <w:r w:rsidRPr="00A307B9">
        <w:rPr>
          <w:rFonts w:ascii="Century Gothic" w:hAnsi="Century Gothic"/>
          <w:szCs w:val="24"/>
        </w:rPr>
        <w:t>applications</w:t>
      </w:r>
      <w:proofErr w:type="spellEnd"/>
      <w:r w:rsidRPr="00A307B9">
        <w:rPr>
          <w:rFonts w:ascii="Century Gothic" w:hAnsi="Century Gothic"/>
          <w:szCs w:val="24"/>
        </w:rPr>
        <w:t>. </w:t>
      </w:r>
      <w:proofErr w:type="spellStart"/>
      <w:r w:rsidRPr="00A307B9">
        <w:rPr>
          <w:rFonts w:ascii="Century Gothic" w:hAnsi="Century Gothic"/>
          <w:i/>
          <w:iCs/>
          <w:szCs w:val="24"/>
        </w:rPr>
        <w:t>Expert</w:t>
      </w:r>
      <w:proofErr w:type="spellEnd"/>
      <w:r w:rsidRPr="00A307B9">
        <w:rPr>
          <w:rFonts w:ascii="Century Gothic" w:hAnsi="Century Gothic"/>
          <w:i/>
          <w:iCs/>
          <w:szCs w:val="24"/>
        </w:rPr>
        <w:t xml:space="preserve"> </w:t>
      </w:r>
      <w:proofErr w:type="spellStart"/>
      <w:r w:rsidRPr="00A307B9">
        <w:rPr>
          <w:rFonts w:ascii="Century Gothic" w:hAnsi="Century Gothic"/>
          <w:i/>
          <w:iCs/>
          <w:szCs w:val="24"/>
        </w:rPr>
        <w:t>Systems</w:t>
      </w:r>
      <w:proofErr w:type="spellEnd"/>
      <w:r w:rsidRPr="00A307B9">
        <w:rPr>
          <w:rFonts w:ascii="Century Gothic" w:hAnsi="Century Gothic"/>
          <w:i/>
          <w:iCs/>
          <w:szCs w:val="24"/>
        </w:rPr>
        <w:t xml:space="preserve"> </w:t>
      </w:r>
      <w:proofErr w:type="spellStart"/>
      <w:r w:rsidRPr="00A307B9">
        <w:rPr>
          <w:rFonts w:ascii="Century Gothic" w:hAnsi="Century Gothic"/>
          <w:i/>
          <w:iCs/>
          <w:szCs w:val="24"/>
        </w:rPr>
        <w:t>with</w:t>
      </w:r>
      <w:proofErr w:type="spellEnd"/>
      <w:r w:rsidRPr="00A307B9">
        <w:rPr>
          <w:rFonts w:ascii="Century Gothic" w:hAnsi="Century Gothic"/>
          <w:i/>
          <w:iCs/>
          <w:szCs w:val="24"/>
        </w:rPr>
        <w:t xml:space="preserve"> </w:t>
      </w:r>
      <w:proofErr w:type="spellStart"/>
      <w:r w:rsidRPr="00A307B9">
        <w:rPr>
          <w:rFonts w:ascii="Century Gothic" w:hAnsi="Century Gothic"/>
          <w:i/>
          <w:iCs/>
          <w:szCs w:val="24"/>
        </w:rPr>
        <w:t>applications</w:t>
      </w:r>
      <w:proofErr w:type="spellEnd"/>
      <w:r w:rsidRPr="00A307B9">
        <w:rPr>
          <w:rFonts w:ascii="Century Gothic" w:hAnsi="Century Gothic"/>
          <w:szCs w:val="24"/>
        </w:rPr>
        <w:t>, </w:t>
      </w:r>
      <w:r w:rsidRPr="00A307B9">
        <w:rPr>
          <w:rFonts w:ascii="Century Gothic" w:hAnsi="Century Gothic"/>
          <w:i/>
          <w:iCs/>
          <w:szCs w:val="24"/>
        </w:rPr>
        <w:t>39</w:t>
      </w:r>
      <w:r w:rsidRPr="00A307B9">
        <w:rPr>
          <w:rFonts w:ascii="Century Gothic" w:hAnsi="Century Gothic"/>
          <w:szCs w:val="24"/>
        </w:rPr>
        <w:t>(17), 13051-13069.</w:t>
      </w:r>
    </w:p>
    <w:p w:rsidR="008C5CC1" w:rsidRDefault="008C5CC1" w:rsidP="00F87B33">
      <w:pPr>
        <w:jc w:val="both"/>
        <w:rPr>
          <w:rFonts w:ascii="Century Gothic" w:hAnsi="Century Gothic"/>
          <w:b/>
        </w:rPr>
      </w:pPr>
    </w:p>
    <w:p w:rsidR="00492444" w:rsidRDefault="00492444" w:rsidP="00F87B33">
      <w:pPr>
        <w:jc w:val="both"/>
        <w:rPr>
          <w:rFonts w:ascii="Century Gothic" w:hAnsi="Century Gothic"/>
          <w:b/>
        </w:rPr>
      </w:pPr>
    </w:p>
    <w:p w:rsidR="00042BC1" w:rsidRDefault="00042BC1" w:rsidP="00F87B33">
      <w:pPr>
        <w:jc w:val="both"/>
        <w:rPr>
          <w:rFonts w:ascii="Century Gothic" w:hAnsi="Century Gothic"/>
          <w:b/>
        </w:rPr>
      </w:pPr>
      <w:proofErr w:type="spellStart"/>
      <w:r>
        <w:rPr>
          <w:rFonts w:ascii="Century Gothic" w:hAnsi="Century Gothic"/>
          <w:b/>
        </w:rPr>
        <w:t>Extensive</w:t>
      </w:r>
      <w:proofErr w:type="spellEnd"/>
      <w:r>
        <w:rPr>
          <w:rFonts w:ascii="Century Gothic" w:hAnsi="Century Gothic"/>
          <w:b/>
        </w:rPr>
        <w:t xml:space="preserve"> </w:t>
      </w:r>
      <w:proofErr w:type="spellStart"/>
      <w:r>
        <w:rPr>
          <w:rFonts w:ascii="Century Gothic" w:hAnsi="Century Gothic"/>
          <w:b/>
        </w:rPr>
        <w:t>Summary</w:t>
      </w:r>
      <w:proofErr w:type="spellEnd"/>
    </w:p>
    <w:p w:rsidR="00D0221F" w:rsidRPr="00D0221F" w:rsidRDefault="00D0221F" w:rsidP="00D0221F">
      <w:pPr>
        <w:jc w:val="both"/>
        <w:rPr>
          <w:rFonts w:ascii="Century Gothic" w:hAnsi="Century Gothic"/>
          <w:b/>
          <w:bCs/>
          <w:i/>
          <w:lang w:val="en-US"/>
        </w:rPr>
      </w:pPr>
      <w:proofErr w:type="spellStart"/>
      <w:r w:rsidRPr="00D0221F">
        <w:rPr>
          <w:rFonts w:ascii="Century Gothic" w:hAnsi="Century Gothic"/>
          <w:b/>
          <w:bCs/>
          <w:i/>
          <w:lang w:val="en-US"/>
        </w:rPr>
        <w:t>Determi</w:t>
      </w:r>
      <w:r w:rsidRPr="00D0221F">
        <w:rPr>
          <w:rFonts w:ascii="Century Gothic" w:hAnsi="Century Gothic"/>
          <w:b/>
        </w:rPr>
        <w:t>i</w:t>
      </w:r>
      <w:r w:rsidRPr="00D0221F">
        <w:rPr>
          <w:rFonts w:ascii="Century Gothic" w:hAnsi="Century Gothic"/>
          <w:b/>
          <w:bCs/>
          <w:i/>
        </w:rPr>
        <w:t>nation</w:t>
      </w:r>
      <w:proofErr w:type="spellEnd"/>
      <w:r w:rsidRPr="00D0221F">
        <w:rPr>
          <w:rFonts w:ascii="Century Gothic" w:hAnsi="Century Gothic"/>
          <w:b/>
          <w:bCs/>
          <w:i/>
          <w:lang w:val="en-US"/>
        </w:rPr>
        <w:t xml:space="preserve"> the Financial Performance Rankings of the </w:t>
      </w:r>
      <w:r w:rsidR="00217DEB">
        <w:rPr>
          <w:rFonts w:ascii="Century Gothic" w:hAnsi="Century Gothic"/>
          <w:b/>
          <w:bCs/>
          <w:i/>
        </w:rPr>
        <w:t>E</w:t>
      </w:r>
      <w:r w:rsidR="00217DEB" w:rsidRPr="00217DEB">
        <w:rPr>
          <w:rFonts w:ascii="Century Gothic" w:hAnsi="Century Gothic"/>
          <w:b/>
          <w:bCs/>
          <w:i/>
        </w:rPr>
        <w:t>nterprises</w:t>
      </w:r>
      <w:r w:rsidRPr="00D0221F">
        <w:rPr>
          <w:rFonts w:ascii="Century Gothic" w:hAnsi="Century Gothic"/>
          <w:b/>
          <w:bCs/>
          <w:i/>
          <w:lang w:val="en-US"/>
        </w:rPr>
        <w:t xml:space="preserve"> in The BIST Basic Metal Index (XMANA) with the TOPSIS Method</w:t>
      </w:r>
    </w:p>
    <w:p w:rsidR="00F87B33" w:rsidRPr="00F87B33" w:rsidRDefault="00F87B33" w:rsidP="00F87B33">
      <w:pPr>
        <w:jc w:val="both"/>
        <w:rPr>
          <w:rFonts w:ascii="Century Gothic" w:hAnsi="Century Gothic"/>
          <w:b/>
          <w:lang w:val="en-GB"/>
        </w:rPr>
      </w:pPr>
    </w:p>
    <w:p w:rsidR="00D0221F" w:rsidRPr="00D0221F" w:rsidRDefault="00D0221F" w:rsidP="00D0221F">
      <w:pPr>
        <w:jc w:val="both"/>
        <w:rPr>
          <w:rFonts w:ascii="Century Gothic" w:hAnsi="Century Gothic"/>
          <w:b/>
          <w:lang w:val="en-US"/>
        </w:rPr>
      </w:pPr>
      <w:r w:rsidRPr="00D0221F">
        <w:rPr>
          <w:rFonts w:ascii="Century Gothic" w:hAnsi="Century Gothic"/>
          <w:b/>
          <w:lang w:val="en-US"/>
        </w:rPr>
        <w:t>Introduction</w:t>
      </w:r>
    </w:p>
    <w:p w:rsidR="00D0221F" w:rsidRPr="00D0221F" w:rsidRDefault="00D0221F" w:rsidP="00D0221F">
      <w:pPr>
        <w:jc w:val="both"/>
        <w:rPr>
          <w:rFonts w:ascii="Century Gothic" w:hAnsi="Century Gothic"/>
          <w:lang w:val="en-US"/>
        </w:rPr>
      </w:pPr>
      <w:r w:rsidRPr="00D0221F">
        <w:rPr>
          <w:rFonts w:ascii="Century Gothic" w:hAnsi="Century Gothic"/>
          <w:lang w:val="en-US"/>
        </w:rPr>
        <w:t xml:space="preserve">In an increasingly competitive environment, the fact of survival and growth, which is one of the primary goals of businesses, is becoming more important. With the advancement of technology, the rapid spread of information, and the integration of national economies, </w:t>
      </w:r>
      <w:proofErr w:type="spellStart"/>
      <w:r w:rsidR="00217DEB" w:rsidRPr="00217DEB">
        <w:rPr>
          <w:rFonts w:ascii="Century Gothic" w:hAnsi="Century Gothic"/>
          <w:bCs/>
          <w:i/>
        </w:rPr>
        <w:t>enterprises</w:t>
      </w:r>
      <w:proofErr w:type="spellEnd"/>
      <w:r w:rsidRPr="00D0221F">
        <w:rPr>
          <w:rFonts w:ascii="Century Gothic" w:hAnsi="Century Gothic"/>
          <w:lang w:val="en-US"/>
        </w:rPr>
        <w:t xml:space="preserve"> must compete not only with local </w:t>
      </w:r>
      <w:proofErr w:type="spellStart"/>
      <w:r w:rsidR="00217DEB" w:rsidRPr="00217DEB">
        <w:rPr>
          <w:rFonts w:ascii="Century Gothic" w:hAnsi="Century Gothic"/>
          <w:bCs/>
        </w:rPr>
        <w:t>enterprises</w:t>
      </w:r>
      <w:proofErr w:type="spellEnd"/>
      <w:r w:rsidRPr="00D0221F">
        <w:rPr>
          <w:rFonts w:ascii="Century Gothic" w:hAnsi="Century Gothic"/>
          <w:lang w:val="en-US"/>
        </w:rPr>
        <w:t xml:space="preserve"> but also with </w:t>
      </w:r>
      <w:r w:rsidR="00217DEB">
        <w:rPr>
          <w:rFonts w:ascii="Century Gothic" w:hAnsi="Century Gothic"/>
          <w:lang w:val="en-US"/>
        </w:rPr>
        <w:t>international firms. E</w:t>
      </w:r>
      <w:proofErr w:type="spellStart"/>
      <w:r w:rsidR="00217DEB" w:rsidRPr="00217DEB">
        <w:rPr>
          <w:rFonts w:ascii="Century Gothic" w:hAnsi="Century Gothic"/>
          <w:bCs/>
        </w:rPr>
        <w:t>nterprises</w:t>
      </w:r>
      <w:proofErr w:type="spellEnd"/>
      <w:r w:rsidRPr="00D0221F">
        <w:rPr>
          <w:rFonts w:ascii="Century Gothic" w:hAnsi="Century Gothic"/>
          <w:lang w:val="en-US"/>
        </w:rPr>
        <w:t xml:space="preserve"> with high efficiency and performance in their field of activity will exist in this competitive environment. The performance of the </w:t>
      </w:r>
      <w:proofErr w:type="spellStart"/>
      <w:r w:rsidR="00BB0A29" w:rsidRPr="00BB0A29">
        <w:rPr>
          <w:rFonts w:ascii="Century Gothic" w:hAnsi="Century Gothic"/>
          <w:bCs/>
        </w:rPr>
        <w:t>enterprises</w:t>
      </w:r>
      <w:proofErr w:type="spellEnd"/>
      <w:r w:rsidR="00BB0A29" w:rsidRPr="00BB0A29">
        <w:rPr>
          <w:rFonts w:ascii="Century Gothic" w:hAnsi="Century Gothic"/>
          <w:lang w:val="en-US"/>
        </w:rPr>
        <w:t xml:space="preserve"> </w:t>
      </w:r>
      <w:r w:rsidRPr="00D0221F">
        <w:rPr>
          <w:rFonts w:ascii="Century Gothic" w:hAnsi="Century Gothic"/>
          <w:lang w:val="en-US"/>
        </w:rPr>
        <w:t xml:space="preserve">is critical not only for the </w:t>
      </w:r>
      <w:proofErr w:type="spellStart"/>
      <w:r w:rsidR="00BB0A29" w:rsidRPr="00BB0A29">
        <w:rPr>
          <w:rFonts w:ascii="Century Gothic" w:hAnsi="Century Gothic"/>
          <w:bCs/>
        </w:rPr>
        <w:t>enterprises</w:t>
      </w:r>
      <w:proofErr w:type="spellEnd"/>
      <w:r w:rsidRPr="00D0221F">
        <w:rPr>
          <w:rFonts w:ascii="Century Gothic" w:hAnsi="Century Gothic"/>
          <w:lang w:val="en-US"/>
        </w:rPr>
        <w:t xml:space="preserve"> themselves, but also for their investors and the country's economy.</w:t>
      </w:r>
    </w:p>
    <w:p w:rsidR="00D0221F" w:rsidRPr="00D0221F" w:rsidRDefault="00D0221F" w:rsidP="00D0221F">
      <w:pPr>
        <w:jc w:val="both"/>
        <w:rPr>
          <w:rFonts w:ascii="Century Gothic" w:hAnsi="Century Gothic"/>
          <w:bCs/>
          <w:lang w:val="en-US"/>
        </w:rPr>
      </w:pPr>
      <w:r w:rsidRPr="00D0221F">
        <w:rPr>
          <w:rFonts w:ascii="Century Gothic" w:hAnsi="Century Gothic"/>
          <w:bCs/>
          <w:lang w:val="en-US"/>
        </w:rPr>
        <w:t xml:space="preserve">It is crucial for </w:t>
      </w:r>
      <w:proofErr w:type="spellStart"/>
      <w:r w:rsidR="00BB0A29" w:rsidRPr="00BB0A29">
        <w:rPr>
          <w:rFonts w:ascii="Century Gothic" w:hAnsi="Century Gothic"/>
          <w:bCs/>
        </w:rPr>
        <w:t>enterprises</w:t>
      </w:r>
      <w:proofErr w:type="spellEnd"/>
      <w:r w:rsidRPr="00D0221F">
        <w:rPr>
          <w:rFonts w:ascii="Century Gothic" w:hAnsi="Century Gothic"/>
          <w:bCs/>
          <w:lang w:val="en-US"/>
        </w:rPr>
        <w:t xml:space="preserve"> in the same sector, as well as managers, creditors, and current or potential investors, to assess a company's financial performance in the modern, highly competitive global economy. Financial analysis is frequently used to assess the efficiency of </w:t>
      </w:r>
      <w:proofErr w:type="spellStart"/>
      <w:r w:rsidR="00BB0A29" w:rsidRPr="00BB0A29">
        <w:rPr>
          <w:rFonts w:ascii="Century Gothic" w:hAnsi="Century Gothic"/>
          <w:bCs/>
        </w:rPr>
        <w:t>enterprises</w:t>
      </w:r>
      <w:proofErr w:type="spellEnd"/>
      <w:r w:rsidRPr="00D0221F">
        <w:rPr>
          <w:rFonts w:ascii="Century Gothic" w:hAnsi="Century Gothic"/>
          <w:bCs/>
          <w:lang w:val="en-US"/>
        </w:rPr>
        <w:t xml:space="preserve">. Since the term "financial performance" can refer to a variety of things, including return, productivity, output, and economic growth, using financial ratios in the performance evaluation process is appropriate for both </w:t>
      </w:r>
      <w:proofErr w:type="spellStart"/>
      <w:r w:rsidR="00BB0A29" w:rsidRPr="00BB0A29">
        <w:rPr>
          <w:rFonts w:ascii="Century Gothic" w:hAnsi="Century Gothic"/>
          <w:bCs/>
        </w:rPr>
        <w:t>enterprises</w:t>
      </w:r>
      <w:proofErr w:type="spellEnd"/>
      <w:r w:rsidRPr="00D0221F">
        <w:rPr>
          <w:rFonts w:ascii="Century Gothic" w:hAnsi="Century Gothic"/>
          <w:bCs/>
          <w:lang w:val="en-US"/>
        </w:rPr>
        <w:t xml:space="preserve"> and the sectors that are related to them (Chen ve </w:t>
      </w:r>
      <w:proofErr w:type="spellStart"/>
      <w:r w:rsidRPr="00D0221F">
        <w:rPr>
          <w:rFonts w:ascii="Century Gothic" w:hAnsi="Century Gothic"/>
          <w:bCs/>
          <w:lang w:val="en-US"/>
        </w:rPr>
        <w:t>Shimerda</w:t>
      </w:r>
      <w:proofErr w:type="spellEnd"/>
      <w:r w:rsidRPr="00D0221F">
        <w:rPr>
          <w:rFonts w:ascii="Century Gothic" w:hAnsi="Century Gothic"/>
          <w:bCs/>
          <w:lang w:val="en-US"/>
        </w:rPr>
        <w:t>, 1981).</w:t>
      </w:r>
    </w:p>
    <w:p w:rsidR="00D0221F" w:rsidRPr="00D0221F" w:rsidRDefault="00D0221F" w:rsidP="00D0221F">
      <w:pPr>
        <w:jc w:val="both"/>
        <w:rPr>
          <w:rFonts w:ascii="Century Gothic" w:hAnsi="Century Gothic"/>
          <w:bCs/>
          <w:lang w:val="en-US"/>
        </w:rPr>
      </w:pPr>
      <w:proofErr w:type="spellStart"/>
      <w:r w:rsidRPr="00D0221F">
        <w:rPr>
          <w:rFonts w:ascii="Century Gothic" w:hAnsi="Century Gothic"/>
          <w:bCs/>
          <w:lang w:val="en-US"/>
        </w:rPr>
        <w:t>Yanik</w:t>
      </w:r>
      <w:proofErr w:type="spellEnd"/>
      <w:r w:rsidRPr="00D0221F">
        <w:rPr>
          <w:rFonts w:ascii="Century Gothic" w:hAnsi="Century Gothic"/>
          <w:bCs/>
          <w:lang w:val="en-US"/>
        </w:rPr>
        <w:t xml:space="preserve"> and Eren (2017) examined 11 different companies in the automotive manufacturing sector in BIST-100 using multi-criteria decision-making methods TOPSIS, VIKOR, and ELECTRE. The weights of the criteria to be used in decision making were calculated using the AHP method in all methods. Using the obtained scores, the financial performances and performance rankings for the years 2011-2015 were revealed.  </w:t>
      </w:r>
    </w:p>
    <w:p w:rsidR="00D0221F" w:rsidRPr="00D0221F" w:rsidRDefault="00D0221F" w:rsidP="00D0221F">
      <w:pPr>
        <w:jc w:val="both"/>
        <w:rPr>
          <w:rFonts w:ascii="Century Gothic" w:hAnsi="Century Gothic"/>
          <w:bCs/>
          <w:iCs/>
          <w:lang w:val="en-US"/>
        </w:rPr>
      </w:pPr>
      <w:proofErr w:type="spellStart"/>
      <w:r w:rsidRPr="00D0221F">
        <w:rPr>
          <w:rFonts w:ascii="Century Gothic" w:hAnsi="Century Gothic"/>
          <w:bCs/>
          <w:iCs/>
          <w:lang w:val="en-US"/>
        </w:rPr>
        <w:t>Eyüboğlu</w:t>
      </w:r>
      <w:proofErr w:type="spellEnd"/>
      <w:r w:rsidRPr="00D0221F">
        <w:rPr>
          <w:rFonts w:ascii="Century Gothic" w:hAnsi="Century Gothic"/>
          <w:bCs/>
          <w:iCs/>
          <w:lang w:val="en-US"/>
        </w:rPr>
        <w:t xml:space="preserve"> and </w:t>
      </w:r>
      <w:proofErr w:type="spellStart"/>
      <w:r w:rsidRPr="00D0221F">
        <w:rPr>
          <w:rFonts w:ascii="Century Gothic" w:hAnsi="Century Gothic"/>
          <w:bCs/>
          <w:iCs/>
          <w:lang w:val="en-US"/>
        </w:rPr>
        <w:t>Bayraktar</w:t>
      </w:r>
      <w:proofErr w:type="spellEnd"/>
      <w:r w:rsidRPr="00D0221F">
        <w:rPr>
          <w:rFonts w:ascii="Century Gothic" w:hAnsi="Century Gothic"/>
          <w:bCs/>
          <w:iCs/>
          <w:lang w:val="en-US"/>
        </w:rPr>
        <w:t xml:space="preserve"> (2019) used the Analytical Hierarchy Process (AHP) and TOPSIS methods to examine the financial performances of the basic metal industry's sub-sectors from 2014 to 2016, taking into account liquidity, financial structure, activity, and profitability ratios. The most profitable sector for each year, according to the findings </w:t>
      </w:r>
      <w:r w:rsidRPr="00D0221F">
        <w:rPr>
          <w:rFonts w:ascii="Century Gothic" w:hAnsi="Century Gothic"/>
          <w:bCs/>
          <w:iCs/>
          <w:lang w:val="en-US"/>
        </w:rPr>
        <w:lastRenderedPageBreak/>
        <w:t>of the analyses, is the production of other products obtained from the first processing of steel.</w:t>
      </w:r>
    </w:p>
    <w:p w:rsidR="00D0221F" w:rsidRPr="00D0221F" w:rsidRDefault="00D0221F" w:rsidP="00D0221F">
      <w:pPr>
        <w:jc w:val="both"/>
        <w:rPr>
          <w:rFonts w:ascii="Century Gothic" w:hAnsi="Century Gothic"/>
          <w:bCs/>
          <w:lang w:val="en-US"/>
        </w:rPr>
      </w:pPr>
      <w:r w:rsidRPr="00D0221F">
        <w:rPr>
          <w:rFonts w:ascii="Century Gothic" w:hAnsi="Century Gothic"/>
          <w:bCs/>
          <w:lang w:val="en-US"/>
        </w:rPr>
        <w:t xml:space="preserve">The study concentrates on four classifications in this context: liquidity, profitability, financial structure ratios, and activity ratios. The primary criteria are these groups, and each of them has a set of sub-criteria. The study's objective is to rank the financial performance of </w:t>
      </w:r>
      <w:proofErr w:type="spellStart"/>
      <w:r w:rsidR="00BB0A29" w:rsidRPr="00BB0A29">
        <w:rPr>
          <w:rFonts w:ascii="Century Gothic" w:hAnsi="Century Gothic"/>
          <w:bCs/>
        </w:rPr>
        <w:t>enterprises</w:t>
      </w:r>
      <w:proofErr w:type="spellEnd"/>
      <w:r w:rsidRPr="00D0221F">
        <w:rPr>
          <w:rFonts w:ascii="Century Gothic" w:hAnsi="Century Gothic"/>
          <w:bCs/>
          <w:lang w:val="en-US"/>
        </w:rPr>
        <w:t xml:space="preserve"> traded on the BIST Basic Metal Index. The BIST Basic Metal </w:t>
      </w:r>
      <w:proofErr w:type="spellStart"/>
      <w:r w:rsidR="00BB0A29" w:rsidRPr="00BB0A29">
        <w:rPr>
          <w:rFonts w:ascii="Century Gothic" w:hAnsi="Century Gothic"/>
          <w:bCs/>
        </w:rPr>
        <w:t>enterprises</w:t>
      </w:r>
      <w:proofErr w:type="spellEnd"/>
      <w:r w:rsidR="00BB0A29" w:rsidRPr="00BB0A29">
        <w:rPr>
          <w:rFonts w:ascii="Century Gothic" w:hAnsi="Century Gothic"/>
          <w:bCs/>
          <w:lang w:val="en-US"/>
        </w:rPr>
        <w:t xml:space="preserve"> </w:t>
      </w:r>
      <w:r w:rsidRPr="00D0221F">
        <w:rPr>
          <w:rFonts w:ascii="Century Gothic" w:hAnsi="Century Gothic"/>
          <w:bCs/>
          <w:lang w:val="en-US"/>
        </w:rPr>
        <w:t>' annual financial ratios for the years 2017 through 2021 were used for this purpose.</w:t>
      </w:r>
    </w:p>
    <w:p w:rsidR="00D0221F" w:rsidRPr="00D0221F" w:rsidRDefault="00D0221F" w:rsidP="00D0221F">
      <w:pPr>
        <w:jc w:val="both"/>
        <w:rPr>
          <w:rFonts w:ascii="Century Gothic" w:hAnsi="Century Gothic"/>
          <w:b/>
          <w:bCs/>
          <w:lang w:val="en-US"/>
        </w:rPr>
      </w:pPr>
      <w:r w:rsidRPr="00D0221F">
        <w:rPr>
          <w:rFonts w:ascii="Century Gothic" w:hAnsi="Century Gothic"/>
          <w:b/>
          <w:bCs/>
          <w:lang w:val="en-US"/>
        </w:rPr>
        <w:t xml:space="preserve">Method </w:t>
      </w:r>
    </w:p>
    <w:p w:rsidR="00D0221F" w:rsidRPr="00D0221F" w:rsidRDefault="00D0221F" w:rsidP="00D0221F">
      <w:pPr>
        <w:jc w:val="both"/>
        <w:rPr>
          <w:rFonts w:ascii="Century Gothic" w:hAnsi="Century Gothic"/>
          <w:lang w:val="en-US"/>
        </w:rPr>
      </w:pPr>
      <w:r w:rsidRPr="00D0221F">
        <w:rPr>
          <w:rFonts w:ascii="Century Gothic" w:hAnsi="Century Gothic"/>
          <w:lang w:val="en-US"/>
        </w:rPr>
        <w:t>The majority of financial performance evaluations are classified as multi-criteria decision-making problems. MCDM employs a variety of effective techniques and methods to achieve the best possible results in the financial evaluation process. The goal of MCDM is to find the best alternative that meets a set of criteria. The TOPSIS method was emphasized in this study.</w:t>
      </w:r>
    </w:p>
    <w:p w:rsidR="00D0221F" w:rsidRPr="00D0221F" w:rsidRDefault="00D0221F" w:rsidP="00D0221F">
      <w:pPr>
        <w:jc w:val="both"/>
        <w:rPr>
          <w:rFonts w:ascii="Century Gothic" w:hAnsi="Century Gothic"/>
          <w:lang w:val="en-US"/>
        </w:rPr>
      </w:pPr>
      <w:r w:rsidRPr="00D0221F">
        <w:rPr>
          <w:rFonts w:ascii="Century Gothic" w:hAnsi="Century Gothic"/>
          <w:lang w:val="en-US"/>
        </w:rPr>
        <w:t xml:space="preserve">To rank the </w:t>
      </w:r>
      <w:proofErr w:type="spellStart"/>
      <w:r w:rsidR="00520C2B" w:rsidRPr="00520C2B">
        <w:rPr>
          <w:rFonts w:ascii="Century Gothic" w:hAnsi="Century Gothic"/>
          <w:bCs/>
        </w:rPr>
        <w:t>enterprises</w:t>
      </w:r>
      <w:proofErr w:type="spellEnd"/>
      <w:r w:rsidRPr="00D0221F">
        <w:rPr>
          <w:rFonts w:ascii="Century Gothic" w:hAnsi="Century Gothic"/>
          <w:lang w:val="en-US"/>
        </w:rPr>
        <w:t xml:space="preserve"> in the BIST Basic Metal (XMANA) Index according to their financial performance is the main objective of the study. The annual financial ratios of the </w:t>
      </w:r>
      <w:proofErr w:type="spellStart"/>
      <w:r w:rsidR="00520C2B" w:rsidRPr="00520C2B">
        <w:rPr>
          <w:rFonts w:ascii="Century Gothic" w:hAnsi="Century Gothic"/>
          <w:bCs/>
        </w:rPr>
        <w:t>enterprises</w:t>
      </w:r>
      <w:proofErr w:type="spellEnd"/>
      <w:r w:rsidRPr="00D0221F">
        <w:rPr>
          <w:rFonts w:ascii="Century Gothic" w:hAnsi="Century Gothic"/>
          <w:lang w:val="en-US"/>
        </w:rPr>
        <w:t xml:space="preserve"> for the 2017-2021 period were used for this purpose. Three ratios were calculated under each four broad categories: liquidity, profitability, financial structure, and activities. The data was obtained from the KAP (Public Disclosure Platform) and </w:t>
      </w:r>
      <w:proofErr w:type="spellStart"/>
      <w:r w:rsidRPr="00D0221F">
        <w:rPr>
          <w:rFonts w:ascii="Century Gothic" w:hAnsi="Century Gothic"/>
          <w:lang w:val="en-US"/>
        </w:rPr>
        <w:t>Stockkeys</w:t>
      </w:r>
      <w:proofErr w:type="spellEnd"/>
      <w:r w:rsidRPr="00D0221F">
        <w:rPr>
          <w:rFonts w:ascii="Century Gothic" w:hAnsi="Century Gothic"/>
          <w:lang w:val="en-US"/>
        </w:rPr>
        <w:t xml:space="preserve"> application. </w:t>
      </w:r>
    </w:p>
    <w:p w:rsidR="00D0221F" w:rsidRPr="00D0221F" w:rsidRDefault="00520C2B" w:rsidP="00D0221F">
      <w:pPr>
        <w:jc w:val="both"/>
        <w:rPr>
          <w:rFonts w:ascii="Century Gothic" w:hAnsi="Century Gothic"/>
          <w:lang w:val="en-US"/>
        </w:rPr>
      </w:pPr>
      <w:r>
        <w:rPr>
          <w:rFonts w:ascii="Century Gothic" w:hAnsi="Century Gothic"/>
          <w:bCs/>
        </w:rPr>
        <w:t>E</w:t>
      </w:r>
      <w:r w:rsidRPr="00520C2B">
        <w:rPr>
          <w:rFonts w:ascii="Century Gothic" w:hAnsi="Century Gothic"/>
          <w:bCs/>
        </w:rPr>
        <w:t>nterprises</w:t>
      </w:r>
      <w:r w:rsidRPr="00520C2B">
        <w:rPr>
          <w:rFonts w:ascii="Century Gothic" w:hAnsi="Century Gothic"/>
          <w:lang w:val="en-US"/>
        </w:rPr>
        <w:t xml:space="preserve"> </w:t>
      </w:r>
      <w:r w:rsidR="00D0221F" w:rsidRPr="00D0221F">
        <w:rPr>
          <w:rFonts w:ascii="Century Gothic" w:hAnsi="Century Gothic"/>
          <w:lang w:val="en-US"/>
        </w:rPr>
        <w:t xml:space="preserve">with missing or incomplete </w:t>
      </w:r>
      <w:proofErr w:type="gramStart"/>
      <w:r w:rsidR="00D0221F" w:rsidRPr="00D0221F">
        <w:rPr>
          <w:rFonts w:ascii="Century Gothic" w:hAnsi="Century Gothic"/>
          <w:lang w:val="en-US"/>
        </w:rPr>
        <w:t>data</w:t>
      </w:r>
      <w:proofErr w:type="gramEnd"/>
      <w:r w:rsidR="00D0221F" w:rsidRPr="00D0221F">
        <w:rPr>
          <w:rFonts w:ascii="Century Gothic" w:hAnsi="Century Gothic"/>
          <w:lang w:val="en-US"/>
        </w:rPr>
        <w:t xml:space="preserve"> for the relevant years were excluded after examining the financial ratios for those years. Although it is traded under three different names, KRDMA, KRDMB, and KRDMD, all of which belong to </w:t>
      </w:r>
      <w:proofErr w:type="spellStart"/>
      <w:r w:rsidR="00D0221F" w:rsidRPr="00D0221F">
        <w:rPr>
          <w:rFonts w:ascii="Century Gothic" w:hAnsi="Century Gothic"/>
          <w:lang w:val="en-US"/>
        </w:rPr>
        <w:t>Kardemir</w:t>
      </w:r>
      <w:proofErr w:type="spellEnd"/>
      <w:r w:rsidR="00D0221F" w:rsidRPr="00D0221F">
        <w:rPr>
          <w:rFonts w:ascii="Century Gothic" w:hAnsi="Century Gothic"/>
          <w:lang w:val="en-US"/>
        </w:rPr>
        <w:t xml:space="preserve"> </w:t>
      </w:r>
      <w:proofErr w:type="spellStart"/>
      <w:r w:rsidR="00D0221F" w:rsidRPr="00D0221F">
        <w:rPr>
          <w:rFonts w:ascii="Century Gothic" w:hAnsi="Century Gothic"/>
          <w:lang w:val="en-US"/>
        </w:rPr>
        <w:t>Karabük</w:t>
      </w:r>
      <w:proofErr w:type="spellEnd"/>
      <w:r w:rsidR="00D0221F" w:rsidRPr="00D0221F">
        <w:rPr>
          <w:rFonts w:ascii="Century Gothic" w:hAnsi="Century Gothic"/>
          <w:lang w:val="en-US"/>
        </w:rPr>
        <w:t xml:space="preserve"> Demir </w:t>
      </w:r>
      <w:proofErr w:type="spellStart"/>
      <w:r w:rsidR="00D0221F" w:rsidRPr="00D0221F">
        <w:rPr>
          <w:rFonts w:ascii="Century Gothic" w:hAnsi="Century Gothic"/>
          <w:lang w:val="en-US"/>
        </w:rPr>
        <w:t>Celik</w:t>
      </w:r>
      <w:proofErr w:type="spellEnd"/>
      <w:r w:rsidR="00D0221F" w:rsidRPr="00D0221F">
        <w:rPr>
          <w:rFonts w:ascii="Century Gothic" w:hAnsi="Century Gothic"/>
          <w:lang w:val="en-US"/>
        </w:rPr>
        <w:t xml:space="preserve"> </w:t>
      </w:r>
      <w:proofErr w:type="spellStart"/>
      <w:r w:rsidR="00D0221F" w:rsidRPr="00D0221F">
        <w:rPr>
          <w:rFonts w:ascii="Century Gothic" w:hAnsi="Century Gothic"/>
          <w:lang w:val="en-US"/>
        </w:rPr>
        <w:t>Sanayi</w:t>
      </w:r>
      <w:proofErr w:type="spellEnd"/>
      <w:r w:rsidR="00D0221F" w:rsidRPr="00D0221F">
        <w:rPr>
          <w:rFonts w:ascii="Century Gothic" w:hAnsi="Century Gothic"/>
          <w:lang w:val="en-US"/>
        </w:rPr>
        <w:t xml:space="preserve"> ve </w:t>
      </w:r>
      <w:proofErr w:type="spellStart"/>
      <w:r w:rsidR="00D0221F" w:rsidRPr="00D0221F">
        <w:rPr>
          <w:rFonts w:ascii="Century Gothic" w:hAnsi="Century Gothic"/>
          <w:lang w:val="en-US"/>
        </w:rPr>
        <w:t>Ticaret</w:t>
      </w:r>
      <w:proofErr w:type="spellEnd"/>
      <w:r w:rsidR="00D0221F" w:rsidRPr="00D0221F">
        <w:rPr>
          <w:rFonts w:ascii="Century Gothic" w:hAnsi="Century Gothic"/>
          <w:lang w:val="en-US"/>
        </w:rPr>
        <w:t xml:space="preserve"> AS, it is included in the analysis as one because the company ratios are the same. Consequently,</w:t>
      </w:r>
    </w:p>
    <w:p w:rsidR="00D0221F" w:rsidRPr="00D0221F" w:rsidRDefault="00D0221F" w:rsidP="00D0221F">
      <w:pPr>
        <w:numPr>
          <w:ilvl w:val="0"/>
          <w:numId w:val="13"/>
        </w:numPr>
        <w:jc w:val="both"/>
        <w:rPr>
          <w:rFonts w:ascii="Century Gothic" w:hAnsi="Century Gothic"/>
          <w:lang w:val="en-US"/>
        </w:rPr>
      </w:pPr>
      <w:r w:rsidRPr="00D0221F">
        <w:rPr>
          <w:rFonts w:ascii="Century Gothic" w:hAnsi="Century Gothic"/>
          <w:lang w:val="en-US"/>
        </w:rPr>
        <w:t xml:space="preserve">BMSCH, BMSTL, ERCB, KCAER and PNLSN were excluded for 2017, the analysis was carried out with the remaining 17 </w:t>
      </w:r>
      <w:proofErr w:type="spellStart"/>
      <w:r w:rsidR="00520C2B" w:rsidRPr="00520C2B">
        <w:rPr>
          <w:rFonts w:ascii="Century Gothic" w:hAnsi="Century Gothic"/>
          <w:bCs/>
        </w:rPr>
        <w:t>enterprises</w:t>
      </w:r>
      <w:proofErr w:type="spellEnd"/>
      <w:r w:rsidRPr="00D0221F">
        <w:rPr>
          <w:rFonts w:ascii="Century Gothic" w:hAnsi="Century Gothic"/>
          <w:lang w:val="en-US"/>
        </w:rPr>
        <w:t>,</w:t>
      </w:r>
    </w:p>
    <w:p w:rsidR="00D0221F" w:rsidRPr="00D0221F" w:rsidRDefault="00D0221F" w:rsidP="00D0221F">
      <w:pPr>
        <w:numPr>
          <w:ilvl w:val="0"/>
          <w:numId w:val="13"/>
        </w:numPr>
        <w:jc w:val="both"/>
        <w:rPr>
          <w:rFonts w:ascii="Century Gothic" w:hAnsi="Century Gothic"/>
          <w:lang w:val="en-US"/>
        </w:rPr>
      </w:pPr>
      <w:r w:rsidRPr="00D0221F">
        <w:rPr>
          <w:rFonts w:ascii="Century Gothic" w:hAnsi="Century Gothic"/>
          <w:lang w:val="en-US"/>
        </w:rPr>
        <w:t>BMSCH, BMSTL, PNLSN and KCAER were excluded for 2018, the analysis was carried out with the remaining 18 c</w:t>
      </w:r>
      <w:r w:rsidR="00520C2B" w:rsidRPr="00520C2B">
        <w:rPr>
          <w:rFonts w:ascii="Century Gothic" w:hAnsi="Century Gothic"/>
          <w:bCs/>
        </w:rPr>
        <w:t xml:space="preserve"> </w:t>
      </w:r>
      <w:proofErr w:type="spellStart"/>
      <w:r w:rsidR="00520C2B" w:rsidRPr="00520C2B">
        <w:rPr>
          <w:rFonts w:ascii="Century Gothic" w:hAnsi="Century Gothic"/>
          <w:bCs/>
        </w:rPr>
        <w:t>enterprises</w:t>
      </w:r>
      <w:proofErr w:type="spellEnd"/>
      <w:r w:rsidRPr="00D0221F">
        <w:rPr>
          <w:rFonts w:ascii="Century Gothic" w:hAnsi="Century Gothic"/>
          <w:lang w:val="en-US"/>
        </w:rPr>
        <w:t>,</w:t>
      </w:r>
    </w:p>
    <w:p w:rsidR="00D0221F" w:rsidRPr="00D0221F" w:rsidRDefault="00D0221F" w:rsidP="00D0221F">
      <w:pPr>
        <w:numPr>
          <w:ilvl w:val="0"/>
          <w:numId w:val="13"/>
        </w:numPr>
        <w:jc w:val="both"/>
        <w:rPr>
          <w:rFonts w:ascii="Century Gothic" w:hAnsi="Century Gothic"/>
          <w:lang w:val="en-US"/>
        </w:rPr>
      </w:pPr>
      <w:r w:rsidRPr="00D0221F">
        <w:rPr>
          <w:rFonts w:ascii="Century Gothic" w:hAnsi="Century Gothic"/>
          <w:lang w:val="en-US"/>
        </w:rPr>
        <w:t xml:space="preserve">MSTL and KCAER were excluded for 2019, the analysis was carried out with the remaining 20 </w:t>
      </w:r>
      <w:proofErr w:type="spellStart"/>
      <w:r w:rsidR="00520C2B" w:rsidRPr="00520C2B">
        <w:rPr>
          <w:rFonts w:ascii="Century Gothic" w:hAnsi="Century Gothic"/>
          <w:bCs/>
        </w:rPr>
        <w:t>enterprises</w:t>
      </w:r>
      <w:proofErr w:type="spellEnd"/>
      <w:r w:rsidRPr="00D0221F">
        <w:rPr>
          <w:rFonts w:ascii="Century Gothic" w:hAnsi="Century Gothic"/>
          <w:lang w:val="en-US"/>
        </w:rPr>
        <w:t>,</w:t>
      </w:r>
    </w:p>
    <w:p w:rsidR="00D0221F" w:rsidRPr="00D0221F" w:rsidRDefault="00D0221F" w:rsidP="00D0221F">
      <w:pPr>
        <w:numPr>
          <w:ilvl w:val="0"/>
          <w:numId w:val="13"/>
        </w:numPr>
        <w:jc w:val="both"/>
        <w:rPr>
          <w:rFonts w:ascii="Century Gothic" w:hAnsi="Century Gothic"/>
          <w:lang w:val="en-US"/>
        </w:rPr>
      </w:pPr>
      <w:r w:rsidRPr="00D0221F">
        <w:rPr>
          <w:rFonts w:ascii="Century Gothic" w:hAnsi="Century Gothic"/>
          <w:lang w:val="en-US"/>
        </w:rPr>
        <w:t xml:space="preserve">Lastly, in 2020 and 2021, the analysis was carried out with the ratios of 22 </w:t>
      </w:r>
      <w:proofErr w:type="spellStart"/>
      <w:r w:rsidR="00520C2B" w:rsidRPr="00520C2B">
        <w:rPr>
          <w:rFonts w:ascii="Century Gothic" w:hAnsi="Century Gothic"/>
          <w:bCs/>
        </w:rPr>
        <w:t>enterprises</w:t>
      </w:r>
      <w:proofErr w:type="spellEnd"/>
      <w:r w:rsidRPr="00D0221F">
        <w:rPr>
          <w:rFonts w:ascii="Century Gothic" w:hAnsi="Century Gothic"/>
          <w:lang w:val="en-US"/>
        </w:rPr>
        <w:t xml:space="preserve">. </w:t>
      </w:r>
    </w:p>
    <w:p w:rsidR="00D0221F" w:rsidRDefault="00D0221F" w:rsidP="00D0221F">
      <w:pPr>
        <w:jc w:val="both"/>
        <w:rPr>
          <w:rFonts w:ascii="Century Gothic" w:hAnsi="Century Gothic"/>
          <w:lang w:val="en-US"/>
        </w:rPr>
      </w:pPr>
      <w:r w:rsidRPr="00D0221F">
        <w:rPr>
          <w:rFonts w:ascii="Century Gothic" w:hAnsi="Century Gothic"/>
          <w:lang w:val="en-US"/>
        </w:rPr>
        <w:t xml:space="preserve">The TOPSIS multi-criteria decision-making method was used in the analysis of financial data. TOPSIS stands for "Technique for Order Preference by Similarity to the Ideal Solution." It has a wide application area as a multi-criteria decision-making technique developed by Hwang and Yoon in 1981. TOPSIS is widely used because it allows decision-making with limited and subjective inputs. The only subjective input required is the specified weights (Olson, 2004). </w:t>
      </w:r>
    </w:p>
    <w:p w:rsidR="005A7E37" w:rsidRDefault="005A7E37" w:rsidP="00D0221F">
      <w:pPr>
        <w:jc w:val="both"/>
        <w:rPr>
          <w:rFonts w:ascii="Century Gothic" w:hAnsi="Century Gothic"/>
          <w:lang w:val="en-US"/>
        </w:rPr>
      </w:pPr>
    </w:p>
    <w:p w:rsidR="005A7E37" w:rsidRPr="00D0221F" w:rsidRDefault="005A7E37" w:rsidP="00D0221F">
      <w:pPr>
        <w:jc w:val="both"/>
        <w:rPr>
          <w:rFonts w:ascii="Century Gothic" w:hAnsi="Century Gothic"/>
          <w:lang w:val="en-US"/>
        </w:rPr>
      </w:pPr>
    </w:p>
    <w:p w:rsidR="00D0221F" w:rsidRPr="00D0221F" w:rsidRDefault="00D0221F" w:rsidP="00D0221F">
      <w:pPr>
        <w:jc w:val="both"/>
        <w:rPr>
          <w:rFonts w:ascii="Century Gothic" w:hAnsi="Century Gothic"/>
          <w:b/>
          <w:bCs/>
          <w:lang w:val="en-US"/>
        </w:rPr>
      </w:pPr>
      <w:r w:rsidRPr="00D0221F">
        <w:rPr>
          <w:rFonts w:ascii="Century Gothic" w:hAnsi="Century Gothic"/>
          <w:b/>
          <w:bCs/>
          <w:lang w:val="en-US"/>
        </w:rPr>
        <w:lastRenderedPageBreak/>
        <w:t>Conclusion</w:t>
      </w:r>
    </w:p>
    <w:p w:rsidR="00D0221F" w:rsidRPr="00D0221F" w:rsidRDefault="00D0221F" w:rsidP="00D0221F">
      <w:pPr>
        <w:jc w:val="both"/>
        <w:rPr>
          <w:rFonts w:ascii="Century Gothic" w:hAnsi="Century Gothic"/>
          <w:bCs/>
          <w:lang w:val="en-US"/>
        </w:rPr>
      </w:pPr>
      <w:r w:rsidRPr="00D0221F">
        <w:rPr>
          <w:rFonts w:ascii="Century Gothic" w:hAnsi="Century Gothic"/>
          <w:bCs/>
          <w:lang w:val="en-US"/>
        </w:rPr>
        <w:t xml:space="preserve">The purpose of the study is to rank the BIST Basic Metal Index </w:t>
      </w:r>
      <w:proofErr w:type="spellStart"/>
      <w:r w:rsidR="00520C2B" w:rsidRPr="00520C2B">
        <w:rPr>
          <w:rFonts w:ascii="Century Gothic" w:hAnsi="Century Gothic"/>
          <w:bCs/>
        </w:rPr>
        <w:t>enterprises</w:t>
      </w:r>
      <w:proofErr w:type="spellEnd"/>
      <w:r w:rsidRPr="00D0221F">
        <w:rPr>
          <w:rFonts w:ascii="Century Gothic" w:hAnsi="Century Gothic"/>
          <w:bCs/>
          <w:lang w:val="en-US"/>
        </w:rPr>
        <w:t xml:space="preserve"> according to their financial performance. The financial ratios of basic metal </w:t>
      </w:r>
      <w:proofErr w:type="spellStart"/>
      <w:r w:rsidR="00520C2B" w:rsidRPr="00520C2B">
        <w:rPr>
          <w:rFonts w:ascii="Century Gothic" w:hAnsi="Century Gothic"/>
          <w:bCs/>
        </w:rPr>
        <w:t>enterprises</w:t>
      </w:r>
      <w:proofErr w:type="spellEnd"/>
      <w:r w:rsidRPr="00D0221F">
        <w:rPr>
          <w:rFonts w:ascii="Century Gothic" w:hAnsi="Century Gothic"/>
          <w:bCs/>
          <w:lang w:val="en-US"/>
        </w:rPr>
        <w:t xml:space="preserve">—four main and twelve sub—selected as financial performance indicators were calculated annually for the 2017-2021 period, and the institutions' performances were listed for each year. </w:t>
      </w:r>
    </w:p>
    <w:p w:rsidR="00D0221F" w:rsidRPr="00D0221F" w:rsidRDefault="00D0221F" w:rsidP="00D0221F">
      <w:pPr>
        <w:jc w:val="both"/>
        <w:rPr>
          <w:rFonts w:ascii="Century Gothic" w:hAnsi="Century Gothic"/>
          <w:bCs/>
          <w:lang w:val="en-US"/>
        </w:rPr>
      </w:pPr>
      <w:r w:rsidRPr="00D0221F">
        <w:rPr>
          <w:rFonts w:ascii="Century Gothic" w:hAnsi="Century Gothic"/>
          <w:bCs/>
          <w:lang w:val="en-US"/>
        </w:rPr>
        <w:t>Examining the ranking of the businesses produced by the TOPSIS method reveals that the top company in terms of performance changes for each year that was investigated.</w:t>
      </w:r>
    </w:p>
    <w:p w:rsidR="00D0221F" w:rsidRPr="00D0221F" w:rsidRDefault="00D0221F" w:rsidP="00D0221F">
      <w:pPr>
        <w:jc w:val="both"/>
        <w:rPr>
          <w:rFonts w:ascii="Century Gothic" w:hAnsi="Century Gothic"/>
          <w:bCs/>
          <w:lang w:val="en-US"/>
        </w:rPr>
      </w:pPr>
      <w:r w:rsidRPr="00D0221F">
        <w:rPr>
          <w:rFonts w:ascii="Century Gothic" w:hAnsi="Century Gothic"/>
          <w:bCs/>
          <w:lang w:val="en-US"/>
        </w:rPr>
        <w:t>While EREGL was the first company in 2017 and 2018, it was replaced by CEMTS in 2019-2020 and CEMAS in 2021.</w:t>
      </w:r>
    </w:p>
    <w:p w:rsidR="00D0221F" w:rsidRPr="00D0221F" w:rsidRDefault="00D0221F" w:rsidP="00D0221F">
      <w:pPr>
        <w:jc w:val="both"/>
        <w:rPr>
          <w:rFonts w:ascii="Century Gothic" w:hAnsi="Century Gothic"/>
          <w:bCs/>
          <w:lang w:val="en-US"/>
        </w:rPr>
      </w:pPr>
      <w:r w:rsidRPr="00D0221F">
        <w:rPr>
          <w:rFonts w:ascii="Century Gothic" w:hAnsi="Century Gothic"/>
          <w:bCs/>
          <w:lang w:val="en-US"/>
        </w:rPr>
        <w:t>In the data set used for the analysis, the CEMAS company's performance in the years 2017–2018–2019 was at the bottom, but in the years 2020–2021 it reached the highest point. The increase in performance over the last year was due to proportional increases in the Liquidity Ratio and Cash Ratio variables when compared to 2021. This improvement in the company's performance score in Liquidity Ratios has caused it to rise in the rankings. The decline in EREGL's performance ranking in recent years is due to a decrease in financial structure ratios.</w:t>
      </w:r>
    </w:p>
    <w:p w:rsidR="00D0221F" w:rsidRPr="00D0221F" w:rsidRDefault="00D0221F" w:rsidP="00D0221F">
      <w:pPr>
        <w:jc w:val="both"/>
        <w:rPr>
          <w:rFonts w:ascii="Century Gothic" w:hAnsi="Century Gothic"/>
          <w:bCs/>
          <w:lang w:val="en-US"/>
        </w:rPr>
      </w:pPr>
      <w:r w:rsidRPr="00D0221F">
        <w:rPr>
          <w:rFonts w:ascii="Century Gothic" w:hAnsi="Century Gothic"/>
          <w:bCs/>
          <w:lang w:val="en-US"/>
        </w:rPr>
        <w:t xml:space="preserve">According to IZMDC data, it ranks last in terms of performance between 2018 and 2021. Finally, according to IZMDC data, this company ranks last overall for the years 2018-2019-2020-2021. The performance of the BIST Basic Metal industry </w:t>
      </w:r>
      <w:proofErr w:type="spellStart"/>
      <w:r w:rsidR="00520C2B" w:rsidRPr="00520C2B">
        <w:rPr>
          <w:rFonts w:ascii="Century Gothic" w:hAnsi="Century Gothic"/>
          <w:bCs/>
        </w:rPr>
        <w:t>enterprises</w:t>
      </w:r>
      <w:proofErr w:type="spellEnd"/>
      <w:r w:rsidR="00520C2B" w:rsidRPr="00520C2B">
        <w:rPr>
          <w:rFonts w:ascii="Century Gothic" w:hAnsi="Century Gothic"/>
          <w:bCs/>
          <w:lang w:val="en-US"/>
        </w:rPr>
        <w:t xml:space="preserve"> </w:t>
      </w:r>
      <w:r w:rsidRPr="00D0221F">
        <w:rPr>
          <w:rFonts w:ascii="Century Gothic" w:hAnsi="Century Gothic"/>
          <w:bCs/>
          <w:lang w:val="en-US"/>
        </w:rPr>
        <w:t>was examined using financial ratios in this study, and it was determined that fluctuations in the liquidity and financial structure ratios had an effect on their financial performance. Other financial ratios, on the other hand, should not be overlooked because they have an impact on financial performance as well.</w:t>
      </w:r>
    </w:p>
    <w:p w:rsidR="00441E18" w:rsidRPr="008C5CC1" w:rsidRDefault="00D0221F" w:rsidP="008C5CC1">
      <w:pPr>
        <w:jc w:val="both"/>
        <w:rPr>
          <w:rFonts w:ascii="Century Gothic" w:hAnsi="Century Gothic"/>
          <w:bCs/>
          <w:lang w:val="en-US"/>
        </w:rPr>
      </w:pPr>
      <w:r w:rsidRPr="00D0221F">
        <w:rPr>
          <w:rFonts w:ascii="Century Gothic" w:hAnsi="Century Gothic"/>
          <w:bCs/>
          <w:lang w:val="en-US"/>
        </w:rPr>
        <w:t xml:space="preserve">As a result, depending on the </w:t>
      </w:r>
      <w:proofErr w:type="spellStart"/>
      <w:r w:rsidR="00520C2B" w:rsidRPr="00520C2B">
        <w:rPr>
          <w:rFonts w:ascii="Century Gothic" w:hAnsi="Century Gothic"/>
          <w:bCs/>
        </w:rPr>
        <w:t>enterpri</w:t>
      </w:r>
      <w:r w:rsidR="00520C2B">
        <w:rPr>
          <w:rFonts w:ascii="Century Gothic" w:hAnsi="Century Gothic"/>
          <w:bCs/>
        </w:rPr>
        <w:t>se</w:t>
      </w:r>
      <w:proofErr w:type="spellEnd"/>
      <w:r w:rsidRPr="00D0221F">
        <w:rPr>
          <w:rFonts w:ascii="Century Gothic" w:hAnsi="Century Gothic"/>
          <w:bCs/>
          <w:lang w:val="en-US"/>
        </w:rPr>
        <w:t xml:space="preserve">'s goals, financial performance can be improved by increasing its influence on other financial ratios. This study offers guidance to decision-makers by using TOPSIS to assess the financial performance of basic metal industry </w:t>
      </w:r>
      <w:proofErr w:type="spellStart"/>
      <w:r w:rsidR="004B69D4" w:rsidRPr="004B69D4">
        <w:rPr>
          <w:rFonts w:ascii="Century Gothic" w:hAnsi="Century Gothic"/>
          <w:bCs/>
        </w:rPr>
        <w:t>enterprises</w:t>
      </w:r>
      <w:proofErr w:type="spellEnd"/>
      <w:r w:rsidRPr="00D0221F">
        <w:rPr>
          <w:rFonts w:ascii="Century Gothic" w:hAnsi="Century Gothic"/>
          <w:bCs/>
          <w:lang w:val="en-US"/>
        </w:rPr>
        <w:t>. It is advised that future research incorporate various weighting and ranking techniques for assessing the performance of basic metal industry firms traded on the BIST.</w:t>
      </w:r>
      <w:r w:rsidR="00012B84">
        <w:rPr>
          <w:rFonts w:ascii="Century Gothic" w:hAnsi="Century Gothic"/>
          <w:bCs/>
          <w:lang w:val="en-US"/>
        </w:rPr>
        <w:t xml:space="preserve"> </w:t>
      </w:r>
      <w:r w:rsidRPr="00D0221F">
        <w:rPr>
          <w:rFonts w:ascii="Century Gothic" w:hAnsi="Century Gothic"/>
          <w:bCs/>
          <w:lang w:val="en-US"/>
        </w:rPr>
        <w:t>With this approach, it is also possible to compare and rank businesses from various industries based on their financial performance over time.</w:t>
      </w:r>
    </w:p>
    <w:sectPr w:rsidR="00441E18" w:rsidRPr="008C5CC1">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2597" w:rsidRDefault="00C82597" w:rsidP="00CE22E5">
      <w:pPr>
        <w:spacing w:after="0" w:line="240" w:lineRule="auto"/>
      </w:pPr>
      <w:r>
        <w:separator/>
      </w:r>
    </w:p>
  </w:endnote>
  <w:endnote w:type="continuationSeparator" w:id="0">
    <w:p w:rsidR="00C82597" w:rsidRDefault="00C82597" w:rsidP="00CE22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entury Gothic">
    <w:panose1 w:val="020B0502020202020204"/>
    <w:charset w:val="A2"/>
    <w:family w:val="swiss"/>
    <w:pitch w:val="variable"/>
    <w:sig w:usb0="00000287" w:usb1="00000000" w:usb2="00000000" w:usb3="00000000" w:csb0="0000009F" w:csb1="00000000"/>
  </w:font>
  <w:font w:name="Cambria Math">
    <w:panose1 w:val="02040503050406030204"/>
    <w:charset w:val="A2"/>
    <w:family w:val="roman"/>
    <w:pitch w:val="variable"/>
    <w:sig w:usb0="E00006FF" w:usb1="420024FF" w:usb2="02000000" w:usb3="00000000" w:csb0="0000019F" w:csb1="00000000"/>
  </w:font>
  <w:font w:name="Poppins">
    <w:altName w:val="Times New Roman"/>
    <w:panose1 w:val="00000500000000000000"/>
    <w:charset w:val="A2"/>
    <w:family w:val="auto"/>
    <w:pitch w:val="variable"/>
    <w:sig w:usb0="00008007" w:usb1="00000000" w:usb2="00000000" w:usb3="00000000" w:csb0="00000093"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6037816"/>
      <w:docPartObj>
        <w:docPartGallery w:val="Page Numbers (Bottom of Page)"/>
        <w:docPartUnique/>
      </w:docPartObj>
    </w:sdtPr>
    <w:sdtEndPr>
      <w:rPr>
        <w:rFonts w:ascii="Century Gothic" w:hAnsi="Century Gothic"/>
      </w:rPr>
    </w:sdtEndPr>
    <w:sdtContent>
      <w:p w:rsidR="00223DBA" w:rsidRPr="003874D2" w:rsidRDefault="00223DBA">
        <w:pPr>
          <w:pStyle w:val="AltBilgi"/>
          <w:jc w:val="center"/>
          <w:rPr>
            <w:rFonts w:ascii="Century Gothic" w:hAnsi="Century Gothic"/>
          </w:rPr>
        </w:pPr>
        <w:r w:rsidRPr="003874D2">
          <w:rPr>
            <w:rFonts w:ascii="Century Gothic" w:hAnsi="Century Gothic"/>
          </w:rPr>
          <w:fldChar w:fldCharType="begin"/>
        </w:r>
        <w:r w:rsidRPr="003874D2">
          <w:rPr>
            <w:rFonts w:ascii="Century Gothic" w:hAnsi="Century Gothic"/>
          </w:rPr>
          <w:instrText>PAGE   \* MERGEFORMAT</w:instrText>
        </w:r>
        <w:r w:rsidRPr="003874D2">
          <w:rPr>
            <w:rFonts w:ascii="Century Gothic" w:hAnsi="Century Gothic"/>
          </w:rPr>
          <w:fldChar w:fldCharType="separate"/>
        </w:r>
        <w:r w:rsidR="002F3C74">
          <w:rPr>
            <w:rFonts w:ascii="Century Gothic" w:hAnsi="Century Gothic"/>
            <w:noProof/>
          </w:rPr>
          <w:t>2</w:t>
        </w:r>
        <w:r w:rsidRPr="003874D2">
          <w:rPr>
            <w:rFonts w:ascii="Century Gothic" w:hAnsi="Century Gothic"/>
          </w:rPr>
          <w:fldChar w:fldCharType="end"/>
        </w:r>
      </w:p>
    </w:sdtContent>
  </w:sdt>
  <w:p w:rsidR="00223DBA" w:rsidRDefault="00223DBA">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2597" w:rsidRDefault="00C82597" w:rsidP="00CE22E5">
      <w:pPr>
        <w:spacing w:after="0" w:line="240" w:lineRule="auto"/>
      </w:pPr>
      <w:r>
        <w:separator/>
      </w:r>
    </w:p>
  </w:footnote>
  <w:footnote w:type="continuationSeparator" w:id="0">
    <w:p w:rsidR="00C82597" w:rsidRDefault="00C82597" w:rsidP="00CE22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449A8"/>
    <w:multiLevelType w:val="multilevel"/>
    <w:tmpl w:val="A1967BA8"/>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4B35CDB"/>
    <w:multiLevelType w:val="hybridMultilevel"/>
    <w:tmpl w:val="199A7CF6"/>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59B1600"/>
    <w:multiLevelType w:val="hybridMultilevel"/>
    <w:tmpl w:val="20747AEE"/>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3" w15:restartNumberingAfterBreak="0">
    <w:nsid w:val="159F3955"/>
    <w:multiLevelType w:val="hybridMultilevel"/>
    <w:tmpl w:val="886C0884"/>
    <w:lvl w:ilvl="0" w:tplc="041F0003">
      <w:start w:val="1"/>
      <w:numFmt w:val="bullet"/>
      <w:lvlText w:val="o"/>
      <w:lvlJc w:val="left"/>
      <w:pPr>
        <w:ind w:left="1428" w:hanging="360"/>
      </w:pPr>
      <w:rPr>
        <w:rFonts w:ascii="Courier New" w:hAnsi="Courier New" w:cs="Courier New"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4" w15:restartNumberingAfterBreak="0">
    <w:nsid w:val="18355FBF"/>
    <w:multiLevelType w:val="hybridMultilevel"/>
    <w:tmpl w:val="F274E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AE0C50"/>
    <w:multiLevelType w:val="hybridMultilevel"/>
    <w:tmpl w:val="019E6078"/>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38B24062"/>
    <w:multiLevelType w:val="hybridMultilevel"/>
    <w:tmpl w:val="A36E5E3C"/>
    <w:lvl w:ilvl="0" w:tplc="041F0003">
      <w:start w:val="1"/>
      <w:numFmt w:val="bullet"/>
      <w:lvlText w:val="o"/>
      <w:lvlJc w:val="left"/>
      <w:pPr>
        <w:ind w:left="1776" w:hanging="360"/>
      </w:pPr>
      <w:rPr>
        <w:rFonts w:ascii="Courier New" w:hAnsi="Courier New" w:cs="Courier New" w:hint="default"/>
        <w:b/>
      </w:rPr>
    </w:lvl>
    <w:lvl w:ilvl="1" w:tplc="041F0003">
      <w:start w:val="1"/>
      <w:numFmt w:val="bullet"/>
      <w:lvlText w:val="o"/>
      <w:lvlJc w:val="left"/>
      <w:pPr>
        <w:ind w:left="2496" w:hanging="360"/>
      </w:pPr>
      <w:rPr>
        <w:rFonts w:ascii="Courier New" w:hAnsi="Courier New" w:cs="Courier New" w:hint="default"/>
      </w:rPr>
    </w:lvl>
    <w:lvl w:ilvl="2" w:tplc="041F001B" w:tentative="1">
      <w:start w:val="1"/>
      <w:numFmt w:val="lowerRoman"/>
      <w:lvlText w:val="%3."/>
      <w:lvlJc w:val="right"/>
      <w:pPr>
        <w:ind w:left="3216" w:hanging="180"/>
      </w:pPr>
    </w:lvl>
    <w:lvl w:ilvl="3" w:tplc="041F000F" w:tentative="1">
      <w:start w:val="1"/>
      <w:numFmt w:val="decimal"/>
      <w:lvlText w:val="%4."/>
      <w:lvlJc w:val="left"/>
      <w:pPr>
        <w:ind w:left="3936" w:hanging="360"/>
      </w:pPr>
    </w:lvl>
    <w:lvl w:ilvl="4" w:tplc="041F0019" w:tentative="1">
      <w:start w:val="1"/>
      <w:numFmt w:val="lowerLetter"/>
      <w:lvlText w:val="%5."/>
      <w:lvlJc w:val="left"/>
      <w:pPr>
        <w:ind w:left="4656" w:hanging="360"/>
      </w:pPr>
    </w:lvl>
    <w:lvl w:ilvl="5" w:tplc="041F001B" w:tentative="1">
      <w:start w:val="1"/>
      <w:numFmt w:val="lowerRoman"/>
      <w:lvlText w:val="%6."/>
      <w:lvlJc w:val="right"/>
      <w:pPr>
        <w:ind w:left="5376" w:hanging="180"/>
      </w:pPr>
    </w:lvl>
    <w:lvl w:ilvl="6" w:tplc="041F000F" w:tentative="1">
      <w:start w:val="1"/>
      <w:numFmt w:val="decimal"/>
      <w:lvlText w:val="%7."/>
      <w:lvlJc w:val="left"/>
      <w:pPr>
        <w:ind w:left="6096" w:hanging="360"/>
      </w:pPr>
    </w:lvl>
    <w:lvl w:ilvl="7" w:tplc="041F0019" w:tentative="1">
      <w:start w:val="1"/>
      <w:numFmt w:val="lowerLetter"/>
      <w:lvlText w:val="%8."/>
      <w:lvlJc w:val="left"/>
      <w:pPr>
        <w:ind w:left="6816" w:hanging="360"/>
      </w:pPr>
    </w:lvl>
    <w:lvl w:ilvl="8" w:tplc="041F001B" w:tentative="1">
      <w:start w:val="1"/>
      <w:numFmt w:val="lowerRoman"/>
      <w:lvlText w:val="%9."/>
      <w:lvlJc w:val="right"/>
      <w:pPr>
        <w:ind w:left="7536" w:hanging="180"/>
      </w:pPr>
    </w:lvl>
  </w:abstractNum>
  <w:abstractNum w:abstractNumId="7" w15:restartNumberingAfterBreak="0">
    <w:nsid w:val="4D421CC3"/>
    <w:multiLevelType w:val="hybridMultilevel"/>
    <w:tmpl w:val="2634E14A"/>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8" w15:restartNumberingAfterBreak="0">
    <w:nsid w:val="4F593E46"/>
    <w:multiLevelType w:val="hybridMultilevel"/>
    <w:tmpl w:val="8D6E308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50A76002"/>
    <w:multiLevelType w:val="hybridMultilevel"/>
    <w:tmpl w:val="BF9E89B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616822D4"/>
    <w:multiLevelType w:val="hybridMultilevel"/>
    <w:tmpl w:val="9F1453E8"/>
    <w:lvl w:ilvl="0" w:tplc="041F0003">
      <w:start w:val="1"/>
      <w:numFmt w:val="bullet"/>
      <w:lvlText w:val="o"/>
      <w:lvlJc w:val="left"/>
      <w:pPr>
        <w:ind w:left="1776" w:hanging="360"/>
      </w:pPr>
      <w:rPr>
        <w:rFonts w:ascii="Courier New" w:hAnsi="Courier New" w:cs="Courier New" w:hint="default"/>
      </w:rPr>
    </w:lvl>
    <w:lvl w:ilvl="1" w:tplc="041F0003" w:tentative="1">
      <w:start w:val="1"/>
      <w:numFmt w:val="bullet"/>
      <w:lvlText w:val="o"/>
      <w:lvlJc w:val="left"/>
      <w:pPr>
        <w:ind w:left="2496" w:hanging="360"/>
      </w:pPr>
      <w:rPr>
        <w:rFonts w:ascii="Courier New" w:hAnsi="Courier New" w:cs="Courier New" w:hint="default"/>
      </w:rPr>
    </w:lvl>
    <w:lvl w:ilvl="2" w:tplc="041F0005" w:tentative="1">
      <w:start w:val="1"/>
      <w:numFmt w:val="bullet"/>
      <w:lvlText w:val=""/>
      <w:lvlJc w:val="left"/>
      <w:pPr>
        <w:ind w:left="3216" w:hanging="360"/>
      </w:pPr>
      <w:rPr>
        <w:rFonts w:ascii="Wingdings" w:hAnsi="Wingdings" w:hint="default"/>
      </w:rPr>
    </w:lvl>
    <w:lvl w:ilvl="3" w:tplc="041F0001" w:tentative="1">
      <w:start w:val="1"/>
      <w:numFmt w:val="bullet"/>
      <w:lvlText w:val=""/>
      <w:lvlJc w:val="left"/>
      <w:pPr>
        <w:ind w:left="3936" w:hanging="360"/>
      </w:pPr>
      <w:rPr>
        <w:rFonts w:ascii="Symbol" w:hAnsi="Symbol" w:hint="default"/>
      </w:rPr>
    </w:lvl>
    <w:lvl w:ilvl="4" w:tplc="041F0003" w:tentative="1">
      <w:start w:val="1"/>
      <w:numFmt w:val="bullet"/>
      <w:lvlText w:val="o"/>
      <w:lvlJc w:val="left"/>
      <w:pPr>
        <w:ind w:left="4656" w:hanging="360"/>
      </w:pPr>
      <w:rPr>
        <w:rFonts w:ascii="Courier New" w:hAnsi="Courier New" w:cs="Courier New" w:hint="default"/>
      </w:rPr>
    </w:lvl>
    <w:lvl w:ilvl="5" w:tplc="041F0005" w:tentative="1">
      <w:start w:val="1"/>
      <w:numFmt w:val="bullet"/>
      <w:lvlText w:val=""/>
      <w:lvlJc w:val="left"/>
      <w:pPr>
        <w:ind w:left="5376" w:hanging="360"/>
      </w:pPr>
      <w:rPr>
        <w:rFonts w:ascii="Wingdings" w:hAnsi="Wingdings" w:hint="default"/>
      </w:rPr>
    </w:lvl>
    <w:lvl w:ilvl="6" w:tplc="041F0001" w:tentative="1">
      <w:start w:val="1"/>
      <w:numFmt w:val="bullet"/>
      <w:lvlText w:val=""/>
      <w:lvlJc w:val="left"/>
      <w:pPr>
        <w:ind w:left="6096" w:hanging="360"/>
      </w:pPr>
      <w:rPr>
        <w:rFonts w:ascii="Symbol" w:hAnsi="Symbol" w:hint="default"/>
      </w:rPr>
    </w:lvl>
    <w:lvl w:ilvl="7" w:tplc="041F0003" w:tentative="1">
      <w:start w:val="1"/>
      <w:numFmt w:val="bullet"/>
      <w:lvlText w:val="o"/>
      <w:lvlJc w:val="left"/>
      <w:pPr>
        <w:ind w:left="6816" w:hanging="360"/>
      </w:pPr>
      <w:rPr>
        <w:rFonts w:ascii="Courier New" w:hAnsi="Courier New" w:cs="Courier New" w:hint="default"/>
      </w:rPr>
    </w:lvl>
    <w:lvl w:ilvl="8" w:tplc="041F0005" w:tentative="1">
      <w:start w:val="1"/>
      <w:numFmt w:val="bullet"/>
      <w:lvlText w:val=""/>
      <w:lvlJc w:val="left"/>
      <w:pPr>
        <w:ind w:left="7536" w:hanging="360"/>
      </w:pPr>
      <w:rPr>
        <w:rFonts w:ascii="Wingdings" w:hAnsi="Wingdings" w:hint="default"/>
      </w:rPr>
    </w:lvl>
  </w:abstractNum>
  <w:abstractNum w:abstractNumId="11" w15:restartNumberingAfterBreak="0">
    <w:nsid w:val="62680145"/>
    <w:multiLevelType w:val="multilevel"/>
    <w:tmpl w:val="B76E6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51930C6"/>
    <w:multiLevelType w:val="hybridMultilevel"/>
    <w:tmpl w:val="9EA2359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10"/>
  </w:num>
  <w:num w:numId="4">
    <w:abstractNumId w:val="8"/>
  </w:num>
  <w:num w:numId="5">
    <w:abstractNumId w:val="5"/>
  </w:num>
  <w:num w:numId="6">
    <w:abstractNumId w:val="1"/>
  </w:num>
  <w:num w:numId="7">
    <w:abstractNumId w:val="2"/>
  </w:num>
  <w:num w:numId="8">
    <w:abstractNumId w:val="7"/>
  </w:num>
  <w:num w:numId="9">
    <w:abstractNumId w:val="9"/>
  </w:num>
  <w:num w:numId="10">
    <w:abstractNumId w:val="0"/>
  </w:num>
  <w:num w:numId="11">
    <w:abstractNumId w:val="4"/>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22E5"/>
    <w:rsid w:val="00012B84"/>
    <w:rsid w:val="0001399A"/>
    <w:rsid w:val="00042BC1"/>
    <w:rsid w:val="000609A5"/>
    <w:rsid w:val="00065682"/>
    <w:rsid w:val="0007471F"/>
    <w:rsid w:val="000839E6"/>
    <w:rsid w:val="000E4335"/>
    <w:rsid w:val="000E54D1"/>
    <w:rsid w:val="00101211"/>
    <w:rsid w:val="001179CB"/>
    <w:rsid w:val="0012734C"/>
    <w:rsid w:val="00134797"/>
    <w:rsid w:val="00155980"/>
    <w:rsid w:val="00165D61"/>
    <w:rsid w:val="001A1081"/>
    <w:rsid w:val="001C586D"/>
    <w:rsid w:val="001E10AE"/>
    <w:rsid w:val="0021373D"/>
    <w:rsid w:val="002147C4"/>
    <w:rsid w:val="00215BE9"/>
    <w:rsid w:val="00217DEB"/>
    <w:rsid w:val="00223DBA"/>
    <w:rsid w:val="002534D0"/>
    <w:rsid w:val="00277ACD"/>
    <w:rsid w:val="002D4908"/>
    <w:rsid w:val="002F03E4"/>
    <w:rsid w:val="002F3C74"/>
    <w:rsid w:val="00330F02"/>
    <w:rsid w:val="00335239"/>
    <w:rsid w:val="00376978"/>
    <w:rsid w:val="003815B0"/>
    <w:rsid w:val="0038402C"/>
    <w:rsid w:val="003874D2"/>
    <w:rsid w:val="003C2F34"/>
    <w:rsid w:val="00416E55"/>
    <w:rsid w:val="00441E18"/>
    <w:rsid w:val="004462AF"/>
    <w:rsid w:val="00492444"/>
    <w:rsid w:val="00496846"/>
    <w:rsid w:val="004A46C9"/>
    <w:rsid w:val="004B23D5"/>
    <w:rsid w:val="004B69D4"/>
    <w:rsid w:val="004D4B23"/>
    <w:rsid w:val="00520C2B"/>
    <w:rsid w:val="00521E0C"/>
    <w:rsid w:val="00527EEF"/>
    <w:rsid w:val="00554371"/>
    <w:rsid w:val="005A7E37"/>
    <w:rsid w:val="005B311D"/>
    <w:rsid w:val="005C1F81"/>
    <w:rsid w:val="005E4CF4"/>
    <w:rsid w:val="005F65FF"/>
    <w:rsid w:val="00606BDC"/>
    <w:rsid w:val="0062425B"/>
    <w:rsid w:val="00643938"/>
    <w:rsid w:val="0066566E"/>
    <w:rsid w:val="00696F78"/>
    <w:rsid w:val="006C740C"/>
    <w:rsid w:val="006D171A"/>
    <w:rsid w:val="00700C78"/>
    <w:rsid w:val="00792064"/>
    <w:rsid w:val="007E2C2A"/>
    <w:rsid w:val="007F1D17"/>
    <w:rsid w:val="00862E62"/>
    <w:rsid w:val="00866E8B"/>
    <w:rsid w:val="00881AB2"/>
    <w:rsid w:val="0089532E"/>
    <w:rsid w:val="008A042C"/>
    <w:rsid w:val="008B3FBD"/>
    <w:rsid w:val="008C5CC1"/>
    <w:rsid w:val="008E38CC"/>
    <w:rsid w:val="009061C2"/>
    <w:rsid w:val="0092799E"/>
    <w:rsid w:val="00930E9F"/>
    <w:rsid w:val="009322F5"/>
    <w:rsid w:val="00943A58"/>
    <w:rsid w:val="00971C41"/>
    <w:rsid w:val="009A293E"/>
    <w:rsid w:val="00A1332E"/>
    <w:rsid w:val="00A13441"/>
    <w:rsid w:val="00A27649"/>
    <w:rsid w:val="00A307B9"/>
    <w:rsid w:val="00A426E3"/>
    <w:rsid w:val="00A91F4B"/>
    <w:rsid w:val="00AC35DA"/>
    <w:rsid w:val="00AC7846"/>
    <w:rsid w:val="00AD5F7C"/>
    <w:rsid w:val="00AE6345"/>
    <w:rsid w:val="00AE64EB"/>
    <w:rsid w:val="00B775D1"/>
    <w:rsid w:val="00B84247"/>
    <w:rsid w:val="00BA7446"/>
    <w:rsid w:val="00BB0A29"/>
    <w:rsid w:val="00BD50E3"/>
    <w:rsid w:val="00BE7628"/>
    <w:rsid w:val="00C0635E"/>
    <w:rsid w:val="00C2575C"/>
    <w:rsid w:val="00C63F27"/>
    <w:rsid w:val="00C82597"/>
    <w:rsid w:val="00C83AEC"/>
    <w:rsid w:val="00CE22E5"/>
    <w:rsid w:val="00D0221F"/>
    <w:rsid w:val="00D1183D"/>
    <w:rsid w:val="00D1634F"/>
    <w:rsid w:val="00DA77EE"/>
    <w:rsid w:val="00E402A9"/>
    <w:rsid w:val="00E429EB"/>
    <w:rsid w:val="00E62CB9"/>
    <w:rsid w:val="00E86DA4"/>
    <w:rsid w:val="00E87ACF"/>
    <w:rsid w:val="00EA3DA9"/>
    <w:rsid w:val="00EC03AF"/>
    <w:rsid w:val="00F11B43"/>
    <w:rsid w:val="00F25DB1"/>
    <w:rsid w:val="00F44E31"/>
    <w:rsid w:val="00F857CD"/>
    <w:rsid w:val="00F87B33"/>
    <w:rsid w:val="00FC62B7"/>
    <w:rsid w:val="00FE586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DE583F-CB2A-45BC-A46D-054B12123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22E5"/>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link w:val="DipnotMetniChar"/>
    <w:uiPriority w:val="99"/>
    <w:semiHidden/>
    <w:unhideWhenUsed/>
    <w:rsid w:val="00CE22E5"/>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CE22E5"/>
    <w:rPr>
      <w:sz w:val="20"/>
      <w:szCs w:val="20"/>
    </w:rPr>
  </w:style>
  <w:style w:type="character" w:styleId="DipnotBavurusu">
    <w:name w:val="footnote reference"/>
    <w:basedOn w:val="VarsaylanParagrafYazTipi"/>
    <w:uiPriority w:val="99"/>
    <w:semiHidden/>
    <w:unhideWhenUsed/>
    <w:rsid w:val="00CE22E5"/>
    <w:rPr>
      <w:vertAlign w:val="superscript"/>
    </w:rPr>
  </w:style>
  <w:style w:type="character" w:styleId="Kpr">
    <w:name w:val="Hyperlink"/>
    <w:basedOn w:val="VarsaylanParagrafYazTipi"/>
    <w:uiPriority w:val="99"/>
    <w:unhideWhenUsed/>
    <w:rsid w:val="00CE22E5"/>
    <w:rPr>
      <w:color w:val="0563C1" w:themeColor="hyperlink"/>
      <w:u w:val="single"/>
    </w:rPr>
  </w:style>
  <w:style w:type="paragraph" w:styleId="ListeParagraf">
    <w:name w:val="List Paragraph"/>
    <w:basedOn w:val="Normal"/>
    <w:uiPriority w:val="34"/>
    <w:qFormat/>
    <w:rsid w:val="00CE22E5"/>
    <w:pPr>
      <w:ind w:left="720"/>
      <w:contextualSpacing/>
    </w:pPr>
  </w:style>
  <w:style w:type="paragraph" w:styleId="stBilgi">
    <w:name w:val="header"/>
    <w:basedOn w:val="Normal"/>
    <w:link w:val="stBilgiChar"/>
    <w:uiPriority w:val="99"/>
    <w:unhideWhenUsed/>
    <w:rsid w:val="003874D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3874D2"/>
  </w:style>
  <w:style w:type="paragraph" w:styleId="AltBilgi">
    <w:name w:val="footer"/>
    <w:basedOn w:val="Normal"/>
    <w:link w:val="AltBilgiChar"/>
    <w:uiPriority w:val="99"/>
    <w:unhideWhenUsed/>
    <w:rsid w:val="003874D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3874D2"/>
  </w:style>
  <w:style w:type="table" w:styleId="TabloKlavuzu">
    <w:name w:val="Table Grid"/>
    <w:basedOn w:val="NormalTablo"/>
    <w:uiPriority w:val="39"/>
    <w:rsid w:val="003874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simYazs">
    <w:name w:val="caption"/>
    <w:basedOn w:val="Normal"/>
    <w:next w:val="Normal"/>
    <w:uiPriority w:val="35"/>
    <w:unhideWhenUsed/>
    <w:qFormat/>
    <w:rsid w:val="0007471F"/>
    <w:pPr>
      <w:spacing w:after="200" w:line="240" w:lineRule="auto"/>
    </w:pPr>
    <w:rPr>
      <w:rFonts w:ascii="Times New Roman" w:hAnsi="Times New Roman"/>
      <w:iCs/>
      <w:sz w:val="24"/>
      <w:szCs w:val="18"/>
    </w:rPr>
  </w:style>
  <w:style w:type="character" w:styleId="YerTutucuMetni">
    <w:name w:val="Placeholder Text"/>
    <w:basedOn w:val="VarsaylanParagrafYazTipi"/>
    <w:uiPriority w:val="99"/>
    <w:semiHidden/>
    <w:rsid w:val="0066566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1060363">
      <w:bodyDiv w:val="1"/>
      <w:marLeft w:val="0"/>
      <w:marRight w:val="0"/>
      <w:marTop w:val="0"/>
      <w:marBottom w:val="0"/>
      <w:divBdr>
        <w:top w:val="none" w:sz="0" w:space="0" w:color="auto"/>
        <w:left w:val="none" w:sz="0" w:space="0" w:color="auto"/>
        <w:bottom w:val="none" w:sz="0" w:space="0" w:color="auto"/>
        <w:right w:val="none" w:sz="0" w:space="0" w:color="auto"/>
      </w:divBdr>
    </w:div>
    <w:div w:id="1615093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dergipark.org.tr/jcsci"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76F334-48D7-4D20-BAAF-C590F57F3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4062</Words>
  <Characters>23158</Characters>
  <Application>Microsoft Office Word</Application>
  <DocSecurity>0</DocSecurity>
  <Lines>192</Lines>
  <Paragraphs>54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27166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Erdem Kırkbeşoğlu</dc:creator>
  <cp:keywords/>
  <dc:description/>
  <cp:lastModifiedBy>Erdem Kırkbeşoğlu</cp:lastModifiedBy>
  <cp:revision>4</cp:revision>
  <dcterms:created xsi:type="dcterms:W3CDTF">2023-03-25T06:18:00Z</dcterms:created>
  <dcterms:modified xsi:type="dcterms:W3CDTF">2023-06-06T19:11:00Z</dcterms:modified>
</cp:coreProperties>
</file>