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F5664"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
          <w:caps/>
          <w:sz w:val="24"/>
          <w:szCs w:val="24"/>
          <w:lang w:val="en-GB"/>
        </w:rPr>
      </w:pPr>
      <w:r w:rsidRPr="00DA61D7">
        <w:rPr>
          <w:rFonts w:ascii="Times New Roman" w:eastAsia="Times New Roman" w:hAnsi="Times New Roman" w:cs="Times New Roman"/>
          <w:b/>
          <w:szCs w:val="20"/>
          <w:lang w:val="en-GB"/>
        </w:rPr>
        <w:t>PRODUCTION OF ANNULAR AND COMPACT TYPE BURNABLE ABSORBER NUCLEAR FUEL PELLETS  BY POWDER METALLURGY AND SOL GEL ROUTE</w:t>
      </w:r>
    </w:p>
    <w:p w14:paraId="4A9247F1"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p>
    <w:p w14:paraId="68DECE14" w14:textId="2F7E5649"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Ahmet YAYLI</w:t>
      </w:r>
    </w:p>
    <w:p w14:paraId="4694B3D3"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p>
    <w:p w14:paraId="6A3017DD" w14:textId="04E242AB" w:rsidR="00B03311" w:rsidRPr="00DA61D7" w:rsidRDefault="00B03311" w:rsidP="00D365B6">
      <w:pPr>
        <w:pStyle w:val="ListeParagraf"/>
        <w:spacing w:afterLines="60" w:after="144"/>
        <w:ind w:left="0" w:firstLine="709"/>
        <w:jc w:val="center"/>
        <w:rPr>
          <w:spacing w:val="-6"/>
          <w:sz w:val="24"/>
          <w:szCs w:val="24"/>
        </w:rPr>
      </w:pPr>
      <w:r w:rsidRPr="00DA61D7">
        <w:rPr>
          <w:spacing w:val="-6"/>
          <w:sz w:val="24"/>
          <w:szCs w:val="24"/>
        </w:rPr>
        <w:t>T</w:t>
      </w:r>
      <w:r w:rsidR="005866E2" w:rsidRPr="00DA61D7">
        <w:rPr>
          <w:spacing w:val="-6"/>
          <w:sz w:val="24"/>
          <w:szCs w:val="24"/>
        </w:rPr>
        <w:t>urkish Energy, Nuclear and Mineral Research Agency, Nuclear Energy Research Institute,</w:t>
      </w:r>
    </w:p>
    <w:p w14:paraId="51C38855" w14:textId="291F4CEA" w:rsidR="00EF1C3C" w:rsidRPr="00DA61D7" w:rsidRDefault="00EF1C3C" w:rsidP="00D365B6">
      <w:pPr>
        <w:pStyle w:val="ListeParagraf"/>
        <w:spacing w:afterLines="60" w:after="144"/>
        <w:ind w:left="0" w:firstLine="709"/>
        <w:jc w:val="center"/>
        <w:rPr>
          <w:spacing w:val="-4"/>
          <w:sz w:val="24"/>
          <w:szCs w:val="24"/>
        </w:rPr>
      </w:pPr>
      <w:r w:rsidRPr="00DA61D7">
        <w:rPr>
          <w:spacing w:val="-4"/>
          <w:sz w:val="24"/>
          <w:szCs w:val="24"/>
        </w:rPr>
        <w:t>Küçükçekmece, İstanbul, T</w:t>
      </w:r>
      <w:r w:rsidR="00B03311" w:rsidRPr="00DA61D7">
        <w:rPr>
          <w:spacing w:val="-4"/>
          <w:sz w:val="24"/>
          <w:szCs w:val="24"/>
        </w:rPr>
        <w:t>URKEY</w:t>
      </w:r>
    </w:p>
    <w:p w14:paraId="5552072F" w14:textId="3D9962F4"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w w:val="99"/>
          <w:sz w:val="24"/>
          <w:szCs w:val="24"/>
          <w:lang w:val="en-GB"/>
        </w:rPr>
      </w:pPr>
    </w:p>
    <w:p w14:paraId="46EA7BE7" w14:textId="426A47B5" w:rsidR="00EF1C3C" w:rsidRPr="00DA61D7" w:rsidRDefault="005B00A7" w:rsidP="00D365B6">
      <w:pPr>
        <w:widowControl w:val="0"/>
        <w:overflowPunct w:val="0"/>
        <w:autoSpaceDE w:val="0"/>
        <w:autoSpaceDN w:val="0"/>
        <w:adjustRightInd w:val="0"/>
        <w:spacing w:afterLines="60" w:after="144" w:line="240" w:lineRule="auto"/>
        <w:ind w:left="2831" w:right="2580" w:firstLine="709"/>
        <w:jc w:val="center"/>
        <w:textAlignment w:val="baseline"/>
        <w:rPr>
          <w:rFonts w:ascii="Times New Roman" w:eastAsia="Times New Roman" w:hAnsi="Times New Roman" w:cs="Times New Roman"/>
          <w:color w:val="0000FF"/>
          <w:spacing w:val="-3"/>
          <w:sz w:val="24"/>
          <w:szCs w:val="24"/>
          <w:u w:val="single"/>
          <w:lang w:val="en-GB"/>
        </w:rPr>
      </w:pPr>
      <w:hyperlink r:id="rId8" w:history="1">
        <w:r w:rsidR="00EF1C3C" w:rsidRPr="00DA61D7">
          <w:rPr>
            <w:rFonts w:ascii="Times New Roman" w:eastAsia="Times New Roman" w:hAnsi="Times New Roman" w:cs="Times New Roman"/>
            <w:color w:val="0000FF"/>
            <w:spacing w:val="-3"/>
            <w:sz w:val="24"/>
            <w:szCs w:val="24"/>
            <w:u w:val="single"/>
            <w:lang w:val="en-GB"/>
          </w:rPr>
          <w:t>ahmet.yayli@</w:t>
        </w:r>
        <w:r w:rsidR="00EF1C3C" w:rsidRPr="00DA61D7">
          <w:rPr>
            <w:rFonts w:ascii="Times New Roman" w:eastAsia="Times New Roman" w:hAnsi="Times New Roman" w:cs="Times New Roman"/>
            <w:color w:val="0000FF"/>
            <w:spacing w:val="1"/>
            <w:sz w:val="24"/>
            <w:szCs w:val="24"/>
            <w:u w:val="single"/>
            <w:lang w:val="en-GB"/>
          </w:rPr>
          <w:t>tae</w:t>
        </w:r>
        <w:r w:rsidR="00EF1C3C" w:rsidRPr="00DA61D7">
          <w:rPr>
            <w:rFonts w:ascii="Times New Roman" w:eastAsia="Times New Roman" w:hAnsi="Times New Roman" w:cs="Times New Roman"/>
            <w:color w:val="0000FF"/>
            <w:spacing w:val="-3"/>
            <w:sz w:val="24"/>
            <w:szCs w:val="24"/>
            <w:u w:val="single"/>
            <w:lang w:val="en-GB"/>
          </w:rPr>
          <w:t>k.gov.tr</w:t>
        </w:r>
      </w:hyperlink>
    </w:p>
    <w:p w14:paraId="024DB22A" w14:textId="77777777" w:rsidR="00F20501" w:rsidRPr="00DA61D7" w:rsidRDefault="00F20501" w:rsidP="00D365B6">
      <w:pPr>
        <w:widowControl w:val="0"/>
        <w:overflowPunct w:val="0"/>
        <w:autoSpaceDE w:val="0"/>
        <w:autoSpaceDN w:val="0"/>
        <w:adjustRightInd w:val="0"/>
        <w:spacing w:afterLines="60" w:after="144" w:line="240" w:lineRule="auto"/>
        <w:ind w:right="2580" w:firstLine="709"/>
        <w:jc w:val="center"/>
        <w:textAlignment w:val="baseline"/>
        <w:rPr>
          <w:rFonts w:ascii="Times New Roman" w:eastAsia="Times New Roman" w:hAnsi="Times New Roman" w:cs="Times New Roman"/>
          <w:spacing w:val="-3"/>
          <w:sz w:val="24"/>
          <w:szCs w:val="24"/>
          <w:lang w:val="en-GB"/>
        </w:rPr>
      </w:pPr>
    </w:p>
    <w:p w14:paraId="0CEEDB93" w14:textId="3CC65F1E" w:rsidR="00F20501" w:rsidRPr="00DA61D7" w:rsidRDefault="00F20501"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Cs/>
          <w:sz w:val="24"/>
          <w:szCs w:val="24"/>
          <w:lang w:val="en-GB"/>
        </w:rPr>
      </w:pPr>
      <w:r w:rsidRPr="00DA61D7">
        <w:rPr>
          <w:rFonts w:ascii="Times New Roman" w:eastAsia="Times New Roman" w:hAnsi="Times New Roman" w:cs="Times New Roman"/>
          <w:bCs/>
          <w:sz w:val="24"/>
          <w:szCs w:val="24"/>
          <w:lang w:val="en-GB"/>
        </w:rPr>
        <w:t>YANABİLİR SOĞURUCULU BÜTÜN VE DELİKLİ NÜKLEER YAKIT PELETLERİNİN</w:t>
      </w:r>
      <w:r w:rsidRPr="00DA61D7">
        <w:rPr>
          <w:rFonts w:ascii="Times New Roman" w:eastAsia="Times New Roman" w:hAnsi="Times New Roman" w:cs="Times New Roman"/>
          <w:bCs/>
          <w:szCs w:val="20"/>
          <w:lang w:val="en-GB"/>
        </w:rPr>
        <w:t xml:space="preserve"> </w:t>
      </w:r>
      <w:r w:rsidRPr="00DA61D7">
        <w:rPr>
          <w:rFonts w:ascii="Times New Roman" w:eastAsia="Times New Roman" w:hAnsi="Times New Roman" w:cs="Times New Roman"/>
          <w:bCs/>
          <w:sz w:val="24"/>
          <w:szCs w:val="24"/>
          <w:lang w:val="en-GB"/>
        </w:rPr>
        <w:t xml:space="preserve">TOZ METALURJİSİ VE SOL JEL YÖNTEMLERİYLE ÜRETİMİ </w:t>
      </w:r>
    </w:p>
    <w:p w14:paraId="2CA020FD"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Cs/>
          <w:sz w:val="24"/>
          <w:szCs w:val="24"/>
          <w:lang w:val="en-GB"/>
        </w:rPr>
      </w:pPr>
    </w:p>
    <w:p w14:paraId="161E5C1C" w14:textId="63BDC403" w:rsidR="00EF1C3C" w:rsidRPr="00DA61D7" w:rsidRDefault="00EF1C3C" w:rsidP="00D365B6">
      <w:pPr>
        <w:keepNext/>
        <w:spacing w:before="240" w:afterLines="60" w:after="144" w:line="240" w:lineRule="auto"/>
        <w:ind w:firstLine="709"/>
        <w:outlineLvl w:val="0"/>
        <w:rPr>
          <w:rFonts w:ascii="Times New Roman" w:eastAsia="Times New Roman" w:hAnsi="Times New Roman" w:cs="Times New Roman"/>
          <w:b/>
          <w:sz w:val="24"/>
          <w:szCs w:val="24"/>
        </w:rPr>
      </w:pPr>
      <w:bookmarkStart w:id="0" w:name="_Toc476298843"/>
      <w:r w:rsidRPr="00DA61D7">
        <w:rPr>
          <w:rFonts w:ascii="Times New Roman" w:eastAsia="Times New Roman" w:hAnsi="Times New Roman" w:cs="Times New Roman"/>
          <w:b/>
          <w:sz w:val="24"/>
          <w:szCs w:val="24"/>
        </w:rPr>
        <w:t>A</w:t>
      </w:r>
      <w:bookmarkEnd w:id="0"/>
      <w:r w:rsidR="00F20501" w:rsidRPr="00DA61D7">
        <w:rPr>
          <w:rFonts w:ascii="Times New Roman" w:eastAsia="Times New Roman" w:hAnsi="Times New Roman" w:cs="Times New Roman"/>
          <w:b/>
          <w:sz w:val="24"/>
          <w:szCs w:val="24"/>
        </w:rPr>
        <w:t>bstract:</w:t>
      </w:r>
    </w:p>
    <w:p w14:paraId="25C05B9D" w14:textId="16DAF771" w:rsidR="00EF1C3C" w:rsidRPr="00DA61D7" w:rsidRDefault="00B428C4" w:rsidP="00D365B6">
      <w:pPr>
        <w:spacing w:before="120" w:afterLines="60" w:after="144" w:line="240" w:lineRule="auto"/>
        <w:ind w:firstLine="709"/>
        <w:jc w:val="both"/>
        <w:rPr>
          <w:rFonts w:ascii="Times New Roman" w:hAnsi="Times New Roman" w:cs="Times New Roman"/>
          <w:sz w:val="24"/>
          <w:szCs w:val="24"/>
        </w:rPr>
      </w:pPr>
      <w:r w:rsidRPr="00DA61D7">
        <w:rPr>
          <w:rFonts w:ascii="Times New Roman" w:eastAsia="Times New Roman" w:hAnsi="Times New Roman" w:cs="Times New Roman"/>
          <w:sz w:val="24"/>
          <w:szCs w:val="24"/>
          <w:lang w:val="en-GB"/>
        </w:rPr>
        <w:t>The aim of this study is to produce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burnable absorber </w:t>
      </w:r>
      <w:r w:rsidR="00BC371B" w:rsidRPr="00DA61D7">
        <w:rPr>
          <w:rFonts w:ascii="Times New Roman" w:eastAsia="Times New Roman" w:hAnsi="Times New Roman" w:cs="Times New Roman"/>
          <w:sz w:val="24"/>
          <w:szCs w:val="24"/>
          <w:lang w:val="en-GB"/>
        </w:rPr>
        <w:t>nuclear fuels</w:t>
      </w:r>
      <w:r w:rsidRPr="00DA61D7">
        <w:rPr>
          <w:rFonts w:ascii="Times New Roman" w:eastAsia="Times New Roman" w:hAnsi="Times New Roman" w:cs="Times New Roman"/>
          <w:sz w:val="24"/>
          <w:szCs w:val="24"/>
          <w:lang w:val="en-GB"/>
        </w:rPr>
        <w:t xml:space="preserve"> </w:t>
      </w:r>
      <w:r w:rsidR="00BC371B" w:rsidRPr="00DA61D7">
        <w:rPr>
          <w:rFonts w:ascii="Times New Roman" w:eastAsia="Times New Roman" w:hAnsi="Times New Roman" w:cs="Times New Roman"/>
          <w:sz w:val="24"/>
          <w:szCs w:val="24"/>
          <w:lang w:val="en-GB"/>
        </w:rPr>
        <w:t>of nuclear</w:t>
      </w:r>
      <w:r w:rsidRPr="00DA61D7">
        <w:rPr>
          <w:rFonts w:ascii="Times New Roman" w:eastAsia="Times New Roman" w:hAnsi="Times New Roman" w:cs="Times New Roman"/>
          <w:sz w:val="24"/>
          <w:szCs w:val="24"/>
          <w:lang w:val="en-GB"/>
        </w:rPr>
        <w:t xml:space="preserve"> power reactors. </w:t>
      </w:r>
      <w:r w:rsidRPr="00DA61D7">
        <w:rPr>
          <w:rFonts w:ascii="Times New Roman" w:hAnsi="Times New Roman" w:cs="Times New Roman"/>
          <w:sz w:val="24"/>
          <w:szCs w:val="24"/>
          <w:lang w:val="en"/>
        </w:rPr>
        <w:t>Today's nuclear power reactors have different neutron absorbers for different applications.</w:t>
      </w:r>
      <w:r w:rsidRPr="00DA61D7">
        <w:rPr>
          <w:rFonts w:ascii="Times New Roman" w:hAnsi="Times New Roman" w:cs="Times New Roman"/>
          <w:sz w:val="24"/>
          <w:szCs w:val="24"/>
        </w:rPr>
        <w:t xml:space="preserve"> </w:t>
      </w:r>
      <w:r w:rsidR="00EF1C3C" w:rsidRPr="00DA61D7">
        <w:rPr>
          <w:rFonts w:ascii="Times New Roman" w:eastAsia="Times New Roman" w:hAnsi="Times New Roman" w:cs="Times New Roman"/>
          <w:sz w:val="24"/>
          <w:szCs w:val="24"/>
          <w:lang w:val="en-GB"/>
        </w:rPr>
        <w:t>One of the major challenges of the nuclear industry is to improve the performance, safety and lifetime of reactors. In this area there are many efforts focused on the research and development of new materials in order to extend the fuel lifetime, increase the burn</w:t>
      </w:r>
      <w:r w:rsidRPr="00DA61D7">
        <w:rPr>
          <w:rFonts w:ascii="Times New Roman" w:eastAsia="Times New Roman" w:hAnsi="Times New Roman" w:cs="Times New Roman"/>
          <w:sz w:val="24"/>
          <w:szCs w:val="24"/>
          <w:lang w:val="en-GB"/>
        </w:rPr>
        <w:t xml:space="preserve"> </w:t>
      </w:r>
      <w:r w:rsidR="00EF1C3C" w:rsidRPr="00DA61D7">
        <w:rPr>
          <w:rFonts w:ascii="Times New Roman" w:eastAsia="Times New Roman" w:hAnsi="Times New Roman" w:cs="Times New Roman"/>
          <w:sz w:val="24"/>
          <w:szCs w:val="24"/>
          <w:lang w:val="en-GB"/>
        </w:rPr>
        <w:t>up and optimize the power density distribution. With this aim a neutron absorber material is usually incorporated into the UO</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 xml:space="preserve"> nuclear fuel. Gadolinium is an excellent burnable poison because it presents a large cross section for neutron absorption and allows the compensation of the excess reactivity of the fuel in the beginning of its life.  The need to improve reactor performance through longer cycle lengths or improved fuel utilization has been apparent since the beginning of commercial nuclear power generation. Among several modifications introduced as a consequence, the fuel initial enrichment has been increased, which means that the additional amount of fissile material (</w:t>
      </w:r>
      <w:r w:rsidR="00EF1C3C" w:rsidRPr="00DA61D7">
        <w:rPr>
          <w:rFonts w:ascii="Times New Roman" w:eastAsia="Times New Roman" w:hAnsi="Times New Roman" w:cs="Times New Roman"/>
          <w:sz w:val="24"/>
          <w:szCs w:val="24"/>
          <w:vertAlign w:val="superscript"/>
          <w:lang w:val="en-GB"/>
        </w:rPr>
        <w:t>235</w:t>
      </w:r>
      <w:r w:rsidR="00EF1C3C" w:rsidRPr="00DA61D7">
        <w:rPr>
          <w:rFonts w:ascii="Times New Roman" w:eastAsia="Times New Roman" w:hAnsi="Times New Roman" w:cs="Times New Roman"/>
          <w:sz w:val="24"/>
          <w:szCs w:val="24"/>
          <w:lang w:val="en-GB"/>
        </w:rPr>
        <w:t xml:space="preserve">U) in the reactor core has to be compensated by the introduction of additional neutron absorber material in the reactor core. This compensation was initially achieved only by using neutron absorber materials assembled in control rods or/and by addition of soluble absorber (boric acid) in the reactor coolant. In Boiling Water Reactors (BWR), the use of soluble absorber in the coolant/moderator was prohibited for technological reasons. In Pressurized Water Reactors (PWR), boric acid as a soluble absorber added to the coolant/moderator has been routinely used, but the increase in initial fuel enrichment cannot be indefinitely compensated by increasing the boric acid concentration. Beyond a certain concentration, thermal expansion of water at start-up reduces the quantity of boron in the core, resulting ultimately in a positive moderator reactivity coefficient, which is an unacceptable situation regarding to the safe reactor operation. This is the reason why the introduction of solid burnable absorbers (or burnable poison) within the fuel rods was considered. The use of a burnable poison in nuclear reactors provides the necessary negative moderator reactivity coefficient at the beginning of core life and help to shape the core </w:t>
      </w:r>
      <w:r w:rsidR="00D0484C" w:rsidRPr="00DA61D7">
        <w:rPr>
          <w:rFonts w:ascii="Times New Roman" w:eastAsia="Times New Roman" w:hAnsi="Times New Roman" w:cs="Times New Roman"/>
          <w:sz w:val="24"/>
          <w:szCs w:val="24"/>
          <w:lang w:val="en-GB"/>
        </w:rPr>
        <w:t>power distributions (</w:t>
      </w:r>
      <w:r w:rsidR="00E27610" w:rsidRPr="00DA61D7">
        <w:rPr>
          <w:rFonts w:ascii="Times New Roman" w:eastAsia="Times New Roman" w:hAnsi="Times New Roman" w:cs="Times New Roman"/>
          <w:sz w:val="24"/>
          <w:szCs w:val="24"/>
          <w:lang w:val="en-GB"/>
        </w:rPr>
        <w:t>IAEA-TEC-DOC-844,</w:t>
      </w:r>
      <w:r w:rsidR="00754F01" w:rsidRPr="00DA61D7">
        <w:rPr>
          <w:rFonts w:ascii="Times New Roman" w:eastAsia="Times New Roman" w:hAnsi="Times New Roman" w:cs="Times New Roman"/>
          <w:sz w:val="24"/>
          <w:szCs w:val="24"/>
          <w:lang w:val="en-GB"/>
        </w:rPr>
        <w:t xml:space="preserve"> 1995; </w:t>
      </w:r>
      <w:r w:rsidR="00D0484C" w:rsidRPr="00DA61D7">
        <w:rPr>
          <w:rFonts w:ascii="Times New Roman" w:eastAsia="Times New Roman" w:hAnsi="Times New Roman" w:cs="Times New Roman"/>
          <w:sz w:val="24"/>
          <w:szCs w:val="24"/>
          <w:lang w:val="en-GB"/>
        </w:rPr>
        <w:t>Yayli,</w:t>
      </w:r>
      <w:r w:rsidR="004A59D9">
        <w:rPr>
          <w:rFonts w:ascii="Times New Roman" w:eastAsia="Times New Roman" w:hAnsi="Times New Roman" w:cs="Times New Roman"/>
          <w:sz w:val="24"/>
          <w:szCs w:val="24"/>
          <w:lang w:val="en-GB"/>
        </w:rPr>
        <w:t xml:space="preserve"> </w:t>
      </w:r>
      <w:r w:rsidR="00D0484C" w:rsidRPr="00DA61D7">
        <w:rPr>
          <w:rFonts w:ascii="Times New Roman" w:eastAsia="Times New Roman" w:hAnsi="Times New Roman" w:cs="Times New Roman"/>
          <w:sz w:val="24"/>
          <w:szCs w:val="24"/>
          <w:lang w:val="en-GB"/>
        </w:rPr>
        <w:t>1995;</w:t>
      </w:r>
      <w:r w:rsidR="00EF1C3C" w:rsidRPr="00DA61D7">
        <w:rPr>
          <w:rFonts w:ascii="Times New Roman" w:eastAsia="Times New Roman" w:hAnsi="Times New Roman" w:cs="Times New Roman"/>
          <w:sz w:val="24"/>
          <w:szCs w:val="24"/>
          <w:lang w:val="en-GB"/>
        </w:rPr>
        <w:t xml:space="preserve"> Böhm</w:t>
      </w:r>
      <w:r w:rsidR="00883C57">
        <w:rPr>
          <w:rFonts w:ascii="Times New Roman" w:eastAsia="Times New Roman" w:hAnsi="Times New Roman" w:cs="Times New Roman"/>
          <w:sz w:val="24"/>
          <w:szCs w:val="24"/>
          <w:lang w:val="en-GB"/>
        </w:rPr>
        <w:t xml:space="preserve"> et al.</w:t>
      </w:r>
      <w:r w:rsidR="00EF1C3C" w:rsidRPr="00DA61D7">
        <w:rPr>
          <w:rFonts w:ascii="Times New Roman" w:eastAsia="Times New Roman" w:hAnsi="Times New Roman" w:cs="Times New Roman"/>
          <w:sz w:val="24"/>
          <w:szCs w:val="24"/>
          <w:lang w:val="en-GB"/>
        </w:rPr>
        <w:t>, 1987</w:t>
      </w:r>
      <w:r w:rsidR="00CF0859" w:rsidRPr="00DA61D7">
        <w:rPr>
          <w:rFonts w:ascii="Times New Roman" w:eastAsia="Times New Roman" w:hAnsi="Times New Roman" w:cs="Times New Roman"/>
          <w:sz w:val="24"/>
          <w:szCs w:val="24"/>
          <w:lang w:val="en-GB"/>
        </w:rPr>
        <w:t>;</w:t>
      </w:r>
      <w:r w:rsidR="00CF0859" w:rsidRPr="00DA61D7">
        <w:rPr>
          <w:rFonts w:ascii="Times New Roman" w:eastAsia="Times New Roman" w:hAnsi="Times New Roman" w:cs="Times New Roman"/>
          <w:sz w:val="24"/>
          <w:szCs w:val="24"/>
        </w:rPr>
        <w:t xml:space="preserve"> Zinkle</w:t>
      </w:r>
      <w:r w:rsidR="00883C57">
        <w:rPr>
          <w:rFonts w:ascii="Times New Roman" w:eastAsia="Times New Roman" w:hAnsi="Times New Roman" w:cs="Times New Roman"/>
          <w:sz w:val="24"/>
          <w:szCs w:val="24"/>
        </w:rPr>
        <w:t xml:space="preserve"> &amp; Was, </w:t>
      </w:r>
      <w:r w:rsidR="00CF0859" w:rsidRPr="00DA61D7">
        <w:rPr>
          <w:rFonts w:ascii="Times New Roman" w:eastAsia="Times New Roman" w:hAnsi="Times New Roman" w:cs="Times New Roman"/>
          <w:sz w:val="24"/>
          <w:szCs w:val="24"/>
        </w:rPr>
        <w:t>2013; Tobia</w:t>
      </w:r>
      <w:r w:rsidR="00883C57">
        <w:rPr>
          <w:rFonts w:ascii="Times New Roman" w:eastAsia="Times New Roman" w:hAnsi="Times New Roman" w:cs="Times New Roman"/>
          <w:sz w:val="24"/>
          <w:szCs w:val="24"/>
        </w:rPr>
        <w:t xml:space="preserve"> et al.</w:t>
      </w:r>
      <w:r w:rsidR="00CA7BBF" w:rsidRPr="00DA61D7">
        <w:rPr>
          <w:rFonts w:ascii="Times New Roman" w:eastAsia="Times New Roman" w:hAnsi="Times New Roman" w:cs="Times New Roman"/>
          <w:sz w:val="24"/>
          <w:szCs w:val="24"/>
        </w:rPr>
        <w:t>,</w:t>
      </w:r>
      <w:r w:rsidR="00CF0859" w:rsidRPr="00DA61D7">
        <w:rPr>
          <w:rFonts w:ascii="Times New Roman" w:eastAsia="Times New Roman" w:hAnsi="Times New Roman" w:cs="Times New Roman"/>
          <w:sz w:val="24"/>
          <w:szCs w:val="24"/>
        </w:rPr>
        <w:t xml:space="preserve"> 201</w:t>
      </w:r>
      <w:r w:rsidR="002E1BA3" w:rsidRPr="00DA61D7">
        <w:rPr>
          <w:rFonts w:ascii="Times New Roman" w:eastAsia="Times New Roman" w:hAnsi="Times New Roman" w:cs="Times New Roman"/>
          <w:sz w:val="24"/>
          <w:szCs w:val="24"/>
        </w:rPr>
        <w:t>4</w:t>
      </w:r>
      <w:r w:rsidR="0009702D" w:rsidRPr="00DA61D7">
        <w:rPr>
          <w:rFonts w:ascii="Times New Roman" w:eastAsia="Times New Roman" w:hAnsi="Times New Roman" w:cs="Times New Roman"/>
          <w:sz w:val="24"/>
          <w:szCs w:val="24"/>
        </w:rPr>
        <w:t>)</w:t>
      </w:r>
      <w:r w:rsidR="00EF1C3C" w:rsidRPr="00DA61D7">
        <w:rPr>
          <w:rFonts w:ascii="Times New Roman" w:eastAsia="Times New Roman" w:hAnsi="Times New Roman" w:cs="Times New Roman"/>
          <w:sz w:val="24"/>
          <w:szCs w:val="24"/>
          <w:lang w:val="en-GB"/>
        </w:rPr>
        <w:t xml:space="preserve"> The poison material should have a high neutron absorption cross section and form daughter </w:t>
      </w:r>
      <w:r w:rsidR="00EF1C3C" w:rsidRPr="00DA61D7">
        <w:rPr>
          <w:rFonts w:ascii="Times New Roman" w:eastAsia="Times New Roman" w:hAnsi="Times New Roman" w:cs="Times New Roman"/>
          <w:sz w:val="24"/>
          <w:szCs w:val="24"/>
          <w:lang w:val="en-GB"/>
        </w:rPr>
        <w:lastRenderedPageBreak/>
        <w:t>products with low absorption cross sections. Then, as soon as the irradiation proceeds, the burnable poison burns up and the macroscopic absorption cross section decreases.</w:t>
      </w:r>
      <w:r w:rsidR="00EF1C3C" w:rsidRPr="00DA61D7">
        <w:rPr>
          <w:rFonts w:ascii="Times New Roman" w:eastAsia="Times New Roman" w:hAnsi="Times New Roman" w:cs="Times New Roman"/>
          <w:sz w:val="24"/>
          <w:szCs w:val="24"/>
        </w:rPr>
        <w:t xml:space="preserve"> From a nuclear viewpoint, gadolinia is an excellent burnable poison, having a high neutron absorption cross section coupled to a burn up rate that, if properly designed, can match approximately the </w:t>
      </w:r>
      <w:r w:rsidR="00EF1C3C" w:rsidRPr="00DA61D7">
        <w:rPr>
          <w:rFonts w:ascii="Times New Roman" w:eastAsia="Times New Roman" w:hAnsi="Times New Roman" w:cs="Times New Roman"/>
          <w:sz w:val="24"/>
          <w:szCs w:val="24"/>
          <w:vertAlign w:val="superscript"/>
        </w:rPr>
        <w:t>235</w:t>
      </w:r>
      <w:r w:rsidR="00EF1C3C" w:rsidRPr="00DA61D7">
        <w:rPr>
          <w:rFonts w:ascii="Times New Roman" w:eastAsia="Times New Roman" w:hAnsi="Times New Roman" w:cs="Times New Roman"/>
          <w:sz w:val="24"/>
          <w:szCs w:val="24"/>
        </w:rPr>
        <w:t>U depletion, minimizing the reactivity penalty at the end-of-cycle (EOC) (Stogen,</w:t>
      </w:r>
      <w:r w:rsidR="00883C57">
        <w:rPr>
          <w:rFonts w:ascii="Times New Roman" w:eastAsia="Times New Roman" w:hAnsi="Times New Roman" w:cs="Times New Roman"/>
          <w:sz w:val="24"/>
          <w:szCs w:val="24"/>
        </w:rPr>
        <w:t xml:space="preserve"> Nielsen &amp; Grummer,</w:t>
      </w:r>
      <w:r w:rsidR="00EF1C3C" w:rsidRPr="00DA61D7">
        <w:rPr>
          <w:rFonts w:ascii="Times New Roman" w:eastAsia="Times New Roman" w:hAnsi="Times New Roman" w:cs="Times New Roman"/>
          <w:sz w:val="24"/>
          <w:szCs w:val="24"/>
        </w:rPr>
        <w:t xml:space="preserve"> 1982</w:t>
      </w:r>
      <w:r w:rsidR="00980054" w:rsidRPr="00DA61D7">
        <w:rPr>
          <w:rFonts w:ascii="Times New Roman" w:eastAsia="Times New Roman" w:hAnsi="Times New Roman" w:cs="Times New Roman"/>
          <w:sz w:val="24"/>
          <w:szCs w:val="24"/>
        </w:rPr>
        <w:t>;</w:t>
      </w:r>
      <w:r w:rsidR="00EF1C3C" w:rsidRPr="00DA61D7">
        <w:rPr>
          <w:rFonts w:ascii="Times New Roman" w:eastAsia="Times New Roman" w:hAnsi="Times New Roman" w:cs="Times New Roman"/>
          <w:sz w:val="24"/>
          <w:szCs w:val="24"/>
        </w:rPr>
        <w:t xml:space="preserve"> Brandberg</w:t>
      </w:r>
      <w:r w:rsidR="00325DB8" w:rsidRPr="00DA61D7">
        <w:rPr>
          <w:rFonts w:ascii="Times New Roman" w:eastAsia="Times New Roman" w:hAnsi="Times New Roman" w:cs="Times New Roman"/>
          <w:sz w:val="24"/>
          <w:szCs w:val="24"/>
        </w:rPr>
        <w:t>,</w:t>
      </w:r>
      <w:r w:rsidR="00EF1C3C" w:rsidRPr="00DA61D7">
        <w:rPr>
          <w:rFonts w:ascii="Times New Roman" w:eastAsia="Times New Roman" w:hAnsi="Times New Roman" w:cs="Times New Roman"/>
          <w:sz w:val="24"/>
          <w:szCs w:val="24"/>
        </w:rPr>
        <w:t xml:space="preserve"> 1973)</w:t>
      </w:r>
      <w:r w:rsidR="0075060C" w:rsidRPr="00DA61D7">
        <w:rPr>
          <w:rFonts w:ascii="Times New Roman" w:eastAsia="Times New Roman" w:hAnsi="Times New Roman" w:cs="Times New Roman"/>
          <w:sz w:val="24"/>
          <w:szCs w:val="24"/>
        </w:rPr>
        <w:t>.</w:t>
      </w:r>
      <w:r w:rsidR="00EF1C3C" w:rsidRPr="00DA61D7">
        <w:rPr>
          <w:rFonts w:ascii="Times New Roman" w:eastAsia="Times New Roman" w:hAnsi="Times New Roman" w:cs="Times New Roman"/>
          <w:sz w:val="24"/>
          <w:szCs w:val="24"/>
        </w:rPr>
        <w:t xml:space="preserve"> </w:t>
      </w:r>
      <w:r w:rsidR="0075060C" w:rsidRPr="00DA61D7">
        <w:rPr>
          <w:rFonts w:ascii="Times New Roman" w:eastAsia="Times New Roman" w:hAnsi="Times New Roman" w:cs="Times New Roman"/>
          <w:sz w:val="24"/>
          <w:szCs w:val="24"/>
          <w:lang w:val="en-GB"/>
        </w:rPr>
        <w:t>In this study two methods were used to obtain UO</w:t>
      </w:r>
      <w:r w:rsidR="0075060C" w:rsidRPr="00DA61D7">
        <w:rPr>
          <w:rFonts w:ascii="Times New Roman" w:eastAsia="Times New Roman" w:hAnsi="Times New Roman" w:cs="Times New Roman"/>
          <w:sz w:val="24"/>
          <w:szCs w:val="24"/>
          <w:vertAlign w:val="subscript"/>
          <w:lang w:val="en-GB"/>
        </w:rPr>
        <w:t>2</w:t>
      </w:r>
      <w:r w:rsidR="0075060C" w:rsidRPr="00DA61D7">
        <w:rPr>
          <w:rFonts w:ascii="Times New Roman" w:eastAsia="Times New Roman" w:hAnsi="Times New Roman" w:cs="Times New Roman"/>
          <w:sz w:val="24"/>
          <w:szCs w:val="24"/>
          <w:lang w:val="en-GB"/>
        </w:rPr>
        <w:t>-Gd</w:t>
      </w:r>
      <w:r w:rsidR="0075060C" w:rsidRPr="00DA61D7">
        <w:rPr>
          <w:rFonts w:ascii="Times New Roman" w:eastAsia="Times New Roman" w:hAnsi="Times New Roman" w:cs="Times New Roman"/>
          <w:sz w:val="24"/>
          <w:szCs w:val="24"/>
          <w:vertAlign w:val="subscript"/>
          <w:lang w:val="en-GB"/>
        </w:rPr>
        <w:t>2</w:t>
      </w:r>
      <w:r w:rsidR="0075060C" w:rsidRPr="00DA61D7">
        <w:rPr>
          <w:rFonts w:ascii="Times New Roman" w:eastAsia="Times New Roman" w:hAnsi="Times New Roman" w:cs="Times New Roman"/>
          <w:sz w:val="24"/>
          <w:szCs w:val="24"/>
          <w:lang w:val="en-GB"/>
        </w:rPr>
        <w:t>O</w:t>
      </w:r>
      <w:r w:rsidR="0075060C" w:rsidRPr="00DA61D7">
        <w:rPr>
          <w:rFonts w:ascii="Times New Roman" w:eastAsia="Times New Roman" w:hAnsi="Times New Roman" w:cs="Times New Roman"/>
          <w:sz w:val="24"/>
          <w:szCs w:val="24"/>
          <w:vertAlign w:val="subscript"/>
          <w:lang w:val="en-GB"/>
        </w:rPr>
        <w:t>3</w:t>
      </w:r>
      <w:r w:rsidR="0075060C" w:rsidRPr="00DA61D7">
        <w:rPr>
          <w:rFonts w:ascii="Times New Roman" w:eastAsia="Times New Roman" w:hAnsi="Times New Roman" w:cs="Times New Roman"/>
          <w:sz w:val="24"/>
          <w:szCs w:val="24"/>
          <w:lang w:val="en-GB"/>
        </w:rPr>
        <w:t xml:space="preserve"> burnable-absorber fuels. The first method was conventional powder metallurgical route and the second method was sol-gel route. In this study, the investigation of the microstructure and U-Gd distribution in sintered bodies along with the achieved SEM-EDAX results showed that both methods provide homogeneous structures.</w:t>
      </w:r>
      <w:r w:rsidR="00EF0C4A" w:rsidRPr="00DA61D7">
        <w:rPr>
          <w:rFonts w:ascii="Times New Roman" w:eastAsia="Times New Roman" w:hAnsi="Times New Roman" w:cs="Times New Roman"/>
          <w:sz w:val="24"/>
          <w:szCs w:val="24"/>
          <w:lang w:val="en-GB"/>
        </w:rPr>
        <w:t xml:space="preserve"> </w:t>
      </w:r>
      <w:r w:rsidR="0075060C" w:rsidRPr="00DA61D7">
        <w:rPr>
          <w:rFonts w:ascii="Times New Roman" w:eastAsia="Times New Roman" w:hAnsi="Times New Roman" w:cs="Times New Roman"/>
          <w:sz w:val="24"/>
          <w:szCs w:val="24"/>
          <w:lang w:val="en-GB"/>
        </w:rPr>
        <w:t>The solid state investigations of sintered</w:t>
      </w:r>
      <w:r w:rsidR="007C781B" w:rsidRPr="00DA61D7">
        <w:rPr>
          <w:rFonts w:ascii="Times New Roman" w:eastAsia="Times New Roman" w:hAnsi="Times New Roman" w:cs="Times New Roman"/>
          <w:sz w:val="24"/>
          <w:szCs w:val="24"/>
          <w:lang w:val="en-GB"/>
        </w:rPr>
        <w:t xml:space="preserve"> </w:t>
      </w:r>
      <w:r w:rsidR="0075060C" w:rsidRPr="00DA61D7">
        <w:rPr>
          <w:rFonts w:ascii="Times New Roman" w:eastAsia="Times New Roman" w:hAnsi="Times New Roman" w:cs="Times New Roman"/>
          <w:sz w:val="24"/>
          <w:szCs w:val="24"/>
          <w:lang w:val="en-GB"/>
        </w:rPr>
        <w:t>UO</w:t>
      </w:r>
      <w:r w:rsidR="0075060C" w:rsidRPr="00DA61D7">
        <w:rPr>
          <w:rFonts w:ascii="Times New Roman" w:eastAsia="Times New Roman" w:hAnsi="Times New Roman" w:cs="Times New Roman"/>
          <w:sz w:val="24"/>
          <w:szCs w:val="24"/>
          <w:vertAlign w:val="subscript"/>
          <w:lang w:val="en-GB"/>
        </w:rPr>
        <w:t>2</w:t>
      </w:r>
      <w:r w:rsidR="0075060C" w:rsidRPr="00DA61D7">
        <w:rPr>
          <w:rFonts w:ascii="Times New Roman" w:eastAsia="Times New Roman" w:hAnsi="Times New Roman" w:cs="Times New Roman"/>
          <w:sz w:val="24"/>
          <w:szCs w:val="24"/>
          <w:lang w:val="en-GB"/>
        </w:rPr>
        <w:t>-Gd</w:t>
      </w:r>
      <w:r w:rsidR="0075060C" w:rsidRPr="00DA61D7">
        <w:rPr>
          <w:rFonts w:ascii="Times New Roman" w:eastAsia="Times New Roman" w:hAnsi="Times New Roman" w:cs="Times New Roman"/>
          <w:sz w:val="24"/>
          <w:szCs w:val="24"/>
          <w:vertAlign w:val="subscript"/>
          <w:lang w:val="en-GB"/>
        </w:rPr>
        <w:t>2</w:t>
      </w:r>
      <w:r w:rsidR="0075060C" w:rsidRPr="00DA61D7">
        <w:rPr>
          <w:rFonts w:ascii="Times New Roman" w:eastAsia="Times New Roman" w:hAnsi="Times New Roman" w:cs="Times New Roman"/>
          <w:sz w:val="24"/>
          <w:szCs w:val="24"/>
          <w:lang w:val="en-GB"/>
        </w:rPr>
        <w:t>O</w:t>
      </w:r>
      <w:r w:rsidR="0075060C" w:rsidRPr="00DA61D7">
        <w:rPr>
          <w:rFonts w:ascii="Times New Roman" w:eastAsia="Times New Roman" w:hAnsi="Times New Roman" w:cs="Times New Roman"/>
          <w:sz w:val="24"/>
          <w:szCs w:val="24"/>
          <w:vertAlign w:val="subscript"/>
          <w:lang w:val="en-GB"/>
        </w:rPr>
        <w:t xml:space="preserve">3 </w:t>
      </w:r>
      <w:r w:rsidR="0075060C" w:rsidRPr="00DA61D7">
        <w:rPr>
          <w:rFonts w:ascii="Times New Roman" w:eastAsia="Times New Roman" w:hAnsi="Times New Roman" w:cs="Times New Roman"/>
          <w:sz w:val="24"/>
          <w:szCs w:val="24"/>
          <w:lang w:val="en-GB"/>
        </w:rPr>
        <w:t xml:space="preserve">pellets </w:t>
      </w:r>
      <w:r w:rsidR="00EF0C4A" w:rsidRPr="00DA61D7">
        <w:rPr>
          <w:rFonts w:ascii="Times New Roman" w:eastAsia="Times New Roman" w:hAnsi="Times New Roman" w:cs="Times New Roman"/>
          <w:sz w:val="24"/>
          <w:szCs w:val="24"/>
          <w:lang w:val="en-GB"/>
        </w:rPr>
        <w:t xml:space="preserve">by x-ray diffraction </w:t>
      </w:r>
      <w:r w:rsidR="0075060C" w:rsidRPr="00DA61D7">
        <w:rPr>
          <w:rFonts w:ascii="Times New Roman" w:eastAsia="Times New Roman" w:hAnsi="Times New Roman" w:cs="Times New Roman"/>
          <w:sz w:val="24"/>
          <w:szCs w:val="24"/>
          <w:lang w:val="en-GB"/>
        </w:rPr>
        <w:t>showed that, gadolinium dissolved in UO</w:t>
      </w:r>
      <w:r w:rsidR="0075060C" w:rsidRPr="00DA61D7">
        <w:rPr>
          <w:rFonts w:ascii="Times New Roman" w:eastAsia="Times New Roman" w:hAnsi="Times New Roman" w:cs="Times New Roman"/>
          <w:sz w:val="24"/>
          <w:szCs w:val="24"/>
          <w:vertAlign w:val="subscript"/>
          <w:lang w:val="en-GB"/>
        </w:rPr>
        <w:t>2</w:t>
      </w:r>
      <w:r w:rsidR="007C781B" w:rsidRPr="00DA61D7">
        <w:rPr>
          <w:rFonts w:ascii="Times New Roman" w:eastAsia="Times New Roman" w:hAnsi="Times New Roman" w:cs="Times New Roman"/>
          <w:sz w:val="24"/>
          <w:szCs w:val="24"/>
          <w:lang w:val="en-GB"/>
        </w:rPr>
        <w:t xml:space="preserve"> matrix.</w:t>
      </w:r>
      <w:r w:rsidR="000B7EF1" w:rsidRPr="00DA61D7">
        <w:rPr>
          <w:rFonts w:ascii="Times New Roman" w:eastAsia="Times New Roman" w:hAnsi="Times New Roman" w:cs="Times New Roman"/>
          <w:sz w:val="24"/>
          <w:szCs w:val="24"/>
          <w:lang w:val="en-GB"/>
        </w:rPr>
        <w:t xml:space="preserve"> Production of the burnable absorber compact and annular type nuclear fuel pellets by powder metallurgical and sol-gel routes </w:t>
      </w:r>
      <w:r w:rsidR="000B7EF1" w:rsidRPr="00DA61D7">
        <w:rPr>
          <w:rFonts w:ascii="Times New Roman" w:eastAsia="Times New Roman" w:hAnsi="Times New Roman" w:cs="Times New Roman"/>
          <w:sz w:val="24"/>
          <w:szCs w:val="24"/>
          <w:lang w:val="en"/>
        </w:rPr>
        <w:t xml:space="preserve">showed that; we obtained </w:t>
      </w:r>
      <w:r w:rsidR="001D75BC" w:rsidRPr="00DA61D7">
        <w:rPr>
          <w:rFonts w:ascii="Times New Roman" w:eastAsia="Times New Roman" w:hAnsi="Times New Roman" w:cs="Times New Roman"/>
          <w:sz w:val="24"/>
          <w:szCs w:val="24"/>
          <w:lang w:val="en"/>
        </w:rPr>
        <w:t xml:space="preserve">the </w:t>
      </w:r>
      <w:r w:rsidR="000B7EF1" w:rsidRPr="00DA61D7">
        <w:rPr>
          <w:rFonts w:ascii="Times New Roman" w:eastAsia="Times New Roman" w:hAnsi="Times New Roman" w:cs="Times New Roman"/>
          <w:sz w:val="24"/>
          <w:szCs w:val="24"/>
          <w:lang w:val="en"/>
        </w:rPr>
        <w:t>nuclear fuels in accordance with international standards.</w:t>
      </w:r>
    </w:p>
    <w:p w14:paraId="1D302ED0" w14:textId="16057A2D" w:rsidR="00EF1C3C" w:rsidRPr="00DA61D7" w:rsidRDefault="00EF1C3C" w:rsidP="00D365B6">
      <w:pPr>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b/>
          <w:sz w:val="24"/>
          <w:szCs w:val="24"/>
          <w:lang w:val="en-GB"/>
        </w:rPr>
      </w:pPr>
      <w:bookmarkStart w:id="1" w:name="_Toc476298842"/>
    </w:p>
    <w:p w14:paraId="5C80A54C" w14:textId="77777777" w:rsidR="00EF1C3C" w:rsidRPr="00DA61D7" w:rsidRDefault="00EF1C3C" w:rsidP="00D365B6">
      <w:pPr>
        <w:overflowPunct w:val="0"/>
        <w:autoSpaceDE w:val="0"/>
        <w:autoSpaceDN w:val="0"/>
        <w:adjustRightInd w:val="0"/>
        <w:spacing w:afterLines="60" w:after="144" w:line="240" w:lineRule="auto"/>
        <w:ind w:right="-482" w:firstLine="709"/>
        <w:jc w:val="both"/>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b/>
          <w:sz w:val="24"/>
          <w:szCs w:val="24"/>
          <w:lang w:val="en-GB"/>
        </w:rPr>
        <w:t>Abbreviations:</w:t>
      </w:r>
    </w:p>
    <w:p w14:paraId="4E52363E" w14:textId="2FF72098" w:rsidR="00EF1C3C" w:rsidRPr="00DA61D7" w:rsidRDefault="00EF1C3C" w:rsidP="00D365B6">
      <w:pPr>
        <w:overflowPunct w:val="0"/>
        <w:autoSpaceDE w:val="0"/>
        <w:autoSpaceDN w:val="0"/>
        <w:adjustRightInd w:val="0"/>
        <w:spacing w:afterLines="60" w:after="144" w:line="240" w:lineRule="auto"/>
        <w:ind w:right="-482"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ADU (ammonium diuranate) :</w:t>
      </w:r>
      <w:r w:rsidRPr="00DA61D7">
        <w:rPr>
          <w:rFonts w:ascii="Times New Roman" w:eastAsia="Times New Roman" w:hAnsi="Times New Roman" w:cs="Times New Roman"/>
          <w:color w:val="222222"/>
          <w:sz w:val="24"/>
          <w:szCs w:val="24"/>
          <w:shd w:val="clear" w:color="auto" w:fill="FFFFFF"/>
          <w:lang w:val="en-GB"/>
        </w:rPr>
        <w:t xml:space="preserve"> </w:t>
      </w:r>
      <w:r w:rsidRPr="00DA61D7">
        <w:rPr>
          <w:rFonts w:ascii="Times New Roman" w:eastAsia="Times New Roman" w:hAnsi="Times New Roman" w:cs="Times New Roman"/>
          <w:sz w:val="24"/>
          <w:szCs w:val="24"/>
          <w:lang w:val="en-GB"/>
        </w:rPr>
        <w:t>(NH4)</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U</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7</w:t>
      </w:r>
      <w:r w:rsidRPr="00DA61D7">
        <w:rPr>
          <w:rFonts w:ascii="Times New Roman" w:eastAsia="Times New Roman" w:hAnsi="Times New Roman" w:cs="Times New Roman"/>
          <w:sz w:val="24"/>
          <w:szCs w:val="24"/>
          <w:lang w:val="en-GB"/>
        </w:rPr>
        <w:t>; UNH (uranyl nitrate hexahydrate):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(NO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·6H</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 TD: Theoritical density; PM:  (Powder Metallurgy) ;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urania;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gadolinia </w:t>
      </w:r>
    </w:p>
    <w:p w14:paraId="42F7B600" w14:textId="77777777" w:rsidR="00EF1C3C" w:rsidRPr="00DA61D7" w:rsidRDefault="00EF1C3C" w:rsidP="00D365B6">
      <w:pPr>
        <w:overflowPunct w:val="0"/>
        <w:autoSpaceDE w:val="0"/>
        <w:autoSpaceDN w:val="0"/>
        <w:adjustRightInd w:val="0"/>
        <w:spacing w:afterLines="60" w:after="144" w:line="240" w:lineRule="auto"/>
        <w:ind w:right="-482"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THFA: Tetrahydrofurfuryl Alcohol, C</w:t>
      </w:r>
      <w:r w:rsidRPr="00DA61D7">
        <w:rPr>
          <w:rFonts w:ascii="Times New Roman" w:eastAsia="Times New Roman" w:hAnsi="Times New Roman" w:cs="Times New Roman"/>
          <w:sz w:val="24"/>
          <w:szCs w:val="24"/>
          <w:vertAlign w:val="subscript"/>
          <w:lang w:val="en-GB"/>
        </w:rPr>
        <w:t>5</w:t>
      </w:r>
      <w:r w:rsidRPr="00DA61D7">
        <w:rPr>
          <w:rFonts w:ascii="Times New Roman" w:eastAsia="Times New Roman" w:hAnsi="Times New Roman" w:cs="Times New Roman"/>
          <w:sz w:val="24"/>
          <w:szCs w:val="24"/>
          <w:lang w:val="en-GB"/>
        </w:rPr>
        <w:t>H</w:t>
      </w:r>
      <w:r w:rsidRPr="00DA61D7">
        <w:rPr>
          <w:rFonts w:ascii="Times New Roman" w:eastAsia="Times New Roman" w:hAnsi="Times New Roman" w:cs="Times New Roman"/>
          <w:sz w:val="24"/>
          <w:szCs w:val="24"/>
          <w:vertAlign w:val="subscript"/>
          <w:lang w:val="en-GB"/>
        </w:rPr>
        <w:t>10</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2</w:t>
      </w:r>
      <w:r w:rsidR="00D34A05" w:rsidRPr="00DA61D7">
        <w:rPr>
          <w:rFonts w:ascii="Times New Roman" w:eastAsia="Times New Roman" w:hAnsi="Times New Roman" w:cs="Times New Roman"/>
          <w:sz w:val="24"/>
          <w:szCs w:val="24"/>
          <w:lang w:val="en-GB"/>
        </w:rPr>
        <w:t xml:space="preserve"> , </w:t>
      </w:r>
      <w:r w:rsidR="008247A0" w:rsidRPr="00DA61D7">
        <w:rPr>
          <w:rFonts w:ascii="Times New Roman" w:eastAsia="Times New Roman" w:hAnsi="Times New Roman" w:cs="Times New Roman"/>
          <w:sz w:val="24"/>
          <w:szCs w:val="24"/>
          <w:lang w:val="en-GB"/>
        </w:rPr>
        <w:t>PVA: Polyvinyl a</w:t>
      </w:r>
      <w:r w:rsidRPr="00DA61D7">
        <w:rPr>
          <w:rFonts w:ascii="Times New Roman" w:eastAsia="Times New Roman" w:hAnsi="Times New Roman" w:cs="Times New Roman"/>
          <w:sz w:val="24"/>
          <w:szCs w:val="24"/>
          <w:lang w:val="en-GB"/>
        </w:rPr>
        <w:t xml:space="preserve">lcohol, </w:t>
      </w:r>
      <w:r w:rsidR="002F1D61" w:rsidRPr="00DA61D7">
        <w:rPr>
          <w:rFonts w:ascii="Times New Roman" w:eastAsia="Times New Roman" w:hAnsi="Times New Roman" w:cs="Times New Roman"/>
          <w:sz w:val="24"/>
          <w:szCs w:val="24"/>
          <w:lang w:val="en-GB"/>
        </w:rPr>
        <w:t>[CH</w:t>
      </w:r>
      <w:r w:rsidR="002F1D61" w:rsidRPr="00DA61D7">
        <w:rPr>
          <w:rFonts w:ascii="Times New Roman" w:eastAsia="Times New Roman" w:hAnsi="Times New Roman" w:cs="Times New Roman"/>
          <w:sz w:val="24"/>
          <w:szCs w:val="24"/>
          <w:vertAlign w:val="subscript"/>
          <w:lang w:val="en-GB"/>
        </w:rPr>
        <w:t>2</w:t>
      </w:r>
      <w:r w:rsidR="002F1D61" w:rsidRPr="00DA61D7">
        <w:rPr>
          <w:rFonts w:ascii="Times New Roman" w:eastAsia="Times New Roman" w:hAnsi="Times New Roman" w:cs="Times New Roman"/>
          <w:sz w:val="24"/>
          <w:szCs w:val="24"/>
          <w:lang w:val="en-GB"/>
        </w:rPr>
        <w:t>CH(OH)]n</w:t>
      </w:r>
    </w:p>
    <w:p w14:paraId="340DF0CC" w14:textId="77777777" w:rsidR="00EF1C3C" w:rsidRPr="00DA61D7" w:rsidRDefault="004924A7" w:rsidP="00D365B6">
      <w:pPr>
        <w:overflowPunct w:val="0"/>
        <w:autoSpaceDE w:val="0"/>
        <w:autoSpaceDN w:val="0"/>
        <w:adjustRightInd w:val="0"/>
        <w:spacing w:afterLines="60" w:after="144" w:line="240" w:lineRule="auto"/>
        <w:ind w:right="-482"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ÇNAEM: </w:t>
      </w:r>
      <w:r w:rsidR="00EF1C3C" w:rsidRPr="00DA61D7">
        <w:rPr>
          <w:rFonts w:ascii="Times New Roman" w:eastAsia="Times New Roman" w:hAnsi="Times New Roman" w:cs="Times New Roman"/>
          <w:sz w:val="24"/>
          <w:szCs w:val="24"/>
          <w:lang w:val="en-GB"/>
        </w:rPr>
        <w:t>Cekmece Nucle</w:t>
      </w:r>
      <w:r w:rsidRPr="00DA61D7">
        <w:rPr>
          <w:rFonts w:ascii="Times New Roman" w:eastAsia="Times New Roman" w:hAnsi="Times New Roman" w:cs="Times New Roman"/>
          <w:sz w:val="24"/>
          <w:szCs w:val="24"/>
          <w:lang w:val="en-GB"/>
        </w:rPr>
        <w:t>ar Research and Training Center</w:t>
      </w:r>
    </w:p>
    <w:p w14:paraId="15DB90F0" w14:textId="77777777" w:rsidR="001F4AA8" w:rsidRPr="00DA61D7" w:rsidRDefault="004924A7" w:rsidP="00D365B6">
      <w:pPr>
        <w:overflowPunct w:val="0"/>
        <w:autoSpaceDE w:val="0"/>
        <w:autoSpaceDN w:val="0"/>
        <w:adjustRightInd w:val="0"/>
        <w:spacing w:afterLines="60" w:after="144" w:line="240" w:lineRule="auto"/>
        <w:ind w:right="-482"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LTS: Low temperature sintering, </w:t>
      </w:r>
      <w:r w:rsidR="008247A0" w:rsidRPr="00DA61D7">
        <w:rPr>
          <w:rFonts w:ascii="Times New Roman" w:eastAsia="Times New Roman" w:hAnsi="Times New Roman" w:cs="Times New Roman"/>
          <w:sz w:val="24"/>
          <w:szCs w:val="24"/>
          <w:lang w:val="en-GB"/>
        </w:rPr>
        <w:t>HTS: High t</w:t>
      </w:r>
      <w:r w:rsidR="001F4AA8" w:rsidRPr="00DA61D7">
        <w:rPr>
          <w:rFonts w:ascii="Times New Roman" w:eastAsia="Times New Roman" w:hAnsi="Times New Roman" w:cs="Times New Roman"/>
          <w:sz w:val="24"/>
          <w:szCs w:val="24"/>
          <w:lang w:val="en-GB"/>
        </w:rPr>
        <w:t>emperature sintering</w:t>
      </w:r>
    </w:p>
    <w:p w14:paraId="5DC4118A" w14:textId="79DDC32A" w:rsidR="00EF1C3C" w:rsidRPr="00DA61D7" w:rsidRDefault="00EF1C3C" w:rsidP="00D365B6">
      <w:pPr>
        <w:keepNext/>
        <w:spacing w:afterLines="60" w:after="144" w:line="240" w:lineRule="auto"/>
        <w:outlineLvl w:val="0"/>
        <w:rPr>
          <w:rFonts w:ascii="Times New Roman" w:eastAsia="Times New Roman" w:hAnsi="Times New Roman" w:cs="Times New Roman"/>
          <w:b/>
          <w:sz w:val="24"/>
          <w:szCs w:val="24"/>
        </w:rPr>
      </w:pPr>
    </w:p>
    <w:p w14:paraId="45E1B9D8" w14:textId="3892594B" w:rsidR="00EF1C3C" w:rsidRPr="00DA61D7" w:rsidRDefault="00EF1C3C" w:rsidP="00D365B6">
      <w:pPr>
        <w:keepNext/>
        <w:spacing w:afterLines="60" w:after="144" w:line="240" w:lineRule="auto"/>
        <w:ind w:firstLine="708"/>
        <w:outlineLvl w:val="0"/>
        <w:rPr>
          <w:rFonts w:ascii="Times New Roman" w:eastAsia="Times New Roman" w:hAnsi="Times New Roman" w:cs="Times New Roman"/>
          <w:b/>
          <w:sz w:val="24"/>
          <w:szCs w:val="24"/>
        </w:rPr>
      </w:pPr>
      <w:r w:rsidRPr="00DA61D7">
        <w:rPr>
          <w:rFonts w:ascii="Times New Roman" w:eastAsia="Times New Roman" w:hAnsi="Times New Roman" w:cs="Times New Roman"/>
          <w:b/>
          <w:sz w:val="24"/>
          <w:szCs w:val="24"/>
        </w:rPr>
        <w:t>Ö</w:t>
      </w:r>
      <w:bookmarkEnd w:id="1"/>
      <w:r w:rsidR="00F20501" w:rsidRPr="00DA61D7">
        <w:rPr>
          <w:rFonts w:ascii="Times New Roman" w:eastAsia="Times New Roman" w:hAnsi="Times New Roman" w:cs="Times New Roman"/>
          <w:b/>
          <w:sz w:val="24"/>
          <w:szCs w:val="24"/>
        </w:rPr>
        <w:t>zet:</w:t>
      </w:r>
    </w:p>
    <w:p w14:paraId="7FA35DB8" w14:textId="6FA955CB" w:rsidR="00EF1C3C" w:rsidRPr="00DA61D7" w:rsidRDefault="008247A0"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rPr>
      </w:pPr>
      <w:r w:rsidRPr="00DA61D7">
        <w:rPr>
          <w:rFonts w:ascii="Times New Roman" w:eastAsia="Times New Roman" w:hAnsi="Times New Roman" w:cs="Times New Roman"/>
          <w:sz w:val="24"/>
          <w:szCs w:val="24"/>
        </w:rPr>
        <w:t xml:space="preserve">Günümüz nükleer reaktörleri farklı uygulamalar için farklı nötron soğurucularına sahiptirler. </w:t>
      </w:r>
      <w:r w:rsidR="00EF1C3C" w:rsidRPr="00DA61D7">
        <w:rPr>
          <w:rFonts w:ascii="Times New Roman" w:eastAsia="Times New Roman" w:hAnsi="Times New Roman" w:cs="Times New Roman"/>
          <w:sz w:val="24"/>
          <w:szCs w:val="24"/>
        </w:rPr>
        <w:t xml:space="preserve">Nükleer endüstrinin en büyük zorluklarından biri, reaktörlerin performansını, güvenliğini ve ömrünü arttırmaktır. Bu alanda yakıt ömrünü uzatmak, yanmayı arttırmak ve güç yoğunluğu dağılımını optimize etmek için yeni malzemelerin araştırılmasına ve geliştirilmesine odaklanmış birçok çaba vardır. </w:t>
      </w:r>
      <w:r w:rsidR="00EF1C3C" w:rsidRPr="00DA61D7">
        <w:rPr>
          <w:rFonts w:ascii="Times New Roman" w:eastAsia="Times New Roman" w:hAnsi="Times New Roman" w:cs="Times New Roman"/>
          <w:sz w:val="24"/>
          <w:szCs w:val="24"/>
          <w:lang w:val="en-GB"/>
        </w:rPr>
        <w:t>Bu amaçla bir nötron soğurucu malzeme genellikle UO</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 xml:space="preserve"> nükleer yakıtına ilave edilir. Gadolinyum mükemmel bir yanabilir zehirdir çünkü nötron absorblanması için geniş bir kesit sunar ve ömrünün başlangıcında yakıtın aşırı reaktivitesinin dengelenmesini sağlar. Reaktör performansının daha uzun çevrim uzunlukları veya geliştirilmiş yakıt kullanımı yoluyla geliştirilmesi ihtiyacı, ticari nükleer enerji üretiminin başlangıcından beri belirgin taleplerden biri olmuştur. </w:t>
      </w:r>
      <w:r w:rsidR="00EF1C3C" w:rsidRPr="00DA61D7">
        <w:rPr>
          <w:rFonts w:ascii="Times New Roman" w:eastAsia="Times New Roman" w:hAnsi="Times New Roman" w:cs="Times New Roman"/>
          <w:sz w:val="24"/>
          <w:szCs w:val="24"/>
        </w:rPr>
        <w:t>Bunun sonucunda ortaya çıkan çeşitli modifikasyonların başında, reaktör çekirdeğindeki ek parçalanabilir malzemenin (</w:t>
      </w:r>
      <w:r w:rsidR="00EF1C3C" w:rsidRPr="00DA61D7">
        <w:rPr>
          <w:rFonts w:ascii="Times New Roman" w:eastAsia="Times New Roman" w:hAnsi="Times New Roman" w:cs="Times New Roman"/>
          <w:sz w:val="24"/>
          <w:szCs w:val="24"/>
          <w:vertAlign w:val="superscript"/>
        </w:rPr>
        <w:t>235</w:t>
      </w:r>
      <w:r w:rsidR="00EF1C3C" w:rsidRPr="00DA61D7">
        <w:rPr>
          <w:rFonts w:ascii="Times New Roman" w:eastAsia="Times New Roman" w:hAnsi="Times New Roman" w:cs="Times New Roman"/>
          <w:sz w:val="24"/>
          <w:szCs w:val="24"/>
        </w:rPr>
        <w:t xml:space="preserve">U) arttırılması anlamına da gelen yakıtın </w:t>
      </w:r>
      <w:r w:rsidR="00213BC7" w:rsidRPr="00DA61D7">
        <w:rPr>
          <w:rFonts w:ascii="Times New Roman" w:eastAsia="Times New Roman" w:hAnsi="Times New Roman" w:cs="Times New Roman"/>
          <w:sz w:val="24"/>
          <w:szCs w:val="24"/>
        </w:rPr>
        <w:t>ilk zenginlği</w:t>
      </w:r>
      <w:r w:rsidR="00EF1C3C" w:rsidRPr="00DA61D7">
        <w:rPr>
          <w:rFonts w:ascii="Times New Roman" w:eastAsia="Times New Roman" w:hAnsi="Times New Roman" w:cs="Times New Roman"/>
          <w:sz w:val="24"/>
          <w:szCs w:val="24"/>
        </w:rPr>
        <w:t>nin arttırılması gelmektedir ve bu, ancak reaktör çekirdeğine ek nötron soğurucu malzeme eklenerek telafi edilebilmektedir. Bu dengeleme, başlangıçta sadece kontrol çubuklarına monte edilen nötron soğurucu malzemeler kullanılarak ve / veya reaktör soğutucusunda çözünebilir emici (borik asit) ilave edilerek sağlanabilmiştir. Kaynar Su Reaktörlerinde (BWR), soğutucu</w:t>
      </w:r>
      <w:r w:rsidR="00CA7BBF" w:rsidRPr="00DA61D7">
        <w:rPr>
          <w:rFonts w:ascii="Times New Roman" w:eastAsia="Times New Roman" w:hAnsi="Times New Roman" w:cs="Times New Roman"/>
          <w:sz w:val="24"/>
          <w:szCs w:val="24"/>
        </w:rPr>
        <w:t xml:space="preserve"> </w:t>
      </w:r>
      <w:r w:rsidR="00EF1C3C" w:rsidRPr="00DA61D7">
        <w:rPr>
          <w:rFonts w:ascii="Times New Roman" w:eastAsia="Times New Roman" w:hAnsi="Times New Roman" w:cs="Times New Roman"/>
          <w:sz w:val="24"/>
          <w:szCs w:val="24"/>
        </w:rPr>
        <w:t xml:space="preserve">moderatörde çözünebilir soğurucunun kullanımı teknolojik nedenlerle yasaklanmıştır. Basınçlı Su Reaktörlerinde (PWR), soğutucu / moderatöre eklenen çözünebilir bir soğurucu olarak borik asidin kullanımı rutin olarak gerçekleştirilmektedir, fakat ilk yakıt zenginleştirilmesindeki artış borik asit </w:t>
      </w:r>
      <w:r w:rsidR="00EF1C3C" w:rsidRPr="00DA61D7">
        <w:rPr>
          <w:rFonts w:ascii="Times New Roman" w:eastAsia="Times New Roman" w:hAnsi="Times New Roman" w:cs="Times New Roman"/>
          <w:sz w:val="24"/>
          <w:szCs w:val="24"/>
        </w:rPr>
        <w:lastRenderedPageBreak/>
        <w:t xml:space="preserve">konsantrasyonunu </w:t>
      </w:r>
      <w:r w:rsidR="00095D55" w:rsidRPr="00DA61D7">
        <w:rPr>
          <w:rFonts w:ascii="Times New Roman" w:eastAsia="Times New Roman" w:hAnsi="Times New Roman" w:cs="Times New Roman"/>
          <w:sz w:val="24"/>
          <w:szCs w:val="24"/>
        </w:rPr>
        <w:t>arttırılmasıyla süresiz</w:t>
      </w:r>
      <w:r w:rsidR="00EF1C3C" w:rsidRPr="00DA61D7">
        <w:rPr>
          <w:rFonts w:ascii="Times New Roman" w:eastAsia="Times New Roman" w:hAnsi="Times New Roman" w:cs="Times New Roman"/>
          <w:sz w:val="24"/>
          <w:szCs w:val="24"/>
        </w:rPr>
        <w:t xml:space="preserve"> olarak telafi edilememektedir. Belirli bir konsantrasyonun ötesinde, başlangıçta suyun termal olarak genleşmesi, çekirdek içindeki bor miktarını azaltır ve sonuç olarak, güvenli reaktör operasyonuna ilişkin kabul edilemez bir durum olan pozitif bir moderatör reaktivite katsayısı ile sonuçlanır. Yakıt çubukları içinde katı yanıcı </w:t>
      </w:r>
      <w:r w:rsidRPr="00DA61D7">
        <w:rPr>
          <w:rFonts w:ascii="Times New Roman" w:eastAsia="Times New Roman" w:hAnsi="Times New Roman" w:cs="Times New Roman"/>
          <w:sz w:val="24"/>
          <w:szCs w:val="24"/>
        </w:rPr>
        <w:t>soğurucu</w:t>
      </w:r>
      <w:r w:rsidR="00EF1C3C" w:rsidRPr="00DA61D7">
        <w:rPr>
          <w:rFonts w:ascii="Times New Roman" w:eastAsia="Times New Roman" w:hAnsi="Times New Roman" w:cs="Times New Roman"/>
          <w:sz w:val="24"/>
          <w:szCs w:val="24"/>
        </w:rPr>
        <w:t xml:space="preserve">ların  (ya da yanabilir zehirin) kullanılmasının nedeni budur. Nükleer reaktörlerde yanabilir bir </w:t>
      </w:r>
      <w:r w:rsidRPr="00DA61D7">
        <w:rPr>
          <w:rFonts w:ascii="Times New Roman" w:eastAsia="Times New Roman" w:hAnsi="Times New Roman" w:cs="Times New Roman"/>
          <w:sz w:val="24"/>
          <w:szCs w:val="24"/>
        </w:rPr>
        <w:t>soğurucu</w:t>
      </w:r>
      <w:r w:rsidR="00EF1C3C" w:rsidRPr="00DA61D7">
        <w:rPr>
          <w:rFonts w:ascii="Times New Roman" w:eastAsia="Times New Roman" w:hAnsi="Times New Roman" w:cs="Times New Roman"/>
          <w:sz w:val="24"/>
          <w:szCs w:val="24"/>
        </w:rPr>
        <w:t xml:space="preserve"> zehir kullanılması, kor yaşamın başlangıcında gerekli negatif moderatör reaktivite katsayısını sağlar ve kor güç dağılımlarını şekillendirmeye yardımcı olur (</w:t>
      </w:r>
      <w:r w:rsidR="00754F01" w:rsidRPr="00DA61D7">
        <w:rPr>
          <w:rFonts w:ascii="Times New Roman" w:eastAsia="Times New Roman" w:hAnsi="Times New Roman" w:cs="Times New Roman"/>
          <w:sz w:val="24"/>
          <w:szCs w:val="24"/>
          <w:lang w:val="en-GB"/>
        </w:rPr>
        <w:t xml:space="preserve">TEC-DOC-844,1995; </w:t>
      </w:r>
      <w:r w:rsidR="00CF0859" w:rsidRPr="00DA61D7">
        <w:rPr>
          <w:rFonts w:ascii="Times New Roman" w:eastAsia="Times New Roman" w:hAnsi="Times New Roman" w:cs="Times New Roman"/>
          <w:sz w:val="24"/>
          <w:szCs w:val="24"/>
          <w:lang w:val="en-GB"/>
        </w:rPr>
        <w:t>Yayli,</w:t>
      </w:r>
      <w:r w:rsidR="004A59D9">
        <w:rPr>
          <w:rFonts w:ascii="Times New Roman" w:eastAsia="Times New Roman" w:hAnsi="Times New Roman" w:cs="Times New Roman"/>
          <w:sz w:val="24"/>
          <w:szCs w:val="24"/>
          <w:lang w:val="en-GB"/>
        </w:rPr>
        <w:t xml:space="preserve"> </w:t>
      </w:r>
      <w:r w:rsidR="00CF0859" w:rsidRPr="00DA61D7">
        <w:rPr>
          <w:rFonts w:ascii="Times New Roman" w:eastAsia="Times New Roman" w:hAnsi="Times New Roman" w:cs="Times New Roman"/>
          <w:sz w:val="24"/>
          <w:szCs w:val="24"/>
          <w:lang w:val="en-GB"/>
        </w:rPr>
        <w:t xml:space="preserve">1995; </w:t>
      </w:r>
      <w:r w:rsidR="00883C57" w:rsidRPr="00DA61D7">
        <w:rPr>
          <w:rFonts w:ascii="Times New Roman" w:eastAsia="Times New Roman" w:hAnsi="Times New Roman" w:cs="Times New Roman"/>
          <w:sz w:val="24"/>
          <w:szCs w:val="24"/>
          <w:lang w:val="en-GB"/>
        </w:rPr>
        <w:t>Böhm</w:t>
      </w:r>
      <w:r w:rsidR="00883C57">
        <w:rPr>
          <w:rFonts w:ascii="Times New Roman" w:eastAsia="Times New Roman" w:hAnsi="Times New Roman" w:cs="Times New Roman"/>
          <w:sz w:val="24"/>
          <w:szCs w:val="24"/>
          <w:lang w:val="en-GB"/>
        </w:rPr>
        <w:t xml:space="preserve"> et al.</w:t>
      </w:r>
      <w:r w:rsidR="00883C57" w:rsidRPr="00DA61D7">
        <w:rPr>
          <w:rFonts w:ascii="Times New Roman" w:eastAsia="Times New Roman" w:hAnsi="Times New Roman" w:cs="Times New Roman"/>
          <w:sz w:val="24"/>
          <w:szCs w:val="24"/>
          <w:lang w:val="en-GB"/>
        </w:rPr>
        <w:t>, 1987;</w:t>
      </w:r>
      <w:r w:rsidR="00883C57" w:rsidRPr="00DA61D7">
        <w:rPr>
          <w:rFonts w:ascii="Times New Roman" w:eastAsia="Times New Roman" w:hAnsi="Times New Roman" w:cs="Times New Roman"/>
          <w:sz w:val="24"/>
          <w:szCs w:val="24"/>
        </w:rPr>
        <w:t xml:space="preserve"> Zinkle</w:t>
      </w:r>
      <w:r w:rsidR="00883C57">
        <w:rPr>
          <w:rFonts w:ascii="Times New Roman" w:eastAsia="Times New Roman" w:hAnsi="Times New Roman" w:cs="Times New Roman"/>
          <w:sz w:val="24"/>
          <w:szCs w:val="24"/>
        </w:rPr>
        <w:t xml:space="preserve"> &amp; Was, </w:t>
      </w:r>
      <w:r w:rsidR="00883C57" w:rsidRPr="00DA61D7">
        <w:rPr>
          <w:rFonts w:ascii="Times New Roman" w:eastAsia="Times New Roman" w:hAnsi="Times New Roman" w:cs="Times New Roman"/>
          <w:sz w:val="24"/>
          <w:szCs w:val="24"/>
        </w:rPr>
        <w:t>2013; Tobia</w:t>
      </w:r>
      <w:r w:rsidR="00883C57">
        <w:rPr>
          <w:rFonts w:ascii="Times New Roman" w:eastAsia="Times New Roman" w:hAnsi="Times New Roman" w:cs="Times New Roman"/>
          <w:sz w:val="24"/>
          <w:szCs w:val="24"/>
        </w:rPr>
        <w:t xml:space="preserve"> et al.</w:t>
      </w:r>
      <w:r w:rsidR="00883C57" w:rsidRPr="00DA61D7">
        <w:rPr>
          <w:rFonts w:ascii="Times New Roman" w:eastAsia="Times New Roman" w:hAnsi="Times New Roman" w:cs="Times New Roman"/>
          <w:sz w:val="24"/>
          <w:szCs w:val="24"/>
        </w:rPr>
        <w:t>, 2014</w:t>
      </w:r>
      <w:r w:rsidR="00EF1C3C" w:rsidRPr="00DA61D7">
        <w:rPr>
          <w:rFonts w:ascii="Times New Roman" w:eastAsia="Times New Roman" w:hAnsi="Times New Roman" w:cs="Times New Roman"/>
          <w:sz w:val="24"/>
          <w:szCs w:val="24"/>
        </w:rPr>
        <w:t>). Yanabilir soğurucu zehir malzemesi yüksek bir nötron tesir kesitine sahip olmalı ve düşük soğurma tesir kesitli kız ürünlerini oluşturmalıdır. Ardından, ışınlama ilerledikçe, yanabilir zehir yakılır ve makroskobik absorpsiyon kesiti azalır.</w:t>
      </w:r>
      <w:r w:rsidR="00EF1C3C" w:rsidRPr="00DA61D7">
        <w:rPr>
          <w:rFonts w:ascii="Times New Roman" w:eastAsia="Times New Roman" w:hAnsi="Times New Roman" w:cs="Times New Roman"/>
          <w:szCs w:val="20"/>
        </w:rPr>
        <w:t xml:space="preserve"> </w:t>
      </w:r>
      <w:r w:rsidR="00EF1C3C" w:rsidRPr="00DA61D7">
        <w:rPr>
          <w:rFonts w:ascii="Times New Roman" w:eastAsia="Times New Roman" w:hAnsi="Times New Roman" w:cs="Times New Roman"/>
          <w:sz w:val="24"/>
          <w:szCs w:val="24"/>
        </w:rPr>
        <w:t xml:space="preserve">Nükleer bakış açısından, gadolinyum oksit, uygun bir şekilde tasarlandığında, yaklaşık olarak </w:t>
      </w:r>
      <w:r w:rsidR="00EF1C3C" w:rsidRPr="00DA61D7">
        <w:rPr>
          <w:rFonts w:ascii="Times New Roman" w:eastAsia="Times New Roman" w:hAnsi="Times New Roman" w:cs="Times New Roman"/>
          <w:sz w:val="24"/>
          <w:szCs w:val="24"/>
          <w:vertAlign w:val="superscript"/>
        </w:rPr>
        <w:t>235</w:t>
      </w:r>
      <w:r w:rsidR="00EF1C3C" w:rsidRPr="00DA61D7">
        <w:rPr>
          <w:rFonts w:ascii="Times New Roman" w:eastAsia="Times New Roman" w:hAnsi="Times New Roman" w:cs="Times New Roman"/>
          <w:sz w:val="24"/>
          <w:szCs w:val="24"/>
        </w:rPr>
        <w:t>U tükenmesiyle eşleşebilen ve döngü sonunda reaktivite hatasını en aza indiren yanma oranına bağlı yüksek bir nötron emilim kesitine sahip mükemmel bir yanıcı zehirdir (</w:t>
      </w:r>
      <w:r w:rsidR="00883C57" w:rsidRPr="00DA61D7">
        <w:rPr>
          <w:rFonts w:ascii="Times New Roman" w:eastAsia="Times New Roman" w:hAnsi="Times New Roman" w:cs="Times New Roman"/>
          <w:sz w:val="24"/>
          <w:szCs w:val="24"/>
        </w:rPr>
        <w:t>Stogen,</w:t>
      </w:r>
      <w:r w:rsidR="00883C57">
        <w:rPr>
          <w:rFonts w:ascii="Times New Roman" w:eastAsia="Times New Roman" w:hAnsi="Times New Roman" w:cs="Times New Roman"/>
          <w:sz w:val="24"/>
          <w:szCs w:val="24"/>
        </w:rPr>
        <w:t xml:space="preserve"> Nielsen &amp; Grummer,</w:t>
      </w:r>
      <w:r w:rsidR="00883C57" w:rsidRPr="00DA61D7">
        <w:rPr>
          <w:rFonts w:ascii="Times New Roman" w:eastAsia="Times New Roman" w:hAnsi="Times New Roman" w:cs="Times New Roman"/>
          <w:sz w:val="24"/>
          <w:szCs w:val="24"/>
        </w:rPr>
        <w:t xml:space="preserve"> 1982; Brandberg, 1973</w:t>
      </w:r>
      <w:r w:rsidR="00EF1C3C" w:rsidRPr="00DA61D7">
        <w:rPr>
          <w:rFonts w:ascii="Times New Roman" w:eastAsia="Times New Roman" w:hAnsi="Times New Roman" w:cs="Times New Roman"/>
          <w:sz w:val="24"/>
          <w:szCs w:val="24"/>
        </w:rPr>
        <w:t>).</w:t>
      </w:r>
      <w:r w:rsidR="00731937" w:rsidRPr="00DA61D7">
        <w:rPr>
          <w:rFonts w:ascii="Times New Roman" w:eastAsia="Times New Roman" w:hAnsi="Times New Roman" w:cs="Times New Roman"/>
          <w:sz w:val="24"/>
          <w:szCs w:val="24"/>
        </w:rPr>
        <w:t xml:space="preserve"> Bu çalışmada </w:t>
      </w:r>
      <w:r w:rsidR="00731937" w:rsidRPr="00DA61D7">
        <w:rPr>
          <w:rFonts w:ascii="Times New Roman" w:eastAsia="Times New Roman" w:hAnsi="Times New Roman" w:cs="Times New Roman"/>
          <w:sz w:val="24"/>
          <w:szCs w:val="24"/>
          <w:lang w:val="en-GB"/>
        </w:rPr>
        <w:t>UO</w:t>
      </w:r>
      <w:r w:rsidR="00731937" w:rsidRPr="00DA61D7">
        <w:rPr>
          <w:rFonts w:ascii="Times New Roman" w:eastAsia="Times New Roman" w:hAnsi="Times New Roman" w:cs="Times New Roman"/>
          <w:sz w:val="24"/>
          <w:szCs w:val="24"/>
          <w:vertAlign w:val="subscript"/>
          <w:lang w:val="en-GB"/>
        </w:rPr>
        <w:t>2</w:t>
      </w:r>
      <w:r w:rsidR="00731937" w:rsidRPr="00DA61D7">
        <w:rPr>
          <w:rFonts w:ascii="Times New Roman" w:eastAsia="Times New Roman" w:hAnsi="Times New Roman" w:cs="Times New Roman"/>
          <w:sz w:val="24"/>
          <w:szCs w:val="24"/>
          <w:lang w:val="en-GB"/>
        </w:rPr>
        <w:t>-Gd</w:t>
      </w:r>
      <w:r w:rsidR="00731937" w:rsidRPr="00DA61D7">
        <w:rPr>
          <w:rFonts w:ascii="Times New Roman" w:eastAsia="Times New Roman" w:hAnsi="Times New Roman" w:cs="Times New Roman"/>
          <w:sz w:val="24"/>
          <w:szCs w:val="24"/>
          <w:vertAlign w:val="subscript"/>
          <w:lang w:val="en-GB"/>
        </w:rPr>
        <w:t>2</w:t>
      </w:r>
      <w:r w:rsidR="00731937" w:rsidRPr="00DA61D7">
        <w:rPr>
          <w:rFonts w:ascii="Times New Roman" w:eastAsia="Times New Roman" w:hAnsi="Times New Roman" w:cs="Times New Roman"/>
          <w:sz w:val="24"/>
          <w:szCs w:val="24"/>
          <w:lang w:val="en-GB"/>
        </w:rPr>
        <w:t>O</w:t>
      </w:r>
      <w:r w:rsidR="00731937" w:rsidRPr="00DA61D7">
        <w:rPr>
          <w:rFonts w:ascii="Times New Roman" w:eastAsia="Times New Roman" w:hAnsi="Times New Roman" w:cs="Times New Roman"/>
          <w:sz w:val="24"/>
          <w:szCs w:val="24"/>
          <w:vertAlign w:val="subscript"/>
          <w:lang w:val="en-GB"/>
        </w:rPr>
        <w:t xml:space="preserve">3 </w:t>
      </w:r>
      <w:r w:rsidR="00731937" w:rsidRPr="00DA61D7">
        <w:rPr>
          <w:rFonts w:ascii="Times New Roman" w:eastAsia="Times New Roman" w:hAnsi="Times New Roman" w:cs="Times New Roman"/>
          <w:sz w:val="24"/>
          <w:szCs w:val="24"/>
          <w:lang w:val="en-GB"/>
        </w:rPr>
        <w:t>yanabilir soğuruculu</w:t>
      </w:r>
      <w:r w:rsidR="00731937" w:rsidRPr="00DA61D7">
        <w:rPr>
          <w:rFonts w:ascii="Times New Roman" w:eastAsia="Times New Roman" w:hAnsi="Times New Roman" w:cs="Times New Roman"/>
          <w:sz w:val="24"/>
          <w:szCs w:val="24"/>
          <w:vertAlign w:val="subscript"/>
          <w:lang w:val="en-GB"/>
        </w:rPr>
        <w:t xml:space="preserve"> </w:t>
      </w:r>
      <w:r w:rsidR="00731937" w:rsidRPr="00DA61D7">
        <w:rPr>
          <w:rFonts w:ascii="Times New Roman" w:eastAsia="Times New Roman" w:hAnsi="Times New Roman" w:cs="Times New Roman"/>
          <w:sz w:val="24"/>
          <w:szCs w:val="24"/>
          <w:lang w:val="en-GB"/>
        </w:rPr>
        <w:t>peletleri elde etmek için iki yöntem kullanıldı. Birinci yöntem konvansiyonel toz metalurjisi ve ikincisi sol-jel yöntemidir.</w:t>
      </w:r>
      <w:r w:rsidR="00EF0C4A" w:rsidRPr="00DA61D7">
        <w:rPr>
          <w:rFonts w:ascii="Times New Roman" w:eastAsia="Times New Roman" w:hAnsi="Times New Roman" w:cs="Times New Roman"/>
          <w:sz w:val="24"/>
          <w:szCs w:val="24"/>
          <w:lang w:val="en-GB"/>
        </w:rPr>
        <w:t xml:space="preserve"> Bu çalışmada sinterlenmiş UO</w:t>
      </w:r>
      <w:r w:rsidR="00EF0C4A" w:rsidRPr="00DA61D7">
        <w:rPr>
          <w:rFonts w:ascii="Times New Roman" w:eastAsia="Times New Roman" w:hAnsi="Times New Roman" w:cs="Times New Roman"/>
          <w:sz w:val="24"/>
          <w:szCs w:val="24"/>
          <w:vertAlign w:val="subscript"/>
          <w:lang w:val="en-GB"/>
        </w:rPr>
        <w:t>2</w:t>
      </w:r>
      <w:r w:rsidR="00EF0C4A" w:rsidRPr="00DA61D7">
        <w:rPr>
          <w:rFonts w:ascii="Times New Roman" w:eastAsia="Times New Roman" w:hAnsi="Times New Roman" w:cs="Times New Roman"/>
          <w:sz w:val="24"/>
          <w:szCs w:val="24"/>
          <w:lang w:val="en-GB"/>
        </w:rPr>
        <w:t>-Gd</w:t>
      </w:r>
      <w:r w:rsidR="00EF0C4A" w:rsidRPr="00DA61D7">
        <w:rPr>
          <w:rFonts w:ascii="Times New Roman" w:eastAsia="Times New Roman" w:hAnsi="Times New Roman" w:cs="Times New Roman"/>
          <w:sz w:val="24"/>
          <w:szCs w:val="24"/>
          <w:vertAlign w:val="subscript"/>
          <w:lang w:val="en-GB"/>
        </w:rPr>
        <w:t>2</w:t>
      </w:r>
      <w:r w:rsidR="00EF0C4A" w:rsidRPr="00DA61D7">
        <w:rPr>
          <w:rFonts w:ascii="Times New Roman" w:eastAsia="Times New Roman" w:hAnsi="Times New Roman" w:cs="Times New Roman"/>
          <w:sz w:val="24"/>
          <w:szCs w:val="24"/>
          <w:lang w:val="en-GB"/>
        </w:rPr>
        <w:t>O</w:t>
      </w:r>
      <w:r w:rsidR="00EF0C4A" w:rsidRPr="00DA61D7">
        <w:rPr>
          <w:rFonts w:ascii="Times New Roman" w:eastAsia="Times New Roman" w:hAnsi="Times New Roman" w:cs="Times New Roman"/>
          <w:sz w:val="24"/>
          <w:szCs w:val="24"/>
          <w:vertAlign w:val="subscript"/>
          <w:lang w:val="en-GB"/>
        </w:rPr>
        <w:t>3</w:t>
      </w:r>
      <w:r w:rsidR="00EF0C4A" w:rsidRPr="00DA61D7">
        <w:rPr>
          <w:rFonts w:ascii="Times New Roman" w:eastAsia="Times New Roman" w:hAnsi="Times New Roman" w:cs="Times New Roman"/>
          <w:sz w:val="24"/>
          <w:szCs w:val="24"/>
          <w:lang w:val="en-GB"/>
        </w:rPr>
        <w:t xml:space="preserve"> peletlerinde mikroyapı ve U-Gd dağılımı incelemeleri SEM-EDAX yöntemleriyle yapıldı ve her iki yöntemle de üretilen ürünlerde homojen yapılar elde edildi. Sinterlenmiş UO</w:t>
      </w:r>
      <w:r w:rsidR="00EF0C4A" w:rsidRPr="00DA61D7">
        <w:rPr>
          <w:rFonts w:ascii="Times New Roman" w:eastAsia="Times New Roman" w:hAnsi="Times New Roman" w:cs="Times New Roman"/>
          <w:sz w:val="24"/>
          <w:szCs w:val="24"/>
          <w:vertAlign w:val="subscript"/>
          <w:lang w:val="en-GB"/>
        </w:rPr>
        <w:t>2</w:t>
      </w:r>
      <w:r w:rsidR="00EF0C4A" w:rsidRPr="00DA61D7">
        <w:rPr>
          <w:rFonts w:ascii="Times New Roman" w:eastAsia="Times New Roman" w:hAnsi="Times New Roman" w:cs="Times New Roman"/>
          <w:sz w:val="24"/>
          <w:szCs w:val="24"/>
          <w:lang w:val="en-GB"/>
        </w:rPr>
        <w:t>-Gd</w:t>
      </w:r>
      <w:r w:rsidR="00EF0C4A" w:rsidRPr="00DA61D7">
        <w:rPr>
          <w:rFonts w:ascii="Times New Roman" w:eastAsia="Times New Roman" w:hAnsi="Times New Roman" w:cs="Times New Roman"/>
          <w:sz w:val="24"/>
          <w:szCs w:val="24"/>
          <w:vertAlign w:val="subscript"/>
          <w:lang w:val="en-GB"/>
        </w:rPr>
        <w:t>2</w:t>
      </w:r>
      <w:r w:rsidR="00EF0C4A" w:rsidRPr="00DA61D7">
        <w:rPr>
          <w:rFonts w:ascii="Times New Roman" w:eastAsia="Times New Roman" w:hAnsi="Times New Roman" w:cs="Times New Roman"/>
          <w:sz w:val="24"/>
          <w:szCs w:val="24"/>
          <w:lang w:val="en-GB"/>
        </w:rPr>
        <w:t>O</w:t>
      </w:r>
      <w:r w:rsidR="00EF0C4A" w:rsidRPr="00DA61D7">
        <w:rPr>
          <w:rFonts w:ascii="Times New Roman" w:eastAsia="Times New Roman" w:hAnsi="Times New Roman" w:cs="Times New Roman"/>
          <w:sz w:val="24"/>
          <w:szCs w:val="24"/>
          <w:vertAlign w:val="subscript"/>
          <w:lang w:val="en-GB"/>
        </w:rPr>
        <w:t>3</w:t>
      </w:r>
      <w:r w:rsidR="00EF0C4A" w:rsidRPr="00DA61D7">
        <w:rPr>
          <w:rFonts w:ascii="Times New Roman" w:eastAsia="Times New Roman" w:hAnsi="Times New Roman" w:cs="Times New Roman"/>
          <w:sz w:val="24"/>
          <w:szCs w:val="24"/>
          <w:lang w:val="en-GB"/>
        </w:rPr>
        <w:t xml:space="preserve"> peletlerinde X- ışınları kırınımı yöntemiyle yapılan katı hal incelemelerinde</w:t>
      </w:r>
      <w:r w:rsidR="00590A77" w:rsidRPr="00DA61D7">
        <w:rPr>
          <w:rFonts w:ascii="Times New Roman" w:eastAsia="Times New Roman" w:hAnsi="Times New Roman" w:cs="Times New Roman"/>
          <w:sz w:val="24"/>
          <w:szCs w:val="24"/>
          <w:lang w:val="en-GB"/>
        </w:rPr>
        <w:t>, gadolinium UO</w:t>
      </w:r>
      <w:r w:rsidR="00590A77" w:rsidRPr="00DA61D7">
        <w:rPr>
          <w:rFonts w:ascii="Times New Roman" w:eastAsia="Times New Roman" w:hAnsi="Times New Roman" w:cs="Times New Roman"/>
          <w:sz w:val="24"/>
          <w:szCs w:val="24"/>
          <w:vertAlign w:val="subscript"/>
          <w:lang w:val="en-GB"/>
        </w:rPr>
        <w:t>2</w:t>
      </w:r>
      <w:r w:rsidR="00590A77" w:rsidRPr="00DA61D7">
        <w:rPr>
          <w:rFonts w:ascii="Times New Roman" w:eastAsia="Times New Roman" w:hAnsi="Times New Roman" w:cs="Times New Roman"/>
          <w:sz w:val="24"/>
          <w:szCs w:val="24"/>
          <w:lang w:val="en-GB"/>
        </w:rPr>
        <w:t xml:space="preserve"> matrisinde çözünmüştür. Sol-jel ve toz metalurjisi yöntemleri ile elde ettiğimiz yanabilir-soğuruculu kompakt ve delikli peletler, uluslararası standartlara uygun olarak elde edilmiştir.</w:t>
      </w:r>
    </w:p>
    <w:p w14:paraId="394F5C46" w14:textId="77777777" w:rsidR="00731937" w:rsidRPr="00DA61D7" w:rsidRDefault="00731937"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rPr>
      </w:pPr>
    </w:p>
    <w:p w14:paraId="3493A9CB" w14:textId="7D0E653D" w:rsidR="00731937" w:rsidRPr="00DA61D7" w:rsidRDefault="00F20501"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iCs/>
          <w:sz w:val="20"/>
          <w:szCs w:val="20"/>
          <w:lang w:val="en-GB"/>
        </w:rPr>
      </w:pPr>
      <w:r w:rsidRPr="00DA61D7">
        <w:rPr>
          <w:rFonts w:ascii="Times New Roman" w:eastAsia="Times New Roman" w:hAnsi="Times New Roman" w:cs="Times New Roman"/>
          <w:b/>
          <w:iCs/>
          <w:sz w:val="20"/>
          <w:szCs w:val="20"/>
          <w:lang w:val="en-GB"/>
        </w:rPr>
        <w:t xml:space="preserve">Key words: </w:t>
      </w:r>
      <w:r w:rsidRPr="00DA61D7">
        <w:rPr>
          <w:rFonts w:ascii="Times New Roman" w:eastAsia="Times New Roman" w:hAnsi="Times New Roman" w:cs="Times New Roman"/>
          <w:iCs/>
          <w:sz w:val="20"/>
          <w:szCs w:val="20"/>
          <w:lang w:val="en-GB"/>
        </w:rPr>
        <w:t xml:space="preserve">Burnable Absorber, Nuclear Fuel, Gadolinia, Annular type pellets, sol gel </w:t>
      </w:r>
    </w:p>
    <w:p w14:paraId="1FE5ABB6" w14:textId="21933B13"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iCs/>
          <w:color w:val="000000"/>
          <w:spacing w:val="2"/>
          <w:sz w:val="20"/>
          <w:szCs w:val="20"/>
        </w:rPr>
      </w:pPr>
      <w:r w:rsidRPr="00DA61D7">
        <w:rPr>
          <w:rFonts w:ascii="Times New Roman" w:eastAsia="Times New Roman" w:hAnsi="Times New Roman" w:cs="Times New Roman"/>
          <w:b/>
          <w:iCs/>
          <w:color w:val="000000"/>
          <w:spacing w:val="2"/>
          <w:sz w:val="20"/>
          <w:szCs w:val="20"/>
        </w:rPr>
        <w:t xml:space="preserve">Anahtar Kelimeler: </w:t>
      </w:r>
      <w:r w:rsidRPr="00DA61D7">
        <w:rPr>
          <w:rFonts w:ascii="Times New Roman" w:eastAsia="Times New Roman" w:hAnsi="Times New Roman" w:cs="Times New Roman"/>
          <w:iCs/>
          <w:color w:val="000000"/>
          <w:spacing w:val="2"/>
          <w:sz w:val="20"/>
          <w:szCs w:val="20"/>
        </w:rPr>
        <w:t>Yanabilir-soğurucu,</w:t>
      </w:r>
      <w:r w:rsidRPr="00DA61D7">
        <w:rPr>
          <w:rFonts w:ascii="Times New Roman" w:eastAsia="Times New Roman" w:hAnsi="Times New Roman" w:cs="Times New Roman"/>
          <w:b/>
          <w:iCs/>
          <w:color w:val="000000"/>
          <w:spacing w:val="2"/>
          <w:sz w:val="20"/>
          <w:szCs w:val="20"/>
        </w:rPr>
        <w:t xml:space="preserve"> </w:t>
      </w:r>
      <w:r w:rsidRPr="00DA61D7">
        <w:rPr>
          <w:rFonts w:ascii="Times New Roman" w:eastAsia="Times New Roman" w:hAnsi="Times New Roman" w:cs="Times New Roman"/>
          <w:iCs/>
          <w:color w:val="000000"/>
          <w:spacing w:val="2"/>
          <w:sz w:val="20"/>
          <w:szCs w:val="20"/>
        </w:rPr>
        <w:t>Nükleer yakıt, Gadolinyum oksit, Delikli tip yakıt, Sol jel</w:t>
      </w:r>
    </w:p>
    <w:p w14:paraId="284E0532" w14:textId="77777777" w:rsidR="00F20501" w:rsidRPr="00DA61D7" w:rsidRDefault="00F20501"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iCs/>
          <w:color w:val="000000"/>
          <w:spacing w:val="2"/>
          <w:sz w:val="24"/>
          <w:szCs w:val="24"/>
        </w:rPr>
      </w:pPr>
    </w:p>
    <w:p w14:paraId="48F92C3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color w:val="000000"/>
          <w:spacing w:val="2"/>
          <w:sz w:val="24"/>
          <w:szCs w:val="24"/>
        </w:rPr>
      </w:pPr>
      <w:r w:rsidRPr="00DA61D7">
        <w:rPr>
          <w:rFonts w:ascii="Times New Roman" w:eastAsia="Times New Roman" w:hAnsi="Times New Roman" w:cs="Times New Roman"/>
          <w:color w:val="000000"/>
          <w:spacing w:val="2"/>
          <w:sz w:val="24"/>
          <w:szCs w:val="24"/>
        </w:rPr>
        <w:t xml:space="preserve">Kısaltmalar: </w:t>
      </w:r>
    </w:p>
    <w:p w14:paraId="1A226F03" w14:textId="77777777" w:rsidR="00CF0859"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color w:val="000000"/>
          <w:spacing w:val="2"/>
          <w:sz w:val="24"/>
          <w:szCs w:val="24"/>
        </w:rPr>
      </w:pPr>
      <w:r w:rsidRPr="00DA61D7">
        <w:rPr>
          <w:rFonts w:ascii="Times New Roman" w:eastAsia="Times New Roman" w:hAnsi="Times New Roman" w:cs="Times New Roman"/>
          <w:color w:val="000000"/>
          <w:spacing w:val="2"/>
          <w:sz w:val="24"/>
          <w:szCs w:val="24"/>
        </w:rPr>
        <w:t>ADU (amonyum di-uranat) : (NH</w:t>
      </w:r>
      <w:r w:rsidRPr="00DA61D7">
        <w:rPr>
          <w:rFonts w:ascii="Times New Roman" w:eastAsia="Times New Roman" w:hAnsi="Times New Roman" w:cs="Times New Roman"/>
          <w:color w:val="000000"/>
          <w:spacing w:val="2"/>
          <w:sz w:val="24"/>
          <w:szCs w:val="24"/>
          <w:vertAlign w:val="subscript"/>
        </w:rPr>
        <w:t>4</w:t>
      </w:r>
      <w:r w:rsidRPr="00DA61D7">
        <w:rPr>
          <w:rFonts w:ascii="Times New Roman" w:eastAsia="Times New Roman" w:hAnsi="Times New Roman" w:cs="Times New Roman"/>
          <w:color w:val="000000"/>
          <w:spacing w:val="2"/>
          <w:sz w:val="24"/>
          <w:szCs w:val="24"/>
        </w:rPr>
        <w:t>)</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U</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O</w:t>
      </w:r>
      <w:r w:rsidRPr="00DA61D7">
        <w:rPr>
          <w:rFonts w:ascii="Times New Roman" w:eastAsia="Times New Roman" w:hAnsi="Times New Roman" w:cs="Times New Roman"/>
          <w:color w:val="000000"/>
          <w:spacing w:val="2"/>
          <w:sz w:val="24"/>
          <w:szCs w:val="24"/>
          <w:vertAlign w:val="subscript"/>
        </w:rPr>
        <w:t>7</w:t>
      </w:r>
      <w:r w:rsidRPr="00DA61D7">
        <w:rPr>
          <w:rFonts w:ascii="Times New Roman" w:eastAsia="Times New Roman" w:hAnsi="Times New Roman" w:cs="Times New Roman"/>
          <w:color w:val="000000"/>
          <w:spacing w:val="2"/>
          <w:sz w:val="24"/>
          <w:szCs w:val="24"/>
        </w:rPr>
        <w:t>; UNH (uranil nitrat hekza-hidrat): UO</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(NO</w:t>
      </w:r>
      <w:r w:rsidRPr="00DA61D7">
        <w:rPr>
          <w:rFonts w:ascii="Times New Roman" w:eastAsia="Times New Roman" w:hAnsi="Times New Roman" w:cs="Times New Roman"/>
          <w:color w:val="000000"/>
          <w:spacing w:val="2"/>
          <w:sz w:val="24"/>
          <w:szCs w:val="24"/>
          <w:vertAlign w:val="subscript"/>
        </w:rPr>
        <w:t>3</w:t>
      </w:r>
      <w:r w:rsidRPr="00DA61D7">
        <w:rPr>
          <w:rFonts w:ascii="Times New Roman" w:eastAsia="Times New Roman" w:hAnsi="Times New Roman" w:cs="Times New Roman"/>
          <w:color w:val="000000"/>
          <w:spacing w:val="2"/>
          <w:sz w:val="24"/>
          <w:szCs w:val="24"/>
        </w:rPr>
        <w:t>)</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·6H</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O; TD: Teorik yoğunluk; PM:  (toz metalurjisi) ; UO</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 uranya; Gd</w:t>
      </w:r>
      <w:r w:rsidRPr="00DA61D7">
        <w:rPr>
          <w:rFonts w:ascii="Times New Roman" w:eastAsia="Times New Roman" w:hAnsi="Times New Roman" w:cs="Times New Roman"/>
          <w:color w:val="000000"/>
          <w:spacing w:val="2"/>
          <w:sz w:val="24"/>
          <w:szCs w:val="24"/>
          <w:vertAlign w:val="subscript"/>
        </w:rPr>
        <w:t>2</w:t>
      </w:r>
      <w:r w:rsidRPr="00DA61D7">
        <w:rPr>
          <w:rFonts w:ascii="Times New Roman" w:eastAsia="Times New Roman" w:hAnsi="Times New Roman" w:cs="Times New Roman"/>
          <w:color w:val="000000"/>
          <w:spacing w:val="2"/>
          <w:sz w:val="24"/>
          <w:szCs w:val="24"/>
        </w:rPr>
        <w:t>O</w:t>
      </w:r>
      <w:r w:rsidRPr="00DA61D7">
        <w:rPr>
          <w:rFonts w:ascii="Times New Roman" w:eastAsia="Times New Roman" w:hAnsi="Times New Roman" w:cs="Times New Roman"/>
          <w:color w:val="000000"/>
          <w:spacing w:val="2"/>
          <w:sz w:val="24"/>
          <w:szCs w:val="24"/>
          <w:vertAlign w:val="subscript"/>
        </w:rPr>
        <w:t>3</w:t>
      </w:r>
      <w:r w:rsidRPr="00DA61D7">
        <w:rPr>
          <w:rFonts w:ascii="Times New Roman" w:eastAsia="Times New Roman" w:hAnsi="Times New Roman" w:cs="Times New Roman"/>
          <w:color w:val="000000"/>
          <w:spacing w:val="2"/>
          <w:sz w:val="24"/>
          <w:szCs w:val="24"/>
        </w:rPr>
        <w:t xml:space="preserve"> , gadolinya</w:t>
      </w:r>
      <w:r w:rsidR="00CF0859" w:rsidRPr="00DA61D7">
        <w:rPr>
          <w:rFonts w:ascii="Times New Roman" w:eastAsia="Times New Roman" w:hAnsi="Times New Roman" w:cs="Times New Roman"/>
          <w:color w:val="000000"/>
          <w:spacing w:val="2"/>
          <w:sz w:val="24"/>
          <w:szCs w:val="24"/>
        </w:rPr>
        <w:t>,</w:t>
      </w:r>
      <w:r w:rsidRPr="00DA61D7">
        <w:rPr>
          <w:rFonts w:ascii="Times New Roman" w:eastAsia="Times New Roman" w:hAnsi="Times New Roman" w:cs="Times New Roman"/>
          <w:b/>
          <w:color w:val="000000"/>
          <w:spacing w:val="2"/>
          <w:sz w:val="24"/>
          <w:szCs w:val="24"/>
        </w:rPr>
        <w:t xml:space="preserve"> </w:t>
      </w:r>
    </w:p>
    <w:p w14:paraId="36097392" w14:textId="77777777" w:rsidR="00CF0859" w:rsidRPr="00DA61D7" w:rsidRDefault="00CF0859"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color w:val="000000"/>
          <w:spacing w:val="2"/>
          <w:sz w:val="24"/>
          <w:szCs w:val="24"/>
          <w:lang w:val="en-GB"/>
        </w:rPr>
      </w:pPr>
      <w:r w:rsidRPr="00DA61D7">
        <w:rPr>
          <w:rFonts w:ascii="Times New Roman" w:eastAsia="Times New Roman" w:hAnsi="Times New Roman" w:cs="Times New Roman"/>
          <w:color w:val="000000"/>
          <w:spacing w:val="2"/>
          <w:sz w:val="24"/>
          <w:szCs w:val="24"/>
          <w:lang w:val="en-GB"/>
        </w:rPr>
        <w:t>THFA: Tetra</w:t>
      </w:r>
      <w:r w:rsidR="007F1F11" w:rsidRPr="00DA61D7">
        <w:rPr>
          <w:rFonts w:ascii="Times New Roman" w:eastAsia="Times New Roman" w:hAnsi="Times New Roman" w:cs="Times New Roman"/>
          <w:color w:val="000000"/>
          <w:spacing w:val="2"/>
          <w:sz w:val="24"/>
          <w:szCs w:val="24"/>
          <w:lang w:val="en-GB"/>
        </w:rPr>
        <w:t xml:space="preserve"> hi</w:t>
      </w:r>
      <w:r w:rsidRPr="00DA61D7">
        <w:rPr>
          <w:rFonts w:ascii="Times New Roman" w:eastAsia="Times New Roman" w:hAnsi="Times New Roman" w:cs="Times New Roman"/>
          <w:color w:val="000000"/>
          <w:spacing w:val="2"/>
          <w:sz w:val="24"/>
          <w:szCs w:val="24"/>
          <w:lang w:val="en-GB"/>
        </w:rPr>
        <w:t>dro</w:t>
      </w:r>
      <w:r w:rsidR="007F1F11" w:rsidRPr="00DA61D7">
        <w:rPr>
          <w:rFonts w:ascii="Times New Roman" w:eastAsia="Times New Roman" w:hAnsi="Times New Roman" w:cs="Times New Roman"/>
          <w:color w:val="000000"/>
          <w:spacing w:val="2"/>
          <w:sz w:val="24"/>
          <w:szCs w:val="24"/>
          <w:lang w:val="en-GB"/>
        </w:rPr>
        <w:t xml:space="preserve"> </w:t>
      </w:r>
      <w:r w:rsidRPr="00DA61D7">
        <w:rPr>
          <w:rFonts w:ascii="Times New Roman" w:eastAsia="Times New Roman" w:hAnsi="Times New Roman" w:cs="Times New Roman"/>
          <w:color w:val="000000"/>
          <w:spacing w:val="2"/>
          <w:sz w:val="24"/>
          <w:szCs w:val="24"/>
          <w:lang w:val="en-GB"/>
        </w:rPr>
        <w:t>furfur</w:t>
      </w:r>
      <w:r w:rsidR="007F1F11" w:rsidRPr="00DA61D7">
        <w:rPr>
          <w:rFonts w:ascii="Times New Roman" w:eastAsia="Times New Roman" w:hAnsi="Times New Roman" w:cs="Times New Roman"/>
          <w:color w:val="000000"/>
          <w:spacing w:val="2"/>
          <w:sz w:val="24"/>
          <w:szCs w:val="24"/>
          <w:lang w:val="en-GB"/>
        </w:rPr>
        <w:t xml:space="preserve">il </w:t>
      </w:r>
      <w:r w:rsidR="00095D55" w:rsidRPr="00DA61D7">
        <w:rPr>
          <w:rFonts w:ascii="Times New Roman" w:eastAsia="Times New Roman" w:hAnsi="Times New Roman" w:cs="Times New Roman"/>
          <w:color w:val="000000"/>
          <w:spacing w:val="2"/>
          <w:sz w:val="24"/>
          <w:szCs w:val="24"/>
          <w:lang w:val="en-GB"/>
        </w:rPr>
        <w:t>a</w:t>
      </w:r>
      <w:r w:rsidR="007F1F11" w:rsidRPr="00DA61D7">
        <w:rPr>
          <w:rFonts w:ascii="Times New Roman" w:eastAsia="Times New Roman" w:hAnsi="Times New Roman" w:cs="Times New Roman"/>
          <w:color w:val="000000"/>
          <w:spacing w:val="2"/>
          <w:sz w:val="24"/>
          <w:szCs w:val="24"/>
          <w:lang w:val="en-GB"/>
        </w:rPr>
        <w:t>lk</w:t>
      </w:r>
      <w:r w:rsidRPr="00DA61D7">
        <w:rPr>
          <w:rFonts w:ascii="Times New Roman" w:eastAsia="Times New Roman" w:hAnsi="Times New Roman" w:cs="Times New Roman"/>
          <w:color w:val="000000"/>
          <w:spacing w:val="2"/>
          <w:sz w:val="24"/>
          <w:szCs w:val="24"/>
          <w:lang w:val="en-GB"/>
        </w:rPr>
        <w:t>ol, C</w:t>
      </w:r>
      <w:r w:rsidRPr="00DA61D7">
        <w:rPr>
          <w:rFonts w:ascii="Times New Roman" w:eastAsia="Times New Roman" w:hAnsi="Times New Roman" w:cs="Times New Roman"/>
          <w:color w:val="000000"/>
          <w:spacing w:val="2"/>
          <w:sz w:val="24"/>
          <w:szCs w:val="24"/>
          <w:vertAlign w:val="subscript"/>
          <w:lang w:val="en-GB"/>
        </w:rPr>
        <w:t>5</w:t>
      </w:r>
      <w:r w:rsidRPr="00DA61D7">
        <w:rPr>
          <w:rFonts w:ascii="Times New Roman" w:eastAsia="Times New Roman" w:hAnsi="Times New Roman" w:cs="Times New Roman"/>
          <w:color w:val="000000"/>
          <w:spacing w:val="2"/>
          <w:sz w:val="24"/>
          <w:szCs w:val="24"/>
          <w:lang w:val="en-GB"/>
        </w:rPr>
        <w:t>H</w:t>
      </w:r>
      <w:r w:rsidRPr="00DA61D7">
        <w:rPr>
          <w:rFonts w:ascii="Times New Roman" w:eastAsia="Times New Roman" w:hAnsi="Times New Roman" w:cs="Times New Roman"/>
          <w:color w:val="000000"/>
          <w:spacing w:val="2"/>
          <w:sz w:val="24"/>
          <w:szCs w:val="24"/>
          <w:vertAlign w:val="subscript"/>
          <w:lang w:val="en-GB"/>
        </w:rPr>
        <w:t>10</w:t>
      </w:r>
      <w:r w:rsidRPr="00DA61D7">
        <w:rPr>
          <w:rFonts w:ascii="Times New Roman" w:eastAsia="Times New Roman" w:hAnsi="Times New Roman" w:cs="Times New Roman"/>
          <w:color w:val="000000"/>
          <w:spacing w:val="2"/>
          <w:sz w:val="24"/>
          <w:szCs w:val="24"/>
          <w:lang w:val="en-GB"/>
        </w:rPr>
        <w:t>O</w:t>
      </w:r>
      <w:r w:rsidRPr="00DA61D7">
        <w:rPr>
          <w:rFonts w:ascii="Times New Roman" w:eastAsia="Times New Roman" w:hAnsi="Times New Roman" w:cs="Times New Roman"/>
          <w:color w:val="000000"/>
          <w:spacing w:val="2"/>
          <w:sz w:val="24"/>
          <w:szCs w:val="24"/>
          <w:vertAlign w:val="subscript"/>
          <w:lang w:val="en-GB"/>
        </w:rPr>
        <w:t>2</w:t>
      </w:r>
      <w:r w:rsidR="00D34A05" w:rsidRPr="00DA61D7">
        <w:rPr>
          <w:rFonts w:ascii="Times New Roman" w:eastAsia="Times New Roman" w:hAnsi="Times New Roman" w:cs="Times New Roman"/>
          <w:color w:val="000000"/>
          <w:spacing w:val="2"/>
          <w:sz w:val="24"/>
          <w:szCs w:val="24"/>
          <w:lang w:val="en-GB"/>
        </w:rPr>
        <w:t xml:space="preserve"> , </w:t>
      </w:r>
      <w:r w:rsidR="007F1F11" w:rsidRPr="00DA61D7">
        <w:rPr>
          <w:rFonts w:ascii="Times New Roman" w:eastAsia="Times New Roman" w:hAnsi="Times New Roman" w:cs="Times New Roman"/>
          <w:color w:val="000000"/>
          <w:spacing w:val="2"/>
          <w:sz w:val="24"/>
          <w:szCs w:val="24"/>
          <w:lang w:val="en-GB"/>
        </w:rPr>
        <w:t xml:space="preserve">PVA: Poli vinil </w:t>
      </w:r>
      <w:r w:rsidR="00095D55" w:rsidRPr="00DA61D7">
        <w:rPr>
          <w:rFonts w:ascii="Times New Roman" w:eastAsia="Times New Roman" w:hAnsi="Times New Roman" w:cs="Times New Roman"/>
          <w:color w:val="000000"/>
          <w:spacing w:val="2"/>
          <w:sz w:val="24"/>
          <w:szCs w:val="24"/>
          <w:lang w:val="en-GB"/>
        </w:rPr>
        <w:t>a</w:t>
      </w:r>
      <w:r w:rsidR="007F1F11" w:rsidRPr="00DA61D7">
        <w:rPr>
          <w:rFonts w:ascii="Times New Roman" w:eastAsia="Times New Roman" w:hAnsi="Times New Roman" w:cs="Times New Roman"/>
          <w:color w:val="000000"/>
          <w:spacing w:val="2"/>
          <w:sz w:val="24"/>
          <w:szCs w:val="24"/>
          <w:lang w:val="en-GB"/>
        </w:rPr>
        <w:t>lk</w:t>
      </w:r>
      <w:r w:rsidRPr="00DA61D7">
        <w:rPr>
          <w:rFonts w:ascii="Times New Roman" w:eastAsia="Times New Roman" w:hAnsi="Times New Roman" w:cs="Times New Roman"/>
          <w:color w:val="000000"/>
          <w:spacing w:val="2"/>
          <w:sz w:val="24"/>
          <w:szCs w:val="24"/>
          <w:lang w:val="en-GB"/>
        </w:rPr>
        <w:t>ol, [CH</w:t>
      </w:r>
      <w:r w:rsidRPr="00DA61D7">
        <w:rPr>
          <w:rFonts w:ascii="Times New Roman" w:eastAsia="Times New Roman" w:hAnsi="Times New Roman" w:cs="Times New Roman"/>
          <w:color w:val="000000"/>
          <w:spacing w:val="2"/>
          <w:sz w:val="24"/>
          <w:szCs w:val="24"/>
          <w:vertAlign w:val="subscript"/>
          <w:lang w:val="en-GB"/>
        </w:rPr>
        <w:t>2</w:t>
      </w:r>
      <w:r w:rsidRPr="00DA61D7">
        <w:rPr>
          <w:rFonts w:ascii="Times New Roman" w:eastAsia="Times New Roman" w:hAnsi="Times New Roman" w:cs="Times New Roman"/>
          <w:color w:val="000000"/>
          <w:spacing w:val="2"/>
          <w:sz w:val="24"/>
          <w:szCs w:val="24"/>
          <w:lang w:val="en-GB"/>
        </w:rPr>
        <w:t>CH(OH)]n</w:t>
      </w:r>
    </w:p>
    <w:p w14:paraId="23A38BB2"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color w:val="000000"/>
          <w:spacing w:val="2"/>
          <w:sz w:val="24"/>
          <w:szCs w:val="24"/>
        </w:rPr>
      </w:pPr>
      <w:r w:rsidRPr="00DA61D7">
        <w:rPr>
          <w:rFonts w:ascii="Times New Roman" w:eastAsia="Times New Roman" w:hAnsi="Times New Roman" w:cs="Times New Roman"/>
          <w:color w:val="000000"/>
          <w:spacing w:val="2"/>
          <w:sz w:val="24"/>
          <w:szCs w:val="24"/>
        </w:rPr>
        <w:t>ÇNAEM (Çekmece Nükleer Araştırma ve Eğitim Merkezi)</w:t>
      </w:r>
    </w:p>
    <w:p w14:paraId="5432F578" w14:textId="77777777" w:rsidR="00B63D1E" w:rsidRPr="00DA61D7" w:rsidRDefault="00B63D1E"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color w:val="000000"/>
          <w:spacing w:val="2"/>
          <w:sz w:val="24"/>
          <w:szCs w:val="24"/>
        </w:rPr>
      </w:pPr>
      <w:r w:rsidRPr="00DA61D7">
        <w:rPr>
          <w:rFonts w:ascii="Times New Roman" w:eastAsia="Times New Roman" w:hAnsi="Times New Roman" w:cs="Times New Roman"/>
          <w:color w:val="000000"/>
          <w:spacing w:val="2"/>
          <w:sz w:val="24"/>
          <w:szCs w:val="24"/>
        </w:rPr>
        <w:t>LTS: Düşük sıcaklık sinterlemesi, HTS: Yüksek sıcaklık sinterlemesi</w:t>
      </w:r>
    </w:p>
    <w:p w14:paraId="41FFD33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color w:val="000000"/>
          <w:spacing w:val="2"/>
          <w:sz w:val="24"/>
          <w:szCs w:val="24"/>
        </w:rPr>
      </w:pPr>
    </w:p>
    <w:p w14:paraId="0E56978F" w14:textId="0BE57A43" w:rsidR="00EF1C3C" w:rsidRPr="00B8121F" w:rsidRDefault="00EF1C3C" w:rsidP="00D365B6">
      <w:pPr>
        <w:pStyle w:val="ListeParagraf"/>
        <w:numPr>
          <w:ilvl w:val="0"/>
          <w:numId w:val="6"/>
        </w:numPr>
        <w:spacing w:afterLines="60" w:after="144"/>
        <w:ind w:left="0" w:firstLine="709"/>
        <w:rPr>
          <w:b/>
          <w:sz w:val="24"/>
          <w:szCs w:val="24"/>
        </w:rPr>
      </w:pPr>
      <w:r w:rsidRPr="00B8121F">
        <w:rPr>
          <w:b/>
          <w:sz w:val="24"/>
          <w:szCs w:val="24"/>
        </w:rPr>
        <w:t>Introduction</w:t>
      </w:r>
    </w:p>
    <w:p w14:paraId="6E0CB8B5" w14:textId="77777777" w:rsidR="00F20501" w:rsidRPr="00DA61D7" w:rsidRDefault="00F20501" w:rsidP="00D365B6">
      <w:pPr>
        <w:overflowPunct w:val="0"/>
        <w:autoSpaceDE w:val="0"/>
        <w:autoSpaceDN w:val="0"/>
        <w:adjustRightInd w:val="0"/>
        <w:spacing w:afterLines="60" w:after="144" w:line="240" w:lineRule="auto"/>
        <w:ind w:firstLine="709"/>
        <w:contextualSpacing/>
        <w:jc w:val="both"/>
        <w:textAlignment w:val="baseline"/>
        <w:rPr>
          <w:rFonts w:ascii="Times New Roman" w:eastAsia="Times New Roman" w:hAnsi="Times New Roman" w:cs="Times New Roman"/>
          <w:b/>
          <w:sz w:val="24"/>
          <w:szCs w:val="24"/>
          <w:lang w:val="en-GB"/>
        </w:rPr>
      </w:pPr>
    </w:p>
    <w:p w14:paraId="2B0113BB" w14:textId="77777777" w:rsidR="00EF1C3C" w:rsidRPr="00DA61D7" w:rsidRDefault="008247A0"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Today's nuclear power reactors have different neutron absorbers for different applications.</w:t>
      </w:r>
      <w:r w:rsidR="00EF1C3C" w:rsidRPr="00DA61D7">
        <w:rPr>
          <w:rFonts w:ascii="Times New Roman" w:eastAsia="Times New Roman" w:hAnsi="Times New Roman" w:cs="Times New Roman"/>
          <w:sz w:val="24"/>
          <w:szCs w:val="24"/>
          <w:lang w:val="en-GB"/>
        </w:rPr>
        <w:t xml:space="preserve"> One of the most used oxide is Gadolinia, Gd</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O</w:t>
      </w:r>
      <w:r w:rsidR="00EF1C3C" w:rsidRPr="00DA61D7">
        <w:rPr>
          <w:rFonts w:ascii="Times New Roman" w:eastAsia="Times New Roman" w:hAnsi="Times New Roman" w:cs="Times New Roman"/>
          <w:sz w:val="24"/>
          <w:szCs w:val="24"/>
          <w:vertAlign w:val="subscript"/>
          <w:lang w:val="en-GB"/>
        </w:rPr>
        <w:t>3</w:t>
      </w:r>
      <w:r w:rsidR="00EF1C3C" w:rsidRPr="00DA61D7">
        <w:rPr>
          <w:rFonts w:ascii="Times New Roman" w:eastAsia="Times New Roman" w:hAnsi="Times New Roman" w:cs="Times New Roman"/>
          <w:sz w:val="24"/>
          <w:szCs w:val="24"/>
          <w:lang w:val="en-GB"/>
        </w:rPr>
        <w:t xml:space="preserve">  which has been employed as UO</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-Gd</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O</w:t>
      </w:r>
      <w:r w:rsidR="00EF1C3C" w:rsidRPr="00DA61D7">
        <w:rPr>
          <w:rFonts w:ascii="Times New Roman" w:eastAsia="Times New Roman" w:hAnsi="Times New Roman" w:cs="Times New Roman"/>
          <w:sz w:val="24"/>
          <w:szCs w:val="24"/>
          <w:vertAlign w:val="subscript"/>
          <w:lang w:val="en-GB"/>
        </w:rPr>
        <w:t>3</w:t>
      </w:r>
      <w:r w:rsidR="00EF1C3C" w:rsidRPr="00DA61D7">
        <w:rPr>
          <w:rFonts w:ascii="Times New Roman" w:eastAsia="Times New Roman" w:hAnsi="Times New Roman" w:cs="Times New Roman"/>
          <w:sz w:val="24"/>
          <w:szCs w:val="24"/>
          <w:lang w:val="en-GB"/>
        </w:rPr>
        <w:t xml:space="preserve"> fuel pellets for compensating reactivity of the light water reactors. In UO</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-Gd</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O</w:t>
      </w:r>
      <w:r w:rsidR="00EF1C3C" w:rsidRPr="00DA61D7">
        <w:rPr>
          <w:rFonts w:ascii="Times New Roman" w:eastAsia="Times New Roman" w:hAnsi="Times New Roman" w:cs="Times New Roman"/>
          <w:sz w:val="24"/>
          <w:szCs w:val="24"/>
          <w:vertAlign w:val="subscript"/>
          <w:lang w:val="en-GB"/>
        </w:rPr>
        <w:t>3</w:t>
      </w:r>
      <w:r w:rsidR="00EF1C3C" w:rsidRPr="00DA61D7">
        <w:rPr>
          <w:rFonts w:ascii="Times New Roman" w:eastAsia="Times New Roman" w:hAnsi="Times New Roman" w:cs="Times New Roman"/>
          <w:sz w:val="24"/>
          <w:szCs w:val="24"/>
          <w:lang w:val="en-GB"/>
        </w:rPr>
        <w:t xml:space="preserve"> pellet characteristics, homogeneity of UO</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-Gd</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O</w:t>
      </w:r>
      <w:r w:rsidR="00EF1C3C" w:rsidRPr="00DA61D7">
        <w:rPr>
          <w:rFonts w:ascii="Times New Roman" w:eastAsia="Times New Roman" w:hAnsi="Times New Roman" w:cs="Times New Roman"/>
          <w:sz w:val="24"/>
          <w:szCs w:val="24"/>
          <w:vertAlign w:val="subscript"/>
          <w:lang w:val="en-GB"/>
        </w:rPr>
        <w:t>3</w:t>
      </w:r>
      <w:r w:rsidR="00EF1C3C" w:rsidRPr="00DA61D7">
        <w:rPr>
          <w:rFonts w:ascii="Times New Roman" w:eastAsia="Times New Roman" w:hAnsi="Times New Roman" w:cs="Times New Roman"/>
          <w:sz w:val="24"/>
          <w:szCs w:val="24"/>
          <w:lang w:val="en-GB"/>
        </w:rPr>
        <w:t xml:space="preserve"> solid solution and grain size are recognized as notable characteristics, there upon it is substantial for commercial fuel fabricators to enhance UO</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-Gd</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O</w:t>
      </w:r>
      <w:r w:rsidR="00EF1C3C" w:rsidRPr="00DA61D7">
        <w:rPr>
          <w:rFonts w:ascii="Times New Roman" w:eastAsia="Times New Roman" w:hAnsi="Times New Roman" w:cs="Times New Roman"/>
          <w:sz w:val="24"/>
          <w:szCs w:val="24"/>
          <w:vertAlign w:val="subscript"/>
          <w:lang w:val="en-GB"/>
        </w:rPr>
        <w:t>3</w:t>
      </w:r>
      <w:r w:rsidR="00EF1C3C" w:rsidRPr="00DA61D7">
        <w:rPr>
          <w:rFonts w:ascii="Times New Roman" w:eastAsia="Times New Roman" w:hAnsi="Times New Roman" w:cs="Times New Roman"/>
          <w:sz w:val="24"/>
          <w:szCs w:val="24"/>
          <w:lang w:val="en-GB"/>
        </w:rPr>
        <w:t xml:space="preserve"> pellets as uniform in solid solution and large in grain size as possible in reasonable </w:t>
      </w:r>
      <w:r w:rsidR="00EF1C3C" w:rsidRPr="00DA61D7">
        <w:rPr>
          <w:rFonts w:ascii="Times New Roman" w:eastAsia="Times New Roman" w:hAnsi="Times New Roman" w:cs="Times New Roman"/>
          <w:sz w:val="24"/>
          <w:szCs w:val="24"/>
          <w:lang w:val="en-GB"/>
        </w:rPr>
        <w:lastRenderedPageBreak/>
        <w:t>fabrication cost. Recently, Gd</w:t>
      </w:r>
      <w:r w:rsidR="00EF1C3C" w:rsidRPr="00DA61D7">
        <w:rPr>
          <w:rFonts w:ascii="Times New Roman" w:eastAsia="Times New Roman" w:hAnsi="Times New Roman" w:cs="Times New Roman"/>
          <w:sz w:val="24"/>
          <w:szCs w:val="24"/>
          <w:vertAlign w:val="subscript"/>
          <w:lang w:val="en-GB"/>
        </w:rPr>
        <w:t>2</w:t>
      </w:r>
      <w:r w:rsidR="00EF1C3C" w:rsidRPr="00DA61D7">
        <w:rPr>
          <w:rFonts w:ascii="Times New Roman" w:eastAsia="Times New Roman" w:hAnsi="Times New Roman" w:cs="Times New Roman"/>
          <w:sz w:val="24"/>
          <w:szCs w:val="24"/>
          <w:lang w:val="en-GB"/>
        </w:rPr>
        <w:t>O</w:t>
      </w:r>
      <w:r w:rsidR="00EF1C3C" w:rsidRPr="00DA61D7">
        <w:rPr>
          <w:rFonts w:ascii="Times New Roman" w:eastAsia="Times New Roman" w:hAnsi="Times New Roman" w:cs="Times New Roman"/>
          <w:sz w:val="24"/>
          <w:szCs w:val="24"/>
          <w:vertAlign w:val="subscript"/>
          <w:lang w:val="en-GB"/>
        </w:rPr>
        <w:t xml:space="preserve">3 </w:t>
      </w:r>
      <w:r w:rsidR="00EF1C3C" w:rsidRPr="00DA61D7">
        <w:rPr>
          <w:rFonts w:ascii="Times New Roman" w:eastAsia="Times New Roman" w:hAnsi="Times New Roman" w:cs="Times New Roman"/>
          <w:sz w:val="24"/>
          <w:szCs w:val="24"/>
          <w:lang w:val="en-GB"/>
        </w:rPr>
        <w:t>concentration tends to become higher with extension of burn up of fuels. Therefore it is useful to understand the effects of manufacturing parameters on solid solution formation and grain growth.</w:t>
      </w:r>
    </w:p>
    <w:p w14:paraId="635EAB0C" w14:textId="492330B4"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One of the major challenges of the nuclear industry is to improve the performance, safety and li</w:t>
      </w:r>
      <w:r w:rsidR="00D51DA0" w:rsidRPr="00DA61D7">
        <w:rPr>
          <w:rFonts w:ascii="Times New Roman" w:eastAsia="Times New Roman" w:hAnsi="Times New Roman" w:cs="Times New Roman"/>
          <w:sz w:val="24"/>
          <w:szCs w:val="24"/>
          <w:lang w:val="en-GB"/>
        </w:rPr>
        <w:t>fetime of reactors (Yayli, 1995;</w:t>
      </w:r>
      <w:r w:rsidR="00883C57">
        <w:rPr>
          <w:rFonts w:ascii="Times New Roman" w:eastAsia="Times New Roman" w:hAnsi="Times New Roman" w:cs="Times New Roman"/>
          <w:sz w:val="24"/>
          <w:szCs w:val="24"/>
          <w:lang w:val="en-GB"/>
        </w:rPr>
        <w:t xml:space="preserve"> Zinkle &amp; Was,</w:t>
      </w:r>
      <w:r w:rsidRPr="00DA61D7">
        <w:rPr>
          <w:rFonts w:ascii="Times New Roman" w:eastAsia="Times New Roman" w:hAnsi="Times New Roman" w:cs="Times New Roman"/>
          <w:sz w:val="24"/>
          <w:szCs w:val="24"/>
          <w:lang w:val="en-GB"/>
        </w:rPr>
        <w:t xml:space="preserve"> 2013). In this area there are many efforts focused on the research and development of new materials in order to extend the final lifetime, increase the </w:t>
      </w:r>
      <w:r w:rsidR="00C91890" w:rsidRPr="00DA61D7">
        <w:rPr>
          <w:rFonts w:ascii="Times New Roman" w:eastAsia="Times New Roman" w:hAnsi="Times New Roman" w:cs="Times New Roman"/>
          <w:sz w:val="24"/>
          <w:szCs w:val="24"/>
          <w:lang w:val="en-GB"/>
        </w:rPr>
        <w:t xml:space="preserve">burn </w:t>
      </w:r>
      <w:r w:rsidRPr="00DA61D7">
        <w:rPr>
          <w:rFonts w:ascii="Times New Roman" w:eastAsia="Times New Roman" w:hAnsi="Times New Roman" w:cs="Times New Roman"/>
          <w:sz w:val="24"/>
          <w:szCs w:val="24"/>
          <w:lang w:val="en-GB"/>
        </w:rPr>
        <w:t>up and optimize the power density distribution. With this aim a neutron absorber material is usually incorporated into the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nuclear fuel. Gadolinium (Gd) is an excellent burnable poison as it presents large cross section neutron absorption and allows the compensation of the excess reactivity of the fuel in the beginning of its life. The solid solution (U,Gd) 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can be fabricated by several processes and the material presents different physical and chemical properties depending on the Gd concentration</w:t>
      </w:r>
      <w:r w:rsidR="00B47100">
        <w:rPr>
          <w:rFonts w:ascii="Times New Roman" w:eastAsia="Times New Roman" w:hAnsi="Times New Roman" w:cs="Times New Roman"/>
          <w:sz w:val="24"/>
          <w:szCs w:val="24"/>
          <w:lang w:val="en-GB"/>
        </w:rPr>
        <w:t xml:space="preserve"> and the synthesis route (Tobia et. al.,</w:t>
      </w:r>
      <w:r w:rsidRPr="00DA61D7">
        <w:rPr>
          <w:rFonts w:ascii="Times New Roman" w:eastAsia="Times New Roman" w:hAnsi="Times New Roman" w:cs="Times New Roman"/>
          <w:sz w:val="24"/>
          <w:szCs w:val="24"/>
          <w:lang w:val="en-GB"/>
        </w:rPr>
        <w:t xml:space="preserve"> 2014). The study of the sintering </w:t>
      </w:r>
      <w:r w:rsidR="00B47100">
        <w:rPr>
          <w:rFonts w:ascii="Times New Roman" w:eastAsia="Times New Roman" w:hAnsi="Times New Roman" w:cs="Times New Roman"/>
          <w:sz w:val="24"/>
          <w:szCs w:val="24"/>
          <w:lang w:val="en-GB"/>
        </w:rPr>
        <w:t xml:space="preserve">densification process (Durazzo et. al., </w:t>
      </w:r>
      <w:r w:rsidRPr="00DA61D7">
        <w:rPr>
          <w:rFonts w:ascii="Times New Roman" w:eastAsia="Times New Roman" w:hAnsi="Times New Roman" w:cs="Times New Roman"/>
          <w:sz w:val="24"/>
          <w:szCs w:val="24"/>
          <w:lang w:val="en-GB"/>
        </w:rPr>
        <w:t>2013</w:t>
      </w:r>
      <w:r w:rsidR="007F1F11"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Song</w:t>
      </w:r>
      <w:r w:rsidR="00B47100">
        <w:rPr>
          <w:rFonts w:ascii="Times New Roman" w:eastAsia="Times New Roman" w:hAnsi="Times New Roman" w:cs="Times New Roman"/>
          <w:sz w:val="24"/>
          <w:szCs w:val="24"/>
          <w:lang w:val="en-GB"/>
        </w:rPr>
        <w:t xml:space="preserve"> et. al.,</w:t>
      </w:r>
      <w:r w:rsidRPr="00DA61D7">
        <w:rPr>
          <w:rFonts w:ascii="Times New Roman" w:eastAsia="Times New Roman" w:hAnsi="Times New Roman" w:cs="Times New Roman"/>
          <w:sz w:val="24"/>
          <w:szCs w:val="24"/>
          <w:lang w:val="en-GB"/>
        </w:rPr>
        <w:t xml:space="preserve"> 2001) and phase homogeneity (</w:t>
      </w:r>
      <w:r w:rsidRPr="00DA61D7">
        <w:rPr>
          <w:rFonts w:ascii="Times New Roman" w:eastAsia="Calibri" w:hAnsi="Times New Roman" w:cs="Times New Roman"/>
          <w:sz w:val="24"/>
          <w:szCs w:val="24"/>
        </w:rPr>
        <w:t>Leyva</w:t>
      </w:r>
      <w:r w:rsidR="00B47100">
        <w:rPr>
          <w:rFonts w:ascii="Times New Roman" w:eastAsia="Calibri" w:hAnsi="Times New Roman" w:cs="Times New Roman"/>
          <w:sz w:val="24"/>
          <w:szCs w:val="24"/>
        </w:rPr>
        <w:t xml:space="preserve"> et. al.,</w:t>
      </w:r>
      <w:r w:rsidRPr="00DA61D7">
        <w:rPr>
          <w:rFonts w:ascii="Times New Roman" w:eastAsia="Calibri" w:hAnsi="Times New Roman" w:cs="Times New Roman"/>
          <w:sz w:val="24"/>
          <w:szCs w:val="24"/>
        </w:rPr>
        <w:t xml:space="preserve"> </w:t>
      </w:r>
      <w:r w:rsidRPr="00DA61D7">
        <w:rPr>
          <w:rFonts w:ascii="Times New Roman" w:eastAsia="Times New Roman" w:hAnsi="Times New Roman" w:cs="Times New Roman"/>
          <w:sz w:val="24"/>
          <w:szCs w:val="24"/>
          <w:lang w:val="en-GB"/>
        </w:rPr>
        <w:t>2002;</w:t>
      </w:r>
      <w:r w:rsidR="00B47100">
        <w:rPr>
          <w:rFonts w:ascii="Times New Roman" w:eastAsia="Calibri" w:hAnsi="Times New Roman" w:cs="Times New Roman"/>
          <w:sz w:val="24"/>
          <w:szCs w:val="24"/>
        </w:rPr>
        <w:t xml:space="preserve"> Grossbeck, Renier &amp; Bigelow</w:t>
      </w:r>
      <w:r w:rsidRPr="00DA61D7">
        <w:rPr>
          <w:rFonts w:ascii="Times New Roman" w:eastAsia="Calibri" w:hAnsi="Times New Roman" w:cs="Times New Roman"/>
          <w:sz w:val="24"/>
          <w:szCs w:val="24"/>
        </w:rPr>
        <w:t xml:space="preserve"> 2003)</w:t>
      </w:r>
      <w:r w:rsidRPr="00DA61D7">
        <w:rPr>
          <w:rFonts w:ascii="Times New Roman" w:eastAsia="Times New Roman" w:hAnsi="Times New Roman" w:cs="Times New Roman"/>
          <w:sz w:val="24"/>
          <w:szCs w:val="24"/>
          <w:lang w:val="en-GB"/>
        </w:rPr>
        <w:t xml:space="preserve"> is crucial because the presence of microspheres or an inhomogeneous distribution of Gd ions could cause internal cracks and/or affect the fuel performance. The incorporation of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has a harmful effect on the traditional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sintering behaviour (</w:t>
      </w:r>
      <w:r w:rsidR="00B47100">
        <w:rPr>
          <w:rFonts w:ascii="Times New Roman" w:eastAsia="Calibri" w:hAnsi="Times New Roman" w:cs="Times New Roman"/>
          <w:sz w:val="24"/>
          <w:szCs w:val="24"/>
        </w:rPr>
        <w:t>Grossbeck, Renier &amp; Bigelow</w:t>
      </w:r>
      <w:r w:rsidR="00B47100" w:rsidRPr="00DA61D7">
        <w:rPr>
          <w:rFonts w:ascii="Times New Roman" w:eastAsia="Calibri" w:hAnsi="Times New Roman" w:cs="Times New Roman"/>
          <w:sz w:val="24"/>
          <w:szCs w:val="24"/>
        </w:rPr>
        <w:t xml:space="preserve"> 2003</w:t>
      </w:r>
      <w:r w:rsidRPr="00DA61D7">
        <w:rPr>
          <w:rFonts w:ascii="Times New Roman" w:eastAsia="Calibri" w:hAnsi="Times New Roman" w:cs="Times New Roman"/>
          <w:sz w:val="24"/>
          <w:szCs w:val="24"/>
        </w:rPr>
        <w:t>)</w:t>
      </w:r>
      <w:r w:rsidRPr="00DA61D7">
        <w:rPr>
          <w:rFonts w:ascii="Times New Roman" w:eastAsia="Times New Roman" w:hAnsi="Times New Roman" w:cs="Times New Roman"/>
          <w:sz w:val="24"/>
          <w:szCs w:val="24"/>
          <w:lang w:val="en-GB"/>
        </w:rPr>
        <w:t xml:space="preserve">.  </w:t>
      </w:r>
      <w:r w:rsidRPr="00DA61D7">
        <w:rPr>
          <w:rFonts w:ascii="Times New Roman" w:eastAsia="Calibri" w:hAnsi="Times New Roman" w:cs="Times New Roman"/>
          <w:sz w:val="24"/>
          <w:szCs w:val="24"/>
        </w:rPr>
        <w:t>Burnable poisons are used in all modern nuclear reactors to permit higher loading of fuel without</w:t>
      </w:r>
      <w:r w:rsidRPr="00DA61D7">
        <w:rPr>
          <w:rFonts w:ascii="Times New Roman" w:eastAsia="Times New Roman" w:hAnsi="Times New Roman" w:cs="Times New Roman"/>
          <w:sz w:val="24"/>
          <w:szCs w:val="24"/>
          <w:lang w:val="en-GB"/>
        </w:rPr>
        <w:t xml:space="preserve"> </w:t>
      </w:r>
      <w:r w:rsidRPr="00DA61D7">
        <w:rPr>
          <w:rFonts w:ascii="Times New Roman" w:eastAsia="Calibri" w:hAnsi="Times New Roman" w:cs="Times New Roman"/>
          <w:sz w:val="24"/>
          <w:szCs w:val="24"/>
        </w:rPr>
        <w:t>the necessity of an overly large control rod system. This not only permits a longer core life but</w:t>
      </w:r>
      <w:r w:rsidRPr="00DA61D7">
        <w:rPr>
          <w:rFonts w:ascii="Times New Roman" w:eastAsia="Times New Roman" w:hAnsi="Times New Roman" w:cs="Times New Roman"/>
          <w:sz w:val="24"/>
          <w:szCs w:val="24"/>
          <w:lang w:val="en-GB"/>
        </w:rPr>
        <w:t xml:space="preserve"> </w:t>
      </w:r>
      <w:r w:rsidRPr="00DA61D7">
        <w:rPr>
          <w:rFonts w:ascii="Times New Roman" w:eastAsia="Calibri" w:hAnsi="Times New Roman" w:cs="Times New Roman"/>
          <w:sz w:val="24"/>
          <w:szCs w:val="24"/>
        </w:rPr>
        <w:t>can also be used to level the power distribution such that power is produced throughout the core volume rather than a small region where control rods have been removed. Commercial nuclear reactors commonly use B</w:t>
      </w:r>
      <w:r w:rsidRPr="00DA61D7">
        <w:rPr>
          <w:rFonts w:ascii="Times New Roman" w:eastAsia="Calibri" w:hAnsi="Times New Roman" w:cs="Times New Roman"/>
          <w:sz w:val="24"/>
          <w:szCs w:val="24"/>
          <w:vertAlign w:val="subscript"/>
        </w:rPr>
        <w:t>4</w:t>
      </w:r>
      <w:r w:rsidRPr="00DA61D7">
        <w:rPr>
          <w:rFonts w:ascii="Times New Roman" w:eastAsia="Calibri" w:hAnsi="Times New Roman" w:cs="Times New Roman"/>
          <w:sz w:val="24"/>
          <w:szCs w:val="24"/>
        </w:rPr>
        <w:t>C in separate non-fueled rods and more recently, zirconium</w:t>
      </w:r>
      <w:r w:rsidRPr="00DA61D7">
        <w:rPr>
          <w:rFonts w:ascii="Times New Roman" w:eastAsia="Times New Roman" w:hAnsi="Times New Roman" w:cs="Times New Roman"/>
          <w:sz w:val="24"/>
          <w:szCs w:val="24"/>
          <w:lang w:val="en-GB"/>
        </w:rPr>
        <w:t xml:space="preserve"> </w:t>
      </w:r>
      <w:r w:rsidRPr="00DA61D7">
        <w:rPr>
          <w:rFonts w:ascii="Times New Roman" w:eastAsia="Calibri" w:hAnsi="Times New Roman" w:cs="Times New Roman"/>
          <w:sz w:val="24"/>
          <w:szCs w:val="24"/>
        </w:rPr>
        <w:t>boride coatings on the fuel pellets or gadolinium oxide mixed with the fuel pellets. Boron, which is an effective</w:t>
      </w:r>
      <w:r w:rsidRPr="00DA61D7">
        <w:rPr>
          <w:rFonts w:ascii="Times New Roman" w:eastAsia="Times New Roman" w:hAnsi="Times New Roman" w:cs="Times New Roman"/>
          <w:sz w:val="24"/>
          <w:szCs w:val="24"/>
          <w:lang w:val="en-GB"/>
        </w:rPr>
        <w:t xml:space="preserve"> </w:t>
      </w:r>
      <w:r w:rsidRPr="00DA61D7">
        <w:rPr>
          <w:rFonts w:ascii="Times New Roman" w:eastAsia="Calibri" w:hAnsi="Times New Roman" w:cs="Times New Roman"/>
          <w:sz w:val="24"/>
          <w:szCs w:val="24"/>
        </w:rPr>
        <w:t xml:space="preserve">neutron absorber, transmutes to lithium and helium upon absorption of a neutron. Helium is insoluble and is eventually released to the interior of the fuel rod, where it produces an internal pressure. When sufficiently high, this pressure stress could cause separation of the cladding from the fuel, causing very high fuel centerline temperatures. Gadolinium has several very strongly absorbing isotopes, but not all have large cross sections and hence result in residual burnable poison reactivity worth at the end of the fuel life. Even if the amount of this residual absorber is small and the penalty in operation small, the cost of this penalty, even if only several days, can be very high </w:t>
      </w:r>
      <w:r w:rsidRPr="00DA61D7">
        <w:rPr>
          <w:rFonts w:ascii="Times New Roman" w:eastAsia="Calibri" w:hAnsi="Times New Roman" w:cs="Times New Roman"/>
          <w:sz w:val="24"/>
          <w:szCs w:val="24"/>
          <w:lang w:val="en-GB"/>
        </w:rPr>
        <w:t>(</w:t>
      </w:r>
      <w:r w:rsidR="00B47100">
        <w:rPr>
          <w:rFonts w:ascii="Times New Roman" w:eastAsia="Calibri" w:hAnsi="Times New Roman" w:cs="Times New Roman"/>
          <w:sz w:val="24"/>
          <w:szCs w:val="24"/>
        </w:rPr>
        <w:t>Grossbeck, Renier &amp; Bigelow</w:t>
      </w:r>
      <w:r w:rsidR="00B47100" w:rsidRPr="00DA61D7">
        <w:rPr>
          <w:rFonts w:ascii="Times New Roman" w:eastAsia="Calibri" w:hAnsi="Times New Roman" w:cs="Times New Roman"/>
          <w:sz w:val="24"/>
          <w:szCs w:val="24"/>
        </w:rPr>
        <w:t xml:space="preserve"> 2003</w:t>
      </w:r>
      <w:r w:rsidRPr="00DA61D7">
        <w:rPr>
          <w:rFonts w:ascii="Times New Roman" w:eastAsia="Calibri" w:hAnsi="Times New Roman" w:cs="Times New Roman"/>
          <w:sz w:val="24"/>
          <w:szCs w:val="24"/>
        </w:rPr>
        <w:t>)</w:t>
      </w:r>
      <w:r w:rsidRPr="00DA61D7">
        <w:rPr>
          <w:rFonts w:ascii="Times New Roman" w:eastAsia="Calibri" w:hAnsi="Times New Roman" w:cs="Times New Roman"/>
          <w:sz w:val="24"/>
          <w:szCs w:val="24"/>
          <w:lang w:val="en-GB"/>
        </w:rPr>
        <w:t xml:space="preserve">.  </w:t>
      </w:r>
      <w:r w:rsidRPr="00DA61D7">
        <w:rPr>
          <w:rFonts w:ascii="Times New Roman" w:eastAsia="Times New Roman" w:hAnsi="Times New Roman" w:cs="Times New Roman"/>
          <w:sz w:val="24"/>
          <w:szCs w:val="24"/>
          <w:lang w:val="en-GB"/>
        </w:rPr>
        <w:t>Demands for extended fuel cycles and higher target burnups are strong incentives to use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as burnable poison in modern pressurized water reactors (PWRs). </w:t>
      </w:r>
    </w:p>
    <w:p w14:paraId="1DF3C0CB" w14:textId="77647CC0"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The relationship between the use of burnable absorber or, in other words, the use of burnable poison and reactor life is one of the most important issues that are emphasized in today's reactors. This issue also concerns also our country closely. Nuclear power reactors being installed </w:t>
      </w:r>
      <w:r w:rsidR="007F1F11" w:rsidRPr="00DA61D7">
        <w:rPr>
          <w:rFonts w:ascii="Times New Roman" w:eastAsia="Times New Roman" w:hAnsi="Times New Roman" w:cs="Times New Roman"/>
          <w:sz w:val="24"/>
          <w:szCs w:val="24"/>
          <w:lang w:val="en-GB"/>
        </w:rPr>
        <w:t>in</w:t>
      </w:r>
      <w:r w:rsidRPr="00DA61D7">
        <w:rPr>
          <w:rFonts w:ascii="Times New Roman" w:eastAsia="Times New Roman" w:hAnsi="Times New Roman" w:cs="Times New Roman"/>
          <w:sz w:val="24"/>
          <w:szCs w:val="24"/>
          <w:lang w:val="en-GB"/>
        </w:rPr>
        <w:t xml:space="preserve"> Akkuyu</w:t>
      </w:r>
      <w:r w:rsidR="005457C3" w:rsidRPr="00DA61D7">
        <w:rPr>
          <w:rFonts w:ascii="Times New Roman" w:eastAsia="Times New Roman" w:hAnsi="Times New Roman" w:cs="Times New Roman"/>
          <w:sz w:val="24"/>
          <w:szCs w:val="24"/>
          <w:lang w:val="en-GB"/>
        </w:rPr>
        <w:t>-Mersin</w:t>
      </w:r>
      <w:r w:rsidRPr="00DA61D7">
        <w:rPr>
          <w:rFonts w:ascii="Times New Roman" w:eastAsia="Times New Roman" w:hAnsi="Times New Roman" w:cs="Times New Roman"/>
          <w:sz w:val="24"/>
          <w:szCs w:val="24"/>
          <w:lang w:val="en-GB"/>
        </w:rPr>
        <w:t xml:space="preserve"> will also use burnable absorbers and new materials to provide safer and longer periodic fuel loading cycles in the life extension and reactor operation. For these reasons, the issue is among the strategic interests of our country.</w:t>
      </w:r>
      <w:r w:rsidR="00DA61D7"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has face-centered cubic CaF</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(fluorite type) lattice structure and the schematic representation of this structure given in Figure 1 (Yayli, 1995) with possible oxygen sites. Uranium and oxygen system has many oxides as can be seen from the uranium-oxygen phase diagram is given in Figure 2.</w:t>
      </w:r>
    </w:p>
    <w:p w14:paraId="2B37E272" w14:textId="7916F70E"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 thermal neutron absorption cross section of the gadolinium, Westcott factor and resonance integral values ​​are given in Table 2, and the properties of the main burnable absorbers currently used are listed in Table 1 (</w:t>
      </w:r>
      <w:r w:rsidR="00C91890" w:rsidRPr="00DA61D7">
        <w:rPr>
          <w:rFonts w:ascii="Times New Roman" w:eastAsia="Times New Roman" w:hAnsi="Times New Roman" w:cs="Times New Roman"/>
          <w:sz w:val="24"/>
          <w:szCs w:val="24"/>
          <w:lang w:val="en-GB"/>
        </w:rPr>
        <w:t>IAEA-TECDOC-844, 1995</w:t>
      </w:r>
      <w:r w:rsidRPr="00DA61D7">
        <w:rPr>
          <w:rFonts w:ascii="Times New Roman" w:eastAsia="Times New Roman" w:hAnsi="Times New Roman" w:cs="Times New Roman"/>
          <w:sz w:val="24"/>
          <w:szCs w:val="24"/>
          <w:lang w:val="en-GB"/>
        </w:rPr>
        <w:t>).</w:t>
      </w:r>
    </w:p>
    <w:p w14:paraId="52D6540E" w14:textId="0FBC33AD" w:rsidR="00B8121F" w:rsidRDefault="00B8121F" w:rsidP="00D365B6">
      <w:pPr>
        <w:overflowPunct w:val="0"/>
        <w:autoSpaceDE w:val="0"/>
        <w:autoSpaceDN w:val="0"/>
        <w:adjustRightInd w:val="0"/>
        <w:spacing w:before="120" w:afterLines="60" w:after="144" w:line="240" w:lineRule="auto"/>
        <w:jc w:val="both"/>
        <w:textAlignment w:val="baseline"/>
        <w:rPr>
          <w:rFonts w:ascii="Times New Roman" w:eastAsia="Times New Roman" w:hAnsi="Times New Roman" w:cs="Times New Roman"/>
          <w:bCs/>
          <w:sz w:val="24"/>
          <w:szCs w:val="24"/>
          <w:lang w:val="en-AU"/>
        </w:rPr>
      </w:pPr>
    </w:p>
    <w:p w14:paraId="19F6F9D2" w14:textId="63F66EFF"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AU"/>
        </w:rPr>
      </w:pPr>
      <w:r w:rsidRPr="00DA61D7">
        <w:rPr>
          <w:rFonts w:ascii="Times New Roman" w:eastAsia="Times New Roman" w:hAnsi="Times New Roman" w:cs="Times New Roman"/>
          <w:bCs/>
          <w:sz w:val="24"/>
          <w:szCs w:val="24"/>
          <w:lang w:val="en-AU"/>
        </w:rPr>
        <w:lastRenderedPageBreak/>
        <w:t xml:space="preserve">Table </w:t>
      </w:r>
      <w:r w:rsidRPr="00DA61D7">
        <w:rPr>
          <w:rFonts w:ascii="Times New Roman" w:eastAsia="Times New Roman" w:hAnsi="Times New Roman" w:cs="Times New Roman"/>
          <w:bCs/>
          <w:sz w:val="24"/>
          <w:szCs w:val="24"/>
          <w:lang w:val="en-AU"/>
        </w:rPr>
        <w:fldChar w:fldCharType="begin"/>
      </w:r>
      <w:r w:rsidRPr="00DA61D7">
        <w:rPr>
          <w:rFonts w:ascii="Times New Roman" w:eastAsia="Times New Roman" w:hAnsi="Times New Roman" w:cs="Times New Roman"/>
          <w:bCs/>
          <w:sz w:val="24"/>
          <w:szCs w:val="24"/>
          <w:lang w:val="en-AU"/>
        </w:rPr>
        <w:instrText xml:space="preserve"> SEQ Tablo \* ARABIC </w:instrText>
      </w:r>
      <w:r w:rsidRPr="00DA61D7">
        <w:rPr>
          <w:rFonts w:ascii="Times New Roman" w:eastAsia="Times New Roman" w:hAnsi="Times New Roman" w:cs="Times New Roman"/>
          <w:bCs/>
          <w:sz w:val="24"/>
          <w:szCs w:val="24"/>
          <w:lang w:val="en-AU"/>
        </w:rPr>
        <w:fldChar w:fldCharType="separate"/>
      </w:r>
      <w:r w:rsidR="00883C57">
        <w:rPr>
          <w:rFonts w:ascii="Times New Roman" w:eastAsia="Times New Roman" w:hAnsi="Times New Roman" w:cs="Times New Roman"/>
          <w:bCs/>
          <w:noProof/>
          <w:sz w:val="24"/>
          <w:szCs w:val="24"/>
          <w:lang w:val="en-AU"/>
        </w:rPr>
        <w:t>1</w:t>
      </w:r>
      <w:r w:rsidRPr="00DA61D7">
        <w:rPr>
          <w:rFonts w:ascii="Times New Roman" w:eastAsia="Times New Roman" w:hAnsi="Times New Roman" w:cs="Times New Roman"/>
          <w:sz w:val="24"/>
          <w:szCs w:val="24"/>
          <w:lang w:val="en-GB"/>
        </w:rPr>
        <w:fldChar w:fldCharType="end"/>
      </w:r>
      <w:r w:rsidRPr="00DA61D7">
        <w:rPr>
          <w:rFonts w:ascii="Times New Roman" w:eastAsia="Times New Roman" w:hAnsi="Times New Roman" w:cs="Times New Roman"/>
          <w:bCs/>
          <w:sz w:val="24"/>
          <w:szCs w:val="24"/>
          <w:lang w:val="en-AU"/>
        </w:rPr>
        <w:t xml:space="preserve">.  </w:t>
      </w:r>
      <w:r w:rsidRPr="00DA61D7">
        <w:rPr>
          <w:rFonts w:ascii="Times New Roman" w:eastAsia="Times New Roman" w:hAnsi="Times New Roman" w:cs="Times New Roman"/>
          <w:sz w:val="24"/>
          <w:szCs w:val="24"/>
          <w:lang w:val="en-GB"/>
        </w:rPr>
        <w:t>The thermal neutron absorption cross section of the gadolinium, Westcott factor and resonance integral values</w:t>
      </w:r>
      <w:r w:rsidRPr="00DA61D7">
        <w:rPr>
          <w:rFonts w:ascii="Times New Roman" w:eastAsia="Times New Roman" w:hAnsi="Times New Roman" w:cs="Times New Roman"/>
          <w:bCs/>
          <w:sz w:val="24"/>
          <w:szCs w:val="24"/>
          <w:lang w:val="en-AU"/>
        </w:rPr>
        <w:t xml:space="preserve"> </w:t>
      </w:r>
      <w:r w:rsidRPr="00DA61D7">
        <w:rPr>
          <w:rFonts w:ascii="Times New Roman" w:eastAsia="Times New Roman" w:hAnsi="Times New Roman" w:cs="Times New Roman"/>
          <w:sz w:val="24"/>
          <w:szCs w:val="24"/>
          <w:lang w:val="en-GB"/>
        </w:rPr>
        <w:t>(</w:t>
      </w:r>
      <w:r w:rsidR="000B2ACE" w:rsidRPr="00DA61D7">
        <w:rPr>
          <w:rFonts w:ascii="Times New Roman" w:eastAsia="Times New Roman" w:hAnsi="Times New Roman" w:cs="Times New Roman"/>
          <w:sz w:val="24"/>
          <w:szCs w:val="24"/>
          <w:lang w:val="en-GB"/>
        </w:rPr>
        <w:t>IAEA-TECDOC-844, 1995</w:t>
      </w:r>
      <w:r w:rsidRPr="00DA61D7">
        <w:rPr>
          <w:rFonts w:ascii="Times New Roman" w:eastAsia="Times New Roman" w:hAnsi="Times New Roman" w:cs="Times New Roman"/>
          <w:sz w:val="24"/>
          <w:szCs w:val="24"/>
          <w:lang w:val="en-GB"/>
        </w:rPr>
        <w:t>).</w:t>
      </w:r>
    </w:p>
    <w:tbl>
      <w:tblPr>
        <w:tblpPr w:leftFromText="141" w:rightFromText="141"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701"/>
        <w:gridCol w:w="2141"/>
        <w:gridCol w:w="1779"/>
        <w:gridCol w:w="1965"/>
      </w:tblGrid>
      <w:tr w:rsidR="00EF1C3C" w:rsidRPr="00DA61D7" w14:paraId="7C8A1FC6" w14:textId="77777777" w:rsidTr="00EF1C3C">
        <w:trPr>
          <w:cantSplit/>
          <w:trHeight w:val="340"/>
        </w:trPr>
        <w:tc>
          <w:tcPr>
            <w:tcW w:w="1595" w:type="dxa"/>
            <w:vAlign w:val="center"/>
          </w:tcPr>
          <w:p w14:paraId="32DAAEED"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Gd isotopes</w:t>
            </w:r>
          </w:p>
        </w:tc>
        <w:tc>
          <w:tcPr>
            <w:tcW w:w="2163" w:type="dxa"/>
            <w:vAlign w:val="center"/>
          </w:tcPr>
          <w:p w14:paraId="0A75987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Natural isotopic ratio (%)</w:t>
            </w:r>
          </w:p>
        </w:tc>
        <w:tc>
          <w:tcPr>
            <w:tcW w:w="1962" w:type="dxa"/>
            <w:vAlign w:val="center"/>
          </w:tcPr>
          <w:p w14:paraId="5C65A81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Thermal Cross-section (Barn=10</w:t>
            </w:r>
            <w:r w:rsidRPr="00DA61D7">
              <w:rPr>
                <w:rFonts w:ascii="Times New Roman" w:eastAsia="Times New Roman" w:hAnsi="Times New Roman" w:cs="Times New Roman"/>
                <w:sz w:val="24"/>
                <w:szCs w:val="24"/>
                <w:vertAlign w:val="superscript"/>
                <w:lang w:val="en-GB"/>
              </w:rPr>
              <w:t>-24</w:t>
            </w:r>
            <w:r w:rsidRPr="00DA61D7">
              <w:rPr>
                <w:rFonts w:ascii="Times New Roman" w:eastAsia="Times New Roman" w:hAnsi="Times New Roman" w:cs="Times New Roman"/>
                <w:sz w:val="24"/>
                <w:szCs w:val="24"/>
                <w:lang w:val="en-GB"/>
              </w:rPr>
              <w:t xml:space="preserve"> cm</w:t>
            </w:r>
            <w:r w:rsidRPr="00DA61D7">
              <w:rPr>
                <w:rFonts w:ascii="Times New Roman" w:eastAsia="Times New Roman" w:hAnsi="Times New Roman" w:cs="Times New Roman"/>
                <w:sz w:val="24"/>
                <w:szCs w:val="24"/>
                <w:vertAlign w:val="superscript"/>
                <w:lang w:val="en-GB"/>
              </w:rPr>
              <w:t>2</w:t>
            </w:r>
            <w:r w:rsidRPr="00DA61D7">
              <w:rPr>
                <w:rFonts w:ascii="Times New Roman" w:eastAsia="Times New Roman" w:hAnsi="Times New Roman" w:cs="Times New Roman"/>
                <w:sz w:val="24"/>
                <w:szCs w:val="24"/>
                <w:lang w:val="en-GB"/>
              </w:rPr>
              <w:t>)</w:t>
            </w:r>
          </w:p>
        </w:tc>
        <w:tc>
          <w:tcPr>
            <w:tcW w:w="1402" w:type="dxa"/>
            <w:vAlign w:val="center"/>
          </w:tcPr>
          <w:p w14:paraId="42EEB5C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US"/>
              </w:rPr>
              <w:t>Westcott</w:t>
            </w:r>
            <w:r w:rsidRPr="00DA61D7">
              <w:rPr>
                <w:rFonts w:ascii="Times New Roman" w:eastAsia="Times New Roman" w:hAnsi="Times New Roman" w:cs="Times New Roman"/>
                <w:sz w:val="24"/>
                <w:szCs w:val="24"/>
                <w:lang w:val="en-GB"/>
              </w:rPr>
              <w:t xml:space="preserve"> Factor</w:t>
            </w:r>
          </w:p>
        </w:tc>
        <w:tc>
          <w:tcPr>
            <w:tcW w:w="1288" w:type="dxa"/>
            <w:vAlign w:val="center"/>
          </w:tcPr>
          <w:p w14:paraId="5ABF6B7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Resonance integral</w:t>
            </w:r>
          </w:p>
        </w:tc>
      </w:tr>
      <w:tr w:rsidR="00EF1C3C" w:rsidRPr="00DA61D7" w14:paraId="66173340" w14:textId="77777777" w:rsidTr="00EF1C3C">
        <w:trPr>
          <w:cantSplit/>
          <w:trHeight w:val="340"/>
        </w:trPr>
        <w:tc>
          <w:tcPr>
            <w:tcW w:w="1595" w:type="dxa"/>
            <w:vAlign w:val="center"/>
          </w:tcPr>
          <w:p w14:paraId="59F1D89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Gd (natural)</w:t>
            </w:r>
          </w:p>
        </w:tc>
        <w:tc>
          <w:tcPr>
            <w:tcW w:w="2163" w:type="dxa"/>
            <w:vAlign w:val="center"/>
          </w:tcPr>
          <w:p w14:paraId="2E0E841A"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tc>
        <w:tc>
          <w:tcPr>
            <w:tcW w:w="1962" w:type="dxa"/>
            <w:vAlign w:val="center"/>
          </w:tcPr>
          <w:p w14:paraId="7DEEA73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48890+104</w:t>
            </w:r>
          </w:p>
        </w:tc>
        <w:tc>
          <w:tcPr>
            <w:tcW w:w="1402" w:type="dxa"/>
            <w:vAlign w:val="center"/>
          </w:tcPr>
          <w:p w14:paraId="4791FE03"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0,8467</w:t>
            </w:r>
          </w:p>
        </w:tc>
        <w:tc>
          <w:tcPr>
            <w:tcW w:w="1288" w:type="dxa"/>
            <w:vAlign w:val="center"/>
          </w:tcPr>
          <w:p w14:paraId="46CA9DD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390+10</w:t>
            </w:r>
          </w:p>
        </w:tc>
      </w:tr>
      <w:tr w:rsidR="00EF1C3C" w:rsidRPr="00DA61D7" w14:paraId="0FD64BB5" w14:textId="77777777" w:rsidTr="00EF1C3C">
        <w:trPr>
          <w:cantSplit/>
          <w:trHeight w:val="340"/>
        </w:trPr>
        <w:tc>
          <w:tcPr>
            <w:tcW w:w="1595" w:type="dxa"/>
            <w:vAlign w:val="center"/>
          </w:tcPr>
          <w:p w14:paraId="231603C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152</w:t>
            </w:r>
            <w:r w:rsidRPr="00DA61D7">
              <w:rPr>
                <w:rFonts w:ascii="Times New Roman" w:eastAsia="Times New Roman" w:hAnsi="Times New Roman" w:cs="Times New Roman"/>
                <w:sz w:val="24"/>
                <w:szCs w:val="24"/>
                <w:lang w:val="en-GB"/>
              </w:rPr>
              <w:t>Gd</w:t>
            </w:r>
          </w:p>
        </w:tc>
        <w:tc>
          <w:tcPr>
            <w:tcW w:w="2163" w:type="dxa"/>
            <w:vAlign w:val="center"/>
          </w:tcPr>
          <w:p w14:paraId="1E9BC7D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0,2</w:t>
            </w:r>
          </w:p>
        </w:tc>
        <w:tc>
          <w:tcPr>
            <w:tcW w:w="1962" w:type="dxa"/>
            <w:vAlign w:val="center"/>
          </w:tcPr>
          <w:p w14:paraId="594ED8E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735+20</w:t>
            </w:r>
          </w:p>
        </w:tc>
        <w:tc>
          <w:tcPr>
            <w:tcW w:w="1402" w:type="dxa"/>
            <w:vAlign w:val="center"/>
          </w:tcPr>
          <w:p w14:paraId="40E2EBA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0,9784</w:t>
            </w:r>
          </w:p>
        </w:tc>
        <w:tc>
          <w:tcPr>
            <w:tcW w:w="1288" w:type="dxa"/>
            <w:vAlign w:val="center"/>
          </w:tcPr>
          <w:p w14:paraId="5C78580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2020+160</w:t>
            </w:r>
          </w:p>
        </w:tc>
      </w:tr>
      <w:tr w:rsidR="00EF1C3C" w:rsidRPr="00DA61D7" w14:paraId="02D8EB10" w14:textId="77777777" w:rsidTr="00EF1C3C">
        <w:trPr>
          <w:cantSplit/>
          <w:trHeight w:val="340"/>
        </w:trPr>
        <w:tc>
          <w:tcPr>
            <w:tcW w:w="1595" w:type="dxa"/>
            <w:vAlign w:val="center"/>
          </w:tcPr>
          <w:p w14:paraId="2B230A97"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154</w:t>
            </w:r>
            <w:r w:rsidRPr="00DA61D7">
              <w:rPr>
                <w:rFonts w:ascii="Times New Roman" w:eastAsia="Times New Roman" w:hAnsi="Times New Roman" w:cs="Times New Roman"/>
                <w:sz w:val="24"/>
                <w:szCs w:val="24"/>
                <w:lang w:val="en-GB"/>
              </w:rPr>
              <w:t>Gd</w:t>
            </w:r>
          </w:p>
        </w:tc>
        <w:tc>
          <w:tcPr>
            <w:tcW w:w="2163" w:type="dxa"/>
            <w:vAlign w:val="center"/>
          </w:tcPr>
          <w:p w14:paraId="7A5A004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2,1</w:t>
            </w:r>
          </w:p>
        </w:tc>
        <w:tc>
          <w:tcPr>
            <w:tcW w:w="1962" w:type="dxa"/>
            <w:vAlign w:val="center"/>
          </w:tcPr>
          <w:p w14:paraId="69CA3B5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85+12</w:t>
            </w:r>
          </w:p>
        </w:tc>
        <w:tc>
          <w:tcPr>
            <w:tcW w:w="1402" w:type="dxa"/>
            <w:vAlign w:val="center"/>
          </w:tcPr>
          <w:p w14:paraId="0E53BA2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0,9967</w:t>
            </w:r>
          </w:p>
        </w:tc>
        <w:tc>
          <w:tcPr>
            <w:tcW w:w="1288" w:type="dxa"/>
            <w:vAlign w:val="center"/>
          </w:tcPr>
          <w:p w14:paraId="3D18FE1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230+26</w:t>
            </w:r>
          </w:p>
        </w:tc>
      </w:tr>
      <w:tr w:rsidR="00EF1C3C" w:rsidRPr="00DA61D7" w14:paraId="60625490" w14:textId="77777777" w:rsidTr="00EF1C3C">
        <w:trPr>
          <w:cantSplit/>
          <w:trHeight w:val="340"/>
        </w:trPr>
        <w:tc>
          <w:tcPr>
            <w:tcW w:w="1595" w:type="dxa"/>
            <w:vAlign w:val="center"/>
          </w:tcPr>
          <w:p w14:paraId="56BE807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155</w:t>
            </w:r>
            <w:r w:rsidRPr="00DA61D7">
              <w:rPr>
                <w:rFonts w:ascii="Times New Roman" w:eastAsia="Times New Roman" w:hAnsi="Times New Roman" w:cs="Times New Roman"/>
                <w:sz w:val="24"/>
                <w:szCs w:val="24"/>
                <w:lang w:val="en-GB"/>
              </w:rPr>
              <w:t>Gd</w:t>
            </w:r>
          </w:p>
        </w:tc>
        <w:tc>
          <w:tcPr>
            <w:tcW w:w="2163" w:type="dxa"/>
            <w:vAlign w:val="center"/>
          </w:tcPr>
          <w:p w14:paraId="6552D27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14,8</w:t>
            </w:r>
          </w:p>
        </w:tc>
        <w:tc>
          <w:tcPr>
            <w:tcW w:w="1962" w:type="dxa"/>
            <w:vAlign w:val="center"/>
          </w:tcPr>
          <w:p w14:paraId="3560CE1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60900+50</w:t>
            </w:r>
          </w:p>
        </w:tc>
        <w:tc>
          <w:tcPr>
            <w:tcW w:w="1402" w:type="dxa"/>
            <w:vAlign w:val="center"/>
          </w:tcPr>
          <w:p w14:paraId="5DCE037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0,8425</w:t>
            </w:r>
          </w:p>
        </w:tc>
        <w:tc>
          <w:tcPr>
            <w:tcW w:w="1288" w:type="dxa"/>
            <w:vAlign w:val="center"/>
          </w:tcPr>
          <w:p w14:paraId="4366F8C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1447+100</w:t>
            </w:r>
          </w:p>
        </w:tc>
      </w:tr>
      <w:tr w:rsidR="00EF1C3C" w:rsidRPr="00DA61D7" w14:paraId="6ED1E951" w14:textId="77777777" w:rsidTr="00EF1C3C">
        <w:trPr>
          <w:cantSplit/>
          <w:trHeight w:val="340"/>
        </w:trPr>
        <w:tc>
          <w:tcPr>
            <w:tcW w:w="1595" w:type="dxa"/>
            <w:vAlign w:val="center"/>
          </w:tcPr>
          <w:p w14:paraId="3752FE97"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156</w:t>
            </w:r>
            <w:r w:rsidRPr="00DA61D7">
              <w:rPr>
                <w:rFonts w:ascii="Times New Roman" w:eastAsia="Times New Roman" w:hAnsi="Times New Roman" w:cs="Times New Roman"/>
                <w:sz w:val="24"/>
                <w:szCs w:val="24"/>
                <w:lang w:val="en-GB"/>
              </w:rPr>
              <w:t>Gd</w:t>
            </w:r>
          </w:p>
        </w:tc>
        <w:tc>
          <w:tcPr>
            <w:tcW w:w="2163" w:type="dxa"/>
            <w:vAlign w:val="center"/>
          </w:tcPr>
          <w:p w14:paraId="05FDBE6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20</w:t>
            </w:r>
          </w:p>
        </w:tc>
        <w:tc>
          <w:tcPr>
            <w:tcW w:w="1962" w:type="dxa"/>
            <w:vAlign w:val="center"/>
          </w:tcPr>
          <w:p w14:paraId="727D225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1,5+1,2</w:t>
            </w:r>
          </w:p>
        </w:tc>
        <w:tc>
          <w:tcPr>
            <w:tcW w:w="1402" w:type="dxa"/>
            <w:vAlign w:val="center"/>
          </w:tcPr>
          <w:p w14:paraId="459B700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1,0006</w:t>
            </w:r>
          </w:p>
        </w:tc>
        <w:tc>
          <w:tcPr>
            <w:tcW w:w="1288" w:type="dxa"/>
            <w:vAlign w:val="center"/>
          </w:tcPr>
          <w:p w14:paraId="772558F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104+15</w:t>
            </w:r>
          </w:p>
        </w:tc>
      </w:tr>
      <w:tr w:rsidR="00EF1C3C" w:rsidRPr="00DA61D7" w14:paraId="4917B20E" w14:textId="77777777" w:rsidTr="00EF1C3C">
        <w:trPr>
          <w:cantSplit/>
          <w:trHeight w:val="340"/>
        </w:trPr>
        <w:tc>
          <w:tcPr>
            <w:tcW w:w="1595" w:type="dxa"/>
            <w:vAlign w:val="center"/>
          </w:tcPr>
          <w:p w14:paraId="05F0CBA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157</w:t>
            </w:r>
            <w:r w:rsidRPr="00DA61D7">
              <w:rPr>
                <w:rFonts w:ascii="Times New Roman" w:eastAsia="Times New Roman" w:hAnsi="Times New Roman" w:cs="Times New Roman"/>
                <w:sz w:val="24"/>
                <w:szCs w:val="24"/>
                <w:lang w:val="en-GB"/>
              </w:rPr>
              <w:t>Gd</w:t>
            </w:r>
          </w:p>
        </w:tc>
        <w:tc>
          <w:tcPr>
            <w:tcW w:w="2163" w:type="dxa"/>
            <w:vAlign w:val="center"/>
          </w:tcPr>
          <w:p w14:paraId="01C0951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15,7</w:t>
            </w:r>
          </w:p>
        </w:tc>
        <w:tc>
          <w:tcPr>
            <w:tcW w:w="1962" w:type="dxa"/>
            <w:vAlign w:val="center"/>
          </w:tcPr>
          <w:p w14:paraId="54235BC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254000+815</w:t>
            </w:r>
          </w:p>
        </w:tc>
        <w:tc>
          <w:tcPr>
            <w:tcW w:w="1402" w:type="dxa"/>
            <w:vAlign w:val="center"/>
          </w:tcPr>
          <w:p w14:paraId="6B84E0BF"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0,8512</w:t>
            </w:r>
          </w:p>
        </w:tc>
        <w:tc>
          <w:tcPr>
            <w:tcW w:w="1288" w:type="dxa"/>
            <w:vAlign w:val="center"/>
          </w:tcPr>
          <w:p w14:paraId="63AEEF1A"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700+20</w:t>
            </w:r>
          </w:p>
        </w:tc>
      </w:tr>
      <w:tr w:rsidR="00EF1C3C" w:rsidRPr="00DA61D7" w14:paraId="7C46E2DC" w14:textId="77777777" w:rsidTr="00EF1C3C">
        <w:trPr>
          <w:cantSplit/>
          <w:trHeight w:val="340"/>
        </w:trPr>
        <w:tc>
          <w:tcPr>
            <w:tcW w:w="1595" w:type="dxa"/>
            <w:vAlign w:val="center"/>
          </w:tcPr>
          <w:p w14:paraId="2D16955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158</w:t>
            </w:r>
            <w:r w:rsidRPr="00DA61D7">
              <w:rPr>
                <w:rFonts w:ascii="Times New Roman" w:eastAsia="Times New Roman" w:hAnsi="Times New Roman" w:cs="Times New Roman"/>
                <w:sz w:val="24"/>
                <w:szCs w:val="24"/>
                <w:lang w:val="en-GB"/>
              </w:rPr>
              <w:t xml:space="preserve">Gd </w:t>
            </w:r>
          </w:p>
        </w:tc>
        <w:tc>
          <w:tcPr>
            <w:tcW w:w="2163" w:type="dxa"/>
            <w:vAlign w:val="center"/>
          </w:tcPr>
          <w:p w14:paraId="566CAED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24</w:t>
            </w:r>
          </w:p>
        </w:tc>
        <w:tc>
          <w:tcPr>
            <w:tcW w:w="1962" w:type="dxa"/>
            <w:vAlign w:val="center"/>
          </w:tcPr>
          <w:p w14:paraId="227BF50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2,2+0,2</w:t>
            </w:r>
          </w:p>
        </w:tc>
        <w:tc>
          <w:tcPr>
            <w:tcW w:w="1402" w:type="dxa"/>
            <w:vAlign w:val="center"/>
          </w:tcPr>
          <w:p w14:paraId="0872CFC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1,0009</w:t>
            </w:r>
          </w:p>
        </w:tc>
        <w:tc>
          <w:tcPr>
            <w:tcW w:w="1288" w:type="dxa"/>
            <w:vAlign w:val="center"/>
          </w:tcPr>
          <w:p w14:paraId="3798CEE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73+7</w:t>
            </w:r>
          </w:p>
        </w:tc>
      </w:tr>
      <w:tr w:rsidR="00EF1C3C" w:rsidRPr="00DA61D7" w14:paraId="2EF60A91" w14:textId="77777777" w:rsidTr="00EF1C3C">
        <w:trPr>
          <w:cantSplit/>
          <w:trHeight w:val="340"/>
        </w:trPr>
        <w:tc>
          <w:tcPr>
            <w:tcW w:w="1595" w:type="dxa"/>
            <w:vAlign w:val="center"/>
          </w:tcPr>
          <w:p w14:paraId="467A1BCA"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160</w:t>
            </w:r>
            <w:r w:rsidRPr="00DA61D7">
              <w:rPr>
                <w:rFonts w:ascii="Times New Roman" w:eastAsia="Times New Roman" w:hAnsi="Times New Roman" w:cs="Times New Roman"/>
                <w:sz w:val="24"/>
                <w:szCs w:val="24"/>
                <w:lang w:val="en-GB"/>
              </w:rPr>
              <w:t>Gd</w:t>
            </w:r>
          </w:p>
        </w:tc>
        <w:tc>
          <w:tcPr>
            <w:tcW w:w="2163" w:type="dxa"/>
            <w:vAlign w:val="center"/>
          </w:tcPr>
          <w:p w14:paraId="5588F69D"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21,8</w:t>
            </w:r>
          </w:p>
        </w:tc>
        <w:tc>
          <w:tcPr>
            <w:tcW w:w="1962" w:type="dxa"/>
            <w:vAlign w:val="center"/>
          </w:tcPr>
          <w:p w14:paraId="0269C3E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0,77+0,2</w:t>
            </w:r>
          </w:p>
        </w:tc>
        <w:tc>
          <w:tcPr>
            <w:tcW w:w="1402" w:type="dxa"/>
            <w:vAlign w:val="center"/>
          </w:tcPr>
          <w:p w14:paraId="2E8D0062"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0,9997</w:t>
            </w:r>
          </w:p>
        </w:tc>
        <w:tc>
          <w:tcPr>
            <w:tcW w:w="1288" w:type="dxa"/>
            <w:vAlign w:val="center"/>
          </w:tcPr>
          <w:p w14:paraId="7254816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7,2+1</w:t>
            </w:r>
          </w:p>
        </w:tc>
      </w:tr>
    </w:tbl>
    <w:p w14:paraId="0BAB9F94"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26896AD2"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592A6B69"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5B981DD4"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752D488A"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18A6A39E"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5F0B38EE"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60601D2B"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13C91188"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09B89FB7"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7E82B97D"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0BB950C9"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0A166C0D"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2C80AC40"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05F896F8"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04A07A37"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2E2D4137"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38CB1BBE" w14:textId="77777777" w:rsidR="00D365B6" w:rsidRDefault="00D365B6"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lang w:val="en"/>
        </w:rPr>
      </w:pPr>
    </w:p>
    <w:p w14:paraId="300019BE" w14:textId="192B9A4C"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bCs/>
          <w:sz w:val="24"/>
          <w:szCs w:val="24"/>
        </w:rPr>
      </w:pPr>
      <w:r w:rsidRPr="00DA61D7">
        <w:rPr>
          <w:rFonts w:ascii="Times New Roman" w:eastAsia="Times New Roman" w:hAnsi="Times New Roman" w:cs="Times New Roman"/>
          <w:bCs/>
          <w:sz w:val="24"/>
          <w:szCs w:val="24"/>
          <w:lang w:val="en"/>
        </w:rPr>
        <w:lastRenderedPageBreak/>
        <w:t xml:space="preserve">Table 2: Main burnable-absorber properties </w:t>
      </w:r>
      <w:r w:rsidRPr="00DA61D7">
        <w:rPr>
          <w:rFonts w:ascii="Times New Roman" w:eastAsia="Times New Roman" w:hAnsi="Times New Roman" w:cs="Times New Roman"/>
          <w:sz w:val="24"/>
          <w:szCs w:val="24"/>
          <w:lang w:val="en-GB"/>
        </w:rPr>
        <w:t>(</w:t>
      </w:r>
      <w:r w:rsidR="00FF5330" w:rsidRPr="00DA61D7">
        <w:rPr>
          <w:rFonts w:ascii="Times New Roman" w:eastAsia="Times New Roman" w:hAnsi="Times New Roman" w:cs="Times New Roman"/>
          <w:sz w:val="24"/>
          <w:szCs w:val="24"/>
          <w:lang w:val="en-GB"/>
        </w:rPr>
        <w:t>IAEA</w:t>
      </w:r>
      <w:r w:rsidR="000B2ACE" w:rsidRPr="00DA61D7">
        <w:rPr>
          <w:rFonts w:ascii="Times New Roman" w:eastAsia="Times New Roman" w:hAnsi="Times New Roman" w:cs="Times New Roman"/>
          <w:sz w:val="24"/>
          <w:szCs w:val="24"/>
          <w:lang w:val="en-GB"/>
        </w:rPr>
        <w:t>-</w:t>
      </w:r>
      <w:r w:rsidR="00FF5330" w:rsidRPr="00DA61D7">
        <w:rPr>
          <w:rFonts w:ascii="Times New Roman" w:eastAsia="Times New Roman" w:hAnsi="Times New Roman" w:cs="Times New Roman"/>
          <w:sz w:val="24"/>
          <w:szCs w:val="24"/>
          <w:lang w:val="en-GB"/>
        </w:rPr>
        <w:t>TECDOC</w:t>
      </w:r>
      <w:r w:rsidR="000B2ACE" w:rsidRPr="00DA61D7">
        <w:rPr>
          <w:rFonts w:ascii="Times New Roman" w:eastAsia="Times New Roman" w:hAnsi="Times New Roman" w:cs="Times New Roman"/>
          <w:sz w:val="24"/>
          <w:szCs w:val="24"/>
          <w:lang w:val="en-GB"/>
        </w:rPr>
        <w:t>-</w:t>
      </w:r>
      <w:r w:rsidR="00FF5330" w:rsidRPr="00DA61D7">
        <w:rPr>
          <w:rFonts w:ascii="Times New Roman" w:eastAsia="Times New Roman" w:hAnsi="Times New Roman" w:cs="Times New Roman"/>
          <w:sz w:val="24"/>
          <w:szCs w:val="24"/>
          <w:lang w:val="en-GB"/>
        </w:rPr>
        <w:t>844</w:t>
      </w:r>
      <w:r w:rsidR="000B2ACE" w:rsidRPr="00DA61D7">
        <w:rPr>
          <w:rFonts w:ascii="Times New Roman" w:eastAsia="Times New Roman" w:hAnsi="Times New Roman" w:cs="Times New Roman"/>
          <w:sz w:val="24"/>
          <w:szCs w:val="24"/>
          <w:lang w:val="en-GB"/>
        </w:rPr>
        <w:t>, 1995</w:t>
      </w:r>
      <w:r w:rsidRPr="00DA61D7">
        <w:rPr>
          <w:rFonts w:ascii="Times New Roman" w:eastAsia="Times New Roman" w:hAnsi="Times New Roman" w:cs="Times New Roman"/>
          <w:sz w:val="24"/>
          <w:szCs w:val="24"/>
          <w:lang w:val="en-GB"/>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872"/>
        <w:gridCol w:w="2452"/>
        <w:gridCol w:w="2214"/>
      </w:tblGrid>
      <w:tr w:rsidR="00EF1C3C" w:rsidRPr="00DA61D7" w14:paraId="6DEB0122" w14:textId="77777777" w:rsidTr="004A59D9">
        <w:trPr>
          <w:cantSplit/>
          <w:trHeight w:val="483"/>
          <w:jc w:val="center"/>
        </w:trPr>
        <w:tc>
          <w:tcPr>
            <w:tcW w:w="2104" w:type="dxa"/>
            <w:vAlign w:val="center"/>
          </w:tcPr>
          <w:p w14:paraId="0EE8694A"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Burnable absorber </w:t>
            </w:r>
          </w:p>
        </w:tc>
        <w:tc>
          <w:tcPr>
            <w:tcW w:w="1872" w:type="dxa"/>
            <w:vAlign w:val="center"/>
          </w:tcPr>
          <w:p w14:paraId="051BF88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b/>
                <w:sz w:val="24"/>
                <w:szCs w:val="24"/>
                <w:lang w:val="en-GB"/>
              </w:rPr>
              <w:t>Gd</w:t>
            </w:r>
          </w:p>
        </w:tc>
        <w:tc>
          <w:tcPr>
            <w:tcW w:w="2452" w:type="dxa"/>
            <w:vAlign w:val="center"/>
          </w:tcPr>
          <w:p w14:paraId="1D191E52"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b/>
                <w:sz w:val="24"/>
                <w:szCs w:val="24"/>
                <w:lang w:val="en-GB"/>
              </w:rPr>
              <w:t>ZrB</w:t>
            </w:r>
            <w:r w:rsidRPr="00DA61D7">
              <w:rPr>
                <w:rFonts w:ascii="Times New Roman" w:eastAsia="Times New Roman" w:hAnsi="Times New Roman" w:cs="Times New Roman"/>
                <w:b/>
                <w:sz w:val="24"/>
                <w:szCs w:val="24"/>
                <w:vertAlign w:val="subscript"/>
                <w:lang w:val="en-GB"/>
              </w:rPr>
              <w:t>2</w:t>
            </w:r>
            <w:r w:rsidRPr="00DA61D7">
              <w:rPr>
                <w:rFonts w:ascii="Times New Roman" w:eastAsia="Times New Roman" w:hAnsi="Times New Roman" w:cs="Times New Roman"/>
                <w:b/>
                <w:sz w:val="24"/>
                <w:szCs w:val="24"/>
                <w:lang w:val="en-GB"/>
              </w:rPr>
              <w:t xml:space="preserve"> (IFBA)</w:t>
            </w:r>
          </w:p>
        </w:tc>
        <w:tc>
          <w:tcPr>
            <w:tcW w:w="2214" w:type="dxa"/>
            <w:vAlign w:val="center"/>
          </w:tcPr>
          <w:p w14:paraId="67ACDEC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b/>
                <w:sz w:val="24"/>
                <w:szCs w:val="24"/>
                <w:lang w:val="en-GB"/>
              </w:rPr>
              <w:t>Er</w:t>
            </w:r>
          </w:p>
        </w:tc>
      </w:tr>
      <w:tr w:rsidR="00EF1C3C" w:rsidRPr="00DA61D7" w14:paraId="1F662AB7" w14:textId="77777777" w:rsidTr="004A59D9">
        <w:trPr>
          <w:cantSplit/>
          <w:trHeight w:val="483"/>
          <w:jc w:val="center"/>
        </w:trPr>
        <w:tc>
          <w:tcPr>
            <w:tcW w:w="2104" w:type="dxa"/>
            <w:vAlign w:val="center"/>
          </w:tcPr>
          <w:p w14:paraId="6B975FD3"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Producers</w:t>
            </w:r>
          </w:p>
        </w:tc>
        <w:tc>
          <w:tcPr>
            <w:tcW w:w="1872" w:type="dxa"/>
            <w:vAlign w:val="center"/>
          </w:tcPr>
          <w:p w14:paraId="2943FFD7"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a</w:t>
            </w:r>
          </w:p>
        </w:tc>
        <w:tc>
          <w:tcPr>
            <w:tcW w:w="2452" w:type="dxa"/>
            <w:vAlign w:val="center"/>
          </w:tcPr>
          <w:p w14:paraId="30BA9B0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US"/>
              </w:rPr>
              <w:t>Westinghouse</w:t>
            </w:r>
          </w:p>
        </w:tc>
        <w:tc>
          <w:tcPr>
            <w:tcW w:w="2214" w:type="dxa"/>
            <w:vAlign w:val="center"/>
          </w:tcPr>
          <w:p w14:paraId="01D9E65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ABB/CE</w:t>
            </w:r>
          </w:p>
        </w:tc>
      </w:tr>
      <w:tr w:rsidR="00EF1C3C" w:rsidRPr="00DA61D7" w14:paraId="336C2A1D" w14:textId="77777777" w:rsidTr="004A59D9">
        <w:trPr>
          <w:cantSplit/>
          <w:trHeight w:val="483"/>
          <w:jc w:val="center"/>
        </w:trPr>
        <w:tc>
          <w:tcPr>
            <w:tcW w:w="2104" w:type="dxa"/>
            <w:vAlign w:val="center"/>
          </w:tcPr>
          <w:p w14:paraId="2D816E2C" w14:textId="3A919240" w:rsidR="00EF1C3C" w:rsidRPr="00DA61D7" w:rsidRDefault="004A59D9"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Thermal </w:t>
            </w:r>
            <w:r w:rsidR="00EF1C3C" w:rsidRPr="00DA61D7">
              <w:rPr>
                <w:rFonts w:ascii="Times New Roman" w:eastAsia="Times New Roman" w:hAnsi="Times New Roman" w:cs="Times New Roman"/>
                <w:sz w:val="24"/>
                <w:szCs w:val="24"/>
                <w:lang w:val="en-GB"/>
              </w:rPr>
              <w:t>conductivity decreasing</w:t>
            </w:r>
          </w:p>
        </w:tc>
        <w:tc>
          <w:tcPr>
            <w:tcW w:w="1872" w:type="dxa"/>
            <w:vAlign w:val="center"/>
          </w:tcPr>
          <w:p w14:paraId="596C679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High</w:t>
            </w:r>
          </w:p>
        </w:tc>
        <w:tc>
          <w:tcPr>
            <w:tcW w:w="2452" w:type="dxa"/>
            <w:vAlign w:val="center"/>
          </w:tcPr>
          <w:p w14:paraId="2ECF3BB7"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w:t>
            </w:r>
          </w:p>
        </w:tc>
        <w:tc>
          <w:tcPr>
            <w:tcW w:w="2214" w:type="dxa"/>
            <w:vAlign w:val="center"/>
          </w:tcPr>
          <w:p w14:paraId="5F329AD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Lowes</w:t>
            </w:r>
          </w:p>
        </w:tc>
      </w:tr>
      <w:tr w:rsidR="00EF1C3C" w:rsidRPr="00DA61D7" w14:paraId="7F1666BA" w14:textId="77777777" w:rsidTr="004A59D9">
        <w:trPr>
          <w:cantSplit/>
          <w:trHeight w:val="483"/>
          <w:jc w:val="center"/>
        </w:trPr>
        <w:tc>
          <w:tcPr>
            <w:tcW w:w="2104" w:type="dxa"/>
            <w:vAlign w:val="center"/>
          </w:tcPr>
          <w:p w14:paraId="579870DA"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Melting point decreasing</w:t>
            </w:r>
          </w:p>
        </w:tc>
        <w:tc>
          <w:tcPr>
            <w:tcW w:w="1872" w:type="dxa"/>
            <w:vAlign w:val="center"/>
          </w:tcPr>
          <w:p w14:paraId="0E2E3EA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Important</w:t>
            </w:r>
          </w:p>
        </w:tc>
        <w:tc>
          <w:tcPr>
            <w:tcW w:w="2452" w:type="dxa"/>
            <w:vAlign w:val="center"/>
          </w:tcPr>
          <w:p w14:paraId="1F255B6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Very low</w:t>
            </w:r>
          </w:p>
        </w:tc>
        <w:tc>
          <w:tcPr>
            <w:tcW w:w="2214" w:type="dxa"/>
            <w:vAlign w:val="center"/>
          </w:tcPr>
          <w:p w14:paraId="772FC7F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w:t>
            </w:r>
          </w:p>
        </w:tc>
      </w:tr>
      <w:tr w:rsidR="00EF1C3C" w:rsidRPr="00DA61D7" w14:paraId="0EBFAD27" w14:textId="77777777" w:rsidTr="004A59D9">
        <w:trPr>
          <w:cantSplit/>
          <w:trHeight w:val="483"/>
          <w:jc w:val="center"/>
        </w:trPr>
        <w:tc>
          <w:tcPr>
            <w:tcW w:w="2104" w:type="dxa"/>
            <w:vAlign w:val="center"/>
          </w:tcPr>
          <w:p w14:paraId="196FE948"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Burnable absorber in bundle % </w:t>
            </w:r>
          </w:p>
        </w:tc>
        <w:tc>
          <w:tcPr>
            <w:tcW w:w="1872" w:type="dxa"/>
            <w:vAlign w:val="center"/>
          </w:tcPr>
          <w:p w14:paraId="75551E6F"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3-6</w:t>
            </w:r>
          </w:p>
        </w:tc>
        <w:tc>
          <w:tcPr>
            <w:tcW w:w="2452" w:type="dxa"/>
            <w:vAlign w:val="center"/>
          </w:tcPr>
          <w:p w14:paraId="5D7D79C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30-40</w:t>
            </w:r>
          </w:p>
        </w:tc>
        <w:tc>
          <w:tcPr>
            <w:tcW w:w="2214" w:type="dxa"/>
            <w:vAlign w:val="center"/>
          </w:tcPr>
          <w:p w14:paraId="31B52E5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20-30</w:t>
            </w:r>
          </w:p>
        </w:tc>
      </w:tr>
      <w:tr w:rsidR="00EF1C3C" w:rsidRPr="00DA61D7" w14:paraId="57F777F0" w14:textId="77777777" w:rsidTr="004A59D9">
        <w:trPr>
          <w:cantSplit/>
          <w:trHeight w:val="483"/>
          <w:jc w:val="center"/>
        </w:trPr>
        <w:tc>
          <w:tcPr>
            <w:tcW w:w="2104" w:type="dxa"/>
            <w:vAlign w:val="center"/>
          </w:tcPr>
          <w:p w14:paraId="6A627A12"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U decreasing</w:t>
            </w:r>
          </w:p>
        </w:tc>
        <w:tc>
          <w:tcPr>
            <w:tcW w:w="1872" w:type="dxa"/>
            <w:vAlign w:val="center"/>
          </w:tcPr>
          <w:p w14:paraId="5EF1FAA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Important</w:t>
            </w:r>
          </w:p>
        </w:tc>
        <w:tc>
          <w:tcPr>
            <w:tcW w:w="2452" w:type="dxa"/>
            <w:vAlign w:val="center"/>
          </w:tcPr>
          <w:p w14:paraId="0428B02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Very low</w:t>
            </w:r>
          </w:p>
        </w:tc>
        <w:tc>
          <w:tcPr>
            <w:tcW w:w="2214" w:type="dxa"/>
            <w:vAlign w:val="center"/>
          </w:tcPr>
          <w:p w14:paraId="27FAB4D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Important</w:t>
            </w:r>
          </w:p>
        </w:tc>
      </w:tr>
      <w:tr w:rsidR="00EF1C3C" w:rsidRPr="00DA61D7" w14:paraId="2750E136" w14:textId="77777777" w:rsidTr="004A59D9">
        <w:trPr>
          <w:cantSplit/>
          <w:trHeight w:val="483"/>
          <w:jc w:val="center"/>
        </w:trPr>
        <w:tc>
          <w:tcPr>
            <w:tcW w:w="2104" w:type="dxa"/>
            <w:vAlign w:val="center"/>
          </w:tcPr>
          <w:p w14:paraId="4BC10D00"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vertAlign w:val="superscript"/>
                <w:lang w:val="en-GB"/>
              </w:rPr>
              <w:t>235</w:t>
            </w:r>
            <w:r w:rsidRPr="00DA61D7">
              <w:rPr>
                <w:rFonts w:ascii="Times New Roman" w:eastAsia="Times New Roman" w:hAnsi="Times New Roman" w:cs="Times New Roman"/>
                <w:sz w:val="24"/>
                <w:szCs w:val="24"/>
                <w:lang w:val="en-GB"/>
              </w:rPr>
              <w:t>U decreasing</w:t>
            </w:r>
          </w:p>
        </w:tc>
        <w:tc>
          <w:tcPr>
            <w:tcW w:w="1872" w:type="dxa"/>
            <w:vAlign w:val="center"/>
          </w:tcPr>
          <w:p w14:paraId="481C988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w:t>
            </w:r>
          </w:p>
        </w:tc>
        <w:tc>
          <w:tcPr>
            <w:tcW w:w="2452" w:type="dxa"/>
            <w:vAlign w:val="center"/>
          </w:tcPr>
          <w:p w14:paraId="0C1489F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Very low</w:t>
            </w:r>
          </w:p>
        </w:tc>
        <w:tc>
          <w:tcPr>
            <w:tcW w:w="2214" w:type="dxa"/>
            <w:vAlign w:val="center"/>
          </w:tcPr>
          <w:p w14:paraId="0AFD026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Very low</w:t>
            </w:r>
          </w:p>
        </w:tc>
      </w:tr>
      <w:tr w:rsidR="00EF1C3C" w:rsidRPr="00DA61D7" w14:paraId="353E9E25" w14:textId="77777777" w:rsidTr="004A59D9">
        <w:trPr>
          <w:cantSplit/>
          <w:trHeight w:val="483"/>
          <w:jc w:val="center"/>
        </w:trPr>
        <w:tc>
          <w:tcPr>
            <w:tcW w:w="2104" w:type="dxa"/>
            <w:vAlign w:val="center"/>
          </w:tcPr>
          <w:p w14:paraId="64DCA144"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Delaying rate</w:t>
            </w:r>
          </w:p>
        </w:tc>
        <w:tc>
          <w:tcPr>
            <w:tcW w:w="1872" w:type="dxa"/>
            <w:vAlign w:val="center"/>
          </w:tcPr>
          <w:p w14:paraId="7F23A6EF"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High</w:t>
            </w:r>
          </w:p>
        </w:tc>
        <w:tc>
          <w:tcPr>
            <w:tcW w:w="2452" w:type="dxa"/>
            <w:vAlign w:val="center"/>
          </w:tcPr>
          <w:p w14:paraId="15C81AF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High</w:t>
            </w:r>
          </w:p>
        </w:tc>
        <w:tc>
          <w:tcPr>
            <w:tcW w:w="2214" w:type="dxa"/>
            <w:vAlign w:val="center"/>
          </w:tcPr>
          <w:p w14:paraId="38BFE84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Medium</w:t>
            </w:r>
          </w:p>
        </w:tc>
      </w:tr>
      <w:tr w:rsidR="00EF1C3C" w:rsidRPr="00DA61D7" w14:paraId="2D34284A" w14:textId="77777777" w:rsidTr="004A59D9">
        <w:trPr>
          <w:cantSplit/>
          <w:trHeight w:val="483"/>
          <w:jc w:val="center"/>
        </w:trPr>
        <w:tc>
          <w:tcPr>
            <w:tcW w:w="2104" w:type="dxa"/>
            <w:vAlign w:val="center"/>
          </w:tcPr>
          <w:p w14:paraId="3E45CDAE"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Excess activity</w:t>
            </w:r>
          </w:p>
        </w:tc>
        <w:tc>
          <w:tcPr>
            <w:tcW w:w="1872" w:type="dxa"/>
            <w:vAlign w:val="center"/>
          </w:tcPr>
          <w:p w14:paraId="16F056B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w:t>
            </w:r>
          </w:p>
        </w:tc>
        <w:tc>
          <w:tcPr>
            <w:tcW w:w="2452" w:type="dxa"/>
            <w:vAlign w:val="center"/>
          </w:tcPr>
          <w:p w14:paraId="1D3A8CE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Very low</w:t>
            </w:r>
          </w:p>
        </w:tc>
        <w:tc>
          <w:tcPr>
            <w:tcW w:w="2214" w:type="dxa"/>
            <w:vAlign w:val="center"/>
          </w:tcPr>
          <w:p w14:paraId="6A3C7A7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Important</w:t>
            </w:r>
          </w:p>
        </w:tc>
      </w:tr>
      <w:tr w:rsidR="00EF1C3C" w:rsidRPr="00DA61D7" w14:paraId="3C76E60C" w14:textId="77777777" w:rsidTr="004A59D9">
        <w:trPr>
          <w:cantSplit/>
          <w:trHeight w:val="483"/>
          <w:jc w:val="center"/>
        </w:trPr>
        <w:tc>
          <w:tcPr>
            <w:tcW w:w="2104" w:type="dxa"/>
            <w:vAlign w:val="center"/>
          </w:tcPr>
          <w:p w14:paraId="44FA63AB"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Fuel bundle power distribution</w:t>
            </w:r>
          </w:p>
        </w:tc>
        <w:tc>
          <w:tcPr>
            <w:tcW w:w="1872" w:type="dxa"/>
            <w:vAlign w:val="center"/>
          </w:tcPr>
          <w:p w14:paraId="54CE673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Good</w:t>
            </w:r>
          </w:p>
        </w:tc>
        <w:tc>
          <w:tcPr>
            <w:tcW w:w="2452" w:type="dxa"/>
            <w:vAlign w:val="center"/>
          </w:tcPr>
          <w:p w14:paraId="0D5AAFD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Middle</w:t>
            </w:r>
          </w:p>
        </w:tc>
        <w:tc>
          <w:tcPr>
            <w:tcW w:w="2214" w:type="dxa"/>
            <w:vAlign w:val="center"/>
          </w:tcPr>
          <w:p w14:paraId="6B19163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Good</w:t>
            </w:r>
          </w:p>
        </w:tc>
      </w:tr>
      <w:tr w:rsidR="00EF1C3C" w:rsidRPr="00DA61D7" w14:paraId="30CD3C07" w14:textId="77777777" w:rsidTr="004A59D9">
        <w:trPr>
          <w:cantSplit/>
          <w:trHeight w:val="483"/>
          <w:jc w:val="center"/>
        </w:trPr>
        <w:tc>
          <w:tcPr>
            <w:tcW w:w="2104" w:type="dxa"/>
            <w:vAlign w:val="center"/>
          </w:tcPr>
          <w:p w14:paraId="386423B7" w14:textId="299D1855" w:rsidR="00EF1C3C" w:rsidRPr="00DA61D7" w:rsidRDefault="004A59D9"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Local</w:t>
            </w:r>
            <w:r w:rsidR="00EF1C3C" w:rsidRPr="00DA61D7">
              <w:rPr>
                <w:rFonts w:ascii="Times New Roman" w:eastAsia="Times New Roman" w:hAnsi="Times New Roman" w:cs="Times New Roman"/>
                <w:sz w:val="24"/>
                <w:szCs w:val="24"/>
                <w:lang w:val="en-GB"/>
              </w:rPr>
              <w:t>power densification</w:t>
            </w:r>
          </w:p>
        </w:tc>
        <w:tc>
          <w:tcPr>
            <w:tcW w:w="1872" w:type="dxa"/>
            <w:vAlign w:val="center"/>
          </w:tcPr>
          <w:p w14:paraId="74BAF6A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Important</w:t>
            </w:r>
          </w:p>
        </w:tc>
        <w:tc>
          <w:tcPr>
            <w:tcW w:w="2452" w:type="dxa"/>
            <w:vAlign w:val="center"/>
          </w:tcPr>
          <w:p w14:paraId="43952FF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w:t>
            </w:r>
          </w:p>
        </w:tc>
        <w:tc>
          <w:tcPr>
            <w:tcW w:w="2214" w:type="dxa"/>
            <w:vAlign w:val="center"/>
          </w:tcPr>
          <w:p w14:paraId="4D5E2C1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low</w:t>
            </w:r>
          </w:p>
        </w:tc>
      </w:tr>
      <w:tr w:rsidR="00EF1C3C" w:rsidRPr="00DA61D7" w14:paraId="1FAC2125" w14:textId="77777777" w:rsidTr="004A59D9">
        <w:trPr>
          <w:cantSplit/>
          <w:trHeight w:val="483"/>
          <w:jc w:val="center"/>
        </w:trPr>
        <w:tc>
          <w:tcPr>
            <w:tcW w:w="2104" w:type="dxa"/>
            <w:vAlign w:val="center"/>
          </w:tcPr>
          <w:p w14:paraId="4C84A6B1"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US"/>
              </w:rPr>
              <w:t>Moderator temperature control</w:t>
            </w:r>
            <w:r w:rsidRPr="00DA61D7">
              <w:rPr>
                <w:rFonts w:ascii="Times New Roman" w:eastAsia="Times New Roman" w:hAnsi="Times New Roman" w:cs="Times New Roman"/>
                <w:sz w:val="24"/>
                <w:szCs w:val="24"/>
                <w:lang w:val="en-GB"/>
              </w:rPr>
              <w:t xml:space="preserve"> (MTC)</w:t>
            </w:r>
          </w:p>
        </w:tc>
        <w:tc>
          <w:tcPr>
            <w:tcW w:w="1872" w:type="dxa"/>
            <w:vAlign w:val="center"/>
          </w:tcPr>
          <w:p w14:paraId="17FBBF73"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Good</w:t>
            </w:r>
          </w:p>
        </w:tc>
        <w:tc>
          <w:tcPr>
            <w:tcW w:w="2452" w:type="dxa"/>
            <w:vAlign w:val="center"/>
          </w:tcPr>
          <w:p w14:paraId="2FEC6EE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Worst</w:t>
            </w:r>
          </w:p>
        </w:tc>
        <w:tc>
          <w:tcPr>
            <w:tcW w:w="2214" w:type="dxa"/>
            <w:vAlign w:val="center"/>
          </w:tcPr>
          <w:p w14:paraId="1C6667E3"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Best</w:t>
            </w:r>
          </w:p>
        </w:tc>
      </w:tr>
      <w:tr w:rsidR="00EF1C3C" w:rsidRPr="00DA61D7" w14:paraId="4099045D" w14:textId="77777777" w:rsidTr="004A59D9">
        <w:trPr>
          <w:cantSplit/>
          <w:trHeight w:val="483"/>
          <w:jc w:val="center"/>
        </w:trPr>
        <w:tc>
          <w:tcPr>
            <w:tcW w:w="2104" w:type="dxa"/>
            <w:vAlign w:val="center"/>
          </w:tcPr>
          <w:p w14:paraId="29804C54"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Fabricability</w:t>
            </w:r>
          </w:p>
        </w:tc>
        <w:tc>
          <w:tcPr>
            <w:tcW w:w="1872" w:type="dxa"/>
            <w:vAlign w:val="center"/>
          </w:tcPr>
          <w:p w14:paraId="39FCFBB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Good</w:t>
            </w:r>
          </w:p>
        </w:tc>
        <w:tc>
          <w:tcPr>
            <w:tcW w:w="2452" w:type="dxa"/>
            <w:vAlign w:val="center"/>
          </w:tcPr>
          <w:p w14:paraId="3951AD71"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Separate installation</w:t>
            </w:r>
          </w:p>
        </w:tc>
        <w:tc>
          <w:tcPr>
            <w:tcW w:w="2214" w:type="dxa"/>
            <w:vAlign w:val="center"/>
          </w:tcPr>
          <w:p w14:paraId="0D779B99" w14:textId="5606F93C" w:rsidR="00EF1C3C" w:rsidRPr="00DA61D7" w:rsidRDefault="004A59D9"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Separate </w:t>
            </w:r>
            <w:r w:rsidR="00EF1C3C" w:rsidRPr="00DA61D7">
              <w:rPr>
                <w:rFonts w:ascii="Times New Roman" w:eastAsia="Times New Roman" w:hAnsi="Times New Roman" w:cs="Times New Roman"/>
                <w:sz w:val="24"/>
                <w:szCs w:val="24"/>
                <w:lang w:val="en-GB"/>
              </w:rPr>
              <w:t>installation</w:t>
            </w:r>
          </w:p>
        </w:tc>
      </w:tr>
      <w:tr w:rsidR="00EF1C3C" w:rsidRPr="00DA61D7" w14:paraId="18B00A8A" w14:textId="77777777" w:rsidTr="004A59D9">
        <w:trPr>
          <w:cantSplit/>
          <w:trHeight w:val="483"/>
          <w:jc w:val="center"/>
        </w:trPr>
        <w:tc>
          <w:tcPr>
            <w:tcW w:w="2104" w:type="dxa"/>
            <w:vAlign w:val="center"/>
          </w:tcPr>
          <w:p w14:paraId="49493E13" w14:textId="77777777" w:rsidR="00EF1C3C" w:rsidRPr="00DA61D7" w:rsidRDefault="00EF1C3C" w:rsidP="00D365B6">
            <w:pPr>
              <w:overflowPunct w:val="0"/>
              <w:autoSpaceDE w:val="0"/>
              <w:autoSpaceDN w:val="0"/>
              <w:adjustRightInd w:val="0"/>
              <w:spacing w:afterLines="60" w:after="144" w:line="240" w:lineRule="auto"/>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Fuel reprocessing</w:t>
            </w:r>
          </w:p>
        </w:tc>
        <w:tc>
          <w:tcPr>
            <w:tcW w:w="1872" w:type="dxa"/>
            <w:vAlign w:val="center"/>
          </w:tcPr>
          <w:p w14:paraId="19DF340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Good</w:t>
            </w:r>
          </w:p>
        </w:tc>
        <w:tc>
          <w:tcPr>
            <w:tcW w:w="2452" w:type="dxa"/>
            <w:vAlign w:val="center"/>
          </w:tcPr>
          <w:p w14:paraId="22DB8AD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Difficult</w:t>
            </w:r>
          </w:p>
        </w:tc>
        <w:tc>
          <w:tcPr>
            <w:tcW w:w="2214" w:type="dxa"/>
            <w:vAlign w:val="center"/>
          </w:tcPr>
          <w:p w14:paraId="5B6A50F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Good</w:t>
            </w:r>
          </w:p>
        </w:tc>
      </w:tr>
      <w:tr w:rsidR="00EF1C3C" w:rsidRPr="00DA61D7" w14:paraId="2954A912" w14:textId="77777777" w:rsidTr="004A59D9">
        <w:trPr>
          <w:cantSplit/>
          <w:trHeight w:val="1034"/>
          <w:jc w:val="center"/>
        </w:trPr>
        <w:tc>
          <w:tcPr>
            <w:tcW w:w="8642" w:type="dxa"/>
            <w:gridSpan w:val="4"/>
            <w:vAlign w:val="center"/>
          </w:tcPr>
          <w:p w14:paraId="34911392"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a: </w:t>
            </w:r>
            <w:r w:rsidRPr="00DA61D7">
              <w:rPr>
                <w:rFonts w:ascii="Times New Roman" w:eastAsia="Times New Roman" w:hAnsi="Times New Roman" w:cs="Times New Roman"/>
                <w:b/>
                <w:bCs/>
                <w:sz w:val="24"/>
                <w:szCs w:val="24"/>
                <w:lang w:val="en-GB"/>
              </w:rPr>
              <w:t xml:space="preserve">FBFC </w:t>
            </w:r>
            <w:r w:rsidRPr="00DA61D7">
              <w:rPr>
                <w:rFonts w:ascii="Times New Roman" w:eastAsia="Times New Roman" w:hAnsi="Times New Roman" w:cs="Times New Roman"/>
                <w:sz w:val="24"/>
                <w:szCs w:val="24"/>
                <w:lang w:val="en-GB"/>
              </w:rPr>
              <w:t xml:space="preserve">(Belgium), </w:t>
            </w:r>
            <w:r w:rsidRPr="00DA61D7">
              <w:rPr>
                <w:rFonts w:ascii="Times New Roman" w:eastAsia="Times New Roman" w:hAnsi="Times New Roman" w:cs="Times New Roman"/>
                <w:b/>
                <w:sz w:val="24"/>
                <w:szCs w:val="24"/>
                <w:lang w:val="en-GB"/>
              </w:rPr>
              <w:t xml:space="preserve">SIEMENS </w:t>
            </w:r>
            <w:r w:rsidRPr="00DA61D7">
              <w:rPr>
                <w:rFonts w:ascii="Times New Roman" w:eastAsia="Times New Roman" w:hAnsi="Times New Roman" w:cs="Times New Roman"/>
                <w:sz w:val="24"/>
                <w:szCs w:val="24"/>
                <w:lang w:val="en-GB"/>
              </w:rPr>
              <w:t xml:space="preserve">(Germany), </w:t>
            </w:r>
            <w:r w:rsidRPr="00DA61D7">
              <w:rPr>
                <w:rFonts w:ascii="Times New Roman" w:eastAsia="Times New Roman" w:hAnsi="Times New Roman" w:cs="Times New Roman"/>
                <w:b/>
                <w:bCs/>
                <w:sz w:val="24"/>
                <w:szCs w:val="24"/>
                <w:lang w:val="en-GB"/>
              </w:rPr>
              <w:t xml:space="preserve">Fabricazione Nucleari </w:t>
            </w:r>
            <w:r w:rsidRPr="00DA61D7">
              <w:rPr>
                <w:rFonts w:ascii="Times New Roman" w:eastAsia="Times New Roman" w:hAnsi="Times New Roman" w:cs="Times New Roman"/>
                <w:bCs/>
                <w:sz w:val="24"/>
                <w:szCs w:val="24"/>
                <w:lang w:val="en-GB"/>
              </w:rPr>
              <w:t xml:space="preserve">(İtaly), </w:t>
            </w:r>
            <w:r w:rsidRPr="00DA61D7">
              <w:rPr>
                <w:rFonts w:ascii="Times New Roman" w:eastAsia="Times New Roman" w:hAnsi="Times New Roman" w:cs="Times New Roman"/>
                <w:b/>
                <w:bCs/>
                <w:sz w:val="24"/>
                <w:szCs w:val="24"/>
                <w:lang w:val="en-GB"/>
              </w:rPr>
              <w:t xml:space="preserve">JNF-MNF </w:t>
            </w:r>
            <w:r w:rsidRPr="00DA61D7">
              <w:rPr>
                <w:rFonts w:ascii="Times New Roman" w:eastAsia="Times New Roman" w:hAnsi="Times New Roman" w:cs="Times New Roman"/>
                <w:b/>
                <w:sz w:val="24"/>
                <w:szCs w:val="24"/>
                <w:lang w:val="en-GB"/>
              </w:rPr>
              <w:t>and</w:t>
            </w:r>
            <w:r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b/>
                <w:bCs/>
                <w:sz w:val="24"/>
                <w:szCs w:val="24"/>
                <w:lang w:val="en-GB"/>
              </w:rPr>
              <w:t xml:space="preserve">NFI </w:t>
            </w:r>
            <w:r w:rsidRPr="00DA61D7">
              <w:rPr>
                <w:rFonts w:ascii="Times New Roman" w:eastAsia="Times New Roman" w:hAnsi="Times New Roman" w:cs="Times New Roman"/>
                <w:sz w:val="24"/>
                <w:szCs w:val="24"/>
                <w:lang w:val="en-GB"/>
              </w:rPr>
              <w:t xml:space="preserve">(Japan), </w:t>
            </w:r>
            <w:r w:rsidRPr="00DA61D7">
              <w:rPr>
                <w:rFonts w:ascii="Times New Roman" w:eastAsia="Times New Roman" w:hAnsi="Times New Roman" w:cs="Times New Roman"/>
                <w:b/>
                <w:sz w:val="24"/>
                <w:szCs w:val="24"/>
                <w:lang w:val="en-GB"/>
              </w:rPr>
              <w:t>KNFC</w:t>
            </w:r>
            <w:r w:rsidRPr="00DA61D7">
              <w:rPr>
                <w:rFonts w:ascii="Times New Roman" w:eastAsia="Times New Roman" w:hAnsi="Times New Roman" w:cs="Times New Roman"/>
                <w:sz w:val="24"/>
                <w:szCs w:val="24"/>
                <w:lang w:val="en-GB"/>
              </w:rPr>
              <w:t xml:space="preserve"> (S.Korea), </w:t>
            </w:r>
            <w:r w:rsidRPr="00DA61D7">
              <w:rPr>
                <w:rFonts w:ascii="Times New Roman" w:eastAsia="Times New Roman" w:hAnsi="Times New Roman" w:cs="Times New Roman"/>
                <w:b/>
                <w:sz w:val="24"/>
                <w:szCs w:val="24"/>
                <w:lang w:val="en-GB"/>
              </w:rPr>
              <w:t>ENUSA</w:t>
            </w:r>
            <w:r w:rsidRPr="00DA61D7">
              <w:rPr>
                <w:rFonts w:ascii="Times New Roman" w:eastAsia="Times New Roman" w:hAnsi="Times New Roman" w:cs="Times New Roman"/>
                <w:sz w:val="24"/>
                <w:szCs w:val="24"/>
                <w:lang w:val="en-GB"/>
              </w:rPr>
              <w:t xml:space="preserve"> (Spain), </w:t>
            </w:r>
            <w:r w:rsidRPr="00DA61D7">
              <w:rPr>
                <w:rFonts w:ascii="Times New Roman" w:eastAsia="Times New Roman" w:hAnsi="Times New Roman" w:cs="Times New Roman"/>
                <w:b/>
                <w:sz w:val="24"/>
                <w:szCs w:val="24"/>
                <w:lang w:val="en-GB"/>
              </w:rPr>
              <w:t xml:space="preserve">ABB </w:t>
            </w:r>
            <w:r w:rsidRPr="00DA61D7">
              <w:rPr>
                <w:rFonts w:ascii="Times New Roman" w:eastAsia="Times New Roman" w:hAnsi="Times New Roman" w:cs="Times New Roman"/>
                <w:b/>
                <w:bCs/>
                <w:sz w:val="24"/>
                <w:szCs w:val="24"/>
                <w:lang w:val="en-GB"/>
              </w:rPr>
              <w:t xml:space="preserve">Atom </w:t>
            </w:r>
            <w:r w:rsidRPr="00DA61D7">
              <w:rPr>
                <w:rFonts w:ascii="Times New Roman" w:eastAsia="Times New Roman" w:hAnsi="Times New Roman" w:cs="Times New Roman"/>
                <w:sz w:val="24"/>
                <w:szCs w:val="24"/>
                <w:lang w:val="en-GB"/>
              </w:rPr>
              <w:t>(Sweden</w:t>
            </w:r>
            <w:r w:rsidRPr="00DA61D7">
              <w:rPr>
                <w:rFonts w:ascii="Times New Roman" w:eastAsia="Times New Roman" w:hAnsi="Times New Roman" w:cs="Times New Roman"/>
                <w:bCs/>
                <w:sz w:val="24"/>
                <w:szCs w:val="24"/>
                <w:lang w:val="en-GB"/>
              </w:rPr>
              <w:t>),</w:t>
            </w:r>
            <w:r w:rsidRPr="00DA61D7">
              <w:rPr>
                <w:rFonts w:ascii="Times New Roman" w:eastAsia="Times New Roman" w:hAnsi="Times New Roman" w:cs="Times New Roman"/>
                <w:b/>
                <w:bCs/>
                <w:sz w:val="24"/>
                <w:szCs w:val="24"/>
                <w:lang w:val="en-GB"/>
              </w:rPr>
              <w:t xml:space="preserve"> BNFL </w:t>
            </w:r>
            <w:r w:rsidRPr="00DA61D7">
              <w:rPr>
                <w:rFonts w:ascii="Times New Roman" w:eastAsia="Times New Roman" w:hAnsi="Times New Roman" w:cs="Times New Roman"/>
                <w:sz w:val="24"/>
                <w:szCs w:val="24"/>
                <w:lang w:val="en-GB"/>
              </w:rPr>
              <w:t xml:space="preserve">(England), </w:t>
            </w:r>
            <w:r w:rsidRPr="00DA61D7">
              <w:rPr>
                <w:rFonts w:ascii="Times New Roman" w:eastAsia="Times New Roman" w:hAnsi="Times New Roman" w:cs="Times New Roman"/>
                <w:b/>
                <w:bCs/>
                <w:sz w:val="24"/>
                <w:szCs w:val="24"/>
                <w:lang w:val="en-GB"/>
              </w:rPr>
              <w:t xml:space="preserve">BWFC-GE ve SPC </w:t>
            </w:r>
            <w:r w:rsidRPr="00DA61D7">
              <w:rPr>
                <w:rFonts w:ascii="Times New Roman" w:eastAsia="Times New Roman" w:hAnsi="Times New Roman" w:cs="Times New Roman"/>
                <w:sz w:val="24"/>
                <w:szCs w:val="24"/>
                <w:lang w:val="en-GB"/>
              </w:rPr>
              <w:t>(US).</w:t>
            </w:r>
          </w:p>
          <w:p w14:paraId="3CA88DC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tc>
      </w:tr>
    </w:tbl>
    <w:p w14:paraId="2FE6E8D6" w14:textId="77777777" w:rsidR="00D70BA7"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Calibri" w:hAnsi="Times New Roman" w:cs="Times New Roman"/>
          <w:noProof/>
          <w:lang w:eastAsia="tr-TR"/>
        </w:rPr>
        <w:lastRenderedPageBreak/>
        <w:drawing>
          <wp:inline distT="0" distB="0" distL="0" distR="0" wp14:anchorId="7366821F" wp14:editId="3E9AC3BE">
            <wp:extent cx="2649185" cy="1513170"/>
            <wp:effectExtent l="0" t="0" r="0" b="0"/>
            <wp:docPr id="2" name="Resim 2" descr="C:\Users\Ahmet Yaylı\Downloads\Color-online-Schematic-representation-of-the-fluorite-structure-with-a-lat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Yaylı\Downloads\Color-online-Schematic-representation-of-the-fluorite-structure-with-a-latti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60934" cy="1519881"/>
                    </a:xfrm>
                    <a:prstGeom prst="rect">
                      <a:avLst/>
                    </a:prstGeom>
                    <a:noFill/>
                    <a:ln>
                      <a:noFill/>
                    </a:ln>
                    <a:extLst>
                      <a:ext uri="{53640926-AAD7-44D8-BBD7-CCE9431645EC}">
                        <a14:shadowObscured xmlns:a14="http://schemas.microsoft.com/office/drawing/2010/main"/>
                      </a:ext>
                    </a:extLst>
                  </pic:spPr>
                </pic:pic>
              </a:graphicData>
            </a:graphic>
          </wp:inline>
        </w:drawing>
      </w:r>
      <w:r w:rsidRPr="00DA61D7">
        <w:rPr>
          <w:rFonts w:ascii="Times New Roman" w:eastAsia="Times New Roman" w:hAnsi="Times New Roman" w:cs="Times New Roman"/>
          <w:noProof/>
          <w:sz w:val="24"/>
          <w:szCs w:val="24"/>
          <w:lang w:eastAsia="tr-TR"/>
        </w:rPr>
        <w:drawing>
          <wp:inline distT="0" distB="0" distL="0" distR="0" wp14:anchorId="525419D4" wp14:editId="7F6FB0A1">
            <wp:extent cx="1819517" cy="1687847"/>
            <wp:effectExtent l="0" t="0" r="952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472" cy="1688733"/>
                    </a:xfrm>
                    <a:prstGeom prst="rect">
                      <a:avLst/>
                    </a:prstGeom>
                    <a:noFill/>
                  </pic:spPr>
                </pic:pic>
              </a:graphicData>
            </a:graphic>
          </wp:inline>
        </w:drawing>
      </w:r>
    </w:p>
    <w:p w14:paraId="487F36A7"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1. Lattice structure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and possible oxygen </w:t>
      </w:r>
      <w:r w:rsidRPr="00DA61D7">
        <w:rPr>
          <w:rFonts w:ascii="Times New Roman" w:eastAsia="Times New Roman" w:hAnsi="Times New Roman" w:cs="Times New Roman"/>
          <w:sz w:val="24"/>
          <w:szCs w:val="24"/>
          <w:lang w:val="en"/>
        </w:rPr>
        <w:t>sites</w:t>
      </w:r>
      <w:r w:rsidRPr="00DA61D7">
        <w:rPr>
          <w:rFonts w:ascii="Times New Roman" w:eastAsia="Times New Roman" w:hAnsi="Times New Roman" w:cs="Times New Roman"/>
          <w:sz w:val="24"/>
          <w:szCs w:val="24"/>
        </w:rPr>
        <w:t xml:space="preserve">  </w:t>
      </w:r>
      <w:r w:rsidRPr="00DA61D7">
        <w:rPr>
          <w:rFonts w:ascii="Times New Roman" w:eastAsia="Times New Roman" w:hAnsi="Times New Roman" w:cs="Times New Roman"/>
          <w:sz w:val="24"/>
          <w:szCs w:val="24"/>
          <w:lang w:val="en-GB"/>
        </w:rPr>
        <w:t>(Yayli,1995).</w:t>
      </w:r>
    </w:p>
    <w:p w14:paraId="5360877F" w14:textId="77777777" w:rsidR="00DB42B4"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Cs w:val="20"/>
          <w:lang w:eastAsia="tr-TR"/>
        </w:rPr>
        <w:drawing>
          <wp:inline distT="0" distB="0" distL="0" distR="0" wp14:anchorId="7AD80FCA" wp14:editId="4DE2A999">
            <wp:extent cx="5615293" cy="2573216"/>
            <wp:effectExtent l="0" t="0" r="5080" b="0"/>
            <wp:docPr id="4" name="Resim 4" descr="Experimental kinetic study of oxidation of uranium monocarb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erimental kinetic study of oxidation of uranium monocarbi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185" cy="2580957"/>
                    </a:xfrm>
                    <a:prstGeom prst="rect">
                      <a:avLst/>
                    </a:prstGeom>
                    <a:noFill/>
                    <a:ln>
                      <a:noFill/>
                    </a:ln>
                  </pic:spPr>
                </pic:pic>
              </a:graphicData>
            </a:graphic>
          </wp:inline>
        </w:drawing>
      </w:r>
    </w:p>
    <w:p w14:paraId="393B0361"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2. Uranium-oxygen phase diagram.</w:t>
      </w:r>
    </w:p>
    <w:p w14:paraId="27FD7DD3" w14:textId="77777777" w:rsidR="00D70BA7"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ab/>
      </w:r>
    </w:p>
    <w:p w14:paraId="42D0DC79"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 savings in cycle length is not the only factor that must be considered. The following primary factors must all be considered in the choice of a burnable poison:</w:t>
      </w:r>
    </w:p>
    <w:p w14:paraId="61A6D91C"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1. Rate of burnout </w:t>
      </w:r>
    </w:p>
    <w:p w14:paraId="58E3E821"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2. Initial negative reactivity worth</w:t>
      </w:r>
    </w:p>
    <w:p w14:paraId="3A4D157A"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3. Available volume for burnable poison loading </w:t>
      </w:r>
    </w:p>
    <w:p w14:paraId="3A3DBAD8"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4. Effect of burnable poison on the moderator void coefficient of reactivity </w:t>
      </w:r>
    </w:p>
    <w:p w14:paraId="6D35BBEB" w14:textId="0ED96C8D"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5. Cost of the burnable poison material 6. Compatibility of the burnable poison with the fuel or cladding</w:t>
      </w:r>
      <w:r w:rsidR="0058101C" w:rsidRPr="00DA61D7">
        <w:rPr>
          <w:rFonts w:ascii="Times New Roman" w:eastAsia="Times New Roman" w:hAnsi="Times New Roman" w:cs="Times New Roman"/>
          <w:sz w:val="24"/>
          <w:szCs w:val="24"/>
          <w:lang w:val="en-GB"/>
        </w:rPr>
        <w:t xml:space="preserve"> </w:t>
      </w:r>
      <w:r w:rsidR="00B47100">
        <w:rPr>
          <w:rFonts w:ascii="Times New Roman" w:eastAsia="Times New Roman" w:hAnsi="Times New Roman" w:cs="Times New Roman"/>
          <w:sz w:val="24"/>
          <w:szCs w:val="24"/>
          <w:lang w:val="en-GB"/>
        </w:rPr>
        <w:t>(Renier &amp; Grossbeck,</w:t>
      </w:r>
      <w:r w:rsidR="00E56EE0" w:rsidRPr="00DA61D7">
        <w:rPr>
          <w:rFonts w:ascii="Times New Roman" w:eastAsia="Times New Roman" w:hAnsi="Times New Roman" w:cs="Times New Roman"/>
          <w:sz w:val="24"/>
          <w:szCs w:val="24"/>
          <w:lang w:val="en-GB"/>
        </w:rPr>
        <w:t xml:space="preserve"> 2001).</w:t>
      </w:r>
    </w:p>
    <w:p w14:paraId="41772334" w14:textId="546B4895"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In a light water reactor (LWR), burnable absorbers are usually used for controlling excess reactivity of the fresh fuel and the reactor core at the beginning of </w:t>
      </w:r>
      <w:r w:rsidR="006834EA" w:rsidRPr="00DA61D7">
        <w:rPr>
          <w:rFonts w:ascii="Times New Roman" w:eastAsia="Times New Roman" w:hAnsi="Times New Roman" w:cs="Times New Roman"/>
          <w:sz w:val="24"/>
          <w:szCs w:val="24"/>
          <w:lang w:val="en-GB"/>
        </w:rPr>
        <w:t>burn up</w:t>
      </w:r>
      <w:r w:rsidRPr="00DA61D7">
        <w:rPr>
          <w:rFonts w:ascii="Times New Roman" w:eastAsia="Times New Roman" w:hAnsi="Times New Roman" w:cs="Times New Roman"/>
          <w:sz w:val="24"/>
          <w:szCs w:val="24"/>
          <w:lang w:val="en-GB"/>
        </w:rPr>
        <w:t xml:space="preserve"> stage, and flattening the power distribution to avoid an excessively high power peak at some fresh fuel assemblies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particle dispersed burnable absorber fuels in WWER 1000 Power Reactor  (Hoai</w:t>
      </w:r>
      <w:r w:rsidR="00D70BA7" w:rsidRPr="00DA61D7">
        <w:rPr>
          <w:rFonts w:ascii="Times New Roman" w:eastAsia="Times New Roman" w:hAnsi="Times New Roman" w:cs="Times New Roman"/>
          <w:sz w:val="24"/>
          <w:szCs w:val="24"/>
          <w:lang w:val="en-GB"/>
        </w:rPr>
        <w:t>,</w:t>
      </w:r>
      <w:r w:rsidR="00B47100">
        <w:rPr>
          <w:rFonts w:ascii="Times New Roman" w:eastAsia="Times New Roman" w:hAnsi="Times New Roman" w:cs="Times New Roman"/>
          <w:sz w:val="24"/>
          <w:szCs w:val="24"/>
          <w:lang w:val="en-GB"/>
        </w:rPr>
        <w:t xml:space="preserve"> Hung &amp; Liem,</w:t>
      </w:r>
      <w:r w:rsidRPr="00DA61D7">
        <w:rPr>
          <w:rFonts w:ascii="Times New Roman" w:eastAsia="Times New Roman" w:hAnsi="Times New Roman" w:cs="Times New Roman"/>
          <w:sz w:val="24"/>
          <w:szCs w:val="24"/>
          <w:lang w:val="en-GB"/>
        </w:rPr>
        <w:t xml:space="preserve"> 2017) is given in Figure 3.</w:t>
      </w:r>
    </w:p>
    <w:p w14:paraId="128E4D0C"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p>
    <w:p w14:paraId="782E7FF3" w14:textId="77777777" w:rsidR="00EF1C3C" w:rsidRPr="00DA61D7" w:rsidRDefault="00EF1C3C" w:rsidP="00D365B6">
      <w:pPr>
        <w:overflowPunct w:val="0"/>
        <w:autoSpaceDE w:val="0"/>
        <w:autoSpaceDN w:val="0"/>
        <w:adjustRightInd w:val="0"/>
        <w:spacing w:before="120" w:afterLines="60" w:after="144" w:line="240" w:lineRule="auto"/>
        <w:ind w:firstLine="709"/>
        <w:textAlignment w:val="baseline"/>
        <w:rPr>
          <w:rFonts w:ascii="Times New Roman" w:eastAsia="Times New Roman" w:hAnsi="Times New Roman" w:cs="Times New Roman"/>
          <w:sz w:val="24"/>
          <w:szCs w:val="24"/>
          <w:lang w:val="en-GB"/>
        </w:rPr>
      </w:pPr>
    </w:p>
    <w:p w14:paraId="2AEF8F21"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anchor distT="0" distB="0" distL="114300" distR="114300" simplePos="0" relativeHeight="251660288" behindDoc="0" locked="0" layoutInCell="1" allowOverlap="1" wp14:anchorId="0B913E1C" wp14:editId="5E085E62">
            <wp:simplePos x="0" y="0"/>
            <wp:positionH relativeFrom="column">
              <wp:align>left</wp:align>
            </wp:positionH>
            <wp:positionV relativeFrom="paragraph">
              <wp:align>top</wp:align>
            </wp:positionV>
            <wp:extent cx="4876800" cy="3268345"/>
            <wp:effectExtent l="0" t="0" r="0" b="825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235"/>
                    <a:stretch/>
                  </pic:blipFill>
                  <pic:spPr bwMode="auto">
                    <a:xfrm>
                      <a:off x="0" y="0"/>
                      <a:ext cx="4876800" cy="3268345"/>
                    </a:xfrm>
                    <a:prstGeom prst="rect">
                      <a:avLst/>
                    </a:prstGeom>
                    <a:noFill/>
                    <a:ln>
                      <a:noFill/>
                    </a:ln>
                    <a:extLst>
                      <a:ext uri="{53640926-AAD7-44D8-BBD7-CCE9431645EC}">
                        <a14:shadowObscured xmlns:a14="http://schemas.microsoft.com/office/drawing/2010/main"/>
                      </a:ext>
                    </a:extLst>
                  </pic:spPr>
                </pic:pic>
              </a:graphicData>
            </a:graphic>
          </wp:anchor>
        </w:drawing>
      </w:r>
      <w:r w:rsidRPr="00DA61D7">
        <w:rPr>
          <w:rFonts w:ascii="Times New Roman" w:eastAsia="Times New Roman" w:hAnsi="Times New Roman" w:cs="Times New Roman"/>
          <w:sz w:val="24"/>
          <w:szCs w:val="24"/>
          <w:lang w:val="en-GB"/>
        </w:rPr>
        <w:br w:type="textWrapping" w:clear="all"/>
        <w:t>Figure 3.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particle dispersed burnable absorber fuels in</w:t>
      </w:r>
      <w:r w:rsidR="00CA7BBF" w:rsidRPr="00DA61D7">
        <w:rPr>
          <w:rFonts w:ascii="Times New Roman" w:eastAsia="Times New Roman" w:hAnsi="Times New Roman" w:cs="Times New Roman"/>
          <w:sz w:val="24"/>
          <w:szCs w:val="24"/>
          <w:lang w:val="en-GB"/>
        </w:rPr>
        <w:t xml:space="preserve"> WWER 1000 Power Reactor  (Hoai, </w:t>
      </w:r>
      <w:r w:rsidRPr="00DA61D7">
        <w:rPr>
          <w:rFonts w:ascii="Times New Roman" w:eastAsia="Times New Roman" w:hAnsi="Times New Roman" w:cs="Times New Roman"/>
          <w:sz w:val="24"/>
          <w:szCs w:val="24"/>
          <w:lang w:val="en-GB"/>
        </w:rPr>
        <w:t>2017).</w:t>
      </w:r>
    </w:p>
    <w:p w14:paraId="4352B696" w14:textId="77777777"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Comparison of Δk values as a function of burnup depending on the amount of gadolinium is given in Figure 4 (NUREG/CR- 6760). As can be seen from Figure 4, the decrease in reactivity in linear burn up rates with the amount of gadolinium is linear up to a certain point. There is no significant difference after</w:t>
      </w:r>
      <w:r w:rsidRPr="00DA61D7">
        <w:rPr>
          <w:rFonts w:ascii="Times New Roman" w:eastAsia="Times New Roman" w:hAnsi="Times New Roman" w:cs="Times New Roman"/>
          <w:szCs w:val="20"/>
          <w:lang w:val="en-GB"/>
        </w:rPr>
        <w:t xml:space="preserve"> </w:t>
      </w:r>
      <w:r w:rsidRPr="00DA61D7">
        <w:rPr>
          <w:rFonts w:ascii="Times New Roman" w:eastAsia="Times New Roman" w:hAnsi="Times New Roman" w:cs="Times New Roman"/>
          <w:sz w:val="24"/>
          <w:szCs w:val="24"/>
          <w:lang w:val="en-GB"/>
        </w:rPr>
        <w:t>burn up rates of 20 GWd / MtU (NUREG/CR- 6760).</w:t>
      </w:r>
    </w:p>
    <w:p w14:paraId="57336AEA"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0219C7DF" wp14:editId="3B0AE28E">
            <wp:extent cx="3576955" cy="3012171"/>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592519" cy="3025278"/>
                    </a:xfrm>
                    <a:prstGeom prst="rect">
                      <a:avLst/>
                    </a:prstGeom>
                    <a:noFill/>
                    <a:ln>
                      <a:noFill/>
                    </a:ln>
                    <a:extLst>
                      <a:ext uri="{53640926-AAD7-44D8-BBD7-CCE9431645EC}">
                        <a14:shadowObscured xmlns:a14="http://schemas.microsoft.com/office/drawing/2010/main"/>
                      </a:ext>
                    </a:extLst>
                  </pic:spPr>
                </pic:pic>
              </a:graphicData>
            </a:graphic>
          </wp:inline>
        </w:drawing>
      </w:r>
    </w:p>
    <w:p w14:paraId="6A99655A"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4.  Comparison of Δk values as a function of burnup depending on the amount of gadolinium (NUREG/CR- 6760).</w:t>
      </w:r>
    </w:p>
    <w:p w14:paraId="19D21F70" w14:textId="2AB87BB7"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rPr>
      </w:pPr>
      <w:r w:rsidRPr="00DA61D7">
        <w:rPr>
          <w:rFonts w:ascii="Times New Roman" w:eastAsia="Times New Roman" w:hAnsi="Times New Roman" w:cs="Times New Roman"/>
          <w:szCs w:val="20"/>
          <w:lang w:val="en-GB"/>
        </w:rPr>
        <w:lastRenderedPageBreak/>
        <w:t xml:space="preserve"> </w:t>
      </w:r>
      <w:r w:rsidRPr="00DA61D7">
        <w:rPr>
          <w:rFonts w:ascii="Times New Roman" w:eastAsia="Times New Roman" w:hAnsi="Times New Roman" w:cs="Times New Roman"/>
          <w:sz w:val="24"/>
          <w:szCs w:val="24"/>
          <w:lang w:val="en"/>
        </w:rPr>
        <w:t>Durazzo</w:t>
      </w:r>
      <w:r w:rsidR="00B47100">
        <w:rPr>
          <w:rFonts w:ascii="Times New Roman" w:eastAsia="Times New Roman" w:hAnsi="Times New Roman" w:cs="Times New Roman"/>
          <w:sz w:val="24"/>
          <w:szCs w:val="24"/>
          <w:lang w:val="en"/>
        </w:rPr>
        <w:t xml:space="preserve"> et. al.</w:t>
      </w:r>
      <w:r w:rsidRPr="00DA61D7">
        <w:rPr>
          <w:rFonts w:ascii="Times New Roman" w:eastAsia="Times New Roman" w:hAnsi="Times New Roman" w:cs="Times New Roman"/>
          <w:sz w:val="24"/>
          <w:szCs w:val="24"/>
          <w:lang w:val="en"/>
        </w:rPr>
        <w:t xml:space="preserve"> </w:t>
      </w:r>
      <w:r w:rsidR="00B47100">
        <w:rPr>
          <w:rFonts w:ascii="Times New Roman" w:eastAsia="Times New Roman" w:hAnsi="Times New Roman" w:cs="Times New Roman"/>
          <w:sz w:val="24"/>
          <w:szCs w:val="24"/>
          <w:lang w:val="en"/>
        </w:rPr>
        <w:t>(2013) have</w:t>
      </w:r>
      <w:r w:rsidRPr="00DA61D7">
        <w:rPr>
          <w:rFonts w:ascii="Times New Roman" w:eastAsia="Times New Roman" w:hAnsi="Times New Roman" w:cs="Times New Roman"/>
          <w:sz w:val="24"/>
          <w:szCs w:val="24"/>
          <w:lang w:val="en"/>
        </w:rPr>
        <w:t xml:space="preserve"> reported that the diffusion of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3</w:t>
      </w:r>
      <w:r w:rsidRPr="00DA61D7">
        <w:rPr>
          <w:rFonts w:ascii="Times New Roman" w:eastAsia="Times New Roman" w:hAnsi="Times New Roman" w:cs="Times New Roman"/>
          <w:sz w:val="24"/>
          <w:szCs w:val="24"/>
          <w:lang w:val="en"/>
        </w:rPr>
        <w:t xml:space="preserve"> into UO</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 xml:space="preserve"> in UO</w:t>
      </w:r>
      <w:r w:rsidRPr="00DA61D7">
        <w:rPr>
          <w:rFonts w:ascii="Times New Roman" w:eastAsia="Times New Roman" w:hAnsi="Times New Roman" w:cs="Times New Roman"/>
          <w:sz w:val="24"/>
          <w:szCs w:val="24"/>
          <w:vertAlign w:val="subscript"/>
          <w:lang w:val="en"/>
        </w:rPr>
        <w:t xml:space="preserve">2 </w:t>
      </w:r>
      <w:r w:rsidRPr="00DA61D7">
        <w:rPr>
          <w:rFonts w:ascii="Times New Roman" w:eastAsia="Times New Roman" w:hAnsi="Times New Roman" w:cs="Times New Roman"/>
          <w:sz w:val="24"/>
          <w:szCs w:val="24"/>
          <w:lang w:val="en"/>
        </w:rPr>
        <w:t>-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3</w:t>
      </w:r>
      <w:r w:rsidRPr="00DA61D7">
        <w:rPr>
          <w:rFonts w:ascii="Times New Roman" w:eastAsia="Times New Roman" w:hAnsi="Times New Roman" w:cs="Times New Roman"/>
          <w:sz w:val="24"/>
          <w:szCs w:val="24"/>
          <w:lang w:val="en"/>
        </w:rPr>
        <w:t xml:space="preserve"> binary system is more than, diffusion of UO</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 xml:space="preserve"> into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3</w:t>
      </w:r>
      <w:r w:rsidRPr="00DA61D7">
        <w:rPr>
          <w:rFonts w:ascii="Times New Roman" w:eastAsia="Times New Roman" w:hAnsi="Times New Roman" w:cs="Times New Roman"/>
          <w:sz w:val="24"/>
          <w:szCs w:val="24"/>
          <w:lang w:val="en"/>
        </w:rPr>
        <w:t>. The SEM picture of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 xml:space="preserve">3 </w:t>
      </w:r>
      <w:r w:rsidRPr="00DA61D7">
        <w:rPr>
          <w:rFonts w:ascii="Times New Roman" w:eastAsia="Times New Roman" w:hAnsi="Times New Roman" w:cs="Times New Roman"/>
          <w:sz w:val="24"/>
          <w:szCs w:val="24"/>
          <w:lang w:val="en"/>
        </w:rPr>
        <w:t>powders in that study is given in Figure 5. The forms of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 xml:space="preserve">3 </w:t>
      </w:r>
      <w:r w:rsidR="005F1D06">
        <w:rPr>
          <w:rFonts w:ascii="Times New Roman" w:eastAsia="Times New Roman" w:hAnsi="Times New Roman" w:cs="Times New Roman"/>
          <w:sz w:val="24"/>
          <w:szCs w:val="24"/>
          <w:lang w:val="en"/>
        </w:rPr>
        <w:t xml:space="preserve">powders </w:t>
      </w:r>
      <w:r w:rsidRPr="00DA61D7">
        <w:rPr>
          <w:rFonts w:ascii="Times New Roman" w:eastAsia="Times New Roman" w:hAnsi="Times New Roman" w:cs="Times New Roman"/>
          <w:sz w:val="24"/>
          <w:szCs w:val="24"/>
          <w:lang w:val="en"/>
        </w:rPr>
        <w:t>and some other physical characteristics like particle sizes</w:t>
      </w:r>
      <w:r w:rsidR="005F4AB6" w:rsidRPr="00DA61D7">
        <w:rPr>
          <w:rFonts w:ascii="Times New Roman" w:eastAsia="Times New Roman" w:hAnsi="Times New Roman" w:cs="Times New Roman"/>
          <w:sz w:val="24"/>
          <w:szCs w:val="24"/>
          <w:lang w:val="en"/>
        </w:rPr>
        <w:t xml:space="preserve"> and distributions</w:t>
      </w:r>
      <w:r w:rsidRPr="00DA61D7">
        <w:rPr>
          <w:rFonts w:ascii="Times New Roman" w:eastAsia="Times New Roman" w:hAnsi="Times New Roman" w:cs="Times New Roman"/>
          <w:sz w:val="24"/>
          <w:szCs w:val="24"/>
          <w:lang w:val="en"/>
        </w:rPr>
        <w:t>, agglomeration etc. used in the study of (Durazzo</w:t>
      </w:r>
      <w:r w:rsidR="00B47100">
        <w:rPr>
          <w:rFonts w:ascii="Times New Roman" w:eastAsia="Times New Roman" w:hAnsi="Times New Roman" w:cs="Times New Roman"/>
          <w:sz w:val="24"/>
          <w:szCs w:val="24"/>
          <w:lang w:val="en"/>
        </w:rPr>
        <w:t xml:space="preserve"> et. al.,</w:t>
      </w:r>
      <w:r w:rsidRPr="00DA61D7">
        <w:rPr>
          <w:rFonts w:ascii="Times New Roman" w:eastAsia="Times New Roman" w:hAnsi="Times New Roman" w:cs="Times New Roman"/>
          <w:sz w:val="24"/>
          <w:szCs w:val="24"/>
          <w:lang w:val="en"/>
        </w:rPr>
        <w:t xml:space="preserve"> 2013) are similar with those of the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3</w:t>
      </w:r>
      <w:r w:rsidRPr="00DA61D7">
        <w:rPr>
          <w:rFonts w:ascii="Times New Roman" w:eastAsia="Times New Roman" w:hAnsi="Times New Roman" w:cs="Times New Roman"/>
          <w:sz w:val="24"/>
          <w:szCs w:val="24"/>
          <w:lang w:val="en"/>
        </w:rPr>
        <w:t xml:space="preserve"> powders used in this study. </w:t>
      </w:r>
    </w:p>
    <w:p w14:paraId="2D0CDB30"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Calibri" w:hAnsi="Times New Roman" w:cs="Times New Roman"/>
          <w:noProof/>
          <w:lang w:eastAsia="tr-TR"/>
        </w:rPr>
        <w:drawing>
          <wp:inline distT="0" distB="0" distL="0" distR="0" wp14:anchorId="7A7F91F4" wp14:editId="0B0F29EA">
            <wp:extent cx="4046220" cy="3102375"/>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054491" cy="3108716"/>
                    </a:xfrm>
                    <a:prstGeom prst="rect">
                      <a:avLst/>
                    </a:prstGeom>
                    <a:ln>
                      <a:noFill/>
                    </a:ln>
                    <a:extLst>
                      <a:ext uri="{53640926-AAD7-44D8-BBD7-CCE9431645EC}">
                        <a14:shadowObscured xmlns:a14="http://schemas.microsoft.com/office/drawing/2010/main"/>
                      </a:ext>
                    </a:extLst>
                  </pic:spPr>
                </pic:pic>
              </a:graphicData>
            </a:graphic>
          </wp:inline>
        </w:drawing>
      </w:r>
    </w:p>
    <w:p w14:paraId="61418F8F" w14:textId="77777777" w:rsidR="00EF1C3C" w:rsidRPr="00DA61D7" w:rsidRDefault="00EF1C3C" w:rsidP="00D365B6">
      <w:pPr>
        <w:overflowPunct w:val="0"/>
        <w:autoSpaceDE w:val="0"/>
        <w:autoSpaceDN w:val="0"/>
        <w:adjustRightInd w:val="0"/>
        <w:spacing w:before="120"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5. SEM image of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003F3566" w:rsidRPr="00DA61D7">
        <w:rPr>
          <w:rFonts w:ascii="Times New Roman" w:eastAsia="Times New Roman" w:hAnsi="Times New Roman" w:cs="Times New Roman"/>
          <w:sz w:val="24"/>
          <w:szCs w:val="24"/>
          <w:lang w:val="en-GB"/>
        </w:rPr>
        <w:t xml:space="preserve"> powders in a study (Durazzo,</w:t>
      </w:r>
      <w:r w:rsidR="005457C3"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2013).</w:t>
      </w:r>
    </w:p>
    <w:p w14:paraId="2B2D59F6" w14:textId="30458628" w:rsidR="00EF1C3C" w:rsidRPr="00DA61D7" w:rsidRDefault="00EF1C3C" w:rsidP="00D365B6">
      <w:pPr>
        <w:overflowPunct w:val="0"/>
        <w:autoSpaceDE w:val="0"/>
        <w:autoSpaceDN w:val="0"/>
        <w:adjustRightInd w:val="0"/>
        <w:spacing w:before="120"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with different microstructures and different grain sizes were obtained. Microstructure images of these pellets are given in Figure 6 (Durazzo</w:t>
      </w:r>
      <w:r w:rsidR="00B47100">
        <w:rPr>
          <w:rFonts w:ascii="Times New Roman" w:eastAsia="Times New Roman" w:hAnsi="Times New Roman" w:cs="Times New Roman"/>
          <w:sz w:val="24"/>
          <w:szCs w:val="24"/>
          <w:lang w:val="en-GB"/>
        </w:rPr>
        <w:t xml:space="preserve"> et. al.,</w:t>
      </w:r>
      <w:r w:rsidRPr="00DA61D7">
        <w:rPr>
          <w:rFonts w:ascii="Times New Roman" w:eastAsia="Times New Roman" w:hAnsi="Times New Roman" w:cs="Times New Roman"/>
          <w:sz w:val="24"/>
          <w:szCs w:val="24"/>
          <w:lang w:val="en-GB"/>
        </w:rPr>
        <w:t xml:space="preserve"> 2013).</w:t>
      </w:r>
    </w:p>
    <w:p w14:paraId="05E0F342" w14:textId="77777777" w:rsidR="00EF1C3C" w:rsidRPr="00DA61D7" w:rsidRDefault="00EF1C3C" w:rsidP="00D365B6">
      <w:pPr>
        <w:keepNext/>
        <w:spacing w:afterLines="60" w:after="144" w:line="240" w:lineRule="auto"/>
        <w:ind w:firstLine="709"/>
        <w:jc w:val="center"/>
        <w:rPr>
          <w:rFonts w:ascii="Times New Roman" w:eastAsia="Calibri" w:hAnsi="Times New Roman" w:cs="Times New Roman"/>
          <w:sz w:val="24"/>
          <w:szCs w:val="24"/>
        </w:rPr>
      </w:pPr>
      <w:r w:rsidRPr="00DA61D7">
        <w:rPr>
          <w:rFonts w:ascii="Times New Roman" w:eastAsia="Times New Roman" w:hAnsi="Times New Roman" w:cs="Times New Roman"/>
          <w:noProof/>
          <w:spacing w:val="1"/>
          <w:sz w:val="24"/>
          <w:szCs w:val="24"/>
          <w:lang w:eastAsia="tr-TR"/>
        </w:rPr>
        <w:lastRenderedPageBreak/>
        <w:drawing>
          <wp:anchor distT="0" distB="0" distL="114300" distR="114300" simplePos="0" relativeHeight="251659264" behindDoc="0" locked="0" layoutInCell="1" allowOverlap="1" wp14:anchorId="5FC7BB9D" wp14:editId="0C756C6D">
            <wp:simplePos x="0" y="0"/>
            <wp:positionH relativeFrom="column">
              <wp:align>left</wp:align>
            </wp:positionH>
            <wp:positionV relativeFrom="paragraph">
              <wp:align>top</wp:align>
            </wp:positionV>
            <wp:extent cx="5673090" cy="1588135"/>
            <wp:effectExtent l="0" t="0" r="3810" b="0"/>
            <wp:wrapSquare wrapText="bothSides"/>
            <wp:docPr id="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5673090" cy="1588135"/>
                    </a:xfrm>
                    <a:prstGeom prst="rect">
                      <a:avLst/>
                    </a:prstGeom>
                    <a:noFill/>
                    <a:ln w="9525">
                      <a:noFill/>
                      <a:miter lim="800000"/>
                      <a:headEnd/>
                      <a:tailEnd/>
                    </a:ln>
                  </pic:spPr>
                </pic:pic>
              </a:graphicData>
            </a:graphic>
          </wp:anchor>
        </w:drawing>
      </w:r>
      <w:r w:rsidRPr="00DA61D7">
        <w:rPr>
          <w:rFonts w:ascii="Times New Roman" w:eastAsia="Calibri" w:hAnsi="Times New Roman" w:cs="Times New Roman"/>
          <w:sz w:val="24"/>
          <w:szCs w:val="24"/>
        </w:rPr>
        <w:t>a)</w:t>
      </w:r>
    </w:p>
    <w:p w14:paraId="21E0E9FE" w14:textId="77777777" w:rsidR="00EF1C3C" w:rsidRPr="00DA61D7" w:rsidRDefault="00EF1C3C" w:rsidP="00D365B6">
      <w:pPr>
        <w:spacing w:afterLines="60" w:after="144" w:line="240" w:lineRule="auto"/>
        <w:ind w:firstLine="709"/>
        <w:jc w:val="both"/>
        <w:rPr>
          <w:rFonts w:ascii="Times New Roman" w:eastAsia="Times New Roman" w:hAnsi="Times New Roman" w:cs="Times New Roman"/>
          <w:noProof/>
          <w:spacing w:val="1"/>
          <w:sz w:val="24"/>
          <w:szCs w:val="24"/>
          <w:lang w:eastAsia="tr-TR"/>
        </w:rPr>
      </w:pPr>
      <w:r w:rsidRPr="00DA61D7">
        <w:rPr>
          <w:rFonts w:ascii="Times New Roman" w:eastAsia="Times New Roman" w:hAnsi="Times New Roman" w:cs="Times New Roman"/>
          <w:noProof/>
          <w:spacing w:val="1"/>
          <w:sz w:val="24"/>
          <w:szCs w:val="24"/>
          <w:lang w:eastAsia="tr-TR"/>
        </w:rPr>
        <w:t xml:space="preserve"> </w:t>
      </w:r>
      <w:r w:rsidRPr="00DA61D7">
        <w:rPr>
          <w:rFonts w:ascii="Times New Roman" w:eastAsia="Times New Roman" w:hAnsi="Times New Roman" w:cs="Times New Roman"/>
          <w:noProof/>
          <w:spacing w:val="1"/>
          <w:sz w:val="24"/>
          <w:szCs w:val="24"/>
          <w:lang w:eastAsia="tr-TR"/>
        </w:rPr>
        <w:drawing>
          <wp:inline distT="0" distB="0" distL="0" distR="0" wp14:anchorId="0FCD44C7" wp14:editId="50D43C17">
            <wp:extent cx="5675630" cy="2213810"/>
            <wp:effectExtent l="0" t="0" r="1270" b="0"/>
            <wp:docPr id="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5728122" cy="2234285"/>
                    </a:xfrm>
                    <a:prstGeom prst="rect">
                      <a:avLst/>
                    </a:prstGeom>
                    <a:noFill/>
                    <a:ln w="9525">
                      <a:noFill/>
                      <a:miter lim="800000"/>
                      <a:headEnd/>
                      <a:tailEnd/>
                    </a:ln>
                  </pic:spPr>
                </pic:pic>
              </a:graphicData>
            </a:graphic>
          </wp:inline>
        </w:drawing>
      </w:r>
      <w:r w:rsidRPr="00DA61D7">
        <w:rPr>
          <w:rFonts w:ascii="Times New Roman" w:eastAsia="Times New Roman" w:hAnsi="Times New Roman" w:cs="Times New Roman"/>
          <w:noProof/>
          <w:spacing w:val="1"/>
          <w:sz w:val="24"/>
          <w:szCs w:val="24"/>
          <w:lang w:eastAsia="tr-TR"/>
        </w:rPr>
        <w:t xml:space="preserve"> </w:t>
      </w:r>
    </w:p>
    <w:p w14:paraId="4C7D85E5" w14:textId="77777777" w:rsidR="00EF1C3C" w:rsidRPr="00DA61D7" w:rsidRDefault="00EF1C3C" w:rsidP="00D365B6">
      <w:pPr>
        <w:spacing w:afterLines="60" w:after="144" w:line="240" w:lineRule="auto"/>
        <w:ind w:firstLine="709"/>
        <w:rPr>
          <w:rFonts w:ascii="Times New Roman" w:eastAsia="Times New Roman" w:hAnsi="Times New Roman" w:cs="Times New Roman"/>
          <w:noProof/>
          <w:spacing w:val="1"/>
          <w:sz w:val="24"/>
          <w:szCs w:val="24"/>
        </w:rPr>
      </w:pPr>
      <w:r w:rsidRPr="00DA61D7">
        <w:rPr>
          <w:rFonts w:ascii="Times New Roman" w:eastAsia="Times New Roman" w:hAnsi="Times New Roman" w:cs="Times New Roman"/>
          <w:noProof/>
          <w:spacing w:val="1"/>
          <w:sz w:val="24"/>
          <w:szCs w:val="24"/>
          <w:lang w:eastAsia="tr-TR"/>
        </w:rPr>
        <w:t xml:space="preserve">                                                                         </w:t>
      </w:r>
      <w:r w:rsidRPr="00DA61D7">
        <w:rPr>
          <w:rFonts w:ascii="Times New Roman" w:eastAsia="Times New Roman" w:hAnsi="Times New Roman" w:cs="Times New Roman"/>
          <w:noProof/>
          <w:spacing w:val="1"/>
          <w:sz w:val="24"/>
          <w:szCs w:val="24"/>
        </w:rPr>
        <w:t>b)</w:t>
      </w:r>
    </w:p>
    <w:p w14:paraId="06868D1E" w14:textId="74014F89" w:rsidR="00EF1C3C" w:rsidRPr="00DA61D7" w:rsidRDefault="00EF1C3C" w:rsidP="00D365B6">
      <w:pPr>
        <w:spacing w:afterLines="60" w:after="144" w:line="240" w:lineRule="auto"/>
        <w:ind w:firstLine="709"/>
        <w:jc w:val="center"/>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pacing w:val="1"/>
          <w:sz w:val="24"/>
          <w:szCs w:val="24"/>
          <w:lang w:val="en-GB"/>
        </w:rPr>
        <w:t>Figure 6. SEM images of grain sizes depending on the Gd</w:t>
      </w:r>
      <w:r w:rsidRPr="00DA61D7">
        <w:rPr>
          <w:rFonts w:ascii="Times New Roman" w:eastAsia="Times New Roman" w:hAnsi="Times New Roman" w:cs="Times New Roman"/>
          <w:noProof/>
          <w:spacing w:val="1"/>
          <w:sz w:val="24"/>
          <w:szCs w:val="24"/>
          <w:vertAlign w:val="subscript"/>
          <w:lang w:val="en-GB"/>
        </w:rPr>
        <w:t>2</w:t>
      </w:r>
      <w:r w:rsidRPr="00DA61D7">
        <w:rPr>
          <w:rFonts w:ascii="Times New Roman" w:eastAsia="Times New Roman" w:hAnsi="Times New Roman" w:cs="Times New Roman"/>
          <w:noProof/>
          <w:spacing w:val="1"/>
          <w:sz w:val="24"/>
          <w:szCs w:val="24"/>
          <w:lang w:val="en-GB"/>
        </w:rPr>
        <w:t>O</w:t>
      </w:r>
      <w:r w:rsidRPr="00DA61D7">
        <w:rPr>
          <w:rFonts w:ascii="Times New Roman" w:eastAsia="Times New Roman" w:hAnsi="Times New Roman" w:cs="Times New Roman"/>
          <w:noProof/>
          <w:spacing w:val="1"/>
          <w:sz w:val="24"/>
          <w:szCs w:val="24"/>
          <w:vertAlign w:val="subscript"/>
          <w:lang w:val="en-GB"/>
        </w:rPr>
        <w:t>3</w:t>
      </w:r>
      <w:r w:rsidRPr="00DA61D7">
        <w:rPr>
          <w:rFonts w:ascii="Times New Roman" w:eastAsia="Times New Roman" w:hAnsi="Times New Roman" w:cs="Times New Roman"/>
          <w:noProof/>
          <w:spacing w:val="1"/>
          <w:sz w:val="24"/>
          <w:szCs w:val="24"/>
          <w:lang w:val="en-GB"/>
        </w:rPr>
        <w:t xml:space="preserve"> in UO</w:t>
      </w:r>
      <w:r w:rsidRPr="00DA61D7">
        <w:rPr>
          <w:rFonts w:ascii="Times New Roman" w:eastAsia="Times New Roman" w:hAnsi="Times New Roman" w:cs="Times New Roman"/>
          <w:noProof/>
          <w:spacing w:val="1"/>
          <w:sz w:val="24"/>
          <w:szCs w:val="24"/>
          <w:vertAlign w:val="subscript"/>
          <w:lang w:val="en-GB"/>
        </w:rPr>
        <w:t>2</w:t>
      </w:r>
      <w:r w:rsidRPr="00DA61D7">
        <w:rPr>
          <w:rFonts w:ascii="Times New Roman" w:eastAsia="Times New Roman" w:hAnsi="Times New Roman" w:cs="Times New Roman"/>
          <w:noProof/>
          <w:spacing w:val="1"/>
          <w:sz w:val="24"/>
          <w:szCs w:val="24"/>
          <w:lang w:val="en-GB"/>
        </w:rPr>
        <w:t>-Gd</w:t>
      </w:r>
      <w:r w:rsidRPr="00DA61D7">
        <w:rPr>
          <w:rFonts w:ascii="Times New Roman" w:eastAsia="Times New Roman" w:hAnsi="Times New Roman" w:cs="Times New Roman"/>
          <w:noProof/>
          <w:spacing w:val="1"/>
          <w:sz w:val="24"/>
          <w:szCs w:val="24"/>
          <w:vertAlign w:val="subscript"/>
          <w:lang w:val="en-GB"/>
        </w:rPr>
        <w:t>2</w:t>
      </w:r>
      <w:r w:rsidRPr="00DA61D7">
        <w:rPr>
          <w:rFonts w:ascii="Times New Roman" w:eastAsia="Times New Roman" w:hAnsi="Times New Roman" w:cs="Times New Roman"/>
          <w:noProof/>
          <w:spacing w:val="1"/>
          <w:sz w:val="24"/>
          <w:szCs w:val="24"/>
          <w:lang w:val="en-GB"/>
        </w:rPr>
        <w:t>O</w:t>
      </w:r>
      <w:r w:rsidRPr="00DA61D7">
        <w:rPr>
          <w:rFonts w:ascii="Times New Roman" w:eastAsia="Times New Roman" w:hAnsi="Times New Roman" w:cs="Times New Roman"/>
          <w:noProof/>
          <w:spacing w:val="1"/>
          <w:sz w:val="24"/>
          <w:szCs w:val="24"/>
          <w:vertAlign w:val="subscript"/>
          <w:lang w:val="en-GB"/>
        </w:rPr>
        <w:t>3</w:t>
      </w:r>
      <w:r w:rsidRPr="00DA61D7">
        <w:rPr>
          <w:rFonts w:ascii="Times New Roman" w:eastAsia="Times New Roman" w:hAnsi="Times New Roman" w:cs="Times New Roman"/>
          <w:noProof/>
          <w:spacing w:val="1"/>
          <w:sz w:val="24"/>
          <w:szCs w:val="24"/>
          <w:lang w:val="en-GB"/>
        </w:rPr>
        <w:t xml:space="preserve"> sintered pellets a), por</w:t>
      </w:r>
      <w:r w:rsidR="00982C7A" w:rsidRPr="00DA61D7">
        <w:rPr>
          <w:rFonts w:ascii="Times New Roman" w:eastAsia="Times New Roman" w:hAnsi="Times New Roman" w:cs="Times New Roman"/>
          <w:noProof/>
          <w:spacing w:val="1"/>
          <w:sz w:val="24"/>
          <w:szCs w:val="24"/>
          <w:lang w:val="en-GB"/>
        </w:rPr>
        <w:t>e</w:t>
      </w:r>
      <w:r w:rsidRPr="00DA61D7">
        <w:rPr>
          <w:rFonts w:ascii="Times New Roman" w:eastAsia="Times New Roman" w:hAnsi="Times New Roman" w:cs="Times New Roman"/>
          <w:noProof/>
          <w:spacing w:val="1"/>
          <w:sz w:val="24"/>
          <w:szCs w:val="24"/>
          <w:lang w:val="en-GB"/>
        </w:rPr>
        <w:t xml:space="preserve"> and grain boundaries in sintered pellets b). </w:t>
      </w:r>
      <w:r w:rsidRPr="00DA61D7">
        <w:rPr>
          <w:rFonts w:ascii="Times New Roman" w:eastAsia="Times New Roman" w:hAnsi="Times New Roman" w:cs="Times New Roman"/>
          <w:sz w:val="24"/>
          <w:szCs w:val="24"/>
          <w:lang w:val="en-GB"/>
        </w:rPr>
        <w:t>(Durazzo</w:t>
      </w:r>
      <w:r w:rsidR="00B47100">
        <w:rPr>
          <w:rFonts w:ascii="Times New Roman" w:eastAsia="Times New Roman" w:hAnsi="Times New Roman" w:cs="Times New Roman"/>
          <w:sz w:val="24"/>
          <w:szCs w:val="24"/>
          <w:lang w:val="en-GB"/>
        </w:rPr>
        <w:t xml:space="preserve"> et. al.,</w:t>
      </w:r>
      <w:r w:rsidR="00DB42B4"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2013).</w:t>
      </w:r>
    </w:p>
    <w:p w14:paraId="72E07317" w14:textId="77777777" w:rsidR="00EF1C3C" w:rsidRPr="00DA61D7" w:rsidRDefault="00EF1C3C" w:rsidP="00D365B6">
      <w:pPr>
        <w:spacing w:afterLines="60" w:after="144" w:line="240" w:lineRule="auto"/>
        <w:ind w:firstLine="709"/>
        <w:rPr>
          <w:rFonts w:ascii="Times New Roman" w:eastAsia="Times New Roman" w:hAnsi="Times New Roman" w:cs="Times New Roman"/>
          <w:noProof/>
          <w:spacing w:val="1"/>
          <w:sz w:val="24"/>
          <w:szCs w:val="24"/>
          <w:lang w:val="en-GB"/>
        </w:rPr>
      </w:pPr>
    </w:p>
    <w:p w14:paraId="27AC263A" w14:textId="23126723" w:rsidR="00EF1C3C" w:rsidRPr="00D365B6" w:rsidRDefault="00EF1C3C" w:rsidP="00D365B6">
      <w:pPr>
        <w:pStyle w:val="ListeParagraf"/>
        <w:numPr>
          <w:ilvl w:val="0"/>
          <w:numId w:val="6"/>
        </w:numPr>
        <w:spacing w:afterLines="60" w:after="144"/>
        <w:ind w:left="1134" w:hanging="425"/>
        <w:rPr>
          <w:b/>
          <w:sz w:val="24"/>
          <w:szCs w:val="24"/>
        </w:rPr>
      </w:pPr>
      <w:r w:rsidRPr="00D365B6">
        <w:rPr>
          <w:b/>
          <w:sz w:val="24"/>
          <w:szCs w:val="24"/>
        </w:rPr>
        <w:t>Experimental</w:t>
      </w:r>
    </w:p>
    <w:p w14:paraId="3C49793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bookmarkStart w:id="2" w:name="_GoBack"/>
      <w:bookmarkEnd w:id="2"/>
      <w:r w:rsidRPr="00DA61D7">
        <w:rPr>
          <w:rFonts w:ascii="Times New Roman" w:eastAsia="Times New Roman" w:hAnsi="Times New Roman" w:cs="Times New Roman"/>
          <w:sz w:val="24"/>
          <w:szCs w:val="24"/>
          <w:lang w:val="en-GB" w:eastAsia="tr-TR"/>
        </w:rPr>
        <w:t>In this study two methods were used to obtain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burnable-absorber fuels. The first method was conventional powder metallurgical route and the second method was sol-gel route. Powder metallurgical route include powder preparation, powder compaction and sintering steps. </w:t>
      </w:r>
    </w:p>
    <w:p w14:paraId="69BCA8F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Urania,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powders were prepared by ex-ADU,</w:t>
      </w:r>
      <w:r w:rsidRPr="00DA61D7">
        <w:rPr>
          <w:rFonts w:ascii="Times New Roman" w:eastAsia="Times New Roman" w:hAnsi="Times New Roman" w:cs="Times New Roman"/>
          <w:color w:val="222222"/>
          <w:sz w:val="24"/>
          <w:szCs w:val="24"/>
          <w:shd w:val="clear" w:color="auto" w:fill="FFFFFF"/>
          <w:lang w:val="en-GB"/>
        </w:rPr>
        <w:t xml:space="preserve"> </w:t>
      </w:r>
      <w:r w:rsidRPr="00DA61D7">
        <w:rPr>
          <w:rFonts w:ascii="Times New Roman" w:eastAsia="Times New Roman" w:hAnsi="Times New Roman" w:cs="Times New Roman"/>
          <w:sz w:val="24"/>
          <w:szCs w:val="24"/>
          <w:lang w:val="en-GB" w:eastAsia="tr-TR"/>
        </w:rPr>
        <w:t>(NH</w:t>
      </w:r>
      <w:r w:rsidRPr="00DA61D7">
        <w:rPr>
          <w:rFonts w:ascii="Times New Roman" w:eastAsia="Times New Roman" w:hAnsi="Times New Roman" w:cs="Times New Roman"/>
          <w:sz w:val="24"/>
          <w:szCs w:val="24"/>
          <w:vertAlign w:val="subscript"/>
          <w:lang w:val="en-GB" w:eastAsia="tr-TR"/>
        </w:rPr>
        <w:t>4</w:t>
      </w:r>
      <w:r w:rsidRPr="00DA61D7">
        <w:rPr>
          <w:rFonts w:ascii="Times New Roman" w:eastAsia="Times New Roman" w:hAnsi="Times New Roman" w:cs="Times New Roman"/>
          <w:sz w:val="24"/>
          <w:szCs w:val="24"/>
          <w:lang w:val="en-GB" w:eastAsia="tr-TR"/>
        </w:rPr>
        <w:t>)</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U</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7</w:t>
      </w:r>
      <w:r w:rsidRPr="00DA61D7">
        <w:rPr>
          <w:rFonts w:ascii="Times New Roman" w:eastAsia="Times New Roman" w:hAnsi="Times New Roman" w:cs="Times New Roman"/>
          <w:sz w:val="24"/>
          <w:szCs w:val="24"/>
          <w:lang w:val="en-GB" w:eastAsia="tr-TR"/>
        </w:rPr>
        <w:t xml:space="preserve"> process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-ex ADU).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powder was supplied from Merck and used as received.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ex ADU    and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powders were mechanically blended in a mortar. Powder production methods and the powder treatments (heat treatment, granulation, milling, sieving, etc) affect the properties of end products. ADU based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powders were not free flowable, and hence before pellet pressing it needed pre compacting with approximately 100 MPa pressure. Then,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compacts were milled sieved and then, pressed using a cylindrical die at different pressures ranging between 200-500 MPa. </w:t>
      </w:r>
    </w:p>
    <w:p w14:paraId="05AB1873"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In this study, we obtained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kernels in spherical form by sol gel method. These microspheres were milled and then pressed via powder metallurgical methods. Steps of the powder metallurgical and sol-gel route are showed in Figure 7.</w:t>
      </w:r>
    </w:p>
    <w:p w14:paraId="0FD5ABE7"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lastRenderedPageBreak/>
        <w:t xml:space="preserve">                                                     </w:t>
      </w:r>
    </w:p>
    <w:p w14:paraId="13307245"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noProof/>
          <w:sz w:val="24"/>
          <w:szCs w:val="24"/>
          <w:lang w:eastAsia="tr-TR"/>
        </w:rPr>
      </w:pPr>
      <w:r w:rsidRPr="00DA61D7">
        <w:rPr>
          <w:rFonts w:ascii="Times New Roman" w:eastAsia="Times New Roman" w:hAnsi="Times New Roman" w:cs="Times New Roman"/>
          <w:noProof/>
          <w:sz w:val="24"/>
          <w:szCs w:val="24"/>
          <w:lang w:eastAsia="tr-TR"/>
        </w:rPr>
        <w:drawing>
          <wp:inline distT="0" distB="0" distL="0" distR="0" wp14:anchorId="7912283A" wp14:editId="6132FFFA">
            <wp:extent cx="3429000" cy="3790130"/>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447" cy="3803888"/>
                    </a:xfrm>
                    <a:prstGeom prst="rect">
                      <a:avLst/>
                    </a:prstGeom>
                    <a:noFill/>
                    <a:ln>
                      <a:noFill/>
                    </a:ln>
                  </pic:spPr>
                </pic:pic>
              </a:graphicData>
            </a:graphic>
          </wp:inline>
        </w:drawing>
      </w:r>
    </w:p>
    <w:p w14:paraId="449C812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noProof/>
          <w:sz w:val="24"/>
          <w:szCs w:val="24"/>
          <w:lang w:eastAsia="tr-TR"/>
        </w:rPr>
      </w:pPr>
    </w:p>
    <w:p w14:paraId="4312B471"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noProof/>
          <w:sz w:val="24"/>
          <w:szCs w:val="24"/>
          <w:lang w:eastAsia="tr-TR"/>
        </w:rPr>
      </w:pPr>
      <w:r w:rsidRPr="00DA61D7">
        <w:rPr>
          <w:rFonts w:ascii="Times New Roman" w:eastAsia="Times New Roman" w:hAnsi="Times New Roman" w:cs="Times New Roman"/>
          <w:noProof/>
          <w:sz w:val="24"/>
          <w:szCs w:val="24"/>
          <w:lang w:eastAsia="tr-TR"/>
        </w:rPr>
        <w:t>Figure 7. Steps of powder metallurgical and sol-gel routes followed to produce UO</w:t>
      </w:r>
      <w:r w:rsidRPr="00DA61D7">
        <w:rPr>
          <w:rFonts w:ascii="Times New Roman" w:eastAsia="Times New Roman" w:hAnsi="Times New Roman" w:cs="Times New Roman"/>
          <w:noProof/>
          <w:sz w:val="24"/>
          <w:szCs w:val="24"/>
          <w:vertAlign w:val="subscript"/>
          <w:lang w:eastAsia="tr-TR"/>
        </w:rPr>
        <w:t>2</w:t>
      </w:r>
      <w:r w:rsidRPr="00DA61D7">
        <w:rPr>
          <w:rFonts w:ascii="Times New Roman" w:eastAsia="Times New Roman" w:hAnsi="Times New Roman" w:cs="Times New Roman"/>
          <w:noProof/>
          <w:sz w:val="24"/>
          <w:szCs w:val="24"/>
          <w:lang w:eastAsia="tr-TR"/>
        </w:rPr>
        <w:t>- Gd</w:t>
      </w:r>
      <w:r w:rsidRPr="00DA61D7">
        <w:rPr>
          <w:rFonts w:ascii="Times New Roman" w:eastAsia="Times New Roman" w:hAnsi="Times New Roman" w:cs="Times New Roman"/>
          <w:noProof/>
          <w:sz w:val="24"/>
          <w:szCs w:val="24"/>
          <w:vertAlign w:val="subscript"/>
          <w:lang w:eastAsia="tr-TR"/>
        </w:rPr>
        <w:t>2</w:t>
      </w:r>
      <w:r w:rsidRPr="00DA61D7">
        <w:rPr>
          <w:rFonts w:ascii="Times New Roman" w:eastAsia="Times New Roman" w:hAnsi="Times New Roman" w:cs="Times New Roman"/>
          <w:noProof/>
          <w:sz w:val="24"/>
          <w:szCs w:val="24"/>
          <w:lang w:eastAsia="tr-TR"/>
        </w:rPr>
        <w:t>O</w:t>
      </w:r>
      <w:r w:rsidRPr="00DA61D7">
        <w:rPr>
          <w:rFonts w:ascii="Times New Roman" w:eastAsia="Times New Roman" w:hAnsi="Times New Roman" w:cs="Times New Roman"/>
          <w:noProof/>
          <w:sz w:val="24"/>
          <w:szCs w:val="24"/>
          <w:vertAlign w:val="subscript"/>
          <w:lang w:eastAsia="tr-TR"/>
        </w:rPr>
        <w:t>3</w:t>
      </w:r>
      <w:r w:rsidRPr="00DA61D7">
        <w:rPr>
          <w:rFonts w:ascii="Times New Roman" w:eastAsia="Times New Roman" w:hAnsi="Times New Roman" w:cs="Times New Roman"/>
          <w:noProof/>
          <w:sz w:val="24"/>
          <w:szCs w:val="24"/>
          <w:lang w:eastAsia="tr-TR"/>
        </w:rPr>
        <w:t xml:space="preserve"> burnable absorber nuclear fuel.</w:t>
      </w:r>
    </w:p>
    <w:p w14:paraId="24EDBC62"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noProof/>
          <w:sz w:val="24"/>
          <w:szCs w:val="24"/>
          <w:lang w:eastAsia="tr-TR"/>
        </w:rPr>
      </w:pPr>
      <w:r w:rsidRPr="00DA61D7">
        <w:rPr>
          <w:rFonts w:ascii="Times New Roman" w:eastAsia="Times New Roman" w:hAnsi="Times New Roman" w:cs="Times New Roman"/>
          <w:noProof/>
          <w:sz w:val="24"/>
          <w:szCs w:val="24"/>
          <w:lang w:val="en-GB" w:eastAsia="tr-TR"/>
        </w:rPr>
        <w:t>Uranyl nitrate UNH, UO</w:t>
      </w:r>
      <w:r w:rsidRPr="00DA61D7">
        <w:rPr>
          <w:rFonts w:ascii="Times New Roman" w:eastAsia="Times New Roman" w:hAnsi="Times New Roman" w:cs="Times New Roman"/>
          <w:noProof/>
          <w:sz w:val="24"/>
          <w:szCs w:val="24"/>
          <w:vertAlign w:val="subscript"/>
          <w:lang w:val="en-GB" w:eastAsia="tr-TR"/>
        </w:rPr>
        <w:t>2</w:t>
      </w:r>
      <w:r w:rsidRPr="00DA61D7">
        <w:rPr>
          <w:rFonts w:ascii="Times New Roman" w:eastAsia="Times New Roman" w:hAnsi="Times New Roman" w:cs="Times New Roman"/>
          <w:noProof/>
          <w:sz w:val="24"/>
          <w:szCs w:val="24"/>
          <w:lang w:val="en-GB" w:eastAsia="tr-TR"/>
        </w:rPr>
        <w:t>(NO</w:t>
      </w:r>
      <w:r w:rsidRPr="00DA61D7">
        <w:rPr>
          <w:rFonts w:ascii="Times New Roman" w:eastAsia="Times New Roman" w:hAnsi="Times New Roman" w:cs="Times New Roman"/>
          <w:noProof/>
          <w:sz w:val="24"/>
          <w:szCs w:val="24"/>
          <w:vertAlign w:val="subscript"/>
          <w:lang w:val="en-GB" w:eastAsia="tr-TR"/>
        </w:rPr>
        <w:t>3</w:t>
      </w:r>
      <w:r w:rsidRPr="00DA61D7">
        <w:rPr>
          <w:rFonts w:ascii="Times New Roman" w:eastAsia="Times New Roman" w:hAnsi="Times New Roman" w:cs="Times New Roman"/>
          <w:noProof/>
          <w:sz w:val="24"/>
          <w:szCs w:val="24"/>
          <w:lang w:val="en-GB" w:eastAsia="tr-TR"/>
        </w:rPr>
        <w:t>)</w:t>
      </w:r>
      <w:r w:rsidRPr="00DA61D7">
        <w:rPr>
          <w:rFonts w:ascii="Times New Roman" w:eastAsia="Times New Roman" w:hAnsi="Times New Roman" w:cs="Times New Roman"/>
          <w:noProof/>
          <w:sz w:val="24"/>
          <w:szCs w:val="24"/>
          <w:vertAlign w:val="subscript"/>
          <w:lang w:val="en-GB" w:eastAsia="tr-TR"/>
        </w:rPr>
        <w:t>2</w:t>
      </w:r>
      <w:r w:rsidRPr="00DA61D7">
        <w:rPr>
          <w:rFonts w:ascii="Times New Roman" w:eastAsia="Times New Roman" w:hAnsi="Times New Roman" w:cs="Times New Roman"/>
          <w:noProof/>
          <w:sz w:val="24"/>
          <w:szCs w:val="24"/>
          <w:lang w:val="en-GB" w:eastAsia="tr-TR"/>
        </w:rPr>
        <w:t>·6H</w:t>
      </w:r>
      <w:r w:rsidRPr="00DA61D7">
        <w:rPr>
          <w:rFonts w:ascii="Times New Roman" w:eastAsia="Times New Roman" w:hAnsi="Times New Roman" w:cs="Times New Roman"/>
          <w:noProof/>
          <w:sz w:val="24"/>
          <w:szCs w:val="24"/>
          <w:vertAlign w:val="subscript"/>
          <w:lang w:val="en-GB" w:eastAsia="tr-TR"/>
        </w:rPr>
        <w:t>2</w:t>
      </w:r>
      <w:r w:rsidRPr="00DA61D7">
        <w:rPr>
          <w:rFonts w:ascii="Times New Roman" w:eastAsia="Times New Roman" w:hAnsi="Times New Roman" w:cs="Times New Roman"/>
          <w:noProof/>
          <w:sz w:val="24"/>
          <w:szCs w:val="24"/>
          <w:lang w:val="en-GB" w:eastAsia="tr-TR"/>
        </w:rPr>
        <w:t xml:space="preserve">O was produced by us at </w:t>
      </w:r>
      <w:r w:rsidR="007F1F11" w:rsidRPr="00DA61D7">
        <w:rPr>
          <w:rFonts w:ascii="Times New Roman" w:eastAsia="Times New Roman" w:hAnsi="Times New Roman" w:cs="Times New Roman"/>
          <w:noProof/>
          <w:sz w:val="24"/>
          <w:szCs w:val="24"/>
          <w:lang w:val="en-GB" w:eastAsia="tr-TR"/>
        </w:rPr>
        <w:t>CNAEM</w:t>
      </w:r>
      <w:r w:rsidRPr="00DA61D7">
        <w:rPr>
          <w:rFonts w:ascii="Times New Roman" w:eastAsia="Times New Roman" w:hAnsi="Times New Roman" w:cs="Times New Roman"/>
          <w:noProof/>
          <w:sz w:val="24"/>
          <w:szCs w:val="24"/>
          <w:lang w:val="en-GB" w:eastAsia="tr-TR"/>
        </w:rPr>
        <w:t xml:space="preserve"> and gadoliniumn nitrate was supplied by Merck Company. The UNH and gadolinium nitrate solutions were mixed in liquid phase to obtain 10% Gd</w:t>
      </w:r>
      <w:r w:rsidRPr="00DA61D7">
        <w:rPr>
          <w:rFonts w:ascii="Times New Roman" w:eastAsia="Times New Roman" w:hAnsi="Times New Roman" w:cs="Times New Roman"/>
          <w:noProof/>
          <w:sz w:val="24"/>
          <w:szCs w:val="24"/>
          <w:vertAlign w:val="subscript"/>
          <w:lang w:val="en-GB" w:eastAsia="tr-TR"/>
        </w:rPr>
        <w:t>2</w:t>
      </w:r>
      <w:r w:rsidRPr="00DA61D7">
        <w:rPr>
          <w:rFonts w:ascii="Times New Roman" w:eastAsia="Times New Roman" w:hAnsi="Times New Roman" w:cs="Times New Roman"/>
          <w:noProof/>
          <w:sz w:val="24"/>
          <w:szCs w:val="24"/>
          <w:lang w:val="en-GB" w:eastAsia="tr-TR"/>
        </w:rPr>
        <w:t>O</w:t>
      </w:r>
      <w:r w:rsidRPr="00DA61D7">
        <w:rPr>
          <w:rFonts w:ascii="Times New Roman" w:eastAsia="Times New Roman" w:hAnsi="Times New Roman" w:cs="Times New Roman"/>
          <w:noProof/>
          <w:sz w:val="24"/>
          <w:szCs w:val="24"/>
          <w:vertAlign w:val="subscript"/>
          <w:lang w:val="en-GB" w:eastAsia="tr-TR"/>
        </w:rPr>
        <w:t>3</w:t>
      </w:r>
      <w:r w:rsidRPr="00DA61D7">
        <w:rPr>
          <w:rFonts w:ascii="Times New Roman" w:eastAsia="Times New Roman" w:hAnsi="Times New Roman" w:cs="Times New Roman"/>
          <w:noProof/>
          <w:sz w:val="24"/>
          <w:szCs w:val="24"/>
          <w:lang w:val="en-GB" w:eastAsia="tr-TR"/>
        </w:rPr>
        <w:t xml:space="preserve"> + 90% UO</w:t>
      </w:r>
      <w:r w:rsidRPr="00DA61D7">
        <w:rPr>
          <w:rFonts w:ascii="Times New Roman" w:eastAsia="Times New Roman" w:hAnsi="Times New Roman" w:cs="Times New Roman"/>
          <w:noProof/>
          <w:sz w:val="24"/>
          <w:szCs w:val="24"/>
          <w:vertAlign w:val="subscript"/>
          <w:lang w:val="en-GB" w:eastAsia="tr-TR"/>
        </w:rPr>
        <w:t>2</w:t>
      </w:r>
      <w:r w:rsidRPr="00DA61D7">
        <w:rPr>
          <w:rFonts w:ascii="Times New Roman" w:eastAsia="Times New Roman" w:hAnsi="Times New Roman" w:cs="Times New Roman"/>
          <w:noProof/>
          <w:sz w:val="24"/>
          <w:szCs w:val="24"/>
          <w:lang w:val="en-GB" w:eastAsia="tr-TR"/>
        </w:rPr>
        <w:t xml:space="preserve"> composition by weight at predetermined rates. Poly vinyl alcohol (PVA) and tetra hydro furfuryl alcohol (THFA) were supplied by Merck company. THFA was used as stabilizer whereas  PVA was used to adjust the viscosity of  the solutions. The concentration of metal nitrate solutions is adjusted to 2M. The half volume of the total feed solution, consisting of metal nitrate solution and 40 vol% THFA and 10 vol% 10% PVA solutions, was prepared at room temperature. This feeding solution was dropped into 7 N NH</w:t>
      </w:r>
      <w:r w:rsidRPr="00DA61D7">
        <w:rPr>
          <w:rFonts w:ascii="Times New Roman" w:eastAsia="Times New Roman" w:hAnsi="Times New Roman" w:cs="Times New Roman"/>
          <w:noProof/>
          <w:sz w:val="24"/>
          <w:szCs w:val="24"/>
          <w:vertAlign w:val="subscript"/>
          <w:lang w:val="en-GB" w:eastAsia="tr-TR"/>
        </w:rPr>
        <w:t>4</w:t>
      </w:r>
      <w:r w:rsidRPr="00DA61D7">
        <w:rPr>
          <w:rFonts w:ascii="Times New Roman" w:eastAsia="Times New Roman" w:hAnsi="Times New Roman" w:cs="Times New Roman"/>
          <w:noProof/>
          <w:sz w:val="24"/>
          <w:szCs w:val="24"/>
          <w:lang w:val="en-GB" w:eastAsia="tr-TR"/>
        </w:rPr>
        <w:t>OH solution at room temperature by first passing through N</w:t>
      </w:r>
      <w:r w:rsidRPr="00DA61D7">
        <w:rPr>
          <w:rFonts w:ascii="Times New Roman" w:eastAsia="Times New Roman" w:hAnsi="Times New Roman" w:cs="Times New Roman"/>
          <w:noProof/>
          <w:sz w:val="24"/>
          <w:szCs w:val="24"/>
          <w:vertAlign w:val="subscript"/>
          <w:lang w:val="en-GB" w:eastAsia="tr-TR"/>
        </w:rPr>
        <w:t>2</w:t>
      </w:r>
      <w:r w:rsidRPr="00DA61D7">
        <w:rPr>
          <w:rFonts w:ascii="Times New Roman" w:eastAsia="Times New Roman" w:hAnsi="Times New Roman" w:cs="Times New Roman"/>
          <w:noProof/>
          <w:sz w:val="24"/>
          <w:szCs w:val="24"/>
          <w:lang w:val="en-GB" w:eastAsia="tr-TR"/>
        </w:rPr>
        <w:t xml:space="preserve"> and then ammonia (NH</w:t>
      </w:r>
      <w:r w:rsidRPr="00DA61D7">
        <w:rPr>
          <w:rFonts w:ascii="Times New Roman" w:eastAsia="Times New Roman" w:hAnsi="Times New Roman" w:cs="Times New Roman"/>
          <w:noProof/>
          <w:sz w:val="24"/>
          <w:szCs w:val="24"/>
          <w:vertAlign w:val="subscript"/>
          <w:lang w:val="en-GB" w:eastAsia="tr-TR"/>
        </w:rPr>
        <w:t>3</w:t>
      </w:r>
      <w:r w:rsidRPr="00DA61D7">
        <w:rPr>
          <w:rFonts w:ascii="Times New Roman" w:eastAsia="Times New Roman" w:hAnsi="Times New Roman" w:cs="Times New Roman"/>
          <w:noProof/>
          <w:sz w:val="24"/>
          <w:szCs w:val="24"/>
          <w:lang w:val="en-GB" w:eastAsia="tr-TR"/>
        </w:rPr>
        <w:t>) gases.</w:t>
      </w:r>
      <w:r w:rsidRPr="00DA61D7">
        <w:rPr>
          <w:rFonts w:ascii="Times New Roman" w:eastAsia="Times New Roman" w:hAnsi="Times New Roman" w:cs="Times New Roman"/>
          <w:noProof/>
          <w:sz w:val="24"/>
          <w:szCs w:val="24"/>
          <w:lang w:eastAsia="tr-TR"/>
        </w:rPr>
        <w:t xml:space="preserve"> The detailed flow diagram of the UO</w:t>
      </w:r>
      <w:r w:rsidRPr="00DA61D7">
        <w:rPr>
          <w:rFonts w:ascii="Times New Roman" w:eastAsia="Times New Roman" w:hAnsi="Times New Roman" w:cs="Times New Roman"/>
          <w:noProof/>
          <w:sz w:val="24"/>
          <w:szCs w:val="24"/>
          <w:vertAlign w:val="subscript"/>
          <w:lang w:eastAsia="tr-TR"/>
        </w:rPr>
        <w:t>2</w:t>
      </w:r>
      <w:r w:rsidRPr="00DA61D7">
        <w:rPr>
          <w:rFonts w:ascii="Times New Roman" w:eastAsia="Times New Roman" w:hAnsi="Times New Roman" w:cs="Times New Roman"/>
          <w:noProof/>
          <w:sz w:val="24"/>
          <w:szCs w:val="24"/>
          <w:lang w:eastAsia="tr-TR"/>
        </w:rPr>
        <w:t>-Gd</w:t>
      </w:r>
      <w:r w:rsidRPr="00DA61D7">
        <w:rPr>
          <w:rFonts w:ascii="Times New Roman" w:eastAsia="Times New Roman" w:hAnsi="Times New Roman" w:cs="Times New Roman"/>
          <w:noProof/>
          <w:sz w:val="24"/>
          <w:szCs w:val="24"/>
          <w:vertAlign w:val="subscript"/>
          <w:lang w:eastAsia="tr-TR"/>
        </w:rPr>
        <w:t>2</w:t>
      </w:r>
      <w:r w:rsidRPr="00DA61D7">
        <w:rPr>
          <w:rFonts w:ascii="Times New Roman" w:eastAsia="Times New Roman" w:hAnsi="Times New Roman" w:cs="Times New Roman"/>
          <w:noProof/>
          <w:sz w:val="24"/>
          <w:szCs w:val="24"/>
          <w:lang w:eastAsia="tr-TR"/>
        </w:rPr>
        <w:t>O</w:t>
      </w:r>
      <w:r w:rsidRPr="00DA61D7">
        <w:rPr>
          <w:rFonts w:ascii="Times New Roman" w:eastAsia="Times New Roman" w:hAnsi="Times New Roman" w:cs="Times New Roman"/>
          <w:noProof/>
          <w:sz w:val="24"/>
          <w:szCs w:val="24"/>
          <w:vertAlign w:val="subscript"/>
          <w:lang w:eastAsia="tr-TR"/>
        </w:rPr>
        <w:t>3</w:t>
      </w:r>
      <w:r w:rsidRPr="00DA61D7">
        <w:rPr>
          <w:rFonts w:ascii="Times New Roman" w:eastAsia="Times New Roman" w:hAnsi="Times New Roman" w:cs="Times New Roman"/>
          <w:noProof/>
          <w:sz w:val="24"/>
          <w:szCs w:val="24"/>
          <w:lang w:eastAsia="tr-TR"/>
        </w:rPr>
        <w:t xml:space="preserve"> pellet production by external gelation route is given in Figure 8.</w:t>
      </w:r>
    </w:p>
    <w:p w14:paraId="4F60B72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noProof/>
          <w:sz w:val="24"/>
          <w:szCs w:val="24"/>
          <w:lang w:val="en-GB" w:eastAsia="tr-TR"/>
        </w:rPr>
        <w:lastRenderedPageBreak/>
        <w:t xml:space="preserve"> </w:t>
      </w:r>
      <w:r w:rsidRPr="00DA61D7">
        <w:rPr>
          <w:rFonts w:ascii="Times New Roman" w:eastAsia="Times New Roman" w:hAnsi="Times New Roman" w:cs="Times New Roman"/>
          <w:noProof/>
          <w:sz w:val="24"/>
          <w:szCs w:val="24"/>
          <w:lang w:eastAsia="tr-TR"/>
        </w:rPr>
        <mc:AlternateContent>
          <mc:Choice Requires="wpc">
            <w:drawing>
              <wp:inline distT="0" distB="0" distL="0" distR="0" wp14:anchorId="7710FABB" wp14:editId="532E87B8">
                <wp:extent cx="5179060" cy="7846060"/>
                <wp:effectExtent l="0" t="0" r="2540" b="2540"/>
                <wp:docPr id="135" name="Tuval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 name="Rectangle 4"/>
                        <wps:cNvSpPr>
                          <a:spLocks noChangeArrowheads="1"/>
                        </wps:cNvSpPr>
                        <wps:spPr bwMode="auto">
                          <a:xfrm>
                            <a:off x="0" y="0"/>
                            <a:ext cx="1485900" cy="342904"/>
                          </a:xfrm>
                          <a:prstGeom prst="rect">
                            <a:avLst/>
                          </a:prstGeom>
                          <a:solidFill>
                            <a:srgbClr val="FFFFFF"/>
                          </a:solidFill>
                          <a:ln w="9525">
                            <a:solidFill>
                              <a:srgbClr val="000000"/>
                            </a:solidFill>
                            <a:miter lim="800000"/>
                            <a:headEnd/>
                            <a:tailEnd/>
                          </a:ln>
                        </wps:spPr>
                        <wps:txbx>
                          <w:txbxContent>
                            <w:p w14:paraId="313EF176"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U,Gd Nitrate  Sol </w:t>
                              </w:r>
                            </w:p>
                          </w:txbxContent>
                        </wps:txbx>
                        <wps:bodyPr rot="0" vert="horz" wrap="square" lIns="91440" tIns="45720" rIns="91440" bIns="45720" anchor="t" anchorCtr="0" upright="1">
                          <a:noAutofit/>
                        </wps:bodyPr>
                      </wps:wsp>
                      <wps:wsp>
                        <wps:cNvPr id="111" name="Rectangle 5"/>
                        <wps:cNvSpPr>
                          <a:spLocks noChangeArrowheads="1"/>
                        </wps:cNvSpPr>
                        <wps:spPr bwMode="auto">
                          <a:xfrm>
                            <a:off x="3657600" y="0"/>
                            <a:ext cx="1257300" cy="342904"/>
                          </a:xfrm>
                          <a:prstGeom prst="rect">
                            <a:avLst/>
                          </a:prstGeom>
                          <a:solidFill>
                            <a:srgbClr val="FFFFFF"/>
                          </a:solidFill>
                          <a:ln w="9525">
                            <a:solidFill>
                              <a:srgbClr val="000000"/>
                            </a:solidFill>
                            <a:miter lim="800000"/>
                            <a:headEnd/>
                            <a:tailEnd/>
                          </a:ln>
                        </wps:spPr>
                        <wps:txbx>
                          <w:txbxContent>
                            <w:p w14:paraId="6A1BC839"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PVA+THFA</w:t>
                              </w:r>
                            </w:p>
                          </w:txbxContent>
                        </wps:txbx>
                        <wps:bodyPr rot="0" vert="horz" wrap="square" lIns="91440" tIns="45720" rIns="91440" bIns="45720" anchor="t" anchorCtr="0" upright="1">
                          <a:noAutofit/>
                        </wps:bodyPr>
                      </wps:wsp>
                      <wps:wsp>
                        <wps:cNvPr id="112" name="Rectangle 6"/>
                        <wps:cNvSpPr>
                          <a:spLocks noChangeArrowheads="1"/>
                        </wps:cNvSpPr>
                        <wps:spPr bwMode="auto">
                          <a:xfrm>
                            <a:off x="1828506" y="838200"/>
                            <a:ext cx="1485900" cy="520306"/>
                          </a:xfrm>
                          <a:prstGeom prst="rect">
                            <a:avLst/>
                          </a:prstGeom>
                          <a:solidFill>
                            <a:srgbClr val="FFFFFF"/>
                          </a:solidFill>
                          <a:ln w="9525">
                            <a:solidFill>
                              <a:srgbClr val="000000"/>
                            </a:solidFill>
                            <a:miter lim="800000"/>
                            <a:headEnd/>
                            <a:tailEnd/>
                          </a:ln>
                        </wps:spPr>
                        <wps:txbx>
                          <w:txbxContent>
                            <w:p w14:paraId="2D19BBC9"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Mixing   at 20 </w:t>
                              </w:r>
                              <w:r w:rsidRPr="00B47100">
                                <w:rPr>
                                  <w:rFonts w:ascii="Times New Roman" w:hAnsi="Times New Roman" w:cs="Times New Roman"/>
                                  <w:sz w:val="18"/>
                                  <w:szCs w:val="18"/>
                                  <w:vertAlign w:val="superscript"/>
                                </w:rPr>
                                <w:t>o</w:t>
                              </w:r>
                              <w:r w:rsidRPr="00B47100">
                                <w:rPr>
                                  <w:rFonts w:ascii="Times New Roman" w:hAnsi="Times New Roman" w:cs="Times New Roman"/>
                                  <w:sz w:val="18"/>
                                  <w:szCs w:val="18"/>
                                </w:rPr>
                                <w:t xml:space="preserve"> C </w:t>
                              </w:r>
                            </w:p>
                            <w:p w14:paraId="4F45E0F7"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Viscosity control</w:t>
                              </w:r>
                            </w:p>
                          </w:txbxContent>
                        </wps:txbx>
                        <wps:bodyPr rot="0" vert="horz" wrap="square" lIns="91440" tIns="45720" rIns="91440" bIns="45720" anchor="t" anchorCtr="0" upright="1">
                          <a:noAutofit/>
                        </wps:bodyPr>
                      </wps:wsp>
                      <wps:wsp>
                        <wps:cNvPr id="113" name="Rectangle 7"/>
                        <wps:cNvSpPr>
                          <a:spLocks noChangeArrowheads="1"/>
                        </wps:cNvSpPr>
                        <wps:spPr bwMode="auto">
                          <a:xfrm>
                            <a:off x="1599943" y="5257503"/>
                            <a:ext cx="2057362" cy="457205"/>
                          </a:xfrm>
                          <a:prstGeom prst="rect">
                            <a:avLst/>
                          </a:prstGeom>
                          <a:solidFill>
                            <a:srgbClr val="FFFFFF"/>
                          </a:solidFill>
                          <a:ln w="9525">
                            <a:solidFill>
                              <a:srgbClr val="000000"/>
                            </a:solidFill>
                            <a:miter lim="800000"/>
                            <a:headEnd/>
                            <a:tailEnd/>
                          </a:ln>
                        </wps:spPr>
                        <wps:txbx>
                          <w:txbxContent>
                            <w:p w14:paraId="57BAF6AB"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Reduction at 923K under Ar+ %5 H</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 xml:space="preserve"> atmosphere UO </w:t>
                              </w:r>
                              <w:r w:rsidRPr="00B47100">
                                <w:rPr>
                                  <w:rFonts w:ascii="Times New Roman" w:hAnsi="Times New Roman" w:cs="Times New Roman"/>
                                  <w:sz w:val="18"/>
                                  <w:szCs w:val="18"/>
                                  <w:vertAlign w:val="subscript"/>
                                </w:rPr>
                                <w:t xml:space="preserve">2+x </w:t>
                              </w:r>
                              <w:r w:rsidRPr="00B47100">
                                <w:rPr>
                                  <w:rFonts w:ascii="Times New Roman" w:hAnsi="Times New Roman" w:cs="Times New Roman"/>
                                  <w:sz w:val="18"/>
                                  <w:szCs w:val="18"/>
                                </w:rPr>
                                <w:t>– 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
                          </w:txbxContent>
                        </wps:txbx>
                        <wps:bodyPr rot="0" vert="horz" wrap="square" lIns="91440" tIns="45720" rIns="91440" bIns="45720" anchor="t" anchorCtr="0" upright="1">
                          <a:noAutofit/>
                        </wps:bodyPr>
                      </wps:wsp>
                      <wps:wsp>
                        <wps:cNvPr id="114" name="Rectangle 8"/>
                        <wps:cNvSpPr>
                          <a:spLocks noChangeArrowheads="1"/>
                        </wps:cNvSpPr>
                        <wps:spPr bwMode="auto">
                          <a:xfrm>
                            <a:off x="1485900" y="3086133"/>
                            <a:ext cx="2095500" cy="342904"/>
                          </a:xfrm>
                          <a:prstGeom prst="rect">
                            <a:avLst/>
                          </a:prstGeom>
                          <a:solidFill>
                            <a:srgbClr val="FFFFFF"/>
                          </a:solidFill>
                          <a:ln w="9525">
                            <a:solidFill>
                              <a:srgbClr val="000000"/>
                            </a:solidFill>
                            <a:miter lim="800000"/>
                            <a:headEnd/>
                            <a:tailEnd/>
                          </a:ln>
                        </wps:spPr>
                        <wps:txbx>
                          <w:txbxContent>
                            <w:p w14:paraId="2062B75D"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Washing with isopropyl alcohol, water</w:t>
                              </w:r>
                            </w:p>
                            <w:p w14:paraId="0621204A" w14:textId="77777777" w:rsidR="008A7896" w:rsidRPr="00B47100" w:rsidRDefault="008A7896" w:rsidP="00EF1C3C">
                              <w:pP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15" name="Rectangle 9"/>
                        <wps:cNvSpPr>
                          <a:spLocks noChangeArrowheads="1"/>
                        </wps:cNvSpPr>
                        <wps:spPr bwMode="auto">
                          <a:xfrm>
                            <a:off x="1600200" y="3720440"/>
                            <a:ext cx="2057400" cy="394404"/>
                          </a:xfrm>
                          <a:prstGeom prst="rect">
                            <a:avLst/>
                          </a:prstGeom>
                          <a:solidFill>
                            <a:srgbClr val="FFFFFF"/>
                          </a:solidFill>
                          <a:ln w="9525">
                            <a:solidFill>
                              <a:srgbClr val="000000"/>
                            </a:solidFill>
                            <a:miter lim="800000"/>
                            <a:headEnd/>
                            <a:tailEnd/>
                          </a:ln>
                        </wps:spPr>
                        <wps:txbx>
                          <w:txbxContent>
                            <w:p w14:paraId="1D96F188"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Drying at 323 K,373 K,423 K for 2 hours in air </w:t>
                              </w:r>
                            </w:p>
                            <w:p w14:paraId="42BCA062" w14:textId="77777777" w:rsidR="008A7896" w:rsidRPr="00B47100" w:rsidRDefault="008A7896" w:rsidP="00EF1C3C">
                              <w:pP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16" name="Rectangle 10"/>
                        <wps:cNvSpPr>
                          <a:spLocks noChangeArrowheads="1"/>
                        </wps:cNvSpPr>
                        <wps:spPr bwMode="auto">
                          <a:xfrm>
                            <a:off x="1943100" y="1714518"/>
                            <a:ext cx="1371600" cy="228603"/>
                          </a:xfrm>
                          <a:prstGeom prst="rect">
                            <a:avLst/>
                          </a:prstGeom>
                          <a:solidFill>
                            <a:srgbClr val="FFFFFF"/>
                          </a:solidFill>
                          <a:ln w="9525">
                            <a:solidFill>
                              <a:srgbClr val="000000"/>
                            </a:solidFill>
                            <a:miter lim="800000"/>
                            <a:headEnd/>
                            <a:tailEnd/>
                          </a:ln>
                        </wps:spPr>
                        <wps:txbx>
                          <w:txbxContent>
                            <w:p w14:paraId="13913B82"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Drop formation </w:t>
                              </w:r>
                            </w:p>
                          </w:txbxContent>
                        </wps:txbx>
                        <wps:bodyPr rot="0" vert="horz" wrap="square" lIns="91440" tIns="45720" rIns="91440" bIns="45720" anchor="t" anchorCtr="0" upright="1">
                          <a:noAutofit/>
                        </wps:bodyPr>
                      </wps:wsp>
                      <wps:wsp>
                        <wps:cNvPr id="117" name="Rectangle 11"/>
                        <wps:cNvSpPr>
                          <a:spLocks noChangeArrowheads="1"/>
                        </wps:cNvSpPr>
                        <wps:spPr bwMode="auto">
                          <a:xfrm>
                            <a:off x="1943100" y="2286025"/>
                            <a:ext cx="1371600" cy="342904"/>
                          </a:xfrm>
                          <a:prstGeom prst="rect">
                            <a:avLst/>
                          </a:prstGeom>
                          <a:solidFill>
                            <a:srgbClr val="FFFFFF"/>
                          </a:solidFill>
                          <a:ln w="9525">
                            <a:solidFill>
                              <a:srgbClr val="000000"/>
                            </a:solidFill>
                            <a:miter lim="800000"/>
                            <a:headEnd/>
                            <a:tailEnd/>
                          </a:ln>
                        </wps:spPr>
                        <wps:txbx>
                          <w:txbxContent>
                            <w:p w14:paraId="5A2592D3"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NH</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 NH</w:t>
                              </w:r>
                              <w:r w:rsidRPr="00B47100">
                                <w:rPr>
                                  <w:rFonts w:ascii="Times New Roman" w:hAnsi="Times New Roman" w:cs="Times New Roman"/>
                                  <w:sz w:val="18"/>
                                  <w:szCs w:val="18"/>
                                  <w:vertAlign w:val="subscript"/>
                                </w:rPr>
                                <w:t>4</w:t>
                              </w:r>
                              <w:r w:rsidRPr="00B47100">
                                <w:rPr>
                                  <w:rFonts w:ascii="Times New Roman" w:hAnsi="Times New Roman" w:cs="Times New Roman"/>
                                  <w:sz w:val="18"/>
                                  <w:szCs w:val="18"/>
                                </w:rPr>
                                <w:t>OH</w:t>
                              </w:r>
                            </w:p>
                            <w:p w14:paraId="6E7E911A"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Dış Jelleşme 20  </w:t>
                              </w:r>
                              <w:r w:rsidRPr="00B47100">
                                <w:rPr>
                                  <w:rFonts w:ascii="Times New Roman" w:hAnsi="Times New Roman" w:cs="Times New Roman"/>
                                  <w:sz w:val="18"/>
                                  <w:szCs w:val="18"/>
                                  <w:vertAlign w:val="superscript"/>
                                </w:rPr>
                                <w:t>o</w:t>
                              </w:r>
                              <w:r w:rsidRPr="00B47100">
                                <w:rPr>
                                  <w:rFonts w:ascii="Times New Roman" w:hAnsi="Times New Roman" w:cs="Times New Roman"/>
                                  <w:sz w:val="18"/>
                                  <w:szCs w:val="18"/>
                                </w:rPr>
                                <w:t xml:space="preserve"> C</w:t>
                              </w:r>
                            </w:p>
                          </w:txbxContent>
                        </wps:txbx>
                        <wps:bodyPr rot="0" vert="horz" wrap="square" lIns="91440" tIns="45720" rIns="91440" bIns="45720" anchor="t" anchorCtr="0" upright="1">
                          <a:noAutofit/>
                        </wps:bodyPr>
                      </wps:wsp>
                      <wps:wsp>
                        <wps:cNvPr id="118" name="Rectangle 12"/>
                        <wps:cNvSpPr>
                          <a:spLocks noChangeArrowheads="1"/>
                        </wps:cNvSpPr>
                        <wps:spPr bwMode="auto">
                          <a:xfrm>
                            <a:off x="1943100" y="6057966"/>
                            <a:ext cx="1371600" cy="342904"/>
                          </a:xfrm>
                          <a:prstGeom prst="rect">
                            <a:avLst/>
                          </a:prstGeom>
                          <a:solidFill>
                            <a:srgbClr val="FFFFFF"/>
                          </a:solidFill>
                          <a:ln w="9525">
                            <a:solidFill>
                              <a:srgbClr val="000000"/>
                            </a:solidFill>
                            <a:miter lim="800000"/>
                            <a:headEnd/>
                            <a:tailEnd/>
                          </a:ln>
                        </wps:spPr>
                        <wps:txbx>
                          <w:txbxContent>
                            <w:p w14:paraId="4F24B08F"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Pressing 300-500 MPa</w:t>
                              </w:r>
                            </w:p>
                          </w:txbxContent>
                        </wps:txbx>
                        <wps:bodyPr rot="0" vert="horz" wrap="square" lIns="91440" tIns="45720" rIns="91440" bIns="45720" anchor="t" anchorCtr="0" upright="1">
                          <a:noAutofit/>
                        </wps:bodyPr>
                      </wps:wsp>
                      <wps:wsp>
                        <wps:cNvPr id="119" name="Rectangle 13"/>
                        <wps:cNvSpPr>
                          <a:spLocks noChangeArrowheads="1"/>
                        </wps:cNvSpPr>
                        <wps:spPr bwMode="auto">
                          <a:xfrm>
                            <a:off x="1599814" y="6560412"/>
                            <a:ext cx="1950820" cy="544206"/>
                          </a:xfrm>
                          <a:prstGeom prst="rect">
                            <a:avLst/>
                          </a:prstGeom>
                          <a:solidFill>
                            <a:srgbClr val="FFFFFF"/>
                          </a:solidFill>
                          <a:ln w="9525">
                            <a:solidFill>
                              <a:srgbClr val="000000"/>
                            </a:solidFill>
                            <a:miter lim="800000"/>
                            <a:headEnd/>
                            <a:tailEnd/>
                          </a:ln>
                        </wps:spPr>
                        <wps:txbx>
                          <w:txbxContent>
                            <w:p w14:paraId="15A8006A"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Sintering: LTS: at 1423 K for 1 hour  under CO</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 xml:space="preserve">  atm., HTS: under H</w:t>
                              </w:r>
                              <w:r w:rsidRPr="00B47100">
                                <w:rPr>
                                  <w:rFonts w:ascii="Times New Roman" w:hAnsi="Times New Roman" w:cs="Times New Roman"/>
                                  <w:sz w:val="18"/>
                                  <w:szCs w:val="18"/>
                                  <w:vertAlign w:val="subscript"/>
                                </w:rPr>
                                <w:t xml:space="preserve">2 </w:t>
                              </w:r>
                              <w:r w:rsidRPr="00B47100">
                                <w:rPr>
                                  <w:rFonts w:ascii="Times New Roman" w:hAnsi="Times New Roman" w:cs="Times New Roman"/>
                                  <w:sz w:val="18"/>
                                  <w:szCs w:val="18"/>
                                </w:rPr>
                                <w:t>atmosphere  at 1973 K  for 4 hours</w:t>
                              </w:r>
                            </w:p>
                            <w:p w14:paraId="6924929C" w14:textId="77777777" w:rsidR="008A7896" w:rsidRPr="00B47100" w:rsidRDefault="008A7896" w:rsidP="00EF1C3C">
                              <w:pPr>
                                <w:rPr>
                                  <w:rFonts w:ascii="Times New Roman" w:hAnsi="Times New Roman" w:cs="Times New Roman"/>
                                </w:rPr>
                              </w:pPr>
                            </w:p>
                          </w:txbxContent>
                        </wps:txbx>
                        <wps:bodyPr rot="0" vert="horz" wrap="square" lIns="91440" tIns="45720" rIns="91440" bIns="45720" anchor="t" anchorCtr="0" upright="1">
                          <a:noAutofit/>
                        </wps:bodyPr>
                      </wps:wsp>
                      <wps:wsp>
                        <wps:cNvPr id="120" name="Rectangle 14"/>
                        <wps:cNvSpPr>
                          <a:spLocks noChangeArrowheads="1"/>
                        </wps:cNvSpPr>
                        <wps:spPr bwMode="auto">
                          <a:xfrm>
                            <a:off x="1485780" y="4343251"/>
                            <a:ext cx="2262957" cy="571506"/>
                          </a:xfrm>
                          <a:prstGeom prst="rect">
                            <a:avLst/>
                          </a:prstGeom>
                          <a:solidFill>
                            <a:srgbClr val="FFFFFF"/>
                          </a:solidFill>
                          <a:ln w="9525">
                            <a:solidFill>
                              <a:srgbClr val="000000"/>
                            </a:solidFill>
                            <a:miter lim="800000"/>
                            <a:headEnd/>
                            <a:tailEnd/>
                          </a:ln>
                        </wps:spPr>
                        <wps:txbx>
                          <w:txbxContent>
                            <w:p w14:paraId="56ECBEA7"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Calcination  at 573  K: UO</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
                            <w:p w14:paraId="535AF066"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Calcination  at 1073 K : U</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8</w:t>
                              </w:r>
                              <w:r w:rsidRPr="00B47100">
                                <w:rPr>
                                  <w:rFonts w:ascii="Times New Roman" w:hAnsi="Times New Roman" w:cs="Times New Roman"/>
                                  <w:sz w:val="18"/>
                                  <w:szCs w:val="18"/>
                                </w:rPr>
                                <w:t>- 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
                            <w:p w14:paraId="62C549D3"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ThO</w:t>
                              </w:r>
                              <w:r w:rsidRPr="00B47100">
                                <w:rPr>
                                  <w:rFonts w:ascii="Times New Roman" w:hAnsi="Times New Roman" w:cs="Times New Roman"/>
                                  <w:sz w:val="18"/>
                                  <w:szCs w:val="18"/>
                                  <w:vertAlign w:val="subscript"/>
                                </w:rPr>
                                <w:t>2</w:t>
                              </w:r>
                            </w:p>
                          </w:txbxContent>
                        </wps:txbx>
                        <wps:bodyPr rot="0" vert="horz" wrap="square" lIns="91440" tIns="45720" rIns="91440" bIns="45720" anchor="t" anchorCtr="0" upright="1">
                          <a:noAutofit/>
                        </wps:bodyPr>
                      </wps:wsp>
                      <wps:wsp>
                        <wps:cNvPr id="121" name="Line 15"/>
                        <wps:cNvCnPr>
                          <a:cxnSpLocks noChangeShapeType="1"/>
                        </wps:cNvCnPr>
                        <wps:spPr bwMode="auto">
                          <a:xfrm>
                            <a:off x="2628900" y="1371611"/>
                            <a:ext cx="7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6"/>
                        <wps:cNvCnPr>
                          <a:cxnSpLocks noChangeShapeType="1"/>
                        </wps:cNvCnPr>
                        <wps:spPr bwMode="auto">
                          <a:xfrm>
                            <a:off x="2628900" y="1943121"/>
                            <a:ext cx="7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7"/>
                        <wps:cNvCnPr>
                          <a:cxnSpLocks noChangeShapeType="1"/>
                        </wps:cNvCnPr>
                        <wps:spPr bwMode="auto">
                          <a:xfrm>
                            <a:off x="2628900" y="2628928"/>
                            <a:ext cx="7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8"/>
                        <wps:cNvCnPr>
                          <a:cxnSpLocks noChangeShapeType="1"/>
                        </wps:cNvCnPr>
                        <wps:spPr bwMode="auto">
                          <a:xfrm>
                            <a:off x="2628900" y="3429037"/>
                            <a:ext cx="7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9"/>
                        <wps:cNvCnPr>
                          <a:cxnSpLocks noChangeShapeType="1"/>
                        </wps:cNvCnPr>
                        <wps:spPr bwMode="auto">
                          <a:xfrm>
                            <a:off x="2628900" y="4114845"/>
                            <a:ext cx="7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20"/>
                        <wps:cNvCnPr>
                          <a:cxnSpLocks noChangeShapeType="1"/>
                        </wps:cNvCnPr>
                        <wps:spPr bwMode="auto">
                          <a:xfrm>
                            <a:off x="2628900" y="4914953"/>
                            <a:ext cx="7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21"/>
                        <wps:cNvSpPr>
                          <a:spLocks noChangeArrowheads="1"/>
                        </wps:cNvSpPr>
                        <wps:spPr bwMode="auto">
                          <a:xfrm>
                            <a:off x="1523631" y="7428914"/>
                            <a:ext cx="2225163" cy="381586"/>
                          </a:xfrm>
                          <a:prstGeom prst="rect">
                            <a:avLst/>
                          </a:prstGeom>
                          <a:solidFill>
                            <a:srgbClr val="FFFFFF"/>
                          </a:solidFill>
                          <a:ln w="9525">
                            <a:solidFill>
                              <a:srgbClr val="000000"/>
                            </a:solidFill>
                            <a:miter lim="800000"/>
                            <a:headEnd/>
                            <a:tailEnd/>
                          </a:ln>
                        </wps:spPr>
                        <wps:txbx>
                          <w:txbxContent>
                            <w:p w14:paraId="4388A6E8"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Sintered SGMP UO</w:t>
                              </w:r>
                              <w:r w:rsidRPr="00B47100">
                                <w:rPr>
                                  <w:rFonts w:ascii="Times New Roman" w:hAnsi="Times New Roman" w:cs="Times New Roman"/>
                                  <w:sz w:val="18"/>
                                  <w:szCs w:val="18"/>
                                  <w:vertAlign w:val="subscript"/>
                                </w:rPr>
                                <w:t xml:space="preserve">2  </w:t>
                              </w:r>
                              <w:r w:rsidRPr="00B47100">
                                <w:rPr>
                                  <w:rFonts w:ascii="Times New Roman" w:hAnsi="Times New Roman" w:cs="Times New Roman"/>
                                  <w:sz w:val="18"/>
                                  <w:szCs w:val="18"/>
                                </w:rPr>
                                <w:t>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 xml:space="preserve"> Pellets</w:t>
                              </w:r>
                            </w:p>
                          </w:txbxContent>
                        </wps:txbx>
                        <wps:bodyPr rot="0" vert="horz" wrap="square" lIns="91440" tIns="45720" rIns="91440" bIns="45720" anchor="t" anchorCtr="0" upright="1">
                          <a:noAutofit/>
                        </wps:bodyPr>
                      </wps:wsp>
                      <wps:wsp>
                        <wps:cNvPr id="128" name="Line 22"/>
                        <wps:cNvCnPr>
                          <a:cxnSpLocks noChangeShapeType="1"/>
                        </wps:cNvCnPr>
                        <wps:spPr bwMode="auto">
                          <a:xfrm>
                            <a:off x="2628900" y="5715062"/>
                            <a:ext cx="7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Line 23"/>
                        <wps:cNvCnPr>
                          <a:cxnSpLocks noChangeShapeType="1"/>
                        </wps:cNvCnPr>
                        <wps:spPr bwMode="auto">
                          <a:xfrm>
                            <a:off x="2628900" y="6400870"/>
                            <a:ext cx="7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24"/>
                        <wps:cNvCnPr>
                          <a:cxnSpLocks noChangeShapeType="1"/>
                        </wps:cNvCnPr>
                        <wps:spPr bwMode="auto">
                          <a:xfrm>
                            <a:off x="2628900" y="7086677"/>
                            <a:ext cx="700" cy="342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25"/>
                        <wps:cNvCnPr>
                          <a:cxnSpLocks noChangeShapeType="1"/>
                        </wps:cNvCnPr>
                        <wps:spPr bwMode="auto">
                          <a:xfrm>
                            <a:off x="1257300" y="342903"/>
                            <a:ext cx="571500" cy="571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26"/>
                        <wps:cNvCnPr>
                          <a:cxnSpLocks noChangeShapeType="1"/>
                        </wps:cNvCnPr>
                        <wps:spPr bwMode="auto">
                          <a:xfrm flipH="1">
                            <a:off x="3314700" y="342903"/>
                            <a:ext cx="685800" cy="571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27"/>
                        <wps:cNvSpPr>
                          <a:spLocks noChangeArrowheads="1"/>
                        </wps:cNvSpPr>
                        <wps:spPr bwMode="auto">
                          <a:xfrm>
                            <a:off x="3657600" y="1828820"/>
                            <a:ext cx="1485900" cy="1371615"/>
                          </a:xfrm>
                          <a:prstGeom prst="rect">
                            <a:avLst/>
                          </a:prstGeom>
                          <a:solidFill>
                            <a:srgbClr val="FFFFFF"/>
                          </a:solidFill>
                          <a:ln w="9525">
                            <a:solidFill>
                              <a:srgbClr val="000000"/>
                            </a:solidFill>
                            <a:miter lim="800000"/>
                            <a:headEnd/>
                            <a:tailEnd/>
                          </a:ln>
                        </wps:spPr>
                        <wps:txbx>
                          <w:txbxContent>
                            <w:p w14:paraId="4CE15302" w14:textId="77777777" w:rsidR="008A7896" w:rsidRPr="00B47100" w:rsidRDefault="008A7896" w:rsidP="00EF1C3C">
                              <w:pPr>
                                <w:rPr>
                                  <w:rFonts w:ascii="Times New Roman" w:hAnsi="Times New Roman" w:cs="Times New Roman"/>
                                </w:rPr>
                              </w:pPr>
                              <w:r w:rsidRPr="00B47100">
                                <w:rPr>
                                  <w:rFonts w:ascii="Times New Roman" w:hAnsi="Times New Roman" w:cs="Times New Roman"/>
                                  <w:noProof/>
                                  <w:lang w:eastAsia="tr-TR"/>
                                </w:rPr>
                                <w:drawing>
                                  <wp:inline distT="0" distB="0" distL="0" distR="0" wp14:anchorId="5A58BD6D" wp14:editId="1967E10E">
                                    <wp:extent cx="1381125" cy="1285875"/>
                                    <wp:effectExtent l="0" t="0" r="9525" b="9525"/>
                                    <wp:docPr id="102"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l="7582" t="13222" r="59923" b="46597"/>
                                            <a:stretch>
                                              <a:fillRect/>
                                            </a:stretch>
                                          </pic:blipFill>
                                          <pic:spPr bwMode="auto">
                                            <a:xfrm>
                                              <a:off x="0" y="0"/>
                                              <a:ext cx="1381125" cy="1285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4" name="Line 28"/>
                        <wps:cNvCnPr>
                          <a:cxnSpLocks noChangeShapeType="1"/>
                        </wps:cNvCnPr>
                        <wps:spPr bwMode="auto">
                          <a:xfrm>
                            <a:off x="3314700" y="2400326"/>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710FABB" id="Tuval 70" o:spid="_x0000_s1026" editas="canvas" style="width:407.8pt;height:617.8pt;mso-position-horizontal-relative:char;mso-position-vertical-relative:line" coordsize="51790,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790;height:78460;visibility:visible;mso-wrap-style:square">
                  <v:fill o:detectmouseclick="t"/>
                  <v:path o:connecttype="none"/>
                </v:shape>
                <v:rect id="Rectangle 4" o:spid="_x0000_s1028" style="position:absolute;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14:paraId="313EF176"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U,Gd</w:t>
                        </w:r>
                        <w:proofErr w:type="spellEnd"/>
                        <w:r w:rsidRPr="00B47100">
                          <w:rPr>
                            <w:rFonts w:ascii="Times New Roman" w:hAnsi="Times New Roman" w:cs="Times New Roman"/>
                            <w:sz w:val="18"/>
                            <w:szCs w:val="18"/>
                          </w:rPr>
                          <w:t xml:space="preserve"> </w:t>
                        </w:r>
                        <w:proofErr w:type="spellStart"/>
                        <w:proofErr w:type="gramStart"/>
                        <w:r w:rsidRPr="00B47100">
                          <w:rPr>
                            <w:rFonts w:ascii="Times New Roman" w:hAnsi="Times New Roman" w:cs="Times New Roman"/>
                            <w:sz w:val="18"/>
                            <w:szCs w:val="18"/>
                          </w:rPr>
                          <w:t>Nitrate</w:t>
                        </w:r>
                        <w:proofErr w:type="spellEnd"/>
                        <w:r w:rsidRPr="00B47100">
                          <w:rPr>
                            <w:rFonts w:ascii="Times New Roman" w:hAnsi="Times New Roman" w:cs="Times New Roman"/>
                            <w:sz w:val="18"/>
                            <w:szCs w:val="18"/>
                          </w:rPr>
                          <w:t xml:space="preserve">  Sol</w:t>
                        </w:r>
                        <w:proofErr w:type="gramEnd"/>
                        <w:r w:rsidRPr="00B47100">
                          <w:rPr>
                            <w:rFonts w:ascii="Times New Roman" w:hAnsi="Times New Roman" w:cs="Times New Roman"/>
                            <w:sz w:val="18"/>
                            <w:szCs w:val="18"/>
                          </w:rPr>
                          <w:t xml:space="preserve"> </w:t>
                        </w:r>
                      </w:p>
                    </w:txbxContent>
                  </v:textbox>
                </v:rect>
                <v:rect id="Rectangle 5" o:spid="_x0000_s1029" style="position:absolute;left:36576;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6A1BC839"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PVA+THFA</w:t>
                        </w:r>
                      </w:p>
                    </w:txbxContent>
                  </v:textbox>
                </v:rect>
                <v:rect id="Rectangle 6" o:spid="_x0000_s1030" style="position:absolute;left:18285;top:8382;width:14859;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2D19BBC9"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w:t>
                        </w:r>
                        <w:proofErr w:type="spellStart"/>
                        <w:proofErr w:type="gramStart"/>
                        <w:r w:rsidRPr="00B47100">
                          <w:rPr>
                            <w:rFonts w:ascii="Times New Roman" w:hAnsi="Times New Roman" w:cs="Times New Roman"/>
                            <w:sz w:val="18"/>
                            <w:szCs w:val="18"/>
                          </w:rPr>
                          <w:t>Mixing</w:t>
                        </w:r>
                        <w:proofErr w:type="spellEnd"/>
                        <w:r w:rsidRPr="00B47100">
                          <w:rPr>
                            <w:rFonts w:ascii="Times New Roman" w:hAnsi="Times New Roman" w:cs="Times New Roman"/>
                            <w:sz w:val="18"/>
                            <w:szCs w:val="18"/>
                          </w:rPr>
                          <w:t xml:space="preserve">   at</w:t>
                        </w:r>
                        <w:proofErr w:type="gramEnd"/>
                        <w:r w:rsidRPr="00B47100">
                          <w:rPr>
                            <w:rFonts w:ascii="Times New Roman" w:hAnsi="Times New Roman" w:cs="Times New Roman"/>
                            <w:sz w:val="18"/>
                            <w:szCs w:val="18"/>
                          </w:rPr>
                          <w:t xml:space="preserve"> 20 </w:t>
                        </w:r>
                        <w:r w:rsidRPr="00B47100">
                          <w:rPr>
                            <w:rFonts w:ascii="Times New Roman" w:hAnsi="Times New Roman" w:cs="Times New Roman"/>
                            <w:sz w:val="18"/>
                            <w:szCs w:val="18"/>
                            <w:vertAlign w:val="superscript"/>
                          </w:rPr>
                          <w:t>o</w:t>
                        </w:r>
                        <w:r w:rsidRPr="00B47100">
                          <w:rPr>
                            <w:rFonts w:ascii="Times New Roman" w:hAnsi="Times New Roman" w:cs="Times New Roman"/>
                            <w:sz w:val="18"/>
                            <w:szCs w:val="18"/>
                          </w:rPr>
                          <w:t xml:space="preserve"> C </w:t>
                        </w:r>
                      </w:p>
                      <w:p w14:paraId="4F45E0F7"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Viscosity</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control</w:t>
                        </w:r>
                        <w:proofErr w:type="spellEnd"/>
                      </w:p>
                    </w:txbxContent>
                  </v:textbox>
                </v:rect>
                <v:rect id="Rectangle 7" o:spid="_x0000_s1031" style="position:absolute;left:15999;top:52575;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57BAF6AB"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Reduction</w:t>
                        </w:r>
                        <w:proofErr w:type="spellEnd"/>
                        <w:r w:rsidRPr="00B47100">
                          <w:rPr>
                            <w:rFonts w:ascii="Times New Roman" w:hAnsi="Times New Roman" w:cs="Times New Roman"/>
                            <w:sz w:val="18"/>
                            <w:szCs w:val="18"/>
                          </w:rPr>
                          <w:t xml:space="preserve"> at 923K </w:t>
                        </w:r>
                        <w:proofErr w:type="spellStart"/>
                        <w:r w:rsidRPr="00B47100">
                          <w:rPr>
                            <w:rFonts w:ascii="Times New Roman" w:hAnsi="Times New Roman" w:cs="Times New Roman"/>
                            <w:sz w:val="18"/>
                            <w:szCs w:val="18"/>
                          </w:rPr>
                          <w:t>under</w:t>
                        </w:r>
                        <w:proofErr w:type="spellEnd"/>
                        <w:r w:rsidRPr="00B47100">
                          <w:rPr>
                            <w:rFonts w:ascii="Times New Roman" w:hAnsi="Times New Roman" w:cs="Times New Roman"/>
                            <w:sz w:val="18"/>
                            <w:szCs w:val="18"/>
                          </w:rPr>
                          <w:t xml:space="preserve"> Ar+ %5 H</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atmosphere</w:t>
                        </w:r>
                        <w:proofErr w:type="spellEnd"/>
                        <w:r w:rsidRPr="00B47100">
                          <w:rPr>
                            <w:rFonts w:ascii="Times New Roman" w:hAnsi="Times New Roman" w:cs="Times New Roman"/>
                            <w:sz w:val="18"/>
                            <w:szCs w:val="18"/>
                          </w:rPr>
                          <w:t xml:space="preserve"> UO </w:t>
                        </w:r>
                        <w:r w:rsidRPr="00B47100">
                          <w:rPr>
                            <w:rFonts w:ascii="Times New Roman" w:hAnsi="Times New Roman" w:cs="Times New Roman"/>
                            <w:sz w:val="18"/>
                            <w:szCs w:val="18"/>
                            <w:vertAlign w:val="subscript"/>
                          </w:rPr>
                          <w:t xml:space="preserve">2+x </w:t>
                        </w:r>
                        <w:r w:rsidRPr="00B47100">
                          <w:rPr>
                            <w:rFonts w:ascii="Times New Roman" w:hAnsi="Times New Roman" w:cs="Times New Roman"/>
                            <w:sz w:val="18"/>
                            <w:szCs w:val="18"/>
                          </w:rPr>
                          <w:t>– 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
                    </w:txbxContent>
                  </v:textbox>
                </v:rect>
                <v:rect id="Rectangle 8" o:spid="_x0000_s1032" style="position:absolute;left:14859;top:30861;width:2095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14:paraId="2062B75D"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Washing</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with</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isopropyl</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alcohol</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water</w:t>
                        </w:r>
                        <w:proofErr w:type="spellEnd"/>
                      </w:p>
                      <w:p w14:paraId="0621204A" w14:textId="77777777" w:rsidR="008A7896" w:rsidRPr="00B47100" w:rsidRDefault="008A7896" w:rsidP="00EF1C3C">
                        <w:pPr>
                          <w:rPr>
                            <w:rFonts w:ascii="Times New Roman" w:hAnsi="Times New Roman" w:cs="Times New Roman"/>
                            <w:sz w:val="18"/>
                            <w:szCs w:val="18"/>
                          </w:rPr>
                        </w:pPr>
                      </w:p>
                    </w:txbxContent>
                  </v:textbox>
                </v:rect>
                <v:rect id="Rectangle 9" o:spid="_x0000_s1033" style="position:absolute;left:16002;top:37204;width:20574;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1D96F188"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Drying</w:t>
                        </w:r>
                        <w:proofErr w:type="spellEnd"/>
                        <w:r w:rsidRPr="00B47100">
                          <w:rPr>
                            <w:rFonts w:ascii="Times New Roman" w:hAnsi="Times New Roman" w:cs="Times New Roman"/>
                            <w:sz w:val="18"/>
                            <w:szCs w:val="18"/>
                          </w:rPr>
                          <w:t xml:space="preserve"> at 323 K,373 K,423 K </w:t>
                        </w:r>
                        <w:proofErr w:type="spellStart"/>
                        <w:r w:rsidRPr="00B47100">
                          <w:rPr>
                            <w:rFonts w:ascii="Times New Roman" w:hAnsi="Times New Roman" w:cs="Times New Roman"/>
                            <w:sz w:val="18"/>
                            <w:szCs w:val="18"/>
                          </w:rPr>
                          <w:t>for</w:t>
                        </w:r>
                        <w:proofErr w:type="spellEnd"/>
                        <w:r w:rsidRPr="00B47100">
                          <w:rPr>
                            <w:rFonts w:ascii="Times New Roman" w:hAnsi="Times New Roman" w:cs="Times New Roman"/>
                            <w:sz w:val="18"/>
                            <w:szCs w:val="18"/>
                          </w:rPr>
                          <w:t xml:space="preserve"> 2 </w:t>
                        </w:r>
                        <w:proofErr w:type="spellStart"/>
                        <w:r w:rsidRPr="00B47100">
                          <w:rPr>
                            <w:rFonts w:ascii="Times New Roman" w:hAnsi="Times New Roman" w:cs="Times New Roman"/>
                            <w:sz w:val="18"/>
                            <w:szCs w:val="18"/>
                          </w:rPr>
                          <w:t>hours</w:t>
                        </w:r>
                        <w:proofErr w:type="spellEnd"/>
                        <w:r w:rsidRPr="00B47100">
                          <w:rPr>
                            <w:rFonts w:ascii="Times New Roman" w:hAnsi="Times New Roman" w:cs="Times New Roman"/>
                            <w:sz w:val="18"/>
                            <w:szCs w:val="18"/>
                          </w:rPr>
                          <w:t xml:space="preserve"> in </w:t>
                        </w:r>
                        <w:proofErr w:type="spellStart"/>
                        <w:r w:rsidRPr="00B47100">
                          <w:rPr>
                            <w:rFonts w:ascii="Times New Roman" w:hAnsi="Times New Roman" w:cs="Times New Roman"/>
                            <w:sz w:val="18"/>
                            <w:szCs w:val="18"/>
                          </w:rPr>
                          <w:t>air</w:t>
                        </w:r>
                        <w:proofErr w:type="spellEnd"/>
                        <w:r w:rsidRPr="00B47100">
                          <w:rPr>
                            <w:rFonts w:ascii="Times New Roman" w:hAnsi="Times New Roman" w:cs="Times New Roman"/>
                            <w:sz w:val="18"/>
                            <w:szCs w:val="18"/>
                          </w:rPr>
                          <w:t xml:space="preserve"> </w:t>
                        </w:r>
                      </w:p>
                      <w:p w14:paraId="42BCA062" w14:textId="77777777" w:rsidR="008A7896" w:rsidRPr="00B47100" w:rsidRDefault="008A7896" w:rsidP="00EF1C3C">
                        <w:pPr>
                          <w:rPr>
                            <w:rFonts w:ascii="Times New Roman" w:hAnsi="Times New Roman" w:cs="Times New Roman"/>
                            <w:sz w:val="18"/>
                            <w:szCs w:val="18"/>
                          </w:rPr>
                        </w:pPr>
                      </w:p>
                    </w:txbxContent>
                  </v:textbox>
                </v:rect>
                <v:rect id="Rectangle 10" o:spid="_x0000_s1034" style="position:absolute;left:19431;top:17145;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14:paraId="13913B82"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Drop</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formation</w:t>
                        </w:r>
                        <w:proofErr w:type="spellEnd"/>
                        <w:r w:rsidRPr="00B47100">
                          <w:rPr>
                            <w:rFonts w:ascii="Times New Roman" w:hAnsi="Times New Roman" w:cs="Times New Roman"/>
                            <w:sz w:val="18"/>
                            <w:szCs w:val="18"/>
                          </w:rPr>
                          <w:t xml:space="preserve"> </w:t>
                        </w:r>
                      </w:p>
                    </w:txbxContent>
                  </v:textbox>
                </v:rect>
                <v:rect id="Rectangle 11" o:spid="_x0000_s1035" style="position:absolute;left:19431;top:22860;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textbox>
                    <w:txbxContent>
                      <w:p w14:paraId="5A2592D3"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NH</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 NH</w:t>
                        </w:r>
                        <w:r w:rsidRPr="00B47100">
                          <w:rPr>
                            <w:rFonts w:ascii="Times New Roman" w:hAnsi="Times New Roman" w:cs="Times New Roman"/>
                            <w:sz w:val="18"/>
                            <w:szCs w:val="18"/>
                            <w:vertAlign w:val="subscript"/>
                          </w:rPr>
                          <w:t>4</w:t>
                        </w:r>
                        <w:r w:rsidRPr="00B47100">
                          <w:rPr>
                            <w:rFonts w:ascii="Times New Roman" w:hAnsi="Times New Roman" w:cs="Times New Roman"/>
                            <w:sz w:val="18"/>
                            <w:szCs w:val="18"/>
                          </w:rPr>
                          <w:t>OH</w:t>
                        </w:r>
                      </w:p>
                      <w:p w14:paraId="6E7E911A"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 xml:space="preserve"> Dış Jelleşme </w:t>
                        </w:r>
                        <w:proofErr w:type="gramStart"/>
                        <w:r w:rsidRPr="00B47100">
                          <w:rPr>
                            <w:rFonts w:ascii="Times New Roman" w:hAnsi="Times New Roman" w:cs="Times New Roman"/>
                            <w:sz w:val="18"/>
                            <w:szCs w:val="18"/>
                          </w:rPr>
                          <w:t xml:space="preserve">20  </w:t>
                        </w:r>
                        <w:r w:rsidRPr="00B47100">
                          <w:rPr>
                            <w:rFonts w:ascii="Times New Roman" w:hAnsi="Times New Roman" w:cs="Times New Roman"/>
                            <w:sz w:val="18"/>
                            <w:szCs w:val="18"/>
                            <w:vertAlign w:val="superscript"/>
                          </w:rPr>
                          <w:t>o</w:t>
                        </w:r>
                        <w:proofErr w:type="gramEnd"/>
                        <w:r w:rsidRPr="00B47100">
                          <w:rPr>
                            <w:rFonts w:ascii="Times New Roman" w:hAnsi="Times New Roman" w:cs="Times New Roman"/>
                            <w:sz w:val="18"/>
                            <w:szCs w:val="18"/>
                          </w:rPr>
                          <w:t xml:space="preserve"> C</w:t>
                        </w:r>
                      </w:p>
                    </w:txbxContent>
                  </v:textbox>
                </v:rect>
                <v:rect id="Rectangle 12" o:spid="_x0000_s1036" style="position:absolute;left:19431;top:60579;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4F24B08F"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Pressing</w:t>
                        </w:r>
                        <w:proofErr w:type="spellEnd"/>
                        <w:r w:rsidRPr="00B47100">
                          <w:rPr>
                            <w:rFonts w:ascii="Times New Roman" w:hAnsi="Times New Roman" w:cs="Times New Roman"/>
                            <w:sz w:val="18"/>
                            <w:szCs w:val="18"/>
                          </w:rPr>
                          <w:t xml:space="preserve"> 300-500 </w:t>
                        </w:r>
                        <w:proofErr w:type="spellStart"/>
                        <w:r w:rsidRPr="00B47100">
                          <w:rPr>
                            <w:rFonts w:ascii="Times New Roman" w:hAnsi="Times New Roman" w:cs="Times New Roman"/>
                            <w:sz w:val="18"/>
                            <w:szCs w:val="18"/>
                          </w:rPr>
                          <w:t>MPa</w:t>
                        </w:r>
                        <w:proofErr w:type="spellEnd"/>
                      </w:p>
                    </w:txbxContent>
                  </v:textbox>
                </v:rect>
                <v:rect id="Rectangle 13" o:spid="_x0000_s1037" style="position:absolute;left:15998;top:65604;width:19508;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15A8006A"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Sintering</w:t>
                        </w:r>
                        <w:proofErr w:type="spellEnd"/>
                        <w:r w:rsidRPr="00B47100">
                          <w:rPr>
                            <w:rFonts w:ascii="Times New Roman" w:hAnsi="Times New Roman" w:cs="Times New Roman"/>
                            <w:sz w:val="18"/>
                            <w:szCs w:val="18"/>
                          </w:rPr>
                          <w:t xml:space="preserve">: LTS: at 1423 K </w:t>
                        </w:r>
                        <w:proofErr w:type="spellStart"/>
                        <w:r w:rsidRPr="00B47100">
                          <w:rPr>
                            <w:rFonts w:ascii="Times New Roman" w:hAnsi="Times New Roman" w:cs="Times New Roman"/>
                            <w:sz w:val="18"/>
                            <w:szCs w:val="18"/>
                          </w:rPr>
                          <w:t>for</w:t>
                        </w:r>
                        <w:proofErr w:type="spellEnd"/>
                        <w:r w:rsidRPr="00B47100">
                          <w:rPr>
                            <w:rFonts w:ascii="Times New Roman" w:hAnsi="Times New Roman" w:cs="Times New Roman"/>
                            <w:sz w:val="18"/>
                            <w:szCs w:val="18"/>
                          </w:rPr>
                          <w:t xml:space="preserve"> 1 </w:t>
                        </w:r>
                        <w:proofErr w:type="spellStart"/>
                        <w:r w:rsidRPr="00B47100">
                          <w:rPr>
                            <w:rFonts w:ascii="Times New Roman" w:hAnsi="Times New Roman" w:cs="Times New Roman"/>
                            <w:sz w:val="18"/>
                            <w:szCs w:val="18"/>
                          </w:rPr>
                          <w:t>hour</w:t>
                        </w:r>
                        <w:proofErr w:type="spell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under</w:t>
                        </w:r>
                        <w:proofErr w:type="spellEnd"/>
                        <w:r w:rsidRPr="00B47100">
                          <w:rPr>
                            <w:rFonts w:ascii="Times New Roman" w:hAnsi="Times New Roman" w:cs="Times New Roman"/>
                            <w:sz w:val="18"/>
                            <w:szCs w:val="18"/>
                          </w:rPr>
                          <w:t xml:space="preserve"> CO</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 xml:space="preserve">  atm</w:t>
                        </w:r>
                        <w:proofErr w:type="gramStart"/>
                        <w:r w:rsidRPr="00B47100">
                          <w:rPr>
                            <w:rFonts w:ascii="Times New Roman" w:hAnsi="Times New Roman" w:cs="Times New Roman"/>
                            <w:sz w:val="18"/>
                            <w:szCs w:val="18"/>
                          </w:rPr>
                          <w:t>.,</w:t>
                        </w:r>
                        <w:proofErr w:type="gramEnd"/>
                        <w:r w:rsidRPr="00B47100">
                          <w:rPr>
                            <w:rFonts w:ascii="Times New Roman" w:hAnsi="Times New Roman" w:cs="Times New Roman"/>
                            <w:sz w:val="18"/>
                            <w:szCs w:val="18"/>
                          </w:rPr>
                          <w:t xml:space="preserve"> HTS: </w:t>
                        </w:r>
                        <w:proofErr w:type="spellStart"/>
                        <w:r w:rsidRPr="00B47100">
                          <w:rPr>
                            <w:rFonts w:ascii="Times New Roman" w:hAnsi="Times New Roman" w:cs="Times New Roman"/>
                            <w:sz w:val="18"/>
                            <w:szCs w:val="18"/>
                          </w:rPr>
                          <w:t>under</w:t>
                        </w:r>
                        <w:proofErr w:type="spellEnd"/>
                        <w:r w:rsidRPr="00B47100">
                          <w:rPr>
                            <w:rFonts w:ascii="Times New Roman" w:hAnsi="Times New Roman" w:cs="Times New Roman"/>
                            <w:sz w:val="18"/>
                            <w:szCs w:val="18"/>
                          </w:rPr>
                          <w:t xml:space="preserve"> H</w:t>
                        </w:r>
                        <w:r w:rsidRPr="00B47100">
                          <w:rPr>
                            <w:rFonts w:ascii="Times New Roman" w:hAnsi="Times New Roman" w:cs="Times New Roman"/>
                            <w:sz w:val="18"/>
                            <w:szCs w:val="18"/>
                            <w:vertAlign w:val="subscript"/>
                          </w:rPr>
                          <w:t xml:space="preserve">2 </w:t>
                        </w:r>
                        <w:proofErr w:type="spellStart"/>
                        <w:r w:rsidRPr="00B47100">
                          <w:rPr>
                            <w:rFonts w:ascii="Times New Roman" w:hAnsi="Times New Roman" w:cs="Times New Roman"/>
                            <w:sz w:val="18"/>
                            <w:szCs w:val="18"/>
                          </w:rPr>
                          <w:t>atmosphere</w:t>
                        </w:r>
                        <w:proofErr w:type="spellEnd"/>
                        <w:r w:rsidRPr="00B47100">
                          <w:rPr>
                            <w:rFonts w:ascii="Times New Roman" w:hAnsi="Times New Roman" w:cs="Times New Roman"/>
                            <w:sz w:val="18"/>
                            <w:szCs w:val="18"/>
                          </w:rPr>
                          <w:t xml:space="preserve">  at 1973 K  </w:t>
                        </w:r>
                        <w:proofErr w:type="spellStart"/>
                        <w:r w:rsidRPr="00B47100">
                          <w:rPr>
                            <w:rFonts w:ascii="Times New Roman" w:hAnsi="Times New Roman" w:cs="Times New Roman"/>
                            <w:sz w:val="18"/>
                            <w:szCs w:val="18"/>
                          </w:rPr>
                          <w:t>for</w:t>
                        </w:r>
                        <w:proofErr w:type="spellEnd"/>
                        <w:r w:rsidRPr="00B47100">
                          <w:rPr>
                            <w:rFonts w:ascii="Times New Roman" w:hAnsi="Times New Roman" w:cs="Times New Roman"/>
                            <w:sz w:val="18"/>
                            <w:szCs w:val="18"/>
                          </w:rPr>
                          <w:t xml:space="preserve"> 4 </w:t>
                        </w:r>
                        <w:proofErr w:type="spellStart"/>
                        <w:r w:rsidRPr="00B47100">
                          <w:rPr>
                            <w:rFonts w:ascii="Times New Roman" w:hAnsi="Times New Roman" w:cs="Times New Roman"/>
                            <w:sz w:val="18"/>
                            <w:szCs w:val="18"/>
                          </w:rPr>
                          <w:t>hours</w:t>
                        </w:r>
                        <w:proofErr w:type="spellEnd"/>
                      </w:p>
                      <w:p w14:paraId="6924929C" w14:textId="77777777" w:rsidR="008A7896" w:rsidRPr="00B47100" w:rsidRDefault="008A7896" w:rsidP="00EF1C3C">
                        <w:pPr>
                          <w:rPr>
                            <w:rFonts w:ascii="Times New Roman" w:hAnsi="Times New Roman" w:cs="Times New Roman"/>
                          </w:rPr>
                        </w:pPr>
                      </w:p>
                    </w:txbxContent>
                  </v:textbox>
                </v:rect>
                <v:rect id="Rectangle 14" o:spid="_x0000_s1038" style="position:absolute;left:14857;top:43432;width:226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14:paraId="56ECBEA7" w14:textId="77777777" w:rsidR="008A7896" w:rsidRPr="00B47100" w:rsidRDefault="008A7896" w:rsidP="00EF1C3C">
                        <w:pPr>
                          <w:rPr>
                            <w:rFonts w:ascii="Times New Roman" w:hAnsi="Times New Roman" w:cs="Times New Roman"/>
                            <w:sz w:val="18"/>
                            <w:szCs w:val="18"/>
                          </w:rPr>
                        </w:pPr>
                        <w:proofErr w:type="spellStart"/>
                        <w:proofErr w:type="gramStart"/>
                        <w:r w:rsidRPr="00B47100">
                          <w:rPr>
                            <w:rFonts w:ascii="Times New Roman" w:hAnsi="Times New Roman" w:cs="Times New Roman"/>
                            <w:sz w:val="18"/>
                            <w:szCs w:val="18"/>
                          </w:rPr>
                          <w:t>Calcination</w:t>
                        </w:r>
                        <w:proofErr w:type="spellEnd"/>
                        <w:r w:rsidRPr="00B47100">
                          <w:rPr>
                            <w:rFonts w:ascii="Times New Roman" w:hAnsi="Times New Roman" w:cs="Times New Roman"/>
                            <w:sz w:val="18"/>
                            <w:szCs w:val="18"/>
                          </w:rPr>
                          <w:t xml:space="preserve">  at</w:t>
                        </w:r>
                        <w:proofErr w:type="gramEnd"/>
                        <w:r w:rsidRPr="00B47100">
                          <w:rPr>
                            <w:rFonts w:ascii="Times New Roman" w:hAnsi="Times New Roman" w:cs="Times New Roman"/>
                            <w:sz w:val="18"/>
                            <w:szCs w:val="18"/>
                          </w:rPr>
                          <w:t xml:space="preserve"> 573  K: UO</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
                      <w:p w14:paraId="535AF066"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Calcination</w:t>
                        </w:r>
                        <w:proofErr w:type="spellEnd"/>
                        <w:r w:rsidRPr="00B47100">
                          <w:rPr>
                            <w:rFonts w:ascii="Times New Roman" w:hAnsi="Times New Roman" w:cs="Times New Roman"/>
                            <w:sz w:val="18"/>
                            <w:szCs w:val="18"/>
                          </w:rPr>
                          <w:t xml:space="preserve">  at 1073 </w:t>
                        </w:r>
                        <w:proofErr w:type="gramStart"/>
                        <w:r w:rsidRPr="00B47100">
                          <w:rPr>
                            <w:rFonts w:ascii="Times New Roman" w:hAnsi="Times New Roman" w:cs="Times New Roman"/>
                            <w:sz w:val="18"/>
                            <w:szCs w:val="18"/>
                          </w:rPr>
                          <w:t>K : U</w:t>
                        </w:r>
                        <w:r w:rsidRPr="00B47100">
                          <w:rPr>
                            <w:rFonts w:ascii="Times New Roman" w:hAnsi="Times New Roman" w:cs="Times New Roman"/>
                            <w:sz w:val="18"/>
                            <w:szCs w:val="18"/>
                            <w:vertAlign w:val="subscript"/>
                          </w:rPr>
                          <w:t>3</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8</w:t>
                        </w:r>
                        <w:proofErr w:type="gramEnd"/>
                        <w:r w:rsidRPr="00B47100">
                          <w:rPr>
                            <w:rFonts w:ascii="Times New Roman" w:hAnsi="Times New Roman" w:cs="Times New Roman"/>
                            <w:sz w:val="18"/>
                            <w:szCs w:val="18"/>
                          </w:rPr>
                          <w:t>- 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
                      <w:p w14:paraId="62C549D3" w14:textId="77777777" w:rsidR="008A7896" w:rsidRPr="00B47100" w:rsidRDefault="008A7896" w:rsidP="00EF1C3C">
                        <w:pPr>
                          <w:rPr>
                            <w:rFonts w:ascii="Times New Roman" w:hAnsi="Times New Roman" w:cs="Times New Roman"/>
                            <w:sz w:val="18"/>
                            <w:szCs w:val="18"/>
                          </w:rPr>
                        </w:pPr>
                        <w:r w:rsidRPr="00B47100">
                          <w:rPr>
                            <w:rFonts w:ascii="Times New Roman" w:hAnsi="Times New Roman" w:cs="Times New Roman"/>
                            <w:sz w:val="18"/>
                            <w:szCs w:val="18"/>
                          </w:rPr>
                          <w:t>ThO</w:t>
                        </w:r>
                        <w:r w:rsidRPr="00B47100">
                          <w:rPr>
                            <w:rFonts w:ascii="Times New Roman" w:hAnsi="Times New Roman" w:cs="Times New Roman"/>
                            <w:sz w:val="18"/>
                            <w:szCs w:val="18"/>
                            <w:vertAlign w:val="subscript"/>
                          </w:rPr>
                          <w:t>2</w:t>
                        </w:r>
                      </w:p>
                    </w:txbxContent>
                  </v:textbox>
                </v:rect>
                <v:line id="Line 15" o:spid="_x0000_s1039" style="position:absolute;visibility:visible;mso-wrap-style:square" from="26289,13716" to="26296,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16" o:spid="_x0000_s1040" style="position:absolute;visibility:visible;mso-wrap-style:square" from="26289,19431" to="26296,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line id="Line 17" o:spid="_x0000_s1041" style="position:absolute;visibility:visible;mso-wrap-style:square" from="26289,26289" to="2629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8" o:spid="_x0000_s1042" style="position:absolute;visibility:visible;mso-wrap-style:square" from="26289,34290" to="26296,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9" o:spid="_x0000_s1043" style="position:absolute;visibility:visible;mso-wrap-style:square" from="26289,41148" to="26296,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Line 20" o:spid="_x0000_s1044" style="position:absolute;visibility:visible;mso-wrap-style:square" from="26289,49149" to="26296,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rect id="Rectangle 21" o:spid="_x0000_s1045" style="position:absolute;left:15236;top:74289;width:2225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14:paraId="4388A6E8" w14:textId="77777777" w:rsidR="008A7896" w:rsidRPr="00B47100" w:rsidRDefault="008A7896" w:rsidP="00EF1C3C">
                        <w:pPr>
                          <w:rPr>
                            <w:rFonts w:ascii="Times New Roman" w:hAnsi="Times New Roman" w:cs="Times New Roman"/>
                            <w:sz w:val="18"/>
                            <w:szCs w:val="18"/>
                          </w:rPr>
                        </w:pPr>
                        <w:proofErr w:type="spellStart"/>
                        <w:r w:rsidRPr="00B47100">
                          <w:rPr>
                            <w:rFonts w:ascii="Times New Roman" w:hAnsi="Times New Roman" w:cs="Times New Roman"/>
                            <w:sz w:val="18"/>
                            <w:szCs w:val="18"/>
                          </w:rPr>
                          <w:t>Sintered</w:t>
                        </w:r>
                        <w:proofErr w:type="spellEnd"/>
                        <w:r w:rsidRPr="00B47100">
                          <w:rPr>
                            <w:rFonts w:ascii="Times New Roman" w:hAnsi="Times New Roman" w:cs="Times New Roman"/>
                            <w:sz w:val="18"/>
                            <w:szCs w:val="18"/>
                          </w:rPr>
                          <w:t xml:space="preserve"> SGMP </w:t>
                        </w:r>
                        <w:proofErr w:type="gramStart"/>
                        <w:r w:rsidRPr="00B47100">
                          <w:rPr>
                            <w:rFonts w:ascii="Times New Roman" w:hAnsi="Times New Roman" w:cs="Times New Roman"/>
                            <w:sz w:val="18"/>
                            <w:szCs w:val="18"/>
                          </w:rPr>
                          <w:t>UO</w:t>
                        </w:r>
                        <w:r w:rsidRPr="00B47100">
                          <w:rPr>
                            <w:rFonts w:ascii="Times New Roman" w:hAnsi="Times New Roman" w:cs="Times New Roman"/>
                            <w:sz w:val="18"/>
                            <w:szCs w:val="18"/>
                            <w:vertAlign w:val="subscript"/>
                          </w:rPr>
                          <w:t xml:space="preserve">2  </w:t>
                        </w:r>
                        <w:r w:rsidRPr="00B47100">
                          <w:rPr>
                            <w:rFonts w:ascii="Times New Roman" w:hAnsi="Times New Roman" w:cs="Times New Roman"/>
                            <w:sz w:val="18"/>
                            <w:szCs w:val="18"/>
                          </w:rPr>
                          <w:t>Gd</w:t>
                        </w:r>
                        <w:r w:rsidRPr="00B47100">
                          <w:rPr>
                            <w:rFonts w:ascii="Times New Roman" w:hAnsi="Times New Roman" w:cs="Times New Roman"/>
                            <w:sz w:val="18"/>
                            <w:szCs w:val="18"/>
                            <w:vertAlign w:val="subscript"/>
                          </w:rPr>
                          <w:t>2</w:t>
                        </w:r>
                        <w:r w:rsidRPr="00B47100">
                          <w:rPr>
                            <w:rFonts w:ascii="Times New Roman" w:hAnsi="Times New Roman" w:cs="Times New Roman"/>
                            <w:sz w:val="18"/>
                            <w:szCs w:val="18"/>
                          </w:rPr>
                          <w:t>O</w:t>
                        </w:r>
                        <w:r w:rsidRPr="00B47100">
                          <w:rPr>
                            <w:rFonts w:ascii="Times New Roman" w:hAnsi="Times New Roman" w:cs="Times New Roman"/>
                            <w:sz w:val="18"/>
                            <w:szCs w:val="18"/>
                            <w:vertAlign w:val="subscript"/>
                          </w:rPr>
                          <w:t>3</w:t>
                        </w:r>
                        <w:proofErr w:type="gramEnd"/>
                        <w:r w:rsidRPr="00B47100">
                          <w:rPr>
                            <w:rFonts w:ascii="Times New Roman" w:hAnsi="Times New Roman" w:cs="Times New Roman"/>
                            <w:sz w:val="18"/>
                            <w:szCs w:val="18"/>
                          </w:rPr>
                          <w:t xml:space="preserve"> </w:t>
                        </w:r>
                        <w:proofErr w:type="spellStart"/>
                        <w:r w:rsidRPr="00B47100">
                          <w:rPr>
                            <w:rFonts w:ascii="Times New Roman" w:hAnsi="Times New Roman" w:cs="Times New Roman"/>
                            <w:sz w:val="18"/>
                            <w:szCs w:val="18"/>
                          </w:rPr>
                          <w:t>Pellets</w:t>
                        </w:r>
                        <w:proofErr w:type="spellEnd"/>
                      </w:p>
                    </w:txbxContent>
                  </v:textbox>
                </v:rect>
                <v:line id="Line 22" o:spid="_x0000_s1046" style="position:absolute;visibility:visible;mso-wrap-style:square" from="26289,57150" to="26296,6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Line 23" o:spid="_x0000_s1047" style="position:absolute;visibility:visible;mso-wrap-style:square" from="26289,64008" to="26296,6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">
                  <v:stroke endarrow="block"/>
                </v:line>
                <v:line id="Line 24" o:spid="_x0000_s1048" style="position:absolute;visibility:visible;mso-wrap-style:square" from="26289,70866" to="26296,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line id="Line 25" o:spid="_x0000_s1049" style="position:absolute;visibility:visible;mso-wrap-style:square" from="12573,3429" to="1828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9swgAAANwAAAAPAAAAZHJzL2Rvd25yZXYueG1sRE/fa8Iw&#10;EH4f+D+EE/Y20y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Ar4b9swgAAANwAAAAPAAAA&#10;AAAAAAAAAAAAAAcCAABkcnMvZG93bnJldi54bWxQSwUGAAAAAAMAAwC3AAAA9gIAAAAA&#10;">
                  <v:stroke endarrow="block"/>
                </v:line>
                <v:line id="Line 26" o:spid="_x0000_s1050" style="position:absolute;flip:x;visibility:visible;mso-wrap-style:square" from="33147,3429" to="400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">
                  <v:stroke endarrow="block"/>
                </v:line>
                <v:rect id="Rectangle 27" o:spid="_x0000_s1051" style="position:absolute;left:36576;top:18288;width:1485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4CE15302" w14:textId="77777777" w:rsidR="008A7896" w:rsidRPr="00B47100" w:rsidRDefault="008A7896" w:rsidP="00EF1C3C">
                        <w:pPr>
                          <w:rPr>
                            <w:rFonts w:ascii="Times New Roman" w:hAnsi="Times New Roman" w:cs="Times New Roman"/>
                          </w:rPr>
                        </w:pPr>
                        <w:r w:rsidRPr="00B47100">
                          <w:rPr>
                            <w:rFonts w:ascii="Times New Roman" w:hAnsi="Times New Roman" w:cs="Times New Roman"/>
                            <w:noProof/>
                            <w:lang w:eastAsia="tr-TR"/>
                          </w:rPr>
                          <w:drawing>
                            <wp:inline distT="0" distB="0" distL="0" distR="0" wp14:anchorId="5A58BD6D" wp14:editId="1967E10E">
                              <wp:extent cx="1381125" cy="1285875"/>
                              <wp:effectExtent l="0" t="0" r="9525" b="9525"/>
                              <wp:docPr id="102"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l="7582" t="13222" r="59923" b="46597"/>
                                      <a:stretch>
                                        <a:fillRect/>
                                      </a:stretch>
                                    </pic:blipFill>
                                    <pic:spPr bwMode="auto">
                                      <a:xfrm>
                                        <a:off x="0" y="0"/>
                                        <a:ext cx="1381125" cy="1285875"/>
                                      </a:xfrm>
                                      <a:prstGeom prst="rect">
                                        <a:avLst/>
                                      </a:prstGeom>
                                      <a:noFill/>
                                      <a:ln>
                                        <a:noFill/>
                                      </a:ln>
                                    </pic:spPr>
                                  </pic:pic>
                                </a:graphicData>
                              </a:graphic>
                            </wp:inline>
                          </w:drawing>
                        </w:r>
                      </w:p>
                    </w:txbxContent>
                  </v:textbox>
                </v:rect>
                <v:line id="Line 28" o:spid="_x0000_s1052" style="position:absolute;visibility:visible;mso-wrap-style:square" from="33147,24003" to="3657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4C5FD5F8"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8. Detailed flow diagram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pellet production by external gelation in this study. (LTS: Low temperature Sintering , HTS: High Temperature Sintering).</w:t>
      </w:r>
    </w:p>
    <w:p w14:paraId="13A073C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0D861CE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The external gelation set up of this study and produced ex-gel UO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microspheres are given in Figure 9.</w:t>
      </w:r>
    </w:p>
    <w:p w14:paraId="6D0F25E0"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198A36A3" wp14:editId="5EB2C749">
            <wp:extent cx="2685972" cy="2935455"/>
            <wp:effectExtent l="0" t="0" r="635" b="0"/>
            <wp:docPr id="11" name="Resim 3" descr="D:\samsung dua camerta card\2013-04-08 08.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msung dua camerta card\2013-04-08 08.58.49.jpg"/>
                    <pic:cNvPicPr>
                      <a:picLocks noChangeAspect="1" noChangeArrowheads="1"/>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2764707" cy="3021504"/>
                    </a:xfrm>
                    <a:prstGeom prst="rect">
                      <a:avLst/>
                    </a:prstGeom>
                    <a:noFill/>
                    <a:ln>
                      <a:noFill/>
                    </a:ln>
                    <a:extLst>
                      <a:ext uri="{53640926-AAD7-44D8-BBD7-CCE9431645EC}">
                        <a14:shadowObscured xmlns:a14="http://schemas.microsoft.com/office/drawing/2010/main"/>
                      </a:ext>
                    </a:extLst>
                  </pic:spPr>
                </pic:pic>
              </a:graphicData>
            </a:graphic>
          </wp:inline>
        </w:drawing>
      </w:r>
      <w:r w:rsidRPr="00DA61D7">
        <w:rPr>
          <w:rFonts w:ascii="Times New Roman" w:eastAsia="Times New Roman" w:hAnsi="Times New Roman" w:cs="Times New Roman"/>
          <w:noProof/>
          <w:sz w:val="24"/>
          <w:szCs w:val="24"/>
          <w:lang w:eastAsia="tr-TR"/>
        </w:rPr>
        <w:t xml:space="preserve"> </w:t>
      </w:r>
      <w:r w:rsidRPr="00DA61D7">
        <w:rPr>
          <w:rFonts w:ascii="Times New Roman" w:eastAsia="Times New Roman" w:hAnsi="Times New Roman" w:cs="Times New Roman"/>
          <w:noProof/>
          <w:sz w:val="24"/>
          <w:szCs w:val="24"/>
          <w:lang w:eastAsia="tr-TR"/>
        </w:rPr>
        <w:drawing>
          <wp:inline distT="0" distB="0" distL="0" distR="0" wp14:anchorId="5C1F79F6" wp14:editId="458314ED">
            <wp:extent cx="2975485" cy="2231649"/>
            <wp:effectExtent l="0" t="9207" r="6667" b="6668"/>
            <wp:docPr id="12" name="Resim 2" descr="D:\samsung dua camerta card\2013-04-03 14.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sung dua camerta card\2013-04-03 14.55.03.jp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rot="5400000">
                      <a:off x="0" y="0"/>
                      <a:ext cx="3051165" cy="2288410"/>
                    </a:xfrm>
                    <a:prstGeom prst="rect">
                      <a:avLst/>
                    </a:prstGeom>
                    <a:noFill/>
                    <a:ln w="9525">
                      <a:noFill/>
                      <a:miter lim="800000"/>
                      <a:headEnd/>
                      <a:tailEnd/>
                    </a:ln>
                  </pic:spPr>
                </pic:pic>
              </a:graphicData>
            </a:graphic>
          </wp:inline>
        </w:drawing>
      </w:r>
    </w:p>
    <w:p w14:paraId="792CF46A"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9. The external gelation set up for this study (left) and obtained ex-gel UO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microspheres (right).</w:t>
      </w:r>
    </w:p>
    <w:p w14:paraId="4CA9720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p w14:paraId="1B88698F"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bCs/>
          <w:sz w:val="24"/>
          <w:szCs w:val="24"/>
          <w:lang w:val="en-GB"/>
        </w:rPr>
      </w:pPr>
      <w:r w:rsidRPr="00DA61D7">
        <w:rPr>
          <w:rFonts w:ascii="Times New Roman" w:eastAsia="Times New Roman" w:hAnsi="Times New Roman" w:cs="Times New Roman"/>
          <w:sz w:val="24"/>
          <w:szCs w:val="24"/>
          <w:lang w:val="en-GB"/>
        </w:rPr>
        <w:t>Ex-gel UO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microspheres are reduced in H</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atmosphere in a laboratory furnace at 923 K for 2 hours and then UO</w:t>
      </w:r>
      <w:r w:rsidRPr="00DA61D7">
        <w:rPr>
          <w:rFonts w:ascii="Times New Roman" w:eastAsia="Times New Roman" w:hAnsi="Times New Roman" w:cs="Times New Roman"/>
          <w:sz w:val="24"/>
          <w:szCs w:val="24"/>
          <w:vertAlign w:val="subscript"/>
          <w:lang w:val="en-GB"/>
        </w:rPr>
        <w:t xml:space="preserve">2+x </w:t>
      </w:r>
      <w:r w:rsidRPr="00DA61D7">
        <w:rPr>
          <w:rFonts w:ascii="Times New Roman" w:eastAsia="Times New Roman" w:hAnsi="Times New Roman" w:cs="Times New Roman"/>
          <w:sz w:val="24"/>
          <w:szCs w:val="24"/>
          <w:lang w:val="en-GB"/>
        </w:rPr>
        <w:t>-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 xml:space="preserve">microspheres were obtained. These microspheres were partly milled in a mortar to obtain better pressing properties. </w:t>
      </w:r>
      <w:r w:rsidRPr="00DA61D7">
        <w:rPr>
          <w:rFonts w:ascii="Times New Roman" w:eastAsia="Times New Roman" w:hAnsi="Times New Roman" w:cs="Times New Roman"/>
          <w:bCs/>
          <w:sz w:val="24"/>
          <w:szCs w:val="24"/>
          <w:lang w:val="en-AU"/>
        </w:rPr>
        <w:t>Figure 10</w:t>
      </w:r>
      <w:r w:rsidRPr="00DA61D7">
        <w:rPr>
          <w:rFonts w:ascii="Times New Roman" w:eastAsia="Times New Roman" w:hAnsi="Times New Roman" w:cs="Times New Roman"/>
          <w:bCs/>
          <w:sz w:val="24"/>
          <w:szCs w:val="24"/>
          <w:lang w:val="en-GB"/>
        </w:rPr>
        <w:t xml:space="preserve"> shows SEM pictures of the partly milled</w:t>
      </w:r>
      <w:r w:rsidRPr="00DA61D7">
        <w:rPr>
          <w:rFonts w:ascii="Times New Roman" w:eastAsia="Times New Roman" w:hAnsi="Times New Roman" w:cs="Times New Roman"/>
          <w:b/>
          <w:bCs/>
          <w:sz w:val="24"/>
          <w:szCs w:val="24"/>
          <w:lang w:val="en-GB"/>
        </w:rPr>
        <w:t xml:space="preserve"> e</w:t>
      </w:r>
      <w:r w:rsidRPr="00DA61D7">
        <w:rPr>
          <w:rFonts w:ascii="Times New Roman" w:eastAsia="Times New Roman" w:hAnsi="Times New Roman" w:cs="Times New Roman"/>
          <w:sz w:val="24"/>
          <w:szCs w:val="24"/>
          <w:lang w:val="en-GB"/>
        </w:rPr>
        <w:t>x-gel UO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microspheres</w:t>
      </w:r>
      <w:r w:rsidRPr="00DA61D7">
        <w:rPr>
          <w:rFonts w:ascii="Times New Roman" w:eastAsia="Times New Roman" w:hAnsi="Times New Roman" w:cs="Times New Roman"/>
          <w:b/>
          <w:bCs/>
          <w:sz w:val="24"/>
          <w:szCs w:val="24"/>
          <w:lang w:val="en-GB"/>
        </w:rPr>
        <w:t>.</w:t>
      </w:r>
    </w:p>
    <w:p w14:paraId="5B4665D2" w14:textId="2E74B6BB"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bCs/>
          <w:sz w:val="24"/>
          <w:szCs w:val="24"/>
          <w:lang w:val="en-GB"/>
        </w:rPr>
      </w:pPr>
    </w:p>
    <w:p w14:paraId="36BCFF15" w14:textId="2B6B395C" w:rsidR="00EF1C3C" w:rsidRPr="00DA61D7" w:rsidRDefault="00EF1C3C" w:rsidP="00D365B6">
      <w:pPr>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3921F358" wp14:editId="57CA598B">
            <wp:extent cx="2565518" cy="1924050"/>
            <wp:effectExtent l="0" t="0" r="6350" b="0"/>
            <wp:docPr id="13" name="Resim 8" descr="F:\BADJ x35 70 C kuru 11 4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DJ x35 70 C kuru 11 4 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920" cy="1940851"/>
                    </a:xfrm>
                    <a:prstGeom prst="rect">
                      <a:avLst/>
                    </a:prstGeom>
                    <a:noFill/>
                    <a:ln w="9525">
                      <a:noFill/>
                      <a:miter lim="800000"/>
                      <a:headEnd/>
                      <a:tailEnd/>
                    </a:ln>
                  </pic:spPr>
                </pic:pic>
              </a:graphicData>
            </a:graphic>
          </wp:inline>
        </w:drawing>
      </w:r>
      <w:r w:rsidRPr="00DA61D7">
        <w:rPr>
          <w:rFonts w:ascii="Times New Roman" w:eastAsia="Times New Roman" w:hAnsi="Times New Roman" w:cs="Times New Roman"/>
          <w:noProof/>
          <w:sz w:val="24"/>
          <w:szCs w:val="24"/>
          <w:lang w:eastAsia="tr-TR"/>
        </w:rPr>
        <w:t xml:space="preserve"> </w:t>
      </w:r>
      <w:r w:rsidR="00B8121F">
        <w:rPr>
          <w:rFonts w:ascii="Times New Roman" w:eastAsia="Times New Roman" w:hAnsi="Times New Roman" w:cs="Times New Roman"/>
          <w:noProof/>
          <w:sz w:val="24"/>
          <w:szCs w:val="24"/>
          <w:lang w:eastAsia="tr-TR"/>
        </w:rPr>
        <w:t xml:space="preserve">  </w:t>
      </w:r>
      <w:r w:rsidRPr="00DA61D7">
        <w:rPr>
          <w:rFonts w:ascii="Times New Roman" w:eastAsia="Times New Roman" w:hAnsi="Times New Roman" w:cs="Times New Roman"/>
          <w:noProof/>
          <w:sz w:val="24"/>
          <w:szCs w:val="24"/>
          <w:lang w:eastAsia="tr-TR"/>
        </w:rPr>
        <w:drawing>
          <wp:inline distT="0" distB="0" distL="0" distR="0" wp14:anchorId="08CC94F9" wp14:editId="7273346D">
            <wp:extent cx="2588248" cy="1941097"/>
            <wp:effectExtent l="0" t="0" r="3175" b="2540"/>
            <wp:docPr id="14" name="Resim 9" descr="F:\BADJ 1 11 4 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DJ 1 11 4 13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5330" cy="1946408"/>
                    </a:xfrm>
                    <a:prstGeom prst="rect">
                      <a:avLst/>
                    </a:prstGeom>
                    <a:noFill/>
                    <a:ln w="9525">
                      <a:noFill/>
                      <a:miter lim="800000"/>
                      <a:headEnd/>
                      <a:tailEnd/>
                    </a:ln>
                  </pic:spPr>
                </pic:pic>
              </a:graphicData>
            </a:graphic>
          </wp:inline>
        </w:drawing>
      </w:r>
    </w:p>
    <w:p w14:paraId="0B92A1A6"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
          <w:bCs/>
          <w:sz w:val="24"/>
          <w:szCs w:val="24"/>
          <w:lang w:val="en-GB"/>
        </w:rPr>
      </w:pPr>
      <w:bookmarkStart w:id="3" w:name="_Toc476300191"/>
      <w:r w:rsidRPr="00DA61D7">
        <w:rPr>
          <w:rFonts w:ascii="Times New Roman" w:eastAsia="Times New Roman" w:hAnsi="Times New Roman" w:cs="Times New Roman"/>
          <w:bCs/>
          <w:sz w:val="24"/>
          <w:szCs w:val="24"/>
          <w:lang w:val="en-AU"/>
        </w:rPr>
        <w:t>Figure 10.</w:t>
      </w:r>
      <w:r w:rsidRPr="00DA61D7">
        <w:rPr>
          <w:rFonts w:ascii="Times New Roman" w:eastAsia="Times New Roman" w:hAnsi="Times New Roman" w:cs="Times New Roman"/>
          <w:bCs/>
          <w:sz w:val="24"/>
          <w:szCs w:val="24"/>
          <w:lang w:val="en-GB"/>
        </w:rPr>
        <w:t xml:space="preserve"> SEM pictures of the partly milled</w:t>
      </w:r>
      <w:r w:rsidRPr="00DA61D7">
        <w:rPr>
          <w:rFonts w:ascii="Times New Roman" w:eastAsia="Times New Roman" w:hAnsi="Times New Roman" w:cs="Times New Roman"/>
          <w:b/>
          <w:bCs/>
          <w:sz w:val="24"/>
          <w:szCs w:val="24"/>
          <w:lang w:val="en-GB"/>
        </w:rPr>
        <w:t xml:space="preserve"> e</w:t>
      </w:r>
      <w:r w:rsidRPr="00DA61D7">
        <w:rPr>
          <w:rFonts w:ascii="Times New Roman" w:eastAsia="Times New Roman" w:hAnsi="Times New Roman" w:cs="Times New Roman"/>
          <w:sz w:val="24"/>
          <w:szCs w:val="24"/>
          <w:lang w:val="en-GB"/>
        </w:rPr>
        <w:t>x-gel UO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microspheres</w:t>
      </w:r>
      <w:r w:rsidRPr="00DA61D7">
        <w:rPr>
          <w:rFonts w:ascii="Times New Roman" w:eastAsia="Times New Roman" w:hAnsi="Times New Roman" w:cs="Times New Roman"/>
          <w:b/>
          <w:bCs/>
          <w:sz w:val="24"/>
          <w:szCs w:val="24"/>
          <w:lang w:val="en-GB"/>
        </w:rPr>
        <w:t>.</w:t>
      </w:r>
      <w:bookmarkEnd w:id="3"/>
    </w:p>
    <w:p w14:paraId="135008B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bCs/>
          <w:sz w:val="24"/>
          <w:szCs w:val="24"/>
          <w:lang w:val="en-GB"/>
        </w:rPr>
      </w:pPr>
    </w:p>
    <w:p w14:paraId="006A284D"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bCs/>
          <w:sz w:val="24"/>
          <w:szCs w:val="24"/>
          <w:lang w:val="en-GB"/>
        </w:rPr>
      </w:pPr>
      <w:r w:rsidRPr="00DA61D7">
        <w:rPr>
          <w:rFonts w:ascii="Times New Roman" w:eastAsia="Times New Roman" w:hAnsi="Times New Roman" w:cs="Times New Roman"/>
          <w:sz w:val="24"/>
          <w:szCs w:val="24"/>
          <w:lang w:val="en-GB" w:eastAsia="tr-TR"/>
        </w:rPr>
        <w:lastRenderedPageBreak/>
        <w:t>As mentioned previously,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was prepared by Ex-ADU route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-Ex ADU) at CNAEM,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was supplied from Merck and used as received.</w:t>
      </w:r>
      <w:r w:rsidRPr="00DA61D7">
        <w:rPr>
          <w:rFonts w:ascii="Times New Roman" w:eastAsia="Times New Roman" w:hAnsi="Times New Roman" w:cs="Times New Roman"/>
          <w:b/>
          <w:sz w:val="24"/>
          <w:szCs w:val="24"/>
          <w:lang w:val="en-GB" w:eastAsia="tr-TR"/>
        </w:rPr>
        <w:t xml:space="preserve"> </w:t>
      </w:r>
      <w:r w:rsidRPr="00DA61D7">
        <w:rPr>
          <w:rFonts w:ascii="Times New Roman" w:eastAsia="Times New Roman" w:hAnsi="Times New Roman" w:cs="Times New Roman"/>
          <w:sz w:val="24"/>
          <w:szCs w:val="24"/>
          <w:lang w:val="en-GB" w:eastAsia="tr-TR"/>
        </w:rPr>
        <w:t>SEM pictures of the ADU and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-Ex ADU powders are given in Figure 11. The SEM investigations of gadolinia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powders used in this study for the powder metallurgical route are given in Figure 12.</w:t>
      </w:r>
    </w:p>
    <w:p w14:paraId="0398B5B8" w14:textId="77777777" w:rsidR="00EF1C3C" w:rsidRPr="00DA61D7" w:rsidRDefault="00EF1C3C" w:rsidP="00D365B6">
      <w:pPr>
        <w:keepNext/>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44F4618B" wp14:editId="399B3107">
            <wp:extent cx="2503167" cy="1877377"/>
            <wp:effectExtent l="0" t="0" r="0" b="8890"/>
            <wp:docPr id="15" name="Resim 35" descr="UO2-AD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O2-ADU1"/>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529093" cy="1896821"/>
                    </a:xfrm>
                    <a:prstGeom prst="rect">
                      <a:avLst/>
                    </a:prstGeom>
                    <a:noFill/>
                    <a:ln>
                      <a:noFill/>
                    </a:ln>
                  </pic:spPr>
                </pic:pic>
              </a:graphicData>
            </a:graphic>
          </wp:inline>
        </w:drawing>
      </w:r>
      <w:r w:rsidRPr="00DA61D7">
        <w:rPr>
          <w:rFonts w:ascii="Times New Roman" w:eastAsia="Times New Roman" w:hAnsi="Times New Roman" w:cs="Times New Roman"/>
          <w:noProof/>
          <w:sz w:val="24"/>
          <w:szCs w:val="24"/>
          <w:lang w:val="en-GB" w:eastAsia="tr-TR"/>
        </w:rPr>
        <w:t xml:space="preserve">  </w:t>
      </w:r>
      <w:r w:rsidRPr="00DA61D7">
        <w:rPr>
          <w:rFonts w:ascii="Times New Roman" w:eastAsia="Times New Roman" w:hAnsi="Times New Roman" w:cs="Times New Roman"/>
          <w:noProof/>
          <w:sz w:val="24"/>
          <w:szCs w:val="24"/>
          <w:lang w:eastAsia="tr-TR"/>
        </w:rPr>
        <w:drawing>
          <wp:inline distT="0" distB="0" distL="0" distR="0" wp14:anchorId="62934BD6" wp14:editId="7906A617">
            <wp:extent cx="2552700" cy="1914438"/>
            <wp:effectExtent l="0" t="0" r="0" b="0"/>
            <wp:docPr id="16" name="Resim 16" descr="F:\2012 adu ind 6 saat etv x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2 adu ind 6 saat etv x1000.bmp"/>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2576552" cy="1932326"/>
                    </a:xfrm>
                    <a:prstGeom prst="rect">
                      <a:avLst/>
                    </a:prstGeom>
                    <a:noFill/>
                    <a:ln w="9525">
                      <a:noFill/>
                      <a:miter lim="800000"/>
                      <a:headEnd/>
                      <a:tailEnd/>
                    </a:ln>
                  </pic:spPr>
                </pic:pic>
              </a:graphicData>
            </a:graphic>
          </wp:inline>
        </w:drawing>
      </w:r>
    </w:p>
    <w:p w14:paraId="147FF99D"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11. The ADU (left) and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-Ex ADU powders (right) SEM pictures.</w:t>
      </w:r>
    </w:p>
    <w:p w14:paraId="0C97A9A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p w14:paraId="3153326E" w14:textId="77777777" w:rsidR="00EF1C3C" w:rsidRPr="00DA61D7" w:rsidRDefault="00EF1C3C" w:rsidP="00D365B6">
      <w:pPr>
        <w:keepNext/>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4351EEA4" wp14:editId="5AA11088">
            <wp:extent cx="2431971" cy="1823895"/>
            <wp:effectExtent l="0" t="0" r="6985" b="5080"/>
            <wp:docPr id="17" name="Resim 7" descr="F:\Gd2O3 toz x100 19 9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d2O3 toz x100 19 9 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2938" cy="1854619"/>
                    </a:xfrm>
                    <a:prstGeom prst="rect">
                      <a:avLst/>
                    </a:prstGeom>
                    <a:noFill/>
                    <a:ln w="9525">
                      <a:noFill/>
                      <a:miter lim="800000"/>
                      <a:headEnd/>
                      <a:tailEnd/>
                    </a:ln>
                  </pic:spPr>
                </pic:pic>
              </a:graphicData>
            </a:graphic>
          </wp:inline>
        </w:drawing>
      </w:r>
      <w:r w:rsidRPr="00DA61D7">
        <w:rPr>
          <w:rFonts w:ascii="Times New Roman" w:eastAsia="Times New Roman" w:hAnsi="Times New Roman" w:cs="Times New Roman"/>
          <w:noProof/>
          <w:sz w:val="24"/>
          <w:szCs w:val="24"/>
          <w:lang w:val="en-GB" w:eastAsia="tr-TR"/>
        </w:rPr>
        <w:t xml:space="preserve">  </w:t>
      </w:r>
      <w:r w:rsidRPr="00DA61D7">
        <w:rPr>
          <w:rFonts w:ascii="Times New Roman" w:eastAsia="Times New Roman" w:hAnsi="Times New Roman" w:cs="Times New Roman"/>
          <w:noProof/>
          <w:sz w:val="24"/>
          <w:szCs w:val="24"/>
          <w:lang w:eastAsia="tr-TR"/>
        </w:rPr>
        <w:drawing>
          <wp:inline distT="0" distB="0" distL="0" distR="0" wp14:anchorId="6D18F221" wp14:editId="3B5B562C">
            <wp:extent cx="2422315" cy="1816735"/>
            <wp:effectExtent l="0" t="0" r="0" b="0"/>
            <wp:docPr id="18" name="Resim 34" descr="Gd2O3 toz x4300 19 9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2O3 toz x4300 19 9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926" cy="1829193"/>
                    </a:xfrm>
                    <a:prstGeom prst="rect">
                      <a:avLst/>
                    </a:prstGeom>
                    <a:noFill/>
                    <a:ln>
                      <a:noFill/>
                    </a:ln>
                  </pic:spPr>
                </pic:pic>
              </a:graphicData>
            </a:graphic>
          </wp:inline>
        </w:drawing>
      </w:r>
    </w:p>
    <w:p w14:paraId="5FC260AF" w14:textId="77777777" w:rsidR="00EF1C3C" w:rsidRPr="00DA61D7" w:rsidRDefault="00EF1C3C" w:rsidP="00D365B6">
      <w:pPr>
        <w:spacing w:before="120" w:afterLines="60" w:after="144" w:line="240" w:lineRule="auto"/>
        <w:ind w:firstLine="709"/>
        <w:jc w:val="center"/>
        <w:rPr>
          <w:rFonts w:ascii="Times New Roman" w:eastAsia="Times New Roman" w:hAnsi="Times New Roman" w:cs="Times New Roman"/>
          <w:bCs/>
          <w:sz w:val="24"/>
          <w:szCs w:val="24"/>
          <w:lang w:val="en-GB" w:eastAsia="tr-TR"/>
        </w:rPr>
      </w:pPr>
      <w:bookmarkStart w:id="4" w:name="_Toc476300193"/>
      <w:r w:rsidRPr="00DA61D7">
        <w:rPr>
          <w:rFonts w:ascii="Times New Roman" w:eastAsia="Times New Roman" w:hAnsi="Times New Roman" w:cs="Times New Roman"/>
          <w:bCs/>
          <w:sz w:val="24"/>
          <w:szCs w:val="24"/>
          <w:lang w:val="en-AU" w:eastAsia="tr-TR"/>
        </w:rPr>
        <w:t>Figure 12</w:t>
      </w:r>
      <w:r w:rsidRPr="00DA61D7">
        <w:rPr>
          <w:rFonts w:ascii="Times New Roman" w:eastAsia="Times New Roman" w:hAnsi="Times New Roman" w:cs="Times New Roman"/>
          <w:b/>
          <w:bCs/>
          <w:sz w:val="24"/>
          <w:szCs w:val="24"/>
          <w:lang w:val="en-AU" w:eastAsia="tr-TR"/>
        </w:rPr>
        <w:t>.</w:t>
      </w:r>
      <w:r w:rsidRPr="00DA61D7">
        <w:rPr>
          <w:rFonts w:ascii="Times New Roman" w:eastAsia="Times New Roman" w:hAnsi="Times New Roman" w:cs="Times New Roman"/>
          <w:bCs/>
          <w:sz w:val="24"/>
          <w:szCs w:val="24"/>
          <w:lang w:val="en-GB" w:eastAsia="tr-TR"/>
        </w:rPr>
        <w:t xml:space="preserve"> SEM pictures of Gd</w:t>
      </w:r>
      <w:r w:rsidRPr="00DA61D7">
        <w:rPr>
          <w:rFonts w:ascii="Times New Roman" w:eastAsia="Times New Roman" w:hAnsi="Times New Roman" w:cs="Times New Roman"/>
          <w:bCs/>
          <w:sz w:val="24"/>
          <w:szCs w:val="24"/>
          <w:vertAlign w:val="subscript"/>
          <w:lang w:val="en-GB" w:eastAsia="tr-TR"/>
        </w:rPr>
        <w:t>2</w:t>
      </w:r>
      <w:r w:rsidRPr="00DA61D7">
        <w:rPr>
          <w:rFonts w:ascii="Times New Roman" w:eastAsia="Times New Roman" w:hAnsi="Times New Roman" w:cs="Times New Roman"/>
          <w:bCs/>
          <w:sz w:val="24"/>
          <w:szCs w:val="24"/>
          <w:lang w:val="en-GB" w:eastAsia="tr-TR"/>
        </w:rPr>
        <w:t>O</w:t>
      </w:r>
      <w:r w:rsidRPr="00DA61D7">
        <w:rPr>
          <w:rFonts w:ascii="Times New Roman" w:eastAsia="Times New Roman" w:hAnsi="Times New Roman" w:cs="Times New Roman"/>
          <w:bCs/>
          <w:sz w:val="24"/>
          <w:szCs w:val="24"/>
          <w:vertAlign w:val="subscript"/>
          <w:lang w:val="en-GB" w:eastAsia="tr-TR"/>
        </w:rPr>
        <w:t>3</w:t>
      </w:r>
      <w:r w:rsidRPr="00DA61D7">
        <w:rPr>
          <w:rFonts w:ascii="Times New Roman" w:eastAsia="Times New Roman" w:hAnsi="Times New Roman" w:cs="Times New Roman"/>
          <w:bCs/>
          <w:sz w:val="24"/>
          <w:szCs w:val="24"/>
          <w:lang w:val="en-GB" w:eastAsia="tr-TR"/>
        </w:rPr>
        <w:t xml:space="preserve"> powders </w:t>
      </w:r>
      <w:bookmarkEnd w:id="4"/>
      <w:r w:rsidRPr="00DA61D7">
        <w:rPr>
          <w:rFonts w:ascii="Times New Roman" w:eastAsia="Times New Roman" w:hAnsi="Times New Roman" w:cs="Times New Roman"/>
          <w:bCs/>
          <w:sz w:val="24"/>
          <w:szCs w:val="24"/>
          <w:lang w:val="en-GB" w:eastAsia="tr-TR"/>
        </w:rPr>
        <w:t>that used in this study for PM route.</w:t>
      </w:r>
    </w:p>
    <w:p w14:paraId="3F040AD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1921B2B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 xml:space="preserve">The urania-gadolinia powders were prepared </w:t>
      </w:r>
      <w:r w:rsidRPr="00DA61D7">
        <w:rPr>
          <w:rFonts w:ascii="Times New Roman" w:eastAsia="Times New Roman" w:hAnsi="Times New Roman" w:cs="Times New Roman"/>
          <w:sz w:val="24"/>
          <w:szCs w:val="24"/>
          <w:lang w:eastAsia="tr-TR"/>
        </w:rPr>
        <w:t xml:space="preserve">by external gelation route </w:t>
      </w:r>
      <w:r w:rsidRPr="00DA61D7">
        <w:rPr>
          <w:rFonts w:ascii="Times New Roman" w:eastAsia="Times New Roman" w:hAnsi="Times New Roman" w:cs="Times New Roman"/>
          <w:sz w:val="24"/>
          <w:szCs w:val="24"/>
          <w:lang w:val="en-GB" w:eastAsia="tr-TR"/>
        </w:rPr>
        <w:t>(for the detailed flow diagram see Figure 8). These blended powders are pressed at 300 MPa using a cylindrical die with an inner diameter of 10 mm in compact form to obtain green pellets. The green pellets were sintered at 1923</w:t>
      </w:r>
      <w:r w:rsidR="00262520"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eastAsia="tr-TR"/>
        </w:rPr>
        <w:t>K under dry H</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(95% Ar volume+H</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atmosphere for 4 hours.</w:t>
      </w:r>
    </w:p>
    <w:p w14:paraId="3CD164E1"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Mechanically blended urania-gadolinia powders were also pressed in annular form at 300 MPa and then, obtained green pellets were sintered at 1923K under dry H</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(95 % Ar volume +H</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atmosphere for 4 hours. </w:t>
      </w:r>
    </w:p>
    <w:p w14:paraId="4817DC23"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Surface areas of powders were measured by BET method. The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and gadolinia powders used in this study have 3.7 m</w:t>
      </w:r>
      <w:r w:rsidRPr="00DA61D7">
        <w:rPr>
          <w:rFonts w:ascii="Times New Roman" w:eastAsia="Times New Roman" w:hAnsi="Times New Roman" w:cs="Times New Roman"/>
          <w:sz w:val="24"/>
          <w:szCs w:val="24"/>
          <w:vertAlign w:val="superscript"/>
          <w:lang w:val="en-GB" w:eastAsia="tr-TR"/>
        </w:rPr>
        <w:t>2</w:t>
      </w:r>
      <w:r w:rsidRPr="00DA61D7">
        <w:rPr>
          <w:rFonts w:ascii="Times New Roman" w:eastAsia="Times New Roman" w:hAnsi="Times New Roman" w:cs="Times New Roman"/>
          <w:sz w:val="24"/>
          <w:szCs w:val="24"/>
          <w:lang w:val="en-GB" w:eastAsia="tr-TR"/>
        </w:rPr>
        <w:t>/g and 4.8 m</w:t>
      </w:r>
      <w:r w:rsidRPr="00DA61D7">
        <w:rPr>
          <w:rFonts w:ascii="Times New Roman" w:eastAsia="Times New Roman" w:hAnsi="Times New Roman" w:cs="Times New Roman"/>
          <w:sz w:val="24"/>
          <w:szCs w:val="24"/>
          <w:vertAlign w:val="superscript"/>
          <w:lang w:val="en-GB" w:eastAsia="tr-TR"/>
        </w:rPr>
        <w:t>2</w:t>
      </w:r>
      <w:r w:rsidRPr="00DA61D7">
        <w:rPr>
          <w:rFonts w:ascii="Times New Roman" w:eastAsia="Times New Roman" w:hAnsi="Times New Roman" w:cs="Times New Roman"/>
          <w:sz w:val="24"/>
          <w:szCs w:val="24"/>
          <w:lang w:val="en-GB" w:eastAsia="tr-TR"/>
        </w:rPr>
        <w:t>/g specific surface area values, respectively. The densities of green pellets were determined by geometrical method whereas densities of sintered pellets were determined by both geometrical and immersion methods. There has been a little difference between the green densities of urania</w:t>
      </w:r>
      <w:r w:rsidR="00262520" w:rsidRPr="00DA61D7">
        <w:rPr>
          <w:rFonts w:ascii="Times New Roman" w:eastAsia="Times New Roman" w:hAnsi="Times New Roman" w:cs="Times New Roman"/>
          <w:sz w:val="24"/>
          <w:szCs w:val="24"/>
          <w:lang w:val="en-GB" w:eastAsia="tr-TR"/>
        </w:rPr>
        <w:t>-</w:t>
      </w:r>
      <w:r w:rsidRPr="00DA61D7">
        <w:rPr>
          <w:rFonts w:ascii="Times New Roman" w:eastAsia="Times New Roman" w:hAnsi="Times New Roman" w:cs="Times New Roman"/>
          <w:sz w:val="24"/>
          <w:szCs w:val="24"/>
          <w:lang w:val="en-GB" w:eastAsia="tr-TR"/>
        </w:rPr>
        <w:t>gadolina co</w:t>
      </w:r>
      <w:r w:rsidR="008402A7" w:rsidRPr="00DA61D7">
        <w:rPr>
          <w:rFonts w:ascii="Times New Roman" w:eastAsia="Times New Roman" w:hAnsi="Times New Roman" w:cs="Times New Roman"/>
          <w:sz w:val="24"/>
          <w:szCs w:val="24"/>
          <w:lang w:val="en-GB" w:eastAsia="tr-TR"/>
        </w:rPr>
        <w:t xml:space="preserve">mpact and annular green pellets. The </w:t>
      </w:r>
      <w:r w:rsidR="008A7896" w:rsidRPr="00DA61D7">
        <w:rPr>
          <w:rFonts w:ascii="Times New Roman" w:eastAsia="Times New Roman" w:hAnsi="Times New Roman" w:cs="Times New Roman"/>
          <w:sz w:val="24"/>
          <w:szCs w:val="24"/>
          <w:lang w:val="en-GB" w:eastAsia="tr-TR"/>
        </w:rPr>
        <w:t>calculated</w:t>
      </w:r>
      <w:r w:rsidR="00262520"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eastAsia="tr-TR"/>
        </w:rPr>
        <w:t>green densit</w:t>
      </w:r>
      <w:r w:rsidR="008A7896" w:rsidRPr="00DA61D7">
        <w:rPr>
          <w:rFonts w:ascii="Times New Roman" w:eastAsia="Times New Roman" w:hAnsi="Times New Roman" w:cs="Times New Roman"/>
          <w:sz w:val="24"/>
          <w:szCs w:val="24"/>
          <w:lang w:val="en-GB" w:eastAsia="tr-TR"/>
        </w:rPr>
        <w:t>y values</w:t>
      </w:r>
      <w:r w:rsidRPr="00DA61D7">
        <w:rPr>
          <w:rFonts w:ascii="Times New Roman" w:eastAsia="Times New Roman" w:hAnsi="Times New Roman" w:cs="Times New Roman"/>
          <w:sz w:val="24"/>
          <w:szCs w:val="24"/>
          <w:lang w:val="en-GB" w:eastAsia="tr-TR"/>
        </w:rPr>
        <w:t xml:space="preserve"> of compact ex-gel urania-gadolinia green pe</w:t>
      </w:r>
      <w:r w:rsidR="008402A7" w:rsidRPr="00DA61D7">
        <w:rPr>
          <w:rFonts w:ascii="Times New Roman" w:eastAsia="Times New Roman" w:hAnsi="Times New Roman" w:cs="Times New Roman"/>
          <w:sz w:val="24"/>
          <w:szCs w:val="24"/>
          <w:lang w:val="en-GB" w:eastAsia="tr-TR"/>
        </w:rPr>
        <w:t>llets</w:t>
      </w:r>
      <w:r w:rsidR="008A7896" w:rsidRPr="00DA61D7">
        <w:rPr>
          <w:rFonts w:ascii="Times New Roman" w:eastAsia="Times New Roman" w:hAnsi="Times New Roman" w:cs="Times New Roman"/>
          <w:sz w:val="24"/>
          <w:szCs w:val="24"/>
          <w:lang w:val="en-GB" w:eastAsia="tr-TR"/>
        </w:rPr>
        <w:t xml:space="preserve"> were  </w:t>
      </w:r>
      <w:r w:rsidR="008402A7" w:rsidRPr="00DA61D7">
        <w:rPr>
          <w:rFonts w:ascii="Times New Roman" w:eastAsia="Times New Roman" w:hAnsi="Times New Roman" w:cs="Times New Roman"/>
          <w:sz w:val="24"/>
          <w:szCs w:val="24"/>
          <w:lang w:val="en-GB" w:eastAsia="tr-TR"/>
        </w:rPr>
        <w:t xml:space="preserve"> </w:t>
      </w:r>
      <w:r w:rsidR="008A7896" w:rsidRPr="00DA61D7">
        <w:rPr>
          <w:rFonts w:ascii="Times New Roman" w:eastAsia="Times New Roman" w:hAnsi="Times New Roman" w:cs="Times New Roman"/>
          <w:sz w:val="24"/>
          <w:szCs w:val="24"/>
          <w:lang w:val="en-GB" w:eastAsia="tr-TR"/>
        </w:rPr>
        <w:t xml:space="preserve">% 54 TD, </w:t>
      </w:r>
      <w:r w:rsidR="00100E92" w:rsidRPr="00DA61D7">
        <w:rPr>
          <w:rFonts w:ascii="Times New Roman" w:eastAsia="Times New Roman" w:hAnsi="Times New Roman" w:cs="Times New Roman"/>
          <w:sz w:val="24"/>
          <w:szCs w:val="24"/>
          <w:lang w:val="en-GB" w:eastAsia="tr-TR"/>
        </w:rPr>
        <w:t>and annular</w:t>
      </w:r>
      <w:r w:rsidRPr="00DA61D7">
        <w:rPr>
          <w:rFonts w:ascii="Times New Roman" w:eastAsia="Times New Roman" w:hAnsi="Times New Roman" w:cs="Times New Roman"/>
          <w:sz w:val="24"/>
          <w:szCs w:val="24"/>
          <w:lang w:val="en-GB" w:eastAsia="tr-TR"/>
        </w:rPr>
        <w:t xml:space="preserve"> type powder metallurgical urania-gadolinia green pellets were  49</w:t>
      </w:r>
      <w:r w:rsidR="00262520"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eastAsia="tr-TR"/>
        </w:rPr>
        <w:lastRenderedPageBreak/>
        <w:t xml:space="preserve">% </w:t>
      </w:r>
      <w:r w:rsidR="00262520" w:rsidRPr="00DA61D7">
        <w:rPr>
          <w:rFonts w:ascii="Times New Roman" w:eastAsia="Times New Roman" w:hAnsi="Times New Roman" w:cs="Times New Roman"/>
          <w:sz w:val="24"/>
          <w:szCs w:val="24"/>
          <w:lang w:val="en-GB" w:eastAsia="tr-TR"/>
        </w:rPr>
        <w:t xml:space="preserve"> </w:t>
      </w:r>
      <w:r w:rsidR="008A7896" w:rsidRPr="00DA61D7">
        <w:rPr>
          <w:rFonts w:ascii="Times New Roman" w:eastAsia="Times New Roman" w:hAnsi="Times New Roman" w:cs="Times New Roman"/>
          <w:sz w:val="24"/>
          <w:szCs w:val="24"/>
          <w:lang w:val="en-GB" w:eastAsia="tr-TR"/>
        </w:rPr>
        <w:t xml:space="preserve">(TD) </w:t>
      </w:r>
      <w:r w:rsidRPr="00DA61D7">
        <w:rPr>
          <w:rFonts w:ascii="Times New Roman" w:eastAsia="Times New Roman" w:hAnsi="Times New Roman" w:cs="Times New Roman"/>
          <w:sz w:val="24"/>
          <w:szCs w:val="24"/>
          <w:lang w:val="en-GB" w:eastAsia="tr-TR"/>
        </w:rPr>
        <w:t>. The sintered densities of the urania-gadolinia burnable absorber nuclear fuel pellets produced by sol gel and powder metallurgical routes were reached approximately 93% TD and 95% TD, respectively.</w:t>
      </w:r>
    </w:p>
    <w:p w14:paraId="566500B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eastAsia="tr-TR"/>
        </w:rPr>
        <w:tab/>
        <w:t>Solid state investigations were carried out by x-ray diffraction (XRD), the morphological and micro-structural investigations were carried out by scanning electron microscopy (SEM). Homogeneity and elemental distributions of sintered bodies were investigated by EDAX mapping method.</w:t>
      </w:r>
    </w:p>
    <w:p w14:paraId="7BD9F3DA"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XRD diagrams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w:t>
      </w:r>
      <w:r w:rsidRPr="00DA61D7">
        <w:rPr>
          <w:rFonts w:ascii="Times New Roman" w:eastAsia="Times New Roman" w:hAnsi="Times New Roman" w:cs="Times New Roman"/>
          <w:sz w:val="24"/>
          <w:szCs w:val="24"/>
          <w:vertAlign w:val="subscript"/>
          <w:lang w:val="en-GB" w:eastAsia="tr-TR"/>
        </w:rPr>
        <w:t xml:space="preserve"> </w:t>
      </w:r>
      <w:r w:rsidRPr="00DA61D7">
        <w:rPr>
          <w:rFonts w:ascii="Times New Roman" w:eastAsia="Times New Roman" w:hAnsi="Times New Roman" w:cs="Times New Roman"/>
          <w:sz w:val="24"/>
          <w:szCs w:val="24"/>
          <w:lang w:val="en-GB" w:eastAsia="tr-TR"/>
        </w:rPr>
        <w:t>ex- ADU and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powders are given in Figure 13 and Figure 14,respectively.</w:t>
      </w:r>
      <w:r w:rsidRPr="00DA61D7">
        <w:rPr>
          <w:rFonts w:ascii="Times New Roman" w:eastAsia="Times New Roman" w:hAnsi="Times New Roman" w:cs="Times New Roman"/>
          <w:noProof/>
          <w:sz w:val="24"/>
          <w:szCs w:val="24"/>
          <w:lang w:eastAsia="tr-TR"/>
        </w:rPr>
        <w:drawing>
          <wp:inline distT="0" distB="0" distL="0" distR="0" wp14:anchorId="3C1B51AB" wp14:editId="7F18E502">
            <wp:extent cx="5753100" cy="2560845"/>
            <wp:effectExtent l="0" t="0" r="0" b="0"/>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7686" cy="2562886"/>
                    </a:xfrm>
                    <a:prstGeom prst="rect">
                      <a:avLst/>
                    </a:prstGeom>
                    <a:noFill/>
                    <a:ln w="9525">
                      <a:noFill/>
                      <a:miter lim="800000"/>
                      <a:headEnd/>
                      <a:tailEnd/>
                    </a:ln>
                  </pic:spPr>
                </pic:pic>
              </a:graphicData>
            </a:graphic>
          </wp:inline>
        </w:drawing>
      </w:r>
    </w:p>
    <w:p w14:paraId="736CDDF0"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13.  XRD diagram of UO</w:t>
      </w:r>
      <w:r w:rsidRPr="00DA61D7">
        <w:rPr>
          <w:rFonts w:ascii="Times New Roman" w:eastAsia="Times New Roman" w:hAnsi="Times New Roman" w:cs="Times New Roman"/>
          <w:sz w:val="24"/>
          <w:szCs w:val="24"/>
          <w:vertAlign w:val="subscript"/>
          <w:lang w:val="en-GB" w:eastAsia="tr-TR"/>
        </w:rPr>
        <w:t xml:space="preserve">2 </w:t>
      </w:r>
      <w:r w:rsidRPr="00DA61D7">
        <w:rPr>
          <w:rFonts w:ascii="Times New Roman" w:eastAsia="Times New Roman" w:hAnsi="Times New Roman" w:cs="Times New Roman"/>
          <w:sz w:val="24"/>
          <w:szCs w:val="24"/>
          <w:lang w:val="en-GB" w:eastAsia="tr-TR"/>
        </w:rPr>
        <w:t>powders produced by Ex- ADU route.</w:t>
      </w:r>
    </w:p>
    <w:p w14:paraId="328B482F"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Calibri" w:hAnsi="Times New Roman" w:cs="Times New Roman"/>
          <w:noProof/>
          <w:sz w:val="24"/>
          <w:szCs w:val="24"/>
          <w:lang w:eastAsia="tr-TR"/>
        </w:rPr>
        <w:drawing>
          <wp:inline distT="0" distB="0" distL="0" distR="0" wp14:anchorId="79168066" wp14:editId="60DA6578">
            <wp:extent cx="5263376" cy="3352352"/>
            <wp:effectExtent l="0" t="0" r="0" b="635"/>
            <wp:docPr id="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5273872" cy="3359037"/>
                    </a:xfrm>
                    <a:prstGeom prst="rect">
                      <a:avLst/>
                    </a:prstGeom>
                    <a:noFill/>
                    <a:ln w="9525">
                      <a:noFill/>
                      <a:miter lim="800000"/>
                      <a:headEnd/>
                      <a:tailEnd/>
                    </a:ln>
                  </pic:spPr>
                </pic:pic>
              </a:graphicData>
            </a:graphic>
          </wp:inline>
        </w:drawing>
      </w:r>
    </w:p>
    <w:p w14:paraId="245D00A1"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14. XRD diagram of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powders</w:t>
      </w:r>
    </w:p>
    <w:p w14:paraId="1EEDD3E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24E69C8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X - Ray diffraction diagram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powder produced by external gelation is given in Figure 15. X - Ray diffraction diagrams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annular type pellets fabricated by PM route i.e. mechanical blending and sintering are given in Figure 16.  </w:t>
      </w:r>
    </w:p>
    <w:p w14:paraId="3E0FEAE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noProof/>
          <w:sz w:val="24"/>
          <w:szCs w:val="24"/>
          <w:lang w:eastAsia="tr-TR"/>
        </w:rPr>
        <w:drawing>
          <wp:inline distT="0" distB="0" distL="0" distR="0" wp14:anchorId="551BC935" wp14:editId="7EA2FED4">
            <wp:extent cx="5553075" cy="3086038"/>
            <wp:effectExtent l="0" t="0" r="0"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1393" cy="3096218"/>
                    </a:xfrm>
                    <a:prstGeom prst="rect">
                      <a:avLst/>
                    </a:prstGeom>
                    <a:noFill/>
                    <a:ln>
                      <a:noFill/>
                    </a:ln>
                  </pic:spPr>
                </pic:pic>
              </a:graphicData>
            </a:graphic>
          </wp:inline>
        </w:drawing>
      </w:r>
      <w:r w:rsidRPr="00DA61D7">
        <w:rPr>
          <w:rFonts w:ascii="Times New Roman" w:eastAsia="Times New Roman" w:hAnsi="Times New Roman" w:cs="Times New Roman"/>
          <w:sz w:val="24"/>
          <w:szCs w:val="24"/>
          <w:lang w:val="en-GB" w:eastAsia="tr-TR"/>
        </w:rPr>
        <w:t xml:space="preserve"> </w:t>
      </w:r>
    </w:p>
    <w:p w14:paraId="03B4073A"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15. X - Ray diffraction diagram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powder produced by external gelation.</w:t>
      </w:r>
    </w:p>
    <w:p w14:paraId="2C85E4F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27AE51C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noProof/>
          <w:sz w:val="24"/>
          <w:szCs w:val="24"/>
          <w:lang w:eastAsia="tr-TR"/>
        </w:rPr>
        <w:drawing>
          <wp:inline distT="0" distB="0" distL="0" distR="0" wp14:anchorId="5620ECF1" wp14:editId="5246BB82">
            <wp:extent cx="5257800" cy="3219235"/>
            <wp:effectExtent l="0" t="0" r="0" b="63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925" cy="3230945"/>
                    </a:xfrm>
                    <a:prstGeom prst="rect">
                      <a:avLst/>
                    </a:prstGeom>
                    <a:noFill/>
                    <a:ln>
                      <a:noFill/>
                    </a:ln>
                  </pic:spPr>
                </pic:pic>
              </a:graphicData>
            </a:graphic>
          </wp:inline>
        </w:drawing>
      </w:r>
    </w:p>
    <w:p w14:paraId="6583AB36"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16.  XRD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annular type pellets fabricated by PM route.</w:t>
      </w:r>
    </w:p>
    <w:p w14:paraId="074C1CC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0DF794F8"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In another study (Wang, 2015), the sintering behaviour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pellets and solid state investigations were examined using dilatometer and x-ray diffractometer, respectively. The X-ray diffraction diagrams of TiO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doped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and undoped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pellets are given in Figure 17. </w:t>
      </w:r>
    </w:p>
    <w:p w14:paraId="6E1AAFC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 xml:space="preserve">. </w:t>
      </w:r>
    </w:p>
    <w:p w14:paraId="10D7572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3036C9B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noProof/>
          <w:sz w:val="24"/>
          <w:szCs w:val="24"/>
          <w:lang w:eastAsia="tr-TR"/>
        </w:rPr>
        <w:drawing>
          <wp:inline distT="0" distB="0" distL="0" distR="0" wp14:anchorId="4196A128" wp14:editId="4AB158AB">
            <wp:extent cx="5364480" cy="3430878"/>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5369010" cy="3433775"/>
                    </a:xfrm>
                    <a:prstGeom prst="rect">
                      <a:avLst/>
                    </a:prstGeom>
                    <a:noFill/>
                    <a:ln w="9525">
                      <a:noFill/>
                      <a:miter lim="800000"/>
                      <a:headEnd/>
                      <a:tailEnd/>
                    </a:ln>
                  </pic:spPr>
                </pic:pic>
              </a:graphicData>
            </a:graphic>
          </wp:inline>
        </w:drawing>
      </w:r>
    </w:p>
    <w:p w14:paraId="40E5F9FA"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17.  The X-ray diffraction diagrams of TiO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xml:space="preserve"> doped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Pr="00DA61D7">
        <w:rPr>
          <w:rFonts w:ascii="Times New Roman" w:eastAsia="Times New Roman" w:hAnsi="Times New Roman" w:cs="Times New Roman"/>
          <w:sz w:val="24"/>
          <w:szCs w:val="24"/>
          <w:lang w:val="en-GB" w:eastAsia="tr-TR"/>
        </w:rPr>
        <w:t xml:space="preserve"> and undoped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 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3</w:t>
      </w:r>
      <w:r w:rsidR="005F4AB6" w:rsidRPr="00DA61D7">
        <w:rPr>
          <w:rFonts w:ascii="Times New Roman" w:eastAsia="Times New Roman" w:hAnsi="Times New Roman" w:cs="Times New Roman"/>
          <w:sz w:val="24"/>
          <w:szCs w:val="24"/>
          <w:lang w:val="en-GB" w:eastAsia="tr-TR"/>
        </w:rPr>
        <w:t xml:space="preserve"> pellets (Wang</w:t>
      </w:r>
      <w:r w:rsidR="00262520" w:rsidRPr="00DA61D7">
        <w:rPr>
          <w:rFonts w:ascii="Times New Roman" w:eastAsia="Times New Roman" w:hAnsi="Times New Roman" w:cs="Times New Roman"/>
          <w:sz w:val="24"/>
          <w:szCs w:val="24"/>
          <w:lang w:val="en-GB" w:eastAsia="tr-TR"/>
        </w:rPr>
        <w:t>,</w:t>
      </w:r>
      <w:r w:rsidR="005F4AB6"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eastAsia="tr-TR"/>
        </w:rPr>
        <w:t xml:space="preserve"> 2015).</w:t>
      </w:r>
    </w:p>
    <w:p w14:paraId="51B3CD00"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79CC6964"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In this study, the sintering behaviour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pellets were investigated by dilatometer. The sintering curve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pellets produced by external gelation is given in Figure 19</w:t>
      </w:r>
    </w:p>
    <w:p w14:paraId="31F40CDA"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sz w:val="24"/>
          <w:szCs w:val="24"/>
          <w:lang w:val="en-GB" w:eastAsia="tr-TR"/>
        </w:rPr>
      </w:pPr>
      <w:r w:rsidRPr="00DA61D7">
        <w:rPr>
          <w:rFonts w:ascii="Times New Roman" w:eastAsia="Times New Roman" w:hAnsi="Times New Roman" w:cs="Times New Roman"/>
          <w:noProof/>
          <w:sz w:val="24"/>
          <w:szCs w:val="24"/>
          <w:lang w:eastAsia="tr-TR"/>
        </w:rPr>
        <w:lastRenderedPageBreak/>
        <w:drawing>
          <wp:inline distT="0" distB="0" distL="0" distR="0" wp14:anchorId="10A3697F" wp14:editId="6812EAA7">
            <wp:extent cx="5276850" cy="2676525"/>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14:paraId="7A9DD3D8"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18.</w:t>
      </w:r>
      <w:r w:rsidRPr="00DA61D7">
        <w:rPr>
          <w:rFonts w:ascii="Times New Roman" w:eastAsia="Times New Roman" w:hAnsi="Times New Roman" w:cs="Times New Roman"/>
          <w:b/>
          <w:sz w:val="24"/>
          <w:szCs w:val="24"/>
          <w:lang w:val="en-GB" w:eastAsia="tr-TR"/>
        </w:rPr>
        <w:t xml:space="preserve"> </w:t>
      </w:r>
      <w:r w:rsidRPr="00DA61D7">
        <w:rPr>
          <w:rFonts w:ascii="Times New Roman" w:eastAsia="Times New Roman" w:hAnsi="Times New Roman" w:cs="Times New Roman"/>
          <w:sz w:val="24"/>
          <w:szCs w:val="24"/>
          <w:lang w:val="en-GB" w:eastAsia="tr-TR"/>
        </w:rPr>
        <w:t>The sintering curve of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pellets produced by external gelation.</w:t>
      </w:r>
    </w:p>
    <w:p w14:paraId="13D4FEB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eastAsia="tr-TR"/>
        </w:rPr>
      </w:pPr>
    </w:p>
    <w:p w14:paraId="6D3C1555"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color w:val="FFFFFF"/>
          <w:sz w:val="24"/>
          <w:szCs w:val="24"/>
          <w:lang w:val="en-GB" w:eastAsia="tr-TR"/>
        </w:rPr>
      </w:pPr>
      <w:r w:rsidRPr="00DA61D7">
        <w:rPr>
          <w:rFonts w:ascii="Times New Roman" w:eastAsia="Times New Roman" w:hAnsi="Times New Roman" w:cs="Times New Roman"/>
          <w:noProof/>
          <w:sz w:val="24"/>
          <w:szCs w:val="24"/>
          <w:lang w:eastAsia="tr-TR"/>
        </w:rPr>
        <w:drawing>
          <wp:inline distT="0" distB="0" distL="0" distR="0" wp14:anchorId="38C0E761" wp14:editId="5B793E7E">
            <wp:extent cx="5924550" cy="31337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3133725"/>
                    </a:xfrm>
                    <a:prstGeom prst="rect">
                      <a:avLst/>
                    </a:prstGeom>
                    <a:noFill/>
                    <a:ln>
                      <a:noFill/>
                    </a:ln>
                  </pic:spPr>
                </pic:pic>
              </a:graphicData>
            </a:graphic>
          </wp:inline>
        </w:drawing>
      </w:r>
    </w:p>
    <w:p w14:paraId="350B44D5"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sz w:val="24"/>
          <w:szCs w:val="24"/>
          <w:lang w:val="en-GB" w:eastAsia="tr-TR"/>
        </w:rPr>
        <w:t>Figure 19. The sintering behaviour of PM route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pellets</w:t>
      </w:r>
      <w:r w:rsidRPr="00DA61D7">
        <w:rPr>
          <w:rFonts w:ascii="Times New Roman" w:eastAsia="Times New Roman" w:hAnsi="Times New Roman" w:cs="Times New Roman"/>
          <w:sz w:val="24"/>
          <w:szCs w:val="24"/>
          <w:vertAlign w:val="subscript"/>
          <w:lang w:val="en-GB" w:eastAsia="tr-TR"/>
        </w:rPr>
        <w:t xml:space="preserve"> </w:t>
      </w:r>
      <w:r w:rsidR="005F4AB6" w:rsidRPr="00DA61D7">
        <w:rPr>
          <w:rFonts w:ascii="Times New Roman" w:eastAsia="Times New Roman" w:hAnsi="Times New Roman" w:cs="Times New Roman"/>
          <w:sz w:val="24"/>
          <w:szCs w:val="24"/>
          <w:lang w:val="en-GB" w:eastAsia="tr-TR"/>
        </w:rPr>
        <w:t>(Wang</w:t>
      </w:r>
      <w:r w:rsidR="00262520" w:rsidRPr="00DA61D7">
        <w:rPr>
          <w:rFonts w:ascii="Times New Roman" w:eastAsia="Times New Roman" w:hAnsi="Times New Roman" w:cs="Times New Roman"/>
          <w:sz w:val="24"/>
          <w:szCs w:val="24"/>
          <w:lang w:val="en-GB" w:eastAsia="tr-TR"/>
        </w:rPr>
        <w:t>,</w:t>
      </w:r>
      <w:r w:rsidR="005F4AB6"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eastAsia="tr-TR"/>
        </w:rPr>
        <w:t xml:space="preserve"> 2015).</w:t>
      </w:r>
    </w:p>
    <w:p w14:paraId="0C5C6909"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sz w:val="24"/>
          <w:szCs w:val="24"/>
          <w:lang w:val="en-GB" w:eastAsia="tr-TR"/>
        </w:rPr>
      </w:pPr>
    </w:p>
    <w:p w14:paraId="503646F3" w14:textId="2D8F0AC1"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Wang et al. examined the sintering behaviour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with different amount TiO</w:t>
      </w:r>
      <w:r w:rsidRPr="00DA61D7">
        <w:rPr>
          <w:rFonts w:ascii="Times New Roman" w:eastAsia="Times New Roman" w:hAnsi="Times New Roman" w:cs="Times New Roman"/>
          <w:sz w:val="24"/>
          <w:szCs w:val="24"/>
          <w:vertAlign w:val="subscript"/>
          <w:lang w:val="en-GB"/>
        </w:rPr>
        <w:t>2</w:t>
      </w:r>
      <w:r w:rsidR="00B47100">
        <w:rPr>
          <w:rFonts w:ascii="Times New Roman" w:eastAsia="Times New Roman" w:hAnsi="Times New Roman" w:cs="Times New Roman"/>
          <w:sz w:val="24"/>
          <w:szCs w:val="24"/>
          <w:lang w:val="en-GB"/>
        </w:rPr>
        <w:t xml:space="preserve"> additives in their study (Wang et. al.,</w:t>
      </w:r>
      <w:r w:rsidRPr="00DA61D7">
        <w:rPr>
          <w:rFonts w:ascii="Times New Roman" w:eastAsia="Times New Roman" w:hAnsi="Times New Roman" w:cs="Times New Roman"/>
          <w:sz w:val="24"/>
          <w:szCs w:val="24"/>
          <w:lang w:val="en-GB"/>
        </w:rPr>
        <w:t xml:space="preserve"> 2015) using the dilatometer. The experimental data achieved in that study is given in Figure 19. As can be seen from the results, the increase in the shrinkage rate started at lower temperatures with the increase in the TiO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amount. The results achieved for the undoped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pellet is consistent with our experimental studies.</w:t>
      </w:r>
    </w:p>
    <w:p w14:paraId="4D4CB975" w14:textId="3CDD4DFD" w:rsidR="003D079D" w:rsidRPr="00DA61D7" w:rsidRDefault="003D079D"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lastRenderedPageBreak/>
        <w:t>The USA continues to work on these issues in the form of state-sponsored projects on a national strategy scale (</w:t>
      </w:r>
      <w:r w:rsidR="00B47100">
        <w:rPr>
          <w:rFonts w:ascii="Times New Roman" w:eastAsia="Times New Roman" w:hAnsi="Times New Roman" w:cs="Times New Roman"/>
          <w:sz w:val="24"/>
          <w:szCs w:val="24"/>
          <w:lang w:val="en-GB"/>
        </w:rPr>
        <w:t>Grossbeck et. al,</w:t>
      </w:r>
      <w:r w:rsidR="000774BD">
        <w:rPr>
          <w:rFonts w:ascii="Times New Roman" w:eastAsia="Times New Roman" w:hAnsi="Times New Roman" w:cs="Times New Roman"/>
          <w:sz w:val="24"/>
          <w:szCs w:val="24"/>
          <w:lang w:val="en-GB"/>
        </w:rPr>
        <w:t xml:space="preserve"> 2003; NUREG, 2000; Venneri, </w:t>
      </w:r>
      <w:r w:rsidR="000774BD">
        <w:rPr>
          <w:rFonts w:ascii="Times New Roman" w:eastAsia="Times New Roman" w:hAnsi="Times New Roman" w:cs="Times New Roman"/>
          <w:bCs/>
          <w:sz w:val="24"/>
          <w:szCs w:val="24"/>
          <w:lang w:val="en-GB"/>
        </w:rPr>
        <w:t xml:space="preserve">Michael &amp;Yonghee, </w:t>
      </w:r>
      <w:r w:rsidRPr="00DA61D7">
        <w:rPr>
          <w:rFonts w:ascii="Times New Roman" w:eastAsia="Times New Roman" w:hAnsi="Times New Roman" w:cs="Times New Roman"/>
          <w:sz w:val="24"/>
          <w:szCs w:val="24"/>
          <w:lang w:val="en-GB"/>
        </w:rPr>
        <w:t xml:space="preserve"> 2017). Studies on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are being carried out regarding the burnable absorbers, not only in nuclear power reactors but also in space studies in the USA (</w:t>
      </w:r>
      <w:r w:rsidR="000774BD">
        <w:rPr>
          <w:rFonts w:ascii="Times New Roman" w:eastAsia="Times New Roman" w:hAnsi="Times New Roman" w:cs="Times New Roman"/>
          <w:sz w:val="24"/>
          <w:szCs w:val="24"/>
          <w:lang w:val="en-GB"/>
        </w:rPr>
        <w:t xml:space="preserve">Venneri, </w:t>
      </w:r>
      <w:r w:rsidR="000774BD">
        <w:rPr>
          <w:rFonts w:ascii="Times New Roman" w:eastAsia="Times New Roman" w:hAnsi="Times New Roman" w:cs="Times New Roman"/>
          <w:bCs/>
          <w:sz w:val="24"/>
          <w:szCs w:val="24"/>
          <w:lang w:val="en-GB"/>
        </w:rPr>
        <w:t>Michael &amp;Yonghee</w:t>
      </w:r>
      <w:r w:rsidRPr="00DA61D7">
        <w:rPr>
          <w:rFonts w:ascii="Times New Roman" w:eastAsia="Times New Roman" w:hAnsi="Times New Roman" w:cs="Times New Roman"/>
          <w:sz w:val="24"/>
          <w:szCs w:val="24"/>
          <w:lang w:val="en-GB"/>
        </w:rPr>
        <w:t>, 2017)</w:t>
      </w:r>
    </w:p>
    <w:p w14:paraId="1373ADE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In this study, the sintering process was carried out using Linn H Moly high temperature atmosphere controlled static bed furnace, the sintering behaviours were examined using in NETZSCH 402 C Dilatometer, solid state investigations were performed using D8 BRUKER Advance X-Ray Diffractometer, microstructural and EDAX investigations were carried out using JEOL 6390Scanning Electron Microscope (SEM).</w:t>
      </w:r>
    </w:p>
    <w:p w14:paraId="57E315B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In this study the sintering process is carried out at 1973 K for 4 hours under hydrogen argon atmosphere mixture in a static bed controlled atmosphere furnace. The high temperature sintering furnace screen and sintered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compact pellets produced by sol-gel route and annular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produced by powder metallurgical route are given in Figure 20.</w:t>
      </w:r>
    </w:p>
    <w:p w14:paraId="3DC4DA0F"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Ceramographic examinations in sintered pellets were carried out by SEM. SEM images and SEM –EDAX investigations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sintered pellets prepared by powder metallurgical method are given in Figure 21 and Figure 22, respectively. </w:t>
      </w:r>
    </w:p>
    <w:p w14:paraId="43EE3D5A"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 SEM-EDAX elemental mapping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prepared by powder metallurgical method is given in Figure 23. Microstructural SEM investigation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prepared by external gelation are presented in Figure 24. </w:t>
      </w:r>
    </w:p>
    <w:p w14:paraId="25B47F9C"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
        </w:rPr>
      </w:pPr>
      <w:r w:rsidRPr="00DA61D7">
        <w:rPr>
          <w:rFonts w:ascii="Times New Roman" w:eastAsia="Times New Roman" w:hAnsi="Times New Roman" w:cs="Times New Roman"/>
          <w:sz w:val="24"/>
          <w:szCs w:val="24"/>
          <w:lang w:val="en"/>
        </w:rPr>
        <w:t xml:space="preserve"> </w:t>
      </w:r>
    </w:p>
    <w:p w14:paraId="18905C51" w14:textId="2C0838CF"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eastAsia="tr-TR"/>
        </w:rPr>
      </w:pPr>
      <w:r w:rsidRPr="00DA61D7">
        <w:rPr>
          <w:rFonts w:ascii="Times New Roman" w:eastAsia="Times New Roman" w:hAnsi="Times New Roman" w:cs="Times New Roman"/>
          <w:noProof/>
          <w:sz w:val="24"/>
          <w:szCs w:val="24"/>
          <w:lang w:eastAsia="tr-TR"/>
        </w:rPr>
        <w:drawing>
          <wp:inline distT="0" distB="0" distL="0" distR="0" wp14:anchorId="555F41D6" wp14:editId="354023AE">
            <wp:extent cx="1404261" cy="1111445"/>
            <wp:effectExtent l="0" t="0" r="5715" b="0"/>
            <wp:docPr id="26" name="Resim 9" descr="2012-10-16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2-10-16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530202" cy="1211125"/>
                    </a:xfrm>
                    <a:prstGeom prst="rect">
                      <a:avLst/>
                    </a:prstGeom>
                    <a:noFill/>
                    <a:ln>
                      <a:noFill/>
                    </a:ln>
                    <a:extLst>
                      <a:ext uri="{53640926-AAD7-44D8-BBD7-CCE9431645EC}">
                        <a14:shadowObscured xmlns:a14="http://schemas.microsoft.com/office/drawing/2010/main"/>
                      </a:ext>
                    </a:extLst>
                  </pic:spPr>
                </pic:pic>
              </a:graphicData>
            </a:graphic>
          </wp:inline>
        </w:drawing>
      </w:r>
      <w:r w:rsidRPr="00DA61D7">
        <w:rPr>
          <w:rFonts w:ascii="Times New Roman" w:eastAsia="Times New Roman" w:hAnsi="Times New Roman" w:cs="Times New Roman"/>
          <w:noProof/>
          <w:sz w:val="24"/>
          <w:szCs w:val="24"/>
          <w:lang w:eastAsia="tr-TR"/>
        </w:rPr>
        <w:drawing>
          <wp:inline distT="0" distB="0" distL="0" distR="0" wp14:anchorId="010637D2" wp14:editId="090D09EE">
            <wp:extent cx="1907787" cy="106998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976456" cy="1108502"/>
                    </a:xfrm>
                    <a:prstGeom prst="rect">
                      <a:avLst/>
                    </a:prstGeom>
                    <a:noFill/>
                    <a:ln>
                      <a:noFill/>
                    </a:ln>
                    <a:extLst>
                      <a:ext uri="{53640926-AAD7-44D8-BBD7-CCE9431645EC}">
                        <a14:shadowObscured xmlns:a14="http://schemas.microsoft.com/office/drawing/2010/main"/>
                      </a:ext>
                    </a:extLst>
                  </pic:spPr>
                </pic:pic>
              </a:graphicData>
            </a:graphic>
          </wp:inline>
        </w:drawing>
      </w:r>
    </w:p>
    <w:p w14:paraId="75323E54" w14:textId="77777777" w:rsidR="00EF1C3C" w:rsidRPr="00DA61D7" w:rsidRDefault="00EF1C3C" w:rsidP="00D365B6">
      <w:pPr>
        <w:keepNext/>
        <w:overflowPunct w:val="0"/>
        <w:autoSpaceDE w:val="0"/>
        <w:autoSpaceDN w:val="0"/>
        <w:adjustRightInd w:val="0"/>
        <w:spacing w:afterLines="60" w:after="144" w:line="240" w:lineRule="auto"/>
        <w:ind w:firstLine="709"/>
        <w:jc w:val="center"/>
        <w:textAlignment w:val="baseline"/>
        <w:rPr>
          <w:rFonts w:ascii="Times New Roman" w:eastAsia="Calibri" w:hAnsi="Times New Roman" w:cs="Times New Roman"/>
          <w:sz w:val="24"/>
          <w:szCs w:val="24"/>
        </w:rPr>
      </w:pPr>
      <w:r w:rsidRPr="00DA61D7">
        <w:rPr>
          <w:rFonts w:ascii="Times New Roman" w:eastAsia="Times New Roman" w:hAnsi="Times New Roman" w:cs="Times New Roman"/>
          <w:noProof/>
          <w:sz w:val="24"/>
          <w:szCs w:val="24"/>
          <w:lang w:eastAsia="tr-TR"/>
        </w:rPr>
        <w:drawing>
          <wp:inline distT="0" distB="0" distL="0" distR="0" wp14:anchorId="748190FB" wp14:editId="087C8508">
            <wp:extent cx="3550920" cy="192637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607836" cy="1957247"/>
                    </a:xfrm>
                    <a:prstGeom prst="rect">
                      <a:avLst/>
                    </a:prstGeom>
                    <a:noFill/>
                    <a:ln>
                      <a:noFill/>
                    </a:ln>
                    <a:extLst>
                      <a:ext uri="{53640926-AAD7-44D8-BBD7-CCE9431645EC}">
                        <a14:shadowObscured xmlns:a14="http://schemas.microsoft.com/office/drawing/2010/main"/>
                      </a:ext>
                    </a:extLst>
                  </pic:spPr>
                </pic:pic>
              </a:graphicData>
            </a:graphic>
          </wp:inline>
        </w:drawing>
      </w:r>
    </w:p>
    <w:p w14:paraId="238E117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Cs/>
          <w:sz w:val="24"/>
          <w:szCs w:val="24"/>
          <w:lang w:val="en-GB" w:eastAsia="tr-TR"/>
        </w:rPr>
      </w:pPr>
    </w:p>
    <w:p w14:paraId="1C4163FE"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Cs/>
          <w:sz w:val="24"/>
          <w:szCs w:val="24"/>
          <w:lang w:val="en-GB" w:eastAsia="tr-TR"/>
        </w:rPr>
      </w:pPr>
      <w:r w:rsidRPr="00DA61D7">
        <w:rPr>
          <w:rFonts w:ascii="Times New Roman" w:eastAsia="Times New Roman" w:hAnsi="Times New Roman" w:cs="Times New Roman"/>
          <w:bCs/>
          <w:sz w:val="24"/>
          <w:szCs w:val="24"/>
          <w:lang w:val="en-GB" w:eastAsia="tr-TR"/>
        </w:rPr>
        <w:t>Figure 20. The high temperature sintering furnace screen and sintered UO</w:t>
      </w:r>
      <w:r w:rsidRPr="00DA61D7">
        <w:rPr>
          <w:rFonts w:ascii="Times New Roman" w:eastAsia="Times New Roman" w:hAnsi="Times New Roman" w:cs="Times New Roman"/>
          <w:bCs/>
          <w:sz w:val="24"/>
          <w:szCs w:val="24"/>
          <w:vertAlign w:val="subscript"/>
          <w:lang w:val="en-GB" w:eastAsia="tr-TR"/>
        </w:rPr>
        <w:t>2</w:t>
      </w:r>
      <w:r w:rsidRPr="00DA61D7">
        <w:rPr>
          <w:rFonts w:ascii="Times New Roman" w:eastAsia="Times New Roman" w:hAnsi="Times New Roman" w:cs="Times New Roman"/>
          <w:bCs/>
          <w:sz w:val="24"/>
          <w:szCs w:val="24"/>
          <w:lang w:val="en-GB" w:eastAsia="tr-TR"/>
        </w:rPr>
        <w:t>-Gd</w:t>
      </w:r>
      <w:r w:rsidRPr="00DA61D7">
        <w:rPr>
          <w:rFonts w:ascii="Times New Roman" w:eastAsia="Times New Roman" w:hAnsi="Times New Roman" w:cs="Times New Roman"/>
          <w:bCs/>
          <w:sz w:val="24"/>
          <w:szCs w:val="24"/>
          <w:vertAlign w:val="subscript"/>
          <w:lang w:val="en-GB" w:eastAsia="tr-TR"/>
        </w:rPr>
        <w:t>2</w:t>
      </w:r>
      <w:r w:rsidRPr="00DA61D7">
        <w:rPr>
          <w:rFonts w:ascii="Times New Roman" w:eastAsia="Times New Roman" w:hAnsi="Times New Roman" w:cs="Times New Roman"/>
          <w:bCs/>
          <w:sz w:val="24"/>
          <w:szCs w:val="24"/>
          <w:lang w:val="en-GB" w:eastAsia="tr-TR"/>
        </w:rPr>
        <w:t>O</w:t>
      </w:r>
      <w:r w:rsidRPr="00DA61D7">
        <w:rPr>
          <w:rFonts w:ascii="Times New Roman" w:eastAsia="Times New Roman" w:hAnsi="Times New Roman" w:cs="Times New Roman"/>
          <w:bCs/>
          <w:sz w:val="24"/>
          <w:szCs w:val="24"/>
          <w:vertAlign w:val="subscript"/>
          <w:lang w:val="en-GB" w:eastAsia="tr-TR"/>
        </w:rPr>
        <w:t>3</w:t>
      </w:r>
      <w:r w:rsidRPr="00DA61D7">
        <w:rPr>
          <w:rFonts w:ascii="Times New Roman" w:eastAsia="Times New Roman" w:hAnsi="Times New Roman" w:cs="Times New Roman"/>
          <w:bCs/>
          <w:sz w:val="24"/>
          <w:szCs w:val="24"/>
          <w:lang w:val="en-GB" w:eastAsia="tr-TR"/>
        </w:rPr>
        <w:t xml:space="preserve"> compact pellets produced by sol-gel route at the (top) and annular UO</w:t>
      </w:r>
      <w:r w:rsidRPr="00DA61D7">
        <w:rPr>
          <w:rFonts w:ascii="Times New Roman" w:eastAsia="Times New Roman" w:hAnsi="Times New Roman" w:cs="Times New Roman"/>
          <w:bCs/>
          <w:sz w:val="24"/>
          <w:szCs w:val="24"/>
          <w:vertAlign w:val="subscript"/>
          <w:lang w:val="en-GB" w:eastAsia="tr-TR"/>
        </w:rPr>
        <w:t>2</w:t>
      </w:r>
      <w:r w:rsidRPr="00DA61D7">
        <w:rPr>
          <w:rFonts w:ascii="Times New Roman" w:eastAsia="Times New Roman" w:hAnsi="Times New Roman" w:cs="Times New Roman"/>
          <w:bCs/>
          <w:sz w:val="24"/>
          <w:szCs w:val="24"/>
          <w:lang w:val="en-GB" w:eastAsia="tr-TR"/>
        </w:rPr>
        <w:t>-Gd</w:t>
      </w:r>
      <w:r w:rsidRPr="00DA61D7">
        <w:rPr>
          <w:rFonts w:ascii="Times New Roman" w:eastAsia="Times New Roman" w:hAnsi="Times New Roman" w:cs="Times New Roman"/>
          <w:bCs/>
          <w:sz w:val="24"/>
          <w:szCs w:val="24"/>
          <w:vertAlign w:val="subscript"/>
          <w:lang w:val="en-GB" w:eastAsia="tr-TR"/>
        </w:rPr>
        <w:t>2</w:t>
      </w:r>
      <w:r w:rsidRPr="00DA61D7">
        <w:rPr>
          <w:rFonts w:ascii="Times New Roman" w:eastAsia="Times New Roman" w:hAnsi="Times New Roman" w:cs="Times New Roman"/>
          <w:bCs/>
          <w:sz w:val="24"/>
          <w:szCs w:val="24"/>
          <w:lang w:val="en-GB" w:eastAsia="tr-TR"/>
        </w:rPr>
        <w:t>O</w:t>
      </w:r>
      <w:r w:rsidRPr="00DA61D7">
        <w:rPr>
          <w:rFonts w:ascii="Times New Roman" w:eastAsia="Times New Roman" w:hAnsi="Times New Roman" w:cs="Times New Roman"/>
          <w:bCs/>
          <w:sz w:val="24"/>
          <w:szCs w:val="24"/>
          <w:vertAlign w:val="subscript"/>
          <w:lang w:val="en-GB" w:eastAsia="tr-TR"/>
        </w:rPr>
        <w:t>3</w:t>
      </w:r>
      <w:r w:rsidRPr="00DA61D7">
        <w:rPr>
          <w:rFonts w:ascii="Times New Roman" w:eastAsia="Times New Roman" w:hAnsi="Times New Roman" w:cs="Times New Roman"/>
          <w:bCs/>
          <w:sz w:val="24"/>
          <w:szCs w:val="24"/>
          <w:lang w:val="en-GB" w:eastAsia="tr-TR"/>
        </w:rPr>
        <w:t xml:space="preserve"> pellets produced by powder metallurgical route at the (bottom).</w:t>
      </w:r>
    </w:p>
    <w:p w14:paraId="13A5C59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b/>
          <w:noProof/>
          <w:sz w:val="24"/>
          <w:szCs w:val="24"/>
          <w:lang w:eastAsia="tr-TR"/>
        </w:rPr>
        <w:lastRenderedPageBreak/>
        <w:drawing>
          <wp:inline distT="0" distB="0" distL="0" distR="0" wp14:anchorId="0CF70D68" wp14:editId="61EA75CF">
            <wp:extent cx="2501900" cy="1876425"/>
            <wp:effectExtent l="0" t="0" r="0" b="9525"/>
            <wp:docPr id="29" name="Resim 2" descr="F:\BA WWER 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 WWER 2 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7444" cy="1880583"/>
                    </a:xfrm>
                    <a:prstGeom prst="rect">
                      <a:avLst/>
                    </a:prstGeom>
                    <a:noFill/>
                    <a:ln w="9525">
                      <a:noFill/>
                      <a:miter lim="800000"/>
                      <a:headEnd/>
                      <a:tailEnd/>
                    </a:ln>
                  </pic:spPr>
                </pic:pic>
              </a:graphicData>
            </a:graphic>
          </wp:inline>
        </w:drawing>
      </w:r>
      <w:r w:rsidRPr="00DA61D7">
        <w:rPr>
          <w:rFonts w:ascii="Times New Roman" w:eastAsia="Times New Roman" w:hAnsi="Times New Roman" w:cs="Times New Roman"/>
          <w:b/>
          <w:noProof/>
          <w:sz w:val="24"/>
          <w:szCs w:val="24"/>
          <w:lang w:eastAsia="tr-TR"/>
        </w:rPr>
        <w:t xml:space="preserve">   </w:t>
      </w:r>
      <w:r w:rsidRPr="00DA61D7">
        <w:rPr>
          <w:rFonts w:ascii="Times New Roman" w:eastAsia="Times New Roman" w:hAnsi="Times New Roman" w:cs="Times New Roman"/>
          <w:b/>
          <w:noProof/>
          <w:sz w:val="24"/>
          <w:szCs w:val="24"/>
          <w:lang w:eastAsia="tr-TR"/>
        </w:rPr>
        <w:drawing>
          <wp:inline distT="0" distB="0" distL="0" distR="0" wp14:anchorId="6F23F45C" wp14:editId="3C0E4D65">
            <wp:extent cx="2533650" cy="1900238"/>
            <wp:effectExtent l="0" t="0" r="0" b="5080"/>
            <wp:docPr id="30" name="Resim 30" descr="F:\BA WWER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 WWER 1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2351" cy="1906764"/>
                    </a:xfrm>
                    <a:prstGeom prst="rect">
                      <a:avLst/>
                    </a:prstGeom>
                    <a:noFill/>
                    <a:ln w="9525">
                      <a:noFill/>
                      <a:miter lim="800000"/>
                      <a:headEnd/>
                      <a:tailEnd/>
                    </a:ln>
                  </pic:spPr>
                </pic:pic>
              </a:graphicData>
            </a:graphic>
          </wp:inline>
        </w:drawing>
      </w:r>
    </w:p>
    <w:p w14:paraId="599AF6AB" w14:textId="77777777" w:rsidR="00EF1C3C" w:rsidRPr="00DA61D7" w:rsidRDefault="00EF1C3C" w:rsidP="00D365B6">
      <w:pPr>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b/>
          <w:sz w:val="24"/>
          <w:szCs w:val="24"/>
          <w:lang w:val="en-GB" w:eastAsia="tr-TR"/>
        </w:rPr>
      </w:pPr>
    </w:p>
    <w:p w14:paraId="28F5E7C6"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eastAsia="tr-TR"/>
        </w:rPr>
        <w:t>Figure 21</w:t>
      </w:r>
      <w:r w:rsidRPr="00DA61D7">
        <w:rPr>
          <w:rFonts w:ascii="Times New Roman" w:eastAsia="Times New Roman" w:hAnsi="Times New Roman" w:cs="Times New Roman"/>
          <w:b/>
          <w:sz w:val="24"/>
          <w:szCs w:val="24"/>
          <w:lang w:val="en-GB" w:eastAsia="tr-TR"/>
        </w:rPr>
        <w:t>.</w:t>
      </w:r>
      <w:r w:rsidRPr="00DA61D7">
        <w:rPr>
          <w:rFonts w:ascii="Times New Roman" w:eastAsia="Times New Roman" w:hAnsi="Times New Roman" w:cs="Times New Roman"/>
          <w:sz w:val="24"/>
          <w:szCs w:val="24"/>
          <w:lang w:val="en-GB" w:eastAsia="tr-TR"/>
        </w:rPr>
        <w:t xml:space="preserve">  SEM micrographs of annular type UO</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-Gd</w:t>
      </w:r>
      <w:r w:rsidRPr="00DA61D7">
        <w:rPr>
          <w:rFonts w:ascii="Times New Roman" w:eastAsia="Times New Roman" w:hAnsi="Times New Roman" w:cs="Times New Roman"/>
          <w:sz w:val="24"/>
          <w:szCs w:val="24"/>
          <w:vertAlign w:val="subscript"/>
          <w:lang w:val="en-GB" w:eastAsia="tr-TR"/>
        </w:rPr>
        <w:t>2</w:t>
      </w:r>
      <w:r w:rsidRPr="00DA61D7">
        <w:rPr>
          <w:rFonts w:ascii="Times New Roman" w:eastAsia="Times New Roman" w:hAnsi="Times New Roman" w:cs="Times New Roman"/>
          <w:sz w:val="24"/>
          <w:szCs w:val="24"/>
          <w:lang w:val="en-GB" w:eastAsia="tr-TR"/>
        </w:rPr>
        <w:t>O</w:t>
      </w:r>
      <w:r w:rsidRPr="00DA61D7">
        <w:rPr>
          <w:rFonts w:ascii="Times New Roman" w:eastAsia="Times New Roman" w:hAnsi="Times New Roman" w:cs="Times New Roman"/>
          <w:sz w:val="24"/>
          <w:szCs w:val="24"/>
          <w:vertAlign w:val="subscript"/>
          <w:lang w:val="en-GB" w:eastAsia="tr-TR"/>
        </w:rPr>
        <w:t xml:space="preserve">3 </w:t>
      </w:r>
      <w:r w:rsidRPr="00DA61D7">
        <w:rPr>
          <w:rFonts w:ascii="Times New Roman" w:eastAsia="Times New Roman" w:hAnsi="Times New Roman" w:cs="Times New Roman"/>
          <w:sz w:val="24"/>
          <w:szCs w:val="24"/>
          <w:lang w:val="en-GB" w:eastAsia="tr-TR"/>
        </w:rPr>
        <w:t>produced via PM route.</w:t>
      </w:r>
    </w:p>
    <w:p w14:paraId="7CC94EBF"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b/>
          <w:noProof/>
          <w:sz w:val="24"/>
          <w:szCs w:val="24"/>
          <w:lang w:eastAsia="tr-TR"/>
        </w:rPr>
        <w:drawing>
          <wp:inline distT="0" distB="0" distL="0" distR="0" wp14:anchorId="4431D19E" wp14:editId="1DF8A67D">
            <wp:extent cx="2343039" cy="1896745"/>
            <wp:effectExtent l="0" t="0" r="635" b="8255"/>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3469" cy="1913283"/>
                    </a:xfrm>
                    <a:prstGeom prst="rect">
                      <a:avLst/>
                    </a:prstGeom>
                    <a:noFill/>
                    <a:ln w="9525">
                      <a:noFill/>
                      <a:miter lim="800000"/>
                      <a:headEnd/>
                      <a:tailEnd/>
                    </a:ln>
                  </pic:spPr>
                </pic:pic>
              </a:graphicData>
            </a:graphic>
          </wp:inline>
        </w:drawing>
      </w:r>
      <w:r w:rsidRPr="00DA61D7">
        <w:rPr>
          <w:rFonts w:ascii="Times New Roman" w:eastAsia="Times New Roman" w:hAnsi="Times New Roman" w:cs="Times New Roman"/>
          <w:b/>
          <w:noProof/>
          <w:sz w:val="24"/>
          <w:szCs w:val="24"/>
          <w:lang w:eastAsia="tr-TR"/>
        </w:rPr>
        <w:drawing>
          <wp:inline distT="0" distB="0" distL="0" distR="0" wp14:anchorId="26C06376" wp14:editId="200234FA">
            <wp:extent cx="2762250" cy="1878329"/>
            <wp:effectExtent l="0" t="0" r="0" b="825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9016" cy="1882930"/>
                    </a:xfrm>
                    <a:prstGeom prst="rect">
                      <a:avLst/>
                    </a:prstGeom>
                    <a:noFill/>
                    <a:ln w="9525">
                      <a:noFill/>
                      <a:miter lim="800000"/>
                      <a:headEnd/>
                      <a:tailEnd/>
                    </a:ln>
                  </pic:spPr>
                </pic:pic>
              </a:graphicData>
            </a:graphic>
          </wp:inline>
        </w:drawing>
      </w:r>
    </w:p>
    <w:p w14:paraId="51DF01F4"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
          <w:sz w:val="24"/>
          <w:szCs w:val="24"/>
          <w:lang w:val="en-GB"/>
        </w:rPr>
      </w:pPr>
    </w:p>
    <w:p w14:paraId="735ABE30"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eastAsia="tr-TR"/>
        </w:rPr>
        <w:t>Figure 22</w:t>
      </w:r>
      <w:r w:rsidRPr="00DA61D7">
        <w:rPr>
          <w:rFonts w:ascii="Times New Roman" w:eastAsia="Times New Roman" w:hAnsi="Times New Roman" w:cs="Times New Roman"/>
          <w:b/>
          <w:sz w:val="24"/>
          <w:szCs w:val="24"/>
          <w:lang w:val="en-GB" w:eastAsia="tr-TR"/>
        </w:rPr>
        <w:t>.</w:t>
      </w:r>
      <w:r w:rsidRPr="00DA61D7">
        <w:rPr>
          <w:rFonts w:ascii="Times New Roman" w:eastAsia="Times New Roman" w:hAnsi="Times New Roman" w:cs="Times New Roman"/>
          <w:sz w:val="24"/>
          <w:szCs w:val="24"/>
          <w:lang w:val="en-GB" w:eastAsia="tr-TR"/>
        </w:rPr>
        <w:t xml:space="preserve">  </w:t>
      </w:r>
      <w:r w:rsidRPr="00DA61D7">
        <w:rPr>
          <w:rFonts w:ascii="Times New Roman" w:eastAsia="Times New Roman" w:hAnsi="Times New Roman" w:cs="Times New Roman"/>
          <w:sz w:val="24"/>
          <w:szCs w:val="24"/>
          <w:lang w:val="en-GB"/>
        </w:rPr>
        <w:t>SEM-EDAX investigations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pellet produced via PM route.</w:t>
      </w:r>
    </w:p>
    <w:p w14:paraId="7B3F1B63"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p>
    <w:p w14:paraId="3F0AB128"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4D275BDF" wp14:editId="79FC4A55">
            <wp:extent cx="5707379" cy="1394460"/>
            <wp:effectExtent l="0" t="0" r="8255" b="0"/>
            <wp:docPr id="9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9376" cy="1397391"/>
                    </a:xfrm>
                    <a:prstGeom prst="rect">
                      <a:avLst/>
                    </a:prstGeom>
                    <a:noFill/>
                    <a:ln w="9525">
                      <a:noFill/>
                      <a:miter lim="800000"/>
                      <a:headEnd/>
                      <a:tailEnd/>
                    </a:ln>
                  </pic:spPr>
                </pic:pic>
              </a:graphicData>
            </a:graphic>
          </wp:inline>
        </w:drawing>
      </w:r>
    </w:p>
    <w:p w14:paraId="183B1FAE"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b/>
          <w:sz w:val="24"/>
          <w:szCs w:val="24"/>
          <w:lang w:val="en-GB"/>
        </w:rPr>
      </w:pPr>
    </w:p>
    <w:p w14:paraId="2F3B0904"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eastAsia="tr-TR"/>
        </w:rPr>
        <w:t>Figure 23.</w:t>
      </w:r>
      <w:r w:rsidRPr="00DA61D7">
        <w:rPr>
          <w:rFonts w:ascii="Times New Roman" w:eastAsia="Times New Roman" w:hAnsi="Times New Roman" w:cs="Times New Roman"/>
          <w:sz w:val="24"/>
          <w:szCs w:val="24"/>
          <w:lang w:val="en-GB"/>
        </w:rPr>
        <w:t xml:space="preserve"> SEM-EDAX elemental mapping investigations of PM route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 produced via PM route.</w:t>
      </w:r>
    </w:p>
    <w:p w14:paraId="06D597C7"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p>
    <w:p w14:paraId="4B2C5F0C" w14:textId="77777777" w:rsidR="00EF1C3C" w:rsidRPr="00DA61D7" w:rsidRDefault="00EF1C3C" w:rsidP="00D365B6">
      <w:pPr>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noProof/>
          <w:sz w:val="24"/>
          <w:szCs w:val="24"/>
          <w:lang w:eastAsia="tr-TR"/>
        </w:rPr>
      </w:pPr>
      <w:r w:rsidRPr="00DA61D7">
        <w:rPr>
          <w:rFonts w:ascii="Times New Roman" w:eastAsia="Times New Roman" w:hAnsi="Times New Roman" w:cs="Times New Roman"/>
          <w:noProof/>
          <w:sz w:val="24"/>
          <w:szCs w:val="24"/>
          <w:lang w:eastAsia="tr-TR"/>
        </w:rPr>
        <w:lastRenderedPageBreak/>
        <w:drawing>
          <wp:inline distT="0" distB="0" distL="0" distR="0" wp14:anchorId="5EBC944A" wp14:editId="3DF2D312">
            <wp:extent cx="2554678" cy="1917065"/>
            <wp:effectExtent l="0" t="0" r="0" b="6985"/>
            <wp:docPr id="98" name="Resim 98" descr="E:\IMMC YARIŞMA FOTO\BADJ 1700 4 h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MC YARIŞMA FOTO\BADJ 1700 4 h 17.b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2459" cy="1922904"/>
                    </a:xfrm>
                    <a:prstGeom prst="rect">
                      <a:avLst/>
                    </a:prstGeom>
                    <a:noFill/>
                    <a:ln>
                      <a:noFill/>
                    </a:ln>
                  </pic:spPr>
                </pic:pic>
              </a:graphicData>
            </a:graphic>
          </wp:inline>
        </w:drawing>
      </w:r>
      <w:r w:rsidRPr="00DA61D7">
        <w:rPr>
          <w:rFonts w:ascii="Times New Roman" w:eastAsia="Times New Roman" w:hAnsi="Times New Roman" w:cs="Times New Roman"/>
          <w:noProof/>
          <w:sz w:val="24"/>
          <w:szCs w:val="24"/>
          <w:lang w:eastAsia="tr-TR"/>
        </w:rPr>
        <w:t xml:space="preserve"> </w:t>
      </w:r>
      <w:r w:rsidRPr="00DA61D7">
        <w:rPr>
          <w:rFonts w:ascii="Times New Roman" w:eastAsia="Times New Roman" w:hAnsi="Times New Roman" w:cs="Times New Roman"/>
          <w:noProof/>
          <w:sz w:val="24"/>
          <w:szCs w:val="24"/>
          <w:lang w:eastAsia="tr-TR"/>
        </w:rPr>
        <w:drawing>
          <wp:inline distT="0" distB="0" distL="0" distR="0" wp14:anchorId="0B7244FB" wp14:editId="0A228D8E">
            <wp:extent cx="2589035" cy="1942846"/>
            <wp:effectExtent l="0" t="0" r="1905" b="635"/>
            <wp:docPr id="99" name="Resim 99" descr="E:\IMMC YARIŞMA FOTO\BADJ 1700 4 h 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MC YARIŞMA FOTO\BADJ 1700 4 h 34.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9034" cy="1950349"/>
                    </a:xfrm>
                    <a:prstGeom prst="rect">
                      <a:avLst/>
                    </a:prstGeom>
                    <a:noFill/>
                    <a:ln>
                      <a:noFill/>
                    </a:ln>
                  </pic:spPr>
                </pic:pic>
              </a:graphicData>
            </a:graphic>
          </wp:inline>
        </w:drawing>
      </w:r>
    </w:p>
    <w:p w14:paraId="00471A38" w14:textId="77777777" w:rsidR="00EF1C3C" w:rsidRPr="00DA61D7" w:rsidRDefault="00EF1C3C" w:rsidP="00D365B6">
      <w:pPr>
        <w:overflowPunct w:val="0"/>
        <w:autoSpaceDE w:val="0"/>
        <w:autoSpaceDN w:val="0"/>
        <w:adjustRightInd w:val="0"/>
        <w:spacing w:afterLines="60" w:after="144" w:line="240" w:lineRule="auto"/>
        <w:ind w:firstLine="709"/>
        <w:textAlignment w:val="baseline"/>
        <w:rPr>
          <w:rFonts w:ascii="Times New Roman" w:eastAsia="Times New Roman" w:hAnsi="Times New Roman" w:cs="Times New Roman"/>
          <w:sz w:val="24"/>
          <w:szCs w:val="24"/>
          <w:lang w:val="en-GB"/>
        </w:rPr>
      </w:pPr>
    </w:p>
    <w:p w14:paraId="42C57511"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
        </w:rPr>
      </w:pPr>
      <w:r w:rsidRPr="00DA61D7">
        <w:rPr>
          <w:rFonts w:ascii="Times New Roman" w:eastAsia="Times New Roman" w:hAnsi="Times New Roman" w:cs="Times New Roman"/>
          <w:sz w:val="24"/>
          <w:szCs w:val="24"/>
          <w:lang w:val="en"/>
        </w:rPr>
        <w:t>Figure 24. SEM pictures of UO</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 xml:space="preserve"> – Gd</w:t>
      </w:r>
      <w:r w:rsidRPr="00DA61D7">
        <w:rPr>
          <w:rFonts w:ascii="Times New Roman" w:eastAsia="Times New Roman" w:hAnsi="Times New Roman" w:cs="Times New Roman"/>
          <w:sz w:val="24"/>
          <w:szCs w:val="24"/>
          <w:vertAlign w:val="subscript"/>
          <w:lang w:val="en"/>
        </w:rPr>
        <w:t>2</w:t>
      </w:r>
      <w:r w:rsidRPr="00DA61D7">
        <w:rPr>
          <w:rFonts w:ascii="Times New Roman" w:eastAsia="Times New Roman" w:hAnsi="Times New Roman" w:cs="Times New Roman"/>
          <w:sz w:val="24"/>
          <w:szCs w:val="24"/>
          <w:lang w:val="en"/>
        </w:rPr>
        <w:t>O</w:t>
      </w:r>
      <w:r w:rsidRPr="00DA61D7">
        <w:rPr>
          <w:rFonts w:ascii="Times New Roman" w:eastAsia="Times New Roman" w:hAnsi="Times New Roman" w:cs="Times New Roman"/>
          <w:sz w:val="24"/>
          <w:szCs w:val="24"/>
          <w:vertAlign w:val="subscript"/>
          <w:lang w:val="en"/>
        </w:rPr>
        <w:t>3</w:t>
      </w:r>
      <w:r w:rsidRPr="00DA61D7">
        <w:rPr>
          <w:rFonts w:ascii="Times New Roman" w:eastAsia="Times New Roman" w:hAnsi="Times New Roman" w:cs="Times New Roman"/>
          <w:sz w:val="24"/>
          <w:szCs w:val="24"/>
          <w:lang w:val="en"/>
        </w:rPr>
        <w:t xml:space="preserve"> pellets prepared by external gelation.</w:t>
      </w:r>
    </w:p>
    <w:p w14:paraId="352B476E"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 elemental analysis investigations were carried out using SEM-EDAX. The elemental analysis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prepared by external gelation method is given in Figure 25.</w:t>
      </w:r>
    </w:p>
    <w:p w14:paraId="58601BB4"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noProof/>
          <w:sz w:val="24"/>
          <w:szCs w:val="24"/>
          <w:lang w:eastAsia="tr-TR"/>
        </w:rPr>
        <w:drawing>
          <wp:inline distT="0" distB="0" distL="0" distR="0" wp14:anchorId="0A46CCEA" wp14:editId="592FDC49">
            <wp:extent cx="5303520" cy="3180274"/>
            <wp:effectExtent l="0" t="0" r="0" b="1270"/>
            <wp:docPr id="10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5311490" cy="3185053"/>
                    </a:xfrm>
                    <a:prstGeom prst="rect">
                      <a:avLst/>
                    </a:prstGeom>
                    <a:noFill/>
                    <a:ln w="9525">
                      <a:noFill/>
                      <a:miter lim="800000"/>
                      <a:headEnd/>
                      <a:tailEnd/>
                    </a:ln>
                  </pic:spPr>
                </pic:pic>
              </a:graphicData>
            </a:graphic>
          </wp:inline>
        </w:drawing>
      </w:r>
    </w:p>
    <w:p w14:paraId="7A13B2EF"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
        </w:rPr>
      </w:pPr>
    </w:p>
    <w:p w14:paraId="60C48644"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
        </w:rPr>
        <w:t xml:space="preserve">Figure 25. </w:t>
      </w:r>
      <w:r w:rsidRPr="00DA61D7">
        <w:rPr>
          <w:rFonts w:ascii="Times New Roman" w:eastAsia="Times New Roman" w:hAnsi="Times New Roman" w:cs="Times New Roman"/>
          <w:sz w:val="24"/>
          <w:szCs w:val="24"/>
          <w:lang w:val="en-GB"/>
        </w:rPr>
        <w:t>The elemental analysis taken from the surface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prepared by external gelation method.</w:t>
      </w:r>
    </w:p>
    <w:p w14:paraId="696B3BD6"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Differences in the rate of diffusion of uranium and gadolinium atoms cause uranium and gadolinium rich regions in the sintered bodies. Therefore long-time sintering should be avoided (Durazzo, 2008)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interface view and element distribution are given in Figure 26. </w:t>
      </w:r>
    </w:p>
    <w:p w14:paraId="51E3830B"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p w14:paraId="202711F8"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b/>
          <w:noProof/>
          <w:sz w:val="24"/>
          <w:szCs w:val="24"/>
          <w:u w:val="single"/>
          <w:lang w:eastAsia="tr-TR"/>
        </w:rPr>
        <w:lastRenderedPageBreak/>
        <w:drawing>
          <wp:inline distT="0" distB="0" distL="0" distR="0" wp14:anchorId="1C22CDF7" wp14:editId="7C2D3BA2">
            <wp:extent cx="4086077" cy="2449256"/>
            <wp:effectExtent l="0" t="0" r="0" b="8255"/>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13"/>
                    <a:stretch/>
                  </pic:blipFill>
                  <pic:spPr bwMode="auto">
                    <a:xfrm>
                      <a:off x="0" y="0"/>
                      <a:ext cx="4133974" cy="2477966"/>
                    </a:xfrm>
                    <a:prstGeom prst="rect">
                      <a:avLst/>
                    </a:prstGeom>
                    <a:noFill/>
                    <a:ln>
                      <a:noFill/>
                    </a:ln>
                    <a:extLst>
                      <a:ext uri="{53640926-AAD7-44D8-BBD7-CCE9431645EC}">
                        <a14:shadowObscured xmlns:a14="http://schemas.microsoft.com/office/drawing/2010/main"/>
                      </a:ext>
                    </a:extLst>
                  </pic:spPr>
                </pic:pic>
              </a:graphicData>
            </a:graphic>
          </wp:inline>
        </w:drawing>
      </w:r>
    </w:p>
    <w:p w14:paraId="15E909D3" w14:textId="77777777" w:rsidR="00EF1C3C" w:rsidRPr="00DA61D7"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p>
    <w:p w14:paraId="282A9602" w14:textId="2C4D43B5" w:rsidR="00EF1C3C" w:rsidRDefault="00EF1C3C"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Figure 26.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interface view and element distribution (Durazzo, 2008).</w:t>
      </w:r>
    </w:p>
    <w:p w14:paraId="2B2B3F5C" w14:textId="77777777" w:rsidR="00D365B6" w:rsidRPr="00DA61D7" w:rsidRDefault="00D365B6" w:rsidP="00D365B6">
      <w:pPr>
        <w:overflowPunct w:val="0"/>
        <w:autoSpaceDE w:val="0"/>
        <w:autoSpaceDN w:val="0"/>
        <w:adjustRightInd w:val="0"/>
        <w:spacing w:afterLines="60" w:after="144" w:line="240" w:lineRule="auto"/>
        <w:ind w:firstLine="709"/>
        <w:jc w:val="center"/>
        <w:textAlignment w:val="baseline"/>
        <w:rPr>
          <w:rFonts w:ascii="Times New Roman" w:eastAsia="Times New Roman" w:hAnsi="Times New Roman" w:cs="Times New Roman"/>
          <w:sz w:val="24"/>
          <w:szCs w:val="24"/>
          <w:lang w:val="en-GB"/>
        </w:rPr>
      </w:pPr>
    </w:p>
    <w:p w14:paraId="04C9809B" w14:textId="501A4FEF" w:rsidR="00EF1C3C" w:rsidRPr="00B8121F" w:rsidRDefault="00EF1C3C" w:rsidP="00D365B6">
      <w:pPr>
        <w:pStyle w:val="ListeParagraf"/>
        <w:numPr>
          <w:ilvl w:val="0"/>
          <w:numId w:val="6"/>
        </w:numPr>
        <w:spacing w:afterLines="60" w:after="144"/>
        <w:ind w:left="851"/>
        <w:rPr>
          <w:b/>
          <w:sz w:val="24"/>
          <w:szCs w:val="24"/>
        </w:rPr>
      </w:pPr>
      <w:r w:rsidRPr="00B8121F">
        <w:rPr>
          <w:b/>
          <w:sz w:val="24"/>
          <w:szCs w:val="24"/>
        </w:rPr>
        <w:t>Discussion</w:t>
      </w:r>
    </w:p>
    <w:p w14:paraId="2F362EF6" w14:textId="5E05C16F" w:rsidR="00EF1C3C"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
        </w:rPr>
      </w:pPr>
      <w:r w:rsidRPr="00DA61D7">
        <w:rPr>
          <w:rFonts w:ascii="Times New Roman" w:eastAsia="Times New Roman" w:hAnsi="Times New Roman" w:cs="Times New Roman"/>
          <w:sz w:val="24"/>
          <w:szCs w:val="24"/>
          <w:lang w:val="en-GB"/>
        </w:rPr>
        <w:t>Demands for extended fuel cycles and higher target burnups are strong incentive to use gadolinia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as burnable poison in modern pressurized water reactors (PWRs). Gadolinia, a burnable absorber, has been employed as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fuel pellets for compensating reactivity of the light water reactor. In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 characteristics, homogeneity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solid solution and grain size are recognized as notable characteristics, there upon it is substantial for commercial fuel fabricators to enhance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as uniform in solid solution and large in grain size as possible in reasonable fabrication cost. Recently,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 xml:space="preserve">concentration tends to become higher with extension of burn up of fuels. Therefore, it is useful to understand the effects of manufacturing parameters on solid solution formation and grain growth. The USA and </w:t>
      </w:r>
      <w:r w:rsidRPr="00D365B6">
        <w:rPr>
          <w:rFonts w:ascii="Times New Roman" w:eastAsia="Times New Roman" w:hAnsi="Times New Roman" w:cs="Times New Roman"/>
          <w:sz w:val="24"/>
          <w:szCs w:val="24"/>
          <w:lang w:val="en-GB"/>
        </w:rPr>
        <w:t>some other countries continue to work on these issues in the form of state-sponsored projects on a national</w:t>
      </w:r>
      <w:r w:rsidR="007F1F11" w:rsidRPr="00D365B6">
        <w:rPr>
          <w:rFonts w:ascii="Times New Roman" w:eastAsia="Times New Roman" w:hAnsi="Times New Roman" w:cs="Times New Roman"/>
          <w:sz w:val="24"/>
          <w:szCs w:val="24"/>
          <w:lang w:val="en-GB"/>
        </w:rPr>
        <w:t xml:space="preserve"> strategy scale (Grossbeck</w:t>
      </w:r>
      <w:r w:rsidR="00CA7BBF" w:rsidRPr="00D365B6">
        <w:rPr>
          <w:rFonts w:ascii="Times New Roman" w:eastAsia="Times New Roman" w:hAnsi="Times New Roman" w:cs="Times New Roman"/>
          <w:sz w:val="24"/>
          <w:szCs w:val="24"/>
          <w:lang w:val="en-GB"/>
        </w:rPr>
        <w:t>,</w:t>
      </w:r>
      <w:r w:rsidR="00497E74" w:rsidRPr="00D365B6">
        <w:rPr>
          <w:rFonts w:ascii="Times New Roman" w:eastAsia="Times New Roman" w:hAnsi="Times New Roman" w:cs="Times New Roman"/>
          <w:sz w:val="24"/>
          <w:szCs w:val="24"/>
          <w:lang w:val="en-GB"/>
        </w:rPr>
        <w:t xml:space="preserve"> Renier &amp; Bigelow,</w:t>
      </w:r>
      <w:r w:rsidR="007F1F11" w:rsidRPr="00D365B6">
        <w:rPr>
          <w:rFonts w:ascii="Times New Roman" w:eastAsia="Times New Roman" w:hAnsi="Times New Roman" w:cs="Times New Roman"/>
          <w:sz w:val="24"/>
          <w:szCs w:val="24"/>
          <w:lang w:val="en-GB"/>
        </w:rPr>
        <w:t xml:space="preserve"> 2003;</w:t>
      </w:r>
      <w:r w:rsidRPr="00D365B6">
        <w:rPr>
          <w:rFonts w:ascii="Times New Roman" w:eastAsia="Times New Roman" w:hAnsi="Times New Roman" w:cs="Times New Roman"/>
          <w:sz w:val="24"/>
          <w:szCs w:val="24"/>
          <w:lang w:val="en-GB"/>
        </w:rPr>
        <w:t xml:space="preserve"> NUREG CR-6760 ORNL</w:t>
      </w:r>
      <w:r w:rsidR="007F1F11" w:rsidRPr="00D365B6">
        <w:rPr>
          <w:rFonts w:ascii="Times New Roman" w:eastAsia="Times New Roman" w:hAnsi="Times New Roman" w:cs="Times New Roman"/>
          <w:sz w:val="24"/>
          <w:szCs w:val="24"/>
          <w:lang w:val="en-GB"/>
        </w:rPr>
        <w:t xml:space="preserve"> 2003;</w:t>
      </w:r>
      <w:r w:rsidRPr="00D365B6">
        <w:rPr>
          <w:rFonts w:ascii="Times New Roman" w:eastAsia="Times New Roman" w:hAnsi="Times New Roman" w:cs="Times New Roman"/>
          <w:sz w:val="24"/>
          <w:szCs w:val="24"/>
          <w:lang w:val="en-GB"/>
        </w:rPr>
        <w:t xml:space="preserve"> Wang</w:t>
      </w:r>
      <w:r w:rsidR="00497E74" w:rsidRPr="00D365B6">
        <w:rPr>
          <w:rFonts w:ascii="Times New Roman" w:eastAsia="Times New Roman" w:hAnsi="Times New Roman" w:cs="Times New Roman"/>
          <w:sz w:val="24"/>
          <w:szCs w:val="24"/>
          <w:lang w:val="en-GB"/>
        </w:rPr>
        <w:t xml:space="preserve"> et. al,</w:t>
      </w:r>
      <w:r w:rsidRPr="00D365B6">
        <w:rPr>
          <w:rFonts w:ascii="Times New Roman" w:eastAsia="Times New Roman" w:hAnsi="Times New Roman" w:cs="Times New Roman"/>
          <w:sz w:val="24"/>
          <w:szCs w:val="24"/>
          <w:lang w:val="en-GB"/>
        </w:rPr>
        <w:t xml:space="preserve"> 2015</w:t>
      </w:r>
      <w:r w:rsidR="007F1F11"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xml:space="preserve"> </w:t>
      </w:r>
      <w:r w:rsidR="000774BD" w:rsidRPr="00D365B6">
        <w:rPr>
          <w:rFonts w:ascii="Times New Roman" w:eastAsia="Times New Roman" w:hAnsi="Times New Roman" w:cs="Times New Roman"/>
          <w:sz w:val="24"/>
          <w:szCs w:val="24"/>
          <w:lang w:val="en-GB"/>
        </w:rPr>
        <w:t xml:space="preserve">Venneri, </w:t>
      </w:r>
      <w:r w:rsidR="000774BD" w:rsidRPr="00D365B6">
        <w:rPr>
          <w:rFonts w:ascii="Times New Roman" w:eastAsia="Times New Roman" w:hAnsi="Times New Roman" w:cs="Times New Roman"/>
          <w:bCs/>
          <w:sz w:val="24"/>
          <w:szCs w:val="24"/>
          <w:lang w:val="en-GB"/>
        </w:rPr>
        <w:t>Michael &amp;Yonghee</w:t>
      </w:r>
      <w:r w:rsidR="00CA7BBF"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xml:space="preserve"> 2017</w:t>
      </w:r>
      <w:r w:rsidR="007F1F11" w:rsidRPr="00D365B6">
        <w:rPr>
          <w:rFonts w:ascii="Times New Roman" w:eastAsia="Times New Roman" w:hAnsi="Times New Roman" w:cs="Times New Roman"/>
          <w:sz w:val="24"/>
          <w:szCs w:val="24"/>
          <w:lang w:val="en-GB"/>
        </w:rPr>
        <w:t>;</w:t>
      </w:r>
      <w:r w:rsidR="00A53E74" w:rsidRPr="00D365B6">
        <w:rPr>
          <w:rFonts w:ascii="Times New Roman" w:eastAsia="Times New Roman" w:hAnsi="Times New Roman" w:cs="Times New Roman"/>
          <w:sz w:val="24"/>
          <w:szCs w:val="24"/>
          <w:lang w:val="en-GB"/>
        </w:rPr>
        <w:t xml:space="preserve"> Jeongmook</w:t>
      </w:r>
      <w:r w:rsidR="00CA7BBF"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xml:space="preserve"> 2017)</w:t>
      </w:r>
      <w:r w:rsidR="003D079D"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xml:space="preserve"> Studies on UO</w:t>
      </w:r>
      <w:r w:rsidRPr="00D365B6">
        <w:rPr>
          <w:rFonts w:ascii="Times New Roman" w:eastAsia="Times New Roman" w:hAnsi="Times New Roman" w:cs="Times New Roman"/>
          <w:sz w:val="24"/>
          <w:szCs w:val="24"/>
          <w:vertAlign w:val="subscript"/>
          <w:lang w:val="en-GB"/>
        </w:rPr>
        <w:t>2</w:t>
      </w:r>
      <w:r w:rsidRPr="00D365B6">
        <w:rPr>
          <w:rFonts w:ascii="Times New Roman" w:eastAsia="Times New Roman" w:hAnsi="Times New Roman" w:cs="Times New Roman"/>
          <w:sz w:val="24"/>
          <w:szCs w:val="24"/>
          <w:lang w:val="en-GB"/>
        </w:rPr>
        <w:t>-Gd</w:t>
      </w:r>
      <w:r w:rsidRPr="00D365B6">
        <w:rPr>
          <w:rFonts w:ascii="Times New Roman" w:eastAsia="Times New Roman" w:hAnsi="Times New Roman" w:cs="Times New Roman"/>
          <w:sz w:val="24"/>
          <w:szCs w:val="24"/>
          <w:vertAlign w:val="subscript"/>
          <w:lang w:val="en-GB"/>
        </w:rPr>
        <w:t>2</w:t>
      </w:r>
      <w:r w:rsidRPr="00D365B6">
        <w:rPr>
          <w:rFonts w:ascii="Times New Roman" w:eastAsia="Times New Roman" w:hAnsi="Times New Roman" w:cs="Times New Roman"/>
          <w:sz w:val="24"/>
          <w:szCs w:val="24"/>
          <w:lang w:val="en-GB"/>
        </w:rPr>
        <w:t>O</w:t>
      </w:r>
      <w:r w:rsidRPr="00D365B6">
        <w:rPr>
          <w:rFonts w:ascii="Times New Roman" w:eastAsia="Times New Roman" w:hAnsi="Times New Roman" w:cs="Times New Roman"/>
          <w:sz w:val="24"/>
          <w:szCs w:val="24"/>
          <w:vertAlign w:val="subscript"/>
          <w:lang w:val="en-GB"/>
        </w:rPr>
        <w:t>3</w:t>
      </w:r>
      <w:r w:rsidRPr="00D365B6">
        <w:rPr>
          <w:rFonts w:ascii="Times New Roman" w:eastAsia="Times New Roman" w:hAnsi="Times New Roman" w:cs="Times New Roman"/>
          <w:sz w:val="24"/>
          <w:szCs w:val="24"/>
          <w:lang w:val="en-GB"/>
        </w:rPr>
        <w:t xml:space="preserve"> are being carried out regarding the burnable absorbers, not only in nuclear power reactors but also in sp</w:t>
      </w:r>
      <w:r w:rsidR="005F4AB6" w:rsidRPr="00D365B6">
        <w:rPr>
          <w:rFonts w:ascii="Times New Roman" w:eastAsia="Times New Roman" w:hAnsi="Times New Roman" w:cs="Times New Roman"/>
          <w:sz w:val="24"/>
          <w:szCs w:val="24"/>
          <w:lang w:val="en-GB"/>
        </w:rPr>
        <w:t>ace studies in the USA (</w:t>
      </w:r>
      <w:r w:rsidR="000774BD" w:rsidRPr="00D365B6">
        <w:rPr>
          <w:rFonts w:ascii="Times New Roman" w:eastAsia="Times New Roman" w:hAnsi="Times New Roman" w:cs="Times New Roman"/>
          <w:sz w:val="24"/>
          <w:szCs w:val="24"/>
          <w:lang w:val="en-GB"/>
        </w:rPr>
        <w:t xml:space="preserve">Venneri, </w:t>
      </w:r>
      <w:r w:rsidR="000774BD" w:rsidRPr="00D365B6">
        <w:rPr>
          <w:rFonts w:ascii="Times New Roman" w:eastAsia="Times New Roman" w:hAnsi="Times New Roman" w:cs="Times New Roman"/>
          <w:bCs/>
          <w:sz w:val="24"/>
          <w:szCs w:val="24"/>
          <w:lang w:val="en-GB"/>
        </w:rPr>
        <w:t>Michael &amp;Yonghee</w:t>
      </w:r>
      <w:r w:rsidR="00CA7BBF" w:rsidRPr="00D365B6">
        <w:rPr>
          <w:rFonts w:ascii="Times New Roman" w:eastAsia="Times New Roman" w:hAnsi="Times New Roman" w:cs="Times New Roman"/>
          <w:sz w:val="24"/>
          <w:szCs w:val="24"/>
          <w:lang w:val="en-GB"/>
        </w:rPr>
        <w:t>,</w:t>
      </w:r>
      <w:r w:rsidR="005F4AB6" w:rsidRPr="00D365B6">
        <w:rPr>
          <w:rFonts w:ascii="Times New Roman" w:eastAsia="Times New Roman" w:hAnsi="Times New Roman" w:cs="Times New Roman"/>
          <w:sz w:val="24"/>
          <w:szCs w:val="24"/>
          <w:lang w:val="en-GB"/>
        </w:rPr>
        <w:t xml:space="preserve"> </w:t>
      </w:r>
      <w:r w:rsidRPr="00D365B6">
        <w:rPr>
          <w:rFonts w:ascii="Times New Roman" w:eastAsia="Times New Roman" w:hAnsi="Times New Roman" w:cs="Times New Roman"/>
          <w:sz w:val="24"/>
          <w:szCs w:val="24"/>
          <w:lang w:val="en-GB"/>
        </w:rPr>
        <w:t>2017). The most used burnable absorber nuclear fuels are UO</w:t>
      </w:r>
      <w:r w:rsidRPr="00D365B6">
        <w:rPr>
          <w:rFonts w:ascii="Times New Roman" w:eastAsia="Times New Roman" w:hAnsi="Times New Roman" w:cs="Times New Roman"/>
          <w:sz w:val="24"/>
          <w:szCs w:val="24"/>
          <w:vertAlign w:val="subscript"/>
          <w:lang w:val="en-GB"/>
        </w:rPr>
        <w:t>2</w:t>
      </w:r>
      <w:r w:rsidRPr="00D365B6">
        <w:rPr>
          <w:rFonts w:ascii="Times New Roman" w:eastAsia="Times New Roman" w:hAnsi="Times New Roman" w:cs="Times New Roman"/>
          <w:sz w:val="24"/>
          <w:szCs w:val="24"/>
          <w:lang w:val="en-GB"/>
        </w:rPr>
        <w:t>-Gd</w:t>
      </w:r>
      <w:r w:rsidRPr="00D365B6">
        <w:rPr>
          <w:rFonts w:ascii="Times New Roman" w:eastAsia="Times New Roman" w:hAnsi="Times New Roman" w:cs="Times New Roman"/>
          <w:sz w:val="24"/>
          <w:szCs w:val="24"/>
          <w:vertAlign w:val="subscript"/>
          <w:lang w:val="en-GB"/>
        </w:rPr>
        <w:t>2</w:t>
      </w:r>
      <w:r w:rsidRPr="00D365B6">
        <w:rPr>
          <w:rFonts w:ascii="Times New Roman" w:eastAsia="Times New Roman" w:hAnsi="Times New Roman" w:cs="Times New Roman"/>
          <w:sz w:val="24"/>
          <w:szCs w:val="24"/>
          <w:lang w:val="en-GB"/>
        </w:rPr>
        <w:t>O</w:t>
      </w:r>
      <w:r w:rsidRPr="00D365B6">
        <w:rPr>
          <w:rFonts w:ascii="Times New Roman" w:eastAsia="Times New Roman" w:hAnsi="Times New Roman" w:cs="Times New Roman"/>
          <w:sz w:val="24"/>
          <w:szCs w:val="24"/>
          <w:vertAlign w:val="subscript"/>
          <w:lang w:val="en-GB"/>
        </w:rPr>
        <w:t xml:space="preserve">3 </w:t>
      </w:r>
      <w:r w:rsidRPr="00D365B6">
        <w:rPr>
          <w:rFonts w:ascii="Times New Roman" w:eastAsia="Times New Roman" w:hAnsi="Times New Roman" w:cs="Times New Roman"/>
          <w:sz w:val="24"/>
          <w:szCs w:val="24"/>
          <w:lang w:val="en-GB"/>
        </w:rPr>
        <w:t>pellets in power reactors.  The conventional</w:t>
      </w:r>
      <w:r w:rsidRPr="00DA61D7">
        <w:rPr>
          <w:rFonts w:ascii="Times New Roman" w:eastAsia="Times New Roman" w:hAnsi="Times New Roman" w:cs="Times New Roman"/>
          <w:sz w:val="24"/>
          <w:szCs w:val="24"/>
          <w:lang w:val="en-GB"/>
        </w:rPr>
        <w:t xml:space="preserve"> production methods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burnable absorber nuclear fuel pellets are either powder metallurgical route or sol-gel route. PM and sol-gel routes have some different product characteristics like grain size and pore size distributions. In this study, the investigation of the microstructure and U-Gd distribution in sintered bodies along with the achieved SEM-EDAX results showed that both methods provide homogeneous structures. The solid state investigations of sintered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pellets produced by both methods showed that, gadolinium dissolved in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matrix.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 xml:space="preserve">is an actinide oxide/ lanthanide oxide binary system and is known for forming highly non-stoichiometric oxide </w:t>
      </w:r>
      <w:r w:rsidR="00497E74">
        <w:rPr>
          <w:rFonts w:ascii="Times New Roman" w:eastAsia="Times New Roman" w:hAnsi="Times New Roman" w:cs="Times New Roman"/>
          <w:sz w:val="24"/>
          <w:szCs w:val="24"/>
          <w:lang w:val="en-GB"/>
        </w:rPr>
        <w:t xml:space="preserve">systems as given in Figure 17. </w:t>
      </w:r>
      <w:r w:rsidRPr="00DA61D7">
        <w:rPr>
          <w:rFonts w:ascii="Times New Roman" w:eastAsia="Times New Roman" w:hAnsi="Times New Roman" w:cs="Times New Roman"/>
          <w:sz w:val="24"/>
          <w:szCs w:val="24"/>
          <w:lang w:val="en-GB"/>
        </w:rPr>
        <w:t>The solid state investigations, microstructural investigations and SEM-EDAX investigations showed that the we obtained by powder metallurgical and by sol-gel route very good homogeneity in the sintered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pellets. This result is in good agreement with the result reported by Wang et al. (Wang</w:t>
      </w:r>
      <w:r w:rsidR="00497E74">
        <w:rPr>
          <w:rFonts w:ascii="Times New Roman" w:eastAsia="Times New Roman" w:hAnsi="Times New Roman" w:cs="Times New Roman"/>
          <w:sz w:val="24"/>
          <w:szCs w:val="24"/>
          <w:lang w:val="en-GB"/>
        </w:rPr>
        <w:t xml:space="preserve"> et. al, </w:t>
      </w:r>
      <w:r w:rsidRPr="00DA61D7">
        <w:rPr>
          <w:rFonts w:ascii="Times New Roman" w:eastAsia="Times New Roman" w:hAnsi="Times New Roman" w:cs="Times New Roman"/>
          <w:sz w:val="24"/>
          <w:szCs w:val="24"/>
          <w:lang w:val="en-GB"/>
        </w:rPr>
        <w:t>2015) as shown in Figure 17.</w:t>
      </w:r>
      <w:r w:rsidRPr="00DA61D7">
        <w:rPr>
          <w:rFonts w:ascii="Times New Roman" w:eastAsia="Times New Roman" w:hAnsi="Times New Roman" w:cs="Times New Roman"/>
          <w:sz w:val="24"/>
          <w:szCs w:val="24"/>
          <w:lang w:val="en"/>
        </w:rPr>
        <w:t xml:space="preserve"> It is important that </w:t>
      </w:r>
      <w:r w:rsidRPr="00DA61D7">
        <w:rPr>
          <w:rFonts w:ascii="Times New Roman" w:eastAsia="Times New Roman" w:hAnsi="Times New Roman" w:cs="Times New Roman"/>
          <w:sz w:val="24"/>
          <w:szCs w:val="24"/>
          <w:lang w:val="en"/>
        </w:rPr>
        <w:lastRenderedPageBreak/>
        <w:t xml:space="preserve">the homogeneous gadolinium distribution in the sintered bodies like plutonium distribution in mixed oxide (MOX) nuclear fuels. </w:t>
      </w:r>
    </w:p>
    <w:p w14:paraId="1DDAA454" w14:textId="77777777" w:rsidR="00D365B6" w:rsidRPr="00D365B6" w:rsidRDefault="00D365B6"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p w14:paraId="3C5F3136" w14:textId="07AD1F4B" w:rsidR="00EF1C3C" w:rsidRPr="00B8121F" w:rsidRDefault="00EF1C3C" w:rsidP="00D365B6">
      <w:pPr>
        <w:pStyle w:val="ListeParagraf"/>
        <w:numPr>
          <w:ilvl w:val="0"/>
          <w:numId w:val="6"/>
        </w:numPr>
        <w:spacing w:afterLines="60" w:after="144"/>
        <w:ind w:left="709" w:firstLine="0"/>
        <w:rPr>
          <w:sz w:val="24"/>
          <w:szCs w:val="24"/>
        </w:rPr>
      </w:pPr>
      <w:r w:rsidRPr="00B8121F">
        <w:rPr>
          <w:b/>
          <w:sz w:val="24"/>
          <w:szCs w:val="24"/>
        </w:rPr>
        <w:t>Results</w:t>
      </w:r>
    </w:p>
    <w:p w14:paraId="4A256347" w14:textId="77777777" w:rsidR="00EF1C3C" w:rsidRPr="00DA61D7"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 results of this study can be summarized as follows:</w:t>
      </w:r>
    </w:p>
    <w:p w14:paraId="20EED705" w14:textId="67DEFEA8" w:rsidR="00EF1C3C"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Cs w:val="20"/>
          <w:lang w:val="en-GB"/>
        </w:rPr>
      </w:pPr>
      <w:r w:rsidRPr="00DA61D7">
        <w:rPr>
          <w:rFonts w:ascii="Times New Roman" w:eastAsia="Times New Roman" w:hAnsi="Times New Roman" w:cs="Times New Roman"/>
          <w:sz w:val="24"/>
          <w:szCs w:val="24"/>
          <w:lang w:val="en-GB"/>
        </w:rPr>
        <w:t>Producibility of the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nuclear fuel in Turkey has provided significant technological gains. It also made important contributions in training qualified people. The external gelation devices were successfully installed and used in this study. The results are quite compatible with the data reported in literature. In the next stages, trials will be made with internal gelation experiments with and without dopant additions. The products with the desired qualities have been obtained by both methods. Density and homogeneity values of the products comply with international standards. As given in Figure 16, this result is compatible with the resu</w:t>
      </w:r>
      <w:r w:rsidR="00497E74">
        <w:rPr>
          <w:rFonts w:ascii="Times New Roman" w:eastAsia="Times New Roman" w:hAnsi="Times New Roman" w:cs="Times New Roman"/>
          <w:sz w:val="24"/>
          <w:szCs w:val="24"/>
          <w:lang w:val="en-GB"/>
        </w:rPr>
        <w:t>lt reported by Wang et al. (</w:t>
      </w:r>
      <w:r w:rsidRPr="00DA61D7">
        <w:rPr>
          <w:rFonts w:ascii="Times New Roman" w:eastAsia="Times New Roman" w:hAnsi="Times New Roman" w:cs="Times New Roman"/>
          <w:sz w:val="24"/>
          <w:szCs w:val="24"/>
          <w:lang w:val="en-GB"/>
        </w:rPr>
        <w:t>2015) as shown in Figure 17. As seen in Figure 24, two different grain sizes are formed. In the literature, the reason of different grain size is either attributed to the different diffusion rates of uranium and gadolinium or the barrier created by gadolinium. We also think that the different diffusion rates and any barrier may lead to the regions with different grain sizes in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system. As stated in t</w:t>
      </w:r>
      <w:r w:rsidR="001C7935" w:rsidRPr="00DA61D7">
        <w:rPr>
          <w:rFonts w:ascii="Times New Roman" w:eastAsia="Times New Roman" w:hAnsi="Times New Roman" w:cs="Times New Roman"/>
          <w:sz w:val="24"/>
          <w:szCs w:val="24"/>
          <w:lang w:val="en-GB"/>
        </w:rPr>
        <w:t>he liter</w:t>
      </w:r>
      <w:r w:rsidR="00A53E74">
        <w:rPr>
          <w:rFonts w:ascii="Times New Roman" w:eastAsia="Times New Roman" w:hAnsi="Times New Roman" w:cs="Times New Roman"/>
          <w:sz w:val="24"/>
          <w:szCs w:val="24"/>
          <w:lang w:val="en-GB"/>
        </w:rPr>
        <w:t>ature studies (Jeongmook</w:t>
      </w:r>
      <w:r w:rsidR="00CA7BBF" w:rsidRPr="00DA61D7">
        <w:rPr>
          <w:rFonts w:ascii="Times New Roman" w:eastAsia="Times New Roman" w:hAnsi="Times New Roman" w:cs="Times New Roman"/>
          <w:sz w:val="24"/>
          <w:szCs w:val="24"/>
          <w:lang w:val="en-GB"/>
        </w:rPr>
        <w:t>,</w:t>
      </w:r>
      <w:r w:rsidR="001C7935" w:rsidRPr="00DA61D7">
        <w:rPr>
          <w:rFonts w:ascii="Times New Roman" w:eastAsia="Times New Roman" w:hAnsi="Times New Roman" w:cs="Times New Roman"/>
          <w:sz w:val="24"/>
          <w:szCs w:val="24"/>
          <w:lang w:val="en-GB"/>
        </w:rPr>
        <w:t xml:space="preserve"> 2017;</w:t>
      </w:r>
      <w:r w:rsidRPr="00DA61D7">
        <w:rPr>
          <w:rFonts w:ascii="Times New Roman" w:eastAsia="Times New Roman" w:hAnsi="Times New Roman" w:cs="Times New Roman"/>
          <w:sz w:val="24"/>
          <w:szCs w:val="24"/>
          <w:lang w:val="en-GB"/>
        </w:rPr>
        <w:t xml:space="preserve"> Wang</w:t>
      </w:r>
      <w:r w:rsidR="00497E74">
        <w:rPr>
          <w:rFonts w:ascii="Times New Roman" w:eastAsia="Times New Roman" w:hAnsi="Times New Roman" w:cs="Times New Roman"/>
          <w:sz w:val="24"/>
          <w:szCs w:val="24"/>
          <w:lang w:val="en-GB"/>
        </w:rPr>
        <w:t xml:space="preserve"> et. al.,</w:t>
      </w:r>
      <w:r w:rsidRPr="00DA61D7">
        <w:rPr>
          <w:rFonts w:ascii="Times New Roman" w:eastAsia="Times New Roman" w:hAnsi="Times New Roman" w:cs="Times New Roman"/>
          <w:sz w:val="24"/>
          <w:szCs w:val="24"/>
          <w:lang w:val="en-GB"/>
        </w:rPr>
        <w:t xml:space="preserve"> 2015</w:t>
      </w:r>
      <w:r w:rsidR="001C7935" w:rsidRPr="00DA61D7">
        <w:rPr>
          <w:rFonts w:ascii="Times New Roman" w:eastAsia="Times New Roman" w:hAnsi="Times New Roman" w:cs="Times New Roman"/>
          <w:sz w:val="24"/>
          <w:szCs w:val="24"/>
          <w:lang w:val="en-GB"/>
        </w:rPr>
        <w:t>; Durazzo</w:t>
      </w:r>
      <w:r w:rsidR="00497E74">
        <w:rPr>
          <w:rFonts w:ascii="Times New Roman" w:eastAsia="Times New Roman" w:hAnsi="Times New Roman" w:cs="Times New Roman"/>
          <w:sz w:val="24"/>
          <w:szCs w:val="24"/>
          <w:lang w:val="en-GB"/>
        </w:rPr>
        <w:t xml:space="preserve"> et. al.,</w:t>
      </w:r>
      <w:r w:rsidR="001C7935" w:rsidRPr="00DA61D7">
        <w:rPr>
          <w:rFonts w:ascii="Times New Roman" w:eastAsia="Times New Roman" w:hAnsi="Times New Roman" w:cs="Times New Roman"/>
          <w:sz w:val="24"/>
          <w:szCs w:val="24"/>
          <w:lang w:val="en-GB"/>
        </w:rPr>
        <w:t xml:space="preserve"> 2008;</w:t>
      </w:r>
      <w:r w:rsidRPr="00DA61D7">
        <w:rPr>
          <w:rFonts w:ascii="Times New Roman" w:eastAsia="Times New Roman" w:hAnsi="Times New Roman" w:cs="Times New Roman"/>
          <w:sz w:val="24"/>
          <w:szCs w:val="24"/>
          <w:lang w:val="en-GB"/>
        </w:rPr>
        <w:t xml:space="preserve"> </w:t>
      </w:r>
      <w:r w:rsidR="001C7935" w:rsidRPr="00DA61D7">
        <w:rPr>
          <w:rFonts w:ascii="Times New Roman" w:eastAsia="Times New Roman" w:hAnsi="Times New Roman" w:cs="Times New Roman"/>
          <w:sz w:val="24"/>
          <w:szCs w:val="24"/>
          <w:lang w:val="en-GB"/>
        </w:rPr>
        <w:t>Zinkle</w:t>
      </w:r>
      <w:r w:rsidR="00497E74">
        <w:rPr>
          <w:rFonts w:ascii="Times New Roman" w:eastAsia="Times New Roman" w:hAnsi="Times New Roman" w:cs="Times New Roman"/>
          <w:sz w:val="24"/>
          <w:szCs w:val="24"/>
          <w:lang w:val="en-GB"/>
        </w:rPr>
        <w:t xml:space="preserve"> &amp; Was,</w:t>
      </w:r>
      <w:r w:rsidR="001C7935"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2013</w:t>
      </w:r>
      <w:r w:rsidR="001C7935" w:rsidRPr="00DA61D7">
        <w:rPr>
          <w:rFonts w:ascii="Times New Roman" w:eastAsia="Times New Roman" w:hAnsi="Times New Roman" w:cs="Times New Roman"/>
          <w:sz w:val="24"/>
          <w:szCs w:val="24"/>
          <w:lang w:val="en-GB"/>
        </w:rPr>
        <w:t>;</w:t>
      </w:r>
      <w:r w:rsidRPr="00DA61D7">
        <w:rPr>
          <w:rFonts w:ascii="Times New Roman" w:eastAsia="Times New Roman" w:hAnsi="Times New Roman" w:cs="Times New Roman"/>
          <w:sz w:val="24"/>
          <w:szCs w:val="24"/>
          <w:lang w:val="en-GB"/>
        </w:rPr>
        <w:t xml:space="preserve"> Song</w:t>
      </w:r>
      <w:r w:rsidR="00497E74">
        <w:rPr>
          <w:rFonts w:ascii="Times New Roman" w:eastAsia="Times New Roman" w:hAnsi="Times New Roman" w:cs="Times New Roman"/>
          <w:sz w:val="24"/>
          <w:szCs w:val="24"/>
          <w:lang w:val="en-GB"/>
        </w:rPr>
        <w:t xml:space="preserve"> et.al,</w:t>
      </w:r>
      <w:r w:rsidRPr="00DA61D7">
        <w:rPr>
          <w:rFonts w:ascii="Times New Roman" w:eastAsia="Times New Roman" w:hAnsi="Times New Roman" w:cs="Times New Roman"/>
          <w:sz w:val="24"/>
          <w:szCs w:val="24"/>
          <w:lang w:val="en-GB"/>
        </w:rPr>
        <w:t xml:space="preserve"> 2001</w:t>
      </w:r>
      <w:r w:rsidR="00E54628" w:rsidRPr="00DA61D7">
        <w:rPr>
          <w:rFonts w:ascii="Times New Roman" w:eastAsia="Times New Roman" w:hAnsi="Times New Roman" w:cs="Times New Roman"/>
          <w:sz w:val="24"/>
          <w:szCs w:val="24"/>
          <w:lang w:val="en-GB"/>
        </w:rPr>
        <w:t>;</w:t>
      </w:r>
      <w:r w:rsidR="00497E74">
        <w:rPr>
          <w:rFonts w:ascii="Times New Roman" w:eastAsia="Times New Roman" w:hAnsi="Times New Roman" w:cs="Times New Roman"/>
          <w:sz w:val="24"/>
          <w:szCs w:val="24"/>
          <w:lang w:val="en-GB"/>
        </w:rPr>
        <w:t xml:space="preserve"> </w:t>
      </w:r>
      <w:r w:rsidR="001C7935" w:rsidRPr="00DA61D7">
        <w:rPr>
          <w:rFonts w:ascii="Times New Roman" w:eastAsia="Times New Roman" w:hAnsi="Times New Roman" w:cs="Times New Roman"/>
          <w:sz w:val="24"/>
          <w:szCs w:val="24"/>
          <w:lang w:val="en-GB"/>
        </w:rPr>
        <w:t>Nishida</w:t>
      </w:r>
      <w:r w:rsidR="00497E74">
        <w:rPr>
          <w:rFonts w:ascii="Times New Roman" w:eastAsia="Times New Roman" w:hAnsi="Times New Roman" w:cs="Times New Roman"/>
          <w:sz w:val="24"/>
          <w:szCs w:val="24"/>
          <w:lang w:val="en-GB"/>
        </w:rPr>
        <w:t xml:space="preserve"> &amp; Yuda,</w:t>
      </w:r>
      <w:r w:rsidR="002F2CDA" w:rsidRPr="00DA61D7">
        <w:rPr>
          <w:rFonts w:ascii="Times New Roman" w:eastAsia="Times New Roman" w:hAnsi="Times New Roman" w:cs="Times New Roman"/>
          <w:sz w:val="24"/>
          <w:szCs w:val="24"/>
          <w:lang w:val="en-GB"/>
        </w:rPr>
        <w:t xml:space="preserve"> </w:t>
      </w:r>
      <w:r w:rsidR="00E54628" w:rsidRPr="00DA61D7">
        <w:rPr>
          <w:rFonts w:ascii="Times New Roman" w:eastAsia="Times New Roman" w:hAnsi="Times New Roman" w:cs="Times New Roman"/>
          <w:sz w:val="24"/>
          <w:szCs w:val="24"/>
          <w:lang w:val="en-GB"/>
        </w:rPr>
        <w:t>1998; Agueda</w:t>
      </w:r>
      <w:r w:rsidR="00497E74">
        <w:rPr>
          <w:rFonts w:ascii="Times New Roman" w:eastAsia="Times New Roman" w:hAnsi="Times New Roman" w:cs="Times New Roman"/>
          <w:sz w:val="24"/>
          <w:szCs w:val="24"/>
          <w:lang w:val="en-GB"/>
        </w:rPr>
        <w:t xml:space="preserve"> et. al,</w:t>
      </w:r>
      <w:r w:rsidR="00E54628" w:rsidRPr="00DA61D7">
        <w:rPr>
          <w:rFonts w:ascii="Times New Roman" w:eastAsia="Times New Roman" w:hAnsi="Times New Roman" w:cs="Times New Roman"/>
          <w:sz w:val="24"/>
          <w:szCs w:val="24"/>
          <w:lang w:val="en-GB"/>
        </w:rPr>
        <w:t xml:space="preserve"> 1994;</w:t>
      </w:r>
      <w:r w:rsidRPr="00DA61D7">
        <w:rPr>
          <w:rFonts w:ascii="Times New Roman" w:eastAsia="Times New Roman" w:hAnsi="Times New Roman" w:cs="Times New Roman"/>
          <w:sz w:val="24"/>
          <w:szCs w:val="24"/>
          <w:lang w:val="en-GB"/>
        </w:rPr>
        <w:t xml:space="preserve"> Loose</w:t>
      </w:r>
      <w:r w:rsidR="00497E74">
        <w:rPr>
          <w:rFonts w:ascii="Times New Roman" w:eastAsia="Times New Roman" w:hAnsi="Times New Roman" w:cs="Times New Roman"/>
          <w:sz w:val="24"/>
          <w:szCs w:val="24"/>
          <w:lang w:val="en-GB"/>
        </w:rPr>
        <w:t xml:space="preserve"> et. al.,</w:t>
      </w:r>
      <w:r w:rsidRPr="00DA61D7">
        <w:rPr>
          <w:rFonts w:ascii="Times New Roman" w:eastAsia="Times New Roman" w:hAnsi="Times New Roman" w:cs="Times New Roman"/>
          <w:sz w:val="24"/>
          <w:szCs w:val="24"/>
          <w:lang w:val="en-GB"/>
        </w:rPr>
        <w:t xml:space="preserve"> 1987), many different phases may occur in the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system and each should be studied separately. In this study, PM and sol-gel methods have provided homogeneous U-Gd distributions in  sintered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 xml:space="preserve">3  </w:t>
      </w:r>
      <w:r w:rsidRPr="00DA61D7">
        <w:rPr>
          <w:rFonts w:ascii="Times New Roman" w:eastAsia="Times New Roman" w:hAnsi="Times New Roman" w:cs="Times New Roman"/>
          <w:sz w:val="24"/>
          <w:szCs w:val="24"/>
          <w:lang w:val="en-GB"/>
        </w:rPr>
        <w:t>burnable absorber fuels.</w:t>
      </w:r>
      <w:r w:rsidRPr="00DA61D7">
        <w:rPr>
          <w:rFonts w:ascii="Times New Roman" w:eastAsia="Times New Roman" w:hAnsi="Times New Roman" w:cs="Times New Roman"/>
          <w:szCs w:val="20"/>
          <w:lang w:val="en-GB"/>
        </w:rPr>
        <w:t xml:space="preserve"> </w:t>
      </w:r>
      <w:r w:rsidRPr="00DA61D7">
        <w:rPr>
          <w:rFonts w:ascii="Times New Roman" w:eastAsia="Times New Roman" w:hAnsi="Times New Roman" w:cs="Times New Roman"/>
          <w:sz w:val="24"/>
          <w:szCs w:val="24"/>
          <w:lang w:val="en-GB"/>
        </w:rPr>
        <w:t xml:space="preserve">Production of the burnable absorber compact and annular type nuclear fuel pellets by powder metallurgical and sol-gel routes </w:t>
      </w:r>
      <w:r w:rsidRPr="00DA61D7">
        <w:rPr>
          <w:rFonts w:ascii="Times New Roman" w:eastAsia="Times New Roman" w:hAnsi="Times New Roman" w:cs="Times New Roman"/>
          <w:sz w:val="24"/>
          <w:szCs w:val="24"/>
          <w:lang w:val="en"/>
        </w:rPr>
        <w:t>showed that; we obtained nuclear fuels in accordance with international standards. Solid state investigations should be examined in detail depending on</w:t>
      </w:r>
      <w:r w:rsidR="00E54628" w:rsidRPr="00DA61D7">
        <w:rPr>
          <w:rFonts w:ascii="Times New Roman" w:eastAsia="Times New Roman" w:hAnsi="Times New Roman" w:cs="Times New Roman"/>
          <w:sz w:val="24"/>
          <w:szCs w:val="24"/>
          <w:lang w:val="en"/>
        </w:rPr>
        <w:t xml:space="preserve"> the amount of gadolinium (Gd)</w:t>
      </w:r>
      <w:r w:rsidRPr="00DA61D7">
        <w:rPr>
          <w:rFonts w:ascii="Times New Roman" w:eastAsia="Times New Roman" w:hAnsi="Times New Roman" w:cs="Times New Roman"/>
          <w:sz w:val="24"/>
          <w:szCs w:val="24"/>
          <w:lang w:val="en"/>
        </w:rPr>
        <w:t xml:space="preserve"> temperature and sintering atmospheres</w:t>
      </w:r>
      <w:r w:rsidRPr="00DA61D7">
        <w:rPr>
          <w:rFonts w:ascii="Times New Roman" w:eastAsia="Times New Roman" w:hAnsi="Times New Roman" w:cs="Times New Roman"/>
          <w:szCs w:val="20"/>
          <w:lang w:val="en"/>
        </w:rPr>
        <w:t>.</w:t>
      </w:r>
      <w:r w:rsidRPr="00DA61D7">
        <w:rPr>
          <w:rFonts w:ascii="Times New Roman" w:eastAsia="Times New Roman" w:hAnsi="Times New Roman" w:cs="Times New Roman"/>
          <w:szCs w:val="20"/>
          <w:lang w:val="en-GB"/>
        </w:rPr>
        <w:t xml:space="preserve"> </w:t>
      </w:r>
    </w:p>
    <w:p w14:paraId="70DC728E" w14:textId="77777777" w:rsidR="00D365B6" w:rsidRPr="00DA61D7" w:rsidRDefault="00D365B6"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Cs w:val="20"/>
          <w:lang w:val="en"/>
        </w:rPr>
      </w:pPr>
    </w:p>
    <w:p w14:paraId="0C1CED92" w14:textId="04AD2AE1" w:rsidR="00EF1C3C" w:rsidRPr="00B8121F" w:rsidRDefault="00EF1C3C" w:rsidP="00D365B6">
      <w:pPr>
        <w:pStyle w:val="ListeParagraf"/>
        <w:numPr>
          <w:ilvl w:val="0"/>
          <w:numId w:val="6"/>
        </w:numPr>
        <w:spacing w:afterLines="60" w:after="144"/>
        <w:ind w:left="709" w:firstLine="0"/>
        <w:rPr>
          <w:b/>
          <w:sz w:val="24"/>
          <w:szCs w:val="24"/>
        </w:rPr>
      </w:pPr>
      <w:r w:rsidRPr="00B8121F">
        <w:rPr>
          <w:b/>
          <w:sz w:val="24"/>
          <w:szCs w:val="24"/>
        </w:rPr>
        <w:t>Acknowledgements</w:t>
      </w:r>
    </w:p>
    <w:p w14:paraId="4CD2ADF7" w14:textId="5423B7A2" w:rsidR="00EF1C3C" w:rsidRDefault="00EF1C3C"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The results presented here have all been obtained within the framework of Turkish Atomic Energy Authority–Tec</w:t>
      </w:r>
      <w:r w:rsidR="009D1832" w:rsidRPr="00DA61D7">
        <w:rPr>
          <w:rFonts w:ascii="Times New Roman" w:eastAsia="Times New Roman" w:hAnsi="Times New Roman" w:cs="Times New Roman"/>
          <w:sz w:val="24"/>
          <w:szCs w:val="24"/>
          <w:lang w:val="en-GB"/>
        </w:rPr>
        <w:t>h</w:t>
      </w:r>
      <w:r w:rsidR="00DA61D7">
        <w:rPr>
          <w:rFonts w:ascii="Times New Roman" w:eastAsia="Times New Roman" w:hAnsi="Times New Roman" w:cs="Times New Roman"/>
          <w:sz w:val="24"/>
          <w:szCs w:val="24"/>
          <w:lang w:val="en-GB"/>
        </w:rPr>
        <w:t xml:space="preserve">nology Improvement Department, </w:t>
      </w:r>
      <w:r w:rsidRPr="00DA61D7">
        <w:rPr>
          <w:rFonts w:ascii="Times New Roman" w:eastAsia="Times New Roman" w:hAnsi="Times New Roman" w:cs="Times New Roman"/>
          <w:sz w:val="24"/>
          <w:szCs w:val="24"/>
          <w:lang w:val="en-GB"/>
        </w:rPr>
        <w:t>Burnable Absorber Nuclear Fuel Technology Improvement</w:t>
      </w:r>
      <w:r w:rsidR="002E1BA3" w:rsidRPr="00DA61D7">
        <w:rPr>
          <w:rFonts w:ascii="Times New Roman" w:eastAsia="Times New Roman" w:hAnsi="Times New Roman" w:cs="Times New Roman"/>
          <w:sz w:val="24"/>
          <w:szCs w:val="24"/>
          <w:lang w:val="en-GB"/>
        </w:rPr>
        <w:t xml:space="preserve"> in Nuclear Fuel Technology Unit</w:t>
      </w:r>
      <w:r w:rsid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activiti</w:t>
      </w:r>
      <w:r w:rsidR="002E1BA3" w:rsidRPr="00DA61D7">
        <w:rPr>
          <w:rFonts w:ascii="Times New Roman" w:eastAsia="Times New Roman" w:hAnsi="Times New Roman" w:cs="Times New Roman"/>
          <w:sz w:val="24"/>
          <w:szCs w:val="24"/>
          <w:lang w:val="en-GB"/>
        </w:rPr>
        <w:t>es.</w:t>
      </w:r>
    </w:p>
    <w:p w14:paraId="79489A0A" w14:textId="77777777" w:rsidR="00D365B6" w:rsidRDefault="00D365B6" w:rsidP="00D365B6">
      <w:pPr>
        <w:overflowPunct w:val="0"/>
        <w:autoSpaceDE w:val="0"/>
        <w:autoSpaceDN w:val="0"/>
        <w:adjustRightInd w:val="0"/>
        <w:spacing w:afterLines="60" w:after="144" w:line="240" w:lineRule="auto"/>
        <w:ind w:firstLine="709"/>
        <w:jc w:val="both"/>
        <w:textAlignment w:val="baseline"/>
        <w:rPr>
          <w:rFonts w:ascii="Times New Roman" w:eastAsia="Times New Roman" w:hAnsi="Times New Roman" w:cs="Times New Roman"/>
          <w:sz w:val="24"/>
          <w:szCs w:val="24"/>
          <w:lang w:val="en-GB"/>
        </w:rPr>
      </w:pPr>
    </w:p>
    <w:p w14:paraId="507BB8DC" w14:textId="55A0C961" w:rsidR="00EF1C3C" w:rsidRPr="00B8121F" w:rsidRDefault="00EF1C3C" w:rsidP="00D365B6">
      <w:pPr>
        <w:pStyle w:val="ListeParagraf"/>
        <w:widowControl w:val="0"/>
        <w:numPr>
          <w:ilvl w:val="0"/>
          <w:numId w:val="6"/>
        </w:numPr>
        <w:spacing w:before="72" w:afterLines="60" w:after="144"/>
        <w:ind w:left="851" w:hanging="142"/>
        <w:rPr>
          <w:color w:val="000000"/>
          <w:sz w:val="24"/>
          <w:szCs w:val="24"/>
        </w:rPr>
      </w:pPr>
      <w:r w:rsidRPr="00B8121F">
        <w:rPr>
          <w:b/>
          <w:bCs/>
          <w:color w:val="000000"/>
          <w:sz w:val="24"/>
          <w:szCs w:val="24"/>
        </w:rPr>
        <w:t>R</w:t>
      </w:r>
      <w:r w:rsidRPr="00B8121F">
        <w:rPr>
          <w:b/>
          <w:bCs/>
          <w:color w:val="000000"/>
          <w:spacing w:val="3"/>
          <w:sz w:val="24"/>
          <w:szCs w:val="24"/>
        </w:rPr>
        <w:t>e</w:t>
      </w:r>
      <w:r w:rsidRPr="00B8121F">
        <w:rPr>
          <w:b/>
          <w:bCs/>
          <w:color w:val="000000"/>
          <w:spacing w:val="-3"/>
          <w:sz w:val="24"/>
          <w:szCs w:val="24"/>
        </w:rPr>
        <w:t>f</w:t>
      </w:r>
      <w:r w:rsidRPr="00B8121F">
        <w:rPr>
          <w:b/>
          <w:bCs/>
          <w:color w:val="000000"/>
          <w:spacing w:val="3"/>
          <w:sz w:val="24"/>
          <w:szCs w:val="24"/>
        </w:rPr>
        <w:t>e</w:t>
      </w:r>
      <w:r w:rsidRPr="00B8121F">
        <w:rPr>
          <w:b/>
          <w:bCs/>
          <w:color w:val="000000"/>
          <w:sz w:val="24"/>
          <w:szCs w:val="24"/>
        </w:rPr>
        <w:t>r</w:t>
      </w:r>
      <w:r w:rsidRPr="00B8121F">
        <w:rPr>
          <w:b/>
          <w:bCs/>
          <w:color w:val="000000"/>
          <w:spacing w:val="3"/>
          <w:sz w:val="24"/>
          <w:szCs w:val="24"/>
        </w:rPr>
        <w:t>e</w:t>
      </w:r>
      <w:r w:rsidRPr="00B8121F">
        <w:rPr>
          <w:b/>
          <w:bCs/>
          <w:color w:val="000000"/>
          <w:sz w:val="24"/>
          <w:szCs w:val="24"/>
        </w:rPr>
        <w:t>n</w:t>
      </w:r>
      <w:r w:rsidRPr="00B8121F">
        <w:rPr>
          <w:b/>
          <w:bCs/>
          <w:color w:val="000000"/>
          <w:spacing w:val="2"/>
          <w:sz w:val="24"/>
          <w:szCs w:val="24"/>
        </w:rPr>
        <w:t>c</w:t>
      </w:r>
      <w:r w:rsidRPr="00B8121F">
        <w:rPr>
          <w:b/>
          <w:bCs/>
          <w:color w:val="000000"/>
          <w:spacing w:val="1"/>
          <w:sz w:val="24"/>
          <w:szCs w:val="24"/>
        </w:rPr>
        <w:t>e</w:t>
      </w:r>
      <w:r w:rsidRPr="00B8121F">
        <w:rPr>
          <w:b/>
          <w:bCs/>
          <w:color w:val="000000"/>
          <w:sz w:val="24"/>
          <w:szCs w:val="24"/>
        </w:rPr>
        <w:t>s</w:t>
      </w:r>
    </w:p>
    <w:p w14:paraId="145A6263" w14:textId="77777777" w:rsidR="00B8121F" w:rsidRPr="00B8121F" w:rsidRDefault="00B8121F" w:rsidP="00D365B6">
      <w:pPr>
        <w:pStyle w:val="ListeParagraf"/>
        <w:widowControl w:val="0"/>
        <w:spacing w:before="72" w:afterLines="60" w:after="144"/>
        <w:ind w:left="0"/>
        <w:rPr>
          <w:color w:val="000000"/>
          <w:sz w:val="24"/>
          <w:szCs w:val="24"/>
        </w:rPr>
      </w:pPr>
    </w:p>
    <w:p w14:paraId="2B78CEB3" w14:textId="59FD260B" w:rsidR="00F20501" w:rsidRPr="00DA61D7" w:rsidRDefault="00FF51CC" w:rsidP="00D365B6">
      <w:pPr>
        <w:pStyle w:val="ListeParagraf"/>
        <w:numPr>
          <w:ilvl w:val="0"/>
          <w:numId w:val="2"/>
        </w:numPr>
        <w:spacing w:afterLines="60" w:after="144"/>
        <w:ind w:left="0" w:firstLine="709"/>
        <w:rPr>
          <w:sz w:val="24"/>
          <w:szCs w:val="24"/>
        </w:rPr>
      </w:pPr>
      <w:r w:rsidRPr="00DA61D7">
        <w:rPr>
          <w:sz w:val="24"/>
          <w:szCs w:val="24"/>
        </w:rPr>
        <w:t xml:space="preserve">IAEA-TECDOC-844, </w:t>
      </w:r>
      <w:r w:rsidR="00EA214F" w:rsidRPr="00DA61D7">
        <w:rPr>
          <w:sz w:val="24"/>
          <w:szCs w:val="24"/>
        </w:rPr>
        <w:t>Characteristics and use of urania-gadolinia fuels,</w:t>
      </w:r>
      <w:r w:rsidR="00EA214F" w:rsidRPr="00DA61D7">
        <w:t xml:space="preserve"> </w:t>
      </w:r>
      <w:r w:rsidR="00EA214F" w:rsidRPr="00DA61D7">
        <w:rPr>
          <w:sz w:val="24"/>
          <w:szCs w:val="24"/>
        </w:rPr>
        <w:t>1995</w:t>
      </w:r>
      <w:r w:rsidR="00F20501" w:rsidRPr="00DA61D7">
        <w:rPr>
          <w:sz w:val="24"/>
          <w:szCs w:val="24"/>
        </w:rPr>
        <w:t>.</w:t>
      </w:r>
    </w:p>
    <w:p w14:paraId="7D83640C" w14:textId="77777777" w:rsidR="00F20501" w:rsidRPr="00DA61D7" w:rsidRDefault="00EF1C3C" w:rsidP="00D365B6">
      <w:pPr>
        <w:pStyle w:val="ListeParagraf"/>
        <w:numPr>
          <w:ilvl w:val="0"/>
          <w:numId w:val="2"/>
        </w:numPr>
        <w:spacing w:afterLines="60" w:after="144"/>
        <w:ind w:left="0" w:firstLine="709"/>
        <w:rPr>
          <w:sz w:val="24"/>
          <w:szCs w:val="24"/>
        </w:rPr>
      </w:pPr>
      <w:r w:rsidRPr="00DA61D7">
        <w:rPr>
          <w:sz w:val="24"/>
          <w:szCs w:val="24"/>
        </w:rPr>
        <w:t>Yaylı, A., (1995). UO</w:t>
      </w:r>
      <w:r w:rsidRPr="00DA61D7">
        <w:rPr>
          <w:sz w:val="24"/>
          <w:szCs w:val="24"/>
          <w:vertAlign w:val="subscript"/>
        </w:rPr>
        <w:t>2</w:t>
      </w:r>
      <w:r w:rsidRPr="00DA61D7">
        <w:rPr>
          <w:sz w:val="24"/>
          <w:szCs w:val="24"/>
        </w:rPr>
        <w:t>-Gd</w:t>
      </w:r>
      <w:r w:rsidRPr="00DA61D7">
        <w:rPr>
          <w:sz w:val="24"/>
          <w:szCs w:val="24"/>
          <w:vertAlign w:val="subscript"/>
        </w:rPr>
        <w:t>2</w:t>
      </w:r>
      <w:r w:rsidRPr="00DA61D7">
        <w:rPr>
          <w:sz w:val="24"/>
          <w:szCs w:val="24"/>
        </w:rPr>
        <w:t>O</w:t>
      </w:r>
      <w:r w:rsidRPr="00DA61D7">
        <w:rPr>
          <w:sz w:val="24"/>
          <w:szCs w:val="24"/>
          <w:vertAlign w:val="subscript"/>
        </w:rPr>
        <w:t>3</w:t>
      </w:r>
      <w:r w:rsidRPr="00DA61D7">
        <w:rPr>
          <w:sz w:val="24"/>
          <w:szCs w:val="24"/>
        </w:rPr>
        <w:t xml:space="preserve"> Nükleer yakıt peletlerinde gadolinyum miktarıyla mikroyapı ve yoğunluk değişiminin düşük sıcaklık sinterlemesinde  incelenmesi, Yüksek Lisans Tezi (MSc),YTÜ FBE-Yıldız-İstanbul.</w:t>
      </w:r>
      <w:r w:rsidRPr="00DA61D7">
        <w:rPr>
          <w:color w:val="FF0000"/>
          <w:sz w:val="24"/>
          <w:szCs w:val="24"/>
        </w:rPr>
        <w:t xml:space="preserve"> </w:t>
      </w:r>
    </w:p>
    <w:p w14:paraId="1171BB11" w14:textId="41C018A6" w:rsidR="00EF1C3C" w:rsidRPr="00DA61D7" w:rsidRDefault="00EF1C3C" w:rsidP="00D365B6">
      <w:pPr>
        <w:pStyle w:val="ListeParagraf"/>
        <w:numPr>
          <w:ilvl w:val="0"/>
          <w:numId w:val="2"/>
        </w:numPr>
        <w:spacing w:afterLines="60" w:after="144"/>
        <w:ind w:left="0" w:firstLine="709"/>
        <w:rPr>
          <w:sz w:val="24"/>
          <w:szCs w:val="24"/>
        </w:rPr>
      </w:pPr>
      <w:r w:rsidRPr="00DA61D7">
        <w:rPr>
          <w:sz w:val="24"/>
          <w:szCs w:val="24"/>
        </w:rPr>
        <w:t>Böhm W. Kiehlmann H. D., Neufert A.</w:t>
      </w:r>
      <w:r w:rsidR="00E01AE3" w:rsidRPr="00DA61D7">
        <w:rPr>
          <w:sz w:val="24"/>
          <w:szCs w:val="24"/>
        </w:rPr>
        <w:t>&amp;</w:t>
      </w:r>
      <w:r w:rsidRPr="00DA61D7">
        <w:rPr>
          <w:sz w:val="24"/>
          <w:szCs w:val="24"/>
        </w:rPr>
        <w:t xml:space="preserve"> Peehs M., (1987). Kerntechnik</w:t>
      </w:r>
      <w:r w:rsidR="00F20501" w:rsidRPr="00DA61D7">
        <w:rPr>
          <w:sz w:val="24"/>
          <w:szCs w:val="24"/>
        </w:rPr>
        <w:t>.</w:t>
      </w:r>
      <w:r w:rsidRPr="00DA61D7">
        <w:rPr>
          <w:sz w:val="24"/>
          <w:szCs w:val="24"/>
        </w:rPr>
        <w:t xml:space="preserve"> 50, 234-240.</w:t>
      </w:r>
    </w:p>
    <w:p w14:paraId="7D61DCB6" w14:textId="6A3FFD43" w:rsidR="00F20501" w:rsidRPr="00DA61D7" w:rsidRDefault="00EF1C3C" w:rsidP="00D365B6">
      <w:pPr>
        <w:pStyle w:val="ListeParagraf"/>
        <w:numPr>
          <w:ilvl w:val="0"/>
          <w:numId w:val="2"/>
        </w:numPr>
        <w:spacing w:afterLines="60" w:after="144"/>
        <w:ind w:left="0" w:firstLine="709"/>
        <w:rPr>
          <w:sz w:val="24"/>
          <w:szCs w:val="24"/>
        </w:rPr>
      </w:pPr>
      <w:r w:rsidRPr="00DA61D7">
        <w:rPr>
          <w:sz w:val="24"/>
          <w:szCs w:val="24"/>
        </w:rPr>
        <w:t>Stogen F. B., Nielsen L. A.</w:t>
      </w:r>
      <w:r w:rsidR="00E01AE3" w:rsidRPr="00DA61D7">
        <w:rPr>
          <w:sz w:val="24"/>
          <w:szCs w:val="24"/>
        </w:rPr>
        <w:t xml:space="preserve"> &amp; </w:t>
      </w:r>
      <w:r w:rsidRPr="00DA61D7">
        <w:rPr>
          <w:sz w:val="24"/>
          <w:szCs w:val="24"/>
        </w:rPr>
        <w:t>Grummer R. G., (1982). Trans</w:t>
      </w:r>
      <w:r w:rsidR="00F20501" w:rsidRPr="00DA61D7">
        <w:rPr>
          <w:sz w:val="24"/>
          <w:szCs w:val="24"/>
        </w:rPr>
        <w:t>actions of the</w:t>
      </w:r>
      <w:r w:rsidRPr="00DA61D7">
        <w:rPr>
          <w:sz w:val="24"/>
          <w:szCs w:val="24"/>
        </w:rPr>
        <w:t xml:space="preserve"> Am</w:t>
      </w:r>
      <w:r w:rsidR="00F20501" w:rsidRPr="00DA61D7">
        <w:rPr>
          <w:sz w:val="24"/>
          <w:szCs w:val="24"/>
        </w:rPr>
        <w:t>erican</w:t>
      </w:r>
      <w:r w:rsidRPr="00DA61D7">
        <w:rPr>
          <w:sz w:val="24"/>
          <w:szCs w:val="24"/>
        </w:rPr>
        <w:t xml:space="preserve"> Nucl</w:t>
      </w:r>
      <w:r w:rsidR="00F20501" w:rsidRPr="00DA61D7">
        <w:rPr>
          <w:sz w:val="24"/>
          <w:szCs w:val="24"/>
        </w:rPr>
        <w:t>ear</w:t>
      </w:r>
      <w:r w:rsidRPr="00DA61D7">
        <w:rPr>
          <w:sz w:val="24"/>
          <w:szCs w:val="24"/>
        </w:rPr>
        <w:t xml:space="preserve"> Soc</w:t>
      </w:r>
      <w:r w:rsidR="00F20501" w:rsidRPr="00DA61D7">
        <w:rPr>
          <w:sz w:val="24"/>
          <w:szCs w:val="24"/>
        </w:rPr>
        <w:t>iety.</w:t>
      </w:r>
      <w:r w:rsidRPr="00DA61D7">
        <w:rPr>
          <w:sz w:val="24"/>
          <w:szCs w:val="24"/>
        </w:rPr>
        <w:t>40, 194-198.</w:t>
      </w:r>
    </w:p>
    <w:p w14:paraId="1F7A45CE" w14:textId="77777777" w:rsidR="00F20501" w:rsidRPr="00DA61D7" w:rsidRDefault="00EF1C3C" w:rsidP="00D365B6">
      <w:pPr>
        <w:pStyle w:val="ListeParagraf"/>
        <w:numPr>
          <w:ilvl w:val="0"/>
          <w:numId w:val="2"/>
        </w:numPr>
        <w:spacing w:afterLines="60" w:after="144"/>
        <w:ind w:left="0" w:firstLine="709"/>
        <w:rPr>
          <w:sz w:val="24"/>
          <w:szCs w:val="24"/>
        </w:rPr>
      </w:pPr>
      <w:r w:rsidRPr="00DA61D7">
        <w:rPr>
          <w:sz w:val="24"/>
          <w:szCs w:val="24"/>
        </w:rPr>
        <w:t>Brandberg S. G., (1973).</w:t>
      </w:r>
      <w:r w:rsidR="00F20501" w:rsidRPr="00DA61D7">
        <w:rPr>
          <w:sz w:val="24"/>
          <w:szCs w:val="24"/>
        </w:rPr>
        <w:t xml:space="preserve"> </w:t>
      </w:r>
      <w:r w:rsidRPr="00DA61D7">
        <w:rPr>
          <w:sz w:val="24"/>
          <w:szCs w:val="24"/>
        </w:rPr>
        <w:t>Nuclear Technology</w:t>
      </w:r>
      <w:r w:rsidR="00F20501" w:rsidRPr="00DA61D7">
        <w:rPr>
          <w:sz w:val="24"/>
          <w:szCs w:val="24"/>
        </w:rPr>
        <w:t xml:space="preserve">. </w:t>
      </w:r>
      <w:r w:rsidRPr="00DA61D7">
        <w:rPr>
          <w:sz w:val="24"/>
          <w:szCs w:val="24"/>
        </w:rPr>
        <w:t>18, 177-184.</w:t>
      </w:r>
    </w:p>
    <w:p w14:paraId="4D4581F8" w14:textId="6FC4B4F6" w:rsidR="00F20501" w:rsidRPr="00DA61D7" w:rsidRDefault="00EF1C3C" w:rsidP="00D365B6">
      <w:pPr>
        <w:pStyle w:val="ListeParagraf"/>
        <w:numPr>
          <w:ilvl w:val="0"/>
          <w:numId w:val="2"/>
        </w:numPr>
        <w:spacing w:afterLines="60" w:after="144"/>
        <w:ind w:left="0" w:firstLine="709"/>
        <w:rPr>
          <w:sz w:val="24"/>
          <w:szCs w:val="24"/>
        </w:rPr>
      </w:pPr>
      <w:r w:rsidRPr="00DA61D7">
        <w:rPr>
          <w:sz w:val="24"/>
          <w:szCs w:val="24"/>
        </w:rPr>
        <w:lastRenderedPageBreak/>
        <w:t>Zinkle S.J.</w:t>
      </w:r>
      <w:r w:rsidR="00E01AE3" w:rsidRPr="00DA61D7">
        <w:rPr>
          <w:sz w:val="24"/>
          <w:szCs w:val="24"/>
        </w:rPr>
        <w:t xml:space="preserve"> &amp; </w:t>
      </w:r>
      <w:r w:rsidRPr="00DA61D7">
        <w:rPr>
          <w:sz w:val="24"/>
          <w:szCs w:val="24"/>
        </w:rPr>
        <w:t>Was G.S., (2013). Materials challenges in nuclear energy, Acta Materialia</w:t>
      </w:r>
      <w:r w:rsidR="00F20501" w:rsidRPr="00DA61D7">
        <w:rPr>
          <w:sz w:val="24"/>
          <w:szCs w:val="24"/>
        </w:rPr>
        <w:t>.</w:t>
      </w:r>
      <w:r w:rsidRPr="00DA61D7">
        <w:rPr>
          <w:sz w:val="24"/>
          <w:szCs w:val="24"/>
        </w:rPr>
        <w:t xml:space="preserve"> 61, 3, 735-758.</w:t>
      </w:r>
    </w:p>
    <w:p w14:paraId="0A359E54" w14:textId="154DBB18" w:rsidR="00F20501" w:rsidRPr="00DA61D7" w:rsidRDefault="00EF1C3C" w:rsidP="00D365B6">
      <w:pPr>
        <w:pStyle w:val="ListeParagraf"/>
        <w:numPr>
          <w:ilvl w:val="0"/>
          <w:numId w:val="2"/>
        </w:numPr>
        <w:spacing w:afterLines="60" w:after="144"/>
        <w:ind w:left="0" w:firstLine="709"/>
        <w:rPr>
          <w:sz w:val="24"/>
          <w:szCs w:val="24"/>
        </w:rPr>
      </w:pPr>
      <w:r w:rsidRPr="00DA61D7">
        <w:rPr>
          <w:sz w:val="24"/>
          <w:szCs w:val="24"/>
        </w:rPr>
        <w:t>D.Tobia, E.L. Winkler, J. Milano, A.Butera, R.Kempf, L. Bianchi</w:t>
      </w:r>
      <w:r w:rsidR="00E01AE3" w:rsidRPr="00DA61D7">
        <w:rPr>
          <w:sz w:val="24"/>
          <w:szCs w:val="24"/>
        </w:rPr>
        <w:t xml:space="preserve"> &amp;</w:t>
      </w:r>
      <w:r w:rsidRPr="00DA61D7">
        <w:rPr>
          <w:sz w:val="24"/>
          <w:szCs w:val="24"/>
        </w:rPr>
        <w:t xml:space="preserve"> F. Kaufmann, (2014) Determination of Gd Concentration Profile in UO</w:t>
      </w:r>
      <w:r w:rsidRPr="00DA61D7">
        <w:rPr>
          <w:sz w:val="24"/>
          <w:szCs w:val="24"/>
          <w:vertAlign w:val="subscript"/>
        </w:rPr>
        <w:t>2</w:t>
      </w:r>
      <w:r w:rsidRPr="00DA61D7">
        <w:rPr>
          <w:sz w:val="24"/>
          <w:szCs w:val="24"/>
        </w:rPr>
        <w:t>-Gd</w:t>
      </w:r>
      <w:r w:rsidRPr="00DA61D7">
        <w:rPr>
          <w:sz w:val="24"/>
          <w:szCs w:val="24"/>
          <w:vertAlign w:val="subscript"/>
        </w:rPr>
        <w:t>2</w:t>
      </w:r>
      <w:r w:rsidRPr="00DA61D7">
        <w:rPr>
          <w:sz w:val="24"/>
          <w:szCs w:val="24"/>
        </w:rPr>
        <w:t>O</w:t>
      </w:r>
      <w:r w:rsidRPr="00DA61D7">
        <w:rPr>
          <w:sz w:val="24"/>
          <w:szCs w:val="24"/>
          <w:vertAlign w:val="subscript"/>
        </w:rPr>
        <w:t>3</w:t>
      </w:r>
      <w:r w:rsidRPr="00DA61D7">
        <w:rPr>
          <w:sz w:val="24"/>
          <w:szCs w:val="24"/>
        </w:rPr>
        <w:t xml:space="preserve"> Fuel Pellets,</w:t>
      </w:r>
      <w:r w:rsidR="00E01AE3" w:rsidRPr="00DA61D7">
        <w:rPr>
          <w:sz w:val="24"/>
          <w:szCs w:val="24"/>
        </w:rPr>
        <w:t xml:space="preserve"> </w:t>
      </w:r>
      <w:r w:rsidRPr="00DA61D7">
        <w:rPr>
          <w:sz w:val="24"/>
          <w:szCs w:val="24"/>
        </w:rPr>
        <w:t xml:space="preserve">CNEA and CONICET, (8400) S.C. de Bariloche, Argentina. </w:t>
      </w:r>
    </w:p>
    <w:p w14:paraId="7CEFDB54" w14:textId="0E32158C" w:rsidR="00EF1C3C" w:rsidRPr="00DA61D7" w:rsidRDefault="00EF1C3C" w:rsidP="00D365B6">
      <w:pPr>
        <w:pStyle w:val="ListeParagraf"/>
        <w:numPr>
          <w:ilvl w:val="0"/>
          <w:numId w:val="2"/>
        </w:numPr>
        <w:spacing w:afterLines="60" w:after="144"/>
        <w:ind w:left="0" w:firstLine="709"/>
        <w:rPr>
          <w:sz w:val="24"/>
          <w:szCs w:val="24"/>
        </w:rPr>
      </w:pPr>
      <w:r w:rsidRPr="00DA61D7">
        <w:rPr>
          <w:sz w:val="24"/>
          <w:szCs w:val="24"/>
        </w:rPr>
        <w:t xml:space="preserve">Durazzo, </w:t>
      </w:r>
      <w:r w:rsidR="00E01AE3" w:rsidRPr="00DA61D7">
        <w:rPr>
          <w:sz w:val="24"/>
          <w:szCs w:val="24"/>
        </w:rPr>
        <w:t xml:space="preserve">M., </w:t>
      </w:r>
      <w:r w:rsidRPr="00DA61D7">
        <w:rPr>
          <w:sz w:val="24"/>
          <w:szCs w:val="24"/>
        </w:rPr>
        <w:t xml:space="preserve">Saliba-Silva, </w:t>
      </w:r>
      <w:r w:rsidR="00E01AE3" w:rsidRPr="00DA61D7">
        <w:rPr>
          <w:sz w:val="24"/>
          <w:szCs w:val="24"/>
        </w:rPr>
        <w:t xml:space="preserve">A.M., </w:t>
      </w:r>
      <w:r w:rsidRPr="00DA61D7">
        <w:rPr>
          <w:sz w:val="24"/>
          <w:szCs w:val="24"/>
        </w:rPr>
        <w:t xml:space="preserve">Urano de Carvalho, </w:t>
      </w:r>
      <w:r w:rsidR="00E01AE3" w:rsidRPr="00DA61D7">
        <w:rPr>
          <w:sz w:val="24"/>
          <w:szCs w:val="24"/>
        </w:rPr>
        <w:t xml:space="preserve">E.F. &amp; </w:t>
      </w:r>
      <w:r w:rsidRPr="00DA61D7">
        <w:rPr>
          <w:sz w:val="24"/>
          <w:szCs w:val="24"/>
        </w:rPr>
        <w:t xml:space="preserve">Riella, </w:t>
      </w:r>
      <w:r w:rsidR="00E01AE3" w:rsidRPr="00DA61D7">
        <w:rPr>
          <w:sz w:val="24"/>
          <w:szCs w:val="24"/>
        </w:rPr>
        <w:t xml:space="preserve">H.G. </w:t>
      </w:r>
      <w:r w:rsidRPr="00DA61D7">
        <w:rPr>
          <w:sz w:val="24"/>
          <w:szCs w:val="24"/>
        </w:rPr>
        <w:t>(2013). Sintering behavior of UO</w:t>
      </w:r>
      <w:r w:rsidRPr="00DA61D7">
        <w:rPr>
          <w:sz w:val="24"/>
          <w:szCs w:val="24"/>
          <w:vertAlign w:val="subscript"/>
        </w:rPr>
        <w:t>2</w:t>
      </w:r>
      <w:r w:rsidRPr="00DA61D7">
        <w:rPr>
          <w:sz w:val="24"/>
          <w:szCs w:val="24"/>
        </w:rPr>
        <w:t>–Gd</w:t>
      </w:r>
      <w:r w:rsidRPr="00DA61D7">
        <w:rPr>
          <w:sz w:val="24"/>
          <w:szCs w:val="24"/>
          <w:vertAlign w:val="subscript"/>
        </w:rPr>
        <w:t>2</w:t>
      </w:r>
      <w:r w:rsidRPr="00DA61D7">
        <w:rPr>
          <w:sz w:val="24"/>
          <w:szCs w:val="24"/>
        </w:rPr>
        <w:t>O</w:t>
      </w:r>
      <w:r w:rsidRPr="00DA61D7">
        <w:rPr>
          <w:sz w:val="24"/>
          <w:szCs w:val="24"/>
          <w:vertAlign w:val="subscript"/>
        </w:rPr>
        <w:t>3</w:t>
      </w:r>
      <w:r w:rsidRPr="00DA61D7">
        <w:rPr>
          <w:sz w:val="24"/>
          <w:szCs w:val="24"/>
        </w:rPr>
        <w:t xml:space="preserve"> fuel: Pore formation mechanism</w:t>
      </w:r>
      <w:r w:rsidR="00E01AE3" w:rsidRPr="00DA61D7">
        <w:rPr>
          <w:sz w:val="24"/>
          <w:szCs w:val="24"/>
        </w:rPr>
        <w:t>.</w:t>
      </w:r>
      <w:r w:rsidRPr="00DA61D7">
        <w:rPr>
          <w:sz w:val="24"/>
          <w:szCs w:val="24"/>
        </w:rPr>
        <w:t xml:space="preserve">  J</w:t>
      </w:r>
      <w:r w:rsidR="00E01AE3" w:rsidRPr="00DA61D7">
        <w:rPr>
          <w:sz w:val="24"/>
          <w:szCs w:val="24"/>
        </w:rPr>
        <w:t xml:space="preserve">ournal of </w:t>
      </w:r>
      <w:r w:rsidRPr="00DA61D7">
        <w:rPr>
          <w:sz w:val="24"/>
          <w:szCs w:val="24"/>
        </w:rPr>
        <w:t>Nucl</w:t>
      </w:r>
      <w:r w:rsidR="00E01AE3" w:rsidRPr="00DA61D7">
        <w:rPr>
          <w:sz w:val="24"/>
          <w:szCs w:val="24"/>
        </w:rPr>
        <w:t>ear</w:t>
      </w:r>
      <w:r w:rsidRPr="00DA61D7">
        <w:rPr>
          <w:sz w:val="24"/>
          <w:szCs w:val="24"/>
        </w:rPr>
        <w:t xml:space="preserve"> Mater</w:t>
      </w:r>
      <w:r w:rsidR="00E01AE3" w:rsidRPr="00DA61D7">
        <w:rPr>
          <w:sz w:val="24"/>
          <w:szCs w:val="24"/>
        </w:rPr>
        <w:t>ials.</w:t>
      </w:r>
      <w:r w:rsidRPr="00DA61D7">
        <w:rPr>
          <w:sz w:val="24"/>
          <w:szCs w:val="24"/>
        </w:rPr>
        <w:t xml:space="preserve">  433, 334.</w:t>
      </w:r>
    </w:p>
    <w:p w14:paraId="18BE2978" w14:textId="58B1F9ED" w:rsidR="00EF1C3C" w:rsidRDefault="00EF1C3C" w:rsidP="00D365B6">
      <w:pPr>
        <w:pStyle w:val="ListeParagraf"/>
        <w:numPr>
          <w:ilvl w:val="0"/>
          <w:numId w:val="2"/>
        </w:numPr>
        <w:spacing w:afterLines="60" w:after="144"/>
        <w:ind w:left="0" w:firstLine="709"/>
        <w:rPr>
          <w:sz w:val="24"/>
          <w:szCs w:val="24"/>
        </w:rPr>
      </w:pPr>
      <w:r w:rsidRPr="00DA61D7">
        <w:rPr>
          <w:sz w:val="24"/>
          <w:szCs w:val="24"/>
        </w:rPr>
        <w:t>Durazzo, M</w:t>
      </w:r>
      <w:r w:rsidR="00E01AE3" w:rsidRPr="00DA61D7">
        <w:rPr>
          <w:sz w:val="24"/>
          <w:szCs w:val="24"/>
        </w:rPr>
        <w:t>. &amp;</w:t>
      </w:r>
      <w:r w:rsidRPr="00DA61D7">
        <w:rPr>
          <w:sz w:val="24"/>
          <w:szCs w:val="24"/>
        </w:rPr>
        <w:t xml:space="preserve"> Riela, H.G., (2008 September). Studies on the Sintering Behaviour of UO</w:t>
      </w:r>
      <w:r w:rsidRPr="00DA61D7">
        <w:rPr>
          <w:sz w:val="24"/>
          <w:szCs w:val="24"/>
          <w:vertAlign w:val="subscript"/>
        </w:rPr>
        <w:t>2</w:t>
      </w:r>
      <w:r w:rsidRPr="00DA61D7">
        <w:rPr>
          <w:sz w:val="24"/>
          <w:szCs w:val="24"/>
        </w:rPr>
        <w:t>-Gd</w:t>
      </w:r>
      <w:r w:rsidRPr="00DA61D7">
        <w:rPr>
          <w:sz w:val="24"/>
          <w:szCs w:val="24"/>
          <w:vertAlign w:val="subscript"/>
        </w:rPr>
        <w:t>2</w:t>
      </w:r>
      <w:r w:rsidRPr="00DA61D7">
        <w:rPr>
          <w:sz w:val="24"/>
          <w:szCs w:val="24"/>
        </w:rPr>
        <w:t>O</w:t>
      </w:r>
      <w:r w:rsidRPr="00DA61D7">
        <w:rPr>
          <w:sz w:val="24"/>
          <w:szCs w:val="24"/>
          <w:vertAlign w:val="subscript"/>
        </w:rPr>
        <w:t>3</w:t>
      </w:r>
      <w:r w:rsidRPr="00DA61D7">
        <w:rPr>
          <w:sz w:val="24"/>
          <w:szCs w:val="24"/>
        </w:rPr>
        <w:t xml:space="preserve"> Nuclear Fuel Interlaken, Switzerland, Paper No. 114 IYNC 2008.</w:t>
      </w:r>
    </w:p>
    <w:p w14:paraId="52498F20" w14:textId="46A680AC" w:rsidR="00EF1C3C" w:rsidRPr="00DA61D7" w:rsidRDefault="00EF1C3C" w:rsidP="00D365B6">
      <w:pPr>
        <w:pStyle w:val="ListeParagraf"/>
        <w:numPr>
          <w:ilvl w:val="0"/>
          <w:numId w:val="2"/>
        </w:numPr>
        <w:spacing w:afterLines="60" w:after="144"/>
        <w:ind w:left="0" w:firstLine="709"/>
        <w:rPr>
          <w:sz w:val="24"/>
          <w:szCs w:val="24"/>
        </w:rPr>
      </w:pPr>
      <w:r w:rsidRPr="00DA61D7">
        <w:rPr>
          <w:sz w:val="24"/>
          <w:szCs w:val="24"/>
        </w:rPr>
        <w:t>Song, K.W., Kim K.S., Yang J.H., Kang K.W.</w:t>
      </w:r>
      <w:r w:rsidR="00E01AE3" w:rsidRPr="00DA61D7">
        <w:rPr>
          <w:sz w:val="24"/>
          <w:szCs w:val="24"/>
        </w:rPr>
        <w:t xml:space="preserve"> &amp;</w:t>
      </w:r>
      <w:r w:rsidRPr="00DA61D7">
        <w:rPr>
          <w:sz w:val="24"/>
          <w:szCs w:val="24"/>
        </w:rPr>
        <w:t xml:space="preserve"> Jung Y.H., (2001).</w:t>
      </w:r>
      <w:r w:rsidRPr="00DA61D7">
        <w:rPr>
          <w:color w:val="000000"/>
          <w:sz w:val="20"/>
          <w:shd w:val="clear" w:color="auto" w:fill="FFFFFF"/>
        </w:rPr>
        <w:t xml:space="preserve"> </w:t>
      </w:r>
      <w:r w:rsidRPr="00DA61D7">
        <w:rPr>
          <w:sz w:val="24"/>
          <w:szCs w:val="24"/>
        </w:rPr>
        <w:t>A Mechanism for the Sintered Density Decrease of UO</w:t>
      </w:r>
      <w:r w:rsidRPr="00DA61D7">
        <w:rPr>
          <w:sz w:val="24"/>
          <w:szCs w:val="24"/>
          <w:vertAlign w:val="subscript"/>
        </w:rPr>
        <w:t>2</w:t>
      </w:r>
      <w:r w:rsidRPr="00DA61D7">
        <w:rPr>
          <w:sz w:val="24"/>
          <w:szCs w:val="24"/>
        </w:rPr>
        <w:t>-Gd</w:t>
      </w:r>
      <w:r w:rsidRPr="00DA61D7">
        <w:rPr>
          <w:sz w:val="24"/>
          <w:szCs w:val="24"/>
          <w:vertAlign w:val="subscript"/>
        </w:rPr>
        <w:t>2</w:t>
      </w:r>
      <w:r w:rsidRPr="00DA61D7">
        <w:rPr>
          <w:sz w:val="24"/>
          <w:szCs w:val="24"/>
        </w:rPr>
        <w:t>O</w:t>
      </w:r>
      <w:r w:rsidRPr="00DA61D7">
        <w:rPr>
          <w:sz w:val="24"/>
          <w:szCs w:val="24"/>
          <w:vertAlign w:val="subscript"/>
        </w:rPr>
        <w:t>3</w:t>
      </w:r>
      <w:r w:rsidRPr="00DA61D7">
        <w:rPr>
          <w:sz w:val="24"/>
          <w:szCs w:val="24"/>
        </w:rPr>
        <w:t xml:space="preserve"> Pellets under an Oxidizing Atmosphere.  </w:t>
      </w:r>
      <w:r w:rsidR="00E01AE3" w:rsidRPr="00DA61D7">
        <w:rPr>
          <w:sz w:val="24"/>
          <w:szCs w:val="24"/>
        </w:rPr>
        <w:t>Journal of Nuclear Materials</w:t>
      </w:r>
      <w:r w:rsidRPr="00DA61D7">
        <w:rPr>
          <w:sz w:val="24"/>
          <w:szCs w:val="24"/>
        </w:rPr>
        <w:t>. 288, 92.</w:t>
      </w:r>
    </w:p>
    <w:p w14:paraId="6B0490BE" w14:textId="4D1A4CA4" w:rsidR="00EF1C3C" w:rsidRPr="00DA61D7" w:rsidRDefault="00EF1C3C" w:rsidP="00D365B6">
      <w:pPr>
        <w:pStyle w:val="ListeParagraf"/>
        <w:numPr>
          <w:ilvl w:val="0"/>
          <w:numId w:val="2"/>
        </w:numPr>
        <w:spacing w:afterLines="60" w:after="144"/>
        <w:ind w:left="0" w:firstLine="709"/>
        <w:rPr>
          <w:sz w:val="24"/>
          <w:szCs w:val="24"/>
        </w:rPr>
      </w:pPr>
      <w:r w:rsidRPr="00DA61D7">
        <w:rPr>
          <w:sz w:val="24"/>
          <w:szCs w:val="24"/>
        </w:rPr>
        <w:t>Leyva, A.G., Vega, D., Trimarco, V.</w:t>
      </w:r>
      <w:r w:rsidR="00E01AE3" w:rsidRPr="00DA61D7">
        <w:rPr>
          <w:sz w:val="24"/>
          <w:szCs w:val="24"/>
        </w:rPr>
        <w:t xml:space="preserve"> &amp; </w:t>
      </w:r>
      <w:r w:rsidRPr="00DA61D7">
        <w:rPr>
          <w:sz w:val="24"/>
          <w:szCs w:val="24"/>
        </w:rPr>
        <w:t>Marchi, D., (2002). Homogeneity characterisation of sintered (U,Gd)O</w:t>
      </w:r>
      <w:r w:rsidRPr="00DA61D7">
        <w:rPr>
          <w:sz w:val="24"/>
          <w:szCs w:val="24"/>
          <w:vertAlign w:val="subscript"/>
        </w:rPr>
        <w:t>2</w:t>
      </w:r>
      <w:r w:rsidRPr="00DA61D7">
        <w:rPr>
          <w:sz w:val="24"/>
          <w:szCs w:val="24"/>
        </w:rPr>
        <w:t xml:space="preserve"> pellets by X-ray diffraction, </w:t>
      </w:r>
      <w:r w:rsidR="00E01AE3" w:rsidRPr="00DA61D7">
        <w:rPr>
          <w:sz w:val="24"/>
          <w:szCs w:val="24"/>
        </w:rPr>
        <w:t>Journal of Nuclear Materials.</w:t>
      </w:r>
      <w:r w:rsidRPr="00DA61D7">
        <w:rPr>
          <w:sz w:val="24"/>
          <w:szCs w:val="24"/>
        </w:rPr>
        <w:t xml:space="preserve"> 303, 29-33.</w:t>
      </w:r>
    </w:p>
    <w:p w14:paraId="2931CC39" w14:textId="76845E13" w:rsidR="00EF1C3C" w:rsidRPr="00DA61D7" w:rsidRDefault="00EF1C3C" w:rsidP="00D365B6">
      <w:pPr>
        <w:pStyle w:val="ListeParagraf"/>
        <w:numPr>
          <w:ilvl w:val="0"/>
          <w:numId w:val="2"/>
        </w:numPr>
        <w:spacing w:afterLines="60" w:after="144"/>
        <w:ind w:left="0" w:firstLine="709"/>
        <w:rPr>
          <w:sz w:val="24"/>
          <w:szCs w:val="24"/>
        </w:rPr>
      </w:pPr>
      <w:r w:rsidRPr="00DA61D7">
        <w:rPr>
          <w:sz w:val="24"/>
          <w:szCs w:val="24"/>
        </w:rPr>
        <w:t>Renier J.-P.</w:t>
      </w:r>
      <w:r w:rsidR="00E01AE3" w:rsidRPr="00DA61D7">
        <w:rPr>
          <w:sz w:val="24"/>
          <w:szCs w:val="24"/>
        </w:rPr>
        <w:t xml:space="preserve"> </w:t>
      </w:r>
      <w:r w:rsidRPr="00DA61D7">
        <w:rPr>
          <w:sz w:val="24"/>
          <w:szCs w:val="24"/>
        </w:rPr>
        <w:t>A</w:t>
      </w:r>
      <w:r w:rsidR="00E01AE3" w:rsidRPr="00DA61D7">
        <w:rPr>
          <w:sz w:val="24"/>
          <w:szCs w:val="24"/>
        </w:rPr>
        <w:t>. &amp;</w:t>
      </w:r>
      <w:r w:rsidRPr="00DA61D7">
        <w:rPr>
          <w:sz w:val="24"/>
          <w:szCs w:val="24"/>
        </w:rPr>
        <w:t xml:space="preserve"> Grossbeck, M. Development </w:t>
      </w:r>
      <w:r w:rsidR="00E01AE3" w:rsidRPr="00DA61D7">
        <w:rPr>
          <w:sz w:val="24"/>
          <w:szCs w:val="24"/>
        </w:rPr>
        <w:t>o</w:t>
      </w:r>
      <w:r w:rsidRPr="00DA61D7">
        <w:rPr>
          <w:sz w:val="24"/>
          <w:szCs w:val="24"/>
        </w:rPr>
        <w:t>f Improved Burnable Poisons For Commercial Nuclear Power Reactors,</w:t>
      </w:r>
      <w:r w:rsidRPr="00DA61D7">
        <w:t xml:space="preserve"> </w:t>
      </w:r>
      <w:r w:rsidRPr="00DA61D7">
        <w:rPr>
          <w:sz w:val="24"/>
          <w:szCs w:val="24"/>
        </w:rPr>
        <w:t>ORNL/TM-2001/238.</w:t>
      </w:r>
    </w:p>
    <w:p w14:paraId="767482A4" w14:textId="5455FEA1" w:rsidR="00EF1C3C" w:rsidRPr="00DA61D7" w:rsidRDefault="00EF1C3C" w:rsidP="00D365B6">
      <w:pPr>
        <w:pStyle w:val="ListeParagraf"/>
        <w:numPr>
          <w:ilvl w:val="0"/>
          <w:numId w:val="2"/>
        </w:numPr>
        <w:spacing w:afterLines="60" w:after="144"/>
        <w:ind w:left="0" w:firstLine="709"/>
        <w:rPr>
          <w:sz w:val="24"/>
          <w:szCs w:val="24"/>
        </w:rPr>
      </w:pPr>
      <w:r w:rsidRPr="00DA61D7">
        <w:rPr>
          <w:sz w:val="24"/>
          <w:szCs w:val="24"/>
        </w:rPr>
        <w:t>Hoai-Nam Tran, Hung, T.P. Hoang</w:t>
      </w:r>
      <w:r w:rsidR="00E01AE3" w:rsidRPr="00DA61D7">
        <w:rPr>
          <w:sz w:val="24"/>
          <w:szCs w:val="24"/>
        </w:rPr>
        <w:t xml:space="preserve"> &amp;</w:t>
      </w:r>
      <w:r w:rsidRPr="00DA61D7">
        <w:rPr>
          <w:sz w:val="24"/>
          <w:szCs w:val="24"/>
        </w:rPr>
        <w:t xml:space="preserve"> Peng Hong Liem</w:t>
      </w:r>
      <w:r w:rsidR="00E01AE3" w:rsidRPr="00DA61D7">
        <w:rPr>
          <w:sz w:val="24"/>
          <w:szCs w:val="24"/>
        </w:rPr>
        <w:t>. (</w:t>
      </w:r>
      <w:r w:rsidRPr="00DA61D7">
        <w:rPr>
          <w:sz w:val="24"/>
          <w:szCs w:val="24"/>
        </w:rPr>
        <w:t>2017)</w:t>
      </w:r>
      <w:r w:rsidR="00E01AE3" w:rsidRPr="00DA61D7">
        <w:rPr>
          <w:sz w:val="24"/>
          <w:szCs w:val="24"/>
        </w:rPr>
        <w:t>.</w:t>
      </w:r>
      <w:r w:rsidRPr="00DA61D7">
        <w:rPr>
          <w:sz w:val="24"/>
          <w:szCs w:val="24"/>
        </w:rPr>
        <w:t xml:space="preserve">  Using Gd</w:t>
      </w:r>
      <w:r w:rsidRPr="00DA61D7">
        <w:rPr>
          <w:sz w:val="24"/>
          <w:szCs w:val="24"/>
          <w:vertAlign w:val="subscript"/>
        </w:rPr>
        <w:t>2</w:t>
      </w:r>
      <w:r w:rsidRPr="00DA61D7">
        <w:rPr>
          <w:sz w:val="24"/>
          <w:szCs w:val="24"/>
        </w:rPr>
        <w:t>O</w:t>
      </w:r>
      <w:r w:rsidRPr="00DA61D7">
        <w:rPr>
          <w:sz w:val="24"/>
          <w:szCs w:val="24"/>
          <w:vertAlign w:val="subscript"/>
        </w:rPr>
        <w:t>3</w:t>
      </w:r>
      <w:r w:rsidRPr="00DA61D7">
        <w:rPr>
          <w:sz w:val="24"/>
          <w:szCs w:val="24"/>
        </w:rPr>
        <w:t xml:space="preserve"> Particles in WWER1000 Fuel Assembly for Controlling Excess Reactivity Energy Procedia 131, 29-36</w:t>
      </w:r>
      <w:r w:rsidR="00E01AE3" w:rsidRPr="00DA61D7">
        <w:rPr>
          <w:sz w:val="24"/>
          <w:szCs w:val="24"/>
        </w:rPr>
        <w:t>.</w:t>
      </w:r>
    </w:p>
    <w:p w14:paraId="6EC4C8E8" w14:textId="6DDC05D3"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Grossbeck, M. L., </w:t>
      </w:r>
      <w:r w:rsidRPr="00DA61D7">
        <w:rPr>
          <w:rFonts w:ascii="Times New Roman" w:eastAsia="Times New Roman" w:hAnsi="Times New Roman" w:cs="Times New Roman"/>
          <w:sz w:val="24"/>
          <w:szCs w:val="24"/>
        </w:rPr>
        <w:t>Renier</w:t>
      </w:r>
      <w:r w:rsidRPr="00DA61D7">
        <w:rPr>
          <w:rFonts w:ascii="Times New Roman" w:eastAsia="Calibri" w:hAnsi="Times New Roman" w:cs="Times New Roman"/>
          <w:sz w:val="20"/>
          <w:szCs w:val="20"/>
        </w:rPr>
        <w:t xml:space="preserve"> </w:t>
      </w:r>
      <w:r w:rsidR="00D1619D">
        <w:rPr>
          <w:rFonts w:ascii="Times New Roman" w:eastAsia="Times New Roman" w:hAnsi="Times New Roman" w:cs="Times New Roman"/>
          <w:sz w:val="24"/>
          <w:szCs w:val="24"/>
        </w:rPr>
        <w:t>J.</w:t>
      </w:r>
      <w:r w:rsidRPr="00DA61D7">
        <w:rPr>
          <w:rFonts w:ascii="Times New Roman" w:eastAsia="Times New Roman" w:hAnsi="Times New Roman" w:cs="Times New Roman"/>
          <w:sz w:val="24"/>
          <w:szCs w:val="24"/>
        </w:rPr>
        <w:t>P.A.</w:t>
      </w:r>
      <w:r w:rsidR="00E01AE3" w:rsidRPr="00DA61D7">
        <w:rPr>
          <w:rFonts w:ascii="Times New Roman" w:eastAsia="Times New Roman" w:hAnsi="Times New Roman" w:cs="Times New Roman"/>
          <w:sz w:val="24"/>
          <w:szCs w:val="24"/>
        </w:rPr>
        <w:t xml:space="preserve"> &amp; </w:t>
      </w:r>
      <w:r w:rsidR="00D1619D">
        <w:rPr>
          <w:rFonts w:ascii="Times New Roman" w:eastAsia="Times New Roman" w:hAnsi="Times New Roman" w:cs="Times New Roman"/>
          <w:sz w:val="24"/>
          <w:szCs w:val="24"/>
        </w:rPr>
        <w:t>Bigelow, T.</w:t>
      </w:r>
      <w:r w:rsidRPr="00DA61D7">
        <w:rPr>
          <w:rFonts w:ascii="Times New Roman" w:eastAsia="Times New Roman" w:hAnsi="Times New Roman" w:cs="Times New Roman"/>
          <w:szCs w:val="20"/>
          <w:lang w:val="en-GB"/>
        </w:rPr>
        <w:t xml:space="preserve"> (</w:t>
      </w:r>
      <w:r w:rsidRPr="00DA61D7">
        <w:rPr>
          <w:rFonts w:ascii="Times New Roman" w:eastAsia="Times New Roman" w:hAnsi="Times New Roman" w:cs="Times New Roman"/>
          <w:sz w:val="24"/>
          <w:szCs w:val="24"/>
          <w:lang w:val="en-GB"/>
        </w:rPr>
        <w:t>2003). Development of Improved Burnable Poisons for Commercial Nuclear Power Reactors,</w:t>
      </w:r>
      <w:r w:rsidRPr="00DA61D7">
        <w:rPr>
          <w:rFonts w:ascii="Times New Roman" w:eastAsia="Times New Roman" w:hAnsi="Times New Roman" w:cs="Times New Roman"/>
          <w:szCs w:val="20"/>
          <w:lang w:val="en-GB"/>
        </w:rPr>
        <w:t xml:space="preserve"> </w:t>
      </w:r>
      <w:r w:rsidRPr="00DA61D7">
        <w:rPr>
          <w:rFonts w:ascii="Times New Roman" w:eastAsia="Times New Roman" w:hAnsi="Times New Roman" w:cs="Times New Roman"/>
          <w:sz w:val="24"/>
          <w:szCs w:val="24"/>
          <w:lang w:val="en-GB"/>
        </w:rPr>
        <w:t>Prepared by the University of Tennessee for the Oak Ridge National Laboratory.</w:t>
      </w:r>
    </w:p>
    <w:p w14:paraId="0E5C6BE3" w14:textId="77777777"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 xml:space="preserve">Study of the Effect of Integral Burnable Absorbers for PWR Burnup Credit   NUREG/CR- 6760 ORNL/TM--321 Oak Ridge National Laboratory, 2000. </w:t>
      </w:r>
    </w:p>
    <w:p w14:paraId="0AA3A3D5" w14:textId="07B6182E"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Wang,</w:t>
      </w:r>
      <w:r w:rsidR="00E01AE3"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Y, Fan C., Wang H, Wang F., Xu J., Duan P</w:t>
      </w:r>
      <w:r w:rsidR="00E01AE3" w:rsidRPr="00DA61D7">
        <w:rPr>
          <w:rFonts w:ascii="Times New Roman" w:eastAsia="Times New Roman" w:hAnsi="Times New Roman" w:cs="Times New Roman"/>
          <w:sz w:val="24"/>
          <w:szCs w:val="24"/>
          <w:lang w:val="en-GB"/>
        </w:rPr>
        <w:t>. &amp;</w:t>
      </w:r>
      <w:r w:rsidRPr="00DA61D7">
        <w:rPr>
          <w:rFonts w:ascii="Times New Roman" w:eastAsia="Times New Roman" w:hAnsi="Times New Roman" w:cs="Times New Roman"/>
          <w:sz w:val="24"/>
          <w:szCs w:val="24"/>
          <w:lang w:val="en-GB"/>
        </w:rPr>
        <w:t xml:space="preserve"> Zhang Y., (2015). Effects of TiO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on the sintering densification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burnable poison fuel, Ceramics International</w:t>
      </w:r>
      <w:r w:rsidR="00E01AE3" w:rsidRPr="00DA61D7">
        <w:rPr>
          <w:rFonts w:ascii="Times New Roman" w:eastAsia="Times New Roman" w:hAnsi="Times New Roman" w:cs="Times New Roman"/>
          <w:sz w:val="24"/>
          <w:szCs w:val="24"/>
          <w:lang w:val="en-GB"/>
        </w:rPr>
        <w:t>.</w:t>
      </w:r>
      <w:r w:rsidRPr="00DA61D7">
        <w:rPr>
          <w:rFonts w:ascii="Times New Roman" w:eastAsia="Times New Roman" w:hAnsi="Times New Roman" w:cs="Times New Roman"/>
          <w:sz w:val="24"/>
          <w:szCs w:val="24"/>
          <w:lang w:val="en-GB"/>
        </w:rPr>
        <w:t xml:space="preserve"> 41, 10185–10191. </w:t>
      </w:r>
    </w:p>
    <w:p w14:paraId="42D0D6FB" w14:textId="55352A41" w:rsidR="00EF1C3C" w:rsidRPr="00DA61D7" w:rsidRDefault="00D1619D"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Venneri P. </w:t>
      </w:r>
      <w:r w:rsidR="000774BD">
        <w:rPr>
          <w:rFonts w:ascii="Times New Roman" w:eastAsia="Times New Roman" w:hAnsi="Times New Roman" w:cs="Times New Roman"/>
          <w:bCs/>
          <w:sz w:val="24"/>
          <w:szCs w:val="24"/>
          <w:lang w:val="en-GB"/>
        </w:rPr>
        <w:t xml:space="preserve">F., </w:t>
      </w:r>
      <w:r w:rsidR="00EF1C3C" w:rsidRPr="00DA61D7">
        <w:rPr>
          <w:rFonts w:ascii="Times New Roman" w:eastAsia="Times New Roman" w:hAnsi="Times New Roman" w:cs="Times New Roman"/>
          <w:bCs/>
          <w:sz w:val="24"/>
          <w:szCs w:val="24"/>
          <w:lang w:val="en-GB"/>
        </w:rPr>
        <w:t>Michael E</w:t>
      </w:r>
      <w:r w:rsidR="00E01AE3" w:rsidRPr="00DA61D7">
        <w:rPr>
          <w:rFonts w:ascii="Times New Roman" w:eastAsia="Times New Roman" w:hAnsi="Times New Roman" w:cs="Times New Roman"/>
          <w:bCs/>
          <w:sz w:val="24"/>
          <w:szCs w:val="24"/>
          <w:lang w:val="en-GB"/>
        </w:rPr>
        <w:t>.</w:t>
      </w:r>
      <w:r w:rsidR="00EF1C3C" w:rsidRPr="00DA61D7">
        <w:rPr>
          <w:rFonts w:ascii="Times New Roman" w:eastAsia="Times New Roman" w:hAnsi="Times New Roman" w:cs="Times New Roman"/>
          <w:bCs/>
          <w:sz w:val="24"/>
          <w:szCs w:val="24"/>
          <w:lang w:val="en-GB"/>
        </w:rPr>
        <w:t xml:space="preserve"> &amp;</w:t>
      </w:r>
      <w:r>
        <w:rPr>
          <w:rFonts w:ascii="Times New Roman" w:eastAsia="Times New Roman" w:hAnsi="Times New Roman" w:cs="Times New Roman"/>
          <w:bCs/>
          <w:sz w:val="24"/>
          <w:szCs w:val="24"/>
          <w:lang w:val="en-GB"/>
        </w:rPr>
        <w:t xml:space="preserve"> </w:t>
      </w:r>
      <w:r w:rsidR="00EF1C3C" w:rsidRPr="00DA61D7">
        <w:rPr>
          <w:rFonts w:ascii="Times New Roman" w:eastAsia="Times New Roman" w:hAnsi="Times New Roman" w:cs="Times New Roman"/>
          <w:bCs/>
          <w:sz w:val="24"/>
          <w:szCs w:val="24"/>
          <w:lang w:val="en-GB"/>
        </w:rPr>
        <w:t>Yonghee K</w:t>
      </w:r>
      <w:r w:rsidR="00E01AE3" w:rsidRPr="00DA61D7">
        <w:rPr>
          <w:rFonts w:ascii="Times New Roman" w:eastAsia="Times New Roman" w:hAnsi="Times New Roman" w:cs="Times New Roman"/>
          <w:bCs/>
          <w:sz w:val="24"/>
          <w:szCs w:val="24"/>
          <w:lang w:val="en-GB"/>
        </w:rPr>
        <w:t xml:space="preserve">., (2017). </w:t>
      </w:r>
      <w:r w:rsidR="00EF1C3C" w:rsidRPr="00DA61D7">
        <w:rPr>
          <w:rFonts w:ascii="Times New Roman" w:eastAsia="Times New Roman" w:hAnsi="Times New Roman" w:cs="Times New Roman"/>
          <w:bCs/>
          <w:sz w:val="24"/>
          <w:szCs w:val="24"/>
          <w:lang w:val="en-GB"/>
        </w:rPr>
        <w:t>Passive Reactivity Control of Nuclear Thermal Propulsion Reactors</w:t>
      </w:r>
      <w:r w:rsidR="00E01AE3" w:rsidRPr="00DA61D7">
        <w:rPr>
          <w:rFonts w:ascii="Times New Roman" w:eastAsia="Times New Roman" w:hAnsi="Times New Roman" w:cs="Times New Roman"/>
          <w:bCs/>
          <w:sz w:val="24"/>
          <w:szCs w:val="24"/>
          <w:lang w:val="en-GB"/>
        </w:rPr>
        <w:t xml:space="preserve">. </w:t>
      </w:r>
      <w:r w:rsidR="00EF1C3C" w:rsidRPr="00DA61D7">
        <w:rPr>
          <w:rFonts w:ascii="Times New Roman" w:eastAsia="Times New Roman" w:hAnsi="Times New Roman" w:cs="Times New Roman"/>
          <w:bCs/>
          <w:sz w:val="24"/>
          <w:szCs w:val="24"/>
          <w:lang w:val="en-GB"/>
        </w:rPr>
        <w:t>Journal Nuclear Technology</w:t>
      </w:r>
      <w:r w:rsidR="00E01AE3" w:rsidRPr="00DA61D7">
        <w:rPr>
          <w:rFonts w:ascii="Times New Roman" w:eastAsia="Times New Roman" w:hAnsi="Times New Roman" w:cs="Times New Roman"/>
          <w:bCs/>
          <w:sz w:val="24"/>
          <w:szCs w:val="24"/>
          <w:lang w:val="en-GB"/>
        </w:rPr>
        <w:t>.</w:t>
      </w:r>
      <w:r w:rsidR="00EF1C3C" w:rsidRPr="00DA61D7">
        <w:rPr>
          <w:rFonts w:ascii="Times New Roman" w:eastAsia="Times New Roman" w:hAnsi="Times New Roman" w:cs="Times New Roman"/>
          <w:bCs/>
          <w:sz w:val="24"/>
          <w:szCs w:val="24"/>
          <w:lang w:val="en-GB"/>
        </w:rPr>
        <w:t>197</w:t>
      </w:r>
      <w:r w:rsidR="00E01AE3" w:rsidRPr="00DA61D7">
        <w:rPr>
          <w:rFonts w:ascii="Times New Roman" w:eastAsia="Times New Roman" w:hAnsi="Times New Roman" w:cs="Times New Roman"/>
          <w:bCs/>
          <w:sz w:val="24"/>
          <w:szCs w:val="24"/>
          <w:lang w:val="en-GB"/>
        </w:rPr>
        <w:t>.</w:t>
      </w:r>
    </w:p>
    <w:p w14:paraId="60D4224A" w14:textId="58790015"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Nishida T.</w:t>
      </w:r>
      <w:r w:rsidR="00E01AE3" w:rsidRPr="00DA61D7">
        <w:rPr>
          <w:rFonts w:ascii="Times New Roman" w:eastAsia="Times New Roman" w:hAnsi="Times New Roman" w:cs="Times New Roman"/>
          <w:sz w:val="24"/>
          <w:szCs w:val="24"/>
          <w:lang w:val="en-GB"/>
        </w:rPr>
        <w:t xml:space="preserve"> &amp;</w:t>
      </w:r>
      <w:r w:rsidRPr="00DA61D7">
        <w:rPr>
          <w:rFonts w:ascii="Times New Roman" w:eastAsia="Times New Roman" w:hAnsi="Times New Roman" w:cs="Times New Roman"/>
          <w:sz w:val="24"/>
          <w:szCs w:val="24"/>
          <w:lang w:val="en-GB"/>
        </w:rPr>
        <w:t xml:space="preserve"> Yuda R., (1998 November).</w:t>
      </w:r>
      <w:r w:rsidR="00E01AE3" w:rsidRPr="00DA61D7">
        <w:rPr>
          <w:rFonts w:ascii="Times New Roman" w:eastAsia="Times New Roman" w:hAnsi="Times New Roman" w:cs="Times New Roman"/>
          <w:sz w:val="24"/>
          <w:szCs w:val="24"/>
          <w:lang w:val="en-GB"/>
        </w:rPr>
        <w:t xml:space="preserve"> E</w:t>
      </w:r>
      <w:r w:rsidRPr="00DA61D7">
        <w:rPr>
          <w:rFonts w:ascii="Times New Roman" w:eastAsia="Times New Roman" w:hAnsi="Times New Roman" w:cs="Times New Roman"/>
          <w:sz w:val="24"/>
          <w:szCs w:val="24"/>
          <w:lang w:val="en-GB"/>
        </w:rPr>
        <w:t>ffect of Particle Size and Oxygen Potential on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 Sintering”, Proceedings of a Technical Committee Meeting, Vienna, Austria. pp. 73-84. IAEA-TECDOC--1036.</w:t>
      </w:r>
    </w:p>
    <w:p w14:paraId="4534592F" w14:textId="4AC73FDD"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Agueda H. C., Heredia A. D., Amaya D. C., Sterba M. E.</w:t>
      </w:r>
      <w:r w:rsidR="00E01AE3" w:rsidRPr="00DA61D7">
        <w:rPr>
          <w:rFonts w:ascii="Times New Roman" w:eastAsia="Times New Roman" w:hAnsi="Times New Roman" w:cs="Times New Roman"/>
          <w:sz w:val="24"/>
          <w:szCs w:val="24"/>
          <w:lang w:val="en-GB"/>
        </w:rPr>
        <w:t xml:space="preserve"> &amp;</w:t>
      </w:r>
      <w:r w:rsidRPr="00DA61D7">
        <w:rPr>
          <w:rFonts w:ascii="Times New Roman" w:eastAsia="Times New Roman" w:hAnsi="Times New Roman" w:cs="Times New Roman"/>
          <w:sz w:val="24"/>
          <w:szCs w:val="24"/>
          <w:lang w:val="en-GB"/>
        </w:rPr>
        <w:t xml:space="preserve"> Russo D., (1994, September). “Efectos del Oxido del</w:t>
      </w:r>
      <w:r w:rsidR="003D4047" w:rsidRPr="00DA61D7">
        <w:rPr>
          <w:rFonts w:ascii="Times New Roman" w:eastAsia="Times New Roman" w:hAnsi="Times New Roman" w:cs="Times New Roman"/>
          <w:sz w:val="24"/>
          <w:szCs w:val="24"/>
          <w:lang w:val="en-GB"/>
        </w:rPr>
        <w:t xml:space="preserve"> </w:t>
      </w:r>
      <w:r w:rsidRPr="00DA61D7">
        <w:rPr>
          <w:rFonts w:ascii="Times New Roman" w:eastAsia="Times New Roman" w:hAnsi="Times New Roman" w:cs="Times New Roman"/>
          <w:sz w:val="24"/>
          <w:szCs w:val="24"/>
          <w:lang w:val="en-GB"/>
        </w:rPr>
        <w:t xml:space="preserve">Gadolinio en la Sinterizacion de Dioxido de Uranio”, Proceedings of </w:t>
      </w:r>
      <w:r w:rsidR="00E01AE3" w:rsidRPr="00DA61D7">
        <w:rPr>
          <w:rFonts w:ascii="Times New Roman" w:eastAsia="Times New Roman" w:hAnsi="Times New Roman" w:cs="Times New Roman"/>
          <w:sz w:val="24"/>
          <w:szCs w:val="24"/>
          <w:lang w:val="en-GB"/>
        </w:rPr>
        <w:t>t</w:t>
      </w:r>
      <w:r w:rsidRPr="00DA61D7">
        <w:rPr>
          <w:rFonts w:ascii="Times New Roman" w:eastAsia="Times New Roman" w:hAnsi="Times New Roman" w:cs="Times New Roman"/>
          <w:sz w:val="24"/>
          <w:szCs w:val="24"/>
          <w:lang w:val="en-GB"/>
        </w:rPr>
        <w:t>he 5 General Congress on Nuclear Energy, Rio de Janeiro,2, 567-571, Brazil</w:t>
      </w:r>
    </w:p>
    <w:p w14:paraId="044E33EC" w14:textId="3F3D1639"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Song K. Woo, Kim K.S., Yang, J.H., Kang Y.H.</w:t>
      </w:r>
      <w:r w:rsidR="00E01AE3" w:rsidRPr="00DA61D7">
        <w:rPr>
          <w:rFonts w:ascii="Times New Roman" w:eastAsia="Times New Roman" w:hAnsi="Times New Roman" w:cs="Times New Roman"/>
          <w:sz w:val="24"/>
          <w:szCs w:val="24"/>
          <w:lang w:val="en-GB"/>
        </w:rPr>
        <w:t xml:space="preserve"> &amp; </w:t>
      </w:r>
      <w:r w:rsidRPr="00DA61D7">
        <w:rPr>
          <w:rFonts w:ascii="Times New Roman" w:eastAsia="Times New Roman" w:hAnsi="Times New Roman" w:cs="Times New Roman"/>
          <w:sz w:val="24"/>
          <w:szCs w:val="24"/>
          <w:lang w:val="en-GB"/>
        </w:rPr>
        <w:t>Jung K.W., (2001). A mechanism for the sintered of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 xml:space="preserve"> –Gd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xml:space="preserve"> pellets under an oxidizing atmosphere, </w:t>
      </w:r>
      <w:r w:rsidR="00E01AE3" w:rsidRPr="00DA61D7">
        <w:rPr>
          <w:rFonts w:ascii="Times New Roman" w:eastAsia="Times New Roman" w:hAnsi="Times New Roman" w:cs="Times New Roman"/>
          <w:sz w:val="24"/>
          <w:szCs w:val="24"/>
          <w:lang w:val="en-GB"/>
        </w:rPr>
        <w:t>J</w:t>
      </w:r>
      <w:r w:rsidR="00E01AE3" w:rsidRPr="00DA61D7">
        <w:rPr>
          <w:rFonts w:ascii="Times New Roman" w:hAnsi="Times New Roman" w:cs="Times New Roman"/>
          <w:sz w:val="24"/>
          <w:szCs w:val="24"/>
        </w:rPr>
        <w:t xml:space="preserve">ournal of </w:t>
      </w:r>
      <w:r w:rsidR="00E01AE3" w:rsidRPr="00DA61D7">
        <w:rPr>
          <w:rFonts w:ascii="Times New Roman" w:eastAsia="Times New Roman" w:hAnsi="Times New Roman" w:cs="Times New Roman"/>
          <w:sz w:val="24"/>
          <w:szCs w:val="24"/>
          <w:lang w:val="en-GB"/>
        </w:rPr>
        <w:t>Nucl</w:t>
      </w:r>
      <w:r w:rsidR="00E01AE3" w:rsidRPr="00DA61D7">
        <w:rPr>
          <w:rFonts w:ascii="Times New Roman" w:hAnsi="Times New Roman" w:cs="Times New Roman"/>
          <w:sz w:val="24"/>
          <w:szCs w:val="24"/>
        </w:rPr>
        <w:t>ear</w:t>
      </w:r>
      <w:r w:rsidR="00E01AE3" w:rsidRPr="00DA61D7">
        <w:rPr>
          <w:rFonts w:ascii="Times New Roman" w:eastAsia="Times New Roman" w:hAnsi="Times New Roman" w:cs="Times New Roman"/>
          <w:sz w:val="24"/>
          <w:szCs w:val="24"/>
          <w:lang w:val="en-GB"/>
        </w:rPr>
        <w:t xml:space="preserve"> Mater</w:t>
      </w:r>
      <w:r w:rsidR="00E01AE3" w:rsidRPr="00DA61D7">
        <w:rPr>
          <w:rFonts w:ascii="Times New Roman" w:hAnsi="Times New Roman" w:cs="Times New Roman"/>
          <w:sz w:val="24"/>
          <w:szCs w:val="24"/>
        </w:rPr>
        <w:t>ials</w:t>
      </w:r>
      <w:r w:rsidRPr="00DA61D7">
        <w:rPr>
          <w:rFonts w:ascii="Times New Roman" w:eastAsia="Times New Roman" w:hAnsi="Times New Roman" w:cs="Times New Roman"/>
          <w:sz w:val="24"/>
          <w:szCs w:val="24"/>
          <w:lang w:val="en-GB"/>
        </w:rPr>
        <w:t>. 288 92-99.</w:t>
      </w:r>
    </w:p>
    <w:p w14:paraId="472AA207" w14:textId="7E1F3C0C" w:rsidR="00EF1C3C" w:rsidRPr="00DA61D7" w:rsidRDefault="00EF1C3C" w:rsidP="00D365B6">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Times New Roman" w:hAnsi="Times New Roman" w:cs="Times New Roman"/>
          <w:sz w:val="24"/>
          <w:szCs w:val="24"/>
          <w:lang w:val="en-GB"/>
        </w:rPr>
      </w:pPr>
      <w:r w:rsidRPr="00DA61D7">
        <w:rPr>
          <w:rFonts w:ascii="Times New Roman" w:eastAsia="Times New Roman" w:hAnsi="Times New Roman" w:cs="Times New Roman"/>
          <w:sz w:val="24"/>
          <w:szCs w:val="24"/>
          <w:lang w:val="en-GB"/>
        </w:rPr>
        <w:t>Loose A., Ilic R., Marinkovic V.</w:t>
      </w:r>
      <w:r w:rsidR="00E01AE3" w:rsidRPr="00DA61D7">
        <w:rPr>
          <w:rFonts w:ascii="Times New Roman" w:eastAsia="Times New Roman" w:hAnsi="Times New Roman" w:cs="Times New Roman"/>
          <w:sz w:val="24"/>
          <w:szCs w:val="24"/>
          <w:lang w:val="en-GB"/>
        </w:rPr>
        <w:t xml:space="preserve"> &amp;</w:t>
      </w:r>
      <w:r w:rsidRPr="00DA61D7">
        <w:rPr>
          <w:rFonts w:ascii="Times New Roman" w:eastAsia="Times New Roman" w:hAnsi="Times New Roman" w:cs="Times New Roman"/>
          <w:sz w:val="24"/>
          <w:szCs w:val="24"/>
          <w:lang w:val="en-GB"/>
        </w:rPr>
        <w:t xml:space="preserve"> Trkov A., (1987, September) “Diffusion Measurements in UO</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-Gd</w:t>
      </w:r>
      <w:r w:rsidRPr="00DA61D7">
        <w:rPr>
          <w:rFonts w:ascii="Times New Roman" w:eastAsia="Times New Roman" w:hAnsi="Times New Roman" w:cs="Times New Roman"/>
          <w:sz w:val="24"/>
          <w:szCs w:val="24"/>
          <w:vertAlign w:val="subscript"/>
          <w:lang w:val="en-GB"/>
        </w:rPr>
        <w:t>2</w:t>
      </w:r>
      <w:r w:rsidRPr="00DA61D7">
        <w:rPr>
          <w:rFonts w:ascii="Times New Roman" w:eastAsia="Times New Roman" w:hAnsi="Times New Roman" w:cs="Times New Roman"/>
          <w:sz w:val="24"/>
          <w:szCs w:val="24"/>
          <w:lang w:val="en-GB"/>
        </w:rPr>
        <w:t>O</w:t>
      </w:r>
      <w:r w:rsidRPr="00DA61D7">
        <w:rPr>
          <w:rFonts w:ascii="Times New Roman" w:eastAsia="Times New Roman" w:hAnsi="Times New Roman" w:cs="Times New Roman"/>
          <w:sz w:val="24"/>
          <w:szCs w:val="24"/>
          <w:vertAlign w:val="subscript"/>
          <w:lang w:val="en-GB"/>
        </w:rPr>
        <w:t>3</w:t>
      </w:r>
      <w:r w:rsidRPr="00DA61D7">
        <w:rPr>
          <w:rFonts w:ascii="Times New Roman" w:eastAsia="Times New Roman" w:hAnsi="Times New Roman" w:cs="Times New Roman"/>
          <w:sz w:val="24"/>
          <w:szCs w:val="24"/>
          <w:lang w:val="en-GB"/>
        </w:rPr>
        <w:t>”, Proceedings of The International Symposium on Improvements in Water Reactor Fuel, V. Technology and Utilization, Vienna, Austria. pp. 578-584. IAEA-SM-288/36P.</w:t>
      </w:r>
    </w:p>
    <w:p w14:paraId="34F81CF3" w14:textId="3F8496EF" w:rsidR="00EF1C3C" w:rsidRPr="00D365B6" w:rsidRDefault="00EF1C3C" w:rsidP="00352573">
      <w:pPr>
        <w:numPr>
          <w:ilvl w:val="0"/>
          <w:numId w:val="2"/>
        </w:numPr>
        <w:overflowPunct w:val="0"/>
        <w:autoSpaceDE w:val="0"/>
        <w:autoSpaceDN w:val="0"/>
        <w:adjustRightInd w:val="0"/>
        <w:spacing w:afterLines="60" w:after="144" w:line="240" w:lineRule="auto"/>
        <w:ind w:left="0" w:firstLine="709"/>
        <w:contextualSpacing/>
        <w:jc w:val="both"/>
        <w:textAlignment w:val="baseline"/>
        <w:rPr>
          <w:rFonts w:ascii="Times New Roman" w:eastAsia="Calibri" w:hAnsi="Times New Roman" w:cs="Times New Roman"/>
          <w:sz w:val="24"/>
          <w:szCs w:val="24"/>
        </w:rPr>
      </w:pPr>
      <w:r w:rsidRPr="00D365B6">
        <w:rPr>
          <w:rFonts w:ascii="Times New Roman" w:eastAsia="Times New Roman" w:hAnsi="Times New Roman" w:cs="Times New Roman"/>
          <w:sz w:val="24"/>
          <w:szCs w:val="24"/>
          <w:lang w:val="en-GB"/>
        </w:rPr>
        <w:t>Jeongmook L</w:t>
      </w:r>
      <w:r w:rsidR="00E01AE3"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Jandee K</w:t>
      </w:r>
      <w:r w:rsidR="00E01AE3"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Young-Sun Y</w:t>
      </w:r>
      <w:r w:rsidR="00E01AE3" w:rsidRPr="00D365B6">
        <w:rPr>
          <w:rFonts w:ascii="Times New Roman" w:eastAsia="Times New Roman" w:hAnsi="Times New Roman" w:cs="Times New Roman"/>
          <w:sz w:val="24"/>
          <w:szCs w:val="24"/>
          <w:lang w:val="en-GB"/>
        </w:rPr>
        <w:t>. &amp;</w:t>
      </w:r>
      <w:r w:rsidRPr="00D365B6">
        <w:rPr>
          <w:rFonts w:ascii="Times New Roman" w:eastAsia="Times New Roman" w:hAnsi="Times New Roman" w:cs="Times New Roman"/>
          <w:sz w:val="24"/>
          <w:szCs w:val="24"/>
          <w:lang w:val="en-GB"/>
        </w:rPr>
        <w:t xml:space="preserve"> Nazhen L</w:t>
      </w:r>
      <w:r w:rsidR="00E01AE3" w:rsidRPr="00D365B6">
        <w:rPr>
          <w:rFonts w:ascii="Times New Roman" w:eastAsia="Times New Roman" w:hAnsi="Times New Roman" w:cs="Times New Roman"/>
          <w:sz w:val="24"/>
          <w:szCs w:val="24"/>
          <w:lang w:val="en-GB"/>
        </w:rPr>
        <w:t>.</w:t>
      </w:r>
      <w:r w:rsidRPr="00D365B6">
        <w:rPr>
          <w:rFonts w:ascii="Times New Roman" w:eastAsia="Times New Roman" w:hAnsi="Times New Roman" w:cs="Times New Roman"/>
          <w:sz w:val="24"/>
          <w:szCs w:val="24"/>
          <w:lang w:val="en-GB"/>
        </w:rPr>
        <w:t xml:space="preserve">, </w:t>
      </w:r>
      <w:r w:rsidRPr="00D365B6">
        <w:rPr>
          <w:rFonts w:ascii="Times New Roman" w:eastAsia="Calibri" w:hAnsi="Times New Roman" w:cs="Times New Roman"/>
          <w:sz w:val="24"/>
          <w:szCs w:val="24"/>
        </w:rPr>
        <w:t>(2017).</w:t>
      </w:r>
      <w:r w:rsidRPr="00D365B6">
        <w:rPr>
          <w:rFonts w:ascii="Times New Roman" w:eastAsia="Times New Roman" w:hAnsi="Times New Roman" w:cs="Times New Roman"/>
          <w:sz w:val="24"/>
          <w:szCs w:val="24"/>
          <w:lang w:val="en-GB"/>
        </w:rPr>
        <w:t xml:space="preserve"> Raman Sudy on Structure of U</w:t>
      </w:r>
      <w:r w:rsidRPr="00D365B6">
        <w:rPr>
          <w:rFonts w:ascii="Times New Roman" w:eastAsia="Times New Roman" w:hAnsi="Times New Roman" w:cs="Times New Roman"/>
          <w:sz w:val="24"/>
          <w:szCs w:val="24"/>
          <w:vertAlign w:val="subscript"/>
          <w:lang w:val="en-GB"/>
        </w:rPr>
        <w:t xml:space="preserve">1-y </w:t>
      </w:r>
      <w:r w:rsidRPr="00D365B6">
        <w:rPr>
          <w:rFonts w:ascii="Times New Roman" w:eastAsia="Times New Roman" w:hAnsi="Times New Roman" w:cs="Times New Roman"/>
          <w:sz w:val="24"/>
          <w:szCs w:val="24"/>
          <w:lang w:val="en-GB"/>
        </w:rPr>
        <w:t>GdyO</w:t>
      </w:r>
      <w:r w:rsidRPr="00D365B6">
        <w:rPr>
          <w:rFonts w:ascii="Times New Roman" w:eastAsia="Times New Roman" w:hAnsi="Times New Roman" w:cs="Times New Roman"/>
          <w:sz w:val="24"/>
          <w:szCs w:val="24"/>
          <w:vertAlign w:val="subscript"/>
          <w:lang w:val="en-GB"/>
        </w:rPr>
        <w:t>2</w:t>
      </w:r>
      <w:r w:rsidR="00E01AE3" w:rsidRPr="00D365B6">
        <w:rPr>
          <w:rFonts w:ascii="Times New Roman" w:eastAsia="Times New Roman" w:hAnsi="Times New Roman" w:cs="Times New Roman"/>
          <w:sz w:val="24"/>
          <w:szCs w:val="24"/>
          <w:lang w:val="en-GB"/>
        </w:rPr>
        <w:t xml:space="preserve">. </w:t>
      </w:r>
      <w:r w:rsidRPr="00D365B6">
        <w:rPr>
          <w:rFonts w:ascii="Times New Roman" w:eastAsia="Calibri" w:hAnsi="Times New Roman" w:cs="Times New Roman"/>
          <w:sz w:val="24"/>
          <w:szCs w:val="24"/>
        </w:rPr>
        <w:t xml:space="preserve">Journal of Nuclear Materials, 486,216-221. </w:t>
      </w:r>
    </w:p>
    <w:p w14:paraId="2D7B6F38" w14:textId="77777777" w:rsidR="003015DD" w:rsidRPr="00DA61D7" w:rsidRDefault="003015DD" w:rsidP="00D365B6">
      <w:pPr>
        <w:spacing w:afterLines="60" w:after="144" w:line="240" w:lineRule="auto"/>
        <w:ind w:firstLine="709"/>
        <w:rPr>
          <w:rFonts w:ascii="Times New Roman" w:hAnsi="Times New Roman" w:cs="Times New Roman"/>
        </w:rPr>
      </w:pPr>
    </w:p>
    <w:sectPr w:rsidR="003015DD" w:rsidRPr="00DA61D7" w:rsidSect="00D365B6">
      <w:headerReference w:type="even" r:id="rId47"/>
      <w:headerReference w:type="default" r:id="rId48"/>
      <w:footerReference w:type="even" r:id="rId49"/>
      <w:footerReference w:type="default" r:id="rId50"/>
      <w:headerReference w:type="first" r:id="rId51"/>
      <w:footerReference w:type="first" r:id="rId5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5893E" w14:textId="77777777" w:rsidR="005B00A7" w:rsidRDefault="005B00A7" w:rsidP="00100E92">
      <w:pPr>
        <w:spacing w:after="0" w:line="240" w:lineRule="auto"/>
      </w:pPr>
      <w:r>
        <w:separator/>
      </w:r>
    </w:p>
  </w:endnote>
  <w:endnote w:type="continuationSeparator" w:id="0">
    <w:p w14:paraId="082805F6" w14:textId="77777777" w:rsidR="005B00A7" w:rsidRDefault="005B00A7" w:rsidP="00100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E8A44" w14:textId="77777777" w:rsidR="00CD6C42" w:rsidRDefault="00CD6C4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5E48" w14:textId="12043F9F" w:rsidR="004A59D9" w:rsidRDefault="004A59D9" w:rsidP="004A59D9">
    <w:pPr>
      <w:pStyle w:val="AltBilgi"/>
      <w:jc w:val="right"/>
    </w:pPr>
  </w:p>
  <w:p w14:paraId="6C7BD65B" w14:textId="44F742B7" w:rsidR="004A59D9" w:rsidRDefault="00CD6C42" w:rsidP="004A59D9">
    <w:pPr>
      <w:tabs>
        <w:tab w:val="center" w:pos="4703"/>
        <w:tab w:val="right" w:pos="9406"/>
      </w:tabs>
      <w:spacing w:after="0" w:line="240" w:lineRule="auto"/>
      <w:rPr>
        <w:rFonts w:ascii="Times New Roman" w:hAnsi="Times New Roman" w:cs="Times New Roman"/>
        <w:sz w:val="18"/>
        <w:szCs w:val="18"/>
      </w:rPr>
    </w:pPr>
    <w:r>
      <w:rPr>
        <w:rFonts w:ascii="Times New Roman" w:hAnsi="Times New Roman" w:cs="Times New Roman"/>
        <w:sz w:val="18"/>
        <w:szCs w:val="18"/>
      </w:rPr>
      <w:t>Makale Gönderim Tarihi : 18/05/2020</w:t>
    </w:r>
    <w:r w:rsidR="004A59D9">
      <w:rPr>
        <w:rFonts w:ascii="Times New Roman" w:hAnsi="Times New Roman" w:cs="Times New Roman"/>
        <w:sz w:val="18"/>
        <w:szCs w:val="18"/>
      </w:rPr>
      <w:br/>
      <w:t xml:space="preserve">Makale Kabul Tarihi      </w:t>
    </w:r>
    <w:r>
      <w:rPr>
        <w:rFonts w:ascii="Times New Roman" w:hAnsi="Times New Roman" w:cs="Times New Roman"/>
        <w:sz w:val="18"/>
        <w:szCs w:val="18"/>
      </w:rPr>
      <w:t xml:space="preserve">  :14/09/2020</w:t>
    </w:r>
  </w:p>
  <w:p w14:paraId="5D0C8ECA" w14:textId="71778A5F" w:rsidR="004A59D9" w:rsidRDefault="004A59D9">
    <w:pPr>
      <w:pStyle w:val="AltBilgi"/>
    </w:pPr>
  </w:p>
  <w:p w14:paraId="21C53F63" w14:textId="77777777" w:rsidR="004A59D9" w:rsidRDefault="004A59D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6A938" w14:textId="77777777" w:rsidR="00CD6C42" w:rsidRDefault="00CD6C4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73541" w14:textId="77777777" w:rsidR="005B00A7" w:rsidRDefault="005B00A7" w:rsidP="00100E92">
      <w:pPr>
        <w:spacing w:after="0" w:line="240" w:lineRule="auto"/>
      </w:pPr>
      <w:r>
        <w:separator/>
      </w:r>
    </w:p>
  </w:footnote>
  <w:footnote w:type="continuationSeparator" w:id="0">
    <w:p w14:paraId="1C60453F" w14:textId="77777777" w:rsidR="005B00A7" w:rsidRDefault="005B00A7" w:rsidP="00100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488F" w14:textId="77777777" w:rsidR="00CD6C42" w:rsidRDefault="00CD6C4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8B139" w14:textId="32229B86" w:rsidR="00F20501" w:rsidRPr="006A4F76" w:rsidRDefault="00F20501" w:rsidP="00F20501">
    <w:pPr>
      <w:pStyle w:val="stBilgi"/>
      <w:rPr>
        <w:sz w:val="18"/>
        <w:szCs w:val="18"/>
      </w:rPr>
    </w:pPr>
    <w:r w:rsidRPr="006A4F76">
      <w:rPr>
        <w:sz w:val="18"/>
        <w:szCs w:val="18"/>
      </w:rPr>
      <w:t xml:space="preserve">Turkish Journal </w:t>
    </w:r>
    <w:r>
      <w:rPr>
        <w:sz w:val="18"/>
        <w:szCs w:val="18"/>
      </w:rPr>
      <w:t>o</w:t>
    </w:r>
    <w:r w:rsidRPr="006A4F76">
      <w:rPr>
        <w:sz w:val="18"/>
        <w:szCs w:val="18"/>
      </w:rPr>
      <w:t>f Nuclear Science (20</w:t>
    </w:r>
    <w:r>
      <w:rPr>
        <w:sz w:val="18"/>
        <w:szCs w:val="18"/>
      </w:rPr>
      <w:t>20</w:t>
    </w:r>
    <w:r w:rsidRPr="006A4F76">
      <w:rPr>
        <w:sz w:val="18"/>
        <w:szCs w:val="18"/>
      </w:rPr>
      <w:t>), Cilt. 3</w:t>
    </w:r>
    <w:r>
      <w:rPr>
        <w:sz w:val="18"/>
        <w:szCs w:val="18"/>
      </w:rPr>
      <w:t>2</w:t>
    </w:r>
    <w:r w:rsidRPr="006A4F76">
      <w:rPr>
        <w:sz w:val="18"/>
        <w:szCs w:val="18"/>
      </w:rPr>
      <w:t xml:space="preserve">, No. </w:t>
    </w:r>
    <w:r>
      <w:rPr>
        <w:sz w:val="18"/>
        <w:szCs w:val="18"/>
      </w:rPr>
      <w:t>1</w:t>
    </w:r>
    <w:r w:rsidRPr="006A4F76">
      <w:rPr>
        <w:sz w:val="18"/>
        <w:szCs w:val="18"/>
      </w:rPr>
      <w:t xml:space="preserve">. </w:t>
    </w:r>
  </w:p>
  <w:p w14:paraId="76B3918C" w14:textId="77777777" w:rsidR="00F20501" w:rsidRPr="006A4F76" w:rsidRDefault="00F20501" w:rsidP="00F20501">
    <w:pPr>
      <w:pStyle w:val="stBilgi"/>
    </w:pPr>
    <w:r w:rsidRPr="006A4F76">
      <w:rPr>
        <w:sz w:val="18"/>
        <w:szCs w:val="18"/>
      </w:rPr>
      <w:t>http://www.turkishnuclearscience.com http://dergipark.gov.tr/tjns</w:t>
    </w:r>
  </w:p>
  <w:p w14:paraId="7D5BE3F4" w14:textId="42DCF7FE" w:rsidR="00F20501" w:rsidRDefault="00F20501">
    <w:pPr>
      <w:pStyle w:val="stBilgi"/>
    </w:pPr>
  </w:p>
  <w:p w14:paraId="7FD6AC0E" w14:textId="77777777" w:rsidR="00F20501" w:rsidRDefault="00F2050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6C588" w14:textId="77777777" w:rsidR="00CD6C42" w:rsidRDefault="00CD6C4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00A"/>
    <w:multiLevelType w:val="hybridMultilevel"/>
    <w:tmpl w:val="9A88DE98"/>
    <w:lvl w:ilvl="0" w:tplc="1BC24E5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CB6F26"/>
    <w:multiLevelType w:val="hybridMultilevel"/>
    <w:tmpl w:val="C1A0C430"/>
    <w:lvl w:ilvl="0" w:tplc="21E0FCDE">
      <w:start w:val="1"/>
      <w:numFmt w:val="decimal"/>
      <w:lvlText w:val="%1)"/>
      <w:lvlJc w:val="left"/>
      <w:pPr>
        <w:ind w:left="720" w:hanging="360"/>
      </w:pPr>
      <w:rPr>
        <w:rFonts w:ascii="Times New Roman" w:eastAsiaTheme="minorHAnsi" w:hAnsi="Times New Roman" w:cs="Times New Roman" w:hint="default"/>
        <w:b w:val="0"/>
        <w:color w:val="0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0731D0F"/>
    <w:multiLevelType w:val="hybridMultilevel"/>
    <w:tmpl w:val="18FAA3FC"/>
    <w:lvl w:ilvl="0" w:tplc="6080913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8376CE4"/>
    <w:multiLevelType w:val="hybridMultilevel"/>
    <w:tmpl w:val="87A66732"/>
    <w:lvl w:ilvl="0" w:tplc="26723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B91572"/>
    <w:multiLevelType w:val="hybridMultilevel"/>
    <w:tmpl w:val="A55065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08B4801"/>
    <w:multiLevelType w:val="singleLevel"/>
    <w:tmpl w:val="0C09000F"/>
    <w:lvl w:ilvl="0">
      <w:start w:val="1"/>
      <w:numFmt w:val="decimal"/>
      <w:lvlText w:val="%1."/>
      <w:lvlJc w:val="left"/>
      <w:pPr>
        <w:tabs>
          <w:tab w:val="num" w:pos="360"/>
        </w:tabs>
        <w:ind w:left="360" w:hanging="360"/>
      </w:pPr>
    </w:lvl>
  </w:abstractNum>
  <w:abstractNum w:abstractNumId="6" w15:restartNumberingAfterBreak="0">
    <w:nsid w:val="7D8F18BB"/>
    <w:multiLevelType w:val="hybridMultilevel"/>
    <w:tmpl w:val="ABCAF300"/>
    <w:lvl w:ilvl="0" w:tplc="CA9C42FA">
      <w:start w:val="1"/>
      <w:numFmt w:val="decimal"/>
      <w:lvlText w:val="%1."/>
      <w:lvlJc w:val="left"/>
      <w:pPr>
        <w:ind w:left="2868" w:hanging="360"/>
      </w:pPr>
      <w:rPr>
        <w:rFonts w:hint="default"/>
        <w:b/>
      </w:rPr>
    </w:lvl>
    <w:lvl w:ilvl="1" w:tplc="041F0019" w:tentative="1">
      <w:start w:val="1"/>
      <w:numFmt w:val="lowerLetter"/>
      <w:lvlText w:val="%2."/>
      <w:lvlJc w:val="left"/>
      <w:pPr>
        <w:ind w:left="3588" w:hanging="360"/>
      </w:pPr>
    </w:lvl>
    <w:lvl w:ilvl="2" w:tplc="041F001B" w:tentative="1">
      <w:start w:val="1"/>
      <w:numFmt w:val="lowerRoman"/>
      <w:lvlText w:val="%3."/>
      <w:lvlJc w:val="right"/>
      <w:pPr>
        <w:ind w:left="4308" w:hanging="180"/>
      </w:pPr>
    </w:lvl>
    <w:lvl w:ilvl="3" w:tplc="041F000F" w:tentative="1">
      <w:start w:val="1"/>
      <w:numFmt w:val="decimal"/>
      <w:lvlText w:val="%4."/>
      <w:lvlJc w:val="left"/>
      <w:pPr>
        <w:ind w:left="5028" w:hanging="360"/>
      </w:pPr>
    </w:lvl>
    <w:lvl w:ilvl="4" w:tplc="041F0019" w:tentative="1">
      <w:start w:val="1"/>
      <w:numFmt w:val="lowerLetter"/>
      <w:lvlText w:val="%5."/>
      <w:lvlJc w:val="left"/>
      <w:pPr>
        <w:ind w:left="5748" w:hanging="360"/>
      </w:pPr>
    </w:lvl>
    <w:lvl w:ilvl="5" w:tplc="041F001B" w:tentative="1">
      <w:start w:val="1"/>
      <w:numFmt w:val="lowerRoman"/>
      <w:lvlText w:val="%6."/>
      <w:lvlJc w:val="right"/>
      <w:pPr>
        <w:ind w:left="6468" w:hanging="180"/>
      </w:pPr>
    </w:lvl>
    <w:lvl w:ilvl="6" w:tplc="041F000F" w:tentative="1">
      <w:start w:val="1"/>
      <w:numFmt w:val="decimal"/>
      <w:lvlText w:val="%7."/>
      <w:lvlJc w:val="left"/>
      <w:pPr>
        <w:ind w:left="7188" w:hanging="360"/>
      </w:pPr>
    </w:lvl>
    <w:lvl w:ilvl="7" w:tplc="041F0019" w:tentative="1">
      <w:start w:val="1"/>
      <w:numFmt w:val="lowerLetter"/>
      <w:lvlText w:val="%8."/>
      <w:lvlJc w:val="left"/>
      <w:pPr>
        <w:ind w:left="7908" w:hanging="360"/>
      </w:pPr>
    </w:lvl>
    <w:lvl w:ilvl="8" w:tplc="041F001B" w:tentative="1">
      <w:start w:val="1"/>
      <w:numFmt w:val="lowerRoman"/>
      <w:lvlText w:val="%9."/>
      <w:lvlJc w:val="right"/>
      <w:pPr>
        <w:ind w:left="8628"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C3C"/>
    <w:rsid w:val="000774BD"/>
    <w:rsid w:val="00095D55"/>
    <w:rsid w:val="0009702D"/>
    <w:rsid w:val="000B2ACE"/>
    <w:rsid w:val="000B7EF1"/>
    <w:rsid w:val="00100E92"/>
    <w:rsid w:val="001C04D5"/>
    <w:rsid w:val="001C7935"/>
    <w:rsid w:val="001D75BC"/>
    <w:rsid w:val="001F4AA8"/>
    <w:rsid w:val="00213BC7"/>
    <w:rsid w:val="00262520"/>
    <w:rsid w:val="002A5A47"/>
    <w:rsid w:val="002B35D4"/>
    <w:rsid w:val="002E1BA3"/>
    <w:rsid w:val="002F1D61"/>
    <w:rsid w:val="002F2CDA"/>
    <w:rsid w:val="003015DD"/>
    <w:rsid w:val="00313B32"/>
    <w:rsid w:val="00325DB8"/>
    <w:rsid w:val="003B4678"/>
    <w:rsid w:val="003D079D"/>
    <w:rsid w:val="003D4047"/>
    <w:rsid w:val="003E5073"/>
    <w:rsid w:val="003F3566"/>
    <w:rsid w:val="004217DD"/>
    <w:rsid w:val="00421A7B"/>
    <w:rsid w:val="00470BDD"/>
    <w:rsid w:val="004924A7"/>
    <w:rsid w:val="00497E74"/>
    <w:rsid w:val="004A59D9"/>
    <w:rsid w:val="00516FBF"/>
    <w:rsid w:val="00535FEE"/>
    <w:rsid w:val="005457C3"/>
    <w:rsid w:val="0058101C"/>
    <w:rsid w:val="005866E2"/>
    <w:rsid w:val="00590A77"/>
    <w:rsid w:val="00595810"/>
    <w:rsid w:val="005A77BF"/>
    <w:rsid w:val="005B00A7"/>
    <w:rsid w:val="005E567E"/>
    <w:rsid w:val="005F1D06"/>
    <w:rsid w:val="005F4AB6"/>
    <w:rsid w:val="006834EA"/>
    <w:rsid w:val="00731937"/>
    <w:rsid w:val="0075060C"/>
    <w:rsid w:val="00754F01"/>
    <w:rsid w:val="00780106"/>
    <w:rsid w:val="007A3553"/>
    <w:rsid w:val="007C781B"/>
    <w:rsid w:val="007F1F11"/>
    <w:rsid w:val="008247A0"/>
    <w:rsid w:val="00824D1F"/>
    <w:rsid w:val="008402A7"/>
    <w:rsid w:val="008675A8"/>
    <w:rsid w:val="00883C57"/>
    <w:rsid w:val="008A7896"/>
    <w:rsid w:val="008B3954"/>
    <w:rsid w:val="009702EA"/>
    <w:rsid w:val="00980054"/>
    <w:rsid w:val="00982C7A"/>
    <w:rsid w:val="009D1832"/>
    <w:rsid w:val="00A53E74"/>
    <w:rsid w:val="00AF6D9A"/>
    <w:rsid w:val="00B03311"/>
    <w:rsid w:val="00B428C4"/>
    <w:rsid w:val="00B47100"/>
    <w:rsid w:val="00B63D1E"/>
    <w:rsid w:val="00B71BD6"/>
    <w:rsid w:val="00B77C69"/>
    <w:rsid w:val="00B8121F"/>
    <w:rsid w:val="00BC371B"/>
    <w:rsid w:val="00C61913"/>
    <w:rsid w:val="00C91890"/>
    <w:rsid w:val="00CA7BBF"/>
    <w:rsid w:val="00CD6C42"/>
    <w:rsid w:val="00CF0859"/>
    <w:rsid w:val="00D0484C"/>
    <w:rsid w:val="00D1619D"/>
    <w:rsid w:val="00D34A05"/>
    <w:rsid w:val="00D365B6"/>
    <w:rsid w:val="00D51DA0"/>
    <w:rsid w:val="00D70BA7"/>
    <w:rsid w:val="00D75943"/>
    <w:rsid w:val="00DA4004"/>
    <w:rsid w:val="00DA61D7"/>
    <w:rsid w:val="00DB42B4"/>
    <w:rsid w:val="00DD0E0B"/>
    <w:rsid w:val="00E01AE3"/>
    <w:rsid w:val="00E27610"/>
    <w:rsid w:val="00E54628"/>
    <w:rsid w:val="00E56EE0"/>
    <w:rsid w:val="00E64E93"/>
    <w:rsid w:val="00EA214F"/>
    <w:rsid w:val="00EF0C4A"/>
    <w:rsid w:val="00EF1C3C"/>
    <w:rsid w:val="00F20501"/>
    <w:rsid w:val="00F83155"/>
    <w:rsid w:val="00FF51CC"/>
    <w:rsid w:val="00FF53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BE3D"/>
  <w15:docId w15:val="{55DA2461-A979-48FB-AF3B-35B52BB17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EF1C3C"/>
    <w:pPr>
      <w:keepNext/>
      <w:spacing w:after="0" w:line="360" w:lineRule="auto"/>
      <w:outlineLvl w:val="0"/>
    </w:pPr>
    <w:rPr>
      <w:rFonts w:ascii="Times New Roman" w:eastAsia="Times New Roman" w:hAnsi="Times New Roman" w:cs="Times New Roman"/>
      <w:sz w:val="24"/>
      <w:szCs w:val="20"/>
    </w:rPr>
  </w:style>
  <w:style w:type="paragraph" w:styleId="Balk2">
    <w:name w:val="heading 2"/>
    <w:basedOn w:val="Normal"/>
    <w:next w:val="Normal"/>
    <w:link w:val="Balk2Char"/>
    <w:uiPriority w:val="9"/>
    <w:semiHidden/>
    <w:unhideWhenUsed/>
    <w:qFormat/>
    <w:rsid w:val="00EF1C3C"/>
    <w:pPr>
      <w:keepNext/>
      <w:keepLines/>
      <w:spacing w:before="200" w:after="0"/>
      <w:outlineLvl w:val="1"/>
    </w:pPr>
    <w:rPr>
      <w:rFonts w:ascii="Cambria" w:eastAsia="Times New Roman" w:hAnsi="Cambria" w:cs="Times New Roman"/>
      <w:b/>
      <w:bCs/>
      <w:color w:val="4F81BD"/>
      <w:sz w:val="26"/>
      <w:szCs w:val="26"/>
      <w:lang w:val="en-GB"/>
    </w:rPr>
  </w:style>
  <w:style w:type="paragraph" w:styleId="Balk3">
    <w:name w:val="heading 3"/>
    <w:basedOn w:val="Normal"/>
    <w:next w:val="Normal"/>
    <w:link w:val="Balk3Char"/>
    <w:uiPriority w:val="9"/>
    <w:semiHidden/>
    <w:unhideWhenUsed/>
    <w:qFormat/>
    <w:rsid w:val="00EF1C3C"/>
    <w:pPr>
      <w:keepNext/>
      <w:keepLines/>
      <w:spacing w:before="200" w:after="0"/>
      <w:outlineLvl w:val="2"/>
    </w:pPr>
    <w:rPr>
      <w:rFonts w:ascii="Cambria" w:eastAsia="Times New Roman" w:hAnsi="Cambria" w:cs="Times New Roman"/>
      <w:b/>
      <w:bCs/>
      <w:color w:val="4F81BD"/>
      <w:szCs w:val="20"/>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F1C3C"/>
    <w:rPr>
      <w:rFonts w:ascii="Times New Roman" w:eastAsia="Times New Roman" w:hAnsi="Times New Roman" w:cs="Times New Roman"/>
      <w:sz w:val="24"/>
      <w:szCs w:val="20"/>
    </w:rPr>
  </w:style>
  <w:style w:type="paragraph" w:customStyle="1" w:styleId="Balk21">
    <w:name w:val="Başlık 21"/>
    <w:basedOn w:val="Normal"/>
    <w:next w:val="Normal"/>
    <w:uiPriority w:val="9"/>
    <w:semiHidden/>
    <w:unhideWhenUsed/>
    <w:qFormat/>
    <w:rsid w:val="00EF1C3C"/>
    <w:pPr>
      <w:keepNext/>
      <w:keepLines/>
      <w:overflowPunct w:val="0"/>
      <w:autoSpaceDE w:val="0"/>
      <w:autoSpaceDN w:val="0"/>
      <w:adjustRightInd w:val="0"/>
      <w:spacing w:before="200" w:after="0" w:line="240" w:lineRule="auto"/>
      <w:jc w:val="both"/>
      <w:textAlignment w:val="baseline"/>
      <w:outlineLvl w:val="1"/>
    </w:pPr>
    <w:rPr>
      <w:rFonts w:ascii="Cambria" w:eastAsia="Times New Roman" w:hAnsi="Cambria" w:cs="Times New Roman"/>
      <w:b/>
      <w:bCs/>
      <w:color w:val="4F81BD"/>
      <w:sz w:val="26"/>
      <w:szCs w:val="26"/>
      <w:lang w:val="en-GB"/>
    </w:rPr>
  </w:style>
  <w:style w:type="paragraph" w:customStyle="1" w:styleId="Balk31">
    <w:name w:val="Başlık 31"/>
    <w:basedOn w:val="Normal"/>
    <w:next w:val="Normal"/>
    <w:uiPriority w:val="9"/>
    <w:semiHidden/>
    <w:unhideWhenUsed/>
    <w:qFormat/>
    <w:rsid w:val="00EF1C3C"/>
    <w:pPr>
      <w:keepNext/>
      <w:keepLines/>
      <w:overflowPunct w:val="0"/>
      <w:autoSpaceDE w:val="0"/>
      <w:autoSpaceDN w:val="0"/>
      <w:adjustRightInd w:val="0"/>
      <w:spacing w:before="200" w:after="0" w:line="240" w:lineRule="auto"/>
      <w:jc w:val="both"/>
      <w:textAlignment w:val="baseline"/>
      <w:outlineLvl w:val="2"/>
    </w:pPr>
    <w:rPr>
      <w:rFonts w:ascii="Cambria" w:eastAsia="Times New Roman" w:hAnsi="Cambria" w:cs="Times New Roman"/>
      <w:b/>
      <w:bCs/>
      <w:color w:val="4F81BD"/>
      <w:szCs w:val="20"/>
      <w:lang w:val="en-GB"/>
    </w:rPr>
  </w:style>
  <w:style w:type="numbering" w:customStyle="1" w:styleId="ListeYok1">
    <w:name w:val="Liste Yok1"/>
    <w:next w:val="ListeYok"/>
    <w:uiPriority w:val="99"/>
    <w:semiHidden/>
    <w:unhideWhenUsed/>
    <w:rsid w:val="00EF1C3C"/>
  </w:style>
  <w:style w:type="character" w:customStyle="1" w:styleId="Balk2Char">
    <w:name w:val="Başlık 2 Char"/>
    <w:basedOn w:val="VarsaylanParagrafYazTipi"/>
    <w:link w:val="Balk2"/>
    <w:uiPriority w:val="9"/>
    <w:semiHidden/>
    <w:rsid w:val="00EF1C3C"/>
    <w:rPr>
      <w:rFonts w:ascii="Cambria" w:eastAsia="Times New Roman" w:hAnsi="Cambria" w:cs="Times New Roman"/>
      <w:b/>
      <w:bCs/>
      <w:color w:val="4F81BD"/>
      <w:sz w:val="26"/>
      <w:szCs w:val="26"/>
      <w:lang w:val="en-GB"/>
    </w:rPr>
  </w:style>
  <w:style w:type="character" w:customStyle="1" w:styleId="Balk3Char">
    <w:name w:val="Başlık 3 Char"/>
    <w:basedOn w:val="VarsaylanParagrafYazTipi"/>
    <w:link w:val="Balk3"/>
    <w:uiPriority w:val="9"/>
    <w:semiHidden/>
    <w:rsid w:val="00EF1C3C"/>
    <w:rPr>
      <w:rFonts w:ascii="Cambria" w:eastAsia="Times New Roman" w:hAnsi="Cambria" w:cs="Times New Roman"/>
      <w:b/>
      <w:bCs/>
      <w:color w:val="4F81BD"/>
      <w:szCs w:val="20"/>
      <w:lang w:val="en-GB"/>
    </w:rPr>
  </w:style>
  <w:style w:type="paragraph" w:customStyle="1" w:styleId="BodyTextAbstract">
    <w:name w:val="Body Text Abstract"/>
    <w:basedOn w:val="GvdeMetni"/>
    <w:rsid w:val="00EF1C3C"/>
  </w:style>
  <w:style w:type="paragraph" w:styleId="GvdeMetni">
    <w:name w:val="Body Text"/>
    <w:basedOn w:val="Normal"/>
    <w:link w:val="GvdeMetniChar"/>
    <w:uiPriority w:val="99"/>
    <w:semiHidden/>
    <w:unhideWhenUsed/>
    <w:rsid w:val="00EF1C3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Cs w:val="20"/>
      <w:lang w:val="en-GB"/>
    </w:rPr>
  </w:style>
  <w:style w:type="character" w:customStyle="1" w:styleId="GvdeMetniChar">
    <w:name w:val="Gövde Metni Char"/>
    <w:basedOn w:val="VarsaylanParagrafYazTipi"/>
    <w:link w:val="GvdeMetni"/>
    <w:uiPriority w:val="99"/>
    <w:semiHidden/>
    <w:rsid w:val="00EF1C3C"/>
    <w:rPr>
      <w:rFonts w:ascii="Times New Roman" w:eastAsia="Times New Roman" w:hAnsi="Times New Roman" w:cs="Times New Roman"/>
      <w:szCs w:val="20"/>
      <w:lang w:val="en-GB"/>
    </w:rPr>
  </w:style>
  <w:style w:type="paragraph" w:styleId="BalonMetni">
    <w:name w:val="Balloon Text"/>
    <w:basedOn w:val="Normal"/>
    <w:link w:val="BalonMetniChar"/>
    <w:uiPriority w:val="99"/>
    <w:semiHidden/>
    <w:unhideWhenUsed/>
    <w:rsid w:val="00EF1C3C"/>
    <w:pPr>
      <w:overflowPunct w:val="0"/>
      <w:autoSpaceDE w:val="0"/>
      <w:autoSpaceDN w:val="0"/>
      <w:adjustRightInd w:val="0"/>
      <w:spacing w:after="0" w:line="240" w:lineRule="auto"/>
      <w:jc w:val="both"/>
      <w:textAlignment w:val="baseline"/>
    </w:pPr>
    <w:rPr>
      <w:rFonts w:ascii="Tahoma" w:eastAsia="Times New Roman" w:hAnsi="Tahoma" w:cs="Tahoma"/>
      <w:sz w:val="16"/>
      <w:szCs w:val="16"/>
      <w:lang w:val="en-GB"/>
    </w:rPr>
  </w:style>
  <w:style w:type="character" w:customStyle="1" w:styleId="BalonMetniChar">
    <w:name w:val="Balon Metni Char"/>
    <w:basedOn w:val="VarsaylanParagrafYazTipi"/>
    <w:link w:val="BalonMetni"/>
    <w:uiPriority w:val="99"/>
    <w:semiHidden/>
    <w:rsid w:val="00EF1C3C"/>
    <w:rPr>
      <w:rFonts w:ascii="Tahoma" w:eastAsia="Times New Roman" w:hAnsi="Tahoma" w:cs="Tahoma"/>
      <w:sz w:val="16"/>
      <w:szCs w:val="16"/>
      <w:lang w:val="en-GB"/>
    </w:rPr>
  </w:style>
  <w:style w:type="paragraph" w:styleId="ListeParagraf">
    <w:name w:val="List Paragraph"/>
    <w:basedOn w:val="Normal"/>
    <w:uiPriority w:val="34"/>
    <w:qFormat/>
    <w:rsid w:val="00EF1C3C"/>
    <w:pPr>
      <w:overflowPunct w:val="0"/>
      <w:autoSpaceDE w:val="0"/>
      <w:autoSpaceDN w:val="0"/>
      <w:adjustRightInd w:val="0"/>
      <w:spacing w:after="240" w:line="240" w:lineRule="auto"/>
      <w:ind w:left="720"/>
      <w:contextualSpacing/>
      <w:jc w:val="both"/>
      <w:textAlignment w:val="baseline"/>
    </w:pPr>
    <w:rPr>
      <w:rFonts w:ascii="Times New Roman" w:eastAsia="Times New Roman" w:hAnsi="Times New Roman" w:cs="Times New Roman"/>
      <w:szCs w:val="20"/>
      <w:lang w:val="en-GB"/>
    </w:rPr>
  </w:style>
  <w:style w:type="character" w:customStyle="1" w:styleId="Kpr1">
    <w:name w:val="Köprü1"/>
    <w:basedOn w:val="VarsaylanParagrafYazTipi"/>
    <w:uiPriority w:val="99"/>
    <w:unhideWhenUsed/>
    <w:rsid w:val="00EF1C3C"/>
    <w:rPr>
      <w:rFonts w:cs="Times New Roman"/>
      <w:color w:val="0000FF"/>
      <w:u w:val="single"/>
    </w:rPr>
  </w:style>
  <w:style w:type="paragraph" w:styleId="stBilgi">
    <w:name w:val="header"/>
    <w:basedOn w:val="Normal"/>
    <w:link w:val="stBilgiChar"/>
    <w:uiPriority w:val="99"/>
    <w:unhideWhenUsed/>
    <w:rsid w:val="00EF1C3C"/>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GB"/>
    </w:rPr>
  </w:style>
  <w:style w:type="character" w:customStyle="1" w:styleId="stBilgiChar">
    <w:name w:val="Üst Bilgi Char"/>
    <w:basedOn w:val="VarsaylanParagrafYazTipi"/>
    <w:link w:val="stBilgi"/>
    <w:uiPriority w:val="99"/>
    <w:rsid w:val="00EF1C3C"/>
    <w:rPr>
      <w:rFonts w:ascii="Times New Roman" w:eastAsia="Times New Roman" w:hAnsi="Times New Roman" w:cs="Times New Roman"/>
      <w:szCs w:val="20"/>
      <w:lang w:val="en-GB"/>
    </w:rPr>
  </w:style>
  <w:style w:type="paragraph" w:styleId="AltBilgi">
    <w:name w:val="footer"/>
    <w:basedOn w:val="Normal"/>
    <w:link w:val="AltBilgiChar"/>
    <w:uiPriority w:val="99"/>
    <w:unhideWhenUsed/>
    <w:rsid w:val="00EF1C3C"/>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val="en-GB"/>
    </w:rPr>
  </w:style>
  <w:style w:type="character" w:customStyle="1" w:styleId="AltBilgiChar">
    <w:name w:val="Alt Bilgi Char"/>
    <w:basedOn w:val="VarsaylanParagrafYazTipi"/>
    <w:link w:val="AltBilgi"/>
    <w:uiPriority w:val="99"/>
    <w:rsid w:val="00EF1C3C"/>
    <w:rPr>
      <w:rFonts w:ascii="Times New Roman" w:eastAsia="Times New Roman" w:hAnsi="Times New Roman" w:cs="Times New Roman"/>
      <w:szCs w:val="20"/>
      <w:lang w:val="en-GB"/>
    </w:rPr>
  </w:style>
  <w:style w:type="paragraph" w:customStyle="1" w:styleId="NormalWeb1">
    <w:name w:val="Normal (Web)1"/>
    <w:basedOn w:val="Normal"/>
    <w:next w:val="NormalWeb"/>
    <w:uiPriority w:val="99"/>
    <w:semiHidden/>
    <w:unhideWhenUsed/>
    <w:rsid w:val="00EF1C3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qFormat/>
    <w:rsid w:val="00EF1C3C"/>
    <w:pPr>
      <w:spacing w:before="120" w:after="120" w:line="240" w:lineRule="auto"/>
    </w:pPr>
    <w:rPr>
      <w:rFonts w:ascii="Times New Roman" w:eastAsia="Times New Roman" w:hAnsi="Times New Roman" w:cs="Times New Roman"/>
      <w:b/>
      <w:bCs/>
      <w:sz w:val="20"/>
      <w:szCs w:val="20"/>
      <w:lang w:val="en-AU" w:eastAsia="tr-TR"/>
    </w:rPr>
  </w:style>
  <w:style w:type="character" w:styleId="YerTutucuMetni">
    <w:name w:val="Placeholder Text"/>
    <w:basedOn w:val="VarsaylanParagrafYazTipi"/>
    <w:uiPriority w:val="99"/>
    <w:semiHidden/>
    <w:rsid w:val="00EF1C3C"/>
    <w:rPr>
      <w:color w:val="808080"/>
    </w:rPr>
  </w:style>
  <w:style w:type="paragraph" w:styleId="HTMLncedenBiimlendirilmi">
    <w:name w:val="HTML Preformatted"/>
    <w:basedOn w:val="Normal"/>
    <w:link w:val="HTMLncedenBiimlendirilmiChar"/>
    <w:uiPriority w:val="99"/>
    <w:semiHidden/>
    <w:unhideWhenUsed/>
    <w:rsid w:val="00EF1C3C"/>
    <w:pPr>
      <w:overflowPunct w:val="0"/>
      <w:autoSpaceDE w:val="0"/>
      <w:autoSpaceDN w:val="0"/>
      <w:adjustRightInd w:val="0"/>
      <w:spacing w:after="0" w:line="240" w:lineRule="auto"/>
      <w:jc w:val="both"/>
      <w:textAlignment w:val="baseline"/>
    </w:pPr>
    <w:rPr>
      <w:rFonts w:ascii="Consolas" w:eastAsia="Times New Roman" w:hAnsi="Consolas" w:cs="Times New Roman"/>
      <w:sz w:val="20"/>
      <w:szCs w:val="20"/>
      <w:lang w:val="en-GB"/>
    </w:rPr>
  </w:style>
  <w:style w:type="character" w:customStyle="1" w:styleId="HTMLncedenBiimlendirilmiChar">
    <w:name w:val="HTML Önceden Biçimlendirilmiş Char"/>
    <w:basedOn w:val="VarsaylanParagrafYazTipi"/>
    <w:link w:val="HTMLncedenBiimlendirilmi"/>
    <w:uiPriority w:val="99"/>
    <w:semiHidden/>
    <w:rsid w:val="00EF1C3C"/>
    <w:rPr>
      <w:rFonts w:ascii="Consolas" w:eastAsia="Times New Roman" w:hAnsi="Consolas" w:cs="Times New Roman"/>
      <w:sz w:val="20"/>
      <w:szCs w:val="20"/>
      <w:lang w:val="en-GB"/>
    </w:rPr>
  </w:style>
  <w:style w:type="character" w:styleId="AklamaBavurusu">
    <w:name w:val="annotation reference"/>
    <w:basedOn w:val="VarsaylanParagrafYazTipi"/>
    <w:uiPriority w:val="99"/>
    <w:semiHidden/>
    <w:unhideWhenUsed/>
    <w:rsid w:val="00EF1C3C"/>
    <w:rPr>
      <w:sz w:val="16"/>
      <w:szCs w:val="16"/>
    </w:rPr>
  </w:style>
  <w:style w:type="paragraph" w:styleId="AklamaMetni">
    <w:name w:val="annotation text"/>
    <w:basedOn w:val="Normal"/>
    <w:link w:val="AklamaMetniChar"/>
    <w:uiPriority w:val="99"/>
    <w:semiHidden/>
    <w:unhideWhenUsed/>
    <w:rsid w:val="00EF1C3C"/>
    <w:pPr>
      <w:overflowPunct w:val="0"/>
      <w:autoSpaceDE w:val="0"/>
      <w:autoSpaceDN w:val="0"/>
      <w:adjustRightInd w:val="0"/>
      <w:spacing w:after="240" w:line="240" w:lineRule="auto"/>
      <w:jc w:val="both"/>
      <w:textAlignment w:val="baseline"/>
    </w:pPr>
    <w:rPr>
      <w:rFonts w:ascii="Times New Roman" w:eastAsia="Times New Roman" w:hAnsi="Times New Roman" w:cs="Times New Roman"/>
      <w:sz w:val="20"/>
      <w:szCs w:val="20"/>
      <w:lang w:val="en-GB"/>
    </w:rPr>
  </w:style>
  <w:style w:type="character" w:customStyle="1" w:styleId="AklamaMetniChar">
    <w:name w:val="Açıklama Metni Char"/>
    <w:basedOn w:val="VarsaylanParagrafYazTipi"/>
    <w:link w:val="AklamaMetni"/>
    <w:uiPriority w:val="99"/>
    <w:semiHidden/>
    <w:rsid w:val="00EF1C3C"/>
    <w:rPr>
      <w:rFonts w:ascii="Times New Roman" w:eastAsia="Times New Roman" w:hAnsi="Times New Roman" w:cs="Times New Roman"/>
      <w:sz w:val="20"/>
      <w:szCs w:val="20"/>
      <w:lang w:val="en-GB"/>
    </w:rPr>
  </w:style>
  <w:style w:type="paragraph" w:styleId="AklamaKonusu">
    <w:name w:val="annotation subject"/>
    <w:basedOn w:val="AklamaMetni"/>
    <w:next w:val="AklamaMetni"/>
    <w:link w:val="AklamaKonusuChar"/>
    <w:uiPriority w:val="99"/>
    <w:semiHidden/>
    <w:unhideWhenUsed/>
    <w:rsid w:val="00EF1C3C"/>
    <w:rPr>
      <w:b/>
      <w:bCs/>
    </w:rPr>
  </w:style>
  <w:style w:type="character" w:customStyle="1" w:styleId="AklamaKonusuChar">
    <w:name w:val="Açıklama Konusu Char"/>
    <w:basedOn w:val="AklamaMetniChar"/>
    <w:link w:val="AklamaKonusu"/>
    <w:uiPriority w:val="99"/>
    <w:semiHidden/>
    <w:rsid w:val="00EF1C3C"/>
    <w:rPr>
      <w:rFonts w:ascii="Times New Roman" w:eastAsia="Times New Roman" w:hAnsi="Times New Roman" w:cs="Times New Roman"/>
      <w:b/>
      <w:bCs/>
      <w:sz w:val="20"/>
      <w:szCs w:val="20"/>
      <w:lang w:val="en-GB"/>
    </w:rPr>
  </w:style>
  <w:style w:type="character" w:customStyle="1" w:styleId="Balk2Char1">
    <w:name w:val="Başlık 2 Char1"/>
    <w:basedOn w:val="VarsaylanParagrafYazTipi"/>
    <w:uiPriority w:val="9"/>
    <w:semiHidden/>
    <w:rsid w:val="00EF1C3C"/>
    <w:rPr>
      <w:rFonts w:asciiTheme="majorHAnsi" w:eastAsiaTheme="majorEastAsia" w:hAnsiTheme="majorHAnsi" w:cstheme="majorBidi"/>
      <w:b/>
      <w:bCs/>
      <w:color w:val="4F81BD" w:themeColor="accent1"/>
      <w:sz w:val="26"/>
      <w:szCs w:val="26"/>
    </w:rPr>
  </w:style>
  <w:style w:type="character" w:customStyle="1" w:styleId="Balk3Char1">
    <w:name w:val="Başlık 3 Char1"/>
    <w:basedOn w:val="VarsaylanParagrafYazTipi"/>
    <w:uiPriority w:val="9"/>
    <w:semiHidden/>
    <w:rsid w:val="00EF1C3C"/>
    <w:rPr>
      <w:rFonts w:asciiTheme="majorHAnsi" w:eastAsiaTheme="majorEastAsia" w:hAnsiTheme="majorHAnsi" w:cstheme="majorBidi"/>
      <w:b/>
      <w:bCs/>
      <w:color w:val="4F81BD" w:themeColor="accent1"/>
    </w:rPr>
  </w:style>
  <w:style w:type="character" w:styleId="Kpr">
    <w:name w:val="Hyperlink"/>
    <w:basedOn w:val="VarsaylanParagrafYazTipi"/>
    <w:uiPriority w:val="99"/>
    <w:semiHidden/>
    <w:unhideWhenUsed/>
    <w:rsid w:val="00EF1C3C"/>
    <w:rPr>
      <w:color w:val="0000FF" w:themeColor="hyperlink"/>
      <w:u w:val="single"/>
    </w:rPr>
  </w:style>
  <w:style w:type="paragraph" w:styleId="NormalWeb">
    <w:name w:val="Normal (Web)"/>
    <w:basedOn w:val="Normal"/>
    <w:uiPriority w:val="99"/>
    <w:semiHidden/>
    <w:unhideWhenUsed/>
    <w:rsid w:val="00EF1C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58709">
      <w:bodyDiv w:val="1"/>
      <w:marLeft w:val="0"/>
      <w:marRight w:val="0"/>
      <w:marTop w:val="0"/>
      <w:marBottom w:val="0"/>
      <w:divBdr>
        <w:top w:val="none" w:sz="0" w:space="0" w:color="auto"/>
        <w:left w:val="none" w:sz="0" w:space="0" w:color="auto"/>
        <w:bottom w:val="none" w:sz="0" w:space="0" w:color="auto"/>
        <w:right w:val="none" w:sz="0" w:space="0" w:color="auto"/>
      </w:divBdr>
    </w:div>
    <w:div w:id="1317226865">
      <w:bodyDiv w:val="1"/>
      <w:marLeft w:val="0"/>
      <w:marRight w:val="0"/>
      <w:marTop w:val="0"/>
      <w:marBottom w:val="0"/>
      <w:divBdr>
        <w:top w:val="none" w:sz="0" w:space="0" w:color="auto"/>
        <w:left w:val="none" w:sz="0" w:space="0" w:color="auto"/>
        <w:bottom w:val="none" w:sz="0" w:space="0" w:color="auto"/>
        <w:right w:val="none" w:sz="0" w:space="0" w:color="auto"/>
      </w:divBdr>
      <w:divsChild>
        <w:div w:id="1834297779">
          <w:marLeft w:val="0"/>
          <w:marRight w:val="0"/>
          <w:marTop w:val="0"/>
          <w:marBottom w:val="0"/>
          <w:divBdr>
            <w:top w:val="none" w:sz="0" w:space="0" w:color="auto"/>
            <w:left w:val="none" w:sz="0" w:space="0" w:color="auto"/>
            <w:bottom w:val="none" w:sz="0" w:space="0" w:color="auto"/>
            <w:right w:val="none" w:sz="0" w:space="0" w:color="auto"/>
          </w:divBdr>
          <w:divsChild>
            <w:div w:id="260065598">
              <w:marLeft w:val="0"/>
              <w:marRight w:val="0"/>
              <w:marTop w:val="0"/>
              <w:marBottom w:val="0"/>
              <w:divBdr>
                <w:top w:val="none" w:sz="0" w:space="0" w:color="auto"/>
                <w:left w:val="none" w:sz="0" w:space="0" w:color="auto"/>
                <w:bottom w:val="none" w:sz="0" w:space="0" w:color="auto"/>
                <w:right w:val="none" w:sz="0" w:space="0" w:color="auto"/>
              </w:divBdr>
              <w:divsChild>
                <w:div w:id="87697224">
                  <w:marLeft w:val="-240"/>
                  <w:marRight w:val="-240"/>
                  <w:marTop w:val="0"/>
                  <w:marBottom w:val="0"/>
                  <w:divBdr>
                    <w:top w:val="none" w:sz="0" w:space="0" w:color="auto"/>
                    <w:left w:val="none" w:sz="0" w:space="0" w:color="auto"/>
                    <w:bottom w:val="none" w:sz="0" w:space="0" w:color="auto"/>
                    <w:right w:val="none" w:sz="0" w:space="0" w:color="auto"/>
                  </w:divBdr>
                  <w:divsChild>
                    <w:div w:id="476194131">
                      <w:marLeft w:val="0"/>
                      <w:marRight w:val="0"/>
                      <w:marTop w:val="0"/>
                      <w:marBottom w:val="0"/>
                      <w:divBdr>
                        <w:top w:val="none" w:sz="0" w:space="0" w:color="auto"/>
                        <w:left w:val="none" w:sz="0" w:space="0" w:color="auto"/>
                        <w:bottom w:val="none" w:sz="0" w:space="0" w:color="auto"/>
                        <w:right w:val="none" w:sz="0" w:space="0" w:color="auto"/>
                      </w:divBdr>
                      <w:divsChild>
                        <w:div w:id="69618984">
                          <w:marLeft w:val="0"/>
                          <w:marRight w:val="0"/>
                          <w:marTop w:val="0"/>
                          <w:marBottom w:val="0"/>
                          <w:divBdr>
                            <w:top w:val="none" w:sz="0" w:space="0" w:color="auto"/>
                            <w:left w:val="none" w:sz="0" w:space="0" w:color="auto"/>
                            <w:bottom w:val="none" w:sz="0" w:space="0" w:color="auto"/>
                            <w:right w:val="none" w:sz="0" w:space="0" w:color="auto"/>
                          </w:divBdr>
                        </w:div>
                        <w:div w:id="758520521">
                          <w:marLeft w:val="0"/>
                          <w:marRight w:val="0"/>
                          <w:marTop w:val="0"/>
                          <w:marBottom w:val="0"/>
                          <w:divBdr>
                            <w:top w:val="none" w:sz="0" w:space="0" w:color="auto"/>
                            <w:left w:val="none" w:sz="0" w:space="0" w:color="auto"/>
                            <w:bottom w:val="none" w:sz="0" w:space="0" w:color="auto"/>
                            <w:right w:val="none" w:sz="0" w:space="0" w:color="auto"/>
                          </w:divBdr>
                          <w:divsChild>
                            <w:div w:id="1425767440">
                              <w:marLeft w:val="165"/>
                              <w:marRight w:val="165"/>
                              <w:marTop w:val="0"/>
                              <w:marBottom w:val="0"/>
                              <w:divBdr>
                                <w:top w:val="none" w:sz="0" w:space="0" w:color="auto"/>
                                <w:left w:val="none" w:sz="0" w:space="0" w:color="auto"/>
                                <w:bottom w:val="none" w:sz="0" w:space="0" w:color="auto"/>
                                <w:right w:val="none" w:sz="0" w:space="0" w:color="auto"/>
                              </w:divBdr>
                              <w:divsChild>
                                <w:div w:id="77604061">
                                  <w:marLeft w:val="0"/>
                                  <w:marRight w:val="0"/>
                                  <w:marTop w:val="0"/>
                                  <w:marBottom w:val="0"/>
                                  <w:divBdr>
                                    <w:top w:val="none" w:sz="0" w:space="0" w:color="auto"/>
                                    <w:left w:val="none" w:sz="0" w:space="0" w:color="auto"/>
                                    <w:bottom w:val="none" w:sz="0" w:space="0" w:color="auto"/>
                                    <w:right w:val="none" w:sz="0" w:space="0" w:color="auto"/>
                                  </w:divBdr>
                                  <w:divsChild>
                                    <w:div w:id="2172058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9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hyperlink" Target="mailto:ahmet.yayli@taek.gov.tr"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emf"/><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BC251-AFA9-4E23-8624-3A75E817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24</Pages>
  <Words>5361</Words>
  <Characters>30558</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35848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Yaylı</dc:creator>
  <cp:lastModifiedBy>Ayça Aylangan</cp:lastModifiedBy>
  <cp:revision>23</cp:revision>
  <cp:lastPrinted>2020-09-23T07:31:00Z</cp:lastPrinted>
  <dcterms:created xsi:type="dcterms:W3CDTF">2020-09-16T18:25:00Z</dcterms:created>
  <dcterms:modified xsi:type="dcterms:W3CDTF">2020-09-24T12:03:00Z</dcterms:modified>
</cp:coreProperties>
</file>