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DA" w:rsidRPr="0039044E" w:rsidRDefault="00BC5171" w:rsidP="00BC5171">
      <w:pPr>
        <w:autoSpaceDE w:val="0"/>
        <w:autoSpaceDN w:val="0"/>
        <w:adjustRightInd w:val="0"/>
        <w:spacing w:after="0" w:line="240" w:lineRule="auto"/>
        <w:jc w:val="center"/>
        <w:rPr>
          <w:rFonts w:ascii="Times New Roman" w:eastAsia="Times New Roman" w:hAnsi="Times New Roman" w:cs="Times New Roman"/>
          <w:b/>
          <w:sz w:val="24"/>
          <w:szCs w:val="24"/>
          <w:lang w:eastAsia="tr-TR"/>
        </w:rPr>
      </w:pPr>
      <w:r w:rsidRPr="0039044E">
        <w:rPr>
          <w:rFonts w:ascii="Times New Roman" w:eastAsia="Times New Roman" w:hAnsi="Times New Roman" w:cs="Times New Roman"/>
          <w:b/>
          <w:sz w:val="24"/>
          <w:szCs w:val="24"/>
          <w:lang w:eastAsia="tr-TR"/>
        </w:rPr>
        <w:t>SAĞLIK HİZMETLERİNDE KALİTE KARMAŞASI:</w:t>
      </w:r>
    </w:p>
    <w:p w:rsidR="007660DA" w:rsidRPr="0039044E" w:rsidRDefault="00BC5171" w:rsidP="00BC5171">
      <w:pPr>
        <w:autoSpaceDE w:val="0"/>
        <w:autoSpaceDN w:val="0"/>
        <w:adjustRightInd w:val="0"/>
        <w:spacing w:after="0" w:line="240" w:lineRule="auto"/>
        <w:jc w:val="center"/>
        <w:rPr>
          <w:rFonts w:ascii="Times New Roman" w:eastAsia="Times New Roman" w:hAnsi="Times New Roman" w:cs="Times New Roman"/>
          <w:b/>
          <w:sz w:val="24"/>
          <w:szCs w:val="24"/>
          <w:lang w:eastAsia="tr-TR"/>
        </w:rPr>
      </w:pPr>
      <w:r w:rsidRPr="0039044E">
        <w:rPr>
          <w:rFonts w:ascii="Times New Roman" w:eastAsia="Times New Roman" w:hAnsi="Times New Roman" w:cs="Times New Roman"/>
          <w:b/>
          <w:sz w:val="24"/>
          <w:szCs w:val="24"/>
          <w:lang w:eastAsia="tr-TR"/>
        </w:rPr>
        <w:t>“SAĞLIK HİZMETLERİ ÇOK BOYUTLU KALİTE MODELİ”</w:t>
      </w:r>
    </w:p>
    <w:p w:rsidR="0039044E" w:rsidRDefault="0039044E" w:rsidP="007660DA">
      <w:pPr>
        <w:autoSpaceDE w:val="0"/>
        <w:autoSpaceDN w:val="0"/>
        <w:adjustRightInd w:val="0"/>
        <w:spacing w:after="0" w:line="240" w:lineRule="auto"/>
        <w:jc w:val="right"/>
        <w:rPr>
          <w:rFonts w:ascii="Times New Roman" w:eastAsia="Times New Roman" w:hAnsi="Times New Roman" w:cs="Times New Roman"/>
          <w:b/>
          <w:sz w:val="24"/>
          <w:szCs w:val="24"/>
          <w:lang w:eastAsia="tr-TR"/>
        </w:rPr>
      </w:pPr>
    </w:p>
    <w:p w:rsidR="0039044E" w:rsidRDefault="0039044E" w:rsidP="007660DA">
      <w:pPr>
        <w:autoSpaceDE w:val="0"/>
        <w:autoSpaceDN w:val="0"/>
        <w:adjustRightInd w:val="0"/>
        <w:spacing w:after="0" w:line="240" w:lineRule="auto"/>
        <w:jc w:val="right"/>
        <w:rPr>
          <w:rFonts w:ascii="Times New Roman" w:eastAsia="Times New Roman" w:hAnsi="Times New Roman" w:cs="Times New Roman"/>
          <w:b/>
          <w:sz w:val="24"/>
          <w:szCs w:val="24"/>
          <w:lang w:eastAsia="tr-TR"/>
        </w:rPr>
      </w:pPr>
    </w:p>
    <w:p w:rsidR="007660DA" w:rsidRPr="0039044E" w:rsidRDefault="007660DA" w:rsidP="007660DA">
      <w:pPr>
        <w:autoSpaceDE w:val="0"/>
        <w:autoSpaceDN w:val="0"/>
        <w:adjustRightInd w:val="0"/>
        <w:spacing w:after="0" w:line="240" w:lineRule="auto"/>
        <w:jc w:val="right"/>
        <w:rPr>
          <w:rFonts w:ascii="Times New Roman" w:eastAsia="Times New Roman" w:hAnsi="Times New Roman" w:cs="Times New Roman"/>
          <w:b/>
          <w:sz w:val="24"/>
          <w:szCs w:val="24"/>
          <w:lang w:eastAsia="tr-TR"/>
        </w:rPr>
      </w:pPr>
      <w:r w:rsidRPr="0039044E">
        <w:rPr>
          <w:rFonts w:ascii="Times New Roman" w:eastAsia="Times New Roman" w:hAnsi="Times New Roman" w:cs="Times New Roman"/>
          <w:b/>
          <w:sz w:val="24"/>
          <w:szCs w:val="24"/>
          <w:lang w:eastAsia="tr-TR"/>
        </w:rPr>
        <w:t>İbrahim H. KAYRAL</w:t>
      </w:r>
      <w:r w:rsidRPr="0039044E">
        <w:rPr>
          <w:rStyle w:val="DipnotBavurusu"/>
          <w:rFonts w:ascii="Times New Roman" w:eastAsia="Times New Roman" w:hAnsi="Times New Roman" w:cs="Times New Roman"/>
          <w:b/>
          <w:sz w:val="24"/>
          <w:szCs w:val="24"/>
          <w:lang w:eastAsia="tr-TR"/>
        </w:rPr>
        <w:footnoteReference w:id="1"/>
      </w:r>
    </w:p>
    <w:p w:rsidR="007660DA" w:rsidRPr="0039044E" w:rsidRDefault="007660DA" w:rsidP="007660DA">
      <w:pPr>
        <w:autoSpaceDE w:val="0"/>
        <w:autoSpaceDN w:val="0"/>
        <w:adjustRightInd w:val="0"/>
        <w:spacing w:after="0" w:line="240" w:lineRule="auto"/>
        <w:jc w:val="right"/>
        <w:rPr>
          <w:rFonts w:ascii="Times New Roman" w:eastAsia="Times New Roman" w:hAnsi="Times New Roman" w:cs="Times New Roman"/>
          <w:i/>
          <w:sz w:val="24"/>
          <w:szCs w:val="24"/>
          <w:lang w:eastAsia="tr-TR"/>
        </w:rPr>
      </w:pPr>
    </w:p>
    <w:p w:rsidR="00BC5171" w:rsidRPr="0039044E" w:rsidRDefault="00BC5171" w:rsidP="002233C5">
      <w:pPr>
        <w:spacing w:line="240" w:lineRule="auto"/>
        <w:jc w:val="both"/>
        <w:rPr>
          <w:rFonts w:ascii="Times New Roman" w:hAnsi="Times New Roman" w:cs="Times New Roman"/>
          <w:b/>
          <w:i/>
          <w:sz w:val="24"/>
          <w:szCs w:val="24"/>
        </w:rPr>
      </w:pPr>
    </w:p>
    <w:p w:rsidR="002233C5" w:rsidRPr="0039044E" w:rsidRDefault="00446BFF" w:rsidP="002233C5">
      <w:pPr>
        <w:spacing w:line="240" w:lineRule="auto"/>
        <w:jc w:val="both"/>
        <w:rPr>
          <w:rFonts w:ascii="Times New Roman" w:hAnsi="Times New Roman" w:cs="Times New Roman"/>
          <w:b/>
          <w:i/>
          <w:sz w:val="24"/>
          <w:szCs w:val="24"/>
        </w:rPr>
      </w:pPr>
      <w:r w:rsidRPr="0039044E">
        <w:rPr>
          <w:rFonts w:ascii="Times New Roman" w:hAnsi="Times New Roman" w:cs="Times New Roman"/>
          <w:b/>
          <w:i/>
          <w:sz w:val="24"/>
          <w:szCs w:val="24"/>
        </w:rPr>
        <w:t>ÖZET</w:t>
      </w:r>
    </w:p>
    <w:p w:rsidR="002233C5" w:rsidRPr="0039044E" w:rsidRDefault="002233C5" w:rsidP="002233C5">
      <w:pPr>
        <w:spacing w:line="240" w:lineRule="auto"/>
        <w:jc w:val="both"/>
        <w:rPr>
          <w:rFonts w:ascii="Times New Roman" w:hAnsi="Times New Roman" w:cs="Times New Roman"/>
          <w:i/>
          <w:sz w:val="24"/>
          <w:szCs w:val="24"/>
        </w:rPr>
      </w:pPr>
      <w:r w:rsidRPr="0039044E">
        <w:rPr>
          <w:rFonts w:ascii="Times New Roman" w:hAnsi="Times New Roman" w:cs="Times New Roman"/>
          <w:i/>
          <w:sz w:val="24"/>
          <w:szCs w:val="24"/>
        </w:rPr>
        <w:t>Sağlık hizmetlerinde kaliteli hizmet sunumunun ya da hizmetlerin kaliteli olmasına dair duyulan beklentilerin gerçekte “ne” olduğu ve “nasıl” değerlendirilmesi gerektiği, üzerinde tartışmaların devam ettiği konular arasında yer almaktadır. Sağlık hizmetlerinde kalite literatürü incelendiğinde algılanan kalite, teknik kalite, müşteri kalitesi, organizasyon kalitesi, klinik kalite, hizmet kalitesi vb. birçok kalite kavramının ele alındığı görülmekte, ancak pratik hayatta bu kavramların kullanımı ve birbirleriyle ilişkileri farklı farklı algılanabilmektedir (Donabedian 1980; Ovretveit, 1998; Carman 2000; Rose, Uli, Abdul ve Looi Ng: 2004). Ele alınan çerçevede, çalışmada sağlık hizmetlerinde kalitenin tanımı yapılmaya ve sağlık hizmetleri kalitesinin ne şekilde değerlendirilebileceği, ortaya konulan bir model ile tartışılmaya çalışılmıştır.</w:t>
      </w:r>
    </w:p>
    <w:p w:rsidR="002233C5" w:rsidRPr="0039044E" w:rsidRDefault="002A26EF" w:rsidP="002233C5">
      <w:pPr>
        <w:autoSpaceDE w:val="0"/>
        <w:autoSpaceDN w:val="0"/>
        <w:adjustRightInd w:val="0"/>
        <w:spacing w:line="240" w:lineRule="auto"/>
        <w:jc w:val="both"/>
        <w:rPr>
          <w:rFonts w:ascii="Times New Roman" w:hAnsi="Times New Roman" w:cs="Times New Roman"/>
          <w:i/>
          <w:sz w:val="24"/>
          <w:szCs w:val="24"/>
        </w:rPr>
      </w:pPr>
      <w:r>
        <w:rPr>
          <w:rFonts w:ascii="Times New Roman" w:hAnsi="Times New Roman" w:cs="Times New Roman"/>
          <w:b/>
          <w:i/>
          <w:sz w:val="24"/>
          <w:szCs w:val="24"/>
        </w:rPr>
        <w:t>Anahtar K</w:t>
      </w:r>
      <w:r w:rsidRPr="0039044E">
        <w:rPr>
          <w:rFonts w:ascii="Times New Roman" w:hAnsi="Times New Roman" w:cs="Times New Roman"/>
          <w:b/>
          <w:i/>
          <w:sz w:val="24"/>
          <w:szCs w:val="24"/>
        </w:rPr>
        <w:t xml:space="preserve">elimeler: </w:t>
      </w:r>
      <w:r w:rsidR="002233C5" w:rsidRPr="0039044E">
        <w:rPr>
          <w:rFonts w:ascii="Times New Roman" w:hAnsi="Times New Roman" w:cs="Times New Roman"/>
          <w:i/>
          <w:sz w:val="24"/>
          <w:szCs w:val="24"/>
        </w:rPr>
        <w:t>Kalite, Hizmet, Hizmet Kalitesi, Hastane Türleri</w:t>
      </w:r>
      <w:r w:rsidR="0039044E">
        <w:rPr>
          <w:rFonts w:ascii="Times New Roman" w:hAnsi="Times New Roman" w:cs="Times New Roman"/>
          <w:i/>
          <w:sz w:val="24"/>
          <w:szCs w:val="24"/>
        </w:rPr>
        <w:t>.</w:t>
      </w:r>
    </w:p>
    <w:p w:rsidR="002233C5" w:rsidRPr="0039044E" w:rsidRDefault="002233C5" w:rsidP="0039044E">
      <w:pPr>
        <w:spacing w:line="240" w:lineRule="auto"/>
        <w:jc w:val="center"/>
        <w:rPr>
          <w:rFonts w:ascii="Times New Roman" w:hAnsi="Times New Roman" w:cs="Times New Roman"/>
          <w:b/>
          <w:sz w:val="24"/>
          <w:szCs w:val="24"/>
        </w:rPr>
      </w:pPr>
    </w:p>
    <w:p w:rsidR="002A26EF" w:rsidRPr="002A26EF" w:rsidRDefault="002A26EF" w:rsidP="002A26EF">
      <w:pPr>
        <w:spacing w:line="240" w:lineRule="auto"/>
        <w:jc w:val="center"/>
        <w:rPr>
          <w:rFonts w:ascii="Times New Roman" w:hAnsi="Times New Roman" w:cs="Times New Roman"/>
          <w:b/>
          <w:sz w:val="24"/>
          <w:szCs w:val="24"/>
          <w:lang w:val="en-GB"/>
        </w:rPr>
      </w:pPr>
      <w:r w:rsidRPr="002A26EF">
        <w:rPr>
          <w:rFonts w:ascii="Times New Roman" w:hAnsi="Times New Roman" w:cs="Times New Roman"/>
          <w:b/>
          <w:sz w:val="24"/>
          <w:szCs w:val="24"/>
          <w:lang w:val="en-GB"/>
        </w:rPr>
        <w:t>QUALITY CONFUSION IN HEALTH SERVICES: MULTIDIMENSIONAL QUALITY MODAL IN HEALTH SERVICES</w:t>
      </w:r>
    </w:p>
    <w:p w:rsidR="002A26EF" w:rsidRPr="002A26EF" w:rsidRDefault="002A26EF" w:rsidP="002A26EF">
      <w:pPr>
        <w:autoSpaceDE w:val="0"/>
        <w:autoSpaceDN w:val="0"/>
        <w:adjustRightInd w:val="0"/>
        <w:spacing w:line="240" w:lineRule="auto"/>
        <w:rPr>
          <w:rFonts w:ascii="Times New Roman" w:hAnsi="Times New Roman" w:cs="Times New Roman"/>
          <w:b/>
          <w:bCs/>
          <w:i/>
          <w:sz w:val="24"/>
          <w:szCs w:val="24"/>
          <w:lang w:val="en-GB"/>
        </w:rPr>
      </w:pPr>
      <w:r w:rsidRPr="002A26EF">
        <w:rPr>
          <w:rFonts w:ascii="Times New Roman" w:hAnsi="Times New Roman" w:cs="Times New Roman"/>
          <w:b/>
          <w:bCs/>
          <w:i/>
          <w:sz w:val="24"/>
          <w:szCs w:val="24"/>
          <w:lang w:val="en-GB"/>
        </w:rPr>
        <w:t>ABSTRACT</w:t>
      </w:r>
    </w:p>
    <w:p w:rsidR="002A26EF" w:rsidRPr="00E0769F" w:rsidRDefault="002A26EF" w:rsidP="002A26EF">
      <w:pPr>
        <w:spacing w:line="240" w:lineRule="auto"/>
        <w:jc w:val="both"/>
        <w:rPr>
          <w:rFonts w:ascii="Times New Roman" w:hAnsi="Times New Roman" w:cs="Times New Roman"/>
          <w:i/>
          <w:sz w:val="24"/>
          <w:szCs w:val="24"/>
          <w:lang w:val="en-GB"/>
        </w:rPr>
      </w:pPr>
      <w:r w:rsidRPr="002A26EF">
        <w:rPr>
          <w:rFonts w:ascii="Times New Roman" w:hAnsi="Times New Roman" w:cs="Times New Roman"/>
          <w:i/>
          <w:sz w:val="24"/>
          <w:szCs w:val="24"/>
          <w:lang w:val="en-GB"/>
        </w:rPr>
        <w:t>"</w:t>
      </w:r>
      <w:r w:rsidRPr="00E0769F">
        <w:rPr>
          <w:rFonts w:ascii="Times New Roman" w:hAnsi="Times New Roman" w:cs="Times New Roman"/>
          <w:i/>
          <w:sz w:val="24"/>
          <w:szCs w:val="24"/>
          <w:lang w:val="en-GB"/>
        </w:rPr>
        <w:t>What” is the expectation of quality in health services and "how" quality should be evaluated in health services delivery</w:t>
      </w:r>
      <w:r w:rsidRPr="00E0769F">
        <w:rPr>
          <w:rFonts w:ascii="Times New Roman" w:hAnsi="Times New Roman" w:cs="Times New Roman"/>
          <w:i/>
          <w:sz w:val="24"/>
          <w:szCs w:val="24"/>
          <w:u w:val="single"/>
          <w:lang w:val="en-GB"/>
        </w:rPr>
        <w:t>,</w:t>
      </w:r>
      <w:r w:rsidRPr="00E0769F">
        <w:rPr>
          <w:rFonts w:ascii="Times New Roman" w:hAnsi="Times New Roman" w:cs="Times New Roman"/>
          <w:i/>
          <w:sz w:val="24"/>
          <w:szCs w:val="24"/>
          <w:lang w:val="en-GB"/>
        </w:rPr>
        <w:t xml:space="preserve"> is one of the subjects among ongoing discussions. As the issue of quality in health care are examined in the literature, so many concepts come up as perceived quality, technical quality, customer quality, organization quality, clinical quality and service quality, however the use of these concepts in practical life and their relationships with each other may be perceived differently (Donabedian 1980; Ovretveit, 1998; Carman 2000; Rose, Uli, Abdul ve Looi Ng: 2004). In this framework, quality is defined in health services and  evaluation of health service quality is discussed within a modal.</w:t>
      </w:r>
    </w:p>
    <w:p w:rsidR="002233C5" w:rsidRPr="0039044E" w:rsidRDefault="00446BFF" w:rsidP="002A26EF">
      <w:pPr>
        <w:autoSpaceDE w:val="0"/>
        <w:autoSpaceDN w:val="0"/>
        <w:adjustRightInd w:val="0"/>
        <w:spacing w:line="240" w:lineRule="auto"/>
        <w:rPr>
          <w:rFonts w:ascii="Times New Roman" w:hAnsi="Times New Roman" w:cs="Times New Roman"/>
          <w:b/>
          <w:i/>
          <w:sz w:val="24"/>
          <w:szCs w:val="24"/>
        </w:rPr>
      </w:pPr>
      <w:r w:rsidRPr="0039044E">
        <w:rPr>
          <w:rFonts w:ascii="Times New Roman" w:hAnsi="Times New Roman" w:cs="Times New Roman"/>
          <w:b/>
          <w:bCs/>
          <w:i/>
          <w:sz w:val="24"/>
          <w:szCs w:val="24"/>
        </w:rPr>
        <w:t>K</w:t>
      </w:r>
      <w:r w:rsidR="002A26EF" w:rsidRPr="0039044E">
        <w:rPr>
          <w:rFonts w:ascii="Times New Roman" w:hAnsi="Times New Roman" w:cs="Times New Roman"/>
          <w:b/>
          <w:bCs/>
          <w:i/>
          <w:sz w:val="24"/>
          <w:szCs w:val="24"/>
        </w:rPr>
        <w:t>eywords</w:t>
      </w:r>
      <w:r w:rsidRPr="0039044E">
        <w:rPr>
          <w:rFonts w:ascii="Times New Roman" w:hAnsi="Times New Roman" w:cs="Times New Roman"/>
          <w:b/>
          <w:bCs/>
          <w:i/>
          <w:sz w:val="24"/>
          <w:szCs w:val="24"/>
        </w:rPr>
        <w:t xml:space="preserve">: </w:t>
      </w:r>
      <w:r w:rsidR="002233C5" w:rsidRPr="0039044E">
        <w:rPr>
          <w:rFonts w:ascii="Times New Roman" w:hAnsi="Times New Roman" w:cs="Times New Roman"/>
          <w:i/>
          <w:sz w:val="24"/>
          <w:szCs w:val="24"/>
        </w:rPr>
        <w:t>Quality, Services, Service Quality, Types of Hospital</w:t>
      </w:r>
      <w:r w:rsidR="0039044E">
        <w:rPr>
          <w:rFonts w:ascii="Times New Roman" w:hAnsi="Times New Roman" w:cs="Times New Roman"/>
          <w:i/>
          <w:sz w:val="24"/>
          <w:szCs w:val="24"/>
        </w:rPr>
        <w:t>.</w:t>
      </w:r>
    </w:p>
    <w:p w:rsidR="002233C5" w:rsidRPr="0039044E" w:rsidRDefault="002233C5" w:rsidP="007C5BF4">
      <w:pPr>
        <w:spacing w:line="240" w:lineRule="auto"/>
        <w:jc w:val="both"/>
        <w:rPr>
          <w:rFonts w:ascii="Times New Roman" w:hAnsi="Times New Roman" w:cs="Times New Roman"/>
          <w:b/>
          <w:sz w:val="24"/>
          <w:szCs w:val="24"/>
        </w:rPr>
      </w:pPr>
    </w:p>
    <w:p w:rsidR="007E42B8" w:rsidRPr="00E55C79" w:rsidRDefault="00E55C79" w:rsidP="00E55C79">
      <w:pPr>
        <w:spacing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446BFF" w:rsidRPr="00E55C79">
        <w:rPr>
          <w:rFonts w:ascii="Times New Roman" w:hAnsi="Times New Roman" w:cs="Times New Roman"/>
          <w:b/>
          <w:sz w:val="24"/>
          <w:szCs w:val="24"/>
        </w:rPr>
        <w:t>GİRİŞ</w:t>
      </w:r>
    </w:p>
    <w:p w:rsidR="00FE4326" w:rsidRPr="0039044E" w:rsidRDefault="00802702" w:rsidP="007C5BF4">
      <w:pPr>
        <w:spacing w:line="240" w:lineRule="auto"/>
        <w:jc w:val="both"/>
        <w:rPr>
          <w:rFonts w:ascii="Times New Roman" w:hAnsi="Times New Roman" w:cs="Times New Roman"/>
          <w:sz w:val="24"/>
          <w:szCs w:val="24"/>
        </w:rPr>
      </w:pPr>
      <w:r w:rsidRPr="00E55C79">
        <w:rPr>
          <w:rFonts w:ascii="Times New Roman" w:hAnsi="Times New Roman" w:cs="Times New Roman"/>
          <w:sz w:val="24"/>
          <w:szCs w:val="24"/>
        </w:rPr>
        <w:t>İ</w:t>
      </w:r>
      <w:r w:rsidRPr="0039044E">
        <w:rPr>
          <w:rFonts w:ascii="Times New Roman" w:hAnsi="Times New Roman" w:cs="Times New Roman"/>
          <w:sz w:val="24"/>
          <w:szCs w:val="24"/>
        </w:rPr>
        <w:t>nsan s</w:t>
      </w:r>
      <w:r w:rsidR="00911D58" w:rsidRPr="0039044E">
        <w:rPr>
          <w:rFonts w:ascii="Times New Roman" w:hAnsi="Times New Roman" w:cs="Times New Roman"/>
          <w:sz w:val="24"/>
          <w:szCs w:val="24"/>
        </w:rPr>
        <w:t>ağlığ</w:t>
      </w:r>
      <w:r w:rsidRPr="0039044E">
        <w:rPr>
          <w:rFonts w:ascii="Times New Roman" w:hAnsi="Times New Roman" w:cs="Times New Roman"/>
          <w:sz w:val="24"/>
          <w:szCs w:val="24"/>
        </w:rPr>
        <w:t>ın</w:t>
      </w:r>
      <w:r w:rsidR="00911D58" w:rsidRPr="0039044E">
        <w:rPr>
          <w:rFonts w:ascii="Times New Roman" w:hAnsi="Times New Roman" w:cs="Times New Roman"/>
          <w:sz w:val="24"/>
          <w:szCs w:val="24"/>
        </w:rPr>
        <w:t xml:space="preserve">a verilen önemin </w:t>
      </w:r>
      <w:r w:rsidRPr="0039044E">
        <w:rPr>
          <w:rFonts w:ascii="Times New Roman" w:hAnsi="Times New Roman" w:cs="Times New Roman"/>
          <w:sz w:val="24"/>
          <w:szCs w:val="24"/>
        </w:rPr>
        <w:t xml:space="preserve">her geçen </w:t>
      </w:r>
      <w:r w:rsidR="002B49F0" w:rsidRPr="0039044E">
        <w:rPr>
          <w:rFonts w:ascii="Times New Roman" w:hAnsi="Times New Roman" w:cs="Times New Roman"/>
          <w:sz w:val="24"/>
          <w:szCs w:val="24"/>
        </w:rPr>
        <w:t xml:space="preserve">gün </w:t>
      </w:r>
      <w:r w:rsidR="00911D58" w:rsidRPr="0039044E">
        <w:rPr>
          <w:rFonts w:ascii="Times New Roman" w:hAnsi="Times New Roman" w:cs="Times New Roman"/>
          <w:sz w:val="24"/>
          <w:szCs w:val="24"/>
        </w:rPr>
        <w:t>artması,</w:t>
      </w:r>
      <w:r w:rsidRPr="0039044E">
        <w:rPr>
          <w:rFonts w:ascii="Times New Roman" w:hAnsi="Times New Roman" w:cs="Times New Roman"/>
          <w:sz w:val="24"/>
          <w:szCs w:val="24"/>
        </w:rPr>
        <w:t xml:space="preserve">  sağlık teknolojileri alanında yaşanan heyecan verici </w:t>
      </w:r>
      <w:r w:rsidR="00911D58" w:rsidRPr="0039044E">
        <w:rPr>
          <w:rFonts w:ascii="Times New Roman" w:hAnsi="Times New Roman" w:cs="Times New Roman"/>
          <w:sz w:val="24"/>
          <w:szCs w:val="24"/>
        </w:rPr>
        <w:t>gelişmeler</w:t>
      </w:r>
      <w:r w:rsidR="00DD6C9C" w:rsidRPr="0039044E">
        <w:rPr>
          <w:rFonts w:ascii="Times New Roman" w:hAnsi="Times New Roman" w:cs="Times New Roman"/>
          <w:sz w:val="24"/>
          <w:szCs w:val="24"/>
        </w:rPr>
        <w:t xml:space="preserve"> </w:t>
      </w:r>
      <w:r w:rsidR="00911D58" w:rsidRPr="0039044E">
        <w:rPr>
          <w:rFonts w:ascii="Times New Roman" w:hAnsi="Times New Roman" w:cs="Times New Roman"/>
          <w:sz w:val="24"/>
          <w:szCs w:val="24"/>
        </w:rPr>
        <w:t xml:space="preserve">ve </w:t>
      </w:r>
      <w:r w:rsidRPr="0039044E">
        <w:rPr>
          <w:rFonts w:ascii="Times New Roman" w:hAnsi="Times New Roman" w:cs="Times New Roman"/>
          <w:sz w:val="24"/>
          <w:szCs w:val="24"/>
        </w:rPr>
        <w:t>sağlık hizmeti alanların bu alanda bilinçlenmesi gibi faktörler</w:t>
      </w:r>
      <w:r w:rsidR="00DD6C9C" w:rsidRPr="0039044E">
        <w:rPr>
          <w:rFonts w:ascii="Times New Roman" w:hAnsi="Times New Roman" w:cs="Times New Roman"/>
          <w:sz w:val="24"/>
          <w:szCs w:val="24"/>
        </w:rPr>
        <w:t xml:space="preserve"> </w:t>
      </w:r>
      <w:r w:rsidR="00911D58" w:rsidRPr="0039044E">
        <w:rPr>
          <w:rFonts w:ascii="Times New Roman" w:hAnsi="Times New Roman" w:cs="Times New Roman"/>
          <w:sz w:val="24"/>
          <w:szCs w:val="24"/>
        </w:rPr>
        <w:t xml:space="preserve">sağlık hizmeti sunan kurumların </w:t>
      </w:r>
      <w:r w:rsidRPr="0039044E">
        <w:rPr>
          <w:rFonts w:ascii="Times New Roman" w:hAnsi="Times New Roman" w:cs="Times New Roman"/>
          <w:sz w:val="24"/>
          <w:szCs w:val="24"/>
        </w:rPr>
        <w:t xml:space="preserve">özellikle artan rekabet şartları içinde daha dikkatli hareket etmeleri gerekliliğini ortaya çıkarmıştır. </w:t>
      </w:r>
      <w:r w:rsidR="0044781B" w:rsidRPr="0039044E">
        <w:rPr>
          <w:rFonts w:ascii="Times New Roman" w:hAnsi="Times New Roman" w:cs="Times New Roman"/>
          <w:sz w:val="24"/>
          <w:szCs w:val="24"/>
        </w:rPr>
        <w:t>İşte bu hassasiyetin en temel ölçeği olarak karşımıza sağlık hizmetlerinde kalite olgusu çıkmaktadır.</w:t>
      </w:r>
      <w:r w:rsidR="00DD6C9C" w:rsidRPr="0039044E">
        <w:rPr>
          <w:rFonts w:ascii="Times New Roman" w:hAnsi="Times New Roman" w:cs="Times New Roman"/>
          <w:sz w:val="24"/>
          <w:szCs w:val="24"/>
        </w:rPr>
        <w:t xml:space="preserve"> </w:t>
      </w:r>
      <w:r w:rsidR="0044781B" w:rsidRPr="0039044E">
        <w:rPr>
          <w:rFonts w:ascii="Times New Roman" w:hAnsi="Times New Roman" w:cs="Times New Roman"/>
          <w:sz w:val="24"/>
          <w:szCs w:val="24"/>
        </w:rPr>
        <w:t xml:space="preserve">Ancak sağlık </w:t>
      </w:r>
      <w:r w:rsidR="0044781B" w:rsidRPr="0039044E">
        <w:rPr>
          <w:rFonts w:ascii="Times New Roman" w:hAnsi="Times New Roman" w:cs="Times New Roman"/>
          <w:sz w:val="24"/>
          <w:szCs w:val="24"/>
        </w:rPr>
        <w:lastRenderedPageBreak/>
        <w:t xml:space="preserve">hizmetlerinde kaliteli hizmet sunumunun ya da hizmetlerin kaliteli olmasına dair duyulan beklentilerin gerçekte “ne” olduğu ve “nasıl” değerlendirilmesi gerektiği, üzerinde tartışmaların devam ettiği konular arasında yer almaktadır. </w:t>
      </w:r>
      <w:r w:rsidR="00DD6C9C" w:rsidRPr="0039044E">
        <w:rPr>
          <w:rFonts w:ascii="Times New Roman" w:hAnsi="Times New Roman" w:cs="Times New Roman"/>
          <w:sz w:val="24"/>
          <w:szCs w:val="24"/>
        </w:rPr>
        <w:t>Özellikle ödeme sistemleri ile birlikte ele alındığında hangi hizmet düzeyi için ne ödeneceği</w:t>
      </w:r>
      <w:r w:rsidR="009A2C82" w:rsidRPr="0039044E">
        <w:rPr>
          <w:rFonts w:ascii="Times New Roman" w:hAnsi="Times New Roman" w:cs="Times New Roman"/>
          <w:sz w:val="24"/>
          <w:szCs w:val="24"/>
        </w:rPr>
        <w:t>,</w:t>
      </w:r>
      <w:r w:rsidR="00DD6C9C" w:rsidRPr="0039044E">
        <w:rPr>
          <w:rFonts w:ascii="Times New Roman" w:hAnsi="Times New Roman" w:cs="Times New Roman"/>
          <w:sz w:val="24"/>
          <w:szCs w:val="24"/>
        </w:rPr>
        <w:t xml:space="preserve"> sunulan hizmetin kalitesinin değerlendirilmesine ayrı</w:t>
      </w:r>
      <w:r w:rsidR="009A2C82" w:rsidRPr="0039044E">
        <w:rPr>
          <w:rFonts w:ascii="Times New Roman" w:hAnsi="Times New Roman" w:cs="Times New Roman"/>
          <w:sz w:val="24"/>
          <w:szCs w:val="24"/>
        </w:rPr>
        <w:t>ca</w:t>
      </w:r>
      <w:r w:rsidR="00DD6C9C" w:rsidRPr="0039044E">
        <w:rPr>
          <w:rFonts w:ascii="Times New Roman" w:hAnsi="Times New Roman" w:cs="Times New Roman"/>
          <w:sz w:val="24"/>
          <w:szCs w:val="24"/>
        </w:rPr>
        <w:t xml:space="preserve"> bir önem katmakta</w:t>
      </w:r>
      <w:r w:rsidR="009A2C82" w:rsidRPr="0039044E">
        <w:rPr>
          <w:rFonts w:ascii="Times New Roman" w:hAnsi="Times New Roman" w:cs="Times New Roman"/>
          <w:sz w:val="24"/>
          <w:szCs w:val="24"/>
        </w:rPr>
        <w:t>dır.</w:t>
      </w:r>
      <w:r w:rsidR="00DD6C9C" w:rsidRPr="0039044E">
        <w:rPr>
          <w:rFonts w:ascii="Times New Roman" w:hAnsi="Times New Roman" w:cs="Times New Roman"/>
          <w:sz w:val="24"/>
          <w:szCs w:val="24"/>
        </w:rPr>
        <w:t xml:space="preserve"> </w:t>
      </w:r>
      <w:r w:rsidR="002B49F0" w:rsidRPr="0039044E">
        <w:rPr>
          <w:rFonts w:ascii="Times New Roman" w:hAnsi="Times New Roman" w:cs="Times New Roman"/>
          <w:sz w:val="24"/>
          <w:szCs w:val="24"/>
        </w:rPr>
        <w:t xml:space="preserve">Sağlık hizmetlerinde kalite konusu literatürde incelendiğinde algılanan kalite, teknik kalite, </w:t>
      </w:r>
      <w:r w:rsidR="00A66E3D" w:rsidRPr="0039044E">
        <w:rPr>
          <w:rFonts w:ascii="Times New Roman" w:hAnsi="Times New Roman" w:cs="Times New Roman"/>
          <w:sz w:val="24"/>
          <w:szCs w:val="24"/>
        </w:rPr>
        <w:t xml:space="preserve">müşteri kalitesi, </w:t>
      </w:r>
      <w:r w:rsidR="002B49F0" w:rsidRPr="0039044E">
        <w:rPr>
          <w:rFonts w:ascii="Times New Roman" w:hAnsi="Times New Roman" w:cs="Times New Roman"/>
          <w:sz w:val="24"/>
          <w:szCs w:val="24"/>
        </w:rPr>
        <w:t>organizasyon kalitesi, klinik kalite, hizmet kalitesi vb. aynı alanda b</w:t>
      </w:r>
      <w:r w:rsidR="003E0884">
        <w:rPr>
          <w:rFonts w:ascii="Times New Roman" w:hAnsi="Times New Roman" w:cs="Times New Roman"/>
          <w:sz w:val="24"/>
          <w:szCs w:val="24"/>
        </w:rPr>
        <w:t>irçok kalite kavramı ele alınarak</w:t>
      </w:r>
      <w:r w:rsidR="002B49F0" w:rsidRPr="0039044E">
        <w:rPr>
          <w:rFonts w:ascii="Times New Roman" w:hAnsi="Times New Roman" w:cs="Times New Roman"/>
          <w:sz w:val="24"/>
          <w:szCs w:val="24"/>
        </w:rPr>
        <w:t xml:space="preserve">, pratik hayatta bu kavramların kullanımı ve birbirleriyle ilişkileri farklı </w:t>
      </w:r>
      <w:r w:rsidR="00307C2D" w:rsidRPr="0039044E">
        <w:rPr>
          <w:rFonts w:ascii="Times New Roman" w:hAnsi="Times New Roman" w:cs="Times New Roman"/>
          <w:sz w:val="24"/>
          <w:szCs w:val="24"/>
        </w:rPr>
        <w:t>farklı algılanabilmektedir</w:t>
      </w:r>
      <w:r w:rsidR="00A66E3D" w:rsidRPr="0039044E">
        <w:rPr>
          <w:rFonts w:ascii="Times New Roman" w:hAnsi="Times New Roman" w:cs="Times New Roman"/>
          <w:sz w:val="24"/>
          <w:szCs w:val="24"/>
        </w:rPr>
        <w:t xml:space="preserve"> (Donabedian 1980; </w:t>
      </w:r>
      <w:r w:rsidR="00B31D7E" w:rsidRPr="0039044E">
        <w:rPr>
          <w:rFonts w:ascii="Times New Roman" w:hAnsi="Times New Roman" w:cs="Times New Roman"/>
          <w:sz w:val="24"/>
          <w:szCs w:val="24"/>
        </w:rPr>
        <w:t>Ovr</w:t>
      </w:r>
      <w:r w:rsidR="00B35053" w:rsidRPr="0039044E">
        <w:rPr>
          <w:rFonts w:ascii="Times New Roman" w:hAnsi="Times New Roman" w:cs="Times New Roman"/>
          <w:sz w:val="24"/>
          <w:szCs w:val="24"/>
        </w:rPr>
        <w:t>e</w:t>
      </w:r>
      <w:r w:rsidR="00B31D7E" w:rsidRPr="0039044E">
        <w:rPr>
          <w:rFonts w:ascii="Times New Roman" w:hAnsi="Times New Roman" w:cs="Times New Roman"/>
          <w:sz w:val="24"/>
          <w:szCs w:val="24"/>
        </w:rPr>
        <w:t xml:space="preserve">tveit, 1998; Carman 2000; </w:t>
      </w:r>
      <w:r w:rsidR="00A66E3D" w:rsidRPr="0039044E">
        <w:rPr>
          <w:rFonts w:ascii="Times New Roman" w:hAnsi="Times New Roman" w:cs="Times New Roman"/>
          <w:sz w:val="24"/>
          <w:szCs w:val="24"/>
        </w:rPr>
        <w:t>Rose</w:t>
      </w:r>
      <w:r w:rsidR="00B31D7E" w:rsidRPr="0039044E">
        <w:rPr>
          <w:rFonts w:ascii="Times New Roman" w:hAnsi="Times New Roman" w:cs="Times New Roman"/>
          <w:sz w:val="24"/>
          <w:szCs w:val="24"/>
        </w:rPr>
        <w:t>, Uli, Abdul ve Looi Ng: 2004</w:t>
      </w:r>
      <w:r w:rsidR="003E0884">
        <w:rPr>
          <w:rFonts w:ascii="Times New Roman" w:hAnsi="Times New Roman" w:cs="Times New Roman"/>
          <w:sz w:val="24"/>
          <w:szCs w:val="24"/>
        </w:rPr>
        <w:t>)</w:t>
      </w:r>
      <w:r w:rsidR="002B49F0" w:rsidRPr="0039044E">
        <w:rPr>
          <w:rFonts w:ascii="Times New Roman" w:hAnsi="Times New Roman" w:cs="Times New Roman"/>
          <w:sz w:val="24"/>
          <w:szCs w:val="24"/>
        </w:rPr>
        <w:t xml:space="preserve">. </w:t>
      </w:r>
      <w:r w:rsidR="00465D6A" w:rsidRPr="0039044E">
        <w:rPr>
          <w:rFonts w:ascii="Times New Roman" w:hAnsi="Times New Roman" w:cs="Times New Roman"/>
          <w:sz w:val="24"/>
          <w:szCs w:val="24"/>
        </w:rPr>
        <w:t>Yukarıda sayılan tüm faktörler çerçevesi</w:t>
      </w:r>
      <w:r w:rsidR="003E0884">
        <w:rPr>
          <w:rFonts w:ascii="Times New Roman" w:hAnsi="Times New Roman" w:cs="Times New Roman"/>
          <w:sz w:val="24"/>
          <w:szCs w:val="24"/>
        </w:rPr>
        <w:t>nde sağlık hizmetlerinde kalite;</w:t>
      </w:r>
      <w:r w:rsidR="00465D6A" w:rsidRPr="0039044E">
        <w:rPr>
          <w:rFonts w:ascii="Times New Roman" w:hAnsi="Times New Roman" w:cs="Times New Roman"/>
          <w:sz w:val="24"/>
          <w:szCs w:val="24"/>
        </w:rPr>
        <w:t xml:space="preserve"> mikro ölçekte hastane yönetimlerinin ve çalışanlarının, makro ölçekte ise sektörde yer alan politika geliştiricilerden, sektör temsilcilerine kadar tüm paydaşların önemli gündem maddeleri arasında yer almaktadır. </w:t>
      </w:r>
      <w:r w:rsidR="00FE4326" w:rsidRPr="0039044E">
        <w:rPr>
          <w:rFonts w:ascii="Times New Roman" w:hAnsi="Times New Roman" w:cs="Times New Roman"/>
          <w:sz w:val="24"/>
          <w:szCs w:val="24"/>
        </w:rPr>
        <w:t xml:space="preserve">Ele alınan çerçevede, bu çalışmada öncelikte sağlık hizmetlerinde kalitenin tanımı yapılmaya çalışılacak, daha sonra sağlık hizmetleri kalitesinin ne şekilde ele alıp değerlendirilebileceği, ortaya konulacak bir model ile tartışılacaktır. </w:t>
      </w:r>
    </w:p>
    <w:p w:rsidR="007E42B8" w:rsidRPr="0039044E" w:rsidRDefault="00020568" w:rsidP="007C5BF4">
      <w:pPr>
        <w:spacing w:line="240" w:lineRule="auto"/>
        <w:jc w:val="both"/>
        <w:rPr>
          <w:rFonts w:ascii="Times New Roman" w:hAnsi="Times New Roman" w:cs="Times New Roman"/>
          <w:b/>
          <w:sz w:val="24"/>
          <w:szCs w:val="24"/>
        </w:rPr>
      </w:pPr>
      <w:r w:rsidRPr="0039044E">
        <w:rPr>
          <w:rFonts w:ascii="Times New Roman" w:hAnsi="Times New Roman" w:cs="Times New Roman"/>
          <w:b/>
          <w:sz w:val="24"/>
          <w:szCs w:val="24"/>
        </w:rPr>
        <w:t>2.</w:t>
      </w:r>
      <w:r w:rsidR="003E0884">
        <w:rPr>
          <w:rFonts w:ascii="Times New Roman" w:hAnsi="Times New Roman" w:cs="Times New Roman"/>
          <w:b/>
          <w:sz w:val="24"/>
          <w:szCs w:val="24"/>
        </w:rPr>
        <w:t xml:space="preserve"> </w:t>
      </w:r>
      <w:r w:rsidR="00446BFF" w:rsidRPr="0039044E">
        <w:rPr>
          <w:rFonts w:ascii="Times New Roman" w:hAnsi="Times New Roman" w:cs="Times New Roman"/>
          <w:b/>
          <w:sz w:val="24"/>
          <w:szCs w:val="24"/>
        </w:rPr>
        <w:t>LİTERATÜR VE TARTIŞMA</w:t>
      </w:r>
    </w:p>
    <w:p w:rsidR="00A7722D" w:rsidRPr="0039044E" w:rsidRDefault="007E42B8"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Literatürde, sağlık hizmetlerinde kalite kavramının ne zaman ele alınmaya başlandığı konusunda farklı görüşler bulunmaktadır (Kaya, 2005: 17).</w:t>
      </w:r>
      <w:r w:rsidR="00A7722D" w:rsidRPr="0039044E">
        <w:rPr>
          <w:rFonts w:ascii="Times New Roman" w:hAnsi="Times New Roman" w:cs="Times New Roman"/>
          <w:sz w:val="24"/>
          <w:szCs w:val="24"/>
        </w:rPr>
        <w:t xml:space="preserve"> S</w:t>
      </w:r>
      <w:r w:rsidRPr="0039044E">
        <w:rPr>
          <w:rFonts w:ascii="Times New Roman" w:hAnsi="Times New Roman" w:cs="Times New Roman"/>
          <w:sz w:val="24"/>
          <w:szCs w:val="24"/>
        </w:rPr>
        <w:t xml:space="preserve">ağlık hizmeti sunumunda kalite kavramının sistematik değerlendirmesi yeni </w:t>
      </w:r>
      <w:r w:rsidR="00A7722D" w:rsidRPr="0039044E">
        <w:rPr>
          <w:rFonts w:ascii="Times New Roman" w:hAnsi="Times New Roman" w:cs="Times New Roman"/>
          <w:sz w:val="24"/>
          <w:szCs w:val="24"/>
        </w:rPr>
        <w:t>olmamakla birlikte</w:t>
      </w:r>
      <w:r w:rsidRPr="0039044E">
        <w:rPr>
          <w:rFonts w:ascii="Times New Roman" w:hAnsi="Times New Roman" w:cs="Times New Roman"/>
          <w:sz w:val="24"/>
          <w:szCs w:val="24"/>
        </w:rPr>
        <w:t xml:space="preserve"> </w:t>
      </w:r>
      <w:r w:rsidR="00664A7C" w:rsidRPr="0039044E">
        <w:rPr>
          <w:rFonts w:ascii="Times New Roman" w:hAnsi="Times New Roman" w:cs="Times New Roman"/>
          <w:sz w:val="24"/>
          <w:szCs w:val="24"/>
        </w:rPr>
        <w:t xml:space="preserve">(Graham, 1995: 16-17), </w:t>
      </w:r>
      <w:r w:rsidR="00A7722D" w:rsidRPr="0039044E">
        <w:rPr>
          <w:rFonts w:ascii="Times New Roman" w:hAnsi="Times New Roman" w:cs="Times New Roman"/>
          <w:sz w:val="24"/>
          <w:szCs w:val="24"/>
        </w:rPr>
        <w:t>farklı terminolojiler ve modeller ile farklı açılardan ele alındığında kalitenin farklı şekillerde anlaşıldığı ve tanımlandığı da görülmektedir.</w:t>
      </w:r>
      <w:r w:rsidR="00664A7C" w:rsidRPr="0039044E">
        <w:rPr>
          <w:rFonts w:ascii="Times New Roman" w:hAnsi="Times New Roman" w:cs="Times New Roman"/>
          <w:sz w:val="24"/>
          <w:szCs w:val="24"/>
        </w:rPr>
        <w:t xml:space="preserve"> </w:t>
      </w:r>
      <w:r w:rsidR="00204533" w:rsidRPr="0039044E">
        <w:rPr>
          <w:rFonts w:ascii="Times New Roman" w:hAnsi="Times New Roman" w:cs="Times New Roman"/>
          <w:sz w:val="24"/>
          <w:szCs w:val="24"/>
        </w:rPr>
        <w:t xml:space="preserve">Bu açıdan </w:t>
      </w:r>
      <w:r w:rsidR="004A2E9F" w:rsidRPr="0039044E">
        <w:rPr>
          <w:rFonts w:ascii="Times New Roman" w:hAnsi="Times New Roman" w:cs="Times New Roman"/>
          <w:sz w:val="24"/>
          <w:szCs w:val="24"/>
        </w:rPr>
        <w:t xml:space="preserve">değerlendirildiğinde, </w:t>
      </w:r>
      <w:r w:rsidR="00204533" w:rsidRPr="0039044E">
        <w:rPr>
          <w:rFonts w:ascii="Times New Roman" w:hAnsi="Times New Roman" w:cs="Times New Roman"/>
          <w:sz w:val="24"/>
          <w:szCs w:val="24"/>
        </w:rPr>
        <w:t xml:space="preserve">kavram üzerinde belki de sağlanan en önemli </w:t>
      </w:r>
      <w:r w:rsidR="004A2E9F" w:rsidRPr="0039044E">
        <w:rPr>
          <w:rFonts w:ascii="Times New Roman" w:hAnsi="Times New Roman" w:cs="Times New Roman"/>
          <w:sz w:val="24"/>
          <w:szCs w:val="24"/>
        </w:rPr>
        <w:t>ortak kanı</w:t>
      </w:r>
      <w:r w:rsidR="00204533" w:rsidRPr="0039044E">
        <w:rPr>
          <w:rFonts w:ascii="Times New Roman" w:hAnsi="Times New Roman" w:cs="Times New Roman"/>
          <w:sz w:val="24"/>
          <w:szCs w:val="24"/>
        </w:rPr>
        <w:t>, sağlıkta kalitenin tek bir tanımının olmamasıdır  (Blumenthal 1996; Brook, McGlynn and Cleary</w:t>
      </w:r>
      <w:r w:rsidR="00A7722D" w:rsidRPr="0039044E">
        <w:rPr>
          <w:rFonts w:ascii="Times New Roman" w:hAnsi="Times New Roman" w:cs="Times New Roman"/>
          <w:sz w:val="24"/>
          <w:szCs w:val="24"/>
        </w:rPr>
        <w:t xml:space="preserve"> </w:t>
      </w:r>
      <w:r w:rsidR="00204533" w:rsidRPr="0039044E">
        <w:rPr>
          <w:rFonts w:ascii="Times New Roman" w:hAnsi="Times New Roman" w:cs="Times New Roman"/>
          <w:sz w:val="24"/>
          <w:szCs w:val="24"/>
        </w:rPr>
        <w:t xml:space="preserve">1996; Saturno, Gascon and Parra 1997; Evans </w:t>
      </w:r>
      <w:r w:rsidR="00872821" w:rsidRPr="0039044E">
        <w:rPr>
          <w:rFonts w:ascii="Times New Roman" w:hAnsi="Times New Roman" w:cs="Times New Roman"/>
          <w:sz w:val="24"/>
          <w:szCs w:val="24"/>
        </w:rPr>
        <w:t>vd.</w:t>
      </w:r>
      <w:r w:rsidR="00204533" w:rsidRPr="0039044E">
        <w:rPr>
          <w:rFonts w:ascii="Times New Roman" w:hAnsi="Times New Roman" w:cs="Times New Roman"/>
          <w:sz w:val="24"/>
          <w:szCs w:val="24"/>
        </w:rPr>
        <w:t xml:space="preserve"> 2001; Shaw </w:t>
      </w:r>
      <w:r w:rsidR="00872821" w:rsidRPr="0039044E">
        <w:rPr>
          <w:rFonts w:ascii="Times New Roman" w:hAnsi="Times New Roman" w:cs="Times New Roman"/>
          <w:sz w:val="24"/>
          <w:szCs w:val="24"/>
        </w:rPr>
        <w:t>ve</w:t>
      </w:r>
      <w:r w:rsidR="00204533" w:rsidRPr="0039044E">
        <w:rPr>
          <w:rFonts w:ascii="Times New Roman" w:hAnsi="Times New Roman" w:cs="Times New Roman"/>
          <w:sz w:val="24"/>
          <w:szCs w:val="24"/>
        </w:rPr>
        <w:t xml:space="preserve"> Kalo 2002; Sunol </w:t>
      </w:r>
      <w:r w:rsidR="00872821" w:rsidRPr="0039044E">
        <w:rPr>
          <w:rFonts w:ascii="Times New Roman" w:hAnsi="Times New Roman" w:cs="Times New Roman"/>
          <w:sz w:val="24"/>
          <w:szCs w:val="24"/>
        </w:rPr>
        <w:t>ve Baneres 2003).</w:t>
      </w:r>
    </w:p>
    <w:p w:rsidR="00DF4B04" w:rsidRPr="003E0884" w:rsidRDefault="00020568" w:rsidP="007C5BF4">
      <w:pPr>
        <w:spacing w:line="240" w:lineRule="auto"/>
        <w:jc w:val="both"/>
        <w:rPr>
          <w:rFonts w:ascii="Times New Roman" w:hAnsi="Times New Roman" w:cs="Times New Roman"/>
          <w:b/>
          <w:sz w:val="24"/>
          <w:szCs w:val="24"/>
        </w:rPr>
      </w:pPr>
      <w:r w:rsidRPr="003E0884">
        <w:rPr>
          <w:rFonts w:ascii="Times New Roman" w:hAnsi="Times New Roman" w:cs="Times New Roman"/>
          <w:b/>
          <w:sz w:val="24"/>
          <w:szCs w:val="24"/>
        </w:rPr>
        <w:t>2.1.</w:t>
      </w:r>
      <w:r w:rsidR="003E0884">
        <w:rPr>
          <w:rFonts w:ascii="Times New Roman" w:hAnsi="Times New Roman" w:cs="Times New Roman"/>
          <w:b/>
          <w:sz w:val="24"/>
          <w:szCs w:val="24"/>
        </w:rPr>
        <w:t xml:space="preserve"> </w:t>
      </w:r>
      <w:r w:rsidR="00DF4B04" w:rsidRPr="003E0884">
        <w:rPr>
          <w:rFonts w:ascii="Times New Roman" w:hAnsi="Times New Roman" w:cs="Times New Roman"/>
          <w:b/>
          <w:sz w:val="24"/>
          <w:szCs w:val="24"/>
        </w:rPr>
        <w:t>Tanım</w:t>
      </w:r>
    </w:p>
    <w:p w:rsidR="00664A7C" w:rsidRPr="0039044E" w:rsidRDefault="00664A7C"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Her ne kadar sağlıkta kalitenin birden çok ve çeşitli tanımı yapılsa da, literatür incelendiğinde bazı tanımların ön plana çıktıkları görülmektedir. Örneğin; Donabedian kaliteli sağlık hizmetini, hizmet sürecinin bütün aşamalarındaki beklenen kazançlar ve kayıplar dengesi hesaba katıldıktan sonra, hastanın iyilik halinin kapsamlı bir ölçüsünü en üst düzeye çıkarması şeklinde ifade etmektedir</w:t>
      </w:r>
      <w:r w:rsidR="00D633BE" w:rsidRPr="0039044E">
        <w:rPr>
          <w:rFonts w:ascii="Times New Roman" w:hAnsi="Times New Roman" w:cs="Times New Roman"/>
          <w:sz w:val="24"/>
          <w:szCs w:val="24"/>
        </w:rPr>
        <w:t xml:space="preserve"> (Donabedian, 1980: 5-6)</w:t>
      </w:r>
      <w:r w:rsidR="003E0884">
        <w:rPr>
          <w:rFonts w:ascii="Times New Roman" w:hAnsi="Times New Roman" w:cs="Times New Roman"/>
          <w:sz w:val="24"/>
          <w:szCs w:val="24"/>
        </w:rPr>
        <w:t>.</w:t>
      </w:r>
    </w:p>
    <w:p w:rsidR="00664A7C" w:rsidRPr="0039044E" w:rsidRDefault="00664A7C"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Amerikan Tabipler Birliği (American Medical Association) 1984 yılında yüksek kaliteli sağlık hizmetini; “yaşam kalitesini ve/veya süresini iyileştirmeye veya sürdürmeye sürekli olarak katkıda buluna</w:t>
      </w:r>
      <w:r w:rsidR="00D633BE" w:rsidRPr="0039044E">
        <w:rPr>
          <w:rFonts w:ascii="Times New Roman" w:hAnsi="Times New Roman" w:cs="Times New Roman"/>
          <w:sz w:val="24"/>
          <w:szCs w:val="24"/>
        </w:rPr>
        <w:t>n hizmet” olarak tanımlamıştır.</w:t>
      </w:r>
    </w:p>
    <w:p w:rsidR="00517238" w:rsidRPr="0039044E" w:rsidRDefault="00664A7C"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ABD Tıp Enstitüsü</w:t>
      </w:r>
      <w:r w:rsidR="005A7204" w:rsidRPr="0039044E">
        <w:rPr>
          <w:rFonts w:ascii="Times New Roman" w:hAnsi="Times New Roman" w:cs="Times New Roman"/>
          <w:sz w:val="24"/>
          <w:szCs w:val="24"/>
        </w:rPr>
        <w:t xml:space="preserve"> (Institute of Medicine)</w:t>
      </w:r>
      <w:r w:rsidR="00C770CF" w:rsidRPr="0039044E">
        <w:rPr>
          <w:rFonts w:ascii="Times New Roman" w:hAnsi="Times New Roman" w:cs="Times New Roman"/>
          <w:sz w:val="24"/>
          <w:szCs w:val="24"/>
        </w:rPr>
        <w:t xml:space="preserve"> ise 100 farklı tanım ve kalite parametresi ile yaptığı çalışma sonucunda belli bir tanıma ulaşmış ve </w:t>
      </w:r>
      <w:r w:rsidRPr="0039044E">
        <w:rPr>
          <w:rFonts w:ascii="Times New Roman" w:hAnsi="Times New Roman" w:cs="Times New Roman"/>
          <w:sz w:val="24"/>
          <w:szCs w:val="24"/>
        </w:rPr>
        <w:t>1990</w:t>
      </w:r>
      <w:r w:rsidR="00C770CF" w:rsidRPr="0039044E">
        <w:rPr>
          <w:rFonts w:ascii="Times New Roman" w:hAnsi="Times New Roman" w:cs="Times New Roman"/>
          <w:sz w:val="24"/>
          <w:szCs w:val="24"/>
        </w:rPr>
        <w:t xml:space="preserve"> yılında sa</w:t>
      </w:r>
      <w:r w:rsidRPr="0039044E">
        <w:rPr>
          <w:rFonts w:ascii="Times New Roman" w:hAnsi="Times New Roman" w:cs="Times New Roman"/>
          <w:sz w:val="24"/>
          <w:szCs w:val="24"/>
        </w:rPr>
        <w:t>ğlık hizmetlerinin kalitesi</w:t>
      </w:r>
      <w:r w:rsidR="00C770CF" w:rsidRPr="0039044E">
        <w:rPr>
          <w:rFonts w:ascii="Times New Roman" w:hAnsi="Times New Roman" w:cs="Times New Roman"/>
          <w:sz w:val="24"/>
          <w:szCs w:val="24"/>
        </w:rPr>
        <w:t>ni</w:t>
      </w:r>
      <w:r w:rsidRPr="0039044E">
        <w:rPr>
          <w:rFonts w:ascii="Times New Roman" w:hAnsi="Times New Roman" w:cs="Times New Roman"/>
          <w:sz w:val="24"/>
          <w:szCs w:val="24"/>
        </w:rPr>
        <w:t xml:space="preserve">, “bireylere ve topluma sunulan sağlık hizmetlerinin, arzulanan sağlık </w:t>
      </w:r>
      <w:r w:rsidR="00C770CF" w:rsidRPr="0039044E">
        <w:rPr>
          <w:rFonts w:ascii="Times New Roman" w:hAnsi="Times New Roman" w:cs="Times New Roman"/>
          <w:sz w:val="24"/>
          <w:szCs w:val="24"/>
        </w:rPr>
        <w:t>düzeylerine</w:t>
      </w:r>
      <w:r w:rsidRPr="0039044E">
        <w:rPr>
          <w:rFonts w:ascii="Times New Roman" w:hAnsi="Times New Roman" w:cs="Times New Roman"/>
          <w:sz w:val="24"/>
          <w:szCs w:val="24"/>
        </w:rPr>
        <w:t xml:space="preserve"> ulaşma olasılığını artırma ve şimdiki profesyonel bilgiyle tutarlı olma derecesi” </w:t>
      </w:r>
      <w:r w:rsidR="00C770CF" w:rsidRPr="0039044E">
        <w:rPr>
          <w:rFonts w:ascii="Times New Roman" w:hAnsi="Times New Roman" w:cs="Times New Roman"/>
          <w:sz w:val="24"/>
          <w:szCs w:val="24"/>
        </w:rPr>
        <w:t xml:space="preserve">olarak ortaya koymuştur </w:t>
      </w:r>
      <w:r w:rsidRPr="0039044E">
        <w:rPr>
          <w:rFonts w:ascii="Times New Roman" w:hAnsi="Times New Roman" w:cs="Times New Roman"/>
          <w:sz w:val="24"/>
          <w:szCs w:val="24"/>
        </w:rPr>
        <w:t xml:space="preserve">(Kaya, 2005: 14-15). </w:t>
      </w:r>
      <w:r w:rsidR="00517238" w:rsidRPr="0039044E">
        <w:rPr>
          <w:rFonts w:ascii="Times New Roman" w:hAnsi="Times New Roman" w:cs="Times New Roman"/>
          <w:sz w:val="24"/>
          <w:szCs w:val="24"/>
        </w:rPr>
        <w:t>Legido-Quigley vd. (200</w:t>
      </w:r>
      <w:r w:rsidR="00E1452D" w:rsidRPr="0039044E">
        <w:rPr>
          <w:rFonts w:ascii="Times New Roman" w:hAnsi="Times New Roman" w:cs="Times New Roman"/>
          <w:sz w:val="24"/>
          <w:szCs w:val="24"/>
        </w:rPr>
        <w:t>8</w:t>
      </w:r>
      <w:r w:rsidR="00517238" w:rsidRPr="0039044E">
        <w:rPr>
          <w:rFonts w:ascii="Times New Roman" w:hAnsi="Times New Roman" w:cs="Times New Roman"/>
          <w:sz w:val="24"/>
          <w:szCs w:val="24"/>
        </w:rPr>
        <w:t xml:space="preserve">) Avrupa Birliği’nde </w:t>
      </w:r>
      <w:r w:rsidR="00D6245F">
        <w:rPr>
          <w:rFonts w:ascii="Times New Roman" w:hAnsi="Times New Roman" w:cs="Times New Roman"/>
          <w:sz w:val="24"/>
          <w:szCs w:val="24"/>
        </w:rPr>
        <w:t>“</w:t>
      </w:r>
      <w:r w:rsidR="00517238" w:rsidRPr="0039044E">
        <w:rPr>
          <w:rFonts w:ascii="Times New Roman" w:hAnsi="Times New Roman" w:cs="Times New Roman"/>
          <w:sz w:val="24"/>
          <w:szCs w:val="24"/>
        </w:rPr>
        <w:t>Sağlık Hizmetlerinde Kaliteyi Gerçekleştirmek</w:t>
      </w:r>
      <w:r w:rsidR="00D6245F">
        <w:rPr>
          <w:rFonts w:ascii="Times New Roman" w:hAnsi="Times New Roman" w:cs="Times New Roman"/>
          <w:sz w:val="24"/>
          <w:szCs w:val="24"/>
        </w:rPr>
        <w:t>”</w:t>
      </w:r>
      <w:r w:rsidR="00517238" w:rsidRPr="0039044E">
        <w:rPr>
          <w:rFonts w:ascii="Times New Roman" w:hAnsi="Times New Roman" w:cs="Times New Roman"/>
          <w:sz w:val="24"/>
          <w:szCs w:val="24"/>
        </w:rPr>
        <w:t xml:space="preserve"> isimli çalışmalarında aynı şekilde sağlıkta kalitenin tanımlarını incelemişler ve Tıp Enstitüsü</w:t>
      </w:r>
      <w:r w:rsidR="00222519">
        <w:rPr>
          <w:rFonts w:ascii="Times New Roman" w:hAnsi="Times New Roman" w:cs="Times New Roman"/>
          <w:sz w:val="24"/>
          <w:szCs w:val="24"/>
        </w:rPr>
        <w:t>’</w:t>
      </w:r>
      <w:r w:rsidR="00517238" w:rsidRPr="0039044E">
        <w:rPr>
          <w:rFonts w:ascii="Times New Roman" w:hAnsi="Times New Roman" w:cs="Times New Roman"/>
          <w:sz w:val="24"/>
          <w:szCs w:val="24"/>
        </w:rPr>
        <w:t>n</w:t>
      </w:r>
      <w:r w:rsidR="00222519">
        <w:rPr>
          <w:rFonts w:ascii="Times New Roman" w:hAnsi="Times New Roman" w:cs="Times New Roman"/>
          <w:sz w:val="24"/>
          <w:szCs w:val="24"/>
        </w:rPr>
        <w:t>ün</w:t>
      </w:r>
      <w:r w:rsidR="00517238" w:rsidRPr="0039044E">
        <w:rPr>
          <w:rFonts w:ascii="Times New Roman" w:hAnsi="Times New Roman" w:cs="Times New Roman"/>
          <w:sz w:val="24"/>
          <w:szCs w:val="24"/>
        </w:rPr>
        <w:t xml:space="preserve"> 1990 yılında ortaya koydukları tanımı, sağlıkta kaliteye yönelik çalışmaların</w:t>
      </w:r>
      <w:r w:rsidR="00222519">
        <w:rPr>
          <w:rFonts w:ascii="Times New Roman" w:hAnsi="Times New Roman" w:cs="Times New Roman"/>
          <w:sz w:val="24"/>
          <w:szCs w:val="24"/>
        </w:rPr>
        <w:t xml:space="preserve"> </w:t>
      </w:r>
      <w:r w:rsidR="00517238" w:rsidRPr="0039044E">
        <w:rPr>
          <w:rFonts w:ascii="Times New Roman" w:hAnsi="Times New Roman" w:cs="Times New Roman"/>
          <w:sz w:val="24"/>
          <w:szCs w:val="24"/>
        </w:rPr>
        <w:t>da başlangıç noktası olarak kabul etmişlerdir</w:t>
      </w:r>
      <w:r w:rsidR="002304BA" w:rsidRPr="0039044E">
        <w:rPr>
          <w:rFonts w:ascii="Times New Roman" w:hAnsi="Times New Roman" w:cs="Times New Roman"/>
          <w:sz w:val="24"/>
          <w:szCs w:val="24"/>
        </w:rPr>
        <w:t>.</w:t>
      </w:r>
    </w:p>
    <w:p w:rsidR="0090151A" w:rsidRPr="0039044E" w:rsidRDefault="0090151A"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Donabedian tarafından yapılan tanım (1980) ile Tıp Enstitüsü</w:t>
      </w:r>
      <w:r w:rsidR="00222519">
        <w:rPr>
          <w:rFonts w:ascii="Times New Roman" w:hAnsi="Times New Roman" w:cs="Times New Roman"/>
          <w:sz w:val="24"/>
          <w:szCs w:val="24"/>
        </w:rPr>
        <w:t>’</w:t>
      </w:r>
      <w:r w:rsidRPr="0039044E">
        <w:rPr>
          <w:rFonts w:ascii="Times New Roman" w:hAnsi="Times New Roman" w:cs="Times New Roman"/>
          <w:sz w:val="24"/>
          <w:szCs w:val="24"/>
        </w:rPr>
        <w:t>nün tanımı (1990) karşılaştırıldı</w:t>
      </w:r>
      <w:r w:rsidR="00702C5F" w:rsidRPr="0039044E">
        <w:rPr>
          <w:rFonts w:ascii="Times New Roman" w:hAnsi="Times New Roman" w:cs="Times New Roman"/>
          <w:sz w:val="24"/>
          <w:szCs w:val="24"/>
        </w:rPr>
        <w:t>klarında</w:t>
      </w:r>
      <w:r w:rsidRPr="0039044E">
        <w:rPr>
          <w:rFonts w:ascii="Times New Roman" w:hAnsi="Times New Roman" w:cs="Times New Roman"/>
          <w:sz w:val="24"/>
          <w:szCs w:val="24"/>
        </w:rPr>
        <w:t xml:space="preserve"> </w:t>
      </w:r>
      <w:r w:rsidR="00702C5F" w:rsidRPr="0039044E">
        <w:rPr>
          <w:rFonts w:ascii="Times New Roman" w:hAnsi="Times New Roman" w:cs="Times New Roman"/>
          <w:sz w:val="24"/>
          <w:szCs w:val="24"/>
        </w:rPr>
        <w:t>son tanımın sağlıkta kalitenin genel amacını</w:t>
      </w:r>
      <w:r w:rsidR="004171F9" w:rsidRPr="0039044E">
        <w:rPr>
          <w:rFonts w:ascii="Times New Roman" w:hAnsi="Times New Roman" w:cs="Times New Roman"/>
          <w:sz w:val="24"/>
          <w:szCs w:val="24"/>
        </w:rPr>
        <w:t>;</w:t>
      </w:r>
      <w:r w:rsidR="00702C5F" w:rsidRPr="0039044E">
        <w:rPr>
          <w:rFonts w:ascii="Times New Roman" w:hAnsi="Times New Roman" w:cs="Times New Roman"/>
          <w:sz w:val="24"/>
          <w:szCs w:val="24"/>
        </w:rPr>
        <w:t xml:space="preserve"> hastanın iyilik halinin </w:t>
      </w:r>
      <w:r w:rsidR="00702C5F" w:rsidRPr="0039044E">
        <w:rPr>
          <w:rFonts w:ascii="Times New Roman" w:hAnsi="Times New Roman" w:cs="Times New Roman"/>
          <w:sz w:val="24"/>
          <w:szCs w:val="24"/>
        </w:rPr>
        <w:lastRenderedPageBreak/>
        <w:t>en üst düzeye çıkartılmasından</w:t>
      </w:r>
      <w:r w:rsidR="00625D10" w:rsidRPr="0039044E">
        <w:rPr>
          <w:rFonts w:ascii="Times New Roman" w:hAnsi="Times New Roman" w:cs="Times New Roman"/>
          <w:sz w:val="24"/>
          <w:szCs w:val="24"/>
        </w:rPr>
        <w:t xml:space="preserve"> (total patient welfare)</w:t>
      </w:r>
      <w:r w:rsidR="00702C5F" w:rsidRPr="0039044E">
        <w:rPr>
          <w:rFonts w:ascii="Times New Roman" w:hAnsi="Times New Roman" w:cs="Times New Roman"/>
          <w:sz w:val="24"/>
          <w:szCs w:val="24"/>
        </w:rPr>
        <w:t xml:space="preserve">,  arzulanan sağlık </w:t>
      </w:r>
      <w:r w:rsidR="00625D10" w:rsidRPr="0039044E">
        <w:rPr>
          <w:rFonts w:ascii="Times New Roman" w:hAnsi="Times New Roman" w:cs="Times New Roman"/>
          <w:sz w:val="24"/>
          <w:szCs w:val="24"/>
        </w:rPr>
        <w:t>sonuçlarına (health outcomes)</w:t>
      </w:r>
      <w:r w:rsidR="00702C5F" w:rsidRPr="0039044E">
        <w:rPr>
          <w:rFonts w:ascii="Times New Roman" w:hAnsi="Times New Roman" w:cs="Times New Roman"/>
          <w:sz w:val="24"/>
          <w:szCs w:val="24"/>
        </w:rPr>
        <w:t xml:space="preserve"> ulaşmak </w:t>
      </w:r>
      <w:r w:rsidR="004A2E9F" w:rsidRPr="0039044E">
        <w:rPr>
          <w:rFonts w:ascii="Times New Roman" w:hAnsi="Times New Roman" w:cs="Times New Roman"/>
          <w:sz w:val="24"/>
          <w:szCs w:val="24"/>
        </w:rPr>
        <w:t xml:space="preserve">şeklinde </w:t>
      </w:r>
      <w:r w:rsidR="00702C5F" w:rsidRPr="0039044E">
        <w:rPr>
          <w:rFonts w:ascii="Times New Roman" w:hAnsi="Times New Roman" w:cs="Times New Roman"/>
          <w:sz w:val="24"/>
          <w:szCs w:val="24"/>
        </w:rPr>
        <w:t>daralttığına</w:t>
      </w:r>
      <w:r w:rsidR="00625D10" w:rsidRPr="0039044E">
        <w:rPr>
          <w:rFonts w:ascii="Times New Roman" w:hAnsi="Times New Roman" w:cs="Times New Roman"/>
          <w:sz w:val="24"/>
          <w:szCs w:val="24"/>
        </w:rPr>
        <w:t xml:space="preserve"> ve sağlıkta kalitenin hedefini “hastalardan”</w:t>
      </w:r>
      <w:r w:rsidR="008D34FE" w:rsidRPr="0039044E">
        <w:rPr>
          <w:rFonts w:ascii="Times New Roman" w:hAnsi="Times New Roman" w:cs="Times New Roman"/>
          <w:sz w:val="24"/>
          <w:szCs w:val="24"/>
        </w:rPr>
        <w:t>,</w:t>
      </w:r>
      <w:r w:rsidR="00625D10" w:rsidRPr="0039044E">
        <w:rPr>
          <w:rFonts w:ascii="Times New Roman" w:hAnsi="Times New Roman" w:cs="Times New Roman"/>
          <w:sz w:val="24"/>
          <w:szCs w:val="24"/>
        </w:rPr>
        <w:t xml:space="preserve"> “bireylere ve topluma”</w:t>
      </w:r>
      <w:r w:rsidR="008D34FE" w:rsidRPr="0039044E">
        <w:rPr>
          <w:rFonts w:ascii="Times New Roman" w:hAnsi="Times New Roman" w:cs="Times New Roman"/>
          <w:sz w:val="24"/>
          <w:szCs w:val="24"/>
        </w:rPr>
        <w:t xml:space="preserve"> </w:t>
      </w:r>
      <w:r w:rsidR="00611DED" w:rsidRPr="0039044E">
        <w:rPr>
          <w:rFonts w:ascii="Times New Roman" w:hAnsi="Times New Roman" w:cs="Times New Roman"/>
          <w:sz w:val="24"/>
          <w:szCs w:val="24"/>
        </w:rPr>
        <w:t>yönelttiğine dikkat</w:t>
      </w:r>
      <w:r w:rsidR="00702C5F" w:rsidRPr="0039044E">
        <w:rPr>
          <w:rFonts w:ascii="Times New Roman" w:hAnsi="Times New Roman" w:cs="Times New Roman"/>
          <w:sz w:val="24"/>
          <w:szCs w:val="24"/>
        </w:rPr>
        <w:t xml:space="preserve"> </w:t>
      </w:r>
      <w:r w:rsidR="00611DED">
        <w:rPr>
          <w:rFonts w:ascii="Times New Roman" w:hAnsi="Times New Roman" w:cs="Times New Roman"/>
          <w:sz w:val="24"/>
          <w:szCs w:val="24"/>
        </w:rPr>
        <w:t>çekecektir</w:t>
      </w:r>
      <w:r w:rsidR="00702C5F" w:rsidRPr="0039044E">
        <w:rPr>
          <w:rFonts w:ascii="Times New Roman" w:hAnsi="Times New Roman" w:cs="Times New Roman"/>
          <w:sz w:val="24"/>
          <w:szCs w:val="24"/>
        </w:rPr>
        <w:t xml:space="preserve"> (Evans et al. 2001</w:t>
      </w:r>
      <w:r w:rsidR="007F3272" w:rsidRPr="0039044E">
        <w:rPr>
          <w:rFonts w:ascii="Times New Roman" w:hAnsi="Times New Roman" w:cs="Times New Roman"/>
          <w:sz w:val="24"/>
          <w:szCs w:val="24"/>
        </w:rPr>
        <w:t>).</w:t>
      </w:r>
    </w:p>
    <w:p w:rsidR="004171F9" w:rsidRPr="0039044E" w:rsidRDefault="004171F9"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İngiltere Sağlık Departmanı</w:t>
      </w:r>
      <w:r w:rsidR="00611DED">
        <w:rPr>
          <w:rFonts w:ascii="Times New Roman" w:hAnsi="Times New Roman" w:cs="Times New Roman"/>
          <w:sz w:val="24"/>
          <w:szCs w:val="24"/>
        </w:rPr>
        <w:t>’</w:t>
      </w:r>
      <w:r w:rsidRPr="0039044E">
        <w:rPr>
          <w:rFonts w:ascii="Times New Roman" w:hAnsi="Times New Roman" w:cs="Times New Roman"/>
          <w:sz w:val="24"/>
          <w:szCs w:val="24"/>
        </w:rPr>
        <w:t>n</w:t>
      </w:r>
      <w:r w:rsidR="00611DED">
        <w:rPr>
          <w:rFonts w:ascii="Times New Roman" w:hAnsi="Times New Roman" w:cs="Times New Roman"/>
          <w:sz w:val="24"/>
          <w:szCs w:val="24"/>
        </w:rPr>
        <w:t>ın</w:t>
      </w:r>
      <w:r w:rsidRPr="0039044E">
        <w:rPr>
          <w:rFonts w:ascii="Times New Roman" w:hAnsi="Times New Roman" w:cs="Times New Roman"/>
          <w:sz w:val="24"/>
          <w:szCs w:val="24"/>
        </w:rPr>
        <w:t xml:space="preserve"> (1997) yaptığı tanıma göre ise sağlıkta kalite; “doğru </w:t>
      </w:r>
      <w:r w:rsidR="008C4459" w:rsidRPr="0039044E">
        <w:rPr>
          <w:rFonts w:ascii="Times New Roman" w:hAnsi="Times New Roman" w:cs="Times New Roman"/>
          <w:sz w:val="24"/>
          <w:szCs w:val="24"/>
        </w:rPr>
        <w:t>hizmetlerin</w:t>
      </w:r>
      <w:r w:rsidRPr="0039044E">
        <w:rPr>
          <w:rFonts w:ascii="Times New Roman" w:hAnsi="Times New Roman" w:cs="Times New Roman"/>
          <w:sz w:val="24"/>
          <w:szCs w:val="24"/>
        </w:rPr>
        <w:t xml:space="preserve">, </w:t>
      </w:r>
      <w:r w:rsidR="008C4459" w:rsidRPr="0039044E">
        <w:rPr>
          <w:rFonts w:ascii="Times New Roman" w:hAnsi="Times New Roman" w:cs="Times New Roman"/>
          <w:sz w:val="24"/>
          <w:szCs w:val="24"/>
        </w:rPr>
        <w:t xml:space="preserve">doğru kişilere, doğru zamanda </w:t>
      </w:r>
      <w:r w:rsidRPr="0039044E">
        <w:rPr>
          <w:rFonts w:ascii="Times New Roman" w:hAnsi="Times New Roman" w:cs="Times New Roman"/>
          <w:sz w:val="24"/>
          <w:szCs w:val="24"/>
        </w:rPr>
        <w:t xml:space="preserve">ve </w:t>
      </w:r>
      <w:r w:rsidR="008C4459" w:rsidRPr="0039044E">
        <w:rPr>
          <w:rFonts w:ascii="Times New Roman" w:hAnsi="Times New Roman" w:cs="Times New Roman"/>
          <w:sz w:val="24"/>
          <w:szCs w:val="24"/>
        </w:rPr>
        <w:t>ilk seferde doğru şekilde sunulması</w:t>
      </w:r>
      <w:r w:rsidRPr="0039044E">
        <w:rPr>
          <w:rFonts w:ascii="Times New Roman" w:hAnsi="Times New Roman" w:cs="Times New Roman"/>
          <w:sz w:val="24"/>
          <w:szCs w:val="24"/>
        </w:rPr>
        <w:t xml:space="preserve">" şeklinde ifade edilmektedir. </w:t>
      </w:r>
    </w:p>
    <w:p w:rsidR="00286215" w:rsidRPr="0039044E" w:rsidRDefault="00286215"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Birleşik Devletler Sağlık Departmanı Sağlık Araştırmaları ve Kalite Birimi (2012) ise </w:t>
      </w:r>
      <w:r w:rsidR="00DD64A1" w:rsidRPr="0039044E">
        <w:rPr>
          <w:rFonts w:ascii="Times New Roman" w:hAnsi="Times New Roman" w:cs="Times New Roman"/>
          <w:sz w:val="24"/>
          <w:szCs w:val="24"/>
        </w:rPr>
        <w:t xml:space="preserve">sağlıkta kalitenin tanımını, </w:t>
      </w:r>
      <w:r w:rsidRPr="0039044E">
        <w:rPr>
          <w:rFonts w:ascii="Times New Roman" w:hAnsi="Times New Roman" w:cs="Times New Roman"/>
          <w:sz w:val="24"/>
          <w:szCs w:val="24"/>
        </w:rPr>
        <w:t xml:space="preserve">İngiltere Sağlık Departmanı ile benzer şekilde; “en iyi sağlık sonuçlarına ulaşmak için doğru hizmetlerin, doğru zamanda, doğru </w:t>
      </w:r>
      <w:r w:rsidR="00C71BF8" w:rsidRPr="0039044E">
        <w:rPr>
          <w:rFonts w:ascii="Times New Roman" w:hAnsi="Times New Roman" w:cs="Times New Roman"/>
          <w:sz w:val="24"/>
          <w:szCs w:val="24"/>
        </w:rPr>
        <w:t xml:space="preserve">ve dengeli bir </w:t>
      </w:r>
      <w:r w:rsidRPr="0039044E">
        <w:rPr>
          <w:rFonts w:ascii="Times New Roman" w:hAnsi="Times New Roman" w:cs="Times New Roman"/>
          <w:sz w:val="24"/>
          <w:szCs w:val="24"/>
        </w:rPr>
        <w:t>şekilde verilmesi olarak tanımlamak</w:t>
      </w:r>
      <w:r w:rsidR="00C71BF8" w:rsidRPr="0039044E">
        <w:rPr>
          <w:rFonts w:ascii="Times New Roman" w:hAnsi="Times New Roman" w:cs="Times New Roman"/>
          <w:sz w:val="24"/>
          <w:szCs w:val="24"/>
        </w:rPr>
        <w:t xml:space="preserve">tadır. Burada dengeli bir şekilde hizmet verilmesi hizmetlerin yetersiz kalmaması, ihtiyaç duyulmayan hizmetleri sunarak aşırıya kaçılmaması ve yanlış hizmetler sunulmamasını ifade etmektedir. </w:t>
      </w:r>
    </w:p>
    <w:p w:rsidR="004171F9" w:rsidRPr="0039044E" w:rsidRDefault="004171F9"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Kalite, sağlık sektöründe farklı paydaşlar için farklı anlamlar içermektedir. Kaliteyi sisteme hâkim kılmanın yolu, farklı paydaş beklentilerinin dikkate alınması ve izlenmesidir. Tedarikçilerin, hastaların ve doktorların farklı beklentileri arasında mutlaka denge kurulmalı ve hesap verebilir niteliklere sahip bir sistem tasarlanmalıdır </w:t>
      </w:r>
      <w:r w:rsidR="007F3272" w:rsidRPr="0039044E">
        <w:rPr>
          <w:rFonts w:ascii="Times New Roman" w:hAnsi="Times New Roman" w:cs="Times New Roman"/>
          <w:sz w:val="24"/>
          <w:szCs w:val="24"/>
        </w:rPr>
        <w:t>(McGlynn, 1997: 7).</w:t>
      </w:r>
    </w:p>
    <w:p w:rsidR="00EA0505" w:rsidRPr="0039044E" w:rsidRDefault="004A2E9F"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Türkiye Sağlık Bakanlığı</w:t>
      </w:r>
      <w:r w:rsidR="00EA0505" w:rsidRPr="0039044E">
        <w:rPr>
          <w:rFonts w:ascii="Times New Roman" w:hAnsi="Times New Roman" w:cs="Times New Roman"/>
          <w:sz w:val="24"/>
          <w:szCs w:val="24"/>
        </w:rPr>
        <w:t>’</w:t>
      </w:r>
      <w:r w:rsidRPr="0039044E">
        <w:rPr>
          <w:rFonts w:ascii="Times New Roman" w:hAnsi="Times New Roman" w:cs="Times New Roman"/>
          <w:sz w:val="24"/>
          <w:szCs w:val="24"/>
        </w:rPr>
        <w:t xml:space="preserve">nın (2012) </w:t>
      </w:r>
      <w:r w:rsidR="00EA0505" w:rsidRPr="0039044E">
        <w:rPr>
          <w:rFonts w:ascii="Times New Roman" w:hAnsi="Times New Roman" w:cs="Times New Roman"/>
          <w:sz w:val="24"/>
          <w:szCs w:val="24"/>
        </w:rPr>
        <w:t>resmi internet</w:t>
      </w:r>
      <w:r w:rsidRPr="0039044E">
        <w:rPr>
          <w:rFonts w:ascii="Times New Roman" w:hAnsi="Times New Roman" w:cs="Times New Roman"/>
          <w:sz w:val="24"/>
          <w:szCs w:val="24"/>
        </w:rPr>
        <w:t xml:space="preserve"> sayfasında deklare ettiği tanım</w:t>
      </w:r>
      <w:r w:rsidR="00EA0505" w:rsidRPr="0039044E">
        <w:rPr>
          <w:rFonts w:ascii="Times New Roman" w:hAnsi="Times New Roman" w:cs="Times New Roman"/>
          <w:sz w:val="24"/>
          <w:szCs w:val="24"/>
        </w:rPr>
        <w:t xml:space="preserve">da </w:t>
      </w:r>
      <w:r w:rsidRPr="0039044E">
        <w:rPr>
          <w:rFonts w:ascii="Times New Roman" w:hAnsi="Times New Roman" w:cs="Times New Roman"/>
          <w:sz w:val="24"/>
          <w:szCs w:val="24"/>
        </w:rPr>
        <w:t xml:space="preserve">ise </w:t>
      </w:r>
      <w:r w:rsidR="00EA0505" w:rsidRPr="0039044E">
        <w:rPr>
          <w:rFonts w:ascii="Times New Roman" w:hAnsi="Times New Roman" w:cs="Times New Roman"/>
          <w:sz w:val="24"/>
          <w:szCs w:val="24"/>
        </w:rPr>
        <w:t xml:space="preserve">kalite, </w:t>
      </w:r>
      <w:r w:rsidRPr="0039044E">
        <w:rPr>
          <w:rFonts w:ascii="Times New Roman" w:hAnsi="Times New Roman" w:cs="Times New Roman"/>
          <w:sz w:val="24"/>
          <w:szCs w:val="24"/>
        </w:rPr>
        <w:t>en iyi sağlık sonuçlarına ulaşmak amacıyla, ihtiyacı olan herkese, çalışan güvenliği ve memnuniyetinden ödün vermeden, yeterli kaynaklara sahip tesislerde, iyi eğitilmiş uzmanlar tarafından, doğru uygulamalarla, doğru zamanda eşit hizmetin sağlanması</w:t>
      </w:r>
      <w:r w:rsidR="00EA0505" w:rsidRPr="0039044E">
        <w:rPr>
          <w:rFonts w:ascii="Times New Roman" w:hAnsi="Times New Roman" w:cs="Times New Roman"/>
          <w:sz w:val="24"/>
          <w:szCs w:val="24"/>
        </w:rPr>
        <w:t xml:space="preserve"> olarak ifade edilmektedir. Bu tanım sağlık hizmetlerinde kalitenin genel tanımı olarak ifade edilmekte ve sonrasında sağlık hizmetlerinde kalite klinik kalite ve hizmet kalitesi olarak ayrı ayrı tanımlanmaktadır.</w:t>
      </w:r>
    </w:p>
    <w:p w:rsidR="00DF4B04" w:rsidRPr="00611DED" w:rsidRDefault="00020568" w:rsidP="007C5BF4">
      <w:pPr>
        <w:spacing w:line="240" w:lineRule="auto"/>
        <w:jc w:val="both"/>
        <w:rPr>
          <w:rFonts w:ascii="Times New Roman" w:hAnsi="Times New Roman" w:cs="Times New Roman"/>
          <w:b/>
          <w:sz w:val="24"/>
          <w:szCs w:val="24"/>
        </w:rPr>
      </w:pPr>
      <w:r w:rsidRPr="00611DED">
        <w:rPr>
          <w:rFonts w:ascii="Times New Roman" w:hAnsi="Times New Roman" w:cs="Times New Roman"/>
          <w:b/>
          <w:sz w:val="24"/>
          <w:szCs w:val="24"/>
        </w:rPr>
        <w:t>2.2.</w:t>
      </w:r>
      <w:r w:rsidR="00611DED">
        <w:rPr>
          <w:rFonts w:ascii="Times New Roman" w:hAnsi="Times New Roman" w:cs="Times New Roman"/>
          <w:b/>
          <w:sz w:val="24"/>
          <w:szCs w:val="24"/>
        </w:rPr>
        <w:t xml:space="preserve"> </w:t>
      </w:r>
      <w:r w:rsidR="00DF4B04" w:rsidRPr="00611DED">
        <w:rPr>
          <w:rFonts w:ascii="Times New Roman" w:hAnsi="Times New Roman" w:cs="Times New Roman"/>
          <w:b/>
          <w:sz w:val="24"/>
          <w:szCs w:val="24"/>
        </w:rPr>
        <w:t>Boyutlar</w:t>
      </w:r>
    </w:p>
    <w:p w:rsidR="006A5AFD" w:rsidRPr="0039044E" w:rsidRDefault="00212EBA"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Yukarıdaki tanımlar incelendiğinde bazı tanımların sonuçlara, bazı tanımların ise sağlıkta kalitenin aynı zamanda nasıl elde edileceğine dair ifadeleri içerdiği görülmektedir. Sağlık hizmetlerinde kalitenin ne olduğu konusu aynı zamanda kalitenin nasıl ele alınıp ölçüleceği konusu ile iç içe geçmiş gibidir. </w:t>
      </w:r>
      <w:r w:rsidR="006A5AFD" w:rsidRPr="0039044E">
        <w:rPr>
          <w:rFonts w:ascii="Times New Roman" w:hAnsi="Times New Roman" w:cs="Times New Roman"/>
          <w:sz w:val="24"/>
          <w:szCs w:val="24"/>
        </w:rPr>
        <w:t xml:space="preserve">Dolayısıyla sağlık hizmetlerinde kalitenin ortaya konulması aynı zamanda kalitenin tek tek hangi boyutlardan oluştuğunun ifade edilmesi şeklinde de karşımıza çıkmaktadır. Örneğin Donabedian (1980), sağlık hizmetlerindeki kalite ölçümüyle ilgili çalışmasında; kalitenin üç boyutundan bahsetmektedir.  Bu boyutlar, teknik boyut, kişilerarası ilişkiler ve hizmet verilen tesisin </w:t>
      </w:r>
      <w:r w:rsidR="007F3272" w:rsidRPr="0039044E">
        <w:rPr>
          <w:rFonts w:ascii="Times New Roman" w:hAnsi="Times New Roman" w:cs="Times New Roman"/>
          <w:sz w:val="24"/>
          <w:szCs w:val="24"/>
        </w:rPr>
        <w:t>konforu olarak sıralanmaktadır.</w:t>
      </w:r>
    </w:p>
    <w:p w:rsidR="006A5AFD" w:rsidRPr="0039044E" w:rsidRDefault="00F435E1"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Ov</w:t>
      </w:r>
      <w:r w:rsidR="006A5AFD" w:rsidRPr="0039044E">
        <w:rPr>
          <w:rFonts w:ascii="Times New Roman" w:hAnsi="Times New Roman" w:cs="Times New Roman"/>
          <w:sz w:val="24"/>
          <w:szCs w:val="24"/>
        </w:rPr>
        <w:t>r</w:t>
      </w:r>
      <w:r w:rsidRPr="0039044E">
        <w:rPr>
          <w:rFonts w:ascii="Times New Roman" w:hAnsi="Times New Roman" w:cs="Times New Roman"/>
          <w:sz w:val="24"/>
          <w:szCs w:val="24"/>
        </w:rPr>
        <w:t>e</w:t>
      </w:r>
      <w:r w:rsidR="006A5AFD" w:rsidRPr="0039044E">
        <w:rPr>
          <w:rFonts w:ascii="Times New Roman" w:hAnsi="Times New Roman" w:cs="Times New Roman"/>
          <w:sz w:val="24"/>
          <w:szCs w:val="24"/>
        </w:rPr>
        <w:t>tveit’e göre sağlık hizmetlerinde kalitenin üç boyutu bulunmaktadır. Bunlar</w:t>
      </w:r>
      <w:r w:rsidR="00611DED">
        <w:rPr>
          <w:rFonts w:ascii="Times New Roman" w:hAnsi="Times New Roman" w:cs="Times New Roman"/>
          <w:sz w:val="24"/>
          <w:szCs w:val="24"/>
        </w:rPr>
        <w:t>;</w:t>
      </w:r>
      <w:r w:rsidR="006A5AFD" w:rsidRPr="0039044E">
        <w:rPr>
          <w:rFonts w:ascii="Times New Roman" w:hAnsi="Times New Roman" w:cs="Times New Roman"/>
          <w:sz w:val="24"/>
          <w:szCs w:val="24"/>
        </w:rPr>
        <w:t xml:space="preserve"> müşteri kalitesi, profesyonel kalite, yönetim kalitesidir (Ovr</w:t>
      </w:r>
      <w:r w:rsidRPr="0039044E">
        <w:rPr>
          <w:rFonts w:ascii="Times New Roman" w:hAnsi="Times New Roman" w:cs="Times New Roman"/>
          <w:sz w:val="24"/>
          <w:szCs w:val="24"/>
        </w:rPr>
        <w:t>e</w:t>
      </w:r>
      <w:r w:rsidR="006A5AFD" w:rsidRPr="0039044E">
        <w:rPr>
          <w:rFonts w:ascii="Times New Roman" w:hAnsi="Times New Roman" w:cs="Times New Roman"/>
          <w:sz w:val="24"/>
          <w:szCs w:val="24"/>
        </w:rPr>
        <w:t xml:space="preserve">tveit, 1998: 4, 162-164, Kaya, 2005: 13-14). Kaliteyi tanımlamada altı boyuttan bahseden Maxwell’e göre ise kaliteyi oluşturan boyutlar şunlardır (Maxwell, 1992: 172): </w:t>
      </w:r>
      <w:r w:rsidR="000F661E">
        <w:rPr>
          <w:rFonts w:ascii="Times New Roman" w:hAnsi="Times New Roman" w:cs="Times New Roman"/>
          <w:sz w:val="24"/>
          <w:szCs w:val="24"/>
        </w:rPr>
        <w:t>E</w:t>
      </w:r>
      <w:r w:rsidR="006A5AFD" w:rsidRPr="0039044E">
        <w:rPr>
          <w:rFonts w:ascii="Times New Roman" w:hAnsi="Times New Roman" w:cs="Times New Roman"/>
          <w:sz w:val="24"/>
          <w:szCs w:val="24"/>
        </w:rPr>
        <w:t>tkililik, kabul edilebilirlik, verimlilik, erişilebilirlik, hakkaniyet, uygunluk.</w:t>
      </w:r>
      <w:r w:rsidR="00E62962" w:rsidRPr="0039044E">
        <w:rPr>
          <w:rFonts w:ascii="Times New Roman" w:hAnsi="Times New Roman" w:cs="Times New Roman"/>
          <w:sz w:val="24"/>
          <w:szCs w:val="24"/>
        </w:rPr>
        <w:t xml:space="preserve"> Maxwell’in ele aldığı boyutlarda, Donabedian’in  (1988) tanımladığı boyutlara ek olarak uygunluk boyutu varken, güvenlik boyutu göz ardı edilmiştir.</w:t>
      </w:r>
      <w:r w:rsidR="006A5AFD" w:rsidRPr="0039044E">
        <w:rPr>
          <w:rFonts w:ascii="Times New Roman" w:hAnsi="Times New Roman" w:cs="Times New Roman"/>
          <w:sz w:val="24"/>
          <w:szCs w:val="24"/>
        </w:rPr>
        <w:t xml:space="preserve"> Bir başka çalışmada ise, kalite dört boyutta incelenmiştir. Bunlar; hizmet ortamında sunulan imkânlar, standartlara uygunluk, zamanlılık ile insan faktörü ve davranışsal özellikleridir (</w:t>
      </w:r>
      <w:r w:rsidR="003D3A8E" w:rsidRPr="0039044E">
        <w:rPr>
          <w:rFonts w:ascii="Times New Roman" w:hAnsi="Times New Roman" w:cs="Times New Roman"/>
          <w:sz w:val="24"/>
          <w:szCs w:val="24"/>
        </w:rPr>
        <w:t>Turner</w:t>
      </w:r>
      <w:r w:rsidR="006A5AFD" w:rsidRPr="0039044E">
        <w:rPr>
          <w:rFonts w:ascii="Times New Roman" w:hAnsi="Times New Roman" w:cs="Times New Roman"/>
          <w:sz w:val="24"/>
          <w:szCs w:val="24"/>
        </w:rPr>
        <w:t xml:space="preserve"> v</w:t>
      </w:r>
      <w:r w:rsidR="003D3A8E" w:rsidRPr="0039044E">
        <w:rPr>
          <w:rFonts w:ascii="Times New Roman" w:hAnsi="Times New Roman" w:cs="Times New Roman"/>
          <w:sz w:val="24"/>
          <w:szCs w:val="24"/>
        </w:rPr>
        <w:t>d.</w:t>
      </w:r>
      <w:r w:rsidR="006A5AFD" w:rsidRPr="0039044E">
        <w:rPr>
          <w:rFonts w:ascii="Times New Roman" w:hAnsi="Times New Roman" w:cs="Times New Roman"/>
          <w:sz w:val="24"/>
          <w:szCs w:val="24"/>
        </w:rPr>
        <w:t>, 1998, 20).</w:t>
      </w:r>
    </w:p>
    <w:p w:rsidR="006A5AFD" w:rsidRPr="0039044E" w:rsidRDefault="002D488F" w:rsidP="007C5BF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Lehtinen (1991)</w:t>
      </w:r>
      <w:r w:rsidR="006A5AFD" w:rsidRPr="0039044E">
        <w:rPr>
          <w:rFonts w:ascii="Times New Roman" w:hAnsi="Times New Roman" w:cs="Times New Roman"/>
          <w:sz w:val="24"/>
          <w:szCs w:val="24"/>
        </w:rPr>
        <w:t xml:space="preserve"> hizmet kalitesini</w:t>
      </w:r>
      <w:r>
        <w:rPr>
          <w:rFonts w:ascii="Times New Roman" w:hAnsi="Times New Roman" w:cs="Times New Roman"/>
          <w:sz w:val="24"/>
          <w:szCs w:val="24"/>
        </w:rPr>
        <w:t>;</w:t>
      </w:r>
      <w:r w:rsidR="006A5AFD" w:rsidRPr="0039044E">
        <w:rPr>
          <w:rFonts w:ascii="Times New Roman" w:hAnsi="Times New Roman" w:cs="Times New Roman"/>
          <w:sz w:val="24"/>
          <w:szCs w:val="24"/>
        </w:rPr>
        <w:t xml:space="preserve"> fiziksel kalite, işletme kalitesi ve etkileşim kalitesi olarak tanımlamıştır. Cunningham tarafından 1991 yılında yapılan çalışmada</w:t>
      </w:r>
      <w:r>
        <w:rPr>
          <w:rFonts w:ascii="Times New Roman" w:hAnsi="Times New Roman" w:cs="Times New Roman"/>
          <w:sz w:val="24"/>
          <w:szCs w:val="24"/>
        </w:rPr>
        <w:t>; hastanelerde hizmet kalitesi</w:t>
      </w:r>
      <w:r w:rsidR="006A5AFD" w:rsidRPr="0039044E">
        <w:rPr>
          <w:rFonts w:ascii="Times New Roman" w:hAnsi="Times New Roman" w:cs="Times New Roman"/>
          <w:sz w:val="24"/>
          <w:szCs w:val="24"/>
        </w:rPr>
        <w:t xml:space="preserve"> üç boyut altında incelenmiştir. Bunlar; klinik kalite, hasta temelli kalite ve ekonomik temelli kalitedir (Rose, Uli, Abdul ve Looi Ng: 2004: 148). </w:t>
      </w:r>
    </w:p>
    <w:p w:rsidR="006A5AFD" w:rsidRPr="0039044E" w:rsidRDefault="006A5AFD"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1995 yılında Tomes ve Peng Ng’nin çalışmasında ise, hizmet kalitesi boyutları, empati, maliyet, hastayı anlama, saygıya dayalı ilişkiler, dini ihtiyaçlar, yemek servisi, doktor çevresi ve itibar olarak sekiz faktörde incelemişt</w:t>
      </w:r>
      <w:r w:rsidR="00A87D5B" w:rsidRPr="0039044E">
        <w:rPr>
          <w:rFonts w:ascii="Times New Roman" w:hAnsi="Times New Roman" w:cs="Times New Roman"/>
          <w:sz w:val="24"/>
          <w:szCs w:val="24"/>
        </w:rPr>
        <w:t>ir (Tomes ve Peng Ng 1995: 31).</w:t>
      </w:r>
    </w:p>
    <w:p w:rsidR="006A5AFD" w:rsidRPr="0039044E" w:rsidRDefault="006A5AFD"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Carman (2000) ise, Amerika Birleşik Devletleri’nde yaptığı çalışmasında, hastanelerdeki hizmet kalitesini iki boyutta incelemiştir. Bunlar, teknik boyut ve konaklama boyutudur. Teknik boyut, hemşire ve doktorluk hizmetlerini kapsamaktadır. Konaklama boyutu ise yönetimsel boyutu olup; yemek servisi, gürültü, oda sıcaklığı, temizlik ve hastanenin park alanı gibi faktörleri kapsamaktadır (Carman 2000: 347). Carman’ın çalışmasındaki boyutlar, Grönroos’ün (1984) teknik ve fonksiyonel </w:t>
      </w:r>
      <w:r w:rsidR="00CD21BE" w:rsidRPr="0039044E">
        <w:rPr>
          <w:rFonts w:ascii="Times New Roman" w:hAnsi="Times New Roman" w:cs="Times New Roman"/>
          <w:sz w:val="24"/>
          <w:szCs w:val="24"/>
        </w:rPr>
        <w:t xml:space="preserve">kalite ayrımına benzemektedir. </w:t>
      </w:r>
    </w:p>
    <w:p w:rsidR="00E62962" w:rsidRPr="0039044E" w:rsidRDefault="00E62962" w:rsidP="007C5BF4">
      <w:pPr>
        <w:spacing w:after="0" w:line="240" w:lineRule="auto"/>
        <w:outlineLvl w:val="2"/>
        <w:rPr>
          <w:rFonts w:ascii="Times New Roman" w:hAnsi="Times New Roman" w:cs="Times New Roman"/>
          <w:sz w:val="24"/>
          <w:szCs w:val="24"/>
        </w:rPr>
      </w:pPr>
      <w:r w:rsidRPr="0039044E">
        <w:rPr>
          <w:rFonts w:ascii="Times New Roman" w:hAnsi="Times New Roman" w:cs="Times New Roman"/>
          <w:sz w:val="24"/>
          <w:szCs w:val="24"/>
        </w:rPr>
        <w:t>Legido-Quigley vd. (200</w:t>
      </w:r>
      <w:r w:rsidR="00DF4AB2" w:rsidRPr="0039044E">
        <w:rPr>
          <w:rFonts w:ascii="Times New Roman" w:hAnsi="Times New Roman" w:cs="Times New Roman"/>
          <w:sz w:val="24"/>
          <w:szCs w:val="24"/>
        </w:rPr>
        <w:t>8</w:t>
      </w:r>
      <w:r w:rsidRPr="0039044E">
        <w:rPr>
          <w:rFonts w:ascii="Times New Roman" w:hAnsi="Times New Roman" w:cs="Times New Roman"/>
          <w:sz w:val="24"/>
          <w:szCs w:val="24"/>
        </w:rPr>
        <w:t xml:space="preserve">) </w:t>
      </w:r>
      <w:r w:rsidR="00D021E6" w:rsidRPr="0039044E">
        <w:rPr>
          <w:rFonts w:ascii="Times New Roman" w:hAnsi="Times New Roman" w:cs="Times New Roman"/>
          <w:sz w:val="24"/>
          <w:szCs w:val="24"/>
        </w:rPr>
        <w:t xml:space="preserve">yukarıda da bahsedilen ve </w:t>
      </w:r>
      <w:r w:rsidRPr="0039044E">
        <w:rPr>
          <w:rFonts w:ascii="Times New Roman" w:hAnsi="Times New Roman" w:cs="Times New Roman"/>
          <w:sz w:val="24"/>
          <w:szCs w:val="24"/>
        </w:rPr>
        <w:t>birçok</w:t>
      </w:r>
      <w:r w:rsidR="00D021E6" w:rsidRPr="0039044E">
        <w:rPr>
          <w:rFonts w:ascii="Times New Roman" w:hAnsi="Times New Roman" w:cs="Times New Roman"/>
          <w:sz w:val="24"/>
          <w:szCs w:val="24"/>
        </w:rPr>
        <w:t xml:space="preserve"> </w:t>
      </w:r>
      <w:r w:rsidRPr="0039044E">
        <w:rPr>
          <w:rFonts w:ascii="Times New Roman" w:hAnsi="Times New Roman" w:cs="Times New Roman"/>
          <w:sz w:val="24"/>
          <w:szCs w:val="24"/>
        </w:rPr>
        <w:t>yazar ve kurum tarafından ele alınan kalitenin farklı boyutlarını derledikleri</w:t>
      </w:r>
      <w:r w:rsidR="00571881" w:rsidRPr="0039044E">
        <w:rPr>
          <w:rFonts w:ascii="Times New Roman" w:hAnsi="Times New Roman" w:cs="Times New Roman"/>
          <w:sz w:val="24"/>
          <w:szCs w:val="24"/>
        </w:rPr>
        <w:t xml:space="preserve"> çalışmadan yararlanılara</w:t>
      </w:r>
      <w:r w:rsidR="00CD21BE" w:rsidRPr="0039044E">
        <w:rPr>
          <w:rFonts w:ascii="Times New Roman" w:hAnsi="Times New Roman" w:cs="Times New Roman"/>
          <w:sz w:val="24"/>
          <w:szCs w:val="24"/>
        </w:rPr>
        <w:t>k</w:t>
      </w:r>
      <w:r w:rsidR="00571881" w:rsidRPr="0039044E">
        <w:rPr>
          <w:rFonts w:ascii="Times New Roman" w:hAnsi="Times New Roman" w:cs="Times New Roman"/>
          <w:sz w:val="24"/>
          <w:szCs w:val="24"/>
        </w:rPr>
        <w:t xml:space="preserve"> hazırlanan</w:t>
      </w:r>
      <w:r w:rsidRPr="0039044E">
        <w:rPr>
          <w:rFonts w:ascii="Times New Roman" w:hAnsi="Times New Roman" w:cs="Times New Roman"/>
          <w:sz w:val="24"/>
          <w:szCs w:val="24"/>
        </w:rPr>
        <w:t xml:space="preserve"> aşağıdaki </w:t>
      </w:r>
      <w:r w:rsidR="007C5BF4" w:rsidRPr="0039044E">
        <w:rPr>
          <w:rFonts w:ascii="Times New Roman" w:hAnsi="Times New Roman" w:cs="Times New Roman"/>
          <w:sz w:val="24"/>
          <w:szCs w:val="24"/>
        </w:rPr>
        <w:t>çizelge</w:t>
      </w:r>
      <w:r w:rsidRPr="0039044E">
        <w:rPr>
          <w:rFonts w:ascii="Times New Roman" w:hAnsi="Times New Roman" w:cs="Times New Roman"/>
          <w:sz w:val="24"/>
          <w:szCs w:val="24"/>
        </w:rPr>
        <w:t>, sağlık hizmetlerinde kalitenin</w:t>
      </w:r>
      <w:r w:rsidR="00D021E6" w:rsidRPr="0039044E">
        <w:rPr>
          <w:rFonts w:ascii="Times New Roman" w:hAnsi="Times New Roman" w:cs="Times New Roman"/>
          <w:sz w:val="24"/>
          <w:szCs w:val="24"/>
        </w:rPr>
        <w:t xml:space="preserve"> boyutlarını özetlemektedir. </w:t>
      </w:r>
      <w:r w:rsidRPr="0039044E">
        <w:rPr>
          <w:rFonts w:ascii="Times New Roman" w:hAnsi="Times New Roman" w:cs="Times New Roman"/>
          <w:sz w:val="24"/>
          <w:szCs w:val="24"/>
        </w:rPr>
        <w:t xml:space="preserve"> </w:t>
      </w:r>
      <w:r w:rsidR="00D021E6" w:rsidRPr="0039044E">
        <w:rPr>
          <w:rFonts w:ascii="Times New Roman" w:hAnsi="Times New Roman" w:cs="Times New Roman"/>
          <w:sz w:val="24"/>
          <w:szCs w:val="24"/>
        </w:rPr>
        <w:t xml:space="preserve"> </w:t>
      </w:r>
    </w:p>
    <w:p w:rsidR="00307B13" w:rsidRPr="0039044E" w:rsidRDefault="00307B13" w:rsidP="007C5BF4">
      <w:pPr>
        <w:spacing w:after="0" w:line="240" w:lineRule="auto"/>
        <w:outlineLvl w:val="2"/>
        <w:rPr>
          <w:rFonts w:ascii="Times New Roman" w:hAnsi="Times New Roman" w:cs="Times New Roman"/>
          <w:sz w:val="24"/>
          <w:szCs w:val="24"/>
        </w:rPr>
      </w:pPr>
    </w:p>
    <w:p w:rsidR="009A0768" w:rsidRPr="0039044E" w:rsidRDefault="007C5BF4" w:rsidP="007C5BF4">
      <w:pPr>
        <w:spacing w:after="0" w:line="240" w:lineRule="auto"/>
        <w:jc w:val="center"/>
        <w:outlineLvl w:val="2"/>
        <w:rPr>
          <w:rFonts w:ascii="Times New Roman" w:hAnsi="Times New Roman" w:cs="Times New Roman"/>
          <w:b/>
          <w:sz w:val="24"/>
          <w:szCs w:val="24"/>
        </w:rPr>
      </w:pPr>
      <w:r w:rsidRPr="0039044E">
        <w:rPr>
          <w:rFonts w:ascii="Times New Roman" w:hAnsi="Times New Roman" w:cs="Times New Roman"/>
          <w:b/>
          <w:sz w:val="24"/>
          <w:szCs w:val="24"/>
        </w:rPr>
        <w:t>Çizelge</w:t>
      </w:r>
      <w:r w:rsidR="00BC5171" w:rsidRPr="0039044E">
        <w:rPr>
          <w:rFonts w:ascii="Times New Roman" w:hAnsi="Times New Roman" w:cs="Times New Roman"/>
          <w:b/>
          <w:sz w:val="24"/>
          <w:szCs w:val="24"/>
        </w:rPr>
        <w:t xml:space="preserve"> 1.</w:t>
      </w:r>
      <w:r w:rsidR="00007015">
        <w:rPr>
          <w:rFonts w:ascii="Times New Roman" w:hAnsi="Times New Roman" w:cs="Times New Roman"/>
          <w:b/>
          <w:sz w:val="24"/>
          <w:szCs w:val="24"/>
        </w:rPr>
        <w:t xml:space="preserve"> </w:t>
      </w:r>
      <w:r w:rsidR="009A0768" w:rsidRPr="0039044E">
        <w:rPr>
          <w:rFonts w:ascii="Times New Roman" w:hAnsi="Times New Roman" w:cs="Times New Roman"/>
          <w:b/>
          <w:sz w:val="24"/>
          <w:szCs w:val="24"/>
        </w:rPr>
        <w:t>Sağlık Hizmetlerinde Kalitenin Boyutları</w:t>
      </w:r>
    </w:p>
    <w:p w:rsidR="00CD46A6" w:rsidRPr="0039044E" w:rsidRDefault="00CD46A6" w:rsidP="007C5BF4">
      <w:pPr>
        <w:spacing w:after="0" w:line="240" w:lineRule="auto"/>
        <w:jc w:val="center"/>
        <w:outlineLvl w:val="2"/>
        <w:rPr>
          <w:rFonts w:ascii="Times New Roman" w:hAnsi="Times New Roman" w:cs="Times New Roman"/>
          <w:b/>
          <w:sz w:val="24"/>
          <w:szCs w:val="24"/>
        </w:rPr>
      </w:pPr>
    </w:p>
    <w:p w:rsidR="00CD46A6" w:rsidRPr="0039044E" w:rsidRDefault="00CD46A6" w:rsidP="007C5BF4">
      <w:pPr>
        <w:spacing w:after="0" w:line="240" w:lineRule="auto"/>
        <w:jc w:val="center"/>
        <w:outlineLvl w:val="2"/>
        <w:rPr>
          <w:rFonts w:ascii="Times New Roman" w:hAnsi="Times New Roman" w:cs="Times New Roman"/>
          <w:b/>
          <w:sz w:val="24"/>
          <w:szCs w:val="24"/>
        </w:rPr>
      </w:pPr>
      <w:r w:rsidRPr="0039044E">
        <w:rPr>
          <w:rFonts w:ascii="Times New Roman" w:hAnsi="Times New Roman" w:cs="Times New Roman"/>
          <w:b/>
          <w:noProof/>
          <w:sz w:val="24"/>
          <w:szCs w:val="24"/>
          <w:lang w:eastAsia="tr-TR"/>
        </w:rPr>
        <w:drawing>
          <wp:inline distT="0" distB="0" distL="0" distR="0" wp14:anchorId="4A459B6F" wp14:editId="6B68D128">
            <wp:extent cx="5533391" cy="264211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38514" cy="2644561"/>
                    </a:xfrm>
                    <a:prstGeom prst="rect">
                      <a:avLst/>
                    </a:prstGeom>
                    <a:noFill/>
                    <a:ln w="9525">
                      <a:noFill/>
                      <a:miter lim="800000"/>
                      <a:headEnd/>
                      <a:tailEnd/>
                    </a:ln>
                  </pic:spPr>
                </pic:pic>
              </a:graphicData>
            </a:graphic>
          </wp:inline>
        </w:drawing>
      </w:r>
    </w:p>
    <w:p w:rsidR="00307B13" w:rsidRPr="0065566B" w:rsidRDefault="009A0768" w:rsidP="007C5BF4">
      <w:pPr>
        <w:spacing w:after="0" w:line="240" w:lineRule="auto"/>
        <w:outlineLvl w:val="2"/>
        <w:rPr>
          <w:rFonts w:ascii="Times New Roman" w:hAnsi="Times New Roman" w:cs="Times New Roman"/>
          <w:i/>
        </w:rPr>
      </w:pPr>
      <w:r w:rsidRPr="0039044E">
        <w:rPr>
          <w:rFonts w:ascii="Times New Roman" w:hAnsi="Times New Roman" w:cs="Times New Roman"/>
          <w:sz w:val="24"/>
          <w:szCs w:val="24"/>
        </w:rPr>
        <w:t xml:space="preserve"> </w:t>
      </w:r>
      <w:r w:rsidR="0065566B" w:rsidRPr="0065566B">
        <w:rPr>
          <w:rFonts w:ascii="Times New Roman" w:hAnsi="Times New Roman" w:cs="Times New Roman"/>
          <w:b/>
          <w:i/>
        </w:rPr>
        <w:t>K</w:t>
      </w:r>
      <w:r w:rsidRPr="0065566B">
        <w:rPr>
          <w:rFonts w:ascii="Times New Roman" w:hAnsi="Times New Roman" w:cs="Times New Roman"/>
          <w:b/>
          <w:i/>
        </w:rPr>
        <w:t>aynak:</w:t>
      </w:r>
      <w:r w:rsidRPr="0065566B">
        <w:rPr>
          <w:rFonts w:ascii="Times New Roman" w:hAnsi="Times New Roman" w:cs="Times New Roman"/>
          <w:i/>
        </w:rPr>
        <w:t xml:space="preserve"> Donabedian 1988, Maxwell 1992: Departmant of Health 1997; Avrupa Konseyi 1998 IOM 2001; JCAHO 2006; Accredittation Canada 2012; </w:t>
      </w:r>
      <w:r w:rsidR="00C243CF" w:rsidRPr="0065566B">
        <w:rPr>
          <w:rFonts w:ascii="Times New Roman" w:hAnsi="Times New Roman" w:cs="Times New Roman"/>
          <w:i/>
        </w:rPr>
        <w:t>Sağlık Bakanlığı (Türkiye)</w:t>
      </w:r>
      <w:r w:rsidRPr="0065566B">
        <w:rPr>
          <w:rFonts w:ascii="Times New Roman" w:hAnsi="Times New Roman" w:cs="Times New Roman"/>
          <w:i/>
        </w:rPr>
        <w:t xml:space="preserve"> 2012</w:t>
      </w:r>
      <w:r w:rsidR="0065566B">
        <w:rPr>
          <w:rFonts w:ascii="Times New Roman" w:hAnsi="Times New Roman" w:cs="Times New Roman"/>
          <w:i/>
        </w:rPr>
        <w:t>.</w:t>
      </w:r>
    </w:p>
    <w:p w:rsidR="00307B13" w:rsidRPr="0039044E" w:rsidRDefault="00307B13" w:rsidP="007C5BF4">
      <w:pPr>
        <w:spacing w:after="0" w:line="240" w:lineRule="auto"/>
        <w:outlineLvl w:val="2"/>
        <w:rPr>
          <w:rFonts w:ascii="Times New Roman" w:hAnsi="Times New Roman" w:cs="Times New Roman"/>
          <w:sz w:val="24"/>
          <w:szCs w:val="24"/>
        </w:rPr>
      </w:pPr>
    </w:p>
    <w:p w:rsidR="00D021E6" w:rsidRPr="0039044E" w:rsidRDefault="007C5BF4"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Çizelgenin</w:t>
      </w:r>
      <w:r w:rsidR="00D021E6" w:rsidRPr="0039044E">
        <w:rPr>
          <w:rFonts w:ascii="Times New Roman" w:hAnsi="Times New Roman" w:cs="Times New Roman"/>
          <w:sz w:val="24"/>
          <w:szCs w:val="24"/>
        </w:rPr>
        <w:t xml:space="preserve"> incelenmesiyle de görüleceği üzere en sık kullanılan boyutlar: </w:t>
      </w:r>
      <w:r w:rsidR="0065566B">
        <w:rPr>
          <w:rFonts w:ascii="Times New Roman" w:hAnsi="Times New Roman" w:cs="Times New Roman"/>
          <w:sz w:val="24"/>
          <w:szCs w:val="24"/>
        </w:rPr>
        <w:t>E</w:t>
      </w:r>
      <w:r w:rsidR="00D12B41" w:rsidRPr="0039044E">
        <w:rPr>
          <w:rFonts w:ascii="Times New Roman" w:hAnsi="Times New Roman" w:cs="Times New Roman"/>
          <w:sz w:val="24"/>
          <w:szCs w:val="24"/>
        </w:rPr>
        <w:t xml:space="preserve">tkinlik/etkililik, verimlilik, erişilebilirlik, güvenlik, hakkaniyet, uygunluk, zamanlılık, kabul edilebilirlik, tatmin heveslilik/duyarlılık/hasta odaklılık, sağlıkta gelişme ve sağlık hizmetlerinin sürekliliği </w:t>
      </w:r>
      <w:r w:rsidR="00D021E6" w:rsidRPr="0039044E">
        <w:rPr>
          <w:rFonts w:ascii="Times New Roman" w:hAnsi="Times New Roman" w:cs="Times New Roman"/>
          <w:sz w:val="24"/>
          <w:szCs w:val="24"/>
        </w:rPr>
        <w:t xml:space="preserve">olarak sıralanmaktadır. </w:t>
      </w:r>
    </w:p>
    <w:p w:rsidR="00DF4B04" w:rsidRPr="00C0263D" w:rsidRDefault="00020568" w:rsidP="007C5BF4">
      <w:pPr>
        <w:spacing w:line="240" w:lineRule="auto"/>
        <w:jc w:val="both"/>
        <w:rPr>
          <w:rFonts w:ascii="Times New Roman" w:hAnsi="Times New Roman" w:cs="Times New Roman"/>
          <w:b/>
          <w:sz w:val="24"/>
          <w:szCs w:val="24"/>
        </w:rPr>
      </w:pPr>
      <w:r w:rsidRPr="00C0263D">
        <w:rPr>
          <w:rFonts w:ascii="Times New Roman" w:hAnsi="Times New Roman" w:cs="Times New Roman"/>
          <w:b/>
          <w:sz w:val="24"/>
          <w:szCs w:val="24"/>
        </w:rPr>
        <w:t>2.3.</w:t>
      </w:r>
      <w:r w:rsidR="00C0263D">
        <w:rPr>
          <w:rFonts w:ascii="Times New Roman" w:hAnsi="Times New Roman" w:cs="Times New Roman"/>
          <w:b/>
          <w:sz w:val="24"/>
          <w:szCs w:val="24"/>
        </w:rPr>
        <w:t xml:space="preserve"> </w:t>
      </w:r>
      <w:r w:rsidR="00DF4B04" w:rsidRPr="00C0263D">
        <w:rPr>
          <w:rFonts w:ascii="Times New Roman" w:hAnsi="Times New Roman" w:cs="Times New Roman"/>
          <w:b/>
          <w:sz w:val="24"/>
          <w:szCs w:val="24"/>
        </w:rPr>
        <w:t>Kalitenin Boyutları mı Hedefleri mi?</w:t>
      </w:r>
    </w:p>
    <w:p w:rsidR="006A5AFD" w:rsidRPr="0039044E" w:rsidRDefault="00760550"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Çalışmanın başında ele alınan tanımlar ve devamında ortaya konulan kalitenin boyutları birlikte değerlendirildiklerinde, sağlık hizmetlerinde kalitenin hedefleri ile bu hedeflerin gerçekleşip gerçekleşmediğinin ya da uygulanmasının ne şekilde değerlendirileceği konusunun ayrı ayrı ele alınması gerektiği ortaya çıkmaktadır. Örneğin sağlık </w:t>
      </w:r>
      <w:r w:rsidRPr="0039044E">
        <w:rPr>
          <w:rFonts w:ascii="Times New Roman" w:hAnsi="Times New Roman" w:cs="Times New Roman"/>
          <w:sz w:val="24"/>
          <w:szCs w:val="24"/>
        </w:rPr>
        <w:lastRenderedPageBreak/>
        <w:t>hizmetlerinde “</w:t>
      </w:r>
      <w:r w:rsidR="00EC5F0E" w:rsidRPr="0039044E">
        <w:rPr>
          <w:rFonts w:ascii="Times New Roman" w:hAnsi="Times New Roman" w:cs="Times New Roman"/>
          <w:sz w:val="24"/>
          <w:szCs w:val="24"/>
        </w:rPr>
        <w:t>güvenliğin</w:t>
      </w:r>
      <w:r w:rsidRPr="0039044E">
        <w:rPr>
          <w:rFonts w:ascii="Times New Roman" w:hAnsi="Times New Roman" w:cs="Times New Roman"/>
          <w:sz w:val="24"/>
          <w:szCs w:val="24"/>
        </w:rPr>
        <w:t>”</w:t>
      </w:r>
      <w:r w:rsidR="00EC5F0E" w:rsidRPr="0039044E">
        <w:rPr>
          <w:rFonts w:ascii="Times New Roman" w:hAnsi="Times New Roman" w:cs="Times New Roman"/>
          <w:sz w:val="24"/>
          <w:szCs w:val="24"/>
        </w:rPr>
        <w:t xml:space="preserve"> sağlanması</w:t>
      </w:r>
      <w:r w:rsidRPr="0039044E">
        <w:rPr>
          <w:rFonts w:ascii="Times New Roman" w:hAnsi="Times New Roman" w:cs="Times New Roman"/>
          <w:sz w:val="24"/>
          <w:szCs w:val="24"/>
        </w:rPr>
        <w:t xml:space="preserve">, kaliteli bir sağlık hizmetinin </w:t>
      </w:r>
      <w:r w:rsidR="00EC5F0E" w:rsidRPr="0039044E">
        <w:rPr>
          <w:rFonts w:ascii="Times New Roman" w:hAnsi="Times New Roman" w:cs="Times New Roman"/>
          <w:sz w:val="24"/>
          <w:szCs w:val="24"/>
        </w:rPr>
        <w:t xml:space="preserve">hedefi niteliğindedir ve bunu başaran bir hizmet sunumu kaliteli olarak ifade edilebilir. Aynı şekilde etkinliğin, memnuniyetin, hizmete erişimin sağlanması vb. boyutların, iyi tasarlanmış ve hayata geçirilmiş bir hizmet sunumu sonucunda ulaşılacak hedefler olarak yorumlanması uygun düşecektir. </w:t>
      </w:r>
    </w:p>
    <w:p w:rsidR="000109E6" w:rsidRPr="0039044E" w:rsidRDefault="00727BA6"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Sağlık hizmetlerinde kalitenin hedefleri</w:t>
      </w:r>
      <w:r w:rsidR="006F0893" w:rsidRPr="0039044E">
        <w:rPr>
          <w:rFonts w:ascii="Times New Roman" w:hAnsi="Times New Roman" w:cs="Times New Roman"/>
          <w:sz w:val="24"/>
          <w:szCs w:val="24"/>
        </w:rPr>
        <w:t>nin</w:t>
      </w:r>
      <w:r w:rsidR="007812DF" w:rsidRPr="0039044E">
        <w:rPr>
          <w:rFonts w:ascii="Times New Roman" w:hAnsi="Times New Roman" w:cs="Times New Roman"/>
          <w:sz w:val="24"/>
          <w:szCs w:val="24"/>
        </w:rPr>
        <w:t xml:space="preserve"> belirlen</w:t>
      </w:r>
      <w:r w:rsidR="006F0893" w:rsidRPr="0039044E">
        <w:rPr>
          <w:rFonts w:ascii="Times New Roman" w:hAnsi="Times New Roman" w:cs="Times New Roman"/>
          <w:sz w:val="24"/>
          <w:szCs w:val="24"/>
        </w:rPr>
        <w:t>mesi ve</w:t>
      </w:r>
      <w:r w:rsidR="007812DF" w:rsidRPr="0039044E">
        <w:rPr>
          <w:rFonts w:ascii="Times New Roman" w:hAnsi="Times New Roman" w:cs="Times New Roman"/>
          <w:sz w:val="24"/>
          <w:szCs w:val="24"/>
        </w:rPr>
        <w:t xml:space="preserve"> kalitenin ne olduğu</w:t>
      </w:r>
      <w:r w:rsidR="006F0893" w:rsidRPr="0039044E">
        <w:rPr>
          <w:rFonts w:ascii="Times New Roman" w:hAnsi="Times New Roman" w:cs="Times New Roman"/>
          <w:sz w:val="24"/>
          <w:szCs w:val="24"/>
        </w:rPr>
        <w:t>nun</w:t>
      </w:r>
      <w:r w:rsidR="007812DF" w:rsidRPr="0039044E">
        <w:rPr>
          <w:rFonts w:ascii="Times New Roman" w:hAnsi="Times New Roman" w:cs="Times New Roman"/>
          <w:sz w:val="24"/>
          <w:szCs w:val="24"/>
        </w:rPr>
        <w:t xml:space="preserve"> tanımlan</w:t>
      </w:r>
      <w:r w:rsidR="00CA73BD" w:rsidRPr="0039044E">
        <w:rPr>
          <w:rFonts w:ascii="Times New Roman" w:hAnsi="Times New Roman" w:cs="Times New Roman"/>
          <w:sz w:val="24"/>
          <w:szCs w:val="24"/>
        </w:rPr>
        <w:t xml:space="preserve">masından </w:t>
      </w:r>
      <w:r w:rsidRPr="0039044E">
        <w:rPr>
          <w:rFonts w:ascii="Times New Roman" w:hAnsi="Times New Roman" w:cs="Times New Roman"/>
          <w:sz w:val="24"/>
          <w:szCs w:val="24"/>
        </w:rPr>
        <w:t>sonra, hedeflere nasıl ulaşılacağı ve sonuçların ne şekilde ölçülüp değerlendirileceği</w:t>
      </w:r>
      <w:r w:rsidR="00CA73BD" w:rsidRPr="0039044E">
        <w:rPr>
          <w:rFonts w:ascii="Times New Roman" w:hAnsi="Times New Roman" w:cs="Times New Roman"/>
          <w:sz w:val="24"/>
          <w:szCs w:val="24"/>
        </w:rPr>
        <w:t>,</w:t>
      </w:r>
      <w:r w:rsidRPr="0039044E">
        <w:rPr>
          <w:rFonts w:ascii="Times New Roman" w:hAnsi="Times New Roman" w:cs="Times New Roman"/>
          <w:sz w:val="24"/>
          <w:szCs w:val="24"/>
        </w:rPr>
        <w:t xml:space="preserve"> </w:t>
      </w:r>
      <w:r w:rsidR="000109E6" w:rsidRPr="0039044E">
        <w:rPr>
          <w:rFonts w:ascii="Times New Roman" w:hAnsi="Times New Roman" w:cs="Times New Roman"/>
          <w:sz w:val="24"/>
          <w:szCs w:val="24"/>
        </w:rPr>
        <w:t>kalitenin sağl</w:t>
      </w:r>
      <w:r w:rsidR="007812DF" w:rsidRPr="0039044E">
        <w:rPr>
          <w:rFonts w:ascii="Times New Roman" w:hAnsi="Times New Roman" w:cs="Times New Roman"/>
          <w:sz w:val="24"/>
          <w:szCs w:val="24"/>
        </w:rPr>
        <w:t>anmasında bir diğer önemli noktadır.</w:t>
      </w:r>
      <w:r w:rsidR="000109E6" w:rsidRPr="0039044E">
        <w:rPr>
          <w:rFonts w:ascii="Times New Roman" w:hAnsi="Times New Roman" w:cs="Times New Roman"/>
          <w:sz w:val="24"/>
          <w:szCs w:val="24"/>
        </w:rPr>
        <w:t xml:space="preserve"> </w:t>
      </w:r>
    </w:p>
    <w:p w:rsidR="0004589C" w:rsidRPr="0039044E" w:rsidRDefault="00020568" w:rsidP="007C5BF4">
      <w:pPr>
        <w:spacing w:line="240" w:lineRule="auto"/>
        <w:jc w:val="both"/>
        <w:rPr>
          <w:rFonts w:ascii="Times New Roman" w:hAnsi="Times New Roman" w:cs="Times New Roman"/>
          <w:b/>
          <w:sz w:val="24"/>
          <w:szCs w:val="24"/>
        </w:rPr>
      </w:pPr>
      <w:r w:rsidRPr="0039044E">
        <w:rPr>
          <w:rFonts w:ascii="Times New Roman" w:hAnsi="Times New Roman" w:cs="Times New Roman"/>
          <w:b/>
          <w:sz w:val="24"/>
          <w:szCs w:val="24"/>
        </w:rPr>
        <w:t>2.4.</w:t>
      </w:r>
      <w:r w:rsidR="00C0263D">
        <w:rPr>
          <w:rFonts w:ascii="Times New Roman" w:hAnsi="Times New Roman" w:cs="Times New Roman"/>
          <w:b/>
          <w:sz w:val="24"/>
          <w:szCs w:val="24"/>
        </w:rPr>
        <w:t xml:space="preserve"> </w:t>
      </w:r>
      <w:r w:rsidR="0004589C" w:rsidRPr="0039044E">
        <w:rPr>
          <w:rFonts w:ascii="Times New Roman" w:hAnsi="Times New Roman" w:cs="Times New Roman"/>
          <w:b/>
          <w:sz w:val="24"/>
          <w:szCs w:val="24"/>
        </w:rPr>
        <w:t>Sağlıkta Kalitenin Değerlendirilmesi</w:t>
      </w:r>
    </w:p>
    <w:p w:rsidR="00EC5F0E" w:rsidRPr="0039044E" w:rsidRDefault="000109E6"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Donabedian (1988)</w:t>
      </w:r>
      <w:r w:rsidR="00567432" w:rsidRPr="0039044E">
        <w:rPr>
          <w:rFonts w:ascii="Times New Roman" w:hAnsi="Times New Roman" w:cs="Times New Roman"/>
          <w:sz w:val="24"/>
          <w:szCs w:val="24"/>
        </w:rPr>
        <w:t xml:space="preserve"> </w:t>
      </w:r>
      <w:r w:rsidRPr="0039044E">
        <w:rPr>
          <w:rFonts w:ascii="Times New Roman" w:hAnsi="Times New Roman" w:cs="Times New Roman"/>
          <w:sz w:val="24"/>
          <w:szCs w:val="24"/>
        </w:rPr>
        <w:t>sağlık hizmetlerinde kaliteyi</w:t>
      </w:r>
      <w:r w:rsidR="00C0263D">
        <w:rPr>
          <w:rFonts w:ascii="Times New Roman" w:hAnsi="Times New Roman" w:cs="Times New Roman"/>
          <w:sz w:val="24"/>
          <w:szCs w:val="24"/>
        </w:rPr>
        <w:t>;</w:t>
      </w:r>
      <w:r w:rsidRPr="0039044E">
        <w:rPr>
          <w:rFonts w:ascii="Times New Roman" w:hAnsi="Times New Roman" w:cs="Times New Roman"/>
          <w:sz w:val="24"/>
          <w:szCs w:val="24"/>
        </w:rPr>
        <w:t xml:space="preserve"> yapı, süreç ve çıktı kalitesini ele alarak değerlendirilebileceğinden bahsetmiş ve bunu doğru ve iyi çıktıların, doğru süreçler, doğru süreçlerin ise ancak iyi bir yapı ile elde edilebileceğini savunarak ortaya koymuştur. </w:t>
      </w:r>
      <w:r w:rsidR="00234A18" w:rsidRPr="0039044E">
        <w:rPr>
          <w:rFonts w:ascii="Times New Roman" w:hAnsi="Times New Roman" w:cs="Times New Roman"/>
          <w:sz w:val="24"/>
          <w:szCs w:val="24"/>
        </w:rPr>
        <w:t>Yazara göre yapı (ya</w:t>
      </w:r>
      <w:r w:rsidR="00FC249C" w:rsidRPr="0039044E">
        <w:rPr>
          <w:rFonts w:ascii="Times New Roman" w:hAnsi="Times New Roman" w:cs="Times New Roman"/>
          <w:sz w:val="24"/>
          <w:szCs w:val="24"/>
        </w:rPr>
        <w:t xml:space="preserve"> </w:t>
      </w:r>
      <w:r w:rsidR="00234A18" w:rsidRPr="0039044E">
        <w:rPr>
          <w:rFonts w:ascii="Times New Roman" w:hAnsi="Times New Roman" w:cs="Times New Roman"/>
          <w:sz w:val="24"/>
          <w:szCs w:val="24"/>
        </w:rPr>
        <w:t>da girdi), sağlık hizmeti</w:t>
      </w:r>
      <w:r w:rsidR="00FC249C" w:rsidRPr="0039044E">
        <w:rPr>
          <w:rFonts w:ascii="Times New Roman" w:hAnsi="Times New Roman" w:cs="Times New Roman"/>
          <w:sz w:val="24"/>
          <w:szCs w:val="24"/>
        </w:rPr>
        <w:t xml:space="preserve">nin sunulduğu kurumun bina, teknoloji, sermaye gibi maddi kaynaklarını, sağlık profesyonellerinin nitelik ve nicelik özelliklerini kapsayan insan kaynakları ve entelektüel sermayesini içermektedir. Süreç ise belirli girdiler ya da kaynakların ne şekilde kullanılarak nasıl bir hizmet sunulduğunu ifade etmektedir. Süreçler tanı koyma, tedavinin uygulanması gibi hastayla ilgili ve personelin ödeme sistemleri, </w:t>
      </w:r>
      <w:r w:rsidR="00836C2D" w:rsidRPr="0039044E">
        <w:rPr>
          <w:rFonts w:ascii="Times New Roman" w:hAnsi="Times New Roman" w:cs="Times New Roman"/>
          <w:sz w:val="24"/>
          <w:szCs w:val="24"/>
        </w:rPr>
        <w:t>finansmanın sağlanması gibi yönetim faktörlerini kapsamaktadır. Sonuçlar ya da çıktı boyutu ise ölüm oranları, sağlıkta elde edilen iyileşme vb. sağlık hizmeti sunumunun etkilerini ifade etmektedir</w:t>
      </w:r>
      <w:r w:rsidR="002304BA" w:rsidRPr="0039044E">
        <w:rPr>
          <w:rFonts w:ascii="Times New Roman" w:hAnsi="Times New Roman" w:cs="Times New Roman"/>
          <w:sz w:val="24"/>
          <w:szCs w:val="24"/>
        </w:rPr>
        <w:t xml:space="preserve"> (Legido-Quigley vd. 2008).</w:t>
      </w:r>
    </w:p>
    <w:p w:rsidR="002E079D" w:rsidRPr="0039044E" w:rsidRDefault="00711A55"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Ancak görüleceği üzere bu boyutlarda </w:t>
      </w:r>
      <w:r w:rsidR="00CB6E56" w:rsidRPr="0039044E">
        <w:rPr>
          <w:rFonts w:ascii="Times New Roman" w:hAnsi="Times New Roman" w:cs="Times New Roman"/>
          <w:sz w:val="24"/>
          <w:szCs w:val="24"/>
        </w:rPr>
        <w:t xml:space="preserve">i) </w:t>
      </w:r>
      <w:r w:rsidRPr="0039044E">
        <w:rPr>
          <w:rFonts w:ascii="Times New Roman" w:hAnsi="Times New Roman" w:cs="Times New Roman"/>
          <w:sz w:val="24"/>
          <w:szCs w:val="24"/>
        </w:rPr>
        <w:t>hizmet alanların beklenti ya da algıları yer almamakta, kalitenin daha çok teknik ayağı ele alınmakta</w:t>
      </w:r>
      <w:r w:rsidR="002E079D" w:rsidRPr="0039044E">
        <w:rPr>
          <w:rFonts w:ascii="Times New Roman" w:hAnsi="Times New Roman" w:cs="Times New Roman"/>
          <w:sz w:val="24"/>
          <w:szCs w:val="24"/>
        </w:rPr>
        <w:t xml:space="preserve">, </w:t>
      </w:r>
      <w:r w:rsidR="00CB6E56" w:rsidRPr="0039044E">
        <w:rPr>
          <w:rFonts w:ascii="Times New Roman" w:hAnsi="Times New Roman" w:cs="Times New Roman"/>
          <w:sz w:val="24"/>
          <w:szCs w:val="24"/>
        </w:rPr>
        <w:t xml:space="preserve">ii) </w:t>
      </w:r>
      <w:r w:rsidR="002E079D" w:rsidRPr="0039044E">
        <w:rPr>
          <w:rFonts w:ascii="Times New Roman" w:hAnsi="Times New Roman" w:cs="Times New Roman"/>
          <w:sz w:val="24"/>
          <w:szCs w:val="24"/>
        </w:rPr>
        <w:t>ayrıca elde edilen çıktı/sonuç faktörü ise daha çok hizmetlerin klinik çıktılarına odaklanmaktadır.</w:t>
      </w:r>
    </w:p>
    <w:p w:rsidR="00CB6E56" w:rsidRPr="005871F3" w:rsidRDefault="00020568" w:rsidP="007C5BF4">
      <w:pPr>
        <w:spacing w:line="240" w:lineRule="auto"/>
        <w:jc w:val="both"/>
        <w:rPr>
          <w:rFonts w:ascii="Times New Roman" w:hAnsi="Times New Roman" w:cs="Times New Roman"/>
          <w:b/>
          <w:sz w:val="24"/>
          <w:szCs w:val="24"/>
        </w:rPr>
      </w:pPr>
      <w:r w:rsidRPr="005871F3">
        <w:rPr>
          <w:rFonts w:ascii="Times New Roman" w:hAnsi="Times New Roman" w:cs="Times New Roman"/>
          <w:b/>
          <w:sz w:val="24"/>
          <w:szCs w:val="24"/>
        </w:rPr>
        <w:t>2.5.</w:t>
      </w:r>
      <w:r w:rsidR="005871F3" w:rsidRPr="005871F3">
        <w:rPr>
          <w:rFonts w:ascii="Times New Roman" w:hAnsi="Times New Roman" w:cs="Times New Roman"/>
          <w:b/>
          <w:sz w:val="24"/>
          <w:szCs w:val="24"/>
        </w:rPr>
        <w:t xml:space="preserve"> </w:t>
      </w:r>
      <w:r w:rsidR="005871F3">
        <w:rPr>
          <w:rFonts w:ascii="Times New Roman" w:hAnsi="Times New Roman" w:cs="Times New Roman"/>
          <w:b/>
          <w:sz w:val="24"/>
          <w:szCs w:val="24"/>
        </w:rPr>
        <w:t>Beklenen ve Algılanan Kalite mi, Teknik ve Fonksiyonel Kalite m</w:t>
      </w:r>
      <w:r w:rsidR="005871F3" w:rsidRPr="005871F3">
        <w:rPr>
          <w:rFonts w:ascii="Times New Roman" w:hAnsi="Times New Roman" w:cs="Times New Roman"/>
          <w:b/>
          <w:sz w:val="24"/>
          <w:szCs w:val="24"/>
        </w:rPr>
        <w:t>i</w:t>
      </w:r>
      <w:r w:rsidR="00CB6E56" w:rsidRPr="005871F3">
        <w:rPr>
          <w:rFonts w:ascii="Times New Roman" w:hAnsi="Times New Roman" w:cs="Times New Roman"/>
          <w:b/>
          <w:sz w:val="24"/>
          <w:szCs w:val="24"/>
        </w:rPr>
        <w:t>?</w:t>
      </w:r>
    </w:p>
    <w:p w:rsidR="00EB32B0" w:rsidRPr="0039044E" w:rsidRDefault="00224C43"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Literatür incelendiğinde s</w:t>
      </w:r>
      <w:r w:rsidR="00EB32B0" w:rsidRPr="0039044E">
        <w:rPr>
          <w:rFonts w:ascii="Times New Roman" w:hAnsi="Times New Roman" w:cs="Times New Roman"/>
          <w:sz w:val="24"/>
          <w:szCs w:val="24"/>
        </w:rPr>
        <w:t>ağlık</w:t>
      </w:r>
      <w:r w:rsidR="00621131" w:rsidRPr="0039044E">
        <w:rPr>
          <w:rFonts w:ascii="Times New Roman" w:hAnsi="Times New Roman" w:cs="Times New Roman"/>
          <w:sz w:val="24"/>
          <w:szCs w:val="24"/>
        </w:rPr>
        <w:t xml:space="preserve"> hizmet kalitesinin değerlendirilmesine yönelik çalışmaların bir kısmı</w:t>
      </w:r>
      <w:r w:rsidR="00EB32B0" w:rsidRPr="0039044E">
        <w:rPr>
          <w:rFonts w:ascii="Times New Roman" w:hAnsi="Times New Roman" w:cs="Times New Roman"/>
          <w:sz w:val="24"/>
          <w:szCs w:val="24"/>
        </w:rPr>
        <w:t xml:space="preserve"> </w:t>
      </w:r>
      <w:r w:rsidR="00621131" w:rsidRPr="0039044E">
        <w:rPr>
          <w:rFonts w:ascii="Times New Roman" w:hAnsi="Times New Roman" w:cs="Times New Roman"/>
          <w:sz w:val="24"/>
          <w:szCs w:val="24"/>
        </w:rPr>
        <w:t>hizmetlerin hasta tarafından değerlendirildiği çalışmalardır.</w:t>
      </w:r>
      <w:r w:rsidR="00EB32B0" w:rsidRPr="0039044E">
        <w:rPr>
          <w:rFonts w:ascii="Times New Roman" w:hAnsi="Times New Roman" w:cs="Times New Roman"/>
          <w:sz w:val="24"/>
          <w:szCs w:val="24"/>
        </w:rPr>
        <w:t xml:space="preserve"> Bu çalışmalarda algılanan kalite, beklenen kalite kavramları</w:t>
      </w:r>
      <w:r w:rsidRPr="0039044E">
        <w:rPr>
          <w:rFonts w:ascii="Times New Roman" w:hAnsi="Times New Roman" w:cs="Times New Roman"/>
          <w:sz w:val="24"/>
          <w:szCs w:val="24"/>
        </w:rPr>
        <w:t xml:space="preserve"> </w:t>
      </w:r>
      <w:r w:rsidR="00EB32B0" w:rsidRPr="0039044E">
        <w:rPr>
          <w:rFonts w:ascii="Times New Roman" w:hAnsi="Times New Roman" w:cs="Times New Roman"/>
          <w:sz w:val="24"/>
          <w:szCs w:val="24"/>
        </w:rPr>
        <w:t>tartışılmakta, ağırlıklı olarak algılanan kalite ile beklenen kalite arasındaki farkı ölçen Servqual ya da beklentiyi göz ardı ederek sadece performansın ölçüldüğü Servperf modelleri kullanılmaktadır</w:t>
      </w:r>
      <w:r w:rsidR="00934ECC" w:rsidRPr="0039044E">
        <w:rPr>
          <w:rFonts w:ascii="Times New Roman" w:hAnsi="Times New Roman" w:cs="Times New Roman"/>
          <w:sz w:val="24"/>
          <w:szCs w:val="24"/>
        </w:rPr>
        <w:t xml:space="preserve"> </w:t>
      </w:r>
      <w:r w:rsidR="004D4275" w:rsidRPr="0039044E">
        <w:rPr>
          <w:rFonts w:ascii="Times New Roman" w:hAnsi="Times New Roman" w:cs="Times New Roman"/>
          <w:sz w:val="24"/>
          <w:szCs w:val="24"/>
        </w:rPr>
        <w:t>(Parasuraman vd.,1991</w:t>
      </w:r>
      <w:r w:rsidR="00934ECC" w:rsidRPr="0039044E">
        <w:rPr>
          <w:rFonts w:ascii="Times New Roman" w:hAnsi="Times New Roman" w:cs="Times New Roman"/>
          <w:sz w:val="24"/>
          <w:szCs w:val="24"/>
        </w:rPr>
        <w:t>,</w:t>
      </w:r>
      <w:r w:rsidR="004D4275" w:rsidRPr="0039044E">
        <w:rPr>
          <w:rFonts w:ascii="Times New Roman" w:hAnsi="Times New Roman" w:cs="Times New Roman"/>
          <w:sz w:val="24"/>
          <w:szCs w:val="24"/>
        </w:rPr>
        <w:t xml:space="preserve">  </w:t>
      </w:r>
      <w:r w:rsidR="00934ECC" w:rsidRPr="0039044E">
        <w:rPr>
          <w:rFonts w:ascii="Times New Roman" w:hAnsi="Times New Roman" w:cs="Times New Roman"/>
          <w:sz w:val="24"/>
          <w:szCs w:val="24"/>
        </w:rPr>
        <w:t>Cronin ve Taylor, 1992)</w:t>
      </w:r>
      <w:r w:rsidR="00EB32B0" w:rsidRPr="0039044E">
        <w:rPr>
          <w:rFonts w:ascii="Times New Roman" w:hAnsi="Times New Roman" w:cs="Times New Roman"/>
          <w:sz w:val="24"/>
          <w:szCs w:val="24"/>
        </w:rPr>
        <w:t>. Modellerden, müşterinin algıladığı hizmet kalitesini ölçmeye yönelik olan model (Servqual), daha yaygın kullanılmaktayken, hizmetin performansına yönelik olan modeli (Servperf) daha az kullanıldığı görülmektedir (</w:t>
      </w:r>
      <w:r w:rsidR="00934ECC" w:rsidRPr="0039044E">
        <w:rPr>
          <w:rFonts w:ascii="Times New Roman" w:hAnsi="Times New Roman" w:cs="Times New Roman"/>
          <w:sz w:val="24"/>
          <w:szCs w:val="24"/>
        </w:rPr>
        <w:t xml:space="preserve">Parasuraman vd.,1990, Cronin ve Taylor 1994, </w:t>
      </w:r>
      <w:r w:rsidR="00EB32B0" w:rsidRPr="0039044E">
        <w:rPr>
          <w:rFonts w:ascii="Times New Roman" w:hAnsi="Times New Roman" w:cs="Times New Roman"/>
          <w:sz w:val="24"/>
          <w:szCs w:val="24"/>
        </w:rPr>
        <w:t xml:space="preserve">Carman, 1990:33). </w:t>
      </w:r>
    </w:p>
    <w:p w:rsidR="002E079D" w:rsidRPr="0039044E" w:rsidRDefault="00927687"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Sağlık hizmetlerinin hasta tarafından teknik olarak değerlendirilmesi, hizmet alan ve hizmeti sunan arasındaki asimetrik bilgi probleminden dolayı çoğu zaman mümkün olmamaktadır. Dolayısıyla k</w:t>
      </w:r>
      <w:r w:rsidR="002E079D" w:rsidRPr="0039044E">
        <w:rPr>
          <w:rFonts w:ascii="Times New Roman" w:hAnsi="Times New Roman" w:cs="Times New Roman"/>
          <w:sz w:val="24"/>
          <w:szCs w:val="24"/>
        </w:rPr>
        <w:t>alite kavramını</w:t>
      </w:r>
      <w:r w:rsidR="00D83C69" w:rsidRPr="0039044E">
        <w:rPr>
          <w:rFonts w:ascii="Times New Roman" w:hAnsi="Times New Roman" w:cs="Times New Roman"/>
          <w:sz w:val="24"/>
          <w:szCs w:val="24"/>
        </w:rPr>
        <w:t xml:space="preserve"> hasta tatmininin sağlanması için </w:t>
      </w:r>
      <w:r w:rsidR="002E079D" w:rsidRPr="0039044E">
        <w:rPr>
          <w:rFonts w:ascii="Times New Roman" w:hAnsi="Times New Roman" w:cs="Times New Roman"/>
          <w:sz w:val="24"/>
          <w:szCs w:val="24"/>
        </w:rPr>
        <w:t xml:space="preserve">müşteri istek ve ihtiyaçlarının karşılanması açısından ele alan </w:t>
      </w:r>
      <w:r w:rsidRPr="0039044E">
        <w:rPr>
          <w:rFonts w:ascii="Times New Roman" w:hAnsi="Times New Roman" w:cs="Times New Roman"/>
          <w:sz w:val="24"/>
          <w:szCs w:val="24"/>
        </w:rPr>
        <w:t xml:space="preserve">yukarıdaki </w:t>
      </w:r>
      <w:r w:rsidR="002E079D" w:rsidRPr="0039044E">
        <w:rPr>
          <w:rFonts w:ascii="Times New Roman" w:hAnsi="Times New Roman" w:cs="Times New Roman"/>
          <w:sz w:val="24"/>
          <w:szCs w:val="24"/>
        </w:rPr>
        <w:t>yaklaşımlar</w:t>
      </w:r>
      <w:r w:rsidR="00287CC5" w:rsidRPr="0039044E">
        <w:rPr>
          <w:rFonts w:ascii="Times New Roman" w:hAnsi="Times New Roman" w:cs="Times New Roman"/>
          <w:sz w:val="24"/>
          <w:szCs w:val="24"/>
        </w:rPr>
        <w:t xml:space="preserve">, </w:t>
      </w:r>
      <w:r w:rsidR="002E079D" w:rsidRPr="0039044E">
        <w:rPr>
          <w:rFonts w:ascii="Times New Roman" w:hAnsi="Times New Roman" w:cs="Times New Roman"/>
          <w:sz w:val="24"/>
          <w:szCs w:val="24"/>
        </w:rPr>
        <w:t xml:space="preserve">teknik boyutu göz ardı etmektedirler. </w:t>
      </w:r>
      <w:r w:rsidR="00ED6213" w:rsidRPr="0039044E">
        <w:rPr>
          <w:rFonts w:ascii="Times New Roman" w:hAnsi="Times New Roman" w:cs="Times New Roman"/>
          <w:sz w:val="24"/>
          <w:szCs w:val="24"/>
        </w:rPr>
        <w:t>Hizmetin teknik olarak “ne” olduğundan çok bu hizmetlerin hastaya “nasıl” sunulduğu</w:t>
      </w:r>
      <w:r w:rsidR="00E11921" w:rsidRPr="0039044E">
        <w:rPr>
          <w:rFonts w:ascii="Times New Roman" w:hAnsi="Times New Roman" w:cs="Times New Roman"/>
          <w:sz w:val="24"/>
          <w:szCs w:val="24"/>
        </w:rPr>
        <w:t>,</w:t>
      </w:r>
      <w:r w:rsidR="00ED6213" w:rsidRPr="0039044E">
        <w:rPr>
          <w:rFonts w:ascii="Times New Roman" w:hAnsi="Times New Roman" w:cs="Times New Roman"/>
          <w:sz w:val="24"/>
          <w:szCs w:val="24"/>
        </w:rPr>
        <w:t xml:space="preserve"> </w:t>
      </w:r>
      <w:r w:rsidR="00AF78AA" w:rsidRPr="0039044E">
        <w:rPr>
          <w:rFonts w:ascii="Times New Roman" w:hAnsi="Times New Roman" w:cs="Times New Roman"/>
          <w:sz w:val="24"/>
          <w:szCs w:val="24"/>
        </w:rPr>
        <w:t xml:space="preserve">bir diğer deyişle </w:t>
      </w:r>
      <w:r w:rsidR="00ED6213" w:rsidRPr="0039044E">
        <w:rPr>
          <w:rFonts w:ascii="Times New Roman" w:hAnsi="Times New Roman" w:cs="Times New Roman"/>
          <w:sz w:val="24"/>
          <w:szCs w:val="24"/>
        </w:rPr>
        <w:t>hizmetlerin fonksiyonel kalitesi</w:t>
      </w:r>
      <w:r w:rsidR="00AF78AA" w:rsidRPr="0039044E">
        <w:rPr>
          <w:rFonts w:ascii="Times New Roman" w:hAnsi="Times New Roman" w:cs="Times New Roman"/>
          <w:sz w:val="24"/>
          <w:szCs w:val="24"/>
        </w:rPr>
        <w:t>,</w:t>
      </w:r>
      <w:r w:rsidR="00ED6213" w:rsidRPr="0039044E">
        <w:rPr>
          <w:rFonts w:ascii="Times New Roman" w:hAnsi="Times New Roman" w:cs="Times New Roman"/>
          <w:sz w:val="24"/>
          <w:szCs w:val="24"/>
        </w:rPr>
        <w:t xml:space="preserve"> asimetrik bilgi ikilemindeki hastanın kaliteyi </w:t>
      </w:r>
      <w:r w:rsidR="00E11921" w:rsidRPr="0039044E">
        <w:rPr>
          <w:rFonts w:ascii="Times New Roman" w:hAnsi="Times New Roman" w:cs="Times New Roman"/>
          <w:sz w:val="24"/>
          <w:szCs w:val="24"/>
        </w:rPr>
        <w:t xml:space="preserve">nasıl </w:t>
      </w:r>
      <w:r w:rsidR="00ED6213" w:rsidRPr="0039044E">
        <w:rPr>
          <w:rFonts w:ascii="Times New Roman" w:hAnsi="Times New Roman" w:cs="Times New Roman"/>
          <w:sz w:val="24"/>
          <w:szCs w:val="24"/>
        </w:rPr>
        <w:t>algıla</w:t>
      </w:r>
      <w:r w:rsidR="00E11921" w:rsidRPr="0039044E">
        <w:rPr>
          <w:rFonts w:ascii="Times New Roman" w:hAnsi="Times New Roman" w:cs="Times New Roman"/>
          <w:sz w:val="24"/>
          <w:szCs w:val="24"/>
        </w:rPr>
        <w:t>dığı açısından hizmetin önemli detaylarını barındırmaktadır</w:t>
      </w:r>
      <w:r w:rsidR="00F17ACC" w:rsidRPr="0039044E">
        <w:rPr>
          <w:rFonts w:ascii="Times New Roman" w:hAnsi="Times New Roman" w:cs="Times New Roman"/>
          <w:sz w:val="24"/>
          <w:szCs w:val="24"/>
        </w:rPr>
        <w:t xml:space="preserve"> (</w:t>
      </w:r>
      <w:r w:rsidR="006E5DC5" w:rsidRPr="0039044E">
        <w:rPr>
          <w:rFonts w:ascii="Times New Roman" w:hAnsi="Times New Roman" w:cs="Times New Roman"/>
          <w:sz w:val="24"/>
          <w:szCs w:val="24"/>
        </w:rPr>
        <w:t xml:space="preserve">Grönroos, 1984; Donabedian, 1988; </w:t>
      </w:r>
      <w:r w:rsidR="00F17ACC" w:rsidRPr="0039044E">
        <w:rPr>
          <w:rFonts w:ascii="Times New Roman" w:hAnsi="Times New Roman" w:cs="Times New Roman"/>
          <w:sz w:val="24"/>
          <w:szCs w:val="24"/>
        </w:rPr>
        <w:t>Ardıç ve Güler,2000)</w:t>
      </w:r>
      <w:r w:rsidR="00E11921" w:rsidRPr="0039044E">
        <w:rPr>
          <w:rFonts w:ascii="Times New Roman" w:hAnsi="Times New Roman" w:cs="Times New Roman"/>
          <w:sz w:val="24"/>
          <w:szCs w:val="24"/>
        </w:rPr>
        <w:t xml:space="preserve">. </w:t>
      </w:r>
    </w:p>
    <w:p w:rsidR="00CB6E56" w:rsidRPr="00FE55A9" w:rsidRDefault="00020568" w:rsidP="007C5BF4">
      <w:pPr>
        <w:spacing w:line="240" w:lineRule="auto"/>
        <w:jc w:val="both"/>
        <w:rPr>
          <w:rFonts w:ascii="Times New Roman" w:hAnsi="Times New Roman" w:cs="Times New Roman"/>
          <w:b/>
          <w:sz w:val="24"/>
          <w:szCs w:val="24"/>
        </w:rPr>
      </w:pPr>
      <w:r w:rsidRPr="00FE55A9">
        <w:rPr>
          <w:rFonts w:ascii="Times New Roman" w:hAnsi="Times New Roman" w:cs="Times New Roman"/>
          <w:b/>
          <w:sz w:val="24"/>
          <w:szCs w:val="24"/>
        </w:rPr>
        <w:t>2.6.</w:t>
      </w:r>
      <w:r w:rsidR="00FE55A9">
        <w:rPr>
          <w:rFonts w:ascii="Times New Roman" w:hAnsi="Times New Roman" w:cs="Times New Roman"/>
          <w:b/>
          <w:sz w:val="24"/>
          <w:szCs w:val="24"/>
        </w:rPr>
        <w:t xml:space="preserve"> </w:t>
      </w:r>
      <w:r w:rsidR="00CB6E56" w:rsidRPr="00FE55A9">
        <w:rPr>
          <w:rFonts w:ascii="Times New Roman" w:hAnsi="Times New Roman" w:cs="Times New Roman"/>
          <w:b/>
          <w:sz w:val="24"/>
          <w:szCs w:val="24"/>
        </w:rPr>
        <w:t xml:space="preserve">Sadece </w:t>
      </w:r>
      <w:r w:rsidR="00FE55A9" w:rsidRPr="00FE55A9">
        <w:rPr>
          <w:rFonts w:ascii="Times New Roman" w:hAnsi="Times New Roman" w:cs="Times New Roman"/>
          <w:b/>
          <w:sz w:val="24"/>
          <w:szCs w:val="24"/>
        </w:rPr>
        <w:t xml:space="preserve">Klinik Çıktılar Yeterli </w:t>
      </w:r>
      <w:r w:rsidR="00CB6E56" w:rsidRPr="00FE55A9">
        <w:rPr>
          <w:rFonts w:ascii="Times New Roman" w:hAnsi="Times New Roman" w:cs="Times New Roman"/>
          <w:b/>
          <w:sz w:val="24"/>
          <w:szCs w:val="24"/>
        </w:rPr>
        <w:t>mi?</w:t>
      </w:r>
    </w:p>
    <w:p w:rsidR="00913D0F" w:rsidRPr="0039044E" w:rsidRDefault="008E6164"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lastRenderedPageBreak/>
        <w:t>S</w:t>
      </w:r>
      <w:r w:rsidR="007B1CD4" w:rsidRPr="0039044E">
        <w:rPr>
          <w:rFonts w:ascii="Times New Roman" w:hAnsi="Times New Roman" w:cs="Times New Roman"/>
          <w:sz w:val="24"/>
          <w:szCs w:val="24"/>
        </w:rPr>
        <w:t xml:space="preserve">ağlık kurumlarında sunulan sağlık hizmeti </w:t>
      </w:r>
      <w:r w:rsidR="00711A55" w:rsidRPr="0039044E">
        <w:rPr>
          <w:rFonts w:ascii="Times New Roman" w:hAnsi="Times New Roman" w:cs="Times New Roman"/>
          <w:sz w:val="24"/>
          <w:szCs w:val="24"/>
        </w:rPr>
        <w:t>çıktı</w:t>
      </w:r>
      <w:r w:rsidR="007B1CD4" w:rsidRPr="0039044E">
        <w:rPr>
          <w:rFonts w:ascii="Times New Roman" w:hAnsi="Times New Roman" w:cs="Times New Roman"/>
          <w:sz w:val="24"/>
          <w:szCs w:val="24"/>
        </w:rPr>
        <w:t>larını besleyen</w:t>
      </w:r>
      <w:r w:rsidR="00711A55" w:rsidRPr="0039044E">
        <w:rPr>
          <w:rFonts w:ascii="Times New Roman" w:hAnsi="Times New Roman" w:cs="Times New Roman"/>
          <w:sz w:val="24"/>
          <w:szCs w:val="24"/>
        </w:rPr>
        <w:t xml:space="preserve"> </w:t>
      </w:r>
      <w:r w:rsidR="007B1CD4" w:rsidRPr="0039044E">
        <w:rPr>
          <w:rFonts w:ascii="Times New Roman" w:hAnsi="Times New Roman" w:cs="Times New Roman"/>
          <w:sz w:val="24"/>
          <w:szCs w:val="24"/>
        </w:rPr>
        <w:t>diğer tüm hizmetlerin çıktıları</w:t>
      </w:r>
      <w:r w:rsidRPr="0039044E">
        <w:rPr>
          <w:rFonts w:ascii="Times New Roman" w:hAnsi="Times New Roman" w:cs="Times New Roman"/>
          <w:sz w:val="24"/>
          <w:szCs w:val="24"/>
        </w:rPr>
        <w:t>,</w:t>
      </w:r>
      <w:r w:rsidR="007B1CD4" w:rsidRPr="0039044E">
        <w:rPr>
          <w:rFonts w:ascii="Times New Roman" w:hAnsi="Times New Roman" w:cs="Times New Roman"/>
          <w:sz w:val="24"/>
          <w:szCs w:val="24"/>
        </w:rPr>
        <w:t xml:space="preserve"> en az </w:t>
      </w:r>
      <w:r w:rsidR="00553225" w:rsidRPr="0039044E">
        <w:rPr>
          <w:rFonts w:ascii="Times New Roman" w:hAnsi="Times New Roman" w:cs="Times New Roman"/>
          <w:sz w:val="24"/>
          <w:szCs w:val="24"/>
        </w:rPr>
        <w:t xml:space="preserve">sunulan hizmetin </w:t>
      </w:r>
      <w:r w:rsidR="007B1CD4" w:rsidRPr="0039044E">
        <w:rPr>
          <w:rFonts w:ascii="Times New Roman" w:hAnsi="Times New Roman" w:cs="Times New Roman"/>
          <w:sz w:val="24"/>
          <w:szCs w:val="24"/>
        </w:rPr>
        <w:t>klinik sonuçlar</w:t>
      </w:r>
      <w:r w:rsidR="00553225" w:rsidRPr="0039044E">
        <w:rPr>
          <w:rFonts w:ascii="Times New Roman" w:hAnsi="Times New Roman" w:cs="Times New Roman"/>
          <w:sz w:val="24"/>
          <w:szCs w:val="24"/>
        </w:rPr>
        <w:t>ı</w:t>
      </w:r>
      <w:r w:rsidR="007B1CD4" w:rsidRPr="0039044E">
        <w:rPr>
          <w:rFonts w:ascii="Times New Roman" w:hAnsi="Times New Roman" w:cs="Times New Roman"/>
          <w:sz w:val="24"/>
          <w:szCs w:val="24"/>
        </w:rPr>
        <w:t xml:space="preserve"> kadar önemlidir. Örneğin en iyi tanı ve tedavi sürecinden geçmiş bir hastanın sedyeyle transferi esnasında yetersiz bir personel tarafından düşürülmesi</w:t>
      </w:r>
      <w:r w:rsidR="00CE07C0" w:rsidRPr="0039044E">
        <w:rPr>
          <w:rFonts w:ascii="Times New Roman" w:hAnsi="Times New Roman" w:cs="Times New Roman"/>
          <w:sz w:val="24"/>
          <w:szCs w:val="24"/>
        </w:rPr>
        <w:t xml:space="preserve"> ya da ameliyat esnasında kesilen elektrikler ve devreye girmeyen jeneratörler</w:t>
      </w:r>
      <w:r w:rsidR="007B1CD4" w:rsidRPr="0039044E">
        <w:rPr>
          <w:rFonts w:ascii="Times New Roman" w:hAnsi="Times New Roman" w:cs="Times New Roman"/>
          <w:sz w:val="24"/>
          <w:szCs w:val="24"/>
        </w:rPr>
        <w:t xml:space="preserve"> tanı ya da tedaviyle ilgili olmaktan çok klinik hizmetler dışındaki hizmet unsurlarıyla ilişkili aksaklık</w:t>
      </w:r>
      <w:r w:rsidR="00CE07C0" w:rsidRPr="0039044E">
        <w:rPr>
          <w:rFonts w:ascii="Times New Roman" w:hAnsi="Times New Roman" w:cs="Times New Roman"/>
          <w:sz w:val="24"/>
          <w:szCs w:val="24"/>
        </w:rPr>
        <w:t>lardır</w:t>
      </w:r>
      <w:r w:rsidR="00552AF8" w:rsidRPr="0039044E">
        <w:rPr>
          <w:rFonts w:ascii="Times New Roman" w:hAnsi="Times New Roman" w:cs="Times New Roman"/>
          <w:sz w:val="24"/>
          <w:szCs w:val="24"/>
        </w:rPr>
        <w:t>.</w:t>
      </w:r>
      <w:r w:rsidR="009466A3" w:rsidRPr="0039044E">
        <w:rPr>
          <w:rFonts w:ascii="Times New Roman" w:hAnsi="Times New Roman" w:cs="Times New Roman"/>
          <w:sz w:val="24"/>
          <w:szCs w:val="24"/>
        </w:rPr>
        <w:t xml:space="preserve"> </w:t>
      </w:r>
      <w:r w:rsidR="007B1CD4" w:rsidRPr="0039044E">
        <w:rPr>
          <w:rFonts w:ascii="Times New Roman" w:hAnsi="Times New Roman" w:cs="Times New Roman"/>
          <w:sz w:val="24"/>
          <w:szCs w:val="24"/>
        </w:rPr>
        <w:t>Böyle bir hata çoğu zaman bir sağlık hizmeti personelinden çok organizasyonel hatalar zincirinin bir unsuru olmaktadır.</w:t>
      </w:r>
      <w:r w:rsidR="00552AF8" w:rsidRPr="0039044E">
        <w:rPr>
          <w:rFonts w:ascii="Times New Roman" w:hAnsi="Times New Roman" w:cs="Times New Roman"/>
          <w:sz w:val="24"/>
          <w:szCs w:val="24"/>
        </w:rPr>
        <w:t xml:space="preserve"> </w:t>
      </w:r>
      <w:r w:rsidR="00224C43" w:rsidRPr="0039044E">
        <w:rPr>
          <w:rFonts w:ascii="Times New Roman" w:hAnsi="Times New Roman" w:cs="Times New Roman"/>
          <w:sz w:val="24"/>
          <w:szCs w:val="24"/>
        </w:rPr>
        <w:t>Bu bakış açısıyla, ö</w:t>
      </w:r>
      <w:r w:rsidR="00913D0F" w:rsidRPr="0039044E">
        <w:rPr>
          <w:rFonts w:ascii="Times New Roman" w:hAnsi="Times New Roman" w:cs="Times New Roman"/>
          <w:sz w:val="24"/>
          <w:szCs w:val="24"/>
        </w:rPr>
        <w:t xml:space="preserve">zellikle </w:t>
      </w:r>
      <w:r w:rsidR="009466A3" w:rsidRPr="0039044E">
        <w:rPr>
          <w:rFonts w:ascii="Times New Roman" w:hAnsi="Times New Roman" w:cs="Times New Roman"/>
          <w:sz w:val="24"/>
          <w:szCs w:val="24"/>
        </w:rPr>
        <w:t>karmaşık</w:t>
      </w:r>
      <w:r w:rsidR="00913D0F" w:rsidRPr="0039044E">
        <w:rPr>
          <w:rFonts w:ascii="Times New Roman" w:hAnsi="Times New Roman" w:cs="Times New Roman"/>
          <w:sz w:val="24"/>
          <w:szCs w:val="24"/>
        </w:rPr>
        <w:t xml:space="preserve"> yapılarıyla hastane işletmelerini ele aldığımızda klinik çıktıların yanında organizasyondaki diğer hizmetlerin çıktılarının da sınıflandırılarak ölçülüyor olması ayrı bir önem taşımaktadır.</w:t>
      </w:r>
      <w:r w:rsidR="00552AF8" w:rsidRPr="0039044E">
        <w:rPr>
          <w:rFonts w:ascii="Times New Roman" w:hAnsi="Times New Roman" w:cs="Times New Roman"/>
          <w:sz w:val="24"/>
          <w:szCs w:val="24"/>
        </w:rPr>
        <w:t xml:space="preserve"> </w:t>
      </w:r>
    </w:p>
    <w:p w:rsidR="00647BB9" w:rsidRPr="0039044E" w:rsidRDefault="00563442"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Sağlık hizmetlerinde kalitenin, çalışmanın bu kısmına kadar ele alınan tüm boyutları bir arada değerlendirildiğinde görülmektedir ki sağlık</w:t>
      </w:r>
      <w:r w:rsidR="00DC00EB" w:rsidRPr="0039044E">
        <w:rPr>
          <w:rFonts w:ascii="Times New Roman" w:hAnsi="Times New Roman" w:cs="Times New Roman"/>
          <w:sz w:val="24"/>
          <w:szCs w:val="24"/>
        </w:rPr>
        <w:t>ta</w:t>
      </w:r>
      <w:r w:rsidRPr="0039044E">
        <w:rPr>
          <w:rFonts w:ascii="Times New Roman" w:hAnsi="Times New Roman" w:cs="Times New Roman"/>
          <w:sz w:val="24"/>
          <w:szCs w:val="24"/>
        </w:rPr>
        <w:t xml:space="preserve"> kalite birçok farklı açılardan ele alınmakta ancak </w:t>
      </w:r>
      <w:r w:rsidR="00647BB9" w:rsidRPr="0039044E">
        <w:rPr>
          <w:rFonts w:ascii="Times New Roman" w:hAnsi="Times New Roman" w:cs="Times New Roman"/>
          <w:sz w:val="24"/>
          <w:szCs w:val="24"/>
        </w:rPr>
        <w:t xml:space="preserve">kalitenin tanımından, bileşenlerine ve boyutlarına kadar ifade edilen unsurları </w:t>
      </w:r>
      <w:r w:rsidRPr="0039044E">
        <w:rPr>
          <w:rFonts w:ascii="Times New Roman" w:hAnsi="Times New Roman" w:cs="Times New Roman"/>
          <w:sz w:val="24"/>
          <w:szCs w:val="24"/>
        </w:rPr>
        <w:t xml:space="preserve">birbirleriyle iç içe geçmiş </w:t>
      </w:r>
      <w:r w:rsidR="00647BB9" w:rsidRPr="0039044E">
        <w:rPr>
          <w:rFonts w:ascii="Times New Roman" w:hAnsi="Times New Roman" w:cs="Times New Roman"/>
          <w:sz w:val="24"/>
          <w:szCs w:val="24"/>
        </w:rPr>
        <w:t xml:space="preserve">ya da bazı unsurları dışarıda bırakılarak ortaya konulmuştur. Çalışmanın bundan sonraki bölümünde bu karışıklığı bir nebze ortadan kaldırmaya yönelik olarak sağlık hizmetlerinde kalitenin belirleyicileri, literatürde daha önce ifade edilen birçok boyutun bütüncül olarak ele alınmasıyla ortaya konulmaya çalışılacaktır. </w:t>
      </w:r>
    </w:p>
    <w:p w:rsidR="004539B4" w:rsidRPr="0039044E" w:rsidRDefault="004539B4"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Grönroos (1984), Parasuraman vd.</w:t>
      </w:r>
      <w:r w:rsidR="00FE55A9">
        <w:rPr>
          <w:rFonts w:ascii="Times New Roman" w:hAnsi="Times New Roman" w:cs="Times New Roman"/>
          <w:sz w:val="24"/>
          <w:szCs w:val="24"/>
        </w:rPr>
        <w:t xml:space="preserve"> </w:t>
      </w:r>
      <w:r w:rsidRPr="0039044E">
        <w:rPr>
          <w:rFonts w:ascii="Times New Roman" w:hAnsi="Times New Roman" w:cs="Times New Roman"/>
          <w:sz w:val="24"/>
          <w:szCs w:val="24"/>
        </w:rPr>
        <w:t>(1985</w:t>
      </w:r>
      <w:r w:rsidR="0087003F" w:rsidRPr="0039044E">
        <w:rPr>
          <w:rFonts w:ascii="Times New Roman" w:hAnsi="Times New Roman" w:cs="Times New Roman"/>
          <w:sz w:val="24"/>
          <w:szCs w:val="24"/>
        </w:rPr>
        <w:t>) hizmet kalitesinin beklenen ve algılanan kalite arasındaki fark olduğu şeklinde önerdikleri model, Frost ve Kumar (2000) tarafından ortaya konulan “</w:t>
      </w:r>
      <w:r w:rsidR="00FE55A9" w:rsidRPr="0039044E">
        <w:rPr>
          <w:rFonts w:ascii="Times New Roman" w:hAnsi="Times New Roman" w:cs="Times New Roman"/>
          <w:sz w:val="24"/>
          <w:szCs w:val="24"/>
        </w:rPr>
        <w:t>İç Hizmet Kalitesi Modeli</w:t>
      </w:r>
      <w:r w:rsidR="0087003F" w:rsidRPr="0039044E">
        <w:rPr>
          <w:rFonts w:ascii="Times New Roman" w:hAnsi="Times New Roman" w:cs="Times New Roman"/>
          <w:sz w:val="24"/>
          <w:szCs w:val="24"/>
        </w:rPr>
        <w:t xml:space="preserve">” ile geliştirilmiş bu modelde kalitenin destek personeli ve direkt hizmet personeli ayrımına dikkat çekilerek ölçülmesi önerilmiştir. </w:t>
      </w:r>
      <w:r w:rsidR="00A91082" w:rsidRPr="0039044E">
        <w:rPr>
          <w:rFonts w:ascii="Times New Roman" w:hAnsi="Times New Roman" w:cs="Times New Roman"/>
          <w:sz w:val="24"/>
          <w:szCs w:val="24"/>
        </w:rPr>
        <w:t>Literatürde teknik kalite olarak adlandırılan alanın kapsamı dışında kalan bu değerlendirmeler, bi</w:t>
      </w:r>
      <w:r w:rsidR="00057301" w:rsidRPr="0039044E">
        <w:rPr>
          <w:rFonts w:ascii="Times New Roman" w:hAnsi="Times New Roman" w:cs="Times New Roman"/>
          <w:sz w:val="24"/>
          <w:szCs w:val="24"/>
        </w:rPr>
        <w:t>r diğer deyişle</w:t>
      </w:r>
      <w:r w:rsidR="00A91082" w:rsidRPr="0039044E">
        <w:rPr>
          <w:rFonts w:ascii="Times New Roman" w:hAnsi="Times New Roman" w:cs="Times New Roman"/>
          <w:sz w:val="24"/>
          <w:szCs w:val="24"/>
        </w:rPr>
        <w:t xml:space="preserve"> hastaların hizmet kalite algısını belirleyen noktalar</w:t>
      </w:r>
      <w:r w:rsidR="00057301" w:rsidRPr="0039044E">
        <w:rPr>
          <w:rFonts w:ascii="Times New Roman" w:hAnsi="Times New Roman" w:cs="Times New Roman"/>
          <w:sz w:val="24"/>
          <w:szCs w:val="24"/>
        </w:rPr>
        <w:t>,</w:t>
      </w:r>
      <w:r w:rsidR="00A91082" w:rsidRPr="0039044E">
        <w:rPr>
          <w:rFonts w:ascii="Times New Roman" w:hAnsi="Times New Roman" w:cs="Times New Roman"/>
          <w:sz w:val="24"/>
          <w:szCs w:val="24"/>
        </w:rPr>
        <w:t xml:space="preserve"> daha çok konunun teknik boyutunun dışında kalan hasta-doktor ilişkisi ve/veya hastane ortamı gibi</w:t>
      </w:r>
      <w:r w:rsidR="0013183B" w:rsidRPr="0039044E">
        <w:rPr>
          <w:rFonts w:ascii="Times New Roman" w:hAnsi="Times New Roman" w:cs="Times New Roman"/>
          <w:sz w:val="24"/>
          <w:szCs w:val="24"/>
        </w:rPr>
        <w:t xml:space="preserve"> fonksiyonel kaliteyi oluşturan</w:t>
      </w:r>
      <w:r w:rsidR="00A91082" w:rsidRPr="0039044E">
        <w:rPr>
          <w:rFonts w:ascii="Times New Roman" w:hAnsi="Times New Roman" w:cs="Times New Roman"/>
          <w:sz w:val="24"/>
          <w:szCs w:val="24"/>
        </w:rPr>
        <w:t xml:space="preserve"> dolaylı nitelikteki kriterler olmaktadır (</w:t>
      </w:r>
      <w:r w:rsidR="0013183B" w:rsidRPr="0039044E">
        <w:rPr>
          <w:rFonts w:ascii="Times New Roman" w:hAnsi="Times New Roman" w:cs="Times New Roman"/>
          <w:sz w:val="24"/>
          <w:szCs w:val="24"/>
        </w:rPr>
        <w:t xml:space="preserve">Grönroos1984, Donabedian, 1988, </w:t>
      </w:r>
      <w:r w:rsidR="00A91082" w:rsidRPr="0039044E">
        <w:rPr>
          <w:rFonts w:ascii="Times New Roman" w:hAnsi="Times New Roman" w:cs="Times New Roman"/>
          <w:sz w:val="24"/>
          <w:szCs w:val="24"/>
        </w:rPr>
        <w:t>Bow</w:t>
      </w:r>
      <w:r w:rsidR="0013183B" w:rsidRPr="0039044E">
        <w:rPr>
          <w:rFonts w:ascii="Times New Roman" w:hAnsi="Times New Roman" w:cs="Times New Roman"/>
          <w:sz w:val="24"/>
          <w:szCs w:val="24"/>
        </w:rPr>
        <w:t>er</w:t>
      </w:r>
      <w:r w:rsidR="00C46D2F" w:rsidRPr="0039044E">
        <w:rPr>
          <w:rFonts w:ascii="Times New Roman" w:hAnsi="Times New Roman" w:cs="Times New Roman"/>
          <w:sz w:val="24"/>
          <w:szCs w:val="24"/>
        </w:rPr>
        <w:t>s vd., 1994; Ettinger, 1998</w:t>
      </w:r>
      <w:r w:rsidR="00A91082" w:rsidRPr="0039044E">
        <w:rPr>
          <w:rFonts w:ascii="Times New Roman" w:hAnsi="Times New Roman" w:cs="Times New Roman"/>
          <w:sz w:val="24"/>
          <w:szCs w:val="24"/>
        </w:rPr>
        <w:t>).</w:t>
      </w:r>
    </w:p>
    <w:p w:rsidR="004539B4" w:rsidRPr="0039044E" w:rsidRDefault="00A32E36"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Sağlık hizmetlerinde kalitenin ele alınış şekliyle ilgili olarak ortaya konulan bir diğer bakış açısı ise Sa</w:t>
      </w:r>
      <w:r w:rsidR="00B55EED" w:rsidRPr="0039044E">
        <w:rPr>
          <w:rFonts w:ascii="Times New Roman" w:hAnsi="Times New Roman" w:cs="Times New Roman"/>
          <w:sz w:val="24"/>
          <w:szCs w:val="24"/>
        </w:rPr>
        <w:t xml:space="preserve">turno ve arkadaşlarının (1997) kalitenin 3 düzeyde incelenebileceğine ve uygulanabileceğine dair yaptıkları tespittir. Yazarlara göre birinci düzey yer alan genel kalite bakış açısı tüm hizmetler için kullanılabilmektedir. İkinci düzeyde ise sadece belli hizmet grupları söz konusuyken, üçüncü düzey, sağlık kurumu tarafından sunulan özellikli ürünleri ifade etmektedir. </w:t>
      </w:r>
      <w:r w:rsidR="002F06E9">
        <w:rPr>
          <w:rFonts w:ascii="Times New Roman" w:hAnsi="Times New Roman" w:cs="Times New Roman"/>
          <w:sz w:val="24"/>
          <w:szCs w:val="24"/>
        </w:rPr>
        <w:t>Saturno vd</w:t>
      </w:r>
      <w:r w:rsidR="00C46D2F" w:rsidRPr="0039044E">
        <w:rPr>
          <w:rFonts w:ascii="Times New Roman" w:hAnsi="Times New Roman" w:cs="Times New Roman"/>
          <w:sz w:val="24"/>
          <w:szCs w:val="24"/>
        </w:rPr>
        <w:t xml:space="preserve">’nin ortaya koydukları bu yaklaşım, kalite kavramının farklı düzeylerde ele alınmasının </w:t>
      </w:r>
      <w:r w:rsidR="00415541" w:rsidRPr="0039044E">
        <w:rPr>
          <w:rFonts w:ascii="Times New Roman" w:hAnsi="Times New Roman" w:cs="Times New Roman"/>
          <w:sz w:val="24"/>
          <w:szCs w:val="24"/>
        </w:rPr>
        <w:t>gerekliliğini ortaya koymaktadır. S</w:t>
      </w:r>
      <w:r w:rsidR="00C46D2F" w:rsidRPr="0039044E">
        <w:rPr>
          <w:rFonts w:ascii="Times New Roman" w:hAnsi="Times New Roman" w:cs="Times New Roman"/>
          <w:sz w:val="24"/>
          <w:szCs w:val="24"/>
        </w:rPr>
        <w:t xml:space="preserve">ağlık hizmeti sunan kurumların kompleks yapılar </w:t>
      </w:r>
      <w:r w:rsidR="00415541" w:rsidRPr="0039044E">
        <w:rPr>
          <w:rFonts w:ascii="Times New Roman" w:hAnsi="Times New Roman" w:cs="Times New Roman"/>
          <w:sz w:val="24"/>
          <w:szCs w:val="24"/>
        </w:rPr>
        <w:t xml:space="preserve">olması, sunulan hizmetlerin ve çıktılarının </w:t>
      </w:r>
      <w:r w:rsidR="00C46D2F" w:rsidRPr="0039044E">
        <w:rPr>
          <w:rFonts w:ascii="Times New Roman" w:hAnsi="Times New Roman" w:cs="Times New Roman"/>
          <w:sz w:val="24"/>
          <w:szCs w:val="24"/>
        </w:rPr>
        <w:t>birçok açıdan farklılıklar göstermes</w:t>
      </w:r>
      <w:r w:rsidR="00415541" w:rsidRPr="0039044E">
        <w:rPr>
          <w:rFonts w:ascii="Times New Roman" w:hAnsi="Times New Roman" w:cs="Times New Roman"/>
          <w:sz w:val="24"/>
          <w:szCs w:val="24"/>
        </w:rPr>
        <w:t>i dikkate alındığında kalite çalışmalarının hayata geçirilmesi ve değerlendirilmesinde böyle bir seviyelendirmenin yapılması uygun düşecektir.</w:t>
      </w:r>
    </w:p>
    <w:p w:rsidR="007C5BF4" w:rsidRPr="0039044E" w:rsidRDefault="00B97B5C" w:rsidP="007C5BF4">
      <w:pPr>
        <w:tabs>
          <w:tab w:val="center" w:pos="4536"/>
        </w:tabs>
        <w:spacing w:line="240" w:lineRule="auto"/>
        <w:rPr>
          <w:rFonts w:ascii="Times New Roman" w:hAnsi="Times New Roman" w:cs="Times New Roman"/>
          <w:b/>
          <w:sz w:val="24"/>
          <w:szCs w:val="24"/>
        </w:rPr>
      </w:pPr>
      <w:r w:rsidRPr="0039044E">
        <w:rPr>
          <w:rFonts w:ascii="Times New Roman" w:hAnsi="Times New Roman" w:cs="Times New Roman"/>
          <w:b/>
          <w:sz w:val="24"/>
          <w:szCs w:val="24"/>
        </w:rPr>
        <w:t xml:space="preserve">                            </w:t>
      </w:r>
    </w:p>
    <w:p w:rsidR="007C5BF4" w:rsidRPr="0039044E" w:rsidRDefault="00B97B5C" w:rsidP="007C5BF4">
      <w:pPr>
        <w:tabs>
          <w:tab w:val="center" w:pos="4536"/>
        </w:tabs>
        <w:spacing w:line="240" w:lineRule="auto"/>
        <w:rPr>
          <w:rFonts w:ascii="Times New Roman" w:hAnsi="Times New Roman" w:cs="Times New Roman"/>
          <w:b/>
          <w:sz w:val="24"/>
          <w:szCs w:val="24"/>
        </w:rPr>
      </w:pPr>
      <w:r w:rsidRPr="0039044E">
        <w:rPr>
          <w:rFonts w:ascii="Times New Roman" w:hAnsi="Times New Roman" w:cs="Times New Roman"/>
          <w:b/>
          <w:sz w:val="24"/>
          <w:szCs w:val="24"/>
        </w:rPr>
        <w:t xml:space="preserve"> </w:t>
      </w:r>
    </w:p>
    <w:p w:rsidR="00B376FD" w:rsidRDefault="007C5BF4" w:rsidP="002F06E9">
      <w:pPr>
        <w:rPr>
          <w:rFonts w:ascii="Times New Roman" w:hAnsi="Times New Roman" w:cs="Times New Roman"/>
          <w:b/>
          <w:sz w:val="24"/>
          <w:szCs w:val="24"/>
        </w:rPr>
      </w:pPr>
      <w:r w:rsidRPr="0039044E">
        <w:rPr>
          <w:rFonts w:ascii="Times New Roman" w:hAnsi="Times New Roman" w:cs="Times New Roman"/>
          <w:b/>
          <w:sz w:val="24"/>
          <w:szCs w:val="24"/>
        </w:rPr>
        <w:br w:type="page"/>
      </w:r>
      <w:r w:rsidR="0076337D" w:rsidRPr="0039044E">
        <w:rPr>
          <w:rFonts w:ascii="Times New Roman" w:hAnsi="Times New Roman" w:cs="Times New Roman"/>
          <w:b/>
          <w:noProof/>
          <w:sz w:val="24"/>
          <w:szCs w:val="24"/>
          <w:lang w:eastAsia="tr-TR"/>
        </w:rPr>
        <w:lastRenderedPageBreak/>
        <w:drawing>
          <wp:inline distT="0" distB="0" distL="0" distR="0" wp14:anchorId="7BF6AAF4" wp14:editId="41094595">
            <wp:extent cx="4629150" cy="6181725"/>
            <wp:effectExtent l="19050" t="0" r="0" b="0"/>
            <wp:docPr id="6" name="Nes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88832" cy="10009112"/>
                      <a:chOff x="1475656" y="332656"/>
                      <a:chExt cx="7488832" cy="10009112"/>
                    </a:xfrm>
                  </a:grpSpPr>
                  <a:sp>
                    <a:nvSpPr>
                      <a:cNvPr id="12" name="11 Dikdörtgen"/>
                      <a:cNvSpPr/>
                    </a:nvSpPr>
                    <a:spPr>
                      <a:xfrm>
                        <a:off x="1475656" y="2016224"/>
                        <a:ext cx="1656184" cy="908720"/>
                      </a:xfrm>
                      <a:prstGeom prst="rect">
                        <a:avLst/>
                      </a:prstGeom>
                      <a:noFill/>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a:buFont typeface="Arial" pitchFamily="34" charset="0"/>
                            <a:buChar char="•"/>
                          </a:pPr>
                          <a:r>
                            <a:rPr lang="tr-TR" sz="1050" dirty="0" smtClean="0"/>
                            <a:t>Dışsal İletişimler</a:t>
                          </a:r>
                        </a:p>
                        <a:p>
                          <a:pPr algn="r"/>
                          <a:r>
                            <a:rPr lang="tr-TR" sz="1050" dirty="0" smtClean="0"/>
                            <a:t>(Reklam, Halkla İlişkiler vd. Pazarlama Faaliyetleri)</a:t>
                          </a:r>
                          <a:endParaRPr lang="tr-TR" sz="1050" dirty="0" smtClean="0"/>
                        </a:p>
                      </a:txBody>
                      <a:useSpRect/>
                    </a:txSp>
                    <a:style>
                      <a:lnRef idx="2">
                        <a:schemeClr val="dk1"/>
                      </a:lnRef>
                      <a:fillRef idx="1">
                        <a:schemeClr val="lt1"/>
                      </a:fillRef>
                      <a:effectRef idx="0">
                        <a:schemeClr val="dk1"/>
                      </a:effectRef>
                      <a:fontRef idx="minor">
                        <a:schemeClr val="dk1"/>
                      </a:fontRef>
                    </a:style>
                  </a:sp>
                  <a:sp>
                    <a:nvSpPr>
                      <a:cNvPr id="11" name="10 Dikdörtgen"/>
                      <a:cNvSpPr/>
                    </a:nvSpPr>
                    <a:spPr>
                      <a:xfrm>
                        <a:off x="3851920" y="332656"/>
                        <a:ext cx="1584176" cy="864096"/>
                      </a:xfrm>
                      <a:prstGeom prst="rect">
                        <a:avLst/>
                      </a:prstGeom>
                      <a:noFill/>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buFont typeface="Arial" pitchFamily="34" charset="0"/>
                            <a:buChar char="•"/>
                          </a:pPr>
                          <a:r>
                            <a:rPr lang="tr-TR" sz="1050" dirty="0" smtClean="0"/>
                            <a:t>Sözlü İletişim</a:t>
                          </a:r>
                        </a:p>
                        <a:p>
                          <a:pPr>
                            <a:buFont typeface="Arial" pitchFamily="34" charset="0"/>
                            <a:buChar char="•"/>
                          </a:pPr>
                          <a:r>
                            <a:rPr lang="tr-TR" sz="1050" dirty="0" smtClean="0"/>
                            <a:t>Kişisel İhtiyaçlar</a:t>
                          </a:r>
                        </a:p>
                        <a:p>
                          <a:pPr>
                            <a:buFont typeface="Arial" pitchFamily="34" charset="0"/>
                            <a:buChar char="•"/>
                          </a:pPr>
                          <a:r>
                            <a:rPr lang="tr-TR" sz="1050" dirty="0" smtClean="0"/>
                            <a:t>Geçmiş </a:t>
                          </a:r>
                          <a:r>
                            <a:rPr lang="tr-TR" sz="1050" dirty="0" smtClean="0"/>
                            <a:t>Deneyimler</a:t>
                          </a:r>
                        </a:p>
                        <a:p>
                          <a:pPr>
                            <a:buFont typeface="Arial" pitchFamily="34" charset="0"/>
                            <a:buChar char="•"/>
                          </a:pPr>
                          <a:r>
                            <a:rPr lang="tr-TR" sz="1050" dirty="0" smtClean="0"/>
                            <a:t>Mevcut Kurumsal İmaj</a:t>
                          </a:r>
                          <a:endParaRPr lang="tr-TR" sz="1050" dirty="0"/>
                        </a:p>
                      </a:txBody>
                      <a:useSpRect/>
                    </a:txSp>
                    <a:style>
                      <a:lnRef idx="2">
                        <a:schemeClr val="dk1"/>
                      </a:lnRef>
                      <a:fillRef idx="1">
                        <a:schemeClr val="lt1"/>
                      </a:fillRef>
                      <a:effectRef idx="0">
                        <a:schemeClr val="dk1"/>
                      </a:effectRef>
                      <a:fontRef idx="minor">
                        <a:schemeClr val="dk1"/>
                      </a:fontRef>
                    </a:style>
                  </a:sp>
                  <a:sp>
                    <a:nvSpPr>
                      <a:cNvPr id="4" name="3 Dikdörtgen"/>
                      <a:cNvSpPr/>
                    </a:nvSpPr>
                    <a:spPr>
                      <a:xfrm>
                        <a:off x="3779912" y="2708920"/>
                        <a:ext cx="1728192" cy="576064"/>
                      </a:xfrm>
                      <a:prstGeom prst="rect">
                        <a:avLst/>
                      </a:prstGeom>
                      <a:noFill/>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600" dirty="0" smtClean="0"/>
                            <a:t>Algılanan </a:t>
                          </a:r>
                          <a:r>
                            <a:rPr lang="tr-TR" sz="1600" dirty="0" smtClean="0"/>
                            <a:t>    Hizmet</a:t>
                          </a:r>
                          <a:endParaRPr lang="tr-TR" sz="1600" dirty="0"/>
                        </a:p>
                      </a:txBody>
                      <a:useSpRect/>
                    </a:txSp>
                    <a:style>
                      <a:lnRef idx="2">
                        <a:schemeClr val="dk1"/>
                      </a:lnRef>
                      <a:fillRef idx="1">
                        <a:schemeClr val="lt1"/>
                      </a:fillRef>
                      <a:effectRef idx="0">
                        <a:schemeClr val="dk1"/>
                      </a:effectRef>
                      <a:fontRef idx="minor">
                        <a:schemeClr val="dk1"/>
                      </a:fontRef>
                    </a:style>
                  </a:sp>
                  <a:sp>
                    <a:nvSpPr>
                      <a:cNvPr id="6" name="5 Dikdörtgen"/>
                      <a:cNvSpPr/>
                    </a:nvSpPr>
                    <a:spPr>
                      <a:xfrm>
                        <a:off x="3779912" y="1484784"/>
                        <a:ext cx="1728192" cy="720080"/>
                      </a:xfrm>
                      <a:prstGeom prst="rect">
                        <a:avLst/>
                      </a:prstGeom>
                      <a:noFill/>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600" dirty="0" smtClean="0"/>
                            <a:t>Beklenen </a:t>
                          </a:r>
                          <a:r>
                            <a:rPr lang="tr-TR" sz="1600" dirty="0" smtClean="0"/>
                            <a:t>    Hizmet</a:t>
                          </a:r>
                          <a:endParaRPr lang="tr-TR" sz="1600" dirty="0"/>
                        </a:p>
                      </a:txBody>
                      <a:useSpRect/>
                    </a:txSp>
                    <a:style>
                      <a:lnRef idx="2">
                        <a:schemeClr val="dk1"/>
                      </a:lnRef>
                      <a:fillRef idx="1">
                        <a:schemeClr val="lt1"/>
                      </a:fillRef>
                      <a:effectRef idx="0">
                        <a:schemeClr val="dk1"/>
                      </a:effectRef>
                      <a:fontRef idx="minor">
                        <a:schemeClr val="dk1"/>
                      </a:fontRef>
                    </a:style>
                  </a:sp>
                  <a:sp>
                    <a:nvSpPr>
                      <a:cNvPr id="47" name="46 Dikdörtgen"/>
                      <a:cNvSpPr/>
                    </a:nvSpPr>
                    <a:spPr>
                      <a:xfrm>
                        <a:off x="6372200" y="2132856"/>
                        <a:ext cx="2232248" cy="569224"/>
                      </a:xfrm>
                      <a:prstGeom prst="rect">
                        <a:avLst/>
                      </a:prstGeom>
                      <a:noFill/>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b="1" dirty="0" smtClean="0"/>
                            <a:t>Hastanın Kalite Algısı</a:t>
                          </a:r>
                          <a:endParaRPr lang="tr-TR" b="1" dirty="0"/>
                        </a:p>
                      </a:txBody>
                      <a:useSpRect/>
                    </a:txSp>
                    <a:style>
                      <a:lnRef idx="2">
                        <a:schemeClr val="dk1"/>
                      </a:lnRef>
                      <a:fillRef idx="1">
                        <a:schemeClr val="lt1"/>
                      </a:fillRef>
                      <a:effectRef idx="0">
                        <a:schemeClr val="dk1"/>
                      </a:effectRef>
                      <a:fontRef idx="minor">
                        <a:schemeClr val="dk1"/>
                      </a:fontRef>
                    </a:style>
                  </a:sp>
                  <a:sp>
                    <a:nvSpPr>
                      <a:cNvPr id="48" name="47 Dikdörtgen"/>
                      <a:cNvSpPr/>
                    </a:nvSpPr>
                    <a:spPr>
                      <a:xfrm>
                        <a:off x="2267744" y="3717032"/>
                        <a:ext cx="4752528" cy="576064"/>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600" b="1" dirty="0" smtClean="0"/>
                            <a:t>Hizmet Sunumu</a:t>
                          </a:r>
                          <a:endParaRPr lang="tr-TR" sz="1600" b="1" dirty="0"/>
                        </a:p>
                      </a:txBody>
                      <a:useSpRect/>
                    </a:txSp>
                    <a:style>
                      <a:lnRef idx="2">
                        <a:schemeClr val="dk1"/>
                      </a:lnRef>
                      <a:fillRef idx="1">
                        <a:schemeClr val="lt1"/>
                      </a:fillRef>
                      <a:effectRef idx="0">
                        <a:schemeClr val="dk1"/>
                      </a:effectRef>
                      <a:fontRef idx="minor">
                        <a:schemeClr val="dk1"/>
                      </a:fontRef>
                    </a:style>
                  </a:sp>
                  <a:cxnSp>
                    <a:nvCxnSpPr>
                      <a:cNvPr id="19" name="18 Düz Ok Bağlayıcısı"/>
                      <a:cNvCxnSpPr>
                        <a:stCxn id="12" idx="3"/>
                        <a:endCxn id="6" idx="1"/>
                      </a:cNvCxnSpPr>
                    </a:nvCxnSpPr>
                    <a:spPr>
                      <a:xfrm flipV="1">
                        <a:off x="3131840" y="1844824"/>
                        <a:ext cx="648072" cy="625760"/>
                      </a:xfrm>
                      <a:prstGeom prst="bentConnector3">
                        <a:avLst>
                          <a:gd name="adj1" fmla="val 50000"/>
                        </a:avLst>
                      </a:prstGeom>
                      <a:ln>
                        <a:prstDash val="sysDash"/>
                        <a:tailEnd type="arrow"/>
                      </a:ln>
                    </a:spPr>
                    <a:style>
                      <a:lnRef idx="2">
                        <a:schemeClr val="dk1"/>
                      </a:lnRef>
                      <a:fillRef idx="1">
                        <a:schemeClr val="lt1"/>
                      </a:fillRef>
                      <a:effectRef idx="0">
                        <a:schemeClr val="dk1"/>
                      </a:effectRef>
                      <a:fontRef idx="minor">
                        <a:schemeClr val="dk1"/>
                      </a:fontRef>
                    </a:style>
                  </a:cxnSp>
                  <a:cxnSp>
                    <a:nvCxnSpPr>
                      <a:cNvPr id="21" name="20 Düz Ok Bağlayıcısı"/>
                      <a:cNvCxnSpPr>
                        <a:stCxn id="12" idx="3"/>
                        <a:endCxn id="4" idx="1"/>
                      </a:cNvCxnSpPr>
                    </a:nvCxnSpPr>
                    <a:spPr>
                      <a:xfrm>
                        <a:off x="3131840" y="2470584"/>
                        <a:ext cx="648072" cy="526368"/>
                      </a:xfrm>
                      <a:prstGeom prst="bentConnector3">
                        <a:avLst>
                          <a:gd name="adj1" fmla="val 50000"/>
                        </a:avLst>
                      </a:prstGeom>
                      <a:ln>
                        <a:prstDash val="sysDash"/>
                        <a:tailEnd type="arrow"/>
                      </a:ln>
                    </a:spPr>
                    <a:style>
                      <a:lnRef idx="2">
                        <a:schemeClr val="dk1"/>
                      </a:lnRef>
                      <a:fillRef idx="1">
                        <a:schemeClr val="lt1"/>
                      </a:fillRef>
                      <a:effectRef idx="0">
                        <a:schemeClr val="dk1"/>
                      </a:effectRef>
                      <a:fontRef idx="minor">
                        <a:schemeClr val="dk1"/>
                      </a:fontRef>
                    </a:style>
                  </a:cxnSp>
                  <a:cxnSp>
                    <a:nvCxnSpPr>
                      <a:cNvPr id="24" name="23 Düz Ok Bağlayıcısı"/>
                      <a:cNvCxnSpPr>
                        <a:stCxn id="11" idx="2"/>
                        <a:endCxn id="6" idx="0"/>
                      </a:cNvCxnSpPr>
                    </a:nvCxnSpPr>
                    <a:spPr>
                      <a:xfrm>
                        <a:off x="4644008" y="1196752"/>
                        <a:ext cx="0" cy="288032"/>
                      </a:xfrm>
                      <a:prstGeom prst="straightConnector1">
                        <a:avLst/>
                      </a:prstGeom>
                      <a:ln>
                        <a:prstDash val="sysDash"/>
                        <a:tailEnd type="arrow"/>
                      </a:ln>
                    </a:spPr>
                    <a:style>
                      <a:lnRef idx="2">
                        <a:schemeClr val="dk1"/>
                      </a:lnRef>
                      <a:fillRef idx="1">
                        <a:schemeClr val="lt1"/>
                      </a:fillRef>
                      <a:effectRef idx="0">
                        <a:schemeClr val="dk1"/>
                      </a:effectRef>
                      <a:fontRef idx="minor">
                        <a:schemeClr val="dk1"/>
                      </a:fontRef>
                    </a:style>
                  </a:cxnSp>
                  <a:cxnSp>
                    <a:nvCxnSpPr>
                      <a:cNvPr id="31" name="18 Düz Ok Bağlayıcısı"/>
                      <a:cNvCxnSpPr>
                        <a:stCxn id="4" idx="3"/>
                        <a:endCxn id="47" idx="1"/>
                      </a:cNvCxnSpPr>
                    </a:nvCxnSpPr>
                    <a:spPr>
                      <a:xfrm flipV="1">
                        <a:off x="5508104" y="2417468"/>
                        <a:ext cx="864096" cy="579484"/>
                      </a:xfrm>
                      <a:prstGeom prst="bentConnector3">
                        <a:avLst>
                          <a:gd name="adj1" fmla="val 50000"/>
                        </a:avLst>
                      </a:prstGeom>
                      <a:ln>
                        <a:tailEnd type="arrow"/>
                      </a:ln>
                    </a:spPr>
                    <a:style>
                      <a:lnRef idx="2">
                        <a:schemeClr val="dk1"/>
                      </a:lnRef>
                      <a:fillRef idx="0">
                        <a:schemeClr val="dk1"/>
                      </a:fillRef>
                      <a:effectRef idx="1">
                        <a:schemeClr val="dk1"/>
                      </a:effectRef>
                      <a:fontRef idx="minor">
                        <a:schemeClr val="tx1"/>
                      </a:fontRef>
                    </a:style>
                  </a:cxnSp>
                  <a:cxnSp>
                    <a:nvCxnSpPr>
                      <a:cNvPr id="42" name="18 Düz Ok Bağlayıcısı"/>
                      <a:cNvCxnSpPr>
                        <a:stCxn id="6" idx="3"/>
                        <a:endCxn id="47" idx="1"/>
                      </a:cNvCxnSpPr>
                    </a:nvCxnSpPr>
                    <a:spPr>
                      <a:xfrm>
                        <a:off x="5508104" y="1844824"/>
                        <a:ext cx="864096" cy="572644"/>
                      </a:xfrm>
                      <a:prstGeom prst="bentConnector3">
                        <a:avLst>
                          <a:gd name="adj1" fmla="val 50000"/>
                        </a:avLst>
                      </a:prstGeom>
                      <a:ln>
                        <a:tailEnd type="arrow"/>
                      </a:ln>
                    </a:spPr>
                    <a:style>
                      <a:lnRef idx="2">
                        <a:schemeClr val="dk1"/>
                      </a:lnRef>
                      <a:fillRef idx="0">
                        <a:schemeClr val="dk1"/>
                      </a:fillRef>
                      <a:effectRef idx="1">
                        <a:schemeClr val="dk1"/>
                      </a:effectRef>
                      <a:fontRef idx="minor">
                        <a:schemeClr val="tx1"/>
                      </a:fontRef>
                    </a:style>
                  </a:cxnSp>
                  <a:grpSp>
                    <a:nvGrpSpPr>
                      <a:cNvPr id="57" name="19 Grup"/>
                      <a:cNvGrpSpPr/>
                    </a:nvGrpSpPr>
                    <a:grpSpPr>
                      <a:xfrm rot="16200000">
                        <a:off x="2182748" y="5170181"/>
                        <a:ext cx="5112570" cy="3934465"/>
                        <a:chOff x="3845789" y="4113475"/>
                        <a:chExt cx="2940789" cy="2202948"/>
                      </a:xfrm>
                    </a:grpSpPr>
                    <a:sp>
                      <a:nvSpPr>
                        <a:cNvPr id="58" name="57 Dikdörtgen"/>
                        <a:cNvSpPr/>
                      </a:nvSpPr>
                      <a:spPr>
                        <a:xfrm>
                          <a:off x="3845789" y="4286255"/>
                          <a:ext cx="2940787" cy="571504"/>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tr-TR" sz="1400" b="1" dirty="0" smtClean="0"/>
                              <a:t>Çıktı</a:t>
                            </a:r>
                          </a:p>
                          <a:p>
                            <a:r>
                              <a:rPr lang="tr-TR" sz="1400" b="1" dirty="0" smtClean="0"/>
                              <a:t> Kalitesi</a:t>
                            </a:r>
                            <a:endParaRPr lang="tr-TR" sz="1400" b="1" dirty="0"/>
                          </a:p>
                        </a:txBody>
                        <a:useSpRect/>
                      </a:txSp>
                      <a:style>
                        <a:lnRef idx="2">
                          <a:schemeClr val="dk1"/>
                        </a:lnRef>
                        <a:fillRef idx="1">
                          <a:schemeClr val="lt1"/>
                        </a:fillRef>
                        <a:effectRef idx="0">
                          <a:schemeClr val="dk1"/>
                        </a:effectRef>
                        <a:fontRef idx="minor">
                          <a:schemeClr val="dk1"/>
                        </a:fontRef>
                      </a:style>
                    </a:sp>
                    <a:sp>
                      <a:nvSpPr>
                        <a:cNvPr id="59" name="58 Dikdörtgen"/>
                        <a:cNvSpPr/>
                      </a:nvSpPr>
                      <a:spPr>
                        <a:xfrm>
                          <a:off x="3845789" y="4929196"/>
                          <a:ext cx="2940787" cy="571504"/>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tr-TR" sz="1400" b="1" dirty="0" smtClean="0"/>
                              <a:t>Süreç </a:t>
                            </a:r>
                          </a:p>
                          <a:p>
                            <a:r>
                              <a:rPr lang="tr-TR" sz="1400" b="1" dirty="0" smtClean="0"/>
                              <a:t>Kalitesi</a:t>
                            </a:r>
                            <a:endParaRPr lang="tr-TR" sz="1400" b="1" dirty="0"/>
                          </a:p>
                        </a:txBody>
                        <a:useSpRect/>
                      </a:txSp>
                      <a:style>
                        <a:lnRef idx="2">
                          <a:schemeClr val="dk1"/>
                        </a:lnRef>
                        <a:fillRef idx="1">
                          <a:schemeClr val="lt1"/>
                        </a:fillRef>
                        <a:effectRef idx="0">
                          <a:schemeClr val="dk1"/>
                        </a:effectRef>
                        <a:fontRef idx="minor">
                          <a:schemeClr val="dk1"/>
                        </a:fontRef>
                      </a:style>
                    </a:sp>
                    <a:sp>
                      <a:nvSpPr>
                        <a:cNvPr id="60" name="59 Dikdörtgen"/>
                        <a:cNvSpPr/>
                      </a:nvSpPr>
                      <a:spPr>
                        <a:xfrm>
                          <a:off x="3845790" y="5572139"/>
                          <a:ext cx="2940788" cy="571504"/>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tr-TR" sz="1400" b="1" dirty="0" smtClean="0"/>
                              <a:t>Yapı </a:t>
                            </a:r>
                          </a:p>
                          <a:p>
                            <a:r>
                              <a:rPr lang="tr-TR" sz="1400" b="1" dirty="0" smtClean="0"/>
                              <a:t>Kalitesi</a:t>
                            </a:r>
                            <a:endParaRPr lang="tr-TR" sz="1400" b="1" dirty="0"/>
                          </a:p>
                        </a:txBody>
                        <a:useSpRect/>
                      </a:txSp>
                      <a:style>
                        <a:lnRef idx="2">
                          <a:schemeClr val="dk1"/>
                        </a:lnRef>
                        <a:fillRef idx="1">
                          <a:schemeClr val="lt1"/>
                        </a:fillRef>
                        <a:effectRef idx="0">
                          <a:schemeClr val="dk1"/>
                        </a:effectRef>
                        <a:fontRef idx="minor">
                          <a:schemeClr val="dk1"/>
                        </a:fontRef>
                      </a:style>
                    </a:sp>
                    <a:sp>
                      <a:nvSpPr>
                        <a:cNvPr id="61" name="60 Dikdörtgen"/>
                        <a:cNvSpPr/>
                      </a:nvSpPr>
                      <a:spPr>
                        <a:xfrm>
                          <a:off x="5958186" y="4113475"/>
                          <a:ext cx="455616" cy="2202948"/>
                        </a:xfrm>
                        <a:prstGeom prst="rect">
                          <a:avLst/>
                        </a:prstGeom>
                      </a:spPr>
                      <a:txSp>
                        <a:txBody>
                          <a:bodyPr vert="vert"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600" dirty="0" smtClean="0"/>
                              <a:t>Sağlık</a:t>
                            </a:r>
                          </a:p>
                          <a:p>
                            <a:pPr algn="ctr"/>
                            <a:r>
                              <a:rPr lang="tr-TR" sz="1600" dirty="0" smtClean="0"/>
                              <a:t>Hizmeti Sunumu Kalitesi</a:t>
                            </a:r>
                            <a:endParaRPr lang="tr-TR" sz="1600" dirty="0"/>
                          </a:p>
                        </a:txBody>
                        <a:useSpRect/>
                      </a:txSp>
                      <a:style>
                        <a:lnRef idx="1">
                          <a:schemeClr val="dk1"/>
                        </a:lnRef>
                        <a:fillRef idx="2">
                          <a:schemeClr val="dk1"/>
                        </a:fillRef>
                        <a:effectRef idx="1">
                          <a:schemeClr val="dk1"/>
                        </a:effectRef>
                        <a:fontRef idx="minor">
                          <a:schemeClr val="dk1"/>
                        </a:fontRef>
                      </a:style>
                    </a:sp>
                    <a:sp>
                      <a:nvSpPr>
                        <a:cNvPr id="62" name="61 Dikdörtgen"/>
                        <a:cNvSpPr/>
                      </a:nvSpPr>
                      <a:spPr>
                        <a:xfrm>
                          <a:off x="5543990" y="4113476"/>
                          <a:ext cx="409220" cy="2202947"/>
                        </a:xfrm>
                        <a:prstGeom prst="rect">
                          <a:avLst/>
                        </a:prstGeom>
                      </a:spPr>
                      <a:txSp>
                        <a:txBody>
                          <a:bodyPr vert="vert"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600" dirty="0" smtClean="0"/>
                              <a:t>Hemşirelik ve </a:t>
                            </a:r>
                            <a:r>
                              <a:rPr lang="tr-TR" sz="1600" dirty="0" smtClean="0"/>
                              <a:t>Bakım </a:t>
                            </a:r>
                            <a:endParaRPr lang="tr-TR" sz="1600" dirty="0" smtClean="0"/>
                          </a:p>
                          <a:p>
                            <a:pPr algn="ctr"/>
                            <a:r>
                              <a:rPr lang="tr-TR" sz="1600" dirty="0" smtClean="0"/>
                              <a:t>Hizmeti Sunumu Kalitesi</a:t>
                            </a:r>
                            <a:endParaRPr lang="tr-TR" sz="1600" dirty="0"/>
                          </a:p>
                        </a:txBody>
                        <a:useSpRect/>
                      </a:txSp>
                      <a:style>
                        <a:lnRef idx="1">
                          <a:schemeClr val="dk1"/>
                        </a:lnRef>
                        <a:fillRef idx="2">
                          <a:schemeClr val="dk1"/>
                        </a:fillRef>
                        <a:effectRef idx="1">
                          <a:schemeClr val="dk1"/>
                        </a:effectRef>
                        <a:fontRef idx="minor">
                          <a:schemeClr val="dk1"/>
                        </a:fontRef>
                      </a:style>
                    </a:sp>
                    <a:sp>
                      <a:nvSpPr>
                        <a:cNvPr id="63" name="62 Dikdörtgen"/>
                        <a:cNvSpPr/>
                      </a:nvSpPr>
                      <a:spPr>
                        <a:xfrm>
                          <a:off x="5129795" y="4113475"/>
                          <a:ext cx="414195" cy="2202948"/>
                        </a:xfrm>
                        <a:prstGeom prst="rect">
                          <a:avLst/>
                        </a:prstGeom>
                      </a:spPr>
                      <a:txSp>
                        <a:txBody>
                          <a:bodyPr vert="vert"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600" dirty="0" smtClean="0"/>
                              <a:t>Otelcilik ve Destek</a:t>
                            </a:r>
                          </a:p>
                          <a:p>
                            <a:pPr algn="ctr"/>
                            <a:r>
                              <a:rPr lang="tr-TR" sz="1600" dirty="0" smtClean="0"/>
                              <a:t>Hizmeti Sunumu Kalitesi</a:t>
                            </a:r>
                            <a:endParaRPr lang="tr-TR" sz="1600" dirty="0"/>
                          </a:p>
                        </a:txBody>
                        <a:useSpRect/>
                      </a:txSp>
                      <a:style>
                        <a:lnRef idx="1">
                          <a:schemeClr val="dk1"/>
                        </a:lnRef>
                        <a:fillRef idx="2">
                          <a:schemeClr val="dk1"/>
                        </a:fillRef>
                        <a:effectRef idx="1">
                          <a:schemeClr val="dk1"/>
                        </a:effectRef>
                        <a:fontRef idx="minor">
                          <a:schemeClr val="dk1"/>
                        </a:fontRef>
                      </a:style>
                    </a:sp>
                  </a:grpSp>
                  <a:grpSp>
                    <a:nvGrpSpPr>
                      <a:cNvPr id="64" name="27 Grup"/>
                      <a:cNvGrpSpPr/>
                    </a:nvGrpSpPr>
                    <a:grpSpPr>
                      <a:xfrm>
                        <a:off x="3105867" y="7605467"/>
                        <a:ext cx="962077" cy="1296144"/>
                        <a:chOff x="467544" y="2595556"/>
                        <a:chExt cx="576062" cy="3333774"/>
                      </a:xfrm>
                      <a:noFill/>
                    </a:grpSpPr>
                    <a:sp>
                      <a:nvSpPr>
                        <a:cNvPr id="65" name="64 Dikdörtgen"/>
                        <a:cNvSpPr/>
                      </a:nvSpPr>
                      <a:spPr>
                        <a:xfrm>
                          <a:off x="467544" y="3429000"/>
                          <a:ext cx="288032" cy="2500330"/>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200" b="1" dirty="0" smtClean="0"/>
                              <a:t>Teknik Çıktı Kalitesi</a:t>
                            </a:r>
                            <a:endParaRPr lang="tr-TR" sz="1200" b="1" dirty="0"/>
                          </a:p>
                        </a:txBody>
                        <a:useSpRect/>
                      </a:txSp>
                      <a:style>
                        <a:lnRef idx="2">
                          <a:schemeClr val="dk1"/>
                        </a:lnRef>
                        <a:fillRef idx="1">
                          <a:schemeClr val="lt1"/>
                        </a:fillRef>
                        <a:effectRef idx="0">
                          <a:schemeClr val="dk1"/>
                        </a:effectRef>
                        <a:fontRef idx="minor">
                          <a:schemeClr val="dk1"/>
                        </a:fontRef>
                      </a:style>
                    </a:sp>
                    <a:sp>
                      <a:nvSpPr>
                        <a:cNvPr id="66" name="65 Dikdörtgen"/>
                        <a:cNvSpPr/>
                      </a:nvSpPr>
                      <a:spPr>
                        <a:xfrm>
                          <a:off x="755575" y="2595556"/>
                          <a:ext cx="288031" cy="2500331"/>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200" b="1" dirty="0" smtClean="0"/>
                              <a:t>Fonksiyonel Çıktı Kalitesi</a:t>
                            </a:r>
                            <a:endParaRPr lang="tr-TR" sz="1200" b="1" dirty="0"/>
                          </a:p>
                        </a:txBody>
                        <a:useSpRect/>
                      </a:txSp>
                      <a:style>
                        <a:lnRef idx="2">
                          <a:schemeClr val="dk1"/>
                        </a:lnRef>
                        <a:fillRef idx="1">
                          <a:schemeClr val="lt1"/>
                        </a:fillRef>
                        <a:effectRef idx="0">
                          <a:schemeClr val="dk1"/>
                        </a:effectRef>
                        <a:fontRef idx="minor">
                          <a:schemeClr val="dk1"/>
                        </a:fontRef>
                      </a:style>
                    </a:sp>
                  </a:grpSp>
                  <a:sp>
                    <a:nvSpPr>
                      <a:cNvPr id="73" name="72 Dikdörtgen"/>
                      <a:cNvSpPr/>
                    </a:nvSpPr>
                    <a:spPr>
                      <a:xfrm rot="5400000">
                        <a:off x="4585679" y="7475128"/>
                        <a:ext cx="332679" cy="5400601"/>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400" b="1" dirty="0" smtClean="0"/>
                            <a:t>SUNUM KALİTESİNİ ETKİLEYEN </a:t>
                          </a:r>
                          <a:r>
                            <a:rPr lang="tr-TR" sz="1400" b="1" dirty="0" smtClean="0"/>
                            <a:t>DIŞSAL FAKTÖRLER</a:t>
                          </a:r>
                          <a:endParaRPr lang="tr-TR" sz="1400" b="1" dirty="0"/>
                        </a:p>
                      </a:txBody>
                      <a:useSpRect/>
                    </a:txSp>
                    <a:style>
                      <a:lnRef idx="2">
                        <a:schemeClr val="dk1"/>
                      </a:lnRef>
                      <a:fillRef idx="1">
                        <a:schemeClr val="lt1"/>
                      </a:fillRef>
                      <a:effectRef idx="0">
                        <a:schemeClr val="dk1"/>
                      </a:effectRef>
                      <a:fontRef idx="minor">
                        <a:schemeClr val="dk1"/>
                      </a:fontRef>
                    </a:style>
                  </a:sp>
                  <a:sp>
                    <a:nvSpPr>
                      <a:cNvPr id="74" name="73 Dikdörtgen"/>
                      <a:cNvSpPr/>
                    </a:nvSpPr>
                    <a:spPr>
                      <a:xfrm>
                        <a:off x="2335762" y="5085187"/>
                        <a:ext cx="500066" cy="2643776"/>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400" dirty="0" smtClean="0"/>
                            <a:t>Direkt Temas Personeli</a:t>
                          </a:r>
                          <a:endParaRPr lang="tr-TR" sz="1400" dirty="0"/>
                        </a:p>
                      </a:txBody>
                      <a:useSpRect/>
                    </a:txSp>
                    <a:style>
                      <a:lnRef idx="2">
                        <a:schemeClr val="dk1"/>
                      </a:lnRef>
                      <a:fillRef idx="1">
                        <a:schemeClr val="lt1"/>
                      </a:fillRef>
                      <a:effectRef idx="0">
                        <a:schemeClr val="dk1"/>
                      </a:effectRef>
                      <a:fontRef idx="minor">
                        <a:schemeClr val="dk1"/>
                      </a:fontRef>
                    </a:style>
                  </a:sp>
                  <a:sp>
                    <a:nvSpPr>
                      <a:cNvPr id="75" name="74 Dikdörtgen"/>
                      <a:cNvSpPr/>
                    </a:nvSpPr>
                    <a:spPr>
                      <a:xfrm>
                        <a:off x="1835696" y="5157192"/>
                        <a:ext cx="500066" cy="2511117"/>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400" dirty="0" smtClean="0"/>
                            <a:t>Destek Personeli</a:t>
                          </a:r>
                          <a:endParaRPr lang="tr-TR" sz="1400" dirty="0"/>
                        </a:p>
                      </a:txBody>
                      <a:useSpRect/>
                    </a:txSp>
                    <a:style>
                      <a:lnRef idx="2">
                        <a:schemeClr val="dk1"/>
                      </a:lnRef>
                      <a:fillRef idx="1">
                        <a:schemeClr val="lt1"/>
                      </a:fillRef>
                      <a:effectRef idx="0">
                        <a:schemeClr val="dk1"/>
                      </a:effectRef>
                      <a:fontRef idx="minor">
                        <a:schemeClr val="dk1"/>
                      </a:fontRef>
                    </a:style>
                  </a:sp>
                  <a:sp>
                    <a:nvSpPr>
                      <a:cNvPr id="76" name="75 Dikdörtgen"/>
                      <a:cNvSpPr/>
                    </a:nvSpPr>
                    <a:spPr>
                      <a:xfrm>
                        <a:off x="7066307" y="6826323"/>
                        <a:ext cx="1898181" cy="563117"/>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a:buFont typeface="Arial" pitchFamily="34" charset="0"/>
                            <a:buChar char="•"/>
                          </a:pPr>
                          <a:r>
                            <a:rPr lang="tr-TR" sz="1050" dirty="0" smtClean="0"/>
                            <a:t>Teşhis, tedavi ve bakım ile ilgili olmayan (idari, mali ve teknik) diğer tüm hizmetler</a:t>
                          </a:r>
                        </a:p>
                      </a:txBody>
                      <a:useSpRect/>
                    </a:txSp>
                    <a:style>
                      <a:lnRef idx="2">
                        <a:schemeClr val="dk1"/>
                      </a:lnRef>
                      <a:fillRef idx="1">
                        <a:schemeClr val="lt1"/>
                      </a:fillRef>
                      <a:effectRef idx="0">
                        <a:schemeClr val="dk1"/>
                      </a:effectRef>
                      <a:fontRef idx="minor">
                        <a:schemeClr val="dk1"/>
                      </a:fontRef>
                    </a:style>
                  </a:sp>
                  <a:sp>
                    <a:nvSpPr>
                      <a:cNvPr id="77" name="76 Dikdörtgen"/>
                      <a:cNvSpPr/>
                    </a:nvSpPr>
                    <a:spPr>
                      <a:xfrm>
                        <a:off x="7066306" y="6112513"/>
                        <a:ext cx="1898182" cy="529463"/>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a:buFont typeface="Arial" pitchFamily="34" charset="0"/>
                            <a:buChar char="•"/>
                          </a:pPr>
                          <a:r>
                            <a:rPr lang="tr-TR" sz="1050" dirty="0"/>
                            <a:t> </a:t>
                          </a:r>
                          <a:r>
                            <a:rPr lang="tr-TR" sz="1050" dirty="0" smtClean="0"/>
                            <a:t>Tedavi öncesi hazırlık</a:t>
                          </a:r>
                        </a:p>
                        <a:p>
                          <a:pPr algn="r">
                            <a:buFont typeface="Arial" pitchFamily="34" charset="0"/>
                            <a:buChar char="•"/>
                          </a:pPr>
                          <a:r>
                            <a:rPr lang="tr-TR" sz="1050" dirty="0" smtClean="0"/>
                            <a:t>Tedavi sonrası bakım</a:t>
                          </a:r>
                        </a:p>
                      </a:txBody>
                      <a:useSpRect/>
                    </a:txSp>
                    <a:style>
                      <a:lnRef idx="2">
                        <a:schemeClr val="dk1"/>
                      </a:lnRef>
                      <a:fillRef idx="1">
                        <a:schemeClr val="lt1"/>
                      </a:fillRef>
                      <a:effectRef idx="0">
                        <a:schemeClr val="dk1"/>
                      </a:effectRef>
                      <a:fontRef idx="minor">
                        <a:schemeClr val="dk1"/>
                      </a:fontRef>
                    </a:style>
                  </a:sp>
                  <a:sp>
                    <a:nvSpPr>
                      <a:cNvPr id="78" name="77 Dikdörtgen"/>
                      <a:cNvSpPr/>
                    </a:nvSpPr>
                    <a:spPr>
                      <a:xfrm>
                        <a:off x="7066306" y="5373216"/>
                        <a:ext cx="1898182" cy="500066"/>
                      </a:xfrm>
                      <a:prstGeom prst="rect">
                        <a:avLst/>
                      </a:prstGeom>
                    </a:spPr>
                    <a:txSp>
                      <a:txBody>
                        <a:bodyPr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a:buFont typeface="Arial" pitchFamily="34" charset="0"/>
                            <a:buChar char="•"/>
                          </a:pPr>
                          <a:r>
                            <a:rPr lang="tr-TR" sz="1050" dirty="0" smtClean="0"/>
                            <a:t> Doğru Teşhis</a:t>
                          </a:r>
                        </a:p>
                        <a:p>
                          <a:pPr algn="r">
                            <a:buFont typeface="Arial" pitchFamily="34" charset="0"/>
                            <a:buChar char="•"/>
                          </a:pPr>
                          <a:r>
                            <a:rPr lang="tr-TR" sz="1050" dirty="0" smtClean="0"/>
                            <a:t> Doğru </a:t>
                          </a:r>
                          <a:r>
                            <a:rPr lang="tr-TR" sz="1050" dirty="0" smtClean="0"/>
                            <a:t>Tedavi</a:t>
                          </a:r>
                          <a:endParaRPr lang="tr-TR" sz="1050" dirty="0" smtClean="0"/>
                        </a:p>
                      </a:txBody>
                      <a:useSpRect/>
                    </a:txSp>
                    <a:style>
                      <a:lnRef idx="2">
                        <a:schemeClr val="dk1"/>
                      </a:lnRef>
                      <a:fillRef idx="1">
                        <a:schemeClr val="lt1"/>
                      </a:fillRef>
                      <a:effectRef idx="0">
                        <a:schemeClr val="dk1"/>
                      </a:effectRef>
                      <a:fontRef idx="minor">
                        <a:schemeClr val="dk1"/>
                      </a:fontRef>
                    </a:style>
                  </a:sp>
                  <a:cxnSp>
                    <a:nvCxnSpPr>
                      <a:cNvPr id="116" name="18 Düz Ok Bağlayıcısı"/>
                      <a:cNvCxnSpPr>
                        <a:stCxn id="48" idx="0"/>
                        <a:endCxn id="4" idx="2"/>
                      </a:cNvCxnSpPr>
                    </a:nvCxnSpPr>
                    <a:spPr>
                      <a:xfrm flipV="1">
                        <a:off x="4644008" y="3284984"/>
                        <a:ext cx="0" cy="432048"/>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34" name="18 Düz Ok Bağlayıcısı"/>
                      <a:cNvCxnSpPr/>
                    </a:nvCxnSpPr>
                    <a:spPr>
                      <a:xfrm flipV="1">
                        <a:off x="3707904" y="4293096"/>
                        <a:ext cx="0" cy="288032"/>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36" name="18 Düz Ok Bağlayıcısı"/>
                      <a:cNvCxnSpPr/>
                    </a:nvCxnSpPr>
                    <a:spPr>
                      <a:xfrm flipV="1">
                        <a:off x="4716016" y="4293096"/>
                        <a:ext cx="0" cy="288032"/>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37" name="18 Düz Ok Bağlayıcısı"/>
                      <a:cNvCxnSpPr/>
                    </a:nvCxnSpPr>
                    <a:spPr>
                      <a:xfrm flipV="1">
                        <a:off x="5796136" y="4293096"/>
                        <a:ext cx="0" cy="288032"/>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38" name="20 Düz Ok Bağlayıcısı"/>
                      <a:cNvCxnSpPr>
                        <a:stCxn id="78" idx="1"/>
                        <a:endCxn id="61" idx="2"/>
                      </a:cNvCxnSpPr>
                    </a:nvCxnSpPr>
                    <a:spPr>
                      <a:xfrm rot="10800000" flipV="1">
                        <a:off x="6706266" y="5623249"/>
                        <a:ext cx="360040" cy="1996"/>
                      </a:xfrm>
                      <a:prstGeom prst="bentConnector3">
                        <a:avLst>
                          <a:gd name="adj1" fmla="val 50000"/>
                        </a:avLst>
                      </a:prstGeom>
                      <a:ln>
                        <a:prstDash val="sysDash"/>
                        <a:tailEnd type="arrow"/>
                      </a:ln>
                    </a:spPr>
                    <a:style>
                      <a:lnRef idx="2">
                        <a:schemeClr val="dk1"/>
                      </a:lnRef>
                      <a:fillRef idx="1">
                        <a:schemeClr val="lt1"/>
                      </a:fillRef>
                      <a:effectRef idx="0">
                        <a:schemeClr val="dk1"/>
                      </a:effectRef>
                      <a:fontRef idx="minor">
                        <a:schemeClr val="dk1"/>
                      </a:fontRef>
                    </a:style>
                  </a:cxnSp>
                  <a:cxnSp>
                    <a:nvCxnSpPr>
                      <a:cNvPr id="159" name="20 Düz Ok Bağlayıcısı"/>
                      <a:cNvCxnSpPr>
                        <a:stCxn id="77" idx="1"/>
                        <a:endCxn id="62" idx="2"/>
                      </a:cNvCxnSpPr>
                    </a:nvCxnSpPr>
                    <a:spPr>
                      <a:xfrm rot="10800000" flipV="1">
                        <a:off x="6706266" y="6377244"/>
                        <a:ext cx="360040" cy="8411"/>
                      </a:xfrm>
                      <a:prstGeom prst="bentConnector3">
                        <a:avLst>
                          <a:gd name="adj1" fmla="val 50000"/>
                        </a:avLst>
                      </a:prstGeom>
                      <a:ln>
                        <a:prstDash val="sysDash"/>
                        <a:tailEnd type="arrow"/>
                      </a:ln>
                    </a:spPr>
                    <a:style>
                      <a:lnRef idx="2">
                        <a:schemeClr val="dk1"/>
                      </a:lnRef>
                      <a:fillRef idx="1">
                        <a:schemeClr val="lt1"/>
                      </a:fillRef>
                      <a:effectRef idx="0">
                        <a:schemeClr val="dk1"/>
                      </a:effectRef>
                      <a:fontRef idx="minor">
                        <a:schemeClr val="dk1"/>
                      </a:fontRef>
                    </a:style>
                  </a:cxnSp>
                  <a:cxnSp>
                    <a:nvCxnSpPr>
                      <a:cNvPr id="162" name="20 Düz Ok Bağlayıcısı"/>
                      <a:cNvCxnSpPr>
                        <a:stCxn id="76" idx="1"/>
                        <a:endCxn id="63" idx="2"/>
                      </a:cNvCxnSpPr>
                    </a:nvCxnSpPr>
                    <a:spPr>
                      <a:xfrm rot="10800000">
                        <a:off x="6706265" y="7101410"/>
                        <a:ext cx="360042" cy="6472"/>
                      </a:xfrm>
                      <a:prstGeom prst="bentConnector3">
                        <a:avLst>
                          <a:gd name="adj1" fmla="val 50000"/>
                        </a:avLst>
                      </a:prstGeom>
                      <a:ln>
                        <a:prstDash val="sysDash"/>
                        <a:tailEnd type="arrow"/>
                      </a:ln>
                    </a:spPr>
                    <a:style>
                      <a:lnRef idx="2">
                        <a:schemeClr val="dk1"/>
                      </a:lnRef>
                      <a:fillRef idx="1">
                        <a:schemeClr val="lt1"/>
                      </a:fillRef>
                      <a:effectRef idx="0">
                        <a:schemeClr val="dk1"/>
                      </a:effectRef>
                      <a:fontRef idx="minor">
                        <a:schemeClr val="dk1"/>
                      </a:fontRef>
                    </a:style>
                  </a:cxnSp>
                  <a:grpSp>
                    <a:nvGrpSpPr>
                      <a:cNvPr id="165" name="27 Grup"/>
                      <a:cNvGrpSpPr/>
                    </a:nvGrpSpPr>
                    <a:grpSpPr>
                      <a:xfrm>
                        <a:off x="4257995" y="7677472"/>
                        <a:ext cx="962077" cy="1296144"/>
                        <a:chOff x="467544" y="2595556"/>
                        <a:chExt cx="576062" cy="3333774"/>
                      </a:xfrm>
                      <a:noFill/>
                    </a:grpSpPr>
                    <a:sp>
                      <a:nvSpPr>
                        <a:cNvPr id="166" name="165 Dikdörtgen"/>
                        <a:cNvSpPr/>
                      </a:nvSpPr>
                      <a:spPr>
                        <a:xfrm>
                          <a:off x="467544" y="3429000"/>
                          <a:ext cx="288032" cy="2500330"/>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200" b="1" dirty="0" smtClean="0"/>
                              <a:t>Teknik Çıktı Kalitesi</a:t>
                            </a:r>
                            <a:endParaRPr lang="tr-TR" sz="1200" b="1" dirty="0"/>
                          </a:p>
                        </a:txBody>
                        <a:useSpRect/>
                      </a:txSp>
                      <a:style>
                        <a:lnRef idx="2">
                          <a:schemeClr val="dk1"/>
                        </a:lnRef>
                        <a:fillRef idx="1">
                          <a:schemeClr val="lt1"/>
                        </a:fillRef>
                        <a:effectRef idx="0">
                          <a:schemeClr val="dk1"/>
                        </a:effectRef>
                        <a:fontRef idx="minor">
                          <a:schemeClr val="dk1"/>
                        </a:fontRef>
                      </a:style>
                    </a:sp>
                    <a:sp>
                      <a:nvSpPr>
                        <a:cNvPr id="167" name="166 Dikdörtgen"/>
                        <a:cNvSpPr/>
                      </a:nvSpPr>
                      <a:spPr>
                        <a:xfrm>
                          <a:off x="755575" y="2595556"/>
                          <a:ext cx="288031" cy="2500331"/>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200" b="1" dirty="0" smtClean="0"/>
                              <a:t>Fonksiyonel Çıktı Kalitesi</a:t>
                            </a:r>
                            <a:endParaRPr lang="tr-TR" sz="1200" b="1" dirty="0"/>
                          </a:p>
                        </a:txBody>
                        <a:useSpRect/>
                      </a:txSp>
                      <a:style>
                        <a:lnRef idx="2">
                          <a:schemeClr val="dk1"/>
                        </a:lnRef>
                        <a:fillRef idx="1">
                          <a:schemeClr val="lt1"/>
                        </a:fillRef>
                        <a:effectRef idx="0">
                          <a:schemeClr val="dk1"/>
                        </a:effectRef>
                        <a:fontRef idx="minor">
                          <a:schemeClr val="dk1"/>
                        </a:fontRef>
                      </a:style>
                    </a:sp>
                  </a:grpSp>
                  <a:grpSp>
                    <a:nvGrpSpPr>
                      <a:cNvPr id="168" name="27 Grup"/>
                      <a:cNvGrpSpPr/>
                    </a:nvGrpSpPr>
                    <a:grpSpPr>
                      <a:xfrm>
                        <a:off x="5410123" y="7605464"/>
                        <a:ext cx="962077" cy="1296144"/>
                        <a:chOff x="467544" y="2595556"/>
                        <a:chExt cx="576062" cy="3333774"/>
                      </a:xfrm>
                      <a:noFill/>
                    </a:grpSpPr>
                    <a:sp>
                      <a:nvSpPr>
                        <a:cNvPr id="169" name="168 Dikdörtgen"/>
                        <a:cNvSpPr/>
                      </a:nvSpPr>
                      <a:spPr>
                        <a:xfrm>
                          <a:off x="467544" y="3429000"/>
                          <a:ext cx="288032" cy="2500330"/>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200" b="1" dirty="0" smtClean="0"/>
                              <a:t>Teknik Çıktı Kalitesi</a:t>
                            </a:r>
                            <a:endParaRPr lang="tr-TR" sz="1200" b="1" dirty="0"/>
                          </a:p>
                        </a:txBody>
                        <a:useSpRect/>
                      </a:txSp>
                      <a:style>
                        <a:lnRef idx="2">
                          <a:schemeClr val="dk1"/>
                        </a:lnRef>
                        <a:fillRef idx="1">
                          <a:schemeClr val="lt1"/>
                        </a:fillRef>
                        <a:effectRef idx="0">
                          <a:schemeClr val="dk1"/>
                        </a:effectRef>
                        <a:fontRef idx="minor">
                          <a:schemeClr val="dk1"/>
                        </a:fontRef>
                      </a:style>
                    </a:sp>
                    <a:sp>
                      <a:nvSpPr>
                        <a:cNvPr id="170" name="169 Dikdörtgen"/>
                        <a:cNvSpPr/>
                      </a:nvSpPr>
                      <a:spPr>
                        <a:xfrm>
                          <a:off x="755575" y="2595556"/>
                          <a:ext cx="288031" cy="2500331"/>
                        </a:xfrm>
                        <a:prstGeom prst="rect">
                          <a:avLst/>
                        </a:prstGeom>
                      </a:spPr>
                      <a:txSp>
                        <a:txBody>
                          <a:bodyPr vert="vert270" rtlCol="0" anchor="ctr"/>
                          <a:lstStyle>
                            <a:defPPr>
                              <a:defRPr lang="tr-T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tr-TR" sz="1200" b="1" dirty="0" smtClean="0"/>
                              <a:t>Fonksiyonel Çıktı Kalitesi</a:t>
                            </a:r>
                            <a:endParaRPr lang="tr-TR" sz="1200" b="1" dirty="0"/>
                          </a:p>
                        </a:txBody>
                        <a:useSpRect/>
                      </a:txSp>
                      <a:style>
                        <a:lnRef idx="2">
                          <a:schemeClr val="dk1"/>
                        </a:lnRef>
                        <a:fillRef idx="1">
                          <a:schemeClr val="lt1"/>
                        </a:fillRef>
                        <a:effectRef idx="0">
                          <a:schemeClr val="dk1"/>
                        </a:effectRef>
                        <a:fontRef idx="minor">
                          <a:schemeClr val="dk1"/>
                        </a:fontRef>
                      </a:style>
                    </a:sp>
                  </a:grpSp>
                  <a:cxnSp>
                    <a:nvCxnSpPr>
                      <a:cNvPr id="189" name="18 Düz Ok Bağlayıcısı"/>
                      <a:cNvCxnSpPr/>
                    </a:nvCxnSpPr>
                    <a:spPr>
                      <a:xfrm flipV="1">
                        <a:off x="3563888" y="9693696"/>
                        <a:ext cx="0" cy="288032"/>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90" name="18 Düz Ok Bağlayıcısı"/>
                      <a:cNvCxnSpPr/>
                    </a:nvCxnSpPr>
                    <a:spPr>
                      <a:xfrm flipV="1">
                        <a:off x="4716016" y="9693696"/>
                        <a:ext cx="0" cy="288032"/>
                      </a:xfrm>
                      <a:prstGeom prst="straightConnector1">
                        <a:avLst/>
                      </a:prstGeom>
                      <a:ln>
                        <a:tailEnd type="arrow"/>
                      </a:ln>
                    </a:spPr>
                    <a:style>
                      <a:lnRef idx="2">
                        <a:schemeClr val="dk1"/>
                      </a:lnRef>
                      <a:fillRef idx="0">
                        <a:schemeClr val="dk1"/>
                      </a:fillRef>
                      <a:effectRef idx="1">
                        <a:schemeClr val="dk1"/>
                      </a:effectRef>
                      <a:fontRef idx="minor">
                        <a:schemeClr val="tx1"/>
                      </a:fontRef>
                    </a:style>
                  </a:cxnSp>
                  <a:cxnSp>
                    <a:nvCxnSpPr>
                      <a:cNvPr id="191" name="18 Düz Ok Bağlayıcısı"/>
                      <a:cNvCxnSpPr/>
                    </a:nvCxnSpPr>
                    <a:spPr>
                      <a:xfrm flipV="1">
                        <a:off x="5868144" y="9693696"/>
                        <a:ext cx="0" cy="288032"/>
                      </a:xfrm>
                      <a:prstGeom prst="straightConnector1">
                        <a:avLst/>
                      </a:prstGeom>
                      <a:ln>
                        <a:tailEnd type="arrow"/>
                      </a:ln>
                    </a:spPr>
                    <a:style>
                      <a:lnRef idx="2">
                        <a:schemeClr val="dk1"/>
                      </a:lnRef>
                      <a:fillRef idx="0">
                        <a:schemeClr val="dk1"/>
                      </a:fillRef>
                      <a:effectRef idx="1">
                        <a:schemeClr val="dk1"/>
                      </a:effectRef>
                      <a:fontRef idx="minor">
                        <a:schemeClr val="tx1"/>
                      </a:fontRef>
                    </a:style>
                  </a:cxnSp>
                </lc:lockedCanvas>
              </a:graphicData>
            </a:graphic>
          </wp:inline>
        </w:drawing>
      </w:r>
    </w:p>
    <w:p w:rsidR="002F06E9" w:rsidRDefault="002F06E9" w:rsidP="007C5BF4">
      <w:pPr>
        <w:spacing w:line="240" w:lineRule="auto"/>
        <w:jc w:val="center"/>
        <w:rPr>
          <w:rFonts w:ascii="Times New Roman" w:hAnsi="Times New Roman" w:cs="Times New Roman"/>
          <w:b/>
          <w:sz w:val="24"/>
          <w:szCs w:val="24"/>
        </w:rPr>
      </w:pPr>
    </w:p>
    <w:p w:rsidR="002F06E9" w:rsidRPr="002F06E9" w:rsidRDefault="002F06E9" w:rsidP="002F06E9">
      <w:pPr>
        <w:rPr>
          <w:rFonts w:ascii="Times New Roman" w:hAnsi="Times New Roman" w:cs="Times New Roman"/>
          <w:b/>
          <w:sz w:val="24"/>
          <w:szCs w:val="24"/>
        </w:rPr>
      </w:pPr>
      <w:r>
        <w:rPr>
          <w:rFonts w:ascii="Times New Roman" w:hAnsi="Times New Roman" w:cs="Times New Roman"/>
          <w:b/>
          <w:sz w:val="24"/>
          <w:szCs w:val="24"/>
        </w:rPr>
        <w:t xml:space="preserve">               </w:t>
      </w:r>
      <w:r w:rsidRPr="002F06E9">
        <w:rPr>
          <w:rFonts w:ascii="Times New Roman" w:hAnsi="Times New Roman" w:cs="Times New Roman"/>
          <w:b/>
          <w:sz w:val="24"/>
          <w:szCs w:val="24"/>
        </w:rPr>
        <w:t>Şekil 1. Sağlık Hizmetleri Çok Boyutlu Kalite Modeli</w:t>
      </w:r>
    </w:p>
    <w:p w:rsidR="001023AE" w:rsidRPr="0039044E" w:rsidRDefault="001023AE"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Ortaya konulan modelde, sağlık hizmetlerinde kalitenin belirleyicileri ile bunların birbirleriyle ilişkileri gösterilmeye çalışılmıştır. Sağlık kurumunun sunduğu hizmetler Donabedian’ın (1988) ortaya koyduğu yapı, süreç ve çıktı şeklindeki kavramsal yapı üzerine oturtulmuş, bu yapı teknik ve fonksiyonel kalite için ayrı ayrı değerlendirilmiştir.</w:t>
      </w:r>
      <w:r w:rsidR="00230F65" w:rsidRPr="0039044E">
        <w:rPr>
          <w:rFonts w:ascii="Times New Roman" w:hAnsi="Times New Roman" w:cs="Times New Roman"/>
          <w:sz w:val="24"/>
          <w:szCs w:val="24"/>
        </w:rPr>
        <w:t xml:space="preserve"> </w:t>
      </w:r>
      <w:r w:rsidR="00082141" w:rsidRPr="0039044E">
        <w:rPr>
          <w:rFonts w:ascii="Times New Roman" w:hAnsi="Times New Roman" w:cs="Times New Roman"/>
          <w:sz w:val="24"/>
          <w:szCs w:val="24"/>
        </w:rPr>
        <w:t>Burada teknik kalite</w:t>
      </w:r>
      <w:r w:rsidR="002F06E9">
        <w:rPr>
          <w:rFonts w:ascii="Times New Roman" w:hAnsi="Times New Roman" w:cs="Times New Roman"/>
          <w:sz w:val="24"/>
          <w:szCs w:val="24"/>
        </w:rPr>
        <w:t>,</w:t>
      </w:r>
      <w:r w:rsidR="00082141" w:rsidRPr="0039044E">
        <w:rPr>
          <w:rFonts w:ascii="Times New Roman" w:hAnsi="Times New Roman" w:cs="Times New Roman"/>
          <w:sz w:val="24"/>
          <w:szCs w:val="24"/>
        </w:rPr>
        <w:t xml:space="preserve"> sunulan hizmetin </w:t>
      </w:r>
      <w:r w:rsidR="00F91621" w:rsidRPr="0039044E">
        <w:rPr>
          <w:rFonts w:ascii="Times New Roman" w:hAnsi="Times New Roman" w:cs="Times New Roman"/>
          <w:sz w:val="24"/>
          <w:szCs w:val="24"/>
        </w:rPr>
        <w:t xml:space="preserve">teknik olarak </w:t>
      </w:r>
      <w:r w:rsidR="00082141" w:rsidRPr="0039044E">
        <w:rPr>
          <w:rFonts w:ascii="Times New Roman" w:hAnsi="Times New Roman" w:cs="Times New Roman"/>
          <w:sz w:val="24"/>
          <w:szCs w:val="24"/>
        </w:rPr>
        <w:t>olmazsa olmazlarını ifade ederken, fonksiyonel kalite daha çok hizmet sunumunu kolaylaştırmaya, görselleştirmeye yönelik</w:t>
      </w:r>
      <w:r w:rsidR="00F91621" w:rsidRPr="0039044E">
        <w:rPr>
          <w:rFonts w:ascii="Times New Roman" w:hAnsi="Times New Roman" w:cs="Times New Roman"/>
          <w:sz w:val="24"/>
          <w:szCs w:val="24"/>
        </w:rPr>
        <w:t xml:space="preserve"> olan unsurlarını içermektedir.</w:t>
      </w:r>
      <w:r w:rsidR="00082141" w:rsidRPr="0039044E">
        <w:rPr>
          <w:rFonts w:ascii="Times New Roman" w:hAnsi="Times New Roman" w:cs="Times New Roman"/>
          <w:sz w:val="24"/>
          <w:szCs w:val="24"/>
        </w:rPr>
        <w:t xml:space="preserve"> </w:t>
      </w:r>
      <w:r w:rsidR="00230F65" w:rsidRPr="0039044E">
        <w:rPr>
          <w:rFonts w:ascii="Times New Roman" w:hAnsi="Times New Roman" w:cs="Times New Roman"/>
          <w:sz w:val="24"/>
          <w:szCs w:val="24"/>
        </w:rPr>
        <w:t>Bu sayede</w:t>
      </w:r>
      <w:r w:rsidR="00A807AB" w:rsidRPr="0039044E">
        <w:rPr>
          <w:rFonts w:ascii="Times New Roman" w:hAnsi="Times New Roman" w:cs="Times New Roman"/>
          <w:sz w:val="24"/>
          <w:szCs w:val="24"/>
        </w:rPr>
        <w:t>,</w:t>
      </w:r>
      <w:r w:rsidR="00230F65" w:rsidRPr="0039044E">
        <w:rPr>
          <w:rFonts w:ascii="Times New Roman" w:hAnsi="Times New Roman" w:cs="Times New Roman"/>
          <w:sz w:val="24"/>
          <w:szCs w:val="24"/>
        </w:rPr>
        <w:t xml:space="preserve"> sunulan hizmetlerin </w:t>
      </w:r>
      <w:r w:rsidR="00A807AB" w:rsidRPr="0039044E">
        <w:rPr>
          <w:rFonts w:ascii="Times New Roman" w:hAnsi="Times New Roman" w:cs="Times New Roman"/>
          <w:sz w:val="24"/>
          <w:szCs w:val="24"/>
        </w:rPr>
        <w:t xml:space="preserve">örneğin </w:t>
      </w:r>
      <w:r w:rsidR="00230F65" w:rsidRPr="0039044E">
        <w:rPr>
          <w:rFonts w:ascii="Times New Roman" w:hAnsi="Times New Roman" w:cs="Times New Roman"/>
          <w:sz w:val="24"/>
          <w:szCs w:val="24"/>
        </w:rPr>
        <w:t>yapısal özellikleri</w:t>
      </w:r>
      <w:r w:rsidR="00A807AB" w:rsidRPr="0039044E">
        <w:rPr>
          <w:rFonts w:ascii="Times New Roman" w:hAnsi="Times New Roman" w:cs="Times New Roman"/>
          <w:sz w:val="24"/>
          <w:szCs w:val="24"/>
        </w:rPr>
        <w:t>nin</w:t>
      </w:r>
      <w:r w:rsidR="00230F65" w:rsidRPr="0039044E">
        <w:rPr>
          <w:rFonts w:ascii="Times New Roman" w:hAnsi="Times New Roman" w:cs="Times New Roman"/>
          <w:sz w:val="24"/>
          <w:szCs w:val="24"/>
        </w:rPr>
        <w:t xml:space="preserve"> hem teknik hem de fonksiyonel </w:t>
      </w:r>
      <w:r w:rsidR="00A807AB" w:rsidRPr="0039044E">
        <w:rPr>
          <w:rFonts w:ascii="Times New Roman" w:hAnsi="Times New Roman" w:cs="Times New Roman"/>
          <w:sz w:val="24"/>
          <w:szCs w:val="24"/>
        </w:rPr>
        <w:t>unsurlarıyla</w:t>
      </w:r>
      <w:r w:rsidR="00230F65" w:rsidRPr="0039044E">
        <w:rPr>
          <w:rFonts w:ascii="Times New Roman" w:hAnsi="Times New Roman" w:cs="Times New Roman"/>
          <w:sz w:val="24"/>
          <w:szCs w:val="24"/>
        </w:rPr>
        <w:t xml:space="preserve"> ele alınıp değerlendirilmesinin daha sistematik olacağı düşünülmektedir. </w:t>
      </w:r>
    </w:p>
    <w:p w:rsidR="00B376FD" w:rsidRPr="0039044E" w:rsidRDefault="00DD1A7C"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lastRenderedPageBreak/>
        <w:t>Sağlık kurumlarında s</w:t>
      </w:r>
      <w:r w:rsidR="003F4575" w:rsidRPr="0039044E">
        <w:rPr>
          <w:rFonts w:ascii="Times New Roman" w:hAnsi="Times New Roman" w:cs="Times New Roman"/>
          <w:sz w:val="24"/>
          <w:szCs w:val="24"/>
        </w:rPr>
        <w:t>unulan hizmetlerin</w:t>
      </w:r>
      <w:r w:rsidR="00A807AB" w:rsidRPr="0039044E">
        <w:rPr>
          <w:rFonts w:ascii="Times New Roman" w:hAnsi="Times New Roman" w:cs="Times New Roman"/>
          <w:sz w:val="24"/>
          <w:szCs w:val="24"/>
        </w:rPr>
        <w:t xml:space="preserve"> karmaşıklığı sadece kalite unsurlarının sınıflandırılması ile değerlendirildiğinde (yapı, süreç, çıktı ya da teknik ve fonksiyonel) özellikle hizmetin sorumluluk alanları açısından ele alındığında yeterli olmayacaktır. Bu bakış açısıyla modelde, hizmetlerin doğru teşhis ve tedaviyi içeren sağlık hizmetleri, tedavi öncesi hazırlık ve sonrası bakımı içeren hemşirecilik ve bakım hizmetleri, son olarak bunların dışında kalan diğer tüm hizmetleri içeren otelcilik ve destek hizmetleri şeklinde ele alınabileceği önerilmektedir. </w:t>
      </w:r>
    </w:p>
    <w:p w:rsidR="00A807AB" w:rsidRPr="0039044E" w:rsidRDefault="00A807AB"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Ortaya konulan sağlık hizmeti kalitesinin boyutları bir arada değerlendirildiklerinde, model aşağıdaki matris aracılığıyla daha kolay değerlendirilebilecektir.</w:t>
      </w:r>
    </w:p>
    <w:p w:rsidR="00005249" w:rsidRPr="0039044E" w:rsidRDefault="002233C5" w:rsidP="007C5BF4">
      <w:pPr>
        <w:spacing w:line="240" w:lineRule="auto"/>
        <w:jc w:val="center"/>
        <w:rPr>
          <w:rFonts w:ascii="Times New Roman" w:hAnsi="Times New Roman" w:cs="Times New Roman"/>
          <w:b/>
          <w:sz w:val="24"/>
          <w:szCs w:val="24"/>
        </w:rPr>
      </w:pPr>
      <w:r w:rsidRPr="0039044E">
        <w:rPr>
          <w:rFonts w:ascii="Times New Roman" w:hAnsi="Times New Roman" w:cs="Times New Roman"/>
          <w:b/>
          <w:sz w:val="24"/>
          <w:szCs w:val="24"/>
        </w:rPr>
        <w:t>Çizelge 2</w:t>
      </w:r>
      <w:r w:rsidR="00C5461C" w:rsidRPr="0039044E">
        <w:rPr>
          <w:rFonts w:ascii="Times New Roman" w:hAnsi="Times New Roman" w:cs="Times New Roman"/>
          <w:b/>
          <w:sz w:val="24"/>
          <w:szCs w:val="24"/>
        </w:rPr>
        <w:t>.</w:t>
      </w:r>
      <w:r w:rsidRPr="0039044E">
        <w:rPr>
          <w:rFonts w:ascii="Times New Roman" w:hAnsi="Times New Roman" w:cs="Times New Roman"/>
          <w:b/>
          <w:sz w:val="24"/>
          <w:szCs w:val="24"/>
        </w:rPr>
        <w:t xml:space="preserve"> </w:t>
      </w:r>
      <w:r w:rsidR="00005249" w:rsidRPr="0039044E">
        <w:rPr>
          <w:rFonts w:ascii="Times New Roman" w:hAnsi="Times New Roman" w:cs="Times New Roman"/>
          <w:b/>
          <w:sz w:val="24"/>
          <w:szCs w:val="24"/>
        </w:rPr>
        <w:t>Sağlık Hizmetleri Çok Boyutlu Kalite Matrisi</w:t>
      </w:r>
    </w:p>
    <w:tbl>
      <w:tblPr>
        <w:tblW w:w="8319" w:type="dxa"/>
        <w:jc w:val="center"/>
        <w:tblCellMar>
          <w:left w:w="0" w:type="dxa"/>
          <w:right w:w="0" w:type="dxa"/>
        </w:tblCellMar>
        <w:tblLook w:val="04A0" w:firstRow="1" w:lastRow="0" w:firstColumn="1" w:lastColumn="0" w:noHBand="0" w:noVBand="1"/>
      </w:tblPr>
      <w:tblGrid>
        <w:gridCol w:w="2009"/>
        <w:gridCol w:w="1464"/>
        <w:gridCol w:w="1625"/>
        <w:gridCol w:w="1509"/>
        <w:gridCol w:w="1712"/>
      </w:tblGrid>
      <w:tr w:rsidR="005A2A7D" w:rsidRPr="0039044E" w:rsidTr="002233C5">
        <w:trPr>
          <w:trHeight w:val="347"/>
          <w:jc w:val="center"/>
        </w:trPr>
        <w:tc>
          <w:tcPr>
            <w:tcW w:w="2009"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5A2A7D" w:rsidRPr="0039044E" w:rsidRDefault="005A2A7D" w:rsidP="007C5BF4">
            <w:pPr>
              <w:spacing w:line="240" w:lineRule="auto"/>
              <w:jc w:val="both"/>
              <w:rPr>
                <w:rFonts w:ascii="Times New Roman" w:hAnsi="Times New Roman" w:cs="Times New Roman"/>
                <w:sz w:val="24"/>
                <w:szCs w:val="24"/>
              </w:rPr>
            </w:pPr>
          </w:p>
        </w:tc>
        <w:tc>
          <w:tcPr>
            <w:tcW w:w="146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A7D" w:rsidRPr="0039044E" w:rsidRDefault="005A2A7D"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2A7D" w:rsidRPr="0039044E" w:rsidRDefault="005A2A7D" w:rsidP="007C5BF4">
            <w:pPr>
              <w:pStyle w:val="NormalWeb"/>
              <w:spacing w:before="0" w:beforeAutospacing="0" w:after="0" w:afterAutospacing="0"/>
              <w:jc w:val="center"/>
              <w:textAlignment w:val="center"/>
              <w:rPr>
                <w:rFonts w:ascii="Times New Roman" w:hAnsi="Times New Roman" w:cs="Times New Roman"/>
                <w:b/>
              </w:rPr>
            </w:pPr>
            <w:r w:rsidRPr="0039044E">
              <w:rPr>
                <w:rFonts w:ascii="Times New Roman" w:hAnsi="Times New Roman" w:cs="Times New Roman"/>
                <w:b/>
                <w:color w:val="000000"/>
                <w:kern w:val="24"/>
              </w:rPr>
              <w:t>Yapı</w:t>
            </w:r>
            <w:r w:rsidRPr="0039044E">
              <w:rPr>
                <w:rFonts w:ascii="Times New Roman" w:hAnsi="Times New Roman" w:cs="Times New Roman"/>
                <w:b/>
                <w:color w:val="000000"/>
                <w:kern w:val="24"/>
              </w:rPr>
              <w:br/>
              <w:t>(Ne İle?)</w:t>
            </w:r>
            <w:r w:rsidRPr="0039044E">
              <w:rPr>
                <w:rFonts w:ascii="Times New Roman" w:hAnsi="Times New Roman" w:cs="Times New Roman"/>
                <w:b/>
                <w:bCs/>
                <w:color w:val="000000"/>
                <w:kern w:val="24"/>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2A7D" w:rsidRPr="0039044E" w:rsidRDefault="005A2A7D" w:rsidP="007C5BF4">
            <w:pPr>
              <w:pStyle w:val="NormalWeb"/>
              <w:spacing w:before="0" w:beforeAutospacing="0" w:after="0" w:afterAutospacing="0"/>
              <w:jc w:val="center"/>
              <w:textAlignment w:val="center"/>
              <w:rPr>
                <w:rFonts w:ascii="Times New Roman" w:hAnsi="Times New Roman" w:cs="Times New Roman"/>
                <w:b/>
              </w:rPr>
            </w:pPr>
            <w:r w:rsidRPr="0039044E">
              <w:rPr>
                <w:rFonts w:ascii="Times New Roman" w:hAnsi="Times New Roman" w:cs="Times New Roman"/>
                <w:b/>
                <w:color w:val="000000"/>
                <w:kern w:val="24"/>
              </w:rPr>
              <w:t>Süreç</w:t>
            </w:r>
            <w:r w:rsidRPr="0039044E">
              <w:rPr>
                <w:rFonts w:ascii="Times New Roman" w:hAnsi="Times New Roman" w:cs="Times New Roman"/>
                <w:b/>
                <w:color w:val="000000"/>
                <w:kern w:val="24"/>
              </w:rPr>
              <w:br/>
              <w:t>(Nasıl?)</w:t>
            </w:r>
            <w:r w:rsidRPr="0039044E">
              <w:rPr>
                <w:rFonts w:ascii="Times New Roman" w:hAnsi="Times New Roman" w:cs="Times New Roman"/>
                <w:b/>
                <w:bCs/>
                <w:color w:val="000000"/>
                <w:kern w:val="24"/>
              </w:rPr>
              <w:t xml:space="preserve"> </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2A7D" w:rsidRPr="0039044E" w:rsidRDefault="005A2A7D" w:rsidP="007C5BF4">
            <w:pPr>
              <w:pStyle w:val="NormalWeb"/>
              <w:spacing w:before="0" w:beforeAutospacing="0" w:after="0" w:afterAutospacing="0"/>
              <w:jc w:val="center"/>
              <w:textAlignment w:val="center"/>
              <w:rPr>
                <w:rFonts w:ascii="Times New Roman" w:hAnsi="Times New Roman" w:cs="Times New Roman"/>
                <w:b/>
              </w:rPr>
            </w:pPr>
            <w:r w:rsidRPr="0039044E">
              <w:rPr>
                <w:rFonts w:ascii="Times New Roman" w:hAnsi="Times New Roman" w:cs="Times New Roman"/>
                <w:b/>
                <w:color w:val="000000"/>
                <w:kern w:val="24"/>
              </w:rPr>
              <w:t>Çıktı</w:t>
            </w:r>
            <w:r w:rsidRPr="0039044E">
              <w:rPr>
                <w:rFonts w:ascii="Times New Roman" w:hAnsi="Times New Roman" w:cs="Times New Roman"/>
                <w:b/>
                <w:color w:val="000000"/>
                <w:kern w:val="24"/>
              </w:rPr>
              <w:br/>
              <w:t>(Ne?)</w:t>
            </w:r>
            <w:r w:rsidRPr="0039044E">
              <w:rPr>
                <w:rFonts w:ascii="Times New Roman" w:hAnsi="Times New Roman" w:cs="Times New Roman"/>
                <w:b/>
                <w:bCs/>
                <w:color w:val="000000"/>
                <w:kern w:val="24"/>
              </w:rPr>
              <w:t xml:space="preserve"> </w:t>
            </w:r>
          </w:p>
        </w:tc>
      </w:tr>
      <w:tr w:rsidR="005300D6" w:rsidRPr="0039044E" w:rsidTr="002233C5">
        <w:trPr>
          <w:trHeight w:val="799"/>
          <w:jc w:val="center"/>
        </w:trPr>
        <w:tc>
          <w:tcPr>
            <w:tcW w:w="20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Sağlık Hizmeti</w:t>
            </w:r>
            <w:r w:rsidRPr="0039044E">
              <w:rPr>
                <w:rFonts w:ascii="Times New Roman" w:hAnsi="Times New Roman" w:cs="Times New Roman"/>
                <w:b/>
                <w:bCs/>
                <w:sz w:val="24"/>
                <w:szCs w:val="24"/>
              </w:rPr>
              <w:br/>
              <w:t>Sunumu</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b/>
                <w:bCs/>
                <w:sz w:val="24"/>
                <w:szCs w:val="24"/>
              </w:rPr>
            </w:pPr>
            <w:r w:rsidRPr="0039044E">
              <w:rPr>
                <w:rFonts w:ascii="Times New Roman" w:hAnsi="Times New Roman" w:cs="Times New Roman"/>
                <w:b/>
                <w:bCs/>
                <w:sz w:val="24"/>
                <w:szCs w:val="24"/>
              </w:rPr>
              <w:t>Teknik</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Sağlık Hizmetlerinin Teknik Yapı Kalitesi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Sağlık Hizmetlerinin Teknik Süreç Kalitesi</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Sağlık Hizmetlerinin Teknik Çıktı Kalitesi</w:t>
            </w:r>
          </w:p>
          <w:p w:rsidR="00EE0B06" w:rsidRPr="0039044E" w:rsidRDefault="00EE0B0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(Klinik Kalite)</w:t>
            </w:r>
          </w:p>
        </w:tc>
      </w:tr>
      <w:tr w:rsidR="005300D6" w:rsidRPr="0039044E" w:rsidTr="002233C5">
        <w:trPr>
          <w:trHeight w:val="79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00D6" w:rsidRPr="0039044E" w:rsidRDefault="005300D6" w:rsidP="007C5BF4">
            <w:pPr>
              <w:spacing w:line="240" w:lineRule="auto"/>
              <w:jc w:val="center"/>
              <w:rPr>
                <w:rFonts w:ascii="Times New Roman"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Fonksiyonel</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Sağlık Hizmetlerinin Fonksiyonel Yapı Kalitesi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Sağlık Hizmetlerinin Fonksiyonel Süreç Kalitesi</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sz w:val="24"/>
                <w:szCs w:val="24"/>
              </w:rPr>
              <w:t>Sağlık Hizmetlerinin Fonksiyonel Çıktı Kalitesi</w:t>
            </w:r>
          </w:p>
        </w:tc>
      </w:tr>
      <w:tr w:rsidR="005300D6" w:rsidRPr="0039044E" w:rsidTr="002233C5">
        <w:trPr>
          <w:trHeight w:val="799"/>
          <w:jc w:val="center"/>
        </w:trPr>
        <w:tc>
          <w:tcPr>
            <w:tcW w:w="20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Hemşirelik ve Bakım Hizmeti</w:t>
            </w:r>
            <w:r w:rsidRPr="0039044E">
              <w:rPr>
                <w:rFonts w:ascii="Times New Roman" w:hAnsi="Times New Roman" w:cs="Times New Roman"/>
                <w:b/>
                <w:bCs/>
                <w:sz w:val="24"/>
                <w:szCs w:val="24"/>
              </w:rPr>
              <w:br/>
              <w:t>Sunumu</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b/>
                <w:sz w:val="24"/>
                <w:szCs w:val="24"/>
              </w:rPr>
            </w:pPr>
            <w:r w:rsidRPr="0039044E">
              <w:rPr>
                <w:rFonts w:ascii="Times New Roman" w:hAnsi="Times New Roman" w:cs="Times New Roman"/>
                <w:b/>
                <w:bCs/>
                <w:sz w:val="24"/>
                <w:szCs w:val="24"/>
              </w:rPr>
              <w:t>Teknik</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 xml:space="preserve">Hemşirelik ve Bakım </w:t>
            </w:r>
            <w:r w:rsidRPr="0039044E">
              <w:rPr>
                <w:rFonts w:ascii="Times New Roman" w:hAnsi="Times New Roman" w:cs="Times New Roman"/>
                <w:sz w:val="24"/>
                <w:szCs w:val="24"/>
              </w:rPr>
              <w:t>Hizmetlerinin Teknik Yapı Kalitesi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Hemşirelik ve Bakım</w:t>
            </w:r>
            <w:r w:rsidRPr="0039044E">
              <w:rPr>
                <w:rFonts w:ascii="Times New Roman" w:hAnsi="Times New Roman" w:cs="Times New Roman"/>
                <w:sz w:val="24"/>
                <w:szCs w:val="24"/>
              </w:rPr>
              <w:t xml:space="preserve"> Hizmetlerinin Teknik Süreç Kalitesi</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 xml:space="preserve">Hemşirelik ve Bakım </w:t>
            </w:r>
            <w:r w:rsidRPr="0039044E">
              <w:rPr>
                <w:rFonts w:ascii="Times New Roman" w:hAnsi="Times New Roman" w:cs="Times New Roman"/>
                <w:sz w:val="24"/>
                <w:szCs w:val="24"/>
              </w:rPr>
              <w:t>Hizmetlerinin Teknik Çıktı Kalitesi</w:t>
            </w:r>
          </w:p>
        </w:tc>
      </w:tr>
      <w:tr w:rsidR="005300D6" w:rsidRPr="0039044E" w:rsidTr="002233C5">
        <w:trPr>
          <w:trHeight w:val="79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00D6" w:rsidRPr="0039044E" w:rsidRDefault="005300D6" w:rsidP="007C5BF4">
            <w:pPr>
              <w:spacing w:line="240" w:lineRule="auto"/>
              <w:jc w:val="center"/>
              <w:rPr>
                <w:rFonts w:ascii="Times New Roman"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Fonksiyonel</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 xml:space="preserve">Hemşirelik ve Bakım </w:t>
            </w:r>
            <w:r w:rsidRPr="0039044E">
              <w:rPr>
                <w:rFonts w:ascii="Times New Roman" w:hAnsi="Times New Roman" w:cs="Times New Roman"/>
                <w:sz w:val="24"/>
                <w:szCs w:val="24"/>
              </w:rPr>
              <w:t>Hizmetlerinin Fonksiyonel Yapı Kalitesi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Hemşirelik ve Bakım</w:t>
            </w:r>
            <w:r w:rsidRPr="0039044E">
              <w:rPr>
                <w:rFonts w:ascii="Times New Roman" w:hAnsi="Times New Roman" w:cs="Times New Roman"/>
                <w:sz w:val="24"/>
                <w:szCs w:val="24"/>
              </w:rPr>
              <w:t xml:space="preserve"> Hizmetlerinin Fonksiyonel Süreç Kalitesi</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 xml:space="preserve">Hemşirelik ve Bakım </w:t>
            </w:r>
            <w:r w:rsidRPr="0039044E">
              <w:rPr>
                <w:rFonts w:ascii="Times New Roman" w:hAnsi="Times New Roman" w:cs="Times New Roman"/>
                <w:sz w:val="24"/>
                <w:szCs w:val="24"/>
              </w:rPr>
              <w:t>Hizmetlerinin Fonksiyonel Çıktı Kalitesi</w:t>
            </w:r>
          </w:p>
        </w:tc>
      </w:tr>
      <w:tr w:rsidR="005300D6" w:rsidRPr="0039044E" w:rsidTr="002233C5">
        <w:trPr>
          <w:trHeight w:val="799"/>
          <w:jc w:val="center"/>
        </w:trPr>
        <w:tc>
          <w:tcPr>
            <w:tcW w:w="20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Otelcilik ve Destek Hizmetleri Sunumu</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Teknik</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Otelcilik ve Destek Hizmetlerin</w:t>
            </w:r>
            <w:r w:rsidRPr="0039044E">
              <w:rPr>
                <w:rFonts w:ascii="Times New Roman" w:hAnsi="Times New Roman" w:cs="Times New Roman"/>
                <w:b/>
                <w:bCs/>
                <w:sz w:val="24"/>
                <w:szCs w:val="24"/>
              </w:rPr>
              <w:t xml:space="preserve"> </w:t>
            </w:r>
            <w:r w:rsidRPr="0039044E">
              <w:rPr>
                <w:rFonts w:ascii="Times New Roman" w:hAnsi="Times New Roman" w:cs="Times New Roman"/>
                <w:sz w:val="24"/>
                <w:szCs w:val="24"/>
              </w:rPr>
              <w:t>Teknik Yapı Kalitesi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Otelcilik ve Destek Hizmetlerin</w:t>
            </w:r>
            <w:r w:rsidRPr="0039044E">
              <w:rPr>
                <w:rFonts w:ascii="Times New Roman" w:hAnsi="Times New Roman" w:cs="Times New Roman"/>
                <w:b/>
                <w:bCs/>
                <w:sz w:val="24"/>
                <w:szCs w:val="24"/>
              </w:rPr>
              <w:t xml:space="preserve"> </w:t>
            </w:r>
            <w:r w:rsidRPr="0039044E">
              <w:rPr>
                <w:rFonts w:ascii="Times New Roman" w:hAnsi="Times New Roman" w:cs="Times New Roman"/>
                <w:sz w:val="24"/>
                <w:szCs w:val="24"/>
              </w:rPr>
              <w:t>Teknik Süreç Kalitesi</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Otelcilik ve Destek Hizmetlerin</w:t>
            </w:r>
            <w:r w:rsidRPr="0039044E">
              <w:rPr>
                <w:rFonts w:ascii="Times New Roman" w:hAnsi="Times New Roman" w:cs="Times New Roman"/>
                <w:b/>
                <w:bCs/>
                <w:sz w:val="24"/>
                <w:szCs w:val="24"/>
              </w:rPr>
              <w:t xml:space="preserve"> </w:t>
            </w:r>
            <w:r w:rsidRPr="0039044E">
              <w:rPr>
                <w:rFonts w:ascii="Times New Roman" w:hAnsi="Times New Roman" w:cs="Times New Roman"/>
                <w:sz w:val="24"/>
                <w:szCs w:val="24"/>
              </w:rPr>
              <w:t>Teknik Çıktı Kalitesi</w:t>
            </w:r>
          </w:p>
        </w:tc>
      </w:tr>
      <w:tr w:rsidR="005300D6" w:rsidRPr="0039044E" w:rsidTr="002233C5">
        <w:trPr>
          <w:trHeight w:val="79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00D6" w:rsidRPr="0039044E" w:rsidRDefault="005300D6" w:rsidP="007C5BF4">
            <w:pPr>
              <w:spacing w:line="240" w:lineRule="auto"/>
              <w:jc w:val="center"/>
              <w:rPr>
                <w:rFonts w:ascii="Times New Roman"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
                <w:bCs/>
                <w:sz w:val="24"/>
                <w:szCs w:val="24"/>
              </w:rPr>
              <w:t>Fonksiyonel</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Otelcilik ve Destek Hizmetlerin</w:t>
            </w:r>
            <w:r w:rsidRPr="0039044E">
              <w:rPr>
                <w:rFonts w:ascii="Times New Roman" w:hAnsi="Times New Roman" w:cs="Times New Roman"/>
                <w:b/>
                <w:bCs/>
                <w:sz w:val="24"/>
                <w:szCs w:val="24"/>
              </w:rPr>
              <w:t xml:space="preserve"> </w:t>
            </w:r>
            <w:r w:rsidRPr="0039044E">
              <w:rPr>
                <w:rFonts w:ascii="Times New Roman" w:hAnsi="Times New Roman" w:cs="Times New Roman"/>
                <w:sz w:val="24"/>
                <w:szCs w:val="24"/>
              </w:rPr>
              <w:t>Fonksiyonel Yapı Kalitesi</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Otelcilik ve Destek Hizmetlerin</w:t>
            </w:r>
            <w:r w:rsidRPr="0039044E">
              <w:rPr>
                <w:rFonts w:ascii="Times New Roman" w:hAnsi="Times New Roman" w:cs="Times New Roman"/>
                <w:b/>
                <w:bCs/>
                <w:sz w:val="24"/>
                <w:szCs w:val="24"/>
              </w:rPr>
              <w:t xml:space="preserve"> </w:t>
            </w:r>
            <w:r w:rsidRPr="0039044E">
              <w:rPr>
                <w:rFonts w:ascii="Times New Roman" w:hAnsi="Times New Roman" w:cs="Times New Roman"/>
                <w:sz w:val="24"/>
                <w:szCs w:val="24"/>
              </w:rPr>
              <w:t>Fonksiyonel Süreç Kalitesi</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300D6" w:rsidRPr="0039044E" w:rsidRDefault="005300D6" w:rsidP="007C5BF4">
            <w:pPr>
              <w:spacing w:line="240" w:lineRule="auto"/>
              <w:jc w:val="center"/>
              <w:rPr>
                <w:rFonts w:ascii="Times New Roman" w:hAnsi="Times New Roman" w:cs="Times New Roman"/>
                <w:sz w:val="24"/>
                <w:szCs w:val="24"/>
              </w:rPr>
            </w:pPr>
            <w:r w:rsidRPr="0039044E">
              <w:rPr>
                <w:rFonts w:ascii="Times New Roman" w:hAnsi="Times New Roman" w:cs="Times New Roman"/>
                <w:bCs/>
                <w:sz w:val="24"/>
                <w:szCs w:val="24"/>
              </w:rPr>
              <w:t>Otelcilik ve Destek Hizmetlerin</w:t>
            </w:r>
            <w:r w:rsidRPr="0039044E">
              <w:rPr>
                <w:rFonts w:ascii="Times New Roman" w:hAnsi="Times New Roman" w:cs="Times New Roman"/>
                <w:b/>
                <w:bCs/>
                <w:sz w:val="24"/>
                <w:szCs w:val="24"/>
              </w:rPr>
              <w:t xml:space="preserve"> </w:t>
            </w:r>
            <w:r w:rsidRPr="0039044E">
              <w:rPr>
                <w:rFonts w:ascii="Times New Roman" w:hAnsi="Times New Roman" w:cs="Times New Roman"/>
                <w:sz w:val="24"/>
                <w:szCs w:val="24"/>
              </w:rPr>
              <w:t>Fonksiyonel Çıktı Kalitesi</w:t>
            </w:r>
          </w:p>
        </w:tc>
      </w:tr>
    </w:tbl>
    <w:p w:rsidR="00A807AB" w:rsidRPr="0039044E" w:rsidRDefault="00A807AB" w:rsidP="007C5BF4">
      <w:pPr>
        <w:spacing w:line="240" w:lineRule="auto"/>
        <w:jc w:val="both"/>
        <w:rPr>
          <w:rFonts w:ascii="Times New Roman" w:hAnsi="Times New Roman" w:cs="Times New Roman"/>
          <w:sz w:val="24"/>
          <w:szCs w:val="24"/>
        </w:rPr>
      </w:pPr>
    </w:p>
    <w:p w:rsidR="00C35CDB" w:rsidRPr="0039044E" w:rsidRDefault="00C35CDB"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lastRenderedPageBreak/>
        <w:t>Sağlık Hizmetleri Çok Boyutlu Kalite Matrisinde ortaya konulan alan</w:t>
      </w:r>
      <w:r w:rsidR="0079779B" w:rsidRPr="0039044E">
        <w:rPr>
          <w:rFonts w:ascii="Times New Roman" w:hAnsi="Times New Roman" w:cs="Times New Roman"/>
          <w:sz w:val="24"/>
          <w:szCs w:val="24"/>
        </w:rPr>
        <w:t>lardan bazıları</w:t>
      </w:r>
      <w:r w:rsidRPr="0039044E">
        <w:rPr>
          <w:rFonts w:ascii="Times New Roman" w:hAnsi="Times New Roman" w:cs="Times New Roman"/>
          <w:sz w:val="24"/>
          <w:szCs w:val="24"/>
        </w:rPr>
        <w:t xml:space="preserve"> için,</w:t>
      </w:r>
      <w:r w:rsidR="0079779B" w:rsidRPr="0039044E">
        <w:rPr>
          <w:rFonts w:ascii="Times New Roman" w:hAnsi="Times New Roman" w:cs="Times New Roman"/>
          <w:sz w:val="24"/>
          <w:szCs w:val="24"/>
        </w:rPr>
        <w:t xml:space="preserve"> aşağıda</w:t>
      </w:r>
      <w:r w:rsidRPr="0039044E">
        <w:rPr>
          <w:rFonts w:ascii="Times New Roman" w:hAnsi="Times New Roman" w:cs="Times New Roman"/>
          <w:sz w:val="24"/>
          <w:szCs w:val="24"/>
        </w:rPr>
        <w:t xml:space="preserve"> örnekler verilmeye çalışılacaktır;</w:t>
      </w:r>
    </w:p>
    <w:p w:rsidR="00C35CDB" w:rsidRPr="0039044E" w:rsidRDefault="00C35CDB" w:rsidP="007C5BF4">
      <w:pPr>
        <w:spacing w:line="240" w:lineRule="auto"/>
        <w:jc w:val="both"/>
        <w:rPr>
          <w:rFonts w:ascii="Times New Roman" w:hAnsi="Times New Roman" w:cs="Times New Roman"/>
          <w:sz w:val="24"/>
          <w:szCs w:val="24"/>
        </w:rPr>
      </w:pPr>
      <w:r w:rsidRPr="0039044E">
        <w:rPr>
          <w:rFonts w:ascii="Times New Roman" w:hAnsi="Times New Roman" w:cs="Times New Roman"/>
          <w:i/>
          <w:sz w:val="24"/>
          <w:szCs w:val="24"/>
        </w:rPr>
        <w:t>Sağlık Hizmetlerinin Teknik Yapı Kalitesi</w:t>
      </w:r>
      <w:r w:rsidRPr="0039044E">
        <w:rPr>
          <w:rFonts w:ascii="Times New Roman" w:hAnsi="Times New Roman" w:cs="Times New Roman"/>
          <w:sz w:val="24"/>
          <w:szCs w:val="24"/>
        </w:rPr>
        <w:t>: Uzman hekimlerin nitelik ve nicelik yeterliliği, ameliyathane, poliklinik</w:t>
      </w:r>
      <w:r w:rsidR="00FA1C81" w:rsidRPr="0039044E">
        <w:rPr>
          <w:rFonts w:ascii="Times New Roman" w:hAnsi="Times New Roman" w:cs="Times New Roman"/>
          <w:sz w:val="24"/>
          <w:szCs w:val="24"/>
        </w:rPr>
        <w:t>, laboratuvar</w:t>
      </w:r>
      <w:r w:rsidRPr="0039044E">
        <w:rPr>
          <w:rFonts w:ascii="Times New Roman" w:hAnsi="Times New Roman" w:cs="Times New Roman"/>
          <w:sz w:val="24"/>
          <w:szCs w:val="24"/>
        </w:rPr>
        <w:t xml:space="preserve"> vb. alanların teknoloji vb. altyapı unsurlarıyla teknik kalitesi.</w:t>
      </w:r>
    </w:p>
    <w:p w:rsidR="007A4610" w:rsidRPr="0039044E" w:rsidRDefault="007A4610" w:rsidP="007C5BF4">
      <w:pPr>
        <w:spacing w:line="240" w:lineRule="auto"/>
        <w:jc w:val="both"/>
        <w:rPr>
          <w:rFonts w:ascii="Times New Roman" w:hAnsi="Times New Roman" w:cs="Times New Roman"/>
          <w:sz w:val="24"/>
          <w:szCs w:val="24"/>
        </w:rPr>
      </w:pPr>
      <w:r w:rsidRPr="0039044E">
        <w:rPr>
          <w:rFonts w:ascii="Times New Roman" w:hAnsi="Times New Roman" w:cs="Times New Roman"/>
          <w:i/>
          <w:sz w:val="24"/>
          <w:szCs w:val="24"/>
        </w:rPr>
        <w:t xml:space="preserve">Sağlık Hizmetlerinin Teknik Süreç Kalitesi: </w:t>
      </w:r>
      <w:r w:rsidRPr="0039044E">
        <w:rPr>
          <w:rFonts w:ascii="Times New Roman" w:hAnsi="Times New Roman" w:cs="Times New Roman"/>
          <w:sz w:val="24"/>
          <w:szCs w:val="24"/>
        </w:rPr>
        <w:t xml:space="preserve">Muayene, teşhis ve tedavinin bilimsel gereklilikleri yerine getirecek şekilde </w:t>
      </w:r>
      <w:r w:rsidR="001C234B" w:rsidRPr="0039044E">
        <w:rPr>
          <w:rFonts w:ascii="Times New Roman" w:hAnsi="Times New Roman" w:cs="Times New Roman"/>
          <w:sz w:val="24"/>
          <w:szCs w:val="24"/>
        </w:rPr>
        <w:t xml:space="preserve">öncelik ilişkisini </w:t>
      </w:r>
      <w:r w:rsidRPr="0039044E">
        <w:rPr>
          <w:rFonts w:ascii="Times New Roman" w:hAnsi="Times New Roman" w:cs="Times New Roman"/>
          <w:sz w:val="24"/>
          <w:szCs w:val="24"/>
        </w:rPr>
        <w:t xml:space="preserve">gerçekleştirilmesini sağlayacak tüm süreçler. </w:t>
      </w:r>
    </w:p>
    <w:p w:rsidR="00EE0B06" w:rsidRPr="0039044E" w:rsidRDefault="00EE0B06" w:rsidP="007C5BF4">
      <w:pPr>
        <w:spacing w:line="240" w:lineRule="auto"/>
        <w:jc w:val="both"/>
        <w:rPr>
          <w:rFonts w:ascii="Times New Roman" w:hAnsi="Times New Roman" w:cs="Times New Roman"/>
          <w:sz w:val="24"/>
          <w:szCs w:val="24"/>
        </w:rPr>
      </w:pPr>
      <w:r w:rsidRPr="0039044E">
        <w:rPr>
          <w:rFonts w:ascii="Times New Roman" w:hAnsi="Times New Roman" w:cs="Times New Roman"/>
          <w:i/>
          <w:sz w:val="24"/>
          <w:szCs w:val="24"/>
        </w:rPr>
        <w:t>Sağlık Hizmetlerinin Teknik Çıktı Kalitesi (Klinik Kalite);</w:t>
      </w:r>
      <w:r w:rsidRPr="0039044E">
        <w:rPr>
          <w:rFonts w:ascii="Times New Roman" w:hAnsi="Times New Roman" w:cs="Times New Roman"/>
          <w:sz w:val="24"/>
          <w:szCs w:val="24"/>
        </w:rPr>
        <w:t xml:space="preserve"> </w:t>
      </w:r>
      <w:r w:rsidR="00C05F96" w:rsidRPr="0039044E">
        <w:rPr>
          <w:rFonts w:ascii="Times New Roman" w:hAnsi="Times New Roman" w:cs="Times New Roman"/>
          <w:sz w:val="24"/>
          <w:szCs w:val="24"/>
        </w:rPr>
        <w:t>Kanıta dayalı tıp uygulamaları ile t</w:t>
      </w:r>
      <w:r w:rsidR="000B09B8" w:rsidRPr="0039044E">
        <w:rPr>
          <w:rFonts w:ascii="Times New Roman" w:hAnsi="Times New Roman" w:cs="Times New Roman"/>
          <w:sz w:val="24"/>
          <w:szCs w:val="24"/>
        </w:rPr>
        <w:t>eşhis ve tedavi</w:t>
      </w:r>
      <w:r w:rsidR="00FE44CD" w:rsidRPr="0039044E">
        <w:rPr>
          <w:rFonts w:ascii="Times New Roman" w:hAnsi="Times New Roman" w:cs="Times New Roman"/>
          <w:sz w:val="24"/>
          <w:szCs w:val="24"/>
        </w:rPr>
        <w:t xml:space="preserve"> </w:t>
      </w:r>
      <w:r w:rsidR="00C05F96" w:rsidRPr="0039044E">
        <w:rPr>
          <w:rFonts w:ascii="Times New Roman" w:hAnsi="Times New Roman" w:cs="Times New Roman"/>
          <w:sz w:val="24"/>
          <w:szCs w:val="24"/>
        </w:rPr>
        <w:t>sonuçlarının doğruluk düzeyleri ile sağlanan iyileşmeler.</w:t>
      </w:r>
      <w:r w:rsidR="00FE44CD" w:rsidRPr="0039044E">
        <w:rPr>
          <w:rFonts w:ascii="Times New Roman" w:hAnsi="Times New Roman" w:cs="Times New Roman"/>
          <w:sz w:val="24"/>
          <w:szCs w:val="24"/>
        </w:rPr>
        <w:t xml:space="preserve"> </w:t>
      </w:r>
      <w:r w:rsidR="00C05F96" w:rsidRPr="0039044E">
        <w:rPr>
          <w:rFonts w:ascii="Times New Roman" w:hAnsi="Times New Roman" w:cs="Times New Roman"/>
          <w:sz w:val="24"/>
          <w:szCs w:val="24"/>
        </w:rPr>
        <w:t xml:space="preserve"> </w:t>
      </w:r>
      <w:r w:rsidR="000D575D">
        <w:rPr>
          <w:rFonts w:ascii="Times New Roman" w:hAnsi="Times New Roman" w:cs="Times New Roman"/>
          <w:sz w:val="24"/>
          <w:szCs w:val="24"/>
        </w:rPr>
        <w:t>Örn: B</w:t>
      </w:r>
      <w:r w:rsidRPr="0039044E">
        <w:rPr>
          <w:rFonts w:ascii="Times New Roman" w:hAnsi="Times New Roman" w:cs="Times New Roman"/>
          <w:sz w:val="24"/>
          <w:szCs w:val="24"/>
        </w:rPr>
        <w:t xml:space="preserve">aşarılı </w:t>
      </w:r>
      <w:r w:rsidR="00E04D06" w:rsidRPr="0039044E">
        <w:rPr>
          <w:rFonts w:ascii="Times New Roman" w:hAnsi="Times New Roman" w:cs="Times New Roman"/>
          <w:sz w:val="24"/>
          <w:szCs w:val="24"/>
        </w:rPr>
        <w:t>cerrahi operasyon</w:t>
      </w:r>
      <w:r w:rsidR="00EE19D6" w:rsidRPr="0039044E">
        <w:rPr>
          <w:rFonts w:ascii="Times New Roman" w:hAnsi="Times New Roman" w:cs="Times New Roman"/>
          <w:sz w:val="24"/>
          <w:szCs w:val="24"/>
        </w:rPr>
        <w:t>lar</w:t>
      </w:r>
      <w:r w:rsidRPr="0039044E">
        <w:rPr>
          <w:rFonts w:ascii="Times New Roman" w:hAnsi="Times New Roman" w:cs="Times New Roman"/>
          <w:sz w:val="24"/>
          <w:szCs w:val="24"/>
        </w:rPr>
        <w:t>, işitme bozuklu</w:t>
      </w:r>
      <w:r w:rsidR="00E04D06" w:rsidRPr="0039044E">
        <w:rPr>
          <w:rFonts w:ascii="Times New Roman" w:hAnsi="Times New Roman" w:cs="Times New Roman"/>
          <w:sz w:val="24"/>
          <w:szCs w:val="24"/>
        </w:rPr>
        <w:t>ğunun ortadan kaldırılması vb.</w:t>
      </w:r>
      <w:r w:rsidRPr="0039044E">
        <w:rPr>
          <w:rFonts w:ascii="Times New Roman" w:hAnsi="Times New Roman" w:cs="Times New Roman"/>
          <w:sz w:val="24"/>
          <w:szCs w:val="24"/>
        </w:rPr>
        <w:t xml:space="preserve"> </w:t>
      </w:r>
      <w:r w:rsidR="000B09B8" w:rsidRPr="0039044E">
        <w:rPr>
          <w:rFonts w:ascii="Times New Roman" w:hAnsi="Times New Roman" w:cs="Times New Roman"/>
          <w:sz w:val="24"/>
          <w:szCs w:val="24"/>
        </w:rPr>
        <w:t>l</w:t>
      </w:r>
      <w:r w:rsidRPr="0039044E">
        <w:rPr>
          <w:rFonts w:ascii="Times New Roman" w:hAnsi="Times New Roman" w:cs="Times New Roman"/>
          <w:sz w:val="24"/>
          <w:szCs w:val="24"/>
        </w:rPr>
        <w:t>aboratuvar sonuçlarının doğruluğu</w:t>
      </w:r>
      <w:r w:rsidR="00FA1C81" w:rsidRPr="0039044E">
        <w:rPr>
          <w:rFonts w:ascii="Times New Roman" w:hAnsi="Times New Roman" w:cs="Times New Roman"/>
          <w:sz w:val="24"/>
          <w:szCs w:val="24"/>
        </w:rPr>
        <w:t xml:space="preserve"> gibi.</w:t>
      </w:r>
    </w:p>
    <w:p w:rsidR="0079779B" w:rsidRPr="00641C0C" w:rsidRDefault="0079779B" w:rsidP="007C5BF4">
      <w:pPr>
        <w:spacing w:line="240" w:lineRule="auto"/>
        <w:jc w:val="both"/>
        <w:rPr>
          <w:rFonts w:ascii="Times New Roman" w:hAnsi="Times New Roman" w:cs="Times New Roman"/>
          <w:sz w:val="24"/>
          <w:szCs w:val="24"/>
        </w:rPr>
      </w:pPr>
      <w:r w:rsidRPr="0039044E">
        <w:rPr>
          <w:rFonts w:ascii="Times New Roman" w:hAnsi="Times New Roman" w:cs="Times New Roman"/>
          <w:i/>
          <w:sz w:val="24"/>
          <w:szCs w:val="24"/>
        </w:rPr>
        <w:t>Hemşirelik ve Bakım Hizmetlerinin Fonksiyonel Süreç Kalitesi</w:t>
      </w:r>
      <w:r w:rsidR="00E07AF8" w:rsidRPr="0039044E">
        <w:rPr>
          <w:rFonts w:ascii="Times New Roman" w:hAnsi="Times New Roman" w:cs="Times New Roman"/>
          <w:i/>
          <w:sz w:val="24"/>
          <w:szCs w:val="24"/>
        </w:rPr>
        <w:t>:</w:t>
      </w:r>
      <w:r w:rsidR="00E07AF8" w:rsidRPr="0039044E">
        <w:rPr>
          <w:rFonts w:ascii="Times New Roman" w:eastAsia="+mn-ea" w:hAnsi="Times New Roman" w:cs="Times New Roman"/>
          <w:color w:val="000000"/>
          <w:kern w:val="24"/>
          <w:sz w:val="24"/>
          <w:szCs w:val="24"/>
        </w:rPr>
        <w:t xml:space="preserve"> </w:t>
      </w:r>
      <w:r w:rsidR="00E07AF8" w:rsidRPr="00641C0C">
        <w:rPr>
          <w:rFonts w:ascii="Times New Roman" w:eastAsia="+mn-ea" w:hAnsi="Times New Roman" w:cs="Times New Roman"/>
          <w:color w:val="000000"/>
          <w:kern w:val="24"/>
          <w:sz w:val="24"/>
          <w:szCs w:val="24"/>
        </w:rPr>
        <w:t>H</w:t>
      </w:r>
      <w:r w:rsidR="00E07AF8" w:rsidRPr="00641C0C">
        <w:rPr>
          <w:rFonts w:ascii="Times New Roman" w:hAnsi="Times New Roman" w:cs="Times New Roman"/>
          <w:sz w:val="24"/>
          <w:szCs w:val="24"/>
        </w:rPr>
        <w:t xml:space="preserve">astanın bakım hizmeti alım sürecindeki tüm </w:t>
      </w:r>
      <w:r w:rsidR="00102B31" w:rsidRPr="00641C0C">
        <w:rPr>
          <w:rFonts w:ascii="Times New Roman" w:hAnsi="Times New Roman" w:cs="Times New Roman"/>
          <w:sz w:val="24"/>
          <w:szCs w:val="24"/>
        </w:rPr>
        <w:t>işlemlerin hasta</w:t>
      </w:r>
      <w:r w:rsidR="00E07AF8" w:rsidRPr="00641C0C">
        <w:rPr>
          <w:rFonts w:ascii="Times New Roman" w:hAnsi="Times New Roman" w:cs="Times New Roman"/>
          <w:sz w:val="24"/>
          <w:szCs w:val="24"/>
        </w:rPr>
        <w:t xml:space="preserve"> odaklı tasarlanmış olması</w:t>
      </w:r>
      <w:r w:rsidR="00641C0C">
        <w:rPr>
          <w:rFonts w:ascii="Times New Roman" w:hAnsi="Times New Roman" w:cs="Times New Roman"/>
          <w:sz w:val="24"/>
          <w:szCs w:val="24"/>
        </w:rPr>
        <w:t>.</w:t>
      </w:r>
    </w:p>
    <w:p w:rsidR="00E07AF8" w:rsidRPr="000D575D" w:rsidRDefault="0079779B" w:rsidP="007C5BF4">
      <w:pPr>
        <w:spacing w:line="240" w:lineRule="auto"/>
        <w:jc w:val="both"/>
        <w:rPr>
          <w:rFonts w:ascii="Times New Roman" w:hAnsi="Times New Roman" w:cs="Times New Roman"/>
          <w:sz w:val="24"/>
          <w:szCs w:val="24"/>
        </w:rPr>
      </w:pPr>
      <w:r w:rsidRPr="0039044E">
        <w:rPr>
          <w:rFonts w:ascii="Times New Roman" w:hAnsi="Times New Roman" w:cs="Times New Roman"/>
          <w:i/>
          <w:sz w:val="24"/>
          <w:szCs w:val="24"/>
        </w:rPr>
        <w:t>Otelcilik ve Destek Hizmetlerin Teknik Yapı Kalitesi</w:t>
      </w:r>
      <w:r w:rsidR="000D575D">
        <w:rPr>
          <w:rFonts w:ascii="Times New Roman" w:hAnsi="Times New Roman" w:cs="Times New Roman"/>
          <w:i/>
          <w:sz w:val="24"/>
          <w:szCs w:val="24"/>
        </w:rPr>
        <w:t>:</w:t>
      </w:r>
      <w:r w:rsidR="00E07AF8" w:rsidRPr="0039044E">
        <w:rPr>
          <w:rFonts w:ascii="Times New Roman" w:hAnsi="Times New Roman" w:cs="Times New Roman"/>
          <w:i/>
          <w:sz w:val="24"/>
          <w:szCs w:val="24"/>
        </w:rPr>
        <w:t xml:space="preserve"> </w:t>
      </w:r>
      <w:r w:rsidR="00E07AF8" w:rsidRPr="000D575D">
        <w:rPr>
          <w:rFonts w:ascii="Times New Roman" w:hAnsi="Times New Roman" w:cs="Times New Roman"/>
          <w:sz w:val="24"/>
          <w:szCs w:val="24"/>
        </w:rPr>
        <w:t xml:space="preserve">Karşılama, </w:t>
      </w:r>
      <w:r w:rsidR="000D575D" w:rsidRPr="000D575D">
        <w:rPr>
          <w:rFonts w:ascii="Times New Roman" w:hAnsi="Times New Roman" w:cs="Times New Roman"/>
          <w:sz w:val="24"/>
          <w:szCs w:val="24"/>
        </w:rPr>
        <w:t>y</w:t>
      </w:r>
      <w:r w:rsidR="00E07AF8" w:rsidRPr="000D575D">
        <w:rPr>
          <w:rFonts w:ascii="Times New Roman" w:hAnsi="Times New Roman" w:cs="Times New Roman"/>
          <w:sz w:val="24"/>
          <w:szCs w:val="24"/>
        </w:rPr>
        <w:t xml:space="preserve">önlendirme, </w:t>
      </w:r>
      <w:r w:rsidR="000D575D" w:rsidRPr="000D575D">
        <w:rPr>
          <w:rFonts w:ascii="Times New Roman" w:hAnsi="Times New Roman" w:cs="Times New Roman"/>
          <w:sz w:val="24"/>
          <w:szCs w:val="24"/>
        </w:rPr>
        <w:t>danışma, yemekhane vb. diğer personelin nitelik ve nicelik y</w:t>
      </w:r>
      <w:r w:rsidR="00E07AF8" w:rsidRPr="000D575D">
        <w:rPr>
          <w:rFonts w:ascii="Times New Roman" w:hAnsi="Times New Roman" w:cs="Times New Roman"/>
          <w:sz w:val="24"/>
          <w:szCs w:val="24"/>
        </w:rPr>
        <w:t>eterliliği</w:t>
      </w:r>
      <w:r w:rsidR="000D575D" w:rsidRPr="000D575D">
        <w:rPr>
          <w:rFonts w:ascii="Times New Roman" w:hAnsi="Times New Roman" w:cs="Times New Roman"/>
          <w:sz w:val="24"/>
          <w:szCs w:val="24"/>
        </w:rPr>
        <w:t>.</w:t>
      </w:r>
    </w:p>
    <w:p w:rsidR="00E07AF8" w:rsidRPr="000D575D" w:rsidRDefault="0079779B" w:rsidP="007C5BF4">
      <w:pPr>
        <w:spacing w:line="240" w:lineRule="auto"/>
        <w:jc w:val="both"/>
        <w:rPr>
          <w:rFonts w:ascii="Times New Roman" w:hAnsi="Times New Roman" w:cs="Times New Roman"/>
          <w:sz w:val="24"/>
          <w:szCs w:val="24"/>
        </w:rPr>
      </w:pPr>
      <w:r w:rsidRPr="0039044E">
        <w:rPr>
          <w:rFonts w:ascii="Times New Roman" w:hAnsi="Times New Roman" w:cs="Times New Roman"/>
          <w:i/>
          <w:sz w:val="24"/>
          <w:szCs w:val="24"/>
        </w:rPr>
        <w:t>Otelcilik ve Destek Hizmetlerin Fonksiyonel Çıktı Kalitesi</w:t>
      </w:r>
      <w:r w:rsidR="00E07AF8" w:rsidRPr="0039044E">
        <w:rPr>
          <w:rFonts w:ascii="Times New Roman" w:hAnsi="Times New Roman" w:cs="Times New Roman"/>
          <w:i/>
          <w:sz w:val="24"/>
          <w:szCs w:val="24"/>
        </w:rPr>
        <w:t>:</w:t>
      </w:r>
      <w:r w:rsidR="00E07AF8" w:rsidRPr="0039044E">
        <w:rPr>
          <w:rFonts w:ascii="Times New Roman" w:eastAsia="+mn-ea" w:hAnsi="Times New Roman" w:cs="Times New Roman"/>
          <w:color w:val="000000"/>
          <w:kern w:val="24"/>
          <w:sz w:val="24"/>
          <w:szCs w:val="24"/>
        </w:rPr>
        <w:t xml:space="preserve"> </w:t>
      </w:r>
      <w:r w:rsidR="006F071B" w:rsidRPr="000D575D">
        <w:rPr>
          <w:rFonts w:ascii="Times New Roman" w:hAnsi="Times New Roman" w:cs="Times New Roman"/>
          <w:sz w:val="24"/>
          <w:szCs w:val="24"/>
        </w:rPr>
        <w:t>Taburcu ve</w:t>
      </w:r>
      <w:r w:rsidR="00E07AF8" w:rsidRPr="000D575D">
        <w:rPr>
          <w:rFonts w:ascii="Times New Roman" w:hAnsi="Times New Roman" w:cs="Times New Roman"/>
          <w:sz w:val="24"/>
          <w:szCs w:val="24"/>
        </w:rPr>
        <w:t xml:space="preserve"> </w:t>
      </w:r>
      <w:r w:rsidR="000D575D">
        <w:rPr>
          <w:rFonts w:ascii="Times New Roman" w:hAnsi="Times New Roman" w:cs="Times New Roman"/>
          <w:sz w:val="24"/>
          <w:szCs w:val="24"/>
        </w:rPr>
        <w:t>y</w:t>
      </w:r>
      <w:r w:rsidR="00E07AF8" w:rsidRPr="000D575D">
        <w:rPr>
          <w:rFonts w:ascii="Times New Roman" w:hAnsi="Times New Roman" w:cs="Times New Roman"/>
          <w:sz w:val="24"/>
          <w:szCs w:val="24"/>
        </w:rPr>
        <w:t>atış hizmetlerinde bekleme süreleri</w:t>
      </w:r>
      <w:r w:rsidR="007614F7" w:rsidRPr="000D575D">
        <w:rPr>
          <w:rFonts w:ascii="Times New Roman" w:hAnsi="Times New Roman" w:cs="Times New Roman"/>
          <w:sz w:val="24"/>
          <w:szCs w:val="24"/>
        </w:rPr>
        <w:t>.</w:t>
      </w:r>
    </w:p>
    <w:p w:rsidR="00E1162F" w:rsidRPr="0039044E" w:rsidRDefault="00E1162F"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Elbette yukarıda ifade edilen tüm boyutlar aynı zamanda birçok farklı dışsal faktör tarafından etkilenmektedir</w:t>
      </w:r>
      <w:r w:rsidR="00BA33BF" w:rsidRPr="0039044E">
        <w:rPr>
          <w:rFonts w:ascii="Times New Roman" w:hAnsi="Times New Roman" w:cs="Times New Roman"/>
          <w:sz w:val="24"/>
          <w:szCs w:val="24"/>
        </w:rPr>
        <w:t xml:space="preserve"> (Kavuncubaşı,</w:t>
      </w:r>
      <w:r w:rsidR="00AF12C7">
        <w:rPr>
          <w:rFonts w:ascii="Times New Roman" w:hAnsi="Times New Roman" w:cs="Times New Roman"/>
          <w:sz w:val="24"/>
          <w:szCs w:val="24"/>
        </w:rPr>
        <w:t xml:space="preserve"> </w:t>
      </w:r>
      <w:r w:rsidR="00BA33BF" w:rsidRPr="0039044E">
        <w:rPr>
          <w:rFonts w:ascii="Times New Roman" w:hAnsi="Times New Roman" w:cs="Times New Roman"/>
          <w:sz w:val="24"/>
          <w:szCs w:val="24"/>
        </w:rPr>
        <w:t>2000)</w:t>
      </w:r>
      <w:r w:rsidRPr="0039044E">
        <w:rPr>
          <w:rFonts w:ascii="Times New Roman" w:hAnsi="Times New Roman" w:cs="Times New Roman"/>
          <w:sz w:val="24"/>
          <w:szCs w:val="24"/>
        </w:rPr>
        <w:t>. Bu faktörleri k</w:t>
      </w:r>
      <w:r w:rsidR="00A210D4" w:rsidRPr="0039044E">
        <w:rPr>
          <w:rFonts w:ascii="Times New Roman" w:hAnsi="Times New Roman" w:cs="Times New Roman"/>
          <w:sz w:val="24"/>
          <w:szCs w:val="24"/>
        </w:rPr>
        <w:t>urumun hizmet verdiği ülkedeki b</w:t>
      </w:r>
      <w:r w:rsidRPr="0039044E">
        <w:rPr>
          <w:rFonts w:ascii="Times New Roman" w:hAnsi="Times New Roman" w:cs="Times New Roman"/>
          <w:sz w:val="24"/>
          <w:szCs w:val="24"/>
        </w:rPr>
        <w:t>akanlık vb. resmi otoritelerin esas aldıkları temel kalite standartları, yine hizmet sunulan ülkenin kurumlara, yöneticilere ve personele yönelik politikaları, tıp bilimindeki ve teknolojilerindeki gelişmeler, si</w:t>
      </w:r>
      <w:r w:rsidR="00641C0C">
        <w:rPr>
          <w:rFonts w:ascii="Times New Roman" w:hAnsi="Times New Roman" w:cs="Times New Roman"/>
          <w:sz w:val="24"/>
          <w:szCs w:val="24"/>
        </w:rPr>
        <w:t>vil toplum kuruluşları, uluslar</w:t>
      </w:r>
      <w:r w:rsidRPr="0039044E">
        <w:rPr>
          <w:rFonts w:ascii="Times New Roman" w:hAnsi="Times New Roman" w:cs="Times New Roman"/>
          <w:sz w:val="24"/>
          <w:szCs w:val="24"/>
        </w:rPr>
        <w:t xml:space="preserve">arası diğer standartlar vb. olarak sıralamak mümkündür. </w:t>
      </w:r>
    </w:p>
    <w:p w:rsidR="007614F7" w:rsidRDefault="001E3D7D"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Ancak buraya kadar modelde ele alınan tüm boyutlar ya da unsurlar tek başlarında sağlık hizmetlerinde kalitenin sağlanmasında yeterli olmamaktadır. Çalışmanın başında ele alınan ve sağlık hizmetlerinde kalitenin temel hedefleri niteliğinde olan etkinlik, etkililik, güvenlik gibi </w:t>
      </w:r>
      <w:r w:rsidR="00151803" w:rsidRPr="0039044E">
        <w:rPr>
          <w:rFonts w:ascii="Times New Roman" w:hAnsi="Times New Roman" w:cs="Times New Roman"/>
          <w:sz w:val="24"/>
          <w:szCs w:val="24"/>
        </w:rPr>
        <w:t xml:space="preserve">boyutların da kalite uygulamaları ve değerlendirmelerinde </w:t>
      </w:r>
      <w:r w:rsidR="00BD00A5" w:rsidRPr="0039044E">
        <w:rPr>
          <w:rFonts w:ascii="Times New Roman" w:hAnsi="Times New Roman" w:cs="Times New Roman"/>
          <w:sz w:val="24"/>
          <w:szCs w:val="24"/>
        </w:rPr>
        <w:t>matristeki</w:t>
      </w:r>
      <w:r w:rsidR="00151803" w:rsidRPr="0039044E">
        <w:rPr>
          <w:rFonts w:ascii="Times New Roman" w:hAnsi="Times New Roman" w:cs="Times New Roman"/>
          <w:sz w:val="24"/>
          <w:szCs w:val="24"/>
        </w:rPr>
        <w:t xml:space="preserve"> her bir alan için ayrı ayrı ve farklı ağırlıklarıyla belirlenmesi gerekmektedir. </w:t>
      </w:r>
    </w:p>
    <w:p w:rsidR="00BD00A5" w:rsidRDefault="00BD00A5" w:rsidP="007C5BF4">
      <w:pPr>
        <w:spacing w:line="240" w:lineRule="auto"/>
        <w:jc w:val="both"/>
        <w:rPr>
          <w:rFonts w:ascii="Times New Roman" w:hAnsi="Times New Roman" w:cs="Times New Roman"/>
          <w:sz w:val="24"/>
          <w:szCs w:val="24"/>
        </w:rPr>
      </w:pPr>
    </w:p>
    <w:p w:rsidR="00BD00A5" w:rsidRDefault="00BD00A5" w:rsidP="007C5BF4">
      <w:pPr>
        <w:spacing w:line="240" w:lineRule="auto"/>
        <w:jc w:val="both"/>
        <w:rPr>
          <w:rFonts w:ascii="Times New Roman" w:hAnsi="Times New Roman" w:cs="Times New Roman"/>
          <w:sz w:val="24"/>
          <w:szCs w:val="24"/>
        </w:rPr>
      </w:pPr>
    </w:p>
    <w:p w:rsidR="00BD00A5" w:rsidRDefault="00BD00A5" w:rsidP="007C5BF4">
      <w:pPr>
        <w:spacing w:line="240" w:lineRule="auto"/>
        <w:jc w:val="both"/>
        <w:rPr>
          <w:rFonts w:ascii="Times New Roman" w:hAnsi="Times New Roman" w:cs="Times New Roman"/>
          <w:sz w:val="24"/>
          <w:szCs w:val="24"/>
        </w:rPr>
      </w:pPr>
    </w:p>
    <w:p w:rsidR="00BD00A5" w:rsidRDefault="00BD00A5" w:rsidP="007C5BF4">
      <w:pPr>
        <w:spacing w:line="240" w:lineRule="auto"/>
        <w:jc w:val="both"/>
        <w:rPr>
          <w:rFonts w:ascii="Times New Roman" w:hAnsi="Times New Roman" w:cs="Times New Roman"/>
          <w:sz w:val="24"/>
          <w:szCs w:val="24"/>
        </w:rPr>
      </w:pPr>
    </w:p>
    <w:p w:rsidR="00BD00A5" w:rsidRDefault="00BD00A5" w:rsidP="007C5BF4">
      <w:pPr>
        <w:spacing w:line="240" w:lineRule="auto"/>
        <w:jc w:val="both"/>
        <w:rPr>
          <w:rFonts w:ascii="Times New Roman" w:hAnsi="Times New Roman" w:cs="Times New Roman"/>
          <w:sz w:val="24"/>
          <w:szCs w:val="24"/>
        </w:rPr>
      </w:pPr>
    </w:p>
    <w:p w:rsidR="00BD00A5" w:rsidRDefault="00BD00A5" w:rsidP="007C5BF4">
      <w:pPr>
        <w:spacing w:line="240" w:lineRule="auto"/>
        <w:jc w:val="both"/>
        <w:rPr>
          <w:rFonts w:ascii="Times New Roman" w:hAnsi="Times New Roman" w:cs="Times New Roman"/>
          <w:sz w:val="24"/>
          <w:szCs w:val="24"/>
        </w:rPr>
      </w:pPr>
    </w:p>
    <w:p w:rsidR="00BD00A5" w:rsidRPr="0039044E" w:rsidRDefault="00BD00A5" w:rsidP="007C5BF4">
      <w:pPr>
        <w:spacing w:line="240" w:lineRule="auto"/>
        <w:jc w:val="both"/>
        <w:rPr>
          <w:rFonts w:ascii="Times New Roman" w:hAnsi="Times New Roman" w:cs="Times New Roman"/>
          <w:sz w:val="24"/>
          <w:szCs w:val="24"/>
        </w:rPr>
      </w:pPr>
    </w:p>
    <w:p w:rsidR="002233C5" w:rsidRPr="0039044E" w:rsidRDefault="002233C5" w:rsidP="007C5BF4">
      <w:pPr>
        <w:spacing w:line="240" w:lineRule="auto"/>
        <w:jc w:val="both"/>
        <w:rPr>
          <w:rFonts w:ascii="Times New Roman" w:hAnsi="Times New Roman" w:cs="Times New Roman"/>
          <w:sz w:val="24"/>
          <w:szCs w:val="24"/>
        </w:rPr>
      </w:pPr>
    </w:p>
    <w:p w:rsidR="00AC6E28" w:rsidRPr="0039044E" w:rsidRDefault="00BD00A5" w:rsidP="007C5BF4">
      <w:pPr>
        <w:spacing w:line="240" w:lineRule="auto"/>
        <w:jc w:val="both"/>
        <w:rPr>
          <w:rFonts w:ascii="Times New Roman" w:hAnsi="Times New Roman" w:cs="Times New Roman"/>
          <w:sz w:val="24"/>
          <w:szCs w:val="24"/>
        </w:rPr>
      </w:pPr>
      <w:r w:rsidRPr="0039044E">
        <w:rPr>
          <w:rFonts w:ascii="Times New Roman" w:hAnsi="Times New Roman" w:cs="Times New Roman"/>
          <w:noProof/>
          <w:sz w:val="24"/>
          <w:szCs w:val="24"/>
          <w:lang w:eastAsia="tr-TR"/>
        </w:rPr>
        <w:lastRenderedPageBreak/>
        <w:drawing>
          <wp:anchor distT="0" distB="0" distL="114300" distR="114300" simplePos="0" relativeHeight="251659264" behindDoc="1" locked="0" layoutInCell="1" allowOverlap="1" wp14:anchorId="26D5AE41" wp14:editId="6E8AC32F">
            <wp:simplePos x="0" y="0"/>
            <wp:positionH relativeFrom="column">
              <wp:posOffset>58420</wp:posOffset>
            </wp:positionH>
            <wp:positionV relativeFrom="paragraph">
              <wp:posOffset>-908685</wp:posOffset>
            </wp:positionV>
            <wp:extent cx="4982845" cy="3281680"/>
            <wp:effectExtent l="0" t="0" r="0" b="0"/>
            <wp:wrapTight wrapText="bothSides">
              <wp:wrapPolygon edited="0">
                <wp:start x="0" y="0"/>
                <wp:lineTo x="0" y="21441"/>
                <wp:lineTo x="21553" y="21441"/>
                <wp:lineTo x="21553" y="0"/>
                <wp:lineTo x="0" y="0"/>
              </wp:wrapPolygon>
            </wp:wrapTight>
            <wp:docPr id="1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982845" cy="3281680"/>
                    </a:xfrm>
                    <a:prstGeom prst="rect">
                      <a:avLst/>
                    </a:prstGeom>
                    <a:noFill/>
                    <a:ln w="9525">
                      <a:noFill/>
                      <a:miter lim="800000"/>
                      <a:headEnd/>
                      <a:tailEnd/>
                    </a:ln>
                  </pic:spPr>
                </pic:pic>
              </a:graphicData>
            </a:graphic>
          </wp:anchor>
        </w:drawing>
      </w:r>
    </w:p>
    <w:p w:rsidR="002233C5" w:rsidRPr="0039044E" w:rsidRDefault="002233C5" w:rsidP="007C5BF4">
      <w:pPr>
        <w:spacing w:line="240" w:lineRule="auto"/>
        <w:jc w:val="both"/>
        <w:rPr>
          <w:rFonts w:ascii="Times New Roman" w:hAnsi="Times New Roman" w:cs="Times New Roman"/>
          <w:sz w:val="24"/>
          <w:szCs w:val="24"/>
        </w:rPr>
      </w:pPr>
    </w:p>
    <w:p w:rsidR="002233C5" w:rsidRPr="0039044E" w:rsidRDefault="002233C5" w:rsidP="007C5BF4">
      <w:pPr>
        <w:spacing w:line="240" w:lineRule="auto"/>
        <w:jc w:val="both"/>
        <w:rPr>
          <w:rFonts w:ascii="Times New Roman" w:hAnsi="Times New Roman" w:cs="Times New Roman"/>
          <w:sz w:val="24"/>
          <w:szCs w:val="24"/>
        </w:rPr>
      </w:pPr>
    </w:p>
    <w:p w:rsidR="002233C5" w:rsidRPr="0039044E" w:rsidRDefault="002233C5" w:rsidP="007C5BF4">
      <w:pPr>
        <w:spacing w:line="240" w:lineRule="auto"/>
        <w:jc w:val="both"/>
        <w:rPr>
          <w:rFonts w:ascii="Times New Roman" w:hAnsi="Times New Roman" w:cs="Times New Roman"/>
          <w:sz w:val="24"/>
          <w:szCs w:val="24"/>
        </w:rPr>
      </w:pPr>
    </w:p>
    <w:p w:rsidR="002233C5" w:rsidRPr="0039044E" w:rsidRDefault="002233C5" w:rsidP="007C5BF4">
      <w:pPr>
        <w:spacing w:line="240" w:lineRule="auto"/>
        <w:jc w:val="both"/>
        <w:rPr>
          <w:rFonts w:ascii="Times New Roman" w:hAnsi="Times New Roman" w:cs="Times New Roman"/>
          <w:sz w:val="24"/>
          <w:szCs w:val="24"/>
        </w:rPr>
      </w:pPr>
    </w:p>
    <w:p w:rsidR="002233C5" w:rsidRPr="0039044E" w:rsidRDefault="002233C5" w:rsidP="007C5BF4">
      <w:pPr>
        <w:spacing w:line="240" w:lineRule="auto"/>
        <w:jc w:val="both"/>
        <w:rPr>
          <w:rFonts w:ascii="Times New Roman" w:hAnsi="Times New Roman" w:cs="Times New Roman"/>
          <w:sz w:val="24"/>
          <w:szCs w:val="24"/>
        </w:rPr>
      </w:pPr>
    </w:p>
    <w:p w:rsidR="002233C5" w:rsidRPr="0039044E" w:rsidRDefault="002233C5" w:rsidP="007C5BF4">
      <w:pPr>
        <w:spacing w:line="240" w:lineRule="auto"/>
        <w:jc w:val="both"/>
        <w:rPr>
          <w:rFonts w:ascii="Times New Roman" w:hAnsi="Times New Roman" w:cs="Times New Roman"/>
          <w:sz w:val="24"/>
          <w:szCs w:val="24"/>
        </w:rPr>
      </w:pPr>
    </w:p>
    <w:p w:rsidR="00BD00A5" w:rsidRDefault="00BD00A5" w:rsidP="00BD00A5">
      <w:pPr>
        <w:spacing w:line="240" w:lineRule="auto"/>
        <w:jc w:val="center"/>
        <w:rPr>
          <w:rFonts w:ascii="Times New Roman" w:hAnsi="Times New Roman" w:cs="Times New Roman"/>
          <w:b/>
          <w:sz w:val="24"/>
          <w:szCs w:val="24"/>
        </w:rPr>
      </w:pPr>
    </w:p>
    <w:p w:rsidR="00BD00A5" w:rsidRPr="0039044E" w:rsidRDefault="00BD00A5" w:rsidP="00BD00A5">
      <w:pPr>
        <w:spacing w:line="240" w:lineRule="auto"/>
        <w:jc w:val="center"/>
        <w:rPr>
          <w:rFonts w:ascii="Times New Roman" w:hAnsi="Times New Roman" w:cs="Times New Roman"/>
          <w:b/>
          <w:sz w:val="24"/>
          <w:szCs w:val="24"/>
        </w:rPr>
      </w:pPr>
      <w:r w:rsidRPr="0039044E">
        <w:rPr>
          <w:rFonts w:ascii="Times New Roman" w:hAnsi="Times New Roman" w:cs="Times New Roman"/>
          <w:b/>
          <w:sz w:val="24"/>
          <w:szCs w:val="24"/>
        </w:rPr>
        <w:t>Şekil 2. Sağlık Hizmetleri Çok Boyutlu Kalite Matrisi ve Kalite Hedefleri İlişkisi</w:t>
      </w:r>
    </w:p>
    <w:p w:rsidR="00BD00A5" w:rsidRDefault="00BD00A5" w:rsidP="007C5BF4">
      <w:pPr>
        <w:spacing w:line="240" w:lineRule="auto"/>
        <w:jc w:val="both"/>
        <w:rPr>
          <w:rFonts w:ascii="Times New Roman" w:hAnsi="Times New Roman" w:cs="Times New Roman"/>
          <w:sz w:val="24"/>
          <w:szCs w:val="24"/>
        </w:rPr>
      </w:pPr>
    </w:p>
    <w:p w:rsidR="00D46F23" w:rsidRPr="0039044E" w:rsidRDefault="00D46F23"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Sağlık hizmetlerinde kalitenin belirleyicisi büyük ölçüde insan faktörüdür. Özellikle sağlık personelinin hastalara yönelik tutum ve davranışları hastaların beklentilerinin sağlanmasında ve memnuniyet düzeylerinde önem taşımaktadır. Bu alanda yapılan çalışmalar incelendiğinde hasta memnuniyetini etkileyen faktörlerin başında hasta ile yoğun temas içinde olan hekim ve hemşirelerin davranışlarının geldiği ortaya konulmaktadır (Kavuncubaşı, 2007;193).</w:t>
      </w:r>
    </w:p>
    <w:p w:rsidR="001E3D7D" w:rsidRPr="0039044E" w:rsidRDefault="0057074D" w:rsidP="007C5BF4">
      <w:pPr>
        <w:spacing w:line="240" w:lineRule="auto"/>
        <w:jc w:val="both"/>
        <w:rPr>
          <w:rFonts w:ascii="Times New Roman" w:hAnsi="Times New Roman" w:cs="Times New Roman"/>
          <w:sz w:val="24"/>
          <w:szCs w:val="24"/>
        </w:rPr>
      </w:pPr>
      <w:r w:rsidRPr="0039044E">
        <w:rPr>
          <w:rFonts w:ascii="Times New Roman" w:hAnsi="Times New Roman" w:cs="Times New Roman"/>
          <w:sz w:val="24"/>
          <w:szCs w:val="24"/>
        </w:rPr>
        <w:t xml:space="preserve">Hizmet sunumunda ele alınan tüm bu boyutlar sonucunda ortaya çıkan hizmet sunum kalitesi, hizmeti alanların algı süzgeçlerinden geçecek ve yine hizmet alanların beklentileri ile karşılaştırıldığında, ortaya </w:t>
      </w:r>
      <w:r w:rsidRPr="0039044E">
        <w:rPr>
          <w:rFonts w:ascii="Times New Roman" w:hAnsi="Times New Roman" w:cs="Times New Roman"/>
          <w:i/>
          <w:sz w:val="24"/>
          <w:szCs w:val="24"/>
        </w:rPr>
        <w:t>algılanan hizmet kalitesi</w:t>
      </w:r>
      <w:r w:rsidRPr="0039044E">
        <w:rPr>
          <w:rFonts w:ascii="Times New Roman" w:hAnsi="Times New Roman" w:cs="Times New Roman"/>
          <w:sz w:val="24"/>
          <w:szCs w:val="24"/>
        </w:rPr>
        <w:t xml:space="preserve"> çıkacaktır. </w:t>
      </w:r>
      <w:r w:rsidR="00343C2D" w:rsidRPr="0039044E">
        <w:rPr>
          <w:rFonts w:ascii="Times New Roman" w:hAnsi="Times New Roman" w:cs="Times New Roman"/>
          <w:sz w:val="24"/>
          <w:szCs w:val="24"/>
        </w:rPr>
        <w:t>Algılanan hizmet kalitesi açısından, ö</w:t>
      </w:r>
      <w:r w:rsidRPr="0039044E">
        <w:rPr>
          <w:rFonts w:ascii="Times New Roman" w:hAnsi="Times New Roman" w:cs="Times New Roman"/>
          <w:sz w:val="24"/>
          <w:szCs w:val="24"/>
        </w:rPr>
        <w:t>zellikle kurumsal iletişim faaliyetleri, kurumsal imaj, geçmiş tecrübeler</w:t>
      </w:r>
      <w:r w:rsidR="00381ECD" w:rsidRPr="0039044E">
        <w:rPr>
          <w:rFonts w:ascii="Times New Roman" w:hAnsi="Times New Roman" w:cs="Times New Roman"/>
          <w:sz w:val="24"/>
          <w:szCs w:val="24"/>
        </w:rPr>
        <w:t xml:space="preserve"> </w:t>
      </w:r>
      <w:r w:rsidRPr="0039044E">
        <w:rPr>
          <w:rFonts w:ascii="Times New Roman" w:hAnsi="Times New Roman" w:cs="Times New Roman"/>
          <w:sz w:val="24"/>
          <w:szCs w:val="24"/>
        </w:rPr>
        <w:t xml:space="preserve"> gibi hususlar birarada ele alındıklarında, sağlıkta hizmet kalitesinin sağlanmasına yönelik hedeflerin arasında hasta odaklı olmanın ayrıca önem taşıdığı savunulabilecektir</w:t>
      </w:r>
      <w:r w:rsidR="00381ECD" w:rsidRPr="0039044E">
        <w:rPr>
          <w:rFonts w:ascii="Times New Roman" w:hAnsi="Times New Roman" w:cs="Times New Roman"/>
          <w:sz w:val="24"/>
          <w:szCs w:val="24"/>
        </w:rPr>
        <w:t xml:space="preserve"> (Parasuraman vd.,1985, Brogowicz vd. 1990)</w:t>
      </w:r>
      <w:r w:rsidRPr="0039044E">
        <w:rPr>
          <w:rFonts w:ascii="Times New Roman" w:hAnsi="Times New Roman" w:cs="Times New Roman"/>
          <w:sz w:val="24"/>
          <w:szCs w:val="24"/>
        </w:rPr>
        <w:t xml:space="preserve">. </w:t>
      </w:r>
    </w:p>
    <w:p w:rsidR="005F7DE1" w:rsidRPr="0039044E" w:rsidRDefault="005F7DE1" w:rsidP="007C5BF4">
      <w:pPr>
        <w:spacing w:line="240" w:lineRule="auto"/>
        <w:jc w:val="both"/>
        <w:rPr>
          <w:rFonts w:ascii="Times New Roman" w:hAnsi="Times New Roman" w:cs="Times New Roman"/>
          <w:sz w:val="24"/>
          <w:szCs w:val="24"/>
        </w:rPr>
      </w:pPr>
      <w:r w:rsidRPr="0039044E">
        <w:rPr>
          <w:rFonts w:ascii="Times New Roman" w:hAnsi="Times New Roman" w:cs="Times New Roman"/>
          <w:bCs/>
          <w:sz w:val="24"/>
          <w:szCs w:val="24"/>
        </w:rPr>
        <w:t>Buraya kadar ele alınan noktada sağlıkta hizmet kalitesinin belirlenmesinde bazı önemli faktörlerin</w:t>
      </w:r>
      <w:r w:rsidR="00AF12C7">
        <w:rPr>
          <w:rFonts w:ascii="Times New Roman" w:hAnsi="Times New Roman" w:cs="Times New Roman"/>
          <w:bCs/>
          <w:sz w:val="24"/>
          <w:szCs w:val="24"/>
        </w:rPr>
        <w:t xml:space="preserve"> </w:t>
      </w:r>
      <w:r w:rsidRPr="0039044E">
        <w:rPr>
          <w:rFonts w:ascii="Times New Roman" w:hAnsi="Times New Roman" w:cs="Times New Roman"/>
          <w:bCs/>
          <w:sz w:val="24"/>
          <w:szCs w:val="24"/>
        </w:rPr>
        <w:t xml:space="preserve">de belirtilmesinde fayda görülmektedir. Kalitenin tüm boyutları yukarıda ifade edilen hedeflerle şekillenmesinin yanı sıra, aynı zamanda kalite çalışmalarına hangi bakış açısıyla bakıldığı da önemlidir. </w:t>
      </w:r>
      <w:r w:rsidRPr="0039044E">
        <w:rPr>
          <w:rFonts w:ascii="Times New Roman" w:hAnsi="Times New Roman" w:cs="Times New Roman"/>
          <w:sz w:val="24"/>
          <w:szCs w:val="24"/>
        </w:rPr>
        <w:t>Donabedian (1980), bu noktada sağlıkta kalitenin sağlanmasının “maksimalist” ya da “optimalist” çerçevede ele alınabileceğini ifade etmektedir. Belirtilen iki kavram arasındaki fark, kalitenin finansal maliyetlerinin dikkate alınıp alınmaması noktasında ortaya çıkmaktadır. Optimalist yaklaşım, kalitede önemli iyileştirmeler sağlamayan ancak büyük harcamalar gerektiren kalite yatırımlarından kaçınılması gerekildiğini ortaya koymaktadır. Son yıllarda</w:t>
      </w:r>
      <w:r w:rsidR="009866FB" w:rsidRPr="0039044E">
        <w:rPr>
          <w:rFonts w:ascii="Times New Roman" w:hAnsi="Times New Roman" w:cs="Times New Roman"/>
          <w:sz w:val="24"/>
          <w:szCs w:val="24"/>
        </w:rPr>
        <w:t>,</w:t>
      </w:r>
      <w:r w:rsidRPr="0039044E">
        <w:rPr>
          <w:rFonts w:ascii="Times New Roman" w:hAnsi="Times New Roman" w:cs="Times New Roman"/>
          <w:sz w:val="24"/>
          <w:szCs w:val="24"/>
        </w:rPr>
        <w:t xml:space="preserve"> özellikle finansal krizler neticesinde sağlık bütçesinin kesintiye gidilmesi halinde hizmetlerde sürdürülebilirliğin sağlanması ve kalite düzeylerinin korunabilmesi adına, </w:t>
      </w:r>
      <w:r w:rsidR="009866FB" w:rsidRPr="0039044E">
        <w:rPr>
          <w:rFonts w:ascii="Times New Roman" w:hAnsi="Times New Roman" w:cs="Times New Roman"/>
          <w:sz w:val="24"/>
          <w:szCs w:val="24"/>
        </w:rPr>
        <w:t>maliyetleri de dikkate alan değer temelli yaklaşımların, sağlıkta kalite sistemlerinde dikkate alınması gereken önemli bir unsur olduğunun belirtilmesi önem taşımaktadır (</w:t>
      </w:r>
      <w:r w:rsidR="009866FB" w:rsidRPr="0039044E">
        <w:rPr>
          <w:rFonts w:ascii="Times New Roman" w:hAnsi="Times New Roman" w:cs="Times New Roman"/>
          <w:bCs/>
          <w:sz w:val="24"/>
          <w:szCs w:val="24"/>
        </w:rPr>
        <w:t>Crump ve Adil, 2009,339)</w:t>
      </w:r>
      <w:r w:rsidR="009866FB" w:rsidRPr="0039044E">
        <w:rPr>
          <w:rFonts w:ascii="Times New Roman" w:hAnsi="Times New Roman" w:cs="Times New Roman"/>
          <w:sz w:val="24"/>
          <w:szCs w:val="24"/>
        </w:rPr>
        <w:t xml:space="preserve">. </w:t>
      </w:r>
      <w:r w:rsidRPr="0039044E">
        <w:rPr>
          <w:rFonts w:ascii="Times New Roman" w:hAnsi="Times New Roman" w:cs="Times New Roman"/>
          <w:sz w:val="24"/>
          <w:szCs w:val="24"/>
        </w:rPr>
        <w:t xml:space="preserve">  </w:t>
      </w:r>
    </w:p>
    <w:p w:rsidR="007A06D0" w:rsidRPr="0039044E" w:rsidRDefault="00020568" w:rsidP="007C5BF4">
      <w:pPr>
        <w:spacing w:line="240" w:lineRule="auto"/>
        <w:jc w:val="both"/>
        <w:rPr>
          <w:rFonts w:ascii="Times New Roman" w:hAnsi="Times New Roman" w:cs="Times New Roman"/>
          <w:b/>
          <w:sz w:val="24"/>
          <w:szCs w:val="24"/>
        </w:rPr>
      </w:pPr>
      <w:r w:rsidRPr="0039044E">
        <w:rPr>
          <w:rFonts w:ascii="Times New Roman" w:hAnsi="Times New Roman" w:cs="Times New Roman"/>
          <w:b/>
          <w:sz w:val="24"/>
          <w:szCs w:val="24"/>
        </w:rPr>
        <w:t>3.</w:t>
      </w:r>
      <w:r w:rsidR="005C301D">
        <w:rPr>
          <w:rFonts w:ascii="Times New Roman" w:hAnsi="Times New Roman" w:cs="Times New Roman"/>
          <w:b/>
          <w:sz w:val="24"/>
          <w:szCs w:val="24"/>
        </w:rPr>
        <w:t xml:space="preserve"> </w:t>
      </w:r>
      <w:r w:rsidR="00446BFF" w:rsidRPr="0039044E">
        <w:rPr>
          <w:rFonts w:ascii="Times New Roman" w:hAnsi="Times New Roman" w:cs="Times New Roman"/>
          <w:b/>
          <w:sz w:val="24"/>
          <w:szCs w:val="24"/>
        </w:rPr>
        <w:t>SONUÇ</w:t>
      </w:r>
    </w:p>
    <w:p w:rsidR="00D87BD6" w:rsidRPr="0039044E" w:rsidRDefault="00D87BD6" w:rsidP="007C5BF4">
      <w:pPr>
        <w:spacing w:line="240" w:lineRule="auto"/>
        <w:jc w:val="both"/>
        <w:rPr>
          <w:rFonts w:ascii="Times New Roman" w:hAnsi="Times New Roman" w:cs="Times New Roman"/>
          <w:bCs/>
          <w:sz w:val="24"/>
          <w:szCs w:val="24"/>
        </w:rPr>
      </w:pPr>
      <w:r w:rsidRPr="0039044E">
        <w:rPr>
          <w:rFonts w:ascii="Times New Roman" w:hAnsi="Times New Roman" w:cs="Times New Roman"/>
          <w:bCs/>
          <w:sz w:val="24"/>
          <w:szCs w:val="24"/>
        </w:rPr>
        <w:t xml:space="preserve">Her ne kadar kalite iyileştirme uygulanmalarının önünde idari direnç, çalışanların gönülsüz olmaları, sağlık kurumlarındaki hiyerarşik yapı ve bu yapının değişime karşı koyması ya da uygulamalardan birinci derecede sorumlu olanların, alışkanlıklarını </w:t>
      </w:r>
      <w:r w:rsidRPr="0039044E">
        <w:rPr>
          <w:rFonts w:ascii="Times New Roman" w:hAnsi="Times New Roman" w:cs="Times New Roman"/>
          <w:bCs/>
          <w:sz w:val="24"/>
          <w:szCs w:val="24"/>
        </w:rPr>
        <w:lastRenderedPageBreak/>
        <w:t>değiştirmelerindeki direnç gibi engeller olsa da sağlık hizmetlerinde kalite çalışmaları önemini korumaktadır (Clemmer vd., 1999).</w:t>
      </w:r>
      <w:r w:rsidR="00CF10E4" w:rsidRPr="0039044E">
        <w:rPr>
          <w:rFonts w:ascii="Times New Roman" w:hAnsi="Times New Roman" w:cs="Times New Roman"/>
          <w:bCs/>
          <w:sz w:val="24"/>
          <w:szCs w:val="24"/>
        </w:rPr>
        <w:t xml:space="preserve"> Sağlıkta kalite alanında yapılan çalışmalar</w:t>
      </w:r>
      <w:r w:rsidRPr="0039044E">
        <w:rPr>
          <w:rFonts w:ascii="Times New Roman" w:hAnsi="Times New Roman" w:cs="Times New Roman"/>
          <w:bCs/>
          <w:sz w:val="24"/>
          <w:szCs w:val="24"/>
        </w:rPr>
        <w:t xml:space="preserve"> hasta bakımı kalitesini yükseltmekte, sağlık harcamalarının daha verimli </w:t>
      </w:r>
      <w:r w:rsidR="00CF10E4" w:rsidRPr="0039044E">
        <w:rPr>
          <w:rFonts w:ascii="Times New Roman" w:hAnsi="Times New Roman" w:cs="Times New Roman"/>
          <w:bCs/>
          <w:sz w:val="24"/>
          <w:szCs w:val="24"/>
        </w:rPr>
        <w:t>kullanılmasında da</w:t>
      </w:r>
      <w:r w:rsidRPr="0039044E">
        <w:rPr>
          <w:rFonts w:ascii="Times New Roman" w:hAnsi="Times New Roman" w:cs="Times New Roman"/>
          <w:bCs/>
          <w:sz w:val="24"/>
          <w:szCs w:val="24"/>
        </w:rPr>
        <w:t xml:space="preserve"> yardımcı olmaktadır. </w:t>
      </w:r>
      <w:r w:rsidR="00275D48" w:rsidRPr="0039044E">
        <w:rPr>
          <w:rFonts w:ascii="Times New Roman" w:hAnsi="Times New Roman" w:cs="Times New Roman"/>
          <w:bCs/>
          <w:sz w:val="24"/>
          <w:szCs w:val="24"/>
        </w:rPr>
        <w:t xml:space="preserve">Ancak bu çalışmaların ortaya konulmasında yardımcı olacak kalitenin tanımı, boyutları, hedefleri ve kalitenin nasıl uygulanıp değerlendirileceği konuları özellikle uygulayıcılar açısından kavramsal bir karmaşa ifade etmektedir. Çalışmada, bu bakış açısıyla ortaya konulan ve birçok farklı boyutunu içeren çok boyutlu </w:t>
      </w:r>
      <w:r w:rsidR="00412D3D" w:rsidRPr="0039044E">
        <w:rPr>
          <w:rFonts w:ascii="Times New Roman" w:hAnsi="Times New Roman" w:cs="Times New Roman"/>
          <w:bCs/>
          <w:sz w:val="24"/>
          <w:szCs w:val="24"/>
        </w:rPr>
        <w:t xml:space="preserve">kalite </w:t>
      </w:r>
      <w:r w:rsidR="00275D48" w:rsidRPr="0039044E">
        <w:rPr>
          <w:rFonts w:ascii="Times New Roman" w:hAnsi="Times New Roman" w:cs="Times New Roman"/>
          <w:bCs/>
          <w:sz w:val="24"/>
          <w:szCs w:val="24"/>
        </w:rPr>
        <w:t>modelin</w:t>
      </w:r>
      <w:r w:rsidR="00412D3D" w:rsidRPr="0039044E">
        <w:rPr>
          <w:rFonts w:ascii="Times New Roman" w:hAnsi="Times New Roman" w:cs="Times New Roman"/>
          <w:bCs/>
          <w:sz w:val="24"/>
          <w:szCs w:val="24"/>
        </w:rPr>
        <w:t>in</w:t>
      </w:r>
      <w:r w:rsidR="00275D48" w:rsidRPr="0039044E">
        <w:rPr>
          <w:rFonts w:ascii="Times New Roman" w:hAnsi="Times New Roman" w:cs="Times New Roman"/>
          <w:bCs/>
          <w:sz w:val="24"/>
          <w:szCs w:val="24"/>
        </w:rPr>
        <w:t xml:space="preserve">, özellikle </w:t>
      </w:r>
      <w:r w:rsidR="00412D3D" w:rsidRPr="0039044E">
        <w:rPr>
          <w:rFonts w:ascii="Times New Roman" w:hAnsi="Times New Roman" w:cs="Times New Roman"/>
          <w:bCs/>
          <w:sz w:val="24"/>
          <w:szCs w:val="24"/>
        </w:rPr>
        <w:t xml:space="preserve">sağlık alanında, </w:t>
      </w:r>
      <w:r w:rsidR="00275D48" w:rsidRPr="0039044E">
        <w:rPr>
          <w:rFonts w:ascii="Times New Roman" w:hAnsi="Times New Roman" w:cs="Times New Roman"/>
          <w:bCs/>
          <w:sz w:val="24"/>
          <w:szCs w:val="24"/>
        </w:rPr>
        <w:t>çalışmalarında etkin kaynak kullanımını hedefleyen</w:t>
      </w:r>
      <w:r w:rsidR="00AD0B3C" w:rsidRPr="0039044E">
        <w:rPr>
          <w:rFonts w:ascii="Times New Roman" w:hAnsi="Times New Roman" w:cs="Times New Roman"/>
          <w:bCs/>
          <w:sz w:val="24"/>
          <w:szCs w:val="24"/>
        </w:rPr>
        <w:t xml:space="preserve"> yaklaşımlara katkı sağlayacağı </w:t>
      </w:r>
      <w:r w:rsidR="00BD1E97" w:rsidRPr="0039044E">
        <w:rPr>
          <w:rFonts w:ascii="Times New Roman" w:hAnsi="Times New Roman" w:cs="Times New Roman"/>
          <w:bCs/>
          <w:sz w:val="24"/>
          <w:szCs w:val="24"/>
        </w:rPr>
        <w:t>ön görülmektedir.</w:t>
      </w:r>
      <w:r w:rsidR="00275D48" w:rsidRPr="0039044E">
        <w:rPr>
          <w:rFonts w:ascii="Times New Roman" w:hAnsi="Times New Roman" w:cs="Times New Roman"/>
          <w:bCs/>
          <w:sz w:val="24"/>
          <w:szCs w:val="24"/>
        </w:rPr>
        <w:t xml:space="preserve"> </w:t>
      </w:r>
      <w:r w:rsidR="00AD0B3C" w:rsidRPr="0039044E">
        <w:rPr>
          <w:rFonts w:ascii="Times New Roman" w:hAnsi="Times New Roman" w:cs="Times New Roman"/>
          <w:bCs/>
          <w:sz w:val="24"/>
          <w:szCs w:val="24"/>
        </w:rPr>
        <w:t>Özellikle modelde ortaya konulan boyutlara dair geliştirilecek</w:t>
      </w:r>
      <w:r w:rsidR="001D1DA8" w:rsidRPr="0039044E">
        <w:rPr>
          <w:rFonts w:ascii="Times New Roman" w:hAnsi="Times New Roman" w:cs="Times New Roman"/>
          <w:bCs/>
          <w:sz w:val="24"/>
          <w:szCs w:val="24"/>
        </w:rPr>
        <w:t xml:space="preserve"> ve sınıflandırılacak</w:t>
      </w:r>
      <w:r w:rsidR="00AD0B3C" w:rsidRPr="0039044E">
        <w:rPr>
          <w:rFonts w:ascii="Times New Roman" w:hAnsi="Times New Roman" w:cs="Times New Roman"/>
          <w:bCs/>
          <w:sz w:val="24"/>
          <w:szCs w:val="24"/>
        </w:rPr>
        <w:t xml:space="preserve"> ölçüm araçlarının</w:t>
      </w:r>
      <w:r w:rsidR="001D1DA8" w:rsidRPr="0039044E">
        <w:rPr>
          <w:rFonts w:ascii="Times New Roman" w:hAnsi="Times New Roman" w:cs="Times New Roman"/>
          <w:bCs/>
          <w:sz w:val="24"/>
          <w:szCs w:val="24"/>
        </w:rPr>
        <w:t>,</w:t>
      </w:r>
      <w:r w:rsidR="00AD0B3C" w:rsidRPr="0039044E">
        <w:rPr>
          <w:rFonts w:ascii="Times New Roman" w:hAnsi="Times New Roman" w:cs="Times New Roman"/>
          <w:bCs/>
          <w:sz w:val="24"/>
          <w:szCs w:val="24"/>
        </w:rPr>
        <w:t xml:space="preserve"> sağlığın hem bireysel ve klinik, hem de kurumsal ve ülke çapında </w:t>
      </w:r>
      <w:r w:rsidR="004A0CB0" w:rsidRPr="0039044E">
        <w:rPr>
          <w:rFonts w:ascii="Times New Roman" w:hAnsi="Times New Roman" w:cs="Times New Roman"/>
          <w:bCs/>
          <w:sz w:val="24"/>
          <w:szCs w:val="24"/>
        </w:rPr>
        <w:t xml:space="preserve">ya da genel sağlık sistemi düzeyinde </w:t>
      </w:r>
      <w:r w:rsidR="00AD0B3C" w:rsidRPr="0039044E">
        <w:rPr>
          <w:rFonts w:ascii="Times New Roman" w:hAnsi="Times New Roman" w:cs="Times New Roman"/>
          <w:bCs/>
          <w:sz w:val="24"/>
          <w:szCs w:val="24"/>
        </w:rPr>
        <w:t>izlenmesi</w:t>
      </w:r>
      <w:r w:rsidR="001D1DA8" w:rsidRPr="0039044E">
        <w:rPr>
          <w:rFonts w:ascii="Times New Roman" w:hAnsi="Times New Roman" w:cs="Times New Roman"/>
          <w:bCs/>
          <w:sz w:val="24"/>
          <w:szCs w:val="24"/>
        </w:rPr>
        <w:t xml:space="preserve"> ile sağlık hizmetlerinde kalite</w:t>
      </w:r>
      <w:r w:rsidR="00AD0B3C" w:rsidRPr="0039044E">
        <w:rPr>
          <w:rFonts w:ascii="Times New Roman" w:hAnsi="Times New Roman" w:cs="Times New Roman"/>
          <w:bCs/>
          <w:sz w:val="24"/>
          <w:szCs w:val="24"/>
        </w:rPr>
        <w:t xml:space="preserve"> </w:t>
      </w:r>
      <w:r w:rsidR="001D1DA8" w:rsidRPr="0039044E">
        <w:rPr>
          <w:rFonts w:ascii="Times New Roman" w:hAnsi="Times New Roman" w:cs="Times New Roman"/>
          <w:bCs/>
          <w:sz w:val="24"/>
          <w:szCs w:val="24"/>
        </w:rPr>
        <w:t>farklı düzeylerde izlenebilecektir. Modelin bu sayede</w:t>
      </w:r>
      <w:r w:rsidR="0060752B" w:rsidRPr="0039044E">
        <w:rPr>
          <w:rFonts w:ascii="Times New Roman" w:hAnsi="Times New Roman" w:cs="Times New Roman"/>
          <w:bCs/>
          <w:sz w:val="24"/>
          <w:szCs w:val="24"/>
        </w:rPr>
        <w:t>,</w:t>
      </w:r>
      <w:r w:rsidR="001D1DA8" w:rsidRPr="0039044E">
        <w:rPr>
          <w:rFonts w:ascii="Times New Roman" w:hAnsi="Times New Roman" w:cs="Times New Roman"/>
          <w:bCs/>
          <w:sz w:val="24"/>
          <w:szCs w:val="24"/>
        </w:rPr>
        <w:t xml:space="preserve"> </w:t>
      </w:r>
      <w:r w:rsidR="00F41C5D" w:rsidRPr="0039044E">
        <w:rPr>
          <w:rFonts w:ascii="Times New Roman" w:hAnsi="Times New Roman" w:cs="Times New Roman"/>
          <w:bCs/>
          <w:sz w:val="24"/>
          <w:szCs w:val="24"/>
        </w:rPr>
        <w:t xml:space="preserve">sağlıkta </w:t>
      </w:r>
      <w:r w:rsidR="001D1DA8" w:rsidRPr="0039044E">
        <w:rPr>
          <w:rFonts w:ascii="Times New Roman" w:hAnsi="Times New Roman" w:cs="Times New Roman"/>
          <w:bCs/>
          <w:sz w:val="24"/>
          <w:szCs w:val="24"/>
        </w:rPr>
        <w:t xml:space="preserve">kalitenin </w:t>
      </w:r>
      <w:r w:rsidR="00AD0B3C" w:rsidRPr="0039044E">
        <w:rPr>
          <w:rFonts w:ascii="Times New Roman" w:hAnsi="Times New Roman" w:cs="Times New Roman"/>
          <w:bCs/>
          <w:sz w:val="24"/>
          <w:szCs w:val="24"/>
        </w:rPr>
        <w:t>hangi alanlarda ve katmanlar</w:t>
      </w:r>
      <w:r w:rsidR="00306F5F" w:rsidRPr="0039044E">
        <w:rPr>
          <w:rFonts w:ascii="Times New Roman" w:hAnsi="Times New Roman" w:cs="Times New Roman"/>
          <w:bCs/>
          <w:sz w:val="24"/>
          <w:szCs w:val="24"/>
        </w:rPr>
        <w:t>d</w:t>
      </w:r>
      <w:r w:rsidR="00AD0B3C" w:rsidRPr="0039044E">
        <w:rPr>
          <w:rFonts w:ascii="Times New Roman" w:hAnsi="Times New Roman" w:cs="Times New Roman"/>
          <w:bCs/>
          <w:sz w:val="24"/>
          <w:szCs w:val="24"/>
        </w:rPr>
        <w:t xml:space="preserve">a </w:t>
      </w:r>
      <w:r w:rsidR="00306F5F" w:rsidRPr="0039044E">
        <w:rPr>
          <w:rFonts w:ascii="Times New Roman" w:hAnsi="Times New Roman" w:cs="Times New Roman"/>
          <w:bCs/>
          <w:sz w:val="24"/>
          <w:szCs w:val="24"/>
        </w:rPr>
        <w:t>yetersiz kaldığı</w:t>
      </w:r>
      <w:r w:rsidR="0038350A" w:rsidRPr="0039044E">
        <w:rPr>
          <w:rFonts w:ascii="Times New Roman" w:hAnsi="Times New Roman" w:cs="Times New Roman"/>
          <w:bCs/>
          <w:sz w:val="24"/>
          <w:szCs w:val="24"/>
        </w:rPr>
        <w:t xml:space="preserve"> ve </w:t>
      </w:r>
      <w:r w:rsidR="00AD0B3C" w:rsidRPr="0039044E">
        <w:rPr>
          <w:rFonts w:ascii="Times New Roman" w:hAnsi="Times New Roman" w:cs="Times New Roman"/>
          <w:bCs/>
          <w:sz w:val="24"/>
          <w:szCs w:val="24"/>
        </w:rPr>
        <w:t xml:space="preserve">geliştirilmesi gerektiği konularında yol gösterici olacağı </w:t>
      </w:r>
      <w:r w:rsidR="00BD1E97" w:rsidRPr="0039044E">
        <w:rPr>
          <w:rFonts w:ascii="Times New Roman" w:hAnsi="Times New Roman" w:cs="Times New Roman"/>
          <w:bCs/>
          <w:sz w:val="24"/>
          <w:szCs w:val="24"/>
        </w:rPr>
        <w:t>düşünülmektedir.</w:t>
      </w:r>
    </w:p>
    <w:p w:rsidR="00C74C0C" w:rsidRPr="0039044E" w:rsidRDefault="00C74C0C" w:rsidP="007C5BF4">
      <w:pPr>
        <w:spacing w:line="240" w:lineRule="auto"/>
        <w:jc w:val="both"/>
        <w:rPr>
          <w:rFonts w:ascii="Times New Roman" w:hAnsi="Times New Roman" w:cs="Times New Roman"/>
          <w:b/>
          <w:sz w:val="24"/>
          <w:szCs w:val="24"/>
        </w:rPr>
      </w:pPr>
    </w:p>
    <w:p w:rsidR="00633C31" w:rsidRPr="0039044E" w:rsidRDefault="00633C31" w:rsidP="007C5BF4">
      <w:pPr>
        <w:spacing w:line="240" w:lineRule="auto"/>
        <w:jc w:val="both"/>
        <w:rPr>
          <w:rFonts w:ascii="Times New Roman" w:hAnsi="Times New Roman" w:cs="Times New Roman"/>
          <w:b/>
          <w:sz w:val="24"/>
          <w:szCs w:val="24"/>
        </w:rPr>
      </w:pPr>
    </w:p>
    <w:p w:rsidR="00D12C52" w:rsidRPr="0039044E" w:rsidRDefault="00D12C52" w:rsidP="007C5BF4">
      <w:pPr>
        <w:spacing w:line="240" w:lineRule="auto"/>
        <w:jc w:val="both"/>
        <w:rPr>
          <w:rFonts w:ascii="Times New Roman" w:hAnsi="Times New Roman" w:cs="Times New Roman"/>
          <w:b/>
          <w:sz w:val="24"/>
          <w:szCs w:val="24"/>
        </w:rPr>
      </w:pPr>
    </w:p>
    <w:p w:rsidR="00D12C52" w:rsidRPr="0039044E" w:rsidRDefault="00D12C52" w:rsidP="007C5BF4">
      <w:pPr>
        <w:spacing w:line="240" w:lineRule="auto"/>
        <w:jc w:val="both"/>
        <w:rPr>
          <w:rFonts w:ascii="Times New Roman" w:hAnsi="Times New Roman" w:cs="Times New Roman"/>
          <w:b/>
          <w:sz w:val="24"/>
          <w:szCs w:val="24"/>
        </w:rPr>
      </w:pPr>
    </w:p>
    <w:p w:rsidR="002233C5" w:rsidRPr="0039044E" w:rsidRDefault="002233C5">
      <w:pPr>
        <w:rPr>
          <w:rFonts w:ascii="Times New Roman" w:hAnsi="Times New Roman" w:cs="Times New Roman"/>
          <w:b/>
          <w:sz w:val="24"/>
          <w:szCs w:val="24"/>
        </w:rPr>
      </w:pPr>
      <w:r w:rsidRPr="0039044E">
        <w:rPr>
          <w:rFonts w:ascii="Times New Roman" w:hAnsi="Times New Roman" w:cs="Times New Roman"/>
          <w:b/>
          <w:sz w:val="24"/>
          <w:szCs w:val="24"/>
        </w:rPr>
        <w:br w:type="page"/>
      </w:r>
    </w:p>
    <w:p w:rsidR="00AC6E28" w:rsidRPr="0039044E" w:rsidRDefault="00446BFF" w:rsidP="00440795">
      <w:pPr>
        <w:spacing w:line="240" w:lineRule="auto"/>
        <w:jc w:val="both"/>
        <w:rPr>
          <w:rFonts w:ascii="Times New Roman" w:hAnsi="Times New Roman" w:cs="Times New Roman"/>
          <w:b/>
          <w:sz w:val="24"/>
          <w:szCs w:val="24"/>
        </w:rPr>
      </w:pPr>
      <w:r w:rsidRPr="0039044E">
        <w:rPr>
          <w:rFonts w:ascii="Times New Roman" w:hAnsi="Times New Roman" w:cs="Times New Roman"/>
          <w:b/>
          <w:sz w:val="24"/>
          <w:szCs w:val="24"/>
        </w:rPr>
        <w:lastRenderedPageBreak/>
        <w:t>KAYNAKÇA</w:t>
      </w: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Accredittation Canada International (2012), ACI Publications</w:t>
      </w:r>
      <w:r w:rsidR="009C3574">
        <w:rPr>
          <w:rFonts w:ascii="Times New Roman" w:hAnsi="Times New Roman" w:cs="Times New Roman"/>
          <w:sz w:val="24"/>
          <w:szCs w:val="24"/>
        </w:rPr>
        <w:t>.</w:t>
      </w:r>
      <w:r w:rsidRPr="005C301D">
        <w:rPr>
          <w:rFonts w:ascii="Times New Roman" w:hAnsi="Times New Roman" w:cs="Times New Roman"/>
          <w:sz w:val="24"/>
          <w:szCs w:val="24"/>
        </w:rPr>
        <w:t xml:space="preserve"> </w:t>
      </w:r>
    </w:p>
    <w:p w:rsidR="005C301D" w:rsidRPr="005C301D" w:rsidRDefault="005C301D" w:rsidP="005C301D">
      <w:pPr>
        <w:pStyle w:val="ListeParagraf"/>
        <w:autoSpaceDE w:val="0"/>
        <w:autoSpaceDN w:val="0"/>
        <w:adjustRightInd w:val="0"/>
        <w:spacing w:beforeLines="120" w:before="288" w:afterLines="120" w:after="288" w:line="240" w:lineRule="auto"/>
        <w:jc w:val="both"/>
        <w:rPr>
          <w:rFonts w:ascii="Times New 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 xml:space="preserve">ARDIÇ, K. </w:t>
      </w:r>
      <w:r w:rsidR="005C301D">
        <w:rPr>
          <w:rFonts w:ascii="Times New Roman" w:hAnsi="Times New Roman" w:cs="Times New Roman"/>
          <w:sz w:val="24"/>
          <w:szCs w:val="24"/>
        </w:rPr>
        <w:t>ve</w:t>
      </w:r>
      <w:r w:rsidRPr="005C301D">
        <w:rPr>
          <w:rFonts w:ascii="Times New Roman" w:hAnsi="Times New Roman" w:cs="Times New Roman"/>
          <w:sz w:val="24"/>
          <w:szCs w:val="24"/>
        </w:rPr>
        <w:t xml:space="preserve"> A. GÜLER</w:t>
      </w:r>
      <w:r w:rsidR="005C301D">
        <w:rPr>
          <w:rFonts w:ascii="Times New Roman" w:hAnsi="Times New Roman" w:cs="Times New Roman"/>
          <w:sz w:val="24"/>
          <w:szCs w:val="24"/>
        </w:rPr>
        <w:t>,</w:t>
      </w:r>
      <w:r w:rsidRPr="005C301D">
        <w:rPr>
          <w:rFonts w:ascii="Times New Roman" w:hAnsi="Times New Roman" w:cs="Times New Roman"/>
          <w:sz w:val="24"/>
          <w:szCs w:val="24"/>
        </w:rPr>
        <w:t xml:space="preserve"> (2000), </w:t>
      </w:r>
      <w:r w:rsidR="00061E6E" w:rsidRPr="005C301D">
        <w:rPr>
          <w:rFonts w:ascii="Times New Roman" w:hAnsi="Times New Roman" w:cs="Times New Roman"/>
          <w:sz w:val="24"/>
          <w:szCs w:val="24"/>
        </w:rPr>
        <w:t>“</w:t>
      </w:r>
      <w:r w:rsidRPr="005C301D">
        <w:rPr>
          <w:rFonts w:ascii="Times New Roman" w:hAnsi="Times New Roman" w:cs="Times New Roman"/>
          <w:b/>
          <w:bCs/>
          <w:sz w:val="24"/>
          <w:szCs w:val="24"/>
        </w:rPr>
        <w:t>Reklamlarda Vurgulanan Ürün ve Hizmet Kalite Boyutlarının Belirlenmesi ve Bir Uygulama</w:t>
      </w:r>
      <w:r w:rsidRPr="005C301D">
        <w:rPr>
          <w:rFonts w:ascii="Times New Roman" w:hAnsi="Times New Roman" w:cs="Times New Roman"/>
          <w:b/>
          <w:sz w:val="24"/>
          <w:szCs w:val="24"/>
        </w:rPr>
        <w:t>, Pazarlama Dünyası</w:t>
      </w:r>
      <w:r w:rsidR="00061E6E" w:rsidRPr="005C301D">
        <w:rPr>
          <w:rFonts w:ascii="Times New Roman" w:hAnsi="Times New Roman" w:cs="Times New Roman"/>
          <w:b/>
          <w:sz w:val="24"/>
          <w:szCs w:val="24"/>
        </w:rPr>
        <w:t>”</w:t>
      </w:r>
      <w:r w:rsidR="005C301D">
        <w:rPr>
          <w:rFonts w:ascii="Times New Roman" w:hAnsi="Times New Roman" w:cs="Times New Roman"/>
          <w:sz w:val="24"/>
          <w:szCs w:val="24"/>
        </w:rPr>
        <w:t xml:space="preserve">, Cilt. </w:t>
      </w:r>
      <w:r w:rsidRPr="005C301D">
        <w:rPr>
          <w:rFonts w:ascii="Times New Roman" w:hAnsi="Times New Roman" w:cs="Times New Roman"/>
          <w:sz w:val="24"/>
          <w:szCs w:val="24"/>
        </w:rPr>
        <w:t xml:space="preserve">pp. 18 - </w:t>
      </w:r>
      <w:r w:rsidR="005C301D" w:rsidRPr="005C301D">
        <w:rPr>
          <w:rFonts w:ascii="Times New Roman" w:hAnsi="Times New Roman" w:cs="Times New Roman"/>
          <w:sz w:val="24"/>
          <w:szCs w:val="24"/>
        </w:rPr>
        <w:t>23, ISSN</w:t>
      </w:r>
      <w:r w:rsidR="005C301D">
        <w:rPr>
          <w:rFonts w:ascii="Times New Roman" w:hAnsi="Times New Roman" w:cs="Times New Roman"/>
          <w:sz w:val="24"/>
          <w:szCs w:val="24"/>
        </w:rPr>
        <w:t xml:space="preserve">: </w:t>
      </w:r>
      <w:r w:rsidRPr="005C301D">
        <w:rPr>
          <w:rFonts w:ascii="Times New Roman" w:hAnsi="Times New Roman" w:cs="Times New Roman"/>
          <w:sz w:val="24"/>
          <w:szCs w:val="24"/>
        </w:rPr>
        <w:t>DOI</w:t>
      </w:r>
      <w:r w:rsidR="005C301D">
        <w:rPr>
          <w:rFonts w:ascii="Times New Roman" w:hAnsi="Times New Roman" w:cs="Times New Roman"/>
          <w:sz w:val="24"/>
          <w:szCs w:val="24"/>
        </w:rPr>
        <w:t>.</w:t>
      </w:r>
    </w:p>
    <w:p w:rsidR="005C301D" w:rsidRPr="005C301D" w:rsidRDefault="005C301D" w:rsidP="005C301D">
      <w:pPr>
        <w:pStyle w:val="ListeParagraf"/>
        <w:rPr>
          <w:rFonts w:ascii="Times New Roman" w:hAnsi="Times New Roman" w:cs="Times New Roman"/>
          <w:sz w:val="24"/>
          <w:szCs w:val="24"/>
        </w:rPr>
      </w:pPr>
    </w:p>
    <w:p w:rsidR="005C301D"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 xml:space="preserve">Birleşik Devletler Sağlık Departmanı Sağlık Araştırmaları ve Kalite Birimi  (2012),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Understanding Health Care Quality</w:t>
      </w:r>
      <w:r w:rsidR="00061E6E" w:rsidRPr="005C301D">
        <w:rPr>
          <w:rFonts w:ascii="Times New Roman" w:hAnsi="Times New Roman" w:cs="Times New Roman"/>
          <w:b/>
          <w:sz w:val="24"/>
          <w:szCs w:val="24"/>
        </w:rPr>
        <w:t>”</w:t>
      </w:r>
      <w:r w:rsidRPr="005C301D">
        <w:rPr>
          <w:rFonts w:ascii="Times New Roman" w:hAnsi="Times New Roman" w:cs="Times New Roman"/>
          <w:sz w:val="24"/>
          <w:szCs w:val="24"/>
        </w:rPr>
        <w:t xml:space="preserve">  </w:t>
      </w:r>
      <w:hyperlink r:id="rId10" w:history="1">
        <w:r w:rsidRPr="005C301D">
          <w:rPr>
            <w:rStyle w:val="Kpr"/>
            <w:rFonts w:ascii="Times New Roman" w:hAnsi="Times New Roman" w:cs="Times New Roman"/>
            <w:sz w:val="24"/>
            <w:szCs w:val="24"/>
          </w:rPr>
          <w:t>http://www.ahrq.gov/consumer/guidetoq/guidetoq4.htm</w:t>
        </w:r>
      </w:hyperlink>
      <w:r w:rsidRPr="005C301D">
        <w:rPr>
          <w:rFonts w:ascii="Times New Roman" w:hAnsi="Times New Roman" w:cs="Times New Roman"/>
          <w:sz w:val="24"/>
          <w:szCs w:val="24"/>
        </w:rPr>
        <w:t xml:space="preserve"> (</w:t>
      </w:r>
      <w:r w:rsidR="005C301D" w:rsidRPr="005C301D">
        <w:rPr>
          <w:rFonts w:ascii="Times New Roman" w:hAnsi="Times New Roman" w:cs="Times New Roman"/>
          <w:sz w:val="24"/>
          <w:szCs w:val="24"/>
        </w:rPr>
        <w:t xml:space="preserve">Erişim Tarihi: </w:t>
      </w:r>
      <w:r w:rsidR="005C301D">
        <w:rPr>
          <w:rFonts w:ascii="Times New Roman" w:hAnsi="Times New Roman" w:cs="Times New Roman"/>
          <w:sz w:val="24"/>
          <w:szCs w:val="24"/>
        </w:rPr>
        <w:t>30.11.2012).</w:t>
      </w:r>
    </w:p>
    <w:p w:rsidR="005C301D" w:rsidRPr="005C301D" w:rsidRDefault="005C301D" w:rsidP="005C301D">
      <w:pPr>
        <w:pStyle w:val="ListeParagraf"/>
        <w:rPr>
          <w:rFonts w:ascii="Times New Roman" w:hAnsi="Times New Roman" w:cs="Times New Roman"/>
          <w:sz w:val="24"/>
          <w:szCs w:val="24"/>
        </w:rPr>
      </w:pPr>
    </w:p>
    <w:p w:rsidR="00563F02" w:rsidRDefault="005C301D"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BLUMENTHAL, D, (1996),</w:t>
      </w:r>
      <w:r w:rsidR="00563F02" w:rsidRPr="005C301D">
        <w:rPr>
          <w:rFonts w:ascii="Times New Roman" w:hAnsi="Times New Roman" w:cs="Times New Roman"/>
          <w:sz w:val="24"/>
          <w:szCs w:val="24"/>
        </w:rPr>
        <w:t xml:space="preserve"> </w:t>
      </w:r>
      <w:r w:rsidR="00061E6E" w:rsidRPr="005C301D">
        <w:rPr>
          <w:rFonts w:ascii="Times New Roman" w:hAnsi="Times New Roman" w:cs="Times New Roman"/>
          <w:b/>
          <w:sz w:val="24"/>
          <w:szCs w:val="24"/>
        </w:rPr>
        <w:t>“</w:t>
      </w:r>
      <w:r w:rsidR="00563F02" w:rsidRPr="005C301D">
        <w:rPr>
          <w:rFonts w:ascii="Times New Roman" w:hAnsi="Times New Roman" w:cs="Times New Roman"/>
          <w:b/>
          <w:sz w:val="24"/>
          <w:szCs w:val="24"/>
        </w:rPr>
        <w:t>Part 1: Quality of care – what is it?</w:t>
      </w:r>
      <w:r w:rsidR="00061E6E"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The New England Journal of Medicine, 335(12):891–894.</w:t>
      </w:r>
    </w:p>
    <w:p w:rsidR="005C301D" w:rsidRPr="005C301D" w:rsidRDefault="005C301D" w:rsidP="005C301D">
      <w:pPr>
        <w:pStyle w:val="ListeParagraf"/>
        <w:rPr>
          <w:rFonts w:ascii="Times New Roman" w:hAnsi="Times New Roman" w:cs="Times New Roman"/>
          <w:sz w:val="24"/>
          <w:szCs w:val="24"/>
        </w:rPr>
      </w:pPr>
    </w:p>
    <w:p w:rsidR="00563F02" w:rsidRDefault="00563F02" w:rsidP="005C301D">
      <w:pPr>
        <w:pStyle w:val="ListeParagraf"/>
        <w:numPr>
          <w:ilvl w:val="0"/>
          <w:numId w:val="12"/>
        </w:numPr>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BOWERS, M.R.</w:t>
      </w:r>
      <w:r w:rsidR="00D12A44">
        <w:rPr>
          <w:rFonts w:ascii="Times New Roman" w:hAnsi="Times New Roman" w:cs="Times New Roman"/>
          <w:sz w:val="24"/>
          <w:szCs w:val="24"/>
        </w:rPr>
        <w:t xml:space="preserve"> and J.E. SWAN,</w:t>
      </w:r>
      <w:r w:rsidRPr="005C301D">
        <w:rPr>
          <w:rFonts w:ascii="Times New Roman" w:hAnsi="Times New Roman" w:cs="Times New Roman"/>
          <w:sz w:val="24"/>
          <w:szCs w:val="24"/>
        </w:rPr>
        <w:t xml:space="preserve"> W. KOEHLER, (1994),</w:t>
      </w:r>
      <w:r w:rsidRPr="005C301D">
        <w:rPr>
          <w:rFonts w:ascii="Times New Roman" w:hAnsi="Times New Roman" w:cs="Times New Roman"/>
          <w:b/>
          <w:sz w:val="24"/>
          <w:szCs w:val="24"/>
        </w:rPr>
        <w:t xml:space="preserve">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What Attributes Determine Quality and Satisfaction With Health Care Delivery</w:t>
      </w:r>
      <w:r w:rsidR="00061E6E" w:rsidRPr="005C301D">
        <w:rPr>
          <w:rFonts w:ascii="Times New Roman" w:hAnsi="Times New Roman" w:cs="Times New Roman"/>
          <w:b/>
          <w:sz w:val="24"/>
          <w:szCs w:val="24"/>
        </w:rPr>
        <w:t>”</w:t>
      </w:r>
      <w:r w:rsidRPr="005C301D">
        <w:rPr>
          <w:rFonts w:ascii="Times New Roman" w:hAnsi="Times New Roman" w:cs="Times New Roman"/>
          <w:sz w:val="24"/>
          <w:szCs w:val="24"/>
        </w:rPr>
        <w:t>, Health Care Management Review, 19(4), s.</w:t>
      </w:r>
      <w:r w:rsidR="00D12A44">
        <w:rPr>
          <w:rFonts w:ascii="Times New Roman" w:hAnsi="Times New Roman" w:cs="Times New Roman"/>
          <w:sz w:val="24"/>
          <w:szCs w:val="24"/>
        </w:rPr>
        <w:t xml:space="preserve"> </w:t>
      </w:r>
      <w:r w:rsidRPr="005C301D">
        <w:rPr>
          <w:rFonts w:ascii="Times New Roman" w:hAnsi="Times New Roman" w:cs="Times New Roman"/>
          <w:sz w:val="24"/>
          <w:szCs w:val="24"/>
        </w:rPr>
        <w:t>49–55.</w:t>
      </w:r>
    </w:p>
    <w:p w:rsidR="005C301D" w:rsidRPr="005C301D" w:rsidRDefault="005C301D" w:rsidP="005C301D">
      <w:pPr>
        <w:pStyle w:val="ListeParagraf"/>
        <w:rPr>
          <w:rFonts w:ascii="Times New Roman" w:hAnsi="Times New Roman" w:cs="Times New Roman"/>
          <w:sz w:val="24"/>
          <w:szCs w:val="24"/>
        </w:rPr>
      </w:pPr>
    </w:p>
    <w:p w:rsidR="00563F02" w:rsidRDefault="00563F02" w:rsidP="005C301D">
      <w:pPr>
        <w:pStyle w:val="ListeParagraf"/>
        <w:numPr>
          <w:ilvl w:val="0"/>
          <w:numId w:val="12"/>
        </w:numPr>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BROGOWİCZ, A.A.-DELENE, L.M. - LYTH, D.M.</w:t>
      </w:r>
      <w:r w:rsidR="00D12A44">
        <w:rPr>
          <w:rFonts w:ascii="Times New Roman" w:hAnsi="Times New Roman" w:cs="Times New Roman"/>
          <w:sz w:val="24"/>
          <w:szCs w:val="24"/>
        </w:rPr>
        <w:t>,</w:t>
      </w:r>
      <w:r w:rsidRPr="005C301D">
        <w:rPr>
          <w:rFonts w:ascii="Times New Roman" w:hAnsi="Times New Roman" w:cs="Times New Roman"/>
          <w:sz w:val="24"/>
          <w:szCs w:val="24"/>
        </w:rPr>
        <w:t xml:space="preserve"> (1990),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A Synthesised Service Quality Model with Managerial Implications</w:t>
      </w:r>
      <w:r w:rsidR="00061E6E" w:rsidRPr="005C301D">
        <w:rPr>
          <w:rFonts w:ascii="Times New Roman" w:hAnsi="Times New Roman" w:cs="Times New Roman"/>
          <w:b/>
          <w:sz w:val="24"/>
          <w:szCs w:val="24"/>
        </w:rPr>
        <w:t>”</w:t>
      </w:r>
      <w:r w:rsidRPr="005C301D">
        <w:rPr>
          <w:rFonts w:ascii="Times New Roman" w:hAnsi="Times New Roman" w:cs="Times New Roman"/>
          <w:sz w:val="24"/>
          <w:szCs w:val="24"/>
        </w:rPr>
        <w:t>, International Journal of Service Industry Management, vol. 1, no. 1, pp. 27-45.</w:t>
      </w:r>
    </w:p>
    <w:p w:rsidR="005C301D" w:rsidRPr="005C301D" w:rsidRDefault="005C301D" w:rsidP="005C301D">
      <w:pPr>
        <w:pStyle w:val="ListeParagraf"/>
        <w:rPr>
          <w:rFonts w:ascii="Times New 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BROOK, R. - MCGLYNN, E - CLEARY, P.</w:t>
      </w:r>
      <w:r w:rsidR="00D12A44">
        <w:rPr>
          <w:rFonts w:ascii="Times New Roman" w:hAnsi="Times New Roman" w:cs="Times New Roman"/>
          <w:sz w:val="24"/>
          <w:szCs w:val="24"/>
        </w:rPr>
        <w:t>,</w:t>
      </w:r>
      <w:r w:rsidRPr="005C301D">
        <w:rPr>
          <w:rFonts w:ascii="Times New Roman" w:hAnsi="Times New Roman" w:cs="Times New Roman"/>
          <w:sz w:val="24"/>
          <w:szCs w:val="24"/>
        </w:rPr>
        <w:t xml:space="preserve"> (1996),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 xml:space="preserve">Measuring </w:t>
      </w:r>
      <w:r w:rsidR="00061E6E" w:rsidRPr="005C301D">
        <w:rPr>
          <w:rFonts w:ascii="Times New Roman" w:hAnsi="Times New Roman" w:cs="Times New Roman"/>
          <w:b/>
          <w:sz w:val="24"/>
          <w:szCs w:val="24"/>
        </w:rPr>
        <w:t>Quality of Care”</w:t>
      </w:r>
      <w:r w:rsidRPr="005C301D">
        <w:rPr>
          <w:rFonts w:ascii="Times New Roman" w:hAnsi="Times New Roman" w:cs="Times New Roman"/>
          <w:sz w:val="24"/>
          <w:szCs w:val="24"/>
        </w:rPr>
        <w:t xml:space="preserve"> The New England Journal of Medicine, 335(13):966–970.</w:t>
      </w:r>
    </w:p>
    <w:p w:rsidR="005C301D" w:rsidRPr="005C301D" w:rsidRDefault="005C301D" w:rsidP="005C301D">
      <w:pPr>
        <w:pStyle w:val="ListeParagraf"/>
        <w:rPr>
          <w:rFonts w:ascii="Times New 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eastAsia="TimesNewRoman" w:hAnsi="Times New Roman" w:cs="Times New Roman"/>
          <w:sz w:val="24"/>
          <w:szCs w:val="24"/>
        </w:rPr>
      </w:pPr>
      <w:r w:rsidRPr="005C301D">
        <w:rPr>
          <w:rFonts w:ascii="Times New Roman" w:eastAsia="TimesNewRoman" w:hAnsi="Times New Roman" w:cs="Times New Roman"/>
          <w:sz w:val="24"/>
          <w:szCs w:val="24"/>
        </w:rPr>
        <w:t>CARMAN, JAMES.</w:t>
      </w:r>
      <w:r w:rsidR="00CD3A2F">
        <w:rPr>
          <w:rFonts w:ascii="Times New Roman" w:eastAsia="TimesNewRoman" w:hAnsi="Times New Roman" w:cs="Times New Roman"/>
          <w:sz w:val="24"/>
          <w:szCs w:val="24"/>
        </w:rPr>
        <w:t xml:space="preserve"> </w:t>
      </w:r>
      <w:r w:rsidRPr="005C301D">
        <w:rPr>
          <w:rFonts w:ascii="Times New Roman" w:eastAsia="TimesNewRoman" w:hAnsi="Times New Roman" w:cs="Times New Roman"/>
          <w:sz w:val="24"/>
          <w:szCs w:val="24"/>
        </w:rPr>
        <w:t xml:space="preserve">M., (1990), </w:t>
      </w:r>
      <w:r w:rsidR="00061E6E" w:rsidRPr="005C301D">
        <w:rPr>
          <w:rFonts w:ascii="Times New Roman" w:eastAsia="TimesNewRoman" w:hAnsi="Times New Roman" w:cs="Times New Roman"/>
          <w:b/>
          <w:sz w:val="24"/>
          <w:szCs w:val="24"/>
        </w:rPr>
        <w:t>“</w:t>
      </w:r>
      <w:r w:rsidRPr="005C301D">
        <w:rPr>
          <w:rFonts w:ascii="Times New Roman" w:eastAsia="TimesNewRoman" w:hAnsi="Times New Roman" w:cs="Times New Roman"/>
          <w:b/>
          <w:sz w:val="24"/>
          <w:szCs w:val="24"/>
        </w:rPr>
        <w:t>Consumer Perceptions of Service Quality: An Assessment of SERVQUAL Dimensions</w:t>
      </w:r>
      <w:r w:rsidR="00061E6E" w:rsidRPr="005C301D">
        <w:rPr>
          <w:rFonts w:ascii="Times New Roman" w:eastAsia="TimesNewRoman" w:hAnsi="Times New Roman" w:cs="Times New Roman"/>
          <w:b/>
          <w:sz w:val="24"/>
          <w:szCs w:val="24"/>
        </w:rPr>
        <w:t>”</w:t>
      </w:r>
      <w:r w:rsidRPr="005C301D">
        <w:rPr>
          <w:rFonts w:ascii="Times New Roman" w:eastAsia="TimesNewRoman" w:hAnsi="Times New Roman" w:cs="Times New Roman"/>
          <w:sz w:val="24"/>
          <w:szCs w:val="24"/>
        </w:rPr>
        <w:t xml:space="preserve">, </w:t>
      </w:r>
      <w:r w:rsidRPr="005C301D">
        <w:rPr>
          <w:rFonts w:ascii="Times New Roman" w:eastAsia="TimesNewRoman" w:hAnsi="Times New Roman" w:cs="Times New Roman"/>
          <w:iCs/>
          <w:sz w:val="24"/>
          <w:szCs w:val="24"/>
        </w:rPr>
        <w:t>Journal of Retailing</w:t>
      </w:r>
      <w:r w:rsidRPr="005C301D">
        <w:rPr>
          <w:rFonts w:ascii="Times New Roman" w:eastAsia="TimesNewRoman" w:hAnsi="Times New Roman" w:cs="Times New Roman"/>
          <w:sz w:val="24"/>
          <w:szCs w:val="24"/>
        </w:rPr>
        <w:t>, 66(1), s.33-35.</w:t>
      </w:r>
    </w:p>
    <w:p w:rsidR="005C301D" w:rsidRPr="005C301D" w:rsidRDefault="005C301D" w:rsidP="005C301D">
      <w:pPr>
        <w:pStyle w:val="ListeParagraf"/>
        <w:rPr>
          <w:rFonts w:ascii="Times New Roman" w:eastAsia="TimesNew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eastAsia="TimesNewRoman" w:hAnsi="Times New Roman" w:cs="Times New Roman"/>
          <w:sz w:val="24"/>
          <w:szCs w:val="24"/>
        </w:rPr>
      </w:pPr>
      <w:r w:rsidRPr="005C301D">
        <w:rPr>
          <w:rFonts w:ascii="Times New Roman" w:eastAsia="TimesNewRoman" w:hAnsi="Times New Roman" w:cs="Times New Roman"/>
          <w:sz w:val="24"/>
          <w:szCs w:val="24"/>
        </w:rPr>
        <w:t xml:space="preserve">CARMAN, JAMES M., (2000), </w:t>
      </w:r>
      <w:r w:rsidR="00061E6E" w:rsidRPr="005C301D">
        <w:rPr>
          <w:rFonts w:ascii="Times New Roman" w:eastAsia="TimesNewRoman" w:hAnsi="Times New Roman" w:cs="Times New Roman"/>
          <w:b/>
          <w:sz w:val="24"/>
          <w:szCs w:val="24"/>
        </w:rPr>
        <w:t>“</w:t>
      </w:r>
      <w:r w:rsidRPr="005C301D">
        <w:rPr>
          <w:rFonts w:ascii="Times New Roman" w:eastAsia="TimesNewRoman" w:hAnsi="Times New Roman" w:cs="Times New Roman"/>
          <w:b/>
          <w:sz w:val="24"/>
          <w:szCs w:val="24"/>
        </w:rPr>
        <w:t>Patient Perceptions of Service Quality: Combining the Dimensions</w:t>
      </w:r>
      <w:r w:rsidR="00061E6E" w:rsidRPr="005C301D">
        <w:rPr>
          <w:rFonts w:ascii="Times New Roman" w:eastAsia="TimesNewRoman" w:hAnsi="Times New Roman" w:cs="Times New Roman"/>
          <w:b/>
          <w:sz w:val="24"/>
          <w:szCs w:val="24"/>
        </w:rPr>
        <w:t>”</w:t>
      </w:r>
      <w:r w:rsidRPr="005C301D">
        <w:rPr>
          <w:rFonts w:ascii="Times New Roman" w:eastAsia="TimesNewRoman" w:hAnsi="Times New Roman" w:cs="Times New Roman"/>
          <w:sz w:val="24"/>
          <w:szCs w:val="24"/>
        </w:rPr>
        <w:t xml:space="preserve">, </w:t>
      </w:r>
      <w:r w:rsidRPr="005C301D">
        <w:rPr>
          <w:rFonts w:ascii="Times New Roman" w:eastAsia="TimesNewRoman" w:hAnsi="Times New Roman" w:cs="Times New Roman"/>
          <w:iCs/>
          <w:sz w:val="24"/>
          <w:szCs w:val="24"/>
        </w:rPr>
        <w:t>Journal of Management of Medicine</w:t>
      </w:r>
      <w:r w:rsidRPr="005C301D">
        <w:rPr>
          <w:rFonts w:ascii="Times New Roman" w:eastAsia="TimesNewRoman" w:hAnsi="Times New Roman" w:cs="Times New Roman"/>
          <w:sz w:val="24"/>
          <w:szCs w:val="24"/>
        </w:rPr>
        <w:t>,v.14, n.5/6, s.339-356.</w:t>
      </w:r>
    </w:p>
    <w:p w:rsidR="005C301D" w:rsidRPr="005C301D" w:rsidRDefault="005C301D" w:rsidP="005C301D">
      <w:pPr>
        <w:pStyle w:val="ListeParagraf"/>
        <w:rPr>
          <w:rFonts w:ascii="Times New Roman" w:eastAsia="TimesNew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eastAsia="TimesNewRoman" w:hAnsi="Times New Roman" w:cs="Times New Roman"/>
          <w:sz w:val="24"/>
          <w:szCs w:val="24"/>
        </w:rPr>
      </w:pPr>
      <w:r w:rsidRPr="005C301D">
        <w:rPr>
          <w:rFonts w:ascii="Times New Roman" w:eastAsia="TimesNewRoman" w:hAnsi="Times New Roman" w:cs="Times New Roman"/>
          <w:sz w:val="24"/>
          <w:szCs w:val="24"/>
        </w:rPr>
        <w:t>CLEMMER T.P</w:t>
      </w:r>
      <w:r w:rsidR="00465AA8">
        <w:rPr>
          <w:rFonts w:ascii="Times New Roman" w:eastAsia="TimesNewRoman" w:hAnsi="Times New Roman" w:cs="Times New Roman"/>
          <w:sz w:val="24"/>
          <w:szCs w:val="24"/>
        </w:rPr>
        <w:t xml:space="preserve"> and SPUHLER</w:t>
      </w:r>
      <w:r w:rsidR="00CD3A2F">
        <w:rPr>
          <w:rFonts w:ascii="Times New Roman" w:eastAsia="TimesNewRoman" w:hAnsi="Times New Roman" w:cs="Times New Roman"/>
          <w:sz w:val="24"/>
          <w:szCs w:val="24"/>
        </w:rPr>
        <w:t>,</w:t>
      </w:r>
      <w:r w:rsidR="00465AA8">
        <w:rPr>
          <w:rFonts w:ascii="Times New Roman" w:eastAsia="TimesNewRoman" w:hAnsi="Times New Roman" w:cs="Times New Roman"/>
          <w:sz w:val="24"/>
          <w:szCs w:val="24"/>
        </w:rPr>
        <w:t xml:space="preserve"> V.J., ONİKİ</w:t>
      </w:r>
      <w:r w:rsidR="00CD3A2F">
        <w:rPr>
          <w:rFonts w:ascii="Times New Roman" w:eastAsia="TimesNewRoman" w:hAnsi="Times New Roman" w:cs="Times New Roman"/>
          <w:sz w:val="24"/>
          <w:szCs w:val="24"/>
        </w:rPr>
        <w:t>,</w:t>
      </w:r>
      <w:r w:rsidR="00465AA8">
        <w:rPr>
          <w:rFonts w:ascii="Times New Roman" w:eastAsia="TimesNewRoman" w:hAnsi="Times New Roman" w:cs="Times New Roman"/>
          <w:sz w:val="24"/>
          <w:szCs w:val="24"/>
        </w:rPr>
        <w:t xml:space="preserve"> T.A.</w:t>
      </w:r>
      <w:r w:rsidR="005C301D">
        <w:rPr>
          <w:rFonts w:ascii="Times New Roman" w:eastAsia="TimesNewRoman" w:hAnsi="Times New Roman" w:cs="Times New Roman"/>
          <w:sz w:val="24"/>
          <w:szCs w:val="24"/>
        </w:rPr>
        <w:t>,</w:t>
      </w:r>
      <w:r w:rsidRPr="005C301D">
        <w:rPr>
          <w:rFonts w:ascii="Times New Roman" w:eastAsia="TimesNewRoman" w:hAnsi="Times New Roman" w:cs="Times New Roman"/>
          <w:sz w:val="24"/>
          <w:szCs w:val="24"/>
        </w:rPr>
        <w:t xml:space="preserve"> HORN S.D.</w:t>
      </w:r>
      <w:r w:rsidR="005C301D">
        <w:rPr>
          <w:rFonts w:ascii="Times New Roman" w:eastAsia="TimesNewRoman" w:hAnsi="Times New Roman" w:cs="Times New Roman"/>
          <w:sz w:val="24"/>
          <w:szCs w:val="24"/>
        </w:rPr>
        <w:t>,</w:t>
      </w:r>
      <w:r w:rsidRPr="005C301D">
        <w:rPr>
          <w:rFonts w:ascii="Times New Roman" w:eastAsia="TimesNewRoman" w:hAnsi="Times New Roman" w:cs="Times New Roman"/>
          <w:sz w:val="24"/>
          <w:szCs w:val="24"/>
        </w:rPr>
        <w:t xml:space="preserve"> (1999), </w:t>
      </w:r>
      <w:r w:rsidR="00061E6E" w:rsidRPr="005C301D">
        <w:rPr>
          <w:rFonts w:ascii="Times New Roman" w:eastAsia="TimesNewRoman" w:hAnsi="Times New Roman" w:cs="Times New Roman"/>
          <w:b/>
          <w:sz w:val="24"/>
          <w:szCs w:val="24"/>
        </w:rPr>
        <w:t>“</w:t>
      </w:r>
      <w:r w:rsidRPr="005C301D">
        <w:rPr>
          <w:rFonts w:ascii="Times New Roman" w:eastAsia="TimesNewRoman" w:hAnsi="Times New Roman" w:cs="Times New Roman"/>
          <w:b/>
          <w:sz w:val="24"/>
          <w:szCs w:val="24"/>
        </w:rPr>
        <w:t>Results of a collaborative quality improvement program on outcomes and costs in a tertiary critical care unit</w:t>
      </w:r>
      <w:r w:rsidR="00061E6E" w:rsidRPr="005C301D">
        <w:rPr>
          <w:rFonts w:ascii="Times New Roman" w:eastAsia="TimesNewRoman" w:hAnsi="Times New Roman" w:cs="Times New Roman"/>
          <w:b/>
          <w:sz w:val="24"/>
          <w:szCs w:val="24"/>
        </w:rPr>
        <w:t>”</w:t>
      </w:r>
      <w:r w:rsidR="00465AA8">
        <w:rPr>
          <w:rFonts w:ascii="Times New Roman" w:eastAsia="TimesNewRoman" w:hAnsi="Times New Roman" w:cs="Times New Roman"/>
          <w:b/>
          <w:sz w:val="24"/>
          <w:szCs w:val="24"/>
        </w:rPr>
        <w:t>,</w:t>
      </w:r>
      <w:r w:rsidRPr="005C301D">
        <w:rPr>
          <w:rFonts w:ascii="Times New Roman" w:eastAsia="TimesNewRoman" w:hAnsi="Times New Roman" w:cs="Times New Roman"/>
          <w:b/>
          <w:sz w:val="24"/>
          <w:szCs w:val="24"/>
        </w:rPr>
        <w:t xml:space="preserve"> </w:t>
      </w:r>
      <w:r w:rsidRPr="005C301D">
        <w:rPr>
          <w:rFonts w:ascii="Times New Roman" w:eastAsia="TimesNewRoman" w:hAnsi="Times New Roman" w:cs="Times New Roman"/>
          <w:sz w:val="24"/>
          <w:szCs w:val="24"/>
        </w:rPr>
        <w:t>Crit Care Med;</w:t>
      </w:r>
      <w:r w:rsidR="00465AA8">
        <w:rPr>
          <w:rFonts w:ascii="Times New Roman" w:eastAsia="TimesNewRoman" w:hAnsi="Times New Roman" w:cs="Times New Roman"/>
          <w:sz w:val="24"/>
          <w:szCs w:val="24"/>
        </w:rPr>
        <w:t xml:space="preserve"> </w:t>
      </w:r>
      <w:r w:rsidRPr="005C301D">
        <w:rPr>
          <w:rFonts w:ascii="Times New Roman" w:eastAsia="TimesNewRoman" w:hAnsi="Times New Roman" w:cs="Times New Roman"/>
          <w:sz w:val="24"/>
          <w:szCs w:val="24"/>
        </w:rPr>
        <w:t>27:</w:t>
      </w:r>
      <w:r w:rsidR="00465AA8">
        <w:rPr>
          <w:rFonts w:ascii="Times New Roman" w:eastAsia="TimesNewRoman" w:hAnsi="Times New Roman" w:cs="Times New Roman"/>
          <w:sz w:val="24"/>
          <w:szCs w:val="24"/>
        </w:rPr>
        <w:t xml:space="preserve"> </w:t>
      </w:r>
      <w:r w:rsidRPr="005C301D">
        <w:rPr>
          <w:rFonts w:ascii="Times New Roman" w:eastAsia="TimesNewRoman" w:hAnsi="Times New Roman" w:cs="Times New Roman"/>
          <w:sz w:val="24"/>
          <w:szCs w:val="24"/>
        </w:rPr>
        <w:t>1768-74.</w:t>
      </w:r>
    </w:p>
    <w:p w:rsidR="005C301D" w:rsidRPr="005C301D" w:rsidRDefault="005C301D" w:rsidP="005C301D">
      <w:pPr>
        <w:pStyle w:val="ListeParagraf"/>
        <w:rPr>
          <w:rFonts w:ascii="Times New Roman" w:eastAsia="TimesNew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CRON</w:t>
      </w:r>
      <w:r w:rsidRPr="005C301D">
        <w:rPr>
          <w:rFonts w:ascii="Times New Roman" w:eastAsia="TTE17B9678t00" w:hAnsi="Times New Roman" w:cs="Times New Roman"/>
          <w:sz w:val="24"/>
          <w:szCs w:val="24"/>
        </w:rPr>
        <w:t>I</w:t>
      </w:r>
      <w:r w:rsidRPr="005C301D">
        <w:rPr>
          <w:rFonts w:ascii="Times New Roman" w:hAnsi="Times New Roman" w:cs="Times New Roman"/>
          <w:sz w:val="24"/>
          <w:szCs w:val="24"/>
        </w:rPr>
        <w:t>N, J.J.</w:t>
      </w:r>
      <w:r w:rsidR="00465AA8">
        <w:rPr>
          <w:rFonts w:ascii="Times New Roman" w:hAnsi="Times New Roman" w:cs="Times New Roman"/>
          <w:sz w:val="24"/>
          <w:szCs w:val="24"/>
        </w:rPr>
        <w:t xml:space="preserve"> and</w:t>
      </w:r>
      <w:r w:rsidRPr="005C301D">
        <w:rPr>
          <w:rFonts w:ascii="Times New Roman" w:hAnsi="Times New Roman" w:cs="Times New Roman"/>
          <w:sz w:val="24"/>
          <w:szCs w:val="24"/>
        </w:rPr>
        <w:t xml:space="preserve"> TAYLOR, S.A.,</w:t>
      </w:r>
      <w:r w:rsidR="00465AA8">
        <w:rPr>
          <w:rFonts w:ascii="Times New Roman" w:hAnsi="Times New Roman" w:cs="Times New Roman"/>
          <w:sz w:val="24"/>
          <w:szCs w:val="24"/>
        </w:rPr>
        <w:t xml:space="preserve"> </w:t>
      </w:r>
      <w:r w:rsidRPr="005C301D">
        <w:rPr>
          <w:rFonts w:ascii="Times New Roman" w:hAnsi="Times New Roman" w:cs="Times New Roman"/>
          <w:sz w:val="24"/>
          <w:szCs w:val="24"/>
        </w:rPr>
        <w:t xml:space="preserve">(1992),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Measuring Service Quality: A Reexamination and Extension</w:t>
      </w:r>
      <w:r w:rsidR="00061E6E" w:rsidRPr="005C301D">
        <w:rPr>
          <w:rFonts w:ascii="Times New Roman" w:hAnsi="Times New Roman" w:cs="Times New Roman"/>
          <w:b/>
          <w:sz w:val="24"/>
          <w:szCs w:val="24"/>
        </w:rPr>
        <w:t>”</w:t>
      </w:r>
      <w:r w:rsidRPr="005C301D">
        <w:rPr>
          <w:rFonts w:ascii="Times New Roman" w:hAnsi="Times New Roman" w:cs="Times New Roman"/>
          <w:sz w:val="24"/>
          <w:szCs w:val="24"/>
        </w:rPr>
        <w:t xml:space="preserve">, </w:t>
      </w:r>
      <w:r w:rsidRPr="005C301D">
        <w:rPr>
          <w:rFonts w:ascii="Times New Roman" w:hAnsi="Times New Roman" w:cs="Times New Roman"/>
          <w:bCs/>
          <w:sz w:val="24"/>
          <w:szCs w:val="24"/>
        </w:rPr>
        <w:t>Journal of Marketing</w:t>
      </w:r>
      <w:r w:rsidRPr="005C301D">
        <w:rPr>
          <w:rFonts w:ascii="Times New Roman" w:hAnsi="Times New Roman" w:cs="Times New Roman"/>
          <w:sz w:val="24"/>
          <w:szCs w:val="24"/>
        </w:rPr>
        <w:t>, 56 (July), s:</w:t>
      </w:r>
      <w:r w:rsidR="00465AA8">
        <w:rPr>
          <w:rFonts w:ascii="Times New Roman" w:hAnsi="Times New Roman" w:cs="Times New Roman"/>
          <w:sz w:val="24"/>
          <w:szCs w:val="24"/>
        </w:rPr>
        <w:t xml:space="preserve"> </w:t>
      </w:r>
      <w:r w:rsidRPr="005C301D">
        <w:rPr>
          <w:rFonts w:ascii="Times New Roman" w:hAnsi="Times New Roman" w:cs="Times New Roman"/>
          <w:sz w:val="24"/>
          <w:szCs w:val="24"/>
        </w:rPr>
        <w:t>55-68.</w:t>
      </w:r>
    </w:p>
    <w:p w:rsidR="00465AA8" w:rsidRPr="00465AA8" w:rsidRDefault="00465AA8" w:rsidP="00465AA8">
      <w:pPr>
        <w:pStyle w:val="ListeParagraf"/>
        <w:rPr>
          <w:rFonts w:ascii="Times New Roman" w:hAnsi="Times New Roman" w:cs="Times New Roman"/>
          <w:sz w:val="24"/>
          <w:szCs w:val="24"/>
        </w:rPr>
      </w:pPr>
    </w:p>
    <w:p w:rsidR="00563F02" w:rsidRPr="005C301D"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CRONIN, J.J.</w:t>
      </w:r>
      <w:r w:rsidR="00465AA8">
        <w:rPr>
          <w:rFonts w:ascii="Times New Roman" w:hAnsi="Times New Roman" w:cs="Times New Roman"/>
          <w:sz w:val="24"/>
          <w:szCs w:val="24"/>
        </w:rPr>
        <w:t xml:space="preserve"> and</w:t>
      </w:r>
      <w:r w:rsidRPr="005C301D">
        <w:rPr>
          <w:rFonts w:ascii="Times New Roman" w:hAnsi="Times New Roman" w:cs="Times New Roman"/>
          <w:sz w:val="24"/>
          <w:szCs w:val="24"/>
        </w:rPr>
        <w:t xml:space="preserve"> TAYLOR, S.A.,</w:t>
      </w:r>
      <w:r w:rsidR="00465AA8">
        <w:rPr>
          <w:rFonts w:ascii="Times New Roman" w:hAnsi="Times New Roman" w:cs="Times New Roman"/>
          <w:sz w:val="24"/>
          <w:szCs w:val="24"/>
        </w:rPr>
        <w:t xml:space="preserve"> </w:t>
      </w:r>
      <w:r w:rsidRPr="005C301D">
        <w:rPr>
          <w:rFonts w:ascii="Times New Roman" w:hAnsi="Times New Roman" w:cs="Times New Roman"/>
          <w:sz w:val="24"/>
          <w:szCs w:val="24"/>
        </w:rPr>
        <w:t xml:space="preserve">(1994),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Servperf Versus Servqual: Reconcilling Performance-Based and Perceptions Minus-Expectations Measurement of Service Ouality</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w:t>
      </w:r>
      <w:r w:rsidRPr="005C301D">
        <w:rPr>
          <w:rFonts w:ascii="Times New Roman" w:hAnsi="Times New Roman" w:cs="Times New Roman"/>
          <w:sz w:val="24"/>
          <w:szCs w:val="24"/>
        </w:rPr>
        <w:t xml:space="preserve"> </w:t>
      </w:r>
      <w:r w:rsidRPr="005C301D">
        <w:rPr>
          <w:rFonts w:ascii="Times New Roman" w:hAnsi="Times New Roman" w:cs="Times New Roman"/>
          <w:bCs/>
          <w:sz w:val="24"/>
          <w:szCs w:val="24"/>
        </w:rPr>
        <w:t>Journal of Marketing</w:t>
      </w:r>
      <w:r w:rsidRPr="005C301D">
        <w:rPr>
          <w:rFonts w:ascii="Times New Roman" w:hAnsi="Times New Roman" w:cs="Times New Roman"/>
          <w:sz w:val="24"/>
          <w:szCs w:val="24"/>
        </w:rPr>
        <w:t>, Vol: 58, No:1,s:125-131</w:t>
      </w:r>
      <w:r w:rsidR="00465AA8">
        <w:rPr>
          <w:rFonts w:ascii="Times New Roman" w:hAnsi="Times New Roman" w:cs="Times New Roman"/>
          <w:sz w:val="24"/>
          <w:szCs w:val="24"/>
        </w:rPr>
        <w:t>.</w:t>
      </w:r>
    </w:p>
    <w:p w:rsidR="00563F02" w:rsidRDefault="00465AA8"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CRUMP, B</w:t>
      </w:r>
      <w:r w:rsidR="00CD3A2F">
        <w:rPr>
          <w:rFonts w:ascii="Times New Roman" w:hAnsi="Times New Roman" w:cs="Times New Roman"/>
          <w:bCs/>
          <w:sz w:val="24"/>
          <w:szCs w:val="24"/>
        </w:rPr>
        <w:t>ernard</w:t>
      </w:r>
      <w:r>
        <w:rPr>
          <w:rFonts w:ascii="Times New Roman" w:hAnsi="Times New Roman" w:cs="Times New Roman"/>
          <w:bCs/>
          <w:sz w:val="24"/>
          <w:szCs w:val="24"/>
        </w:rPr>
        <w:t xml:space="preserve"> </w:t>
      </w:r>
      <w:r w:rsidR="00CD3A2F">
        <w:rPr>
          <w:rFonts w:ascii="Times New Roman" w:hAnsi="Times New Roman" w:cs="Times New Roman"/>
          <w:bCs/>
          <w:sz w:val="24"/>
          <w:szCs w:val="24"/>
        </w:rPr>
        <w:t xml:space="preserve">and </w:t>
      </w:r>
      <w:r>
        <w:rPr>
          <w:rFonts w:ascii="Times New Roman" w:hAnsi="Times New Roman" w:cs="Times New Roman"/>
          <w:bCs/>
          <w:sz w:val="24"/>
          <w:szCs w:val="24"/>
        </w:rPr>
        <w:t>ADIL, M</w:t>
      </w:r>
      <w:r w:rsidR="00CD3A2F">
        <w:rPr>
          <w:rFonts w:ascii="Times New Roman" w:hAnsi="Times New Roman" w:cs="Times New Roman"/>
          <w:bCs/>
          <w:sz w:val="24"/>
          <w:szCs w:val="24"/>
        </w:rPr>
        <w:t>ahmood</w:t>
      </w:r>
      <w:r w:rsidR="00563F02" w:rsidRPr="005C301D">
        <w:rPr>
          <w:rFonts w:ascii="Times New Roman" w:hAnsi="Times New Roman" w:cs="Times New Roman"/>
          <w:bCs/>
          <w:sz w:val="24"/>
          <w:szCs w:val="24"/>
        </w:rPr>
        <w:t>,</w:t>
      </w:r>
      <w:r>
        <w:rPr>
          <w:rFonts w:ascii="Times New Roman" w:hAnsi="Times New Roman" w:cs="Times New Roman"/>
          <w:bCs/>
          <w:sz w:val="24"/>
          <w:szCs w:val="24"/>
        </w:rPr>
        <w:t xml:space="preserve"> </w:t>
      </w:r>
      <w:r w:rsidR="00563F02" w:rsidRPr="005C301D">
        <w:rPr>
          <w:rFonts w:ascii="Times New Roman" w:hAnsi="Times New Roman" w:cs="Times New Roman"/>
          <w:bCs/>
          <w:sz w:val="24"/>
          <w:szCs w:val="24"/>
        </w:rPr>
        <w:t xml:space="preserve">(2009), </w:t>
      </w:r>
      <w:r w:rsidR="00061E6E" w:rsidRPr="005C301D">
        <w:rPr>
          <w:rFonts w:ascii="Times New Roman" w:hAnsi="Times New Roman" w:cs="Times New Roman"/>
          <w:b/>
          <w:bCs/>
          <w:sz w:val="24"/>
          <w:szCs w:val="24"/>
        </w:rPr>
        <w:t>“</w:t>
      </w:r>
      <w:r w:rsidR="00563F02" w:rsidRPr="005C301D">
        <w:rPr>
          <w:rFonts w:ascii="Times New Roman" w:hAnsi="Times New Roman" w:cs="Times New Roman"/>
          <w:b/>
          <w:bCs/>
          <w:sz w:val="24"/>
          <w:szCs w:val="24"/>
        </w:rPr>
        <w:t>A</w:t>
      </w:r>
      <w:r w:rsidR="00563F02" w:rsidRPr="005C301D">
        <w:rPr>
          <w:rFonts w:ascii="Times New Roman" w:hAnsi="Times New Roman" w:cs="Times New Roman"/>
          <w:b/>
          <w:sz w:val="24"/>
          <w:szCs w:val="24"/>
        </w:rPr>
        <w:t xml:space="preserve">rgue that there is nothing inevitable about loss of quality or productivity in a </w:t>
      </w:r>
      <w:r w:rsidR="00061E6E" w:rsidRPr="005C301D">
        <w:rPr>
          <w:rFonts w:ascii="Times New Roman" w:hAnsi="Times New Roman" w:cs="Times New Roman"/>
          <w:b/>
          <w:sz w:val="24"/>
          <w:szCs w:val="24"/>
        </w:rPr>
        <w:t>‘</w:t>
      </w:r>
      <w:r w:rsidR="00563F02" w:rsidRPr="005C301D">
        <w:rPr>
          <w:rFonts w:ascii="Times New Roman" w:hAnsi="Times New Roman" w:cs="Times New Roman"/>
          <w:b/>
          <w:sz w:val="24"/>
          <w:szCs w:val="24"/>
        </w:rPr>
        <w:t>flat budget</w:t>
      </w:r>
      <w:r w:rsidR="00061E6E"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 environment. Can quality and productivity improve in a financially poorer NHS?”</w:t>
      </w:r>
      <w:r w:rsidR="00563F02" w:rsidRPr="005C301D">
        <w:rPr>
          <w:rFonts w:ascii="Times New Roman" w:hAnsi="Times New Roman" w:cs="Times New Roman"/>
          <w:sz w:val="24"/>
          <w:szCs w:val="24"/>
        </w:rPr>
        <w:t xml:space="preserve"> Brtish Medical Journal.;339 :b4638</w:t>
      </w:r>
      <w:r>
        <w:rPr>
          <w:rFonts w:ascii="Times New Roman" w:hAnsi="Times New Roman" w:cs="Times New Roman"/>
          <w:sz w:val="24"/>
          <w:szCs w:val="24"/>
        </w:rPr>
        <w:t>.</w:t>
      </w:r>
    </w:p>
    <w:p w:rsidR="00465AA8" w:rsidRPr="005C301D" w:rsidRDefault="00465AA8" w:rsidP="00465AA8">
      <w:pPr>
        <w:pStyle w:val="ListeParagraf"/>
        <w:autoSpaceDE w:val="0"/>
        <w:autoSpaceDN w:val="0"/>
        <w:adjustRightInd w:val="0"/>
        <w:spacing w:beforeLines="120" w:before="288" w:afterLines="120" w:after="288" w:line="240" w:lineRule="auto"/>
        <w:jc w:val="both"/>
        <w:rPr>
          <w:rFonts w:ascii="Times New 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bCs/>
          <w:sz w:val="24"/>
          <w:szCs w:val="24"/>
        </w:rPr>
      </w:pPr>
      <w:r w:rsidRPr="005C301D">
        <w:rPr>
          <w:rFonts w:ascii="Times New Roman" w:hAnsi="Times New Roman" w:cs="Times New Roman"/>
          <w:bCs/>
          <w:sz w:val="24"/>
          <w:szCs w:val="24"/>
        </w:rPr>
        <w:t>CUNNİNGHAM L.</w:t>
      </w:r>
      <w:r w:rsidR="00465AA8">
        <w:rPr>
          <w:rFonts w:ascii="Times New Roman" w:hAnsi="Times New Roman" w:cs="Times New Roman"/>
          <w:bCs/>
          <w:sz w:val="24"/>
          <w:szCs w:val="24"/>
        </w:rPr>
        <w:t>,</w:t>
      </w:r>
      <w:r w:rsidRPr="005C301D">
        <w:rPr>
          <w:rFonts w:ascii="Times New Roman" w:hAnsi="Times New Roman" w:cs="Times New Roman"/>
          <w:bCs/>
          <w:sz w:val="24"/>
          <w:szCs w:val="24"/>
        </w:rPr>
        <w:t xml:space="preserve"> (1991)</w:t>
      </w:r>
      <w:r w:rsidR="00465AA8">
        <w:rPr>
          <w:rFonts w:ascii="Times New Roman" w:hAnsi="Times New Roman" w:cs="Times New Roman"/>
          <w:bCs/>
          <w:sz w:val="24"/>
          <w:szCs w:val="24"/>
        </w:rPr>
        <w:t>,</w:t>
      </w:r>
      <w:r w:rsidRPr="005C301D">
        <w:rPr>
          <w:rFonts w:ascii="Times New Roman" w:hAnsi="Times New Roman" w:cs="Times New Roman"/>
          <w:bCs/>
          <w:sz w:val="24"/>
          <w:szCs w:val="24"/>
        </w:rPr>
        <w:t xml:space="preserve"> </w:t>
      </w:r>
      <w:r w:rsidR="00061E6E" w:rsidRPr="005C301D">
        <w:rPr>
          <w:rFonts w:ascii="Times New Roman" w:hAnsi="Times New Roman" w:cs="Times New Roman"/>
          <w:b/>
          <w:bCs/>
          <w:sz w:val="24"/>
          <w:szCs w:val="24"/>
        </w:rPr>
        <w:t>“</w:t>
      </w:r>
      <w:r w:rsidRPr="005C301D">
        <w:rPr>
          <w:rFonts w:ascii="Times New Roman" w:hAnsi="Times New Roman" w:cs="Times New Roman"/>
          <w:b/>
          <w:bCs/>
          <w:sz w:val="24"/>
          <w:szCs w:val="24"/>
        </w:rPr>
        <w:t xml:space="preserve">The </w:t>
      </w:r>
      <w:r w:rsidR="00061E6E" w:rsidRPr="005C301D">
        <w:rPr>
          <w:rFonts w:ascii="Times New Roman" w:hAnsi="Times New Roman" w:cs="Times New Roman"/>
          <w:b/>
          <w:bCs/>
          <w:sz w:val="24"/>
          <w:szCs w:val="24"/>
        </w:rPr>
        <w:t xml:space="preserve">Quality Connection in Health Care: </w:t>
      </w:r>
      <w:r w:rsidRPr="005C301D">
        <w:rPr>
          <w:rFonts w:ascii="Times New Roman" w:hAnsi="Times New Roman" w:cs="Times New Roman"/>
          <w:b/>
          <w:bCs/>
          <w:sz w:val="24"/>
          <w:szCs w:val="24"/>
        </w:rPr>
        <w:t xml:space="preserve">Integrating </w:t>
      </w:r>
      <w:r w:rsidR="00061E6E" w:rsidRPr="005C301D">
        <w:rPr>
          <w:rFonts w:ascii="Times New Roman" w:hAnsi="Times New Roman" w:cs="Times New Roman"/>
          <w:b/>
          <w:bCs/>
          <w:sz w:val="24"/>
          <w:szCs w:val="24"/>
        </w:rPr>
        <w:t>Patient Satisfaction and Risk Management”</w:t>
      </w:r>
      <w:r w:rsidRPr="005C301D">
        <w:rPr>
          <w:rFonts w:ascii="Times New Roman" w:hAnsi="Times New Roman" w:cs="Times New Roman"/>
          <w:bCs/>
          <w:sz w:val="24"/>
          <w:szCs w:val="24"/>
        </w:rPr>
        <w:t>, Jossey-Bass Publishers (San Francisco) 1st edition</w:t>
      </w:r>
      <w:r w:rsidR="00465AA8">
        <w:rPr>
          <w:rFonts w:ascii="Times New Roman" w:hAnsi="Times New Roman" w:cs="Times New Roman"/>
          <w:bCs/>
          <w:sz w:val="24"/>
          <w:szCs w:val="24"/>
        </w:rPr>
        <w:t>.</w:t>
      </w:r>
    </w:p>
    <w:p w:rsidR="00465AA8" w:rsidRPr="00465AA8" w:rsidRDefault="00465AA8" w:rsidP="00465AA8">
      <w:pPr>
        <w:pStyle w:val="ListeParagraf"/>
        <w:rPr>
          <w:rFonts w:ascii="Times New Roman" w:hAnsi="Times New Roman" w:cs="Times New Roman"/>
          <w:bCs/>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Department of Health</w:t>
      </w:r>
      <w:r w:rsidR="00D12A44">
        <w:rPr>
          <w:rFonts w:ascii="Times New Roman" w:hAnsi="Times New Roman" w:cs="Times New Roman"/>
          <w:sz w:val="24"/>
          <w:szCs w:val="24"/>
        </w:rPr>
        <w:t>,</w:t>
      </w:r>
      <w:r w:rsidRPr="005C301D">
        <w:rPr>
          <w:rFonts w:ascii="Times New Roman" w:hAnsi="Times New Roman" w:cs="Times New Roman"/>
          <w:sz w:val="24"/>
          <w:szCs w:val="24"/>
        </w:rPr>
        <w:t xml:space="preserve"> (1997), </w:t>
      </w:r>
      <w:r w:rsidR="00061E6E" w:rsidRPr="005C301D">
        <w:rPr>
          <w:rFonts w:ascii="Times New Roman" w:hAnsi="Times New Roman" w:cs="Times New Roman"/>
          <w:b/>
          <w:sz w:val="24"/>
          <w:szCs w:val="24"/>
        </w:rPr>
        <w:t>“</w:t>
      </w:r>
      <w:r w:rsidRPr="005C301D">
        <w:rPr>
          <w:rFonts w:ascii="Times New Roman" w:hAnsi="Times New Roman" w:cs="Times New Roman"/>
          <w:b/>
          <w:sz w:val="24"/>
          <w:szCs w:val="24"/>
        </w:rPr>
        <w:t xml:space="preserve">A </w:t>
      </w:r>
      <w:r w:rsidR="00061E6E" w:rsidRPr="005C301D">
        <w:rPr>
          <w:rFonts w:ascii="Times New Roman" w:hAnsi="Times New Roman" w:cs="Times New Roman"/>
          <w:b/>
          <w:sz w:val="24"/>
          <w:szCs w:val="24"/>
        </w:rPr>
        <w:t>First Class Service – Quality in The New</w:t>
      </w:r>
      <w:r w:rsidRPr="005C301D">
        <w:rPr>
          <w:rFonts w:ascii="Times New Roman" w:hAnsi="Times New Roman" w:cs="Times New Roman"/>
          <w:b/>
          <w:sz w:val="24"/>
          <w:szCs w:val="24"/>
        </w:rPr>
        <w:t xml:space="preserve"> NHS</w:t>
      </w:r>
      <w:r w:rsidR="00061E6E" w:rsidRPr="005C301D">
        <w:rPr>
          <w:rFonts w:ascii="Times New Roman" w:hAnsi="Times New Roman" w:cs="Times New Roman"/>
          <w:b/>
          <w:sz w:val="24"/>
          <w:szCs w:val="24"/>
        </w:rPr>
        <w:t>”</w:t>
      </w:r>
      <w:r w:rsidR="00061E6E" w:rsidRPr="005C301D">
        <w:rPr>
          <w:rFonts w:ascii="Times New Roman" w:hAnsi="Times New Roman" w:cs="Times New Roman"/>
          <w:sz w:val="24"/>
          <w:szCs w:val="24"/>
        </w:rPr>
        <w:t xml:space="preserve">, </w:t>
      </w:r>
      <w:r w:rsidRPr="005C301D">
        <w:rPr>
          <w:rFonts w:ascii="Times New Roman" w:hAnsi="Times New Roman" w:cs="Times New Roman"/>
          <w:sz w:val="24"/>
          <w:szCs w:val="24"/>
        </w:rPr>
        <w:t>London, Department of Health.</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DONABEDİAN, A</w:t>
      </w:r>
      <w:r w:rsidR="00465AA8">
        <w:rPr>
          <w:rFonts w:ascii="Times New Roman" w:hAnsi="Times New Roman" w:cs="Times New Roman"/>
          <w:sz w:val="24"/>
          <w:szCs w:val="24"/>
        </w:rPr>
        <w:t>.,</w:t>
      </w:r>
      <w:r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1988),  </w:t>
      </w:r>
      <w:r w:rsidR="00061E6E"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The </w:t>
      </w:r>
      <w:r w:rsidR="00061E6E" w:rsidRPr="005C301D">
        <w:rPr>
          <w:rFonts w:ascii="Times New Roman" w:hAnsi="Times New Roman" w:cs="Times New Roman"/>
          <w:b/>
          <w:sz w:val="24"/>
          <w:szCs w:val="24"/>
        </w:rPr>
        <w:t xml:space="preserve">Quality of Care: </w:t>
      </w:r>
      <w:r w:rsidR="00563F02" w:rsidRPr="005C301D">
        <w:rPr>
          <w:rFonts w:ascii="Times New Roman" w:hAnsi="Times New Roman" w:cs="Times New Roman"/>
          <w:b/>
          <w:sz w:val="24"/>
          <w:szCs w:val="24"/>
        </w:rPr>
        <w:t xml:space="preserve">How </w:t>
      </w:r>
      <w:r w:rsidR="00061E6E" w:rsidRPr="005C301D">
        <w:rPr>
          <w:rFonts w:ascii="Times New Roman" w:hAnsi="Times New Roman" w:cs="Times New Roman"/>
          <w:b/>
          <w:sz w:val="24"/>
          <w:szCs w:val="24"/>
        </w:rPr>
        <w:t>Can It Be Assessed?</w:t>
      </w:r>
      <w:r w:rsidR="00061E6E"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Journal of the American Medical Association, 260:1743–1748.</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DONEDEBİAN, A.</w:t>
      </w:r>
      <w:r w:rsidR="00465AA8">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(1980), </w:t>
      </w:r>
      <w:r w:rsidR="00061E6E"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Explorations in Quality Assessment and Monitoring, 1, </w:t>
      </w:r>
      <w:r w:rsidR="00563F02" w:rsidRPr="005C301D">
        <w:rPr>
          <w:rFonts w:ascii="Times New Roman" w:hAnsi="Times New Roman" w:cs="Times New Roman"/>
          <w:b/>
          <w:iCs/>
          <w:sz w:val="24"/>
          <w:szCs w:val="24"/>
        </w:rPr>
        <w:t>The Definitions of Quality and Approaches to Its Assessment</w:t>
      </w:r>
      <w:r w:rsidR="000550BA" w:rsidRPr="005C301D">
        <w:rPr>
          <w:rFonts w:ascii="Times New Roman" w:hAnsi="Times New Roman" w:cs="Times New Roman"/>
          <w:b/>
          <w:iCs/>
          <w:sz w:val="24"/>
          <w:szCs w:val="24"/>
        </w:rPr>
        <w:t>”</w:t>
      </w:r>
      <w:r w:rsidR="00563F02" w:rsidRPr="005C301D">
        <w:rPr>
          <w:rFonts w:ascii="Times New Roman" w:hAnsi="Times New Roman" w:cs="Times New Roman"/>
          <w:sz w:val="24"/>
          <w:szCs w:val="24"/>
        </w:rPr>
        <w:t>, Ann Arbor, MI: Health Administration Press, Michigan</w:t>
      </w:r>
      <w:r w:rsidR="00465AA8">
        <w:rPr>
          <w:rFonts w:ascii="Times New Roman" w:hAnsi="Times New Roman" w:cs="Times New Roman"/>
          <w:sz w:val="24"/>
          <w:szCs w:val="24"/>
        </w:rPr>
        <w:t>.</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ETTİNGER, W.H.</w:t>
      </w:r>
      <w:r w:rsidR="00465AA8">
        <w:rPr>
          <w:rFonts w:ascii="Times New Roman" w:hAnsi="Times New Roman" w:cs="Times New Roman"/>
          <w:sz w:val="24"/>
          <w:szCs w:val="24"/>
        </w:rPr>
        <w:t>,</w:t>
      </w:r>
      <w:r w:rsidR="00563F02" w:rsidRPr="005C301D">
        <w:rPr>
          <w:rFonts w:ascii="Times New Roman" w:hAnsi="Times New Roman" w:cs="Times New Roman"/>
          <w:sz w:val="24"/>
          <w:szCs w:val="24"/>
        </w:rPr>
        <w:t xml:space="preserve"> (1998),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Consumer-Perceived Value: The Key to a Successful Business Strategy in the Healthcare Marketplace</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 </w:t>
      </w:r>
      <w:r w:rsidR="00563F02" w:rsidRPr="005C301D">
        <w:rPr>
          <w:rFonts w:ascii="Times New Roman" w:hAnsi="Times New Roman" w:cs="Times New Roman"/>
          <w:sz w:val="24"/>
          <w:szCs w:val="24"/>
        </w:rPr>
        <w:t>Journal of the American Geriatrics Society, 46 (1), pp. 111–113.</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EVANS, D.</w:t>
      </w:r>
      <w:r w:rsidR="002865E6">
        <w:rPr>
          <w:rFonts w:ascii="Times New Roman" w:hAnsi="Times New Roman" w:cs="Times New Roman"/>
          <w:sz w:val="24"/>
          <w:szCs w:val="24"/>
        </w:rPr>
        <w:t>,</w:t>
      </w:r>
      <w:r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2001),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Measuring </w:t>
      </w:r>
      <w:r w:rsidR="000550BA" w:rsidRPr="005C301D">
        <w:rPr>
          <w:rFonts w:ascii="Times New Roman" w:hAnsi="Times New Roman" w:cs="Times New Roman"/>
          <w:b/>
          <w:sz w:val="24"/>
          <w:szCs w:val="24"/>
        </w:rPr>
        <w:t>Quality: From The System To The Provider”</w:t>
      </w:r>
      <w:r w:rsidR="000550BA" w:rsidRPr="005C301D">
        <w:rPr>
          <w:rFonts w:ascii="Times New Roman" w:hAnsi="Times New Roman" w:cs="Times New Roman"/>
          <w:sz w:val="24"/>
          <w:szCs w:val="24"/>
        </w:rPr>
        <w:t>,</w:t>
      </w:r>
      <w:r w:rsidR="00563F02" w:rsidRPr="005C301D">
        <w:rPr>
          <w:rFonts w:ascii="Times New Roman" w:hAnsi="Times New Roman" w:cs="Times New Roman"/>
          <w:sz w:val="24"/>
          <w:szCs w:val="24"/>
        </w:rPr>
        <w:t xml:space="preserve"> International Journal for Quality Health Care, 13(6):439–446.</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FROST, F.</w:t>
      </w:r>
      <w:r w:rsidR="00580AB9">
        <w:rPr>
          <w:rFonts w:ascii="Times New Roman" w:hAnsi="Times New Roman" w:cs="Times New Roman"/>
          <w:sz w:val="24"/>
          <w:szCs w:val="24"/>
        </w:rPr>
        <w:t xml:space="preserve"> and</w:t>
      </w:r>
      <w:r w:rsidRPr="005C301D">
        <w:rPr>
          <w:rFonts w:ascii="Times New Roman" w:hAnsi="Times New Roman" w:cs="Times New Roman"/>
          <w:sz w:val="24"/>
          <w:szCs w:val="24"/>
        </w:rPr>
        <w:t xml:space="preserve"> KUMAR, M., </w:t>
      </w:r>
      <w:r w:rsidR="00563F02" w:rsidRPr="005C301D">
        <w:rPr>
          <w:rFonts w:ascii="Times New Roman" w:hAnsi="Times New Roman" w:cs="Times New Roman"/>
          <w:sz w:val="24"/>
          <w:szCs w:val="24"/>
        </w:rPr>
        <w:t xml:space="preserve">(2000),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INTSERVQUAL-An Internal Adaptation of The Gap Model ın A Large Service Organization</w:t>
      </w:r>
      <w:r w:rsidR="000550BA" w:rsidRPr="005C301D">
        <w:rPr>
          <w:rFonts w:ascii="Times New Roman" w:hAnsi="Times New Roman" w:cs="Times New Roman"/>
          <w:b/>
          <w:sz w:val="24"/>
          <w:szCs w:val="24"/>
        </w:rPr>
        <w:t>”</w:t>
      </w:r>
      <w:r w:rsidR="00563F02" w:rsidRPr="005C301D">
        <w:rPr>
          <w:rFonts w:ascii="Times New Roman" w:hAnsi="Times New Roman" w:cs="Times New Roman"/>
          <w:sz w:val="24"/>
          <w:szCs w:val="24"/>
        </w:rPr>
        <w:t>, Journal of Services Marketing, 14/5, s.358-377.</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GRAHAM, N</w:t>
      </w:r>
      <w:r w:rsidR="00CD3A2F" w:rsidRPr="005C301D">
        <w:rPr>
          <w:rFonts w:ascii="Times New Roman" w:hAnsi="Times New Roman" w:cs="Times New Roman"/>
          <w:sz w:val="24"/>
          <w:szCs w:val="24"/>
        </w:rPr>
        <w:t>ancy</w:t>
      </w:r>
      <w:r w:rsidRPr="005C301D">
        <w:rPr>
          <w:rFonts w:ascii="Times New Roman" w:hAnsi="Times New Roman" w:cs="Times New Roman"/>
          <w:sz w:val="24"/>
          <w:szCs w:val="24"/>
        </w:rPr>
        <w:t xml:space="preserve"> O</w:t>
      </w:r>
      <w:r w:rsidR="00563F02" w:rsidRPr="005C301D">
        <w:rPr>
          <w:rFonts w:ascii="Times New Roman" w:hAnsi="Times New Roman" w:cs="Times New Roman"/>
          <w:sz w:val="24"/>
          <w:szCs w:val="24"/>
        </w:rPr>
        <w:t>.</w:t>
      </w:r>
      <w:r w:rsidR="002865E6">
        <w:rPr>
          <w:rFonts w:ascii="Times New Roman" w:hAnsi="Times New Roman" w:cs="Times New Roman"/>
          <w:sz w:val="24"/>
          <w:szCs w:val="24"/>
        </w:rPr>
        <w:t>,</w:t>
      </w:r>
      <w:r w:rsidR="00563F02" w:rsidRPr="005C301D">
        <w:rPr>
          <w:rFonts w:ascii="Times New Roman" w:hAnsi="Times New Roman" w:cs="Times New Roman"/>
          <w:sz w:val="24"/>
          <w:szCs w:val="24"/>
        </w:rPr>
        <w:t xml:space="preserve"> (1995),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Quality in Health Care Theory: Application and Evolution</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465AA8">
        <w:rPr>
          <w:rFonts w:ascii="Times New Roman" w:hAnsi="Times New Roman" w:cs="Times New Roman"/>
          <w:sz w:val="24"/>
          <w:szCs w:val="24"/>
        </w:rPr>
        <w:t xml:space="preserve"> An Aspen Publication.</w:t>
      </w:r>
    </w:p>
    <w:p w:rsidR="00465AA8" w:rsidRPr="00465AA8" w:rsidRDefault="00465AA8" w:rsidP="00465AA8">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bCs/>
          <w:sz w:val="24"/>
          <w:szCs w:val="24"/>
        </w:rPr>
        <w:t>GRONROOS</w:t>
      </w:r>
      <w:r w:rsidRPr="005C301D">
        <w:rPr>
          <w:rFonts w:ascii="Times New Roman" w:hAnsi="Times New Roman" w:cs="Times New Roman"/>
          <w:sz w:val="24"/>
          <w:szCs w:val="24"/>
        </w:rPr>
        <w:t xml:space="preserve">, C.A. </w:t>
      </w:r>
      <w:r w:rsidR="00563F02" w:rsidRPr="005C301D">
        <w:rPr>
          <w:rFonts w:ascii="Times New Roman" w:hAnsi="Times New Roman" w:cs="Times New Roman"/>
          <w:sz w:val="24"/>
          <w:szCs w:val="24"/>
        </w:rPr>
        <w:t xml:space="preserve">(1984),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Service Quality Model and Its Marketing Implications</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w:t>
      </w:r>
      <w:r w:rsidR="00563F02" w:rsidRPr="005C301D">
        <w:rPr>
          <w:rFonts w:ascii="Times New Roman" w:hAnsi="Times New Roman" w:cs="Times New Roman"/>
          <w:bCs/>
          <w:sz w:val="24"/>
          <w:szCs w:val="24"/>
        </w:rPr>
        <w:t>European Journal of Marketing</w:t>
      </w:r>
      <w:r w:rsidR="00563F02" w:rsidRPr="005C301D">
        <w:rPr>
          <w:rFonts w:ascii="Times New Roman" w:hAnsi="Times New Roman" w:cs="Times New Roman"/>
          <w:sz w:val="24"/>
          <w:szCs w:val="24"/>
        </w:rPr>
        <w:t>, Vol:</w:t>
      </w:r>
      <w:r w:rsidR="00465AA8">
        <w:rPr>
          <w:rFonts w:ascii="Times New Roman" w:hAnsi="Times New Roman" w:cs="Times New Roman"/>
          <w:sz w:val="24"/>
          <w:szCs w:val="24"/>
        </w:rPr>
        <w:t xml:space="preserve"> </w:t>
      </w:r>
      <w:r w:rsidR="00563F02" w:rsidRPr="005C301D">
        <w:rPr>
          <w:rFonts w:ascii="Times New Roman" w:hAnsi="Times New Roman" w:cs="Times New Roman"/>
          <w:sz w:val="24"/>
          <w:szCs w:val="24"/>
        </w:rPr>
        <w:t>18, No:</w:t>
      </w:r>
      <w:r w:rsidR="00465AA8">
        <w:rPr>
          <w:rFonts w:ascii="Times New Roman" w:hAnsi="Times New Roman" w:cs="Times New Roman"/>
          <w:sz w:val="24"/>
          <w:szCs w:val="24"/>
        </w:rPr>
        <w:t xml:space="preserve"> </w:t>
      </w:r>
      <w:r w:rsidR="00563F02" w:rsidRPr="005C301D">
        <w:rPr>
          <w:rFonts w:ascii="Times New Roman" w:hAnsi="Times New Roman" w:cs="Times New Roman"/>
          <w:sz w:val="24"/>
          <w:szCs w:val="24"/>
        </w:rPr>
        <w:t>4, s.</w:t>
      </w:r>
      <w:r w:rsidR="00465AA8">
        <w:rPr>
          <w:rFonts w:ascii="Times New Roman" w:hAnsi="Times New Roman" w:cs="Times New Roman"/>
          <w:sz w:val="24"/>
          <w:szCs w:val="24"/>
        </w:rPr>
        <w:t xml:space="preserve"> </w:t>
      </w:r>
      <w:r w:rsidR="00563F02" w:rsidRPr="005C301D">
        <w:rPr>
          <w:rFonts w:ascii="Times New Roman" w:hAnsi="Times New Roman" w:cs="Times New Roman"/>
          <w:sz w:val="24"/>
          <w:szCs w:val="24"/>
        </w:rPr>
        <w:t>36-44.</w:t>
      </w:r>
    </w:p>
    <w:p w:rsidR="00465AA8" w:rsidRPr="00465AA8" w:rsidRDefault="00465AA8" w:rsidP="00465AA8">
      <w:pPr>
        <w:pStyle w:val="ListeParagraf"/>
        <w:rPr>
          <w:rFonts w:ascii="Times New 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 xml:space="preserve">IOM, (1990), </w:t>
      </w:r>
      <w:r w:rsidR="000550BA" w:rsidRPr="005C301D">
        <w:rPr>
          <w:rFonts w:ascii="Times New Roman" w:hAnsi="Times New Roman" w:cs="Times New Roman"/>
          <w:b/>
          <w:sz w:val="24"/>
          <w:szCs w:val="24"/>
        </w:rPr>
        <w:t>“</w:t>
      </w:r>
      <w:r w:rsidRPr="005C301D">
        <w:rPr>
          <w:rFonts w:ascii="Times New Roman" w:hAnsi="Times New Roman" w:cs="Times New Roman"/>
          <w:b/>
          <w:sz w:val="24"/>
          <w:szCs w:val="24"/>
        </w:rPr>
        <w:t>Medicare</w:t>
      </w:r>
      <w:r w:rsidR="000550BA" w:rsidRPr="005C301D">
        <w:rPr>
          <w:rFonts w:ascii="Times New Roman" w:hAnsi="Times New Roman" w:cs="Times New Roman"/>
          <w:b/>
          <w:sz w:val="24"/>
          <w:szCs w:val="24"/>
        </w:rPr>
        <w:t xml:space="preserve">: </w:t>
      </w:r>
      <w:r w:rsidRPr="005C301D">
        <w:rPr>
          <w:rFonts w:ascii="Times New Roman" w:hAnsi="Times New Roman" w:cs="Times New Roman"/>
          <w:b/>
          <w:sz w:val="24"/>
          <w:szCs w:val="24"/>
        </w:rPr>
        <w:t xml:space="preserve">A </w:t>
      </w:r>
      <w:r w:rsidR="000550BA" w:rsidRPr="005C301D">
        <w:rPr>
          <w:rFonts w:ascii="Times New Roman" w:hAnsi="Times New Roman" w:cs="Times New Roman"/>
          <w:b/>
          <w:sz w:val="24"/>
          <w:szCs w:val="24"/>
        </w:rPr>
        <w:t>Strategy for Quality Assurance”</w:t>
      </w:r>
      <w:r w:rsidRPr="005C301D">
        <w:rPr>
          <w:rFonts w:ascii="Times New Roman" w:hAnsi="Times New Roman" w:cs="Times New Roman"/>
          <w:b/>
          <w:sz w:val="24"/>
          <w:szCs w:val="24"/>
        </w:rPr>
        <w:t>,</w:t>
      </w:r>
      <w:r w:rsidRPr="005C301D">
        <w:rPr>
          <w:rFonts w:ascii="Times New Roman" w:hAnsi="Times New Roman" w:cs="Times New Roman"/>
          <w:sz w:val="24"/>
          <w:szCs w:val="24"/>
        </w:rPr>
        <w:t xml:space="preserve"> Vol.1. Washington, DC, National Academy Press.</w:t>
      </w:r>
    </w:p>
    <w:p w:rsidR="00465AA8" w:rsidRPr="00465AA8" w:rsidRDefault="00465AA8" w:rsidP="00465AA8">
      <w:pPr>
        <w:pStyle w:val="ListeParagraf"/>
        <w:rPr>
          <w:rFonts w:ascii="Times New Roman" w:hAnsi="Times New Roman" w:cs="Times New Roman"/>
          <w:sz w:val="24"/>
          <w:szCs w:val="24"/>
        </w:rPr>
      </w:pPr>
    </w:p>
    <w:p w:rsidR="00563F02" w:rsidRDefault="00563F02"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JCAHO</w:t>
      </w:r>
      <w:r w:rsidR="00465AA8">
        <w:rPr>
          <w:rFonts w:ascii="Times New Roman" w:hAnsi="Times New Roman" w:cs="Times New Roman"/>
          <w:sz w:val="24"/>
          <w:szCs w:val="24"/>
        </w:rPr>
        <w:t xml:space="preserve">, </w:t>
      </w:r>
      <w:r w:rsidRPr="005C301D">
        <w:rPr>
          <w:rFonts w:ascii="Times New Roman" w:hAnsi="Times New Roman" w:cs="Times New Roman"/>
          <w:sz w:val="24"/>
          <w:szCs w:val="24"/>
        </w:rPr>
        <w:t>(2006)</w:t>
      </w:r>
      <w:r w:rsidR="00802E53">
        <w:rPr>
          <w:rFonts w:ascii="Times New Roman" w:hAnsi="Times New Roman" w:cs="Times New Roman"/>
          <w:sz w:val="24"/>
          <w:szCs w:val="24"/>
        </w:rPr>
        <w:t>,</w:t>
      </w:r>
      <w:r w:rsidRPr="005C301D">
        <w:rPr>
          <w:rFonts w:ascii="Times New Roman" w:hAnsi="Times New Roman" w:cs="Times New Roman"/>
          <w:sz w:val="24"/>
          <w:szCs w:val="24"/>
        </w:rPr>
        <w:t xml:space="preserve"> Oakbrook Terrace, IL, The Joint Commission http://www.jcaho.org (</w:t>
      </w:r>
      <w:r w:rsidR="00465AA8">
        <w:rPr>
          <w:rFonts w:ascii="Times New Roman" w:hAnsi="Times New Roman" w:cs="Times New Roman"/>
          <w:sz w:val="24"/>
          <w:szCs w:val="24"/>
        </w:rPr>
        <w:t xml:space="preserve">Erişim Tarihi: </w:t>
      </w:r>
      <w:r w:rsidRPr="005C301D">
        <w:rPr>
          <w:rFonts w:ascii="Times New Roman" w:hAnsi="Times New Roman" w:cs="Times New Roman"/>
          <w:sz w:val="24"/>
          <w:szCs w:val="24"/>
        </w:rPr>
        <w:t>12.11.2012)</w:t>
      </w:r>
      <w:r w:rsidR="00465AA8">
        <w:rPr>
          <w:rFonts w:ascii="Times New Roman" w:hAnsi="Times New Roman" w:cs="Times New Roman"/>
          <w:sz w:val="24"/>
          <w:szCs w:val="24"/>
        </w:rPr>
        <w:t>.</w:t>
      </w:r>
    </w:p>
    <w:p w:rsidR="00465AA8" w:rsidRPr="00465AA8" w:rsidRDefault="00465AA8" w:rsidP="00465AA8">
      <w:pPr>
        <w:pStyle w:val="ListeParagraf"/>
        <w:rPr>
          <w:rFonts w:ascii="Times New Roman" w:hAnsi="Times New Roman" w:cs="Times New Roman"/>
          <w:sz w:val="24"/>
          <w:szCs w:val="24"/>
        </w:rPr>
      </w:pPr>
    </w:p>
    <w:p w:rsidR="00681D9F"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KAVUNCUBAŞI, Ş.</w:t>
      </w:r>
      <w:r w:rsidR="00465AA8">
        <w:rPr>
          <w:rFonts w:ascii="Times New Roman" w:hAnsi="Times New Roman" w:cs="Times New Roman"/>
          <w:sz w:val="24"/>
          <w:szCs w:val="24"/>
        </w:rPr>
        <w:t>,</w:t>
      </w:r>
      <w:r w:rsidRPr="005C301D">
        <w:rPr>
          <w:rFonts w:ascii="Times New Roman" w:hAnsi="Times New Roman" w:cs="Times New Roman"/>
          <w:sz w:val="24"/>
          <w:szCs w:val="24"/>
        </w:rPr>
        <w:t xml:space="preserve"> (2000), </w:t>
      </w:r>
      <w:r w:rsidR="000550BA" w:rsidRPr="005C301D">
        <w:rPr>
          <w:rFonts w:ascii="Times New Roman" w:hAnsi="Times New Roman" w:cs="Times New Roman"/>
          <w:b/>
          <w:sz w:val="24"/>
          <w:szCs w:val="24"/>
        </w:rPr>
        <w:t>“</w:t>
      </w:r>
      <w:r w:rsidRPr="005C301D">
        <w:rPr>
          <w:rFonts w:ascii="Times New Roman" w:hAnsi="Times New Roman" w:cs="Times New Roman"/>
          <w:b/>
          <w:sz w:val="24"/>
          <w:szCs w:val="24"/>
        </w:rPr>
        <w:t>Hastane ve Sağlık Kurumları Yönetimi</w:t>
      </w:r>
      <w:r w:rsidR="000550BA" w:rsidRPr="005C301D">
        <w:rPr>
          <w:rFonts w:ascii="Times New Roman" w:hAnsi="Times New Roman" w:cs="Times New Roman"/>
          <w:b/>
          <w:sz w:val="24"/>
          <w:szCs w:val="24"/>
        </w:rPr>
        <w:t>”</w:t>
      </w:r>
      <w:r w:rsidRPr="005C301D">
        <w:rPr>
          <w:rFonts w:ascii="Times New Roman" w:hAnsi="Times New Roman" w:cs="Times New Roman"/>
          <w:sz w:val="24"/>
          <w:szCs w:val="24"/>
        </w:rPr>
        <w:t>, Ankara:</w:t>
      </w:r>
      <w:r w:rsidR="00580AB9">
        <w:rPr>
          <w:rFonts w:ascii="Times New Roman" w:hAnsi="Times New Roman" w:cs="Times New Roman"/>
          <w:sz w:val="24"/>
          <w:szCs w:val="24"/>
        </w:rPr>
        <w:t xml:space="preserve"> </w:t>
      </w:r>
      <w:r w:rsidRPr="005C301D">
        <w:rPr>
          <w:rFonts w:ascii="Times New Roman" w:hAnsi="Times New Roman" w:cs="Times New Roman"/>
          <w:sz w:val="24"/>
          <w:szCs w:val="24"/>
        </w:rPr>
        <w:t>Siyasal Kitabevi, 2000, s.</w:t>
      </w:r>
      <w:r w:rsidR="00465AA8">
        <w:rPr>
          <w:rFonts w:ascii="Times New Roman" w:hAnsi="Times New Roman" w:cs="Times New Roman"/>
          <w:sz w:val="24"/>
          <w:szCs w:val="24"/>
        </w:rPr>
        <w:t xml:space="preserve"> </w:t>
      </w:r>
      <w:r w:rsidRPr="005C301D">
        <w:rPr>
          <w:rFonts w:ascii="Times New Roman" w:hAnsi="Times New Roman" w:cs="Times New Roman"/>
          <w:sz w:val="24"/>
          <w:szCs w:val="24"/>
        </w:rPr>
        <w:t>271.</w:t>
      </w:r>
    </w:p>
    <w:p w:rsidR="00465AA8" w:rsidRPr="00465AA8" w:rsidRDefault="00465AA8" w:rsidP="00465AA8">
      <w:pPr>
        <w:pStyle w:val="ListeParagraf"/>
        <w:rPr>
          <w:rFonts w:ascii="Times New Roman" w:hAnsi="Times New Roman" w:cs="Times New Roman"/>
          <w:sz w:val="24"/>
          <w:szCs w:val="24"/>
        </w:rPr>
      </w:pPr>
    </w:p>
    <w:p w:rsidR="00563F02" w:rsidRPr="005C301D"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KAVUNCUBAŞI, Ş.</w:t>
      </w:r>
      <w:r w:rsidR="00465AA8">
        <w:rPr>
          <w:rFonts w:ascii="Times New Roman" w:hAnsi="Times New Roman" w:cs="Times New Roman"/>
          <w:sz w:val="24"/>
          <w:szCs w:val="24"/>
        </w:rPr>
        <w:t>,</w:t>
      </w:r>
      <w:r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(2007),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Sağlık Kurumları Yönetimi</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A.Ü. Yayınları</w:t>
      </w:r>
      <w:r w:rsidR="005C301D" w:rsidRPr="005C301D">
        <w:rPr>
          <w:rFonts w:ascii="Times New Roman" w:hAnsi="Times New Roman" w:cs="Times New Roman"/>
          <w:sz w:val="24"/>
          <w:szCs w:val="24"/>
        </w:rPr>
        <w:t>.</w:t>
      </w:r>
      <w:r w:rsidR="00563F02" w:rsidRPr="005C301D">
        <w:rPr>
          <w:rFonts w:ascii="Times New Roman" w:hAnsi="Times New Roman" w:cs="Times New Roman"/>
          <w:sz w:val="24"/>
          <w:szCs w:val="24"/>
        </w:rPr>
        <w:t xml:space="preserve"> </w:t>
      </w: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lastRenderedPageBreak/>
        <w:t>KAYA, S.</w:t>
      </w:r>
      <w:r w:rsidR="0032000F">
        <w:rPr>
          <w:rFonts w:ascii="Times New Roman" w:hAnsi="Times New Roman" w:cs="Times New Roman"/>
          <w:sz w:val="24"/>
          <w:szCs w:val="24"/>
        </w:rPr>
        <w:t>,</w:t>
      </w:r>
      <w:r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(2005),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Sağlık Hizmetlerinde Sürekli Kalite Geliştirme</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Ankara, Pelikan Yayınları</w:t>
      </w:r>
      <w:r w:rsidR="00CD34CD">
        <w:rPr>
          <w:rFonts w:ascii="Times New Roman" w:hAnsi="Times New Roman" w:cs="Times New Roman"/>
          <w:sz w:val="24"/>
          <w:szCs w:val="24"/>
        </w:rPr>
        <w:t>.</w:t>
      </w:r>
    </w:p>
    <w:p w:rsidR="00CD34CD" w:rsidRPr="005C301D" w:rsidRDefault="00CD34CD" w:rsidP="00CD34CD">
      <w:pPr>
        <w:pStyle w:val="ListeParagraf"/>
        <w:autoSpaceDE w:val="0"/>
        <w:autoSpaceDN w:val="0"/>
        <w:adjustRightInd w:val="0"/>
        <w:spacing w:beforeLines="120" w:before="288" w:afterLines="120" w:after="288" w:line="240" w:lineRule="auto"/>
        <w:jc w:val="both"/>
        <w:rPr>
          <w:rFonts w:ascii="Times New Roman" w:hAnsi="Times New Roman" w:cs="Times New Roman"/>
          <w:sz w:val="24"/>
          <w:szCs w:val="24"/>
        </w:rPr>
      </w:pPr>
    </w:p>
    <w:p w:rsidR="00563F02" w:rsidRDefault="00CD3A2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LEGIDO and QUI</w:t>
      </w:r>
      <w:r w:rsidR="00580AB9">
        <w:rPr>
          <w:rFonts w:ascii="Times New Roman" w:hAnsi="Times New Roman" w:cs="Times New Roman"/>
          <w:sz w:val="24"/>
          <w:szCs w:val="24"/>
        </w:rPr>
        <w:t xml:space="preserve">GLEY H., MCKEE M., WALSHE K.,  SUNOL R., </w:t>
      </w:r>
      <w:r w:rsidR="00681D9F" w:rsidRPr="005C301D">
        <w:rPr>
          <w:rFonts w:ascii="Times New Roman" w:hAnsi="Times New Roman" w:cs="Times New Roman"/>
          <w:sz w:val="24"/>
          <w:szCs w:val="24"/>
        </w:rPr>
        <w:t xml:space="preserve"> NOLTE E.</w:t>
      </w:r>
      <w:r w:rsidR="00580AB9">
        <w:rPr>
          <w:rFonts w:ascii="Times New Roman" w:hAnsi="Times New Roman" w:cs="Times New Roman"/>
          <w:sz w:val="24"/>
          <w:szCs w:val="24"/>
        </w:rPr>
        <w:t>,</w:t>
      </w:r>
      <w:r w:rsidR="00681D9F" w:rsidRPr="005C301D">
        <w:rPr>
          <w:rFonts w:ascii="Times New Roman" w:hAnsi="Times New Roman" w:cs="Times New Roman"/>
          <w:sz w:val="24"/>
          <w:szCs w:val="24"/>
        </w:rPr>
        <w:t xml:space="preserve"> KLAZ</w:t>
      </w:r>
      <w:r>
        <w:rPr>
          <w:rFonts w:ascii="Times New Roman" w:hAnsi="Times New Roman" w:cs="Times New Roman"/>
          <w:sz w:val="24"/>
          <w:szCs w:val="24"/>
        </w:rPr>
        <w:t>I</w:t>
      </w:r>
      <w:r w:rsidR="00681D9F" w:rsidRPr="005C301D">
        <w:rPr>
          <w:rFonts w:ascii="Times New Roman" w:hAnsi="Times New Roman" w:cs="Times New Roman"/>
          <w:sz w:val="24"/>
          <w:szCs w:val="24"/>
        </w:rPr>
        <w:t>NGA N</w:t>
      </w:r>
      <w:r w:rsidR="00563F02" w:rsidRPr="005C301D">
        <w:rPr>
          <w:rFonts w:ascii="Times New Roman" w:hAnsi="Times New Roman" w:cs="Times New Roman"/>
          <w:sz w:val="24"/>
          <w:szCs w:val="24"/>
        </w:rPr>
        <w:t xml:space="preserve">, (2008)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How </w:t>
      </w:r>
      <w:r w:rsidR="000550BA" w:rsidRPr="005C301D">
        <w:rPr>
          <w:rFonts w:ascii="Times New Roman" w:hAnsi="Times New Roman" w:cs="Times New Roman"/>
          <w:b/>
          <w:sz w:val="24"/>
          <w:szCs w:val="24"/>
        </w:rPr>
        <w:t xml:space="preserve">Can Quality of Health Care Be Safeguarded Across The </w:t>
      </w:r>
      <w:r w:rsidR="00563F02" w:rsidRPr="005C301D">
        <w:rPr>
          <w:rFonts w:ascii="Times New Roman" w:hAnsi="Times New Roman" w:cs="Times New Roman"/>
          <w:b/>
          <w:sz w:val="24"/>
          <w:szCs w:val="24"/>
        </w:rPr>
        <w:t>European Union?</w:t>
      </w:r>
      <w:r w:rsidR="000550BA"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BMJ, 2008, April 26, 336 (7650) 920-3.</w:t>
      </w:r>
    </w:p>
    <w:p w:rsidR="00CD34CD" w:rsidRPr="00CD34CD" w:rsidRDefault="00CD34CD" w:rsidP="00CD34CD">
      <w:pPr>
        <w:pStyle w:val="ListeParagraf"/>
        <w:rPr>
          <w:rFonts w:ascii="Times New Roman" w:hAnsi="Times New Roman" w:cs="Times New Roman"/>
          <w:sz w:val="24"/>
          <w:szCs w:val="24"/>
        </w:rPr>
      </w:pPr>
    </w:p>
    <w:p w:rsidR="00563F02" w:rsidRDefault="00CD3A2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 xml:space="preserve">LEGİDO and QUIGLEY, GLINOS, I., BAETEN, R.H., </w:t>
      </w:r>
      <w:r w:rsidR="00681D9F" w:rsidRPr="005C301D">
        <w:rPr>
          <w:rFonts w:ascii="Times New Roman" w:hAnsi="Times New Roman" w:cs="Times New Roman"/>
          <w:sz w:val="24"/>
          <w:szCs w:val="24"/>
        </w:rPr>
        <w:t>MCKEE M</w:t>
      </w:r>
      <w:r w:rsidR="00563F02" w:rsidRPr="005C301D">
        <w:rPr>
          <w:rFonts w:ascii="Times New Roman" w:hAnsi="Times New Roman" w:cs="Times New Roman"/>
          <w:sz w:val="24"/>
          <w:szCs w:val="24"/>
        </w:rPr>
        <w:t xml:space="preserve">, (2007).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Patient </w:t>
      </w:r>
      <w:r w:rsidR="000550BA" w:rsidRPr="005C301D">
        <w:rPr>
          <w:rFonts w:ascii="Times New Roman" w:hAnsi="Times New Roman" w:cs="Times New Roman"/>
          <w:b/>
          <w:sz w:val="24"/>
          <w:szCs w:val="24"/>
        </w:rPr>
        <w:t xml:space="preserve">Mobility in The </w:t>
      </w:r>
      <w:r w:rsidR="00563F02" w:rsidRPr="005C301D">
        <w:rPr>
          <w:rFonts w:ascii="Times New Roman" w:hAnsi="Times New Roman" w:cs="Times New Roman"/>
          <w:b/>
          <w:sz w:val="24"/>
          <w:szCs w:val="24"/>
        </w:rPr>
        <w:t>European Union</w:t>
      </w:r>
      <w:r w:rsidR="000550BA"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British Medical Journal, 334:188–190.</w:t>
      </w:r>
    </w:p>
    <w:p w:rsidR="00CD34CD" w:rsidRPr="00CD34CD" w:rsidRDefault="00CD34CD" w:rsidP="00CD34CD">
      <w:pPr>
        <w:pStyle w:val="ListeParagraf"/>
        <w:rPr>
          <w:rFonts w:ascii="Times New Roman" w:hAnsi="Times New Roman" w:cs="Times New Roman"/>
          <w:sz w:val="24"/>
          <w:szCs w:val="24"/>
        </w:rPr>
      </w:pPr>
    </w:p>
    <w:p w:rsidR="00563F02" w:rsidRDefault="009D1ABC"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LEGI</w:t>
      </w:r>
      <w:r w:rsidR="008F3876">
        <w:rPr>
          <w:rFonts w:ascii="Times New Roman" w:hAnsi="Times New Roman" w:cs="Times New Roman"/>
          <w:sz w:val="24"/>
          <w:szCs w:val="24"/>
        </w:rPr>
        <w:t xml:space="preserve">DO and </w:t>
      </w:r>
      <w:r>
        <w:rPr>
          <w:rFonts w:ascii="Times New Roman" w:hAnsi="Times New Roman" w:cs="Times New Roman"/>
          <w:sz w:val="24"/>
          <w:szCs w:val="24"/>
        </w:rPr>
        <w:t>QUI</w:t>
      </w:r>
      <w:r w:rsidR="008F3876">
        <w:rPr>
          <w:rFonts w:ascii="Times New Roman" w:hAnsi="Times New Roman" w:cs="Times New Roman"/>
          <w:sz w:val="24"/>
          <w:szCs w:val="24"/>
        </w:rPr>
        <w:t xml:space="preserve">GLEY, H., </w:t>
      </w:r>
      <w:r w:rsidR="00681D9F" w:rsidRPr="005C301D">
        <w:rPr>
          <w:rFonts w:ascii="Times New Roman" w:hAnsi="Times New Roman" w:cs="Times New Roman"/>
          <w:sz w:val="24"/>
          <w:szCs w:val="24"/>
        </w:rPr>
        <w:t>MCKEE, M</w:t>
      </w:r>
      <w:r w:rsidR="008F3876">
        <w:rPr>
          <w:rFonts w:ascii="Times New Roman" w:hAnsi="Times New Roman" w:cs="Times New Roman"/>
          <w:sz w:val="24"/>
          <w:szCs w:val="24"/>
        </w:rPr>
        <w:t>.,</w:t>
      </w:r>
      <w:r w:rsidR="00681D9F" w:rsidRPr="005C301D">
        <w:rPr>
          <w:rFonts w:ascii="Times New Roman" w:hAnsi="Times New Roman" w:cs="Times New Roman"/>
          <w:sz w:val="24"/>
          <w:szCs w:val="24"/>
        </w:rPr>
        <w:t xml:space="preserve"> (</w:t>
      </w:r>
      <w:r w:rsidR="008F3876">
        <w:rPr>
          <w:rFonts w:ascii="Times New Roman" w:hAnsi="Times New Roman" w:cs="Times New Roman"/>
          <w:sz w:val="24"/>
          <w:szCs w:val="24"/>
        </w:rPr>
        <w:t>2006),</w:t>
      </w:r>
      <w:r w:rsidR="00563F02" w:rsidRPr="005C301D">
        <w:rPr>
          <w:rFonts w:ascii="Times New Roman" w:hAnsi="Times New Roman" w:cs="Times New Roman"/>
          <w:sz w:val="24"/>
          <w:szCs w:val="24"/>
        </w:rPr>
        <w:t xml:space="preserve">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Drivers </w:t>
      </w:r>
      <w:r w:rsidR="000550BA" w:rsidRPr="005C301D">
        <w:rPr>
          <w:rFonts w:ascii="Times New Roman" w:hAnsi="Times New Roman" w:cs="Times New Roman"/>
          <w:b/>
          <w:sz w:val="24"/>
          <w:szCs w:val="24"/>
        </w:rPr>
        <w:t>of Patient and Professional Mobilit”</w:t>
      </w:r>
      <w:r w:rsidR="000550BA"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London School of Hygiene and Tropical Medicine, London</w:t>
      </w:r>
      <w:r w:rsidR="00CD34CD">
        <w:rPr>
          <w:rFonts w:ascii="Times New Roman" w:hAnsi="Times New Roman" w:cs="Times New Roman"/>
          <w:sz w:val="24"/>
          <w:szCs w:val="24"/>
        </w:rPr>
        <w:t>.</w:t>
      </w:r>
    </w:p>
    <w:p w:rsidR="00CD34CD" w:rsidRPr="00CD34CD" w:rsidRDefault="00CD34CD" w:rsidP="00CD34CD">
      <w:pPr>
        <w:pStyle w:val="ListeParagraf"/>
        <w:rPr>
          <w:rFonts w:ascii="Times New Roman" w:hAnsi="Times New Roman" w:cs="Times New Roman"/>
          <w:sz w:val="24"/>
          <w:szCs w:val="24"/>
        </w:rPr>
      </w:pPr>
    </w:p>
    <w:p w:rsidR="00563F02" w:rsidRDefault="008F3876"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LEHTINEN, U.,</w:t>
      </w:r>
      <w:r w:rsidR="00681D9F" w:rsidRPr="005C301D">
        <w:rPr>
          <w:rFonts w:ascii="Times New Roman" w:hAnsi="Times New Roman" w:cs="Times New Roman"/>
          <w:sz w:val="24"/>
          <w:szCs w:val="24"/>
        </w:rPr>
        <w:t xml:space="preserve">  LEHTINEN, J. R</w:t>
      </w:r>
      <w:r w:rsidR="00563F02" w:rsidRPr="005C301D">
        <w:rPr>
          <w:rFonts w:ascii="Times New Roman" w:hAnsi="Times New Roman" w:cs="Times New Roman"/>
          <w:sz w:val="24"/>
          <w:szCs w:val="24"/>
        </w:rPr>
        <w:t>.</w:t>
      </w:r>
      <w:r>
        <w:rPr>
          <w:rFonts w:ascii="Times New Roman" w:hAnsi="Times New Roman" w:cs="Times New Roman"/>
          <w:sz w:val="24"/>
          <w:szCs w:val="24"/>
        </w:rPr>
        <w:t>,</w:t>
      </w:r>
      <w:r w:rsidR="00563F02" w:rsidRPr="005C301D">
        <w:rPr>
          <w:rFonts w:ascii="Times New Roman" w:hAnsi="Times New Roman" w:cs="Times New Roman"/>
          <w:sz w:val="24"/>
          <w:szCs w:val="24"/>
        </w:rPr>
        <w:t xml:space="preserve"> (1991),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Two Approaches to Service Quality Dimensions</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w:t>
      </w:r>
      <w:r w:rsidR="00563F02" w:rsidRPr="005C301D">
        <w:rPr>
          <w:rFonts w:ascii="Times New Roman" w:hAnsi="Times New Roman" w:cs="Times New Roman"/>
          <w:iCs/>
          <w:sz w:val="24"/>
          <w:szCs w:val="24"/>
        </w:rPr>
        <w:t xml:space="preserve">The Service Industries Journal, </w:t>
      </w:r>
      <w:r w:rsidR="00563F02" w:rsidRPr="005C301D">
        <w:rPr>
          <w:rFonts w:ascii="Times New Roman" w:hAnsi="Times New Roman" w:cs="Times New Roman"/>
          <w:sz w:val="24"/>
          <w:szCs w:val="24"/>
        </w:rPr>
        <w:t>11 (3),  s.</w:t>
      </w:r>
      <w:r w:rsidR="0044274F">
        <w:rPr>
          <w:rFonts w:ascii="Times New Roman" w:hAnsi="Times New Roman" w:cs="Times New Roman"/>
          <w:sz w:val="24"/>
          <w:szCs w:val="24"/>
        </w:rPr>
        <w:t xml:space="preserve"> </w:t>
      </w:r>
      <w:r w:rsidR="00563F02" w:rsidRPr="005C301D">
        <w:rPr>
          <w:rFonts w:ascii="Times New Roman" w:hAnsi="Times New Roman" w:cs="Times New Roman"/>
          <w:sz w:val="24"/>
          <w:szCs w:val="24"/>
        </w:rPr>
        <w:t>287-303.</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MAXWELL, R.J. (</w:t>
      </w:r>
      <w:r w:rsidR="00563F02" w:rsidRPr="005C301D">
        <w:rPr>
          <w:rFonts w:ascii="Times New Roman" w:hAnsi="Times New Roman" w:cs="Times New Roman"/>
          <w:sz w:val="24"/>
          <w:szCs w:val="24"/>
        </w:rPr>
        <w:t xml:space="preserve">1992),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Dimensions of Quality Revisited: From Thought to Action</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Quality in Health Care, Volume 1, No. 3, s. 171-177</w:t>
      </w:r>
      <w:r w:rsidR="0044274F">
        <w:rPr>
          <w:rFonts w:ascii="Times New Roman" w:hAnsi="Times New Roman" w:cs="Times New Roman"/>
          <w:sz w:val="24"/>
          <w:szCs w:val="24"/>
        </w:rPr>
        <w:t>.</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MCGLYNN, E</w:t>
      </w:r>
      <w:r w:rsidR="009D1ABC" w:rsidRPr="005C301D">
        <w:rPr>
          <w:rFonts w:ascii="Times New Roman" w:hAnsi="Times New Roman" w:cs="Times New Roman"/>
          <w:sz w:val="24"/>
          <w:szCs w:val="24"/>
        </w:rPr>
        <w:t>lizabeth</w:t>
      </w:r>
      <w:r w:rsidRPr="005C301D">
        <w:rPr>
          <w:rFonts w:ascii="Times New Roman" w:hAnsi="Times New Roman" w:cs="Times New Roman"/>
          <w:sz w:val="24"/>
          <w:szCs w:val="24"/>
        </w:rPr>
        <w:t xml:space="preserve"> A.</w:t>
      </w:r>
      <w:r w:rsidR="009D1ABC">
        <w:rPr>
          <w:rFonts w:ascii="Times New Roman" w:hAnsi="Times New Roman" w:cs="Times New Roman"/>
          <w:sz w:val="24"/>
          <w:szCs w:val="24"/>
        </w:rPr>
        <w:t xml:space="preserve">, </w:t>
      </w:r>
      <w:r w:rsidRPr="005C301D">
        <w:rPr>
          <w:rFonts w:ascii="Times New Roman" w:hAnsi="Times New Roman" w:cs="Times New Roman"/>
          <w:sz w:val="24"/>
          <w:szCs w:val="24"/>
        </w:rPr>
        <w:t>(</w:t>
      </w:r>
      <w:r w:rsidR="00563F02" w:rsidRPr="005C301D">
        <w:rPr>
          <w:rFonts w:ascii="Times New Roman" w:hAnsi="Times New Roman" w:cs="Times New Roman"/>
          <w:sz w:val="24"/>
          <w:szCs w:val="24"/>
        </w:rPr>
        <w:t xml:space="preserve">1997),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Six Chalenges in Measuring the Quality of Health Care</w:t>
      </w:r>
      <w:r w:rsidR="000550BA" w:rsidRPr="005C301D">
        <w:rPr>
          <w:rFonts w:ascii="Times New Roman" w:hAnsi="Times New Roman" w:cs="Times New Roman"/>
          <w:b/>
          <w:sz w:val="24"/>
          <w:szCs w:val="24"/>
        </w:rPr>
        <w:t>”</w:t>
      </w:r>
      <w:r w:rsidR="00563F02" w:rsidRPr="005C301D">
        <w:rPr>
          <w:rFonts w:ascii="Times New Roman" w:hAnsi="Times New Roman" w:cs="Times New Roman"/>
          <w:sz w:val="24"/>
          <w:szCs w:val="24"/>
        </w:rPr>
        <w:t>, Health Affairs</w:t>
      </w:r>
      <w:r w:rsidR="0044274F">
        <w:rPr>
          <w:rFonts w:ascii="Times New Roman" w:hAnsi="Times New Roman" w:cs="Times New Roman"/>
          <w:sz w:val="24"/>
          <w:szCs w:val="24"/>
        </w:rPr>
        <w:t>.</w:t>
      </w:r>
    </w:p>
    <w:p w:rsidR="0044274F" w:rsidRPr="0044274F" w:rsidRDefault="0044274F" w:rsidP="0044274F">
      <w:pPr>
        <w:pStyle w:val="ListeParagraf"/>
        <w:rPr>
          <w:rFonts w:ascii="Times New Roman" w:hAnsi="Times New Roman" w:cs="Times New Roman"/>
          <w:sz w:val="24"/>
          <w:szCs w:val="24"/>
        </w:rPr>
      </w:pPr>
    </w:p>
    <w:p w:rsidR="0044274F" w:rsidRDefault="009D1ABC"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OVRETVEI</w:t>
      </w:r>
      <w:r w:rsidR="00681D9F" w:rsidRPr="005C301D">
        <w:rPr>
          <w:rFonts w:ascii="Times New Roman" w:hAnsi="Times New Roman" w:cs="Times New Roman"/>
          <w:sz w:val="24"/>
          <w:szCs w:val="24"/>
        </w:rPr>
        <w:t>T, J.</w:t>
      </w:r>
      <w:r>
        <w:rPr>
          <w:rFonts w:ascii="Times New Roman" w:hAnsi="Times New Roman" w:cs="Times New Roman"/>
          <w:sz w:val="24"/>
          <w:szCs w:val="24"/>
        </w:rPr>
        <w:t>,</w:t>
      </w:r>
      <w:r w:rsidR="00681D9F"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(1998),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Evaluating </w:t>
      </w:r>
      <w:r w:rsidR="000550BA" w:rsidRPr="005C301D">
        <w:rPr>
          <w:rFonts w:ascii="Times New Roman" w:hAnsi="Times New Roman" w:cs="Times New Roman"/>
          <w:b/>
          <w:sz w:val="24"/>
          <w:szCs w:val="24"/>
        </w:rPr>
        <w:t>Health Inte</w:t>
      </w:r>
      <w:r w:rsidR="00563F02" w:rsidRPr="005C301D">
        <w:rPr>
          <w:rFonts w:ascii="Times New Roman" w:hAnsi="Times New Roman" w:cs="Times New Roman"/>
          <w:b/>
          <w:sz w:val="24"/>
          <w:szCs w:val="24"/>
        </w:rPr>
        <w:t>rventions</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Open U</w:t>
      </w:r>
      <w:r w:rsidR="0044274F">
        <w:rPr>
          <w:rFonts w:ascii="Times New Roman" w:hAnsi="Times New Roman" w:cs="Times New Roman"/>
          <w:sz w:val="24"/>
          <w:szCs w:val="24"/>
        </w:rPr>
        <w:t>niversity Press: Buckingham,321.</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P</w:t>
      </w:r>
      <w:r w:rsidR="00736379">
        <w:rPr>
          <w:rFonts w:ascii="Times New Roman" w:hAnsi="Times New Roman" w:cs="Times New Roman"/>
          <w:sz w:val="24"/>
          <w:szCs w:val="24"/>
        </w:rPr>
        <w:t>ARASURAMAN, A.,</w:t>
      </w:r>
      <w:r w:rsidRPr="005C301D">
        <w:rPr>
          <w:rFonts w:ascii="Times New Roman" w:hAnsi="Times New Roman" w:cs="Times New Roman"/>
          <w:sz w:val="24"/>
          <w:szCs w:val="24"/>
        </w:rPr>
        <w:t xml:space="preserve"> BERRY L</w:t>
      </w:r>
      <w:r w:rsidR="00736379" w:rsidRPr="005C301D">
        <w:rPr>
          <w:rFonts w:ascii="Times New Roman" w:hAnsi="Times New Roman" w:cs="Times New Roman"/>
          <w:sz w:val="24"/>
          <w:szCs w:val="24"/>
        </w:rPr>
        <w:t>eonard</w:t>
      </w:r>
      <w:r w:rsidR="00736379">
        <w:rPr>
          <w:rFonts w:ascii="Times New Roman" w:hAnsi="Times New Roman" w:cs="Times New Roman"/>
          <w:sz w:val="24"/>
          <w:szCs w:val="24"/>
        </w:rPr>
        <w:t xml:space="preserve"> L.,</w:t>
      </w:r>
      <w:r w:rsidRPr="005C301D">
        <w:rPr>
          <w:rFonts w:ascii="Times New Roman" w:hAnsi="Times New Roman" w:cs="Times New Roman"/>
          <w:sz w:val="24"/>
          <w:szCs w:val="24"/>
        </w:rPr>
        <w:t xml:space="preserve"> ZEITHAML V</w:t>
      </w:r>
      <w:r w:rsidR="00736379">
        <w:rPr>
          <w:rFonts w:ascii="Times New Roman" w:hAnsi="Times New Roman" w:cs="Times New Roman"/>
          <w:sz w:val="24"/>
          <w:szCs w:val="24"/>
        </w:rPr>
        <w:t>aleri</w:t>
      </w:r>
      <w:r w:rsidR="00736379" w:rsidRPr="005C301D">
        <w:rPr>
          <w:rFonts w:ascii="Times New Roman" w:hAnsi="Times New Roman" w:cs="Times New Roman"/>
          <w:sz w:val="24"/>
          <w:szCs w:val="24"/>
        </w:rPr>
        <w:t>e</w:t>
      </w:r>
      <w:r w:rsidRPr="005C301D">
        <w:rPr>
          <w:rFonts w:ascii="Times New Roman" w:hAnsi="Times New Roman" w:cs="Times New Roman"/>
          <w:sz w:val="24"/>
          <w:szCs w:val="24"/>
        </w:rPr>
        <w:t xml:space="preserve"> A</w:t>
      </w:r>
      <w:r w:rsidR="00736379">
        <w:rPr>
          <w:rFonts w:ascii="Times New Roman" w:hAnsi="Times New Roman" w:cs="Times New Roman"/>
          <w:sz w:val="24"/>
          <w:szCs w:val="24"/>
        </w:rPr>
        <w:t>.,</w:t>
      </w:r>
      <w:r w:rsidRPr="005C301D">
        <w:rPr>
          <w:rFonts w:ascii="Times New Roman" w:hAnsi="Times New Roman" w:cs="Times New Roman"/>
          <w:sz w:val="24"/>
          <w:szCs w:val="24"/>
        </w:rPr>
        <w:t xml:space="preserve"> </w:t>
      </w:r>
      <w:r w:rsidR="00563F02" w:rsidRPr="005C301D">
        <w:rPr>
          <w:rFonts w:ascii="Times New Roman" w:hAnsi="Times New Roman" w:cs="Times New Roman"/>
          <w:sz w:val="24"/>
          <w:szCs w:val="24"/>
        </w:rPr>
        <w:t xml:space="preserve">(1991),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Refinement and Reassessment of the SERVQUAL Scale</w:t>
      </w:r>
      <w:r w:rsidR="000550BA" w:rsidRPr="005C301D">
        <w:rPr>
          <w:rFonts w:ascii="Times New Roman" w:hAnsi="Times New Roman" w:cs="Times New Roman"/>
          <w:sz w:val="24"/>
          <w:szCs w:val="24"/>
        </w:rPr>
        <w:t>”</w:t>
      </w:r>
      <w:r w:rsidR="00563F02" w:rsidRPr="005C301D">
        <w:rPr>
          <w:rFonts w:ascii="Times New Roman" w:hAnsi="Times New Roman" w:cs="Times New Roman"/>
          <w:sz w:val="24"/>
          <w:szCs w:val="24"/>
        </w:rPr>
        <w:t>, Journal of Reatailing, Volume 6, Number 4, s. 420-450</w:t>
      </w:r>
      <w:r w:rsidR="0044274F">
        <w:rPr>
          <w:rFonts w:ascii="Times New Roman" w:hAnsi="Times New Roman" w:cs="Times New Roman"/>
          <w:sz w:val="24"/>
          <w:szCs w:val="24"/>
        </w:rPr>
        <w:t>.</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PARASURAMAN, A.</w:t>
      </w:r>
      <w:r w:rsidR="0044274F">
        <w:rPr>
          <w:rFonts w:ascii="Times New Roman" w:hAnsi="Times New Roman" w:cs="Times New Roman"/>
          <w:sz w:val="24"/>
          <w:szCs w:val="24"/>
        </w:rPr>
        <w:t>, ZEITHAML V.A.,</w:t>
      </w:r>
      <w:r w:rsidRPr="005C301D">
        <w:rPr>
          <w:rFonts w:ascii="Times New Roman" w:hAnsi="Times New Roman" w:cs="Times New Roman"/>
          <w:sz w:val="24"/>
          <w:szCs w:val="24"/>
        </w:rPr>
        <w:t xml:space="preserve"> BERRY L.L.</w:t>
      </w:r>
      <w:r w:rsidR="0044274F">
        <w:rPr>
          <w:rFonts w:ascii="Times New Roman" w:hAnsi="Times New Roman" w:cs="Times New Roman"/>
          <w:sz w:val="24"/>
          <w:szCs w:val="24"/>
        </w:rPr>
        <w:t xml:space="preserve">, </w:t>
      </w:r>
      <w:r w:rsidRPr="005C301D">
        <w:rPr>
          <w:rFonts w:ascii="Times New Roman" w:hAnsi="Times New Roman" w:cs="Times New Roman"/>
          <w:sz w:val="24"/>
          <w:szCs w:val="24"/>
        </w:rPr>
        <w:t>(</w:t>
      </w:r>
      <w:r w:rsidR="00563F02" w:rsidRPr="005C301D">
        <w:rPr>
          <w:rFonts w:ascii="Times New Roman" w:hAnsi="Times New Roman" w:cs="Times New Roman"/>
          <w:sz w:val="24"/>
          <w:szCs w:val="24"/>
        </w:rPr>
        <w:t xml:space="preserve">1998),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SERVQUAL:</w:t>
      </w:r>
      <w:r w:rsidR="00736379">
        <w:rPr>
          <w:rFonts w:ascii="Times New Roman" w:hAnsi="Times New Roman" w:cs="Times New Roman"/>
          <w:b/>
          <w:sz w:val="24"/>
          <w:szCs w:val="24"/>
        </w:rPr>
        <w:t xml:space="preserve"> </w:t>
      </w:r>
      <w:r w:rsidR="00563F02" w:rsidRPr="005C301D">
        <w:rPr>
          <w:rFonts w:ascii="Times New Roman" w:hAnsi="Times New Roman" w:cs="Times New Roman"/>
          <w:b/>
          <w:sz w:val="24"/>
          <w:szCs w:val="24"/>
        </w:rPr>
        <w:t>A Multiple-Item Scale for Measuring Consumer Perception of Service Quality</w:t>
      </w:r>
      <w:r w:rsidR="000550BA" w:rsidRPr="005C301D">
        <w:rPr>
          <w:rFonts w:ascii="Times New Roman" w:hAnsi="Times New Roman" w:cs="Times New Roman"/>
          <w:sz w:val="24"/>
          <w:szCs w:val="24"/>
        </w:rPr>
        <w:t>”</w:t>
      </w:r>
      <w:r w:rsidR="00563F02" w:rsidRPr="005C301D">
        <w:rPr>
          <w:rFonts w:ascii="Times New Roman" w:hAnsi="Times New Roman" w:cs="Times New Roman"/>
          <w:sz w:val="24"/>
          <w:szCs w:val="24"/>
        </w:rPr>
        <w:t xml:space="preserve">, </w:t>
      </w:r>
      <w:r w:rsidR="00563F02" w:rsidRPr="005C301D">
        <w:rPr>
          <w:rFonts w:ascii="Times New Roman" w:hAnsi="Times New Roman" w:cs="Times New Roman"/>
          <w:bCs/>
          <w:sz w:val="24"/>
          <w:szCs w:val="24"/>
        </w:rPr>
        <w:t xml:space="preserve">Journal of Retailing, </w:t>
      </w:r>
      <w:r w:rsidR="00563F02" w:rsidRPr="005C301D">
        <w:rPr>
          <w:rFonts w:ascii="Times New Roman" w:hAnsi="Times New Roman" w:cs="Times New Roman"/>
          <w:sz w:val="24"/>
          <w:szCs w:val="24"/>
        </w:rPr>
        <w:t>64</w:t>
      </w:r>
      <w:r w:rsidR="0044274F">
        <w:rPr>
          <w:rFonts w:ascii="Times New Roman" w:hAnsi="Times New Roman" w:cs="Times New Roman"/>
          <w:sz w:val="24"/>
          <w:szCs w:val="24"/>
        </w:rPr>
        <w:t xml:space="preserve"> </w:t>
      </w:r>
      <w:r w:rsidR="00563F02" w:rsidRPr="005C301D">
        <w:rPr>
          <w:rFonts w:ascii="Times New Roman" w:hAnsi="Times New Roman" w:cs="Times New Roman"/>
          <w:sz w:val="24"/>
          <w:szCs w:val="24"/>
        </w:rPr>
        <w:t>(1), s.12–40.</w:t>
      </w:r>
    </w:p>
    <w:p w:rsidR="0044274F" w:rsidRPr="0044274F" w:rsidRDefault="0044274F" w:rsidP="0044274F">
      <w:pPr>
        <w:pStyle w:val="ListeParagraf"/>
        <w:rPr>
          <w:rFonts w:ascii="Times New Roman" w:hAnsi="Times New Roman" w:cs="Times New Roman"/>
          <w:sz w:val="24"/>
          <w:szCs w:val="24"/>
        </w:rPr>
      </w:pPr>
    </w:p>
    <w:p w:rsidR="00563F02" w:rsidRPr="0044274F"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eastAsia="TimesNewRoman" w:hAnsi="Times New Roman" w:cs="Times New Roman"/>
          <w:sz w:val="24"/>
          <w:szCs w:val="24"/>
        </w:rPr>
        <w:t>PARASURAMAN, A., ZEITHAML, V.,</w:t>
      </w:r>
      <w:r w:rsidR="00736379">
        <w:rPr>
          <w:rFonts w:ascii="Times New Roman" w:eastAsia="TimesNewRoman" w:hAnsi="Times New Roman" w:cs="Times New Roman"/>
          <w:sz w:val="24"/>
          <w:szCs w:val="24"/>
        </w:rPr>
        <w:t xml:space="preserve"> </w:t>
      </w:r>
      <w:r w:rsidRPr="005C301D">
        <w:rPr>
          <w:rFonts w:ascii="Times New Roman" w:eastAsia="TimesNewRoman" w:hAnsi="Times New Roman" w:cs="Times New Roman"/>
          <w:sz w:val="24"/>
          <w:szCs w:val="24"/>
        </w:rPr>
        <w:t>BERRY, L.L.</w:t>
      </w:r>
      <w:r w:rsidR="00736379">
        <w:rPr>
          <w:rFonts w:ascii="Times New Roman" w:eastAsia="TimesNewRoman" w:hAnsi="Times New Roman" w:cs="Times New Roman"/>
          <w:sz w:val="24"/>
          <w:szCs w:val="24"/>
        </w:rPr>
        <w:t xml:space="preserve">, </w:t>
      </w:r>
      <w:r w:rsidRPr="005C301D">
        <w:rPr>
          <w:rFonts w:ascii="Times New Roman" w:eastAsia="TimesNewRoman" w:hAnsi="Times New Roman" w:cs="Times New Roman"/>
          <w:sz w:val="24"/>
          <w:szCs w:val="24"/>
        </w:rPr>
        <w:t>(</w:t>
      </w:r>
      <w:r w:rsidR="00563F02" w:rsidRPr="005C301D">
        <w:rPr>
          <w:rFonts w:ascii="Times New Roman" w:eastAsia="TimesNewRoman" w:hAnsi="Times New Roman" w:cs="Times New Roman"/>
          <w:sz w:val="24"/>
          <w:szCs w:val="24"/>
        </w:rPr>
        <w:t xml:space="preserve">1990), </w:t>
      </w:r>
      <w:r w:rsidR="000550BA" w:rsidRPr="005C301D">
        <w:rPr>
          <w:rFonts w:ascii="Times New Roman" w:eastAsia="TimesNewRoman" w:hAnsi="Times New Roman" w:cs="Times New Roman"/>
          <w:sz w:val="24"/>
          <w:szCs w:val="24"/>
        </w:rPr>
        <w:t>“</w:t>
      </w:r>
      <w:r w:rsidR="00563F02" w:rsidRPr="005C301D">
        <w:rPr>
          <w:rFonts w:ascii="Times New Roman" w:eastAsia="TimesNewRoman" w:hAnsi="Times New Roman" w:cs="Times New Roman"/>
          <w:b/>
          <w:sz w:val="24"/>
          <w:szCs w:val="24"/>
        </w:rPr>
        <w:t>Delivering Service Quality: Balancing Customer Perception and Expectations</w:t>
      </w:r>
      <w:r w:rsidR="000550BA"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sz w:val="24"/>
          <w:szCs w:val="24"/>
        </w:rPr>
        <w:t xml:space="preserve"> The Free Press, New York</w:t>
      </w:r>
      <w:r w:rsidR="0044274F">
        <w:rPr>
          <w:rFonts w:ascii="Times New Roman" w:eastAsia="TimesNewRoman" w:hAnsi="Times New Roman" w:cs="Times New Roman"/>
          <w:sz w:val="24"/>
          <w:szCs w:val="24"/>
        </w:rPr>
        <w:t>.</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bCs/>
          <w:sz w:val="24"/>
          <w:szCs w:val="24"/>
        </w:rPr>
        <w:t>PARASURAMAN, A.</w:t>
      </w:r>
      <w:r w:rsidR="0044274F">
        <w:rPr>
          <w:rFonts w:ascii="Times New Roman" w:hAnsi="Times New Roman" w:cs="Times New Roman"/>
          <w:bCs/>
          <w:sz w:val="24"/>
          <w:szCs w:val="24"/>
        </w:rPr>
        <w:t>, ZEITHAML,</w:t>
      </w:r>
      <w:r w:rsidRPr="005C301D">
        <w:rPr>
          <w:rFonts w:ascii="Times New Roman" w:hAnsi="Times New Roman" w:cs="Times New Roman"/>
          <w:bCs/>
          <w:sz w:val="24"/>
          <w:szCs w:val="24"/>
        </w:rPr>
        <w:t xml:space="preserve"> V</w:t>
      </w:r>
      <w:r w:rsidR="00736379">
        <w:rPr>
          <w:rFonts w:ascii="Times New Roman" w:hAnsi="Times New Roman" w:cs="Times New Roman"/>
          <w:bCs/>
          <w:sz w:val="24"/>
          <w:szCs w:val="24"/>
        </w:rPr>
        <w:t>alari</w:t>
      </w:r>
      <w:r w:rsidR="00736379" w:rsidRPr="005C301D">
        <w:rPr>
          <w:rFonts w:ascii="Times New Roman" w:hAnsi="Times New Roman" w:cs="Times New Roman"/>
          <w:bCs/>
          <w:sz w:val="24"/>
          <w:szCs w:val="24"/>
        </w:rPr>
        <w:t>e</w:t>
      </w:r>
      <w:r w:rsidRPr="005C301D">
        <w:rPr>
          <w:rFonts w:ascii="Times New Roman" w:hAnsi="Times New Roman" w:cs="Times New Roman"/>
          <w:bCs/>
          <w:sz w:val="24"/>
          <w:szCs w:val="24"/>
        </w:rPr>
        <w:t xml:space="preserve"> A.</w:t>
      </w:r>
      <w:r w:rsidR="0044274F">
        <w:rPr>
          <w:rFonts w:ascii="Times New Roman" w:hAnsi="Times New Roman" w:cs="Times New Roman"/>
          <w:bCs/>
          <w:sz w:val="24"/>
          <w:szCs w:val="24"/>
        </w:rPr>
        <w:t xml:space="preserve">, </w:t>
      </w:r>
      <w:r w:rsidRPr="005C301D">
        <w:rPr>
          <w:rFonts w:ascii="Times New Roman" w:hAnsi="Times New Roman" w:cs="Times New Roman"/>
          <w:bCs/>
          <w:sz w:val="24"/>
          <w:szCs w:val="24"/>
        </w:rPr>
        <w:t>BERRY, L</w:t>
      </w:r>
      <w:r w:rsidR="00DF2ACE" w:rsidRPr="005C301D">
        <w:rPr>
          <w:rFonts w:ascii="Times New Roman" w:hAnsi="Times New Roman" w:cs="Times New Roman"/>
          <w:bCs/>
          <w:sz w:val="24"/>
          <w:szCs w:val="24"/>
        </w:rPr>
        <w:t>eonard</w:t>
      </w:r>
      <w:r w:rsidRPr="005C301D">
        <w:rPr>
          <w:rFonts w:ascii="Times New Roman" w:hAnsi="Times New Roman" w:cs="Times New Roman"/>
          <w:bCs/>
          <w:sz w:val="24"/>
          <w:szCs w:val="24"/>
        </w:rPr>
        <w:t xml:space="preserve"> L</w:t>
      </w:r>
      <w:r w:rsidR="00563F02" w:rsidRPr="005C301D">
        <w:rPr>
          <w:rFonts w:ascii="Times New Roman" w:hAnsi="Times New Roman" w:cs="Times New Roman"/>
          <w:bCs/>
          <w:sz w:val="24"/>
          <w:szCs w:val="24"/>
        </w:rPr>
        <w:t>.</w:t>
      </w:r>
      <w:r w:rsidR="0044274F">
        <w:rPr>
          <w:rFonts w:ascii="Times New Roman" w:hAnsi="Times New Roman" w:cs="Times New Roman"/>
          <w:bCs/>
          <w:sz w:val="24"/>
          <w:szCs w:val="24"/>
        </w:rPr>
        <w:t xml:space="preserve">, </w:t>
      </w:r>
      <w:r w:rsidR="00563F02" w:rsidRPr="005C301D">
        <w:rPr>
          <w:rFonts w:ascii="Times New Roman" w:hAnsi="Times New Roman" w:cs="Times New Roman"/>
          <w:bCs/>
          <w:sz w:val="24"/>
          <w:szCs w:val="24"/>
        </w:rPr>
        <w:t xml:space="preserve">(1985), </w:t>
      </w:r>
      <w:r w:rsidR="000550BA" w:rsidRPr="005C301D">
        <w:rPr>
          <w:rFonts w:ascii="Times New Roman" w:hAnsi="Times New Roman" w:cs="Times New Roman"/>
          <w:bCs/>
          <w:sz w:val="24"/>
          <w:szCs w:val="24"/>
        </w:rPr>
        <w:t>“</w:t>
      </w:r>
      <w:r w:rsidR="00563F02" w:rsidRPr="005C301D">
        <w:rPr>
          <w:rFonts w:ascii="Times New Roman" w:hAnsi="Times New Roman" w:cs="Times New Roman"/>
          <w:b/>
          <w:sz w:val="24"/>
          <w:szCs w:val="24"/>
        </w:rPr>
        <w:t>A Conceptual Model of Service Quality and Its Implications for Future Research</w:t>
      </w:r>
      <w:r w:rsidR="000550BA"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w:t>
      </w:r>
      <w:r w:rsidR="00563F02" w:rsidRPr="005C301D">
        <w:rPr>
          <w:rFonts w:ascii="Times New Roman" w:hAnsi="Times New Roman" w:cs="Times New Roman"/>
          <w:iCs/>
          <w:sz w:val="24"/>
          <w:szCs w:val="24"/>
        </w:rPr>
        <w:t>Journal of Marketing</w:t>
      </w:r>
      <w:r w:rsidR="00563F02" w:rsidRPr="005C301D">
        <w:rPr>
          <w:rFonts w:ascii="Times New Roman" w:hAnsi="Times New Roman" w:cs="Times New Roman"/>
          <w:sz w:val="24"/>
          <w:szCs w:val="24"/>
        </w:rPr>
        <w:t>, Vol.49, Fall,</w:t>
      </w:r>
      <w:r w:rsidR="00563F02" w:rsidRPr="005C301D">
        <w:rPr>
          <w:rFonts w:ascii="Times New Roman" w:hAnsi="Times New Roman" w:cs="Times New Roman"/>
          <w:bCs/>
          <w:sz w:val="24"/>
          <w:szCs w:val="24"/>
        </w:rPr>
        <w:t xml:space="preserve"> s</w:t>
      </w:r>
      <w:r w:rsidR="00563F02" w:rsidRPr="005C301D">
        <w:rPr>
          <w:rFonts w:ascii="Times New Roman" w:hAnsi="Times New Roman" w:cs="Times New Roman"/>
          <w:sz w:val="24"/>
          <w:szCs w:val="24"/>
        </w:rPr>
        <w:t>. 41-50.</w:t>
      </w:r>
    </w:p>
    <w:p w:rsidR="0044274F" w:rsidRPr="0044274F" w:rsidRDefault="0044274F" w:rsidP="0044274F">
      <w:pPr>
        <w:pStyle w:val="ListeParagraf"/>
        <w:rPr>
          <w:rFonts w:ascii="Times New Roman" w:hAnsi="Times New Roman" w:cs="Times New Roman"/>
          <w:sz w:val="24"/>
          <w:szCs w:val="24"/>
        </w:rPr>
      </w:pPr>
    </w:p>
    <w:p w:rsidR="00563F02" w:rsidRPr="005C301D"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eastAsia="TimesNewRoman" w:hAnsi="Times New Roman" w:cs="Times New Roman"/>
          <w:sz w:val="24"/>
          <w:szCs w:val="24"/>
        </w:rPr>
      </w:pPr>
      <w:r w:rsidRPr="005C301D">
        <w:rPr>
          <w:rFonts w:ascii="Times New Roman" w:eastAsia="TimesNewRoman" w:hAnsi="Times New Roman" w:cs="Times New Roman"/>
          <w:sz w:val="24"/>
          <w:szCs w:val="24"/>
        </w:rPr>
        <w:t>ROSE, R.C.</w:t>
      </w:r>
      <w:r w:rsidR="0044274F">
        <w:rPr>
          <w:rFonts w:ascii="Times New Roman" w:eastAsia="TimesNewRoman" w:hAnsi="Times New Roman" w:cs="Times New Roman"/>
          <w:sz w:val="24"/>
          <w:szCs w:val="24"/>
        </w:rPr>
        <w:t>, J.</w:t>
      </w:r>
      <w:r w:rsidR="008F3876">
        <w:rPr>
          <w:rFonts w:ascii="Times New Roman" w:eastAsia="TimesNewRoman" w:hAnsi="Times New Roman" w:cs="Times New Roman"/>
          <w:sz w:val="24"/>
          <w:szCs w:val="24"/>
        </w:rPr>
        <w:t>,</w:t>
      </w:r>
      <w:r w:rsidR="0044274F">
        <w:rPr>
          <w:rFonts w:ascii="Times New Roman" w:eastAsia="TimesNewRoman" w:hAnsi="Times New Roman" w:cs="Times New Roman"/>
          <w:sz w:val="24"/>
          <w:szCs w:val="24"/>
        </w:rPr>
        <w:t xml:space="preserve"> ULI, A., MOHANİ,</w:t>
      </w:r>
      <w:r w:rsidRPr="005C301D">
        <w:rPr>
          <w:rFonts w:ascii="Times New Roman" w:eastAsia="TimesNewRoman" w:hAnsi="Times New Roman" w:cs="Times New Roman"/>
          <w:sz w:val="24"/>
          <w:szCs w:val="24"/>
        </w:rPr>
        <w:t xml:space="preserve"> K.</w:t>
      </w:r>
      <w:r w:rsidR="008F3876">
        <w:rPr>
          <w:rFonts w:ascii="Times New Roman" w:eastAsia="TimesNewRoman" w:hAnsi="Times New Roman" w:cs="Times New Roman"/>
          <w:sz w:val="24"/>
          <w:szCs w:val="24"/>
        </w:rPr>
        <w:t>,</w:t>
      </w:r>
      <w:r w:rsidRPr="005C301D">
        <w:rPr>
          <w:rFonts w:ascii="Times New Roman" w:eastAsia="TimesNewRoman" w:hAnsi="Times New Roman" w:cs="Times New Roman"/>
          <w:sz w:val="24"/>
          <w:szCs w:val="24"/>
        </w:rPr>
        <w:t xml:space="preserve"> LOOI NG</w:t>
      </w:r>
      <w:r w:rsidR="00563F02" w:rsidRPr="005C301D">
        <w:rPr>
          <w:rFonts w:ascii="Times New Roman" w:eastAsia="TimesNewRoman" w:hAnsi="Times New Roman" w:cs="Times New Roman"/>
          <w:sz w:val="24"/>
          <w:szCs w:val="24"/>
        </w:rPr>
        <w:t xml:space="preserve">, (2004), </w:t>
      </w:r>
      <w:r w:rsidR="000550BA"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b/>
          <w:sz w:val="24"/>
          <w:szCs w:val="24"/>
        </w:rPr>
        <w:t>Hospital Service Quality: A Managerial Challenge</w:t>
      </w:r>
      <w:r w:rsidR="000550BA"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sz w:val="24"/>
          <w:szCs w:val="24"/>
        </w:rPr>
        <w:t>, International Journal of Health Care Quality Assurance, 17(3), s.146-159.</w:t>
      </w:r>
    </w:p>
    <w:p w:rsidR="00563F02" w:rsidRDefault="0044274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SATURNO, J., GASCON, J.,</w:t>
      </w:r>
      <w:r w:rsidR="00681D9F" w:rsidRPr="005C301D">
        <w:rPr>
          <w:rFonts w:ascii="Times New Roman" w:hAnsi="Times New Roman" w:cs="Times New Roman"/>
          <w:sz w:val="24"/>
          <w:szCs w:val="24"/>
        </w:rPr>
        <w:t xml:space="preserve"> PARRA, J.P., </w:t>
      </w:r>
      <w:r w:rsidR="00563F02" w:rsidRPr="005C301D">
        <w:rPr>
          <w:rFonts w:ascii="Times New Roman" w:hAnsi="Times New Roman" w:cs="Times New Roman"/>
          <w:sz w:val="24"/>
          <w:szCs w:val="24"/>
        </w:rPr>
        <w:t xml:space="preserve">(1997),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Tratado de Calidad Asistencial en Atencion Primaria [Treaty on </w:t>
      </w:r>
      <w:r w:rsidR="000550BA" w:rsidRPr="005C301D">
        <w:rPr>
          <w:rFonts w:ascii="Times New Roman" w:hAnsi="Times New Roman" w:cs="Times New Roman"/>
          <w:b/>
          <w:sz w:val="24"/>
          <w:szCs w:val="24"/>
        </w:rPr>
        <w:t>Quality for Primary Health Care</w:t>
      </w:r>
      <w:r w:rsidR="00563F02" w:rsidRPr="005C301D">
        <w:rPr>
          <w:rFonts w:ascii="Times New Roman" w:hAnsi="Times New Roman" w:cs="Times New Roman"/>
          <w:b/>
          <w:sz w:val="24"/>
          <w:szCs w:val="24"/>
        </w:rPr>
        <w:t>]</w:t>
      </w:r>
      <w:r w:rsidR="000550BA"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Du Pont Pharma, Madrid</w:t>
      </w:r>
      <w:r>
        <w:rPr>
          <w:rFonts w:ascii="Times New Roman" w:hAnsi="Times New Roman" w:cs="Times New Roman"/>
          <w:sz w:val="24"/>
          <w:szCs w:val="24"/>
        </w:rPr>
        <w:t>.</w:t>
      </w:r>
    </w:p>
    <w:p w:rsidR="0044274F" w:rsidRPr="005C301D" w:rsidRDefault="0044274F" w:rsidP="0044274F">
      <w:pPr>
        <w:pStyle w:val="ListeParagraf"/>
        <w:autoSpaceDE w:val="0"/>
        <w:autoSpaceDN w:val="0"/>
        <w:adjustRightInd w:val="0"/>
        <w:spacing w:beforeLines="120" w:before="288" w:afterLines="120" w:after="288" w:line="240" w:lineRule="auto"/>
        <w:jc w:val="both"/>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SHAW, C</w:t>
      </w:r>
      <w:r w:rsidR="00DF2ACE">
        <w:rPr>
          <w:rFonts w:ascii="Times New Roman" w:hAnsi="Times New Roman" w:cs="Times New Roman"/>
          <w:sz w:val="24"/>
          <w:szCs w:val="24"/>
        </w:rPr>
        <w:t>.</w:t>
      </w:r>
      <w:r w:rsidRPr="005C301D">
        <w:rPr>
          <w:rFonts w:ascii="Times New Roman" w:hAnsi="Times New Roman" w:cs="Times New Roman"/>
          <w:sz w:val="24"/>
          <w:szCs w:val="24"/>
        </w:rPr>
        <w:t xml:space="preserve"> </w:t>
      </w:r>
      <w:r w:rsidR="00DF2ACE">
        <w:rPr>
          <w:rFonts w:ascii="Times New Roman" w:hAnsi="Times New Roman" w:cs="Times New Roman"/>
          <w:sz w:val="24"/>
          <w:szCs w:val="24"/>
        </w:rPr>
        <w:t>and</w:t>
      </w:r>
      <w:r w:rsidRPr="005C301D">
        <w:rPr>
          <w:rFonts w:ascii="Times New Roman" w:hAnsi="Times New Roman" w:cs="Times New Roman"/>
          <w:sz w:val="24"/>
          <w:szCs w:val="24"/>
        </w:rPr>
        <w:t xml:space="preserve"> KALO, I., </w:t>
      </w:r>
      <w:r w:rsidR="00563F02" w:rsidRPr="005C301D">
        <w:rPr>
          <w:rFonts w:ascii="Times New Roman" w:hAnsi="Times New Roman" w:cs="Times New Roman"/>
          <w:sz w:val="24"/>
          <w:szCs w:val="24"/>
        </w:rPr>
        <w:t xml:space="preserve">(2002),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A </w:t>
      </w:r>
      <w:r w:rsidR="000550BA" w:rsidRPr="005C301D">
        <w:rPr>
          <w:rFonts w:ascii="Times New Roman" w:hAnsi="Times New Roman" w:cs="Times New Roman"/>
          <w:b/>
          <w:sz w:val="24"/>
          <w:szCs w:val="24"/>
        </w:rPr>
        <w:t>Background for National Quality Policies in Health Systems”</w:t>
      </w:r>
      <w:r w:rsidR="00563F02" w:rsidRPr="005C301D">
        <w:rPr>
          <w:rFonts w:ascii="Times New Roman" w:hAnsi="Times New Roman" w:cs="Times New Roman"/>
          <w:sz w:val="24"/>
          <w:szCs w:val="24"/>
        </w:rPr>
        <w:t>,WHO Regional Office for Europe,  Copenhagen</w:t>
      </w:r>
      <w:r w:rsidR="0044274F">
        <w:rPr>
          <w:rFonts w:ascii="Times New Roman" w:hAnsi="Times New Roman" w:cs="Times New Roman"/>
          <w:sz w:val="24"/>
          <w:szCs w:val="24"/>
        </w:rPr>
        <w:t>.</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 xml:space="preserve">SUNOL, R. </w:t>
      </w:r>
      <w:r w:rsidR="00DF2ACE">
        <w:rPr>
          <w:rFonts w:ascii="Times New Roman" w:hAnsi="Times New Roman" w:cs="Times New Roman"/>
          <w:sz w:val="24"/>
          <w:szCs w:val="24"/>
        </w:rPr>
        <w:t>and</w:t>
      </w:r>
      <w:r w:rsidRPr="005C301D">
        <w:rPr>
          <w:rFonts w:ascii="Times New Roman" w:hAnsi="Times New Roman" w:cs="Times New Roman"/>
          <w:sz w:val="24"/>
          <w:szCs w:val="24"/>
        </w:rPr>
        <w:t xml:space="preserve"> BANERES, J., </w:t>
      </w:r>
      <w:r w:rsidR="00563F02" w:rsidRPr="005C301D">
        <w:rPr>
          <w:rFonts w:ascii="Times New Roman" w:hAnsi="Times New Roman" w:cs="Times New Roman"/>
          <w:sz w:val="24"/>
          <w:szCs w:val="24"/>
        </w:rPr>
        <w:t xml:space="preserve">(2003), </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 xml:space="preserve">Calidad Asistencial [Quality of </w:t>
      </w:r>
      <w:r w:rsidR="000550BA" w:rsidRPr="005C301D">
        <w:rPr>
          <w:rFonts w:ascii="Times New Roman" w:hAnsi="Times New Roman" w:cs="Times New Roman"/>
          <w:b/>
          <w:sz w:val="24"/>
          <w:szCs w:val="24"/>
        </w:rPr>
        <w:t>Health C</w:t>
      </w:r>
      <w:r w:rsidR="00563F02" w:rsidRPr="005C301D">
        <w:rPr>
          <w:rFonts w:ascii="Times New Roman" w:hAnsi="Times New Roman" w:cs="Times New Roman"/>
          <w:b/>
          <w:sz w:val="24"/>
          <w:szCs w:val="24"/>
        </w:rPr>
        <w:t>are]</w:t>
      </w:r>
      <w:r w:rsidR="000550BA" w:rsidRPr="005C301D">
        <w:rPr>
          <w:rFonts w:ascii="Times New Roman" w:hAnsi="Times New Roman" w:cs="Times New Roman"/>
          <w:b/>
          <w:sz w:val="24"/>
          <w:szCs w:val="24"/>
        </w:rPr>
        <w:t>”</w:t>
      </w:r>
      <w:r w:rsidR="00563F02" w:rsidRPr="005C301D">
        <w:rPr>
          <w:rFonts w:ascii="Times New Roman" w:hAnsi="Times New Roman" w:cs="Times New Roman"/>
          <w:b/>
          <w:sz w:val="24"/>
          <w:szCs w:val="24"/>
        </w:rPr>
        <w:t>,</w:t>
      </w:r>
      <w:r w:rsidR="00563F02" w:rsidRPr="005C301D">
        <w:rPr>
          <w:rFonts w:ascii="Times New Roman" w:hAnsi="Times New Roman" w:cs="Times New Roman"/>
          <w:sz w:val="24"/>
          <w:szCs w:val="24"/>
        </w:rPr>
        <w:t xml:space="preserve"> (Pending publication in Tratado</w:t>
      </w:r>
      <w:r w:rsidR="00970364">
        <w:rPr>
          <w:rFonts w:ascii="Times New Roman" w:hAnsi="Times New Roman" w:cs="Times New Roman"/>
          <w:sz w:val="24"/>
          <w:szCs w:val="24"/>
        </w:rPr>
        <w:t xml:space="preserve"> de Medicina Interna 2 Edicion),</w:t>
      </w:r>
      <w:r w:rsidR="00563F02" w:rsidRPr="005C301D">
        <w:rPr>
          <w:rFonts w:ascii="Times New Roman" w:hAnsi="Times New Roman" w:cs="Times New Roman"/>
          <w:sz w:val="24"/>
          <w:szCs w:val="24"/>
        </w:rPr>
        <w:t xml:space="preserve"> Madrid, Barcelona, Masson.</w:t>
      </w:r>
    </w:p>
    <w:p w:rsidR="0044274F" w:rsidRPr="0044274F" w:rsidRDefault="0044274F" w:rsidP="0044274F">
      <w:pPr>
        <w:pStyle w:val="ListeParagraf"/>
        <w:rPr>
          <w:rFonts w:ascii="Times New 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eastAsia="TimesNewRoman" w:hAnsi="Times New Roman" w:cs="Times New Roman"/>
          <w:sz w:val="24"/>
          <w:szCs w:val="24"/>
        </w:rPr>
      </w:pPr>
      <w:r w:rsidRPr="005C301D">
        <w:rPr>
          <w:rFonts w:ascii="Times New Roman" w:eastAsia="TimesNewRoman" w:hAnsi="Times New Roman" w:cs="Times New Roman"/>
          <w:sz w:val="24"/>
          <w:szCs w:val="24"/>
        </w:rPr>
        <w:t xml:space="preserve">TOMES, A.E. </w:t>
      </w:r>
      <w:r w:rsidR="00DF2ACE">
        <w:rPr>
          <w:rFonts w:ascii="Times New Roman" w:eastAsia="TimesNewRoman" w:hAnsi="Times New Roman" w:cs="Times New Roman"/>
          <w:sz w:val="24"/>
          <w:szCs w:val="24"/>
        </w:rPr>
        <w:t>and</w:t>
      </w:r>
      <w:r w:rsidRPr="005C301D">
        <w:rPr>
          <w:rFonts w:ascii="Times New Roman" w:eastAsia="TimesNewRoman" w:hAnsi="Times New Roman" w:cs="Times New Roman"/>
          <w:sz w:val="24"/>
          <w:szCs w:val="24"/>
        </w:rPr>
        <w:t xml:space="preserve"> S.</w:t>
      </w:r>
      <w:r w:rsidR="00DF2ACE">
        <w:rPr>
          <w:rFonts w:ascii="Times New Roman" w:eastAsia="TimesNewRoman" w:hAnsi="Times New Roman" w:cs="Times New Roman"/>
          <w:sz w:val="24"/>
          <w:szCs w:val="24"/>
        </w:rPr>
        <w:t>,</w:t>
      </w:r>
      <w:r w:rsidRPr="005C301D">
        <w:rPr>
          <w:rFonts w:ascii="Times New Roman" w:eastAsia="TimesNewRoman" w:hAnsi="Times New Roman" w:cs="Times New Roman"/>
          <w:sz w:val="24"/>
          <w:szCs w:val="24"/>
        </w:rPr>
        <w:t xml:space="preserve"> CHEE PENG NG., </w:t>
      </w:r>
      <w:r w:rsidR="00563F02" w:rsidRPr="005C301D">
        <w:rPr>
          <w:rFonts w:ascii="Times New Roman" w:eastAsia="TimesNewRoman" w:hAnsi="Times New Roman" w:cs="Times New Roman"/>
          <w:sz w:val="24"/>
          <w:szCs w:val="24"/>
        </w:rPr>
        <w:t xml:space="preserve">(1995), </w:t>
      </w:r>
      <w:r w:rsidR="000550BA"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b/>
          <w:sz w:val="24"/>
          <w:szCs w:val="24"/>
        </w:rPr>
        <w:t>Service Quality in Hospital Care: the Development of an in Patient Questionnaire</w:t>
      </w:r>
      <w:r w:rsidR="000550BA"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sz w:val="24"/>
          <w:szCs w:val="24"/>
        </w:rPr>
        <w:t>, International Journal of Health Care Quality Assurance, 8</w:t>
      </w:r>
      <w:r w:rsidR="0044274F">
        <w:rPr>
          <w:rFonts w:ascii="Times New Roman" w:eastAsia="TimesNewRoman" w:hAnsi="Times New Roman" w:cs="Times New Roman"/>
          <w:sz w:val="24"/>
          <w:szCs w:val="24"/>
        </w:rPr>
        <w:t xml:space="preserve"> </w:t>
      </w:r>
      <w:r w:rsidR="00563F02" w:rsidRPr="005C301D">
        <w:rPr>
          <w:rFonts w:ascii="Times New Roman" w:eastAsia="TimesNewRoman" w:hAnsi="Times New Roman" w:cs="Times New Roman"/>
          <w:sz w:val="24"/>
          <w:szCs w:val="24"/>
        </w:rPr>
        <w:t>(3), s.</w:t>
      </w:r>
      <w:r w:rsidR="0044274F">
        <w:rPr>
          <w:rFonts w:ascii="Times New Roman" w:eastAsia="TimesNewRoman" w:hAnsi="Times New Roman" w:cs="Times New Roman"/>
          <w:sz w:val="24"/>
          <w:szCs w:val="24"/>
        </w:rPr>
        <w:t xml:space="preserve"> </w:t>
      </w:r>
      <w:r w:rsidR="00563F02" w:rsidRPr="005C301D">
        <w:rPr>
          <w:rFonts w:ascii="Times New Roman" w:eastAsia="TimesNewRoman" w:hAnsi="Times New Roman" w:cs="Times New Roman"/>
          <w:sz w:val="24"/>
          <w:szCs w:val="24"/>
        </w:rPr>
        <w:t>25-33.</w:t>
      </w:r>
    </w:p>
    <w:p w:rsidR="0044274F" w:rsidRPr="0044274F" w:rsidRDefault="0044274F" w:rsidP="0044274F">
      <w:pPr>
        <w:pStyle w:val="ListeParagraf"/>
        <w:rPr>
          <w:rFonts w:ascii="Times New Roman" w:eastAsia="TimesNewRoman" w:hAnsi="Times New Roman" w:cs="Times New Roman"/>
          <w:sz w:val="24"/>
          <w:szCs w:val="24"/>
        </w:rPr>
      </w:pPr>
    </w:p>
    <w:p w:rsidR="00563F02" w:rsidRDefault="00681D9F"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eastAsia="TimesNewRoman" w:hAnsi="Times New Roman" w:cs="Times New Roman"/>
          <w:sz w:val="24"/>
          <w:szCs w:val="24"/>
        </w:rPr>
      </w:pPr>
      <w:r w:rsidRPr="005C301D">
        <w:rPr>
          <w:rFonts w:ascii="Times New Roman" w:eastAsia="TimesNewRoman" w:hAnsi="Times New Roman" w:cs="Times New Roman"/>
          <w:sz w:val="24"/>
          <w:szCs w:val="24"/>
        </w:rPr>
        <w:t xml:space="preserve">TURNER, O. </w:t>
      </w:r>
      <w:r w:rsidR="00DF2ACE">
        <w:rPr>
          <w:rFonts w:ascii="Times New Roman" w:eastAsia="TimesNewRoman" w:hAnsi="Times New Roman" w:cs="Times New Roman"/>
          <w:sz w:val="24"/>
          <w:szCs w:val="24"/>
        </w:rPr>
        <w:t xml:space="preserve"> and</w:t>
      </w:r>
      <w:r w:rsidR="00CB4988">
        <w:rPr>
          <w:rFonts w:ascii="Times New Roman" w:eastAsia="TimesNewRoman" w:hAnsi="Times New Roman" w:cs="Times New Roman"/>
          <w:sz w:val="24"/>
          <w:szCs w:val="24"/>
        </w:rPr>
        <w:t xml:space="preserve"> SHARON L.,  DOUGLAS E.,  SNİPES, RL.,</w:t>
      </w:r>
      <w:r w:rsidRPr="005C301D">
        <w:rPr>
          <w:rFonts w:ascii="Times New Roman" w:eastAsia="TimesNewRoman" w:hAnsi="Times New Roman" w:cs="Times New Roman"/>
          <w:sz w:val="24"/>
          <w:szCs w:val="24"/>
        </w:rPr>
        <w:t xml:space="preserve"> BUTLER, D., </w:t>
      </w:r>
      <w:r w:rsidR="00563F02" w:rsidRPr="005C301D">
        <w:rPr>
          <w:rFonts w:ascii="Times New Roman" w:eastAsia="TimesNewRoman" w:hAnsi="Times New Roman" w:cs="Times New Roman"/>
          <w:sz w:val="24"/>
          <w:szCs w:val="24"/>
        </w:rPr>
        <w:t xml:space="preserve">(1998), </w:t>
      </w:r>
      <w:r w:rsidR="000550BA" w:rsidRPr="005C301D">
        <w:rPr>
          <w:rFonts w:ascii="Times New Roman" w:eastAsia="TimesNewRoman" w:hAnsi="Times New Roman" w:cs="Times New Roman"/>
          <w:b/>
          <w:sz w:val="24"/>
          <w:szCs w:val="24"/>
        </w:rPr>
        <w:t>“</w:t>
      </w:r>
      <w:r w:rsidR="00563F02" w:rsidRPr="005C301D">
        <w:rPr>
          <w:rFonts w:ascii="Times New Roman" w:eastAsia="TimesNewRoman" w:hAnsi="Times New Roman" w:cs="Times New Roman"/>
          <w:b/>
          <w:sz w:val="24"/>
          <w:szCs w:val="24"/>
        </w:rPr>
        <w:t>Quality Determinants And Hospital Satisfaction</w:t>
      </w:r>
      <w:r w:rsidR="00563F02" w:rsidRPr="005C301D">
        <w:rPr>
          <w:rFonts w:ascii="Times New Roman" w:eastAsia="TimesNewRoman" w:hAnsi="Times New Roman" w:cs="Times New Roman"/>
          <w:b/>
          <w:iCs/>
          <w:sz w:val="24"/>
          <w:szCs w:val="24"/>
        </w:rPr>
        <w:t xml:space="preserve">, </w:t>
      </w:r>
      <w:r w:rsidR="00563F02" w:rsidRPr="005C301D">
        <w:rPr>
          <w:rFonts w:ascii="Times New Roman" w:eastAsia="TimesNewRoman" w:hAnsi="Times New Roman" w:cs="Times New Roman"/>
          <w:b/>
          <w:bCs/>
          <w:sz w:val="24"/>
          <w:szCs w:val="24"/>
        </w:rPr>
        <w:t>Marketing Health Services</w:t>
      </w:r>
      <w:r w:rsidR="000550BA" w:rsidRPr="005C301D">
        <w:rPr>
          <w:rFonts w:ascii="Times New Roman" w:eastAsia="TimesNewRoman" w:hAnsi="Times New Roman" w:cs="Times New Roman"/>
          <w:b/>
          <w:bCs/>
          <w:sz w:val="24"/>
          <w:szCs w:val="24"/>
        </w:rPr>
        <w:t>”</w:t>
      </w:r>
      <w:r w:rsidR="00563F02" w:rsidRPr="005C301D">
        <w:rPr>
          <w:rFonts w:ascii="Times New Roman" w:eastAsia="TimesNewRoman" w:hAnsi="Times New Roman" w:cs="Times New Roman"/>
          <w:sz w:val="24"/>
          <w:szCs w:val="24"/>
        </w:rPr>
        <w:t>, March 1, Vol:18, Issue:1, pp.1094-1304</w:t>
      </w:r>
      <w:r w:rsidR="0044274F">
        <w:rPr>
          <w:rFonts w:ascii="Times New Roman" w:eastAsia="TimesNewRoman" w:hAnsi="Times New Roman" w:cs="Times New Roman"/>
          <w:sz w:val="24"/>
          <w:szCs w:val="24"/>
        </w:rPr>
        <w:t>.</w:t>
      </w:r>
    </w:p>
    <w:p w:rsidR="0044274F" w:rsidRPr="0044274F" w:rsidRDefault="0044274F" w:rsidP="0044274F">
      <w:pPr>
        <w:pStyle w:val="ListeParagraf"/>
        <w:rPr>
          <w:rFonts w:ascii="Times New Roman" w:eastAsia="TimesNewRoman" w:hAnsi="Times New Roman" w:cs="Times New Roman"/>
          <w:sz w:val="24"/>
          <w:szCs w:val="24"/>
        </w:rPr>
      </w:pPr>
    </w:p>
    <w:p w:rsidR="00563F02" w:rsidRPr="005C301D" w:rsidRDefault="00A059B5" w:rsidP="005C301D">
      <w:pPr>
        <w:pStyle w:val="ListeParagraf"/>
        <w:numPr>
          <w:ilvl w:val="0"/>
          <w:numId w:val="12"/>
        </w:numPr>
        <w:autoSpaceDE w:val="0"/>
        <w:autoSpaceDN w:val="0"/>
        <w:adjustRightInd w:val="0"/>
        <w:spacing w:beforeLines="120" w:before="288" w:afterLines="120" w:after="288" w:line="240" w:lineRule="auto"/>
        <w:jc w:val="both"/>
        <w:rPr>
          <w:rFonts w:ascii="Times New Roman" w:hAnsi="Times New Roman" w:cs="Times New Roman"/>
          <w:sz w:val="24"/>
          <w:szCs w:val="24"/>
        </w:rPr>
      </w:pPr>
      <w:r w:rsidRPr="005C301D">
        <w:rPr>
          <w:rFonts w:ascii="Times New Roman" w:hAnsi="Times New Roman" w:cs="Times New Roman"/>
          <w:sz w:val="24"/>
          <w:szCs w:val="24"/>
        </w:rPr>
        <w:t xml:space="preserve">Türkiye Klinik Kalite Programı, </w:t>
      </w:r>
      <w:r w:rsidRPr="005C301D">
        <w:rPr>
          <w:rFonts w:ascii="Times New Roman" w:hAnsi="Times New Roman" w:cs="Times New Roman"/>
          <w:b/>
          <w:sz w:val="24"/>
          <w:szCs w:val="24"/>
        </w:rPr>
        <w:t xml:space="preserve">“Tanımlar” </w:t>
      </w:r>
      <w:hyperlink r:id="rId11" w:history="1">
        <w:r w:rsidR="00563F02" w:rsidRPr="005C301D">
          <w:rPr>
            <w:rStyle w:val="Kpr"/>
            <w:rFonts w:ascii="Times New Roman" w:hAnsi="Times New Roman" w:cs="Times New Roman"/>
            <w:sz w:val="24"/>
            <w:szCs w:val="24"/>
          </w:rPr>
          <w:t>http://www.saglik.gov.tr/KlinikKalite/belge/1-17646/tanimlar.html</w:t>
        </w:r>
      </w:hyperlink>
      <w:r w:rsidR="00563F02" w:rsidRPr="005C301D">
        <w:rPr>
          <w:rFonts w:ascii="Times New Roman" w:hAnsi="Times New Roman" w:cs="Times New Roman"/>
          <w:sz w:val="24"/>
          <w:szCs w:val="24"/>
        </w:rPr>
        <w:t xml:space="preserve"> 04.01.2013</w:t>
      </w:r>
    </w:p>
    <w:p w:rsidR="009866FB" w:rsidRPr="0039044E" w:rsidRDefault="009866FB" w:rsidP="005C301D">
      <w:pPr>
        <w:spacing w:beforeLines="120" w:before="288" w:afterLines="120" w:after="288" w:line="240" w:lineRule="auto"/>
        <w:jc w:val="both"/>
        <w:rPr>
          <w:rFonts w:ascii="Times New Roman" w:hAnsi="Times New Roman" w:cs="Times New Roman"/>
          <w:b/>
          <w:color w:val="333333"/>
          <w:sz w:val="24"/>
          <w:szCs w:val="24"/>
        </w:rPr>
      </w:pPr>
    </w:p>
    <w:sectPr w:rsidR="009866FB" w:rsidRPr="0039044E" w:rsidSect="000A29A1">
      <w:pgSz w:w="11906" w:h="16838"/>
      <w:pgMar w:top="1701" w:right="1558"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D7" w:rsidRDefault="00536ED7" w:rsidP="007660DA">
      <w:pPr>
        <w:spacing w:after="0" w:line="240" w:lineRule="auto"/>
      </w:pPr>
      <w:r>
        <w:separator/>
      </w:r>
    </w:p>
  </w:endnote>
  <w:endnote w:type="continuationSeparator" w:id="0">
    <w:p w:rsidR="00536ED7" w:rsidRDefault="00536ED7" w:rsidP="0076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askerville BE Regular">
    <w:altName w:val="Times New Roman"/>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8070000" w:usb2="00000010" w:usb3="00000000" w:csb0="00020001" w:csb1="00000000"/>
  </w:font>
  <w:font w:name="TTE17B967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D7" w:rsidRDefault="00536ED7" w:rsidP="007660DA">
      <w:pPr>
        <w:spacing w:after="0" w:line="240" w:lineRule="auto"/>
      </w:pPr>
      <w:r>
        <w:separator/>
      </w:r>
    </w:p>
  </w:footnote>
  <w:footnote w:type="continuationSeparator" w:id="0">
    <w:p w:rsidR="00536ED7" w:rsidRDefault="00536ED7" w:rsidP="007660DA">
      <w:pPr>
        <w:spacing w:after="0" w:line="240" w:lineRule="auto"/>
      </w:pPr>
      <w:r>
        <w:continuationSeparator/>
      </w:r>
    </w:p>
  </w:footnote>
  <w:footnote w:id="1">
    <w:p w:rsidR="007660DA" w:rsidRPr="002C28CB" w:rsidRDefault="007660DA" w:rsidP="007660DA">
      <w:pPr>
        <w:pStyle w:val="DipnotMetni"/>
        <w:rPr>
          <w:rFonts w:ascii="Times New Roman" w:hAnsi="Times New Roman" w:cs="Times New Roman"/>
        </w:rPr>
      </w:pPr>
      <w:r w:rsidRPr="002C28CB">
        <w:rPr>
          <w:rStyle w:val="DipnotBavurusu"/>
          <w:rFonts w:ascii="Times New Roman" w:hAnsi="Times New Roman" w:cs="Times New Roman"/>
        </w:rPr>
        <w:footnoteRef/>
      </w:r>
      <w:r w:rsidRPr="002C28CB">
        <w:rPr>
          <w:rFonts w:ascii="Times New Roman" w:hAnsi="Times New Roman" w:cs="Times New Roman"/>
        </w:rPr>
        <w:t xml:space="preserve"> </w:t>
      </w:r>
      <w:r w:rsidR="0039044E" w:rsidRPr="0039044E">
        <w:rPr>
          <w:rFonts w:ascii="Times New Roman" w:hAnsi="Times New Roman" w:cs="Times New Roman"/>
          <w:b/>
          <w:i/>
          <w:sz w:val="22"/>
          <w:szCs w:val="22"/>
        </w:rPr>
        <w:t xml:space="preserve">İbrahim </w:t>
      </w:r>
      <w:r w:rsidR="00673F24">
        <w:rPr>
          <w:rFonts w:ascii="Times New Roman" w:hAnsi="Times New Roman" w:cs="Times New Roman"/>
          <w:b/>
          <w:i/>
          <w:sz w:val="22"/>
          <w:szCs w:val="22"/>
        </w:rPr>
        <w:t xml:space="preserve">H. </w:t>
      </w:r>
      <w:r w:rsidR="0039044E" w:rsidRPr="0039044E">
        <w:rPr>
          <w:rFonts w:ascii="Times New Roman" w:hAnsi="Times New Roman" w:cs="Times New Roman"/>
          <w:b/>
          <w:i/>
          <w:sz w:val="22"/>
          <w:szCs w:val="22"/>
        </w:rPr>
        <w:t>KAYRAL</w:t>
      </w:r>
      <w:r w:rsidR="0039044E" w:rsidRPr="0039044E">
        <w:rPr>
          <w:rFonts w:ascii="Times New Roman" w:hAnsi="Times New Roman" w:cs="Times New Roman"/>
          <w:i/>
          <w:sz w:val="22"/>
          <w:szCs w:val="22"/>
        </w:rPr>
        <w:t xml:space="preserve">, </w:t>
      </w:r>
      <w:r w:rsidR="004128A6">
        <w:rPr>
          <w:rFonts w:ascii="Times New Roman" w:hAnsi="Times New Roman" w:cs="Times New Roman"/>
          <w:i/>
          <w:sz w:val="22"/>
          <w:szCs w:val="22"/>
        </w:rPr>
        <w:t>Dr.</w:t>
      </w:r>
      <w:r w:rsidR="00E96158">
        <w:rPr>
          <w:rFonts w:ascii="Times New Roman" w:hAnsi="Times New Roman" w:cs="Times New Roman"/>
          <w:i/>
          <w:sz w:val="22"/>
          <w:szCs w:val="22"/>
        </w:rPr>
        <w:t>,</w:t>
      </w:r>
      <w:bookmarkStart w:id="0" w:name="_GoBack"/>
      <w:bookmarkEnd w:id="0"/>
      <w:r w:rsidR="004128A6">
        <w:rPr>
          <w:rFonts w:ascii="Times New Roman" w:hAnsi="Times New Roman" w:cs="Times New Roman"/>
          <w:i/>
          <w:sz w:val="22"/>
          <w:szCs w:val="22"/>
        </w:rPr>
        <w:t xml:space="preserve"> T.C. Sağlık Bakanlığı, </w:t>
      </w:r>
      <w:r w:rsidRPr="0039044E">
        <w:rPr>
          <w:rFonts w:ascii="Times New Roman" w:hAnsi="Times New Roman" w:cs="Times New Roman"/>
          <w:i/>
          <w:sz w:val="22"/>
          <w:szCs w:val="22"/>
        </w:rPr>
        <w:t>Kalite ve Akreditasyon Daire Başkanlığı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B6D"/>
    <w:multiLevelType w:val="hybridMultilevel"/>
    <w:tmpl w:val="9FBA2C32"/>
    <w:lvl w:ilvl="0" w:tplc="F5403D34">
      <w:start w:val="1"/>
      <w:numFmt w:val="bullet"/>
      <w:lvlText w:val="•"/>
      <w:lvlJc w:val="left"/>
      <w:pPr>
        <w:tabs>
          <w:tab w:val="num" w:pos="720"/>
        </w:tabs>
        <w:ind w:left="720" w:hanging="360"/>
      </w:pPr>
      <w:rPr>
        <w:rFonts w:ascii="Arial" w:hAnsi="Arial" w:hint="default"/>
      </w:rPr>
    </w:lvl>
    <w:lvl w:ilvl="1" w:tplc="867836CA" w:tentative="1">
      <w:start w:val="1"/>
      <w:numFmt w:val="bullet"/>
      <w:lvlText w:val="•"/>
      <w:lvlJc w:val="left"/>
      <w:pPr>
        <w:tabs>
          <w:tab w:val="num" w:pos="1440"/>
        </w:tabs>
        <w:ind w:left="1440" w:hanging="360"/>
      </w:pPr>
      <w:rPr>
        <w:rFonts w:ascii="Arial" w:hAnsi="Arial" w:hint="default"/>
      </w:rPr>
    </w:lvl>
    <w:lvl w:ilvl="2" w:tplc="30464FFA" w:tentative="1">
      <w:start w:val="1"/>
      <w:numFmt w:val="bullet"/>
      <w:lvlText w:val="•"/>
      <w:lvlJc w:val="left"/>
      <w:pPr>
        <w:tabs>
          <w:tab w:val="num" w:pos="2160"/>
        </w:tabs>
        <w:ind w:left="2160" w:hanging="360"/>
      </w:pPr>
      <w:rPr>
        <w:rFonts w:ascii="Arial" w:hAnsi="Arial" w:hint="default"/>
      </w:rPr>
    </w:lvl>
    <w:lvl w:ilvl="3" w:tplc="A3C8DAA8" w:tentative="1">
      <w:start w:val="1"/>
      <w:numFmt w:val="bullet"/>
      <w:lvlText w:val="•"/>
      <w:lvlJc w:val="left"/>
      <w:pPr>
        <w:tabs>
          <w:tab w:val="num" w:pos="2880"/>
        </w:tabs>
        <w:ind w:left="2880" w:hanging="360"/>
      </w:pPr>
      <w:rPr>
        <w:rFonts w:ascii="Arial" w:hAnsi="Arial" w:hint="default"/>
      </w:rPr>
    </w:lvl>
    <w:lvl w:ilvl="4" w:tplc="1A72042C" w:tentative="1">
      <w:start w:val="1"/>
      <w:numFmt w:val="bullet"/>
      <w:lvlText w:val="•"/>
      <w:lvlJc w:val="left"/>
      <w:pPr>
        <w:tabs>
          <w:tab w:val="num" w:pos="3600"/>
        </w:tabs>
        <w:ind w:left="3600" w:hanging="360"/>
      </w:pPr>
      <w:rPr>
        <w:rFonts w:ascii="Arial" w:hAnsi="Arial" w:hint="default"/>
      </w:rPr>
    </w:lvl>
    <w:lvl w:ilvl="5" w:tplc="4CCC8848" w:tentative="1">
      <w:start w:val="1"/>
      <w:numFmt w:val="bullet"/>
      <w:lvlText w:val="•"/>
      <w:lvlJc w:val="left"/>
      <w:pPr>
        <w:tabs>
          <w:tab w:val="num" w:pos="4320"/>
        </w:tabs>
        <w:ind w:left="4320" w:hanging="360"/>
      </w:pPr>
      <w:rPr>
        <w:rFonts w:ascii="Arial" w:hAnsi="Arial" w:hint="default"/>
      </w:rPr>
    </w:lvl>
    <w:lvl w:ilvl="6" w:tplc="BBA09E56" w:tentative="1">
      <w:start w:val="1"/>
      <w:numFmt w:val="bullet"/>
      <w:lvlText w:val="•"/>
      <w:lvlJc w:val="left"/>
      <w:pPr>
        <w:tabs>
          <w:tab w:val="num" w:pos="5040"/>
        </w:tabs>
        <w:ind w:left="5040" w:hanging="360"/>
      </w:pPr>
      <w:rPr>
        <w:rFonts w:ascii="Arial" w:hAnsi="Arial" w:hint="default"/>
      </w:rPr>
    </w:lvl>
    <w:lvl w:ilvl="7" w:tplc="B1C687FC" w:tentative="1">
      <w:start w:val="1"/>
      <w:numFmt w:val="bullet"/>
      <w:lvlText w:val="•"/>
      <w:lvlJc w:val="left"/>
      <w:pPr>
        <w:tabs>
          <w:tab w:val="num" w:pos="5760"/>
        </w:tabs>
        <w:ind w:left="5760" w:hanging="360"/>
      </w:pPr>
      <w:rPr>
        <w:rFonts w:ascii="Arial" w:hAnsi="Arial" w:hint="default"/>
      </w:rPr>
    </w:lvl>
    <w:lvl w:ilvl="8" w:tplc="561E3D9A" w:tentative="1">
      <w:start w:val="1"/>
      <w:numFmt w:val="bullet"/>
      <w:lvlText w:val="•"/>
      <w:lvlJc w:val="left"/>
      <w:pPr>
        <w:tabs>
          <w:tab w:val="num" w:pos="6480"/>
        </w:tabs>
        <w:ind w:left="6480" w:hanging="360"/>
      </w:pPr>
      <w:rPr>
        <w:rFonts w:ascii="Arial" w:hAnsi="Arial" w:hint="default"/>
      </w:rPr>
    </w:lvl>
  </w:abstractNum>
  <w:abstractNum w:abstractNumId="1">
    <w:nsid w:val="121612BB"/>
    <w:multiLevelType w:val="hybridMultilevel"/>
    <w:tmpl w:val="A87E9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B2F1A4E"/>
    <w:multiLevelType w:val="hybridMultilevel"/>
    <w:tmpl w:val="AB3ED51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FD5E26"/>
    <w:multiLevelType w:val="hybridMultilevel"/>
    <w:tmpl w:val="5E6CF060"/>
    <w:lvl w:ilvl="0" w:tplc="3168BCA4">
      <w:start w:val="1"/>
      <w:numFmt w:val="bullet"/>
      <w:lvlText w:val="•"/>
      <w:lvlJc w:val="left"/>
      <w:pPr>
        <w:tabs>
          <w:tab w:val="num" w:pos="720"/>
        </w:tabs>
        <w:ind w:left="720" w:hanging="360"/>
      </w:pPr>
      <w:rPr>
        <w:rFonts w:ascii="Arial" w:hAnsi="Arial" w:hint="default"/>
      </w:rPr>
    </w:lvl>
    <w:lvl w:ilvl="1" w:tplc="8CF059CC" w:tentative="1">
      <w:start w:val="1"/>
      <w:numFmt w:val="bullet"/>
      <w:lvlText w:val="•"/>
      <w:lvlJc w:val="left"/>
      <w:pPr>
        <w:tabs>
          <w:tab w:val="num" w:pos="1440"/>
        </w:tabs>
        <w:ind w:left="1440" w:hanging="360"/>
      </w:pPr>
      <w:rPr>
        <w:rFonts w:ascii="Arial" w:hAnsi="Arial" w:hint="default"/>
      </w:rPr>
    </w:lvl>
    <w:lvl w:ilvl="2" w:tplc="723AA326" w:tentative="1">
      <w:start w:val="1"/>
      <w:numFmt w:val="bullet"/>
      <w:lvlText w:val="•"/>
      <w:lvlJc w:val="left"/>
      <w:pPr>
        <w:tabs>
          <w:tab w:val="num" w:pos="2160"/>
        </w:tabs>
        <w:ind w:left="2160" w:hanging="360"/>
      </w:pPr>
      <w:rPr>
        <w:rFonts w:ascii="Arial" w:hAnsi="Arial" w:hint="default"/>
      </w:rPr>
    </w:lvl>
    <w:lvl w:ilvl="3" w:tplc="6116F906" w:tentative="1">
      <w:start w:val="1"/>
      <w:numFmt w:val="bullet"/>
      <w:lvlText w:val="•"/>
      <w:lvlJc w:val="left"/>
      <w:pPr>
        <w:tabs>
          <w:tab w:val="num" w:pos="2880"/>
        </w:tabs>
        <w:ind w:left="2880" w:hanging="360"/>
      </w:pPr>
      <w:rPr>
        <w:rFonts w:ascii="Arial" w:hAnsi="Arial" w:hint="default"/>
      </w:rPr>
    </w:lvl>
    <w:lvl w:ilvl="4" w:tplc="0686C334" w:tentative="1">
      <w:start w:val="1"/>
      <w:numFmt w:val="bullet"/>
      <w:lvlText w:val="•"/>
      <w:lvlJc w:val="left"/>
      <w:pPr>
        <w:tabs>
          <w:tab w:val="num" w:pos="3600"/>
        </w:tabs>
        <w:ind w:left="3600" w:hanging="360"/>
      </w:pPr>
      <w:rPr>
        <w:rFonts w:ascii="Arial" w:hAnsi="Arial" w:hint="default"/>
      </w:rPr>
    </w:lvl>
    <w:lvl w:ilvl="5" w:tplc="1584BD8A" w:tentative="1">
      <w:start w:val="1"/>
      <w:numFmt w:val="bullet"/>
      <w:lvlText w:val="•"/>
      <w:lvlJc w:val="left"/>
      <w:pPr>
        <w:tabs>
          <w:tab w:val="num" w:pos="4320"/>
        </w:tabs>
        <w:ind w:left="4320" w:hanging="360"/>
      </w:pPr>
      <w:rPr>
        <w:rFonts w:ascii="Arial" w:hAnsi="Arial" w:hint="default"/>
      </w:rPr>
    </w:lvl>
    <w:lvl w:ilvl="6" w:tplc="FAD69B60" w:tentative="1">
      <w:start w:val="1"/>
      <w:numFmt w:val="bullet"/>
      <w:lvlText w:val="•"/>
      <w:lvlJc w:val="left"/>
      <w:pPr>
        <w:tabs>
          <w:tab w:val="num" w:pos="5040"/>
        </w:tabs>
        <w:ind w:left="5040" w:hanging="360"/>
      </w:pPr>
      <w:rPr>
        <w:rFonts w:ascii="Arial" w:hAnsi="Arial" w:hint="default"/>
      </w:rPr>
    </w:lvl>
    <w:lvl w:ilvl="7" w:tplc="44DAC6EA" w:tentative="1">
      <w:start w:val="1"/>
      <w:numFmt w:val="bullet"/>
      <w:lvlText w:val="•"/>
      <w:lvlJc w:val="left"/>
      <w:pPr>
        <w:tabs>
          <w:tab w:val="num" w:pos="5760"/>
        </w:tabs>
        <w:ind w:left="5760" w:hanging="360"/>
      </w:pPr>
      <w:rPr>
        <w:rFonts w:ascii="Arial" w:hAnsi="Arial" w:hint="default"/>
      </w:rPr>
    </w:lvl>
    <w:lvl w:ilvl="8" w:tplc="776A9C7C" w:tentative="1">
      <w:start w:val="1"/>
      <w:numFmt w:val="bullet"/>
      <w:lvlText w:val="•"/>
      <w:lvlJc w:val="left"/>
      <w:pPr>
        <w:tabs>
          <w:tab w:val="num" w:pos="6480"/>
        </w:tabs>
        <w:ind w:left="6480" w:hanging="360"/>
      </w:pPr>
      <w:rPr>
        <w:rFonts w:ascii="Arial" w:hAnsi="Arial" w:hint="default"/>
      </w:rPr>
    </w:lvl>
  </w:abstractNum>
  <w:abstractNum w:abstractNumId="4">
    <w:nsid w:val="57AA6EDF"/>
    <w:multiLevelType w:val="hybridMultilevel"/>
    <w:tmpl w:val="3C4A64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69374CA"/>
    <w:multiLevelType w:val="hybridMultilevel"/>
    <w:tmpl w:val="8D64B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BE90DAB"/>
    <w:multiLevelType w:val="multilevel"/>
    <w:tmpl w:val="F126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847E5F"/>
    <w:multiLevelType w:val="hybridMultilevel"/>
    <w:tmpl w:val="20E09B58"/>
    <w:lvl w:ilvl="0" w:tplc="B8B2F2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1E541A6"/>
    <w:multiLevelType w:val="multilevel"/>
    <w:tmpl w:val="65C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D80EA0"/>
    <w:multiLevelType w:val="hybridMultilevel"/>
    <w:tmpl w:val="72C09EB6"/>
    <w:lvl w:ilvl="0" w:tplc="4912C456">
      <w:start w:val="1"/>
      <w:numFmt w:val="bullet"/>
      <w:lvlText w:val="•"/>
      <w:lvlJc w:val="left"/>
      <w:pPr>
        <w:tabs>
          <w:tab w:val="num" w:pos="720"/>
        </w:tabs>
        <w:ind w:left="720" w:hanging="360"/>
      </w:pPr>
      <w:rPr>
        <w:rFonts w:ascii="Arial" w:hAnsi="Arial" w:hint="default"/>
      </w:rPr>
    </w:lvl>
    <w:lvl w:ilvl="1" w:tplc="CE8A3D88" w:tentative="1">
      <w:start w:val="1"/>
      <w:numFmt w:val="bullet"/>
      <w:lvlText w:val="•"/>
      <w:lvlJc w:val="left"/>
      <w:pPr>
        <w:tabs>
          <w:tab w:val="num" w:pos="1440"/>
        </w:tabs>
        <w:ind w:left="1440" w:hanging="360"/>
      </w:pPr>
      <w:rPr>
        <w:rFonts w:ascii="Arial" w:hAnsi="Arial" w:hint="default"/>
      </w:rPr>
    </w:lvl>
    <w:lvl w:ilvl="2" w:tplc="DD406422" w:tentative="1">
      <w:start w:val="1"/>
      <w:numFmt w:val="bullet"/>
      <w:lvlText w:val="•"/>
      <w:lvlJc w:val="left"/>
      <w:pPr>
        <w:tabs>
          <w:tab w:val="num" w:pos="2160"/>
        </w:tabs>
        <w:ind w:left="2160" w:hanging="360"/>
      </w:pPr>
      <w:rPr>
        <w:rFonts w:ascii="Arial" w:hAnsi="Arial" w:hint="default"/>
      </w:rPr>
    </w:lvl>
    <w:lvl w:ilvl="3" w:tplc="FCB0912A" w:tentative="1">
      <w:start w:val="1"/>
      <w:numFmt w:val="bullet"/>
      <w:lvlText w:val="•"/>
      <w:lvlJc w:val="left"/>
      <w:pPr>
        <w:tabs>
          <w:tab w:val="num" w:pos="2880"/>
        </w:tabs>
        <w:ind w:left="2880" w:hanging="360"/>
      </w:pPr>
      <w:rPr>
        <w:rFonts w:ascii="Arial" w:hAnsi="Arial" w:hint="default"/>
      </w:rPr>
    </w:lvl>
    <w:lvl w:ilvl="4" w:tplc="70E0D25C" w:tentative="1">
      <w:start w:val="1"/>
      <w:numFmt w:val="bullet"/>
      <w:lvlText w:val="•"/>
      <w:lvlJc w:val="left"/>
      <w:pPr>
        <w:tabs>
          <w:tab w:val="num" w:pos="3600"/>
        </w:tabs>
        <w:ind w:left="3600" w:hanging="360"/>
      </w:pPr>
      <w:rPr>
        <w:rFonts w:ascii="Arial" w:hAnsi="Arial" w:hint="default"/>
      </w:rPr>
    </w:lvl>
    <w:lvl w:ilvl="5" w:tplc="91F6EEDC" w:tentative="1">
      <w:start w:val="1"/>
      <w:numFmt w:val="bullet"/>
      <w:lvlText w:val="•"/>
      <w:lvlJc w:val="left"/>
      <w:pPr>
        <w:tabs>
          <w:tab w:val="num" w:pos="4320"/>
        </w:tabs>
        <w:ind w:left="4320" w:hanging="360"/>
      </w:pPr>
      <w:rPr>
        <w:rFonts w:ascii="Arial" w:hAnsi="Arial" w:hint="default"/>
      </w:rPr>
    </w:lvl>
    <w:lvl w:ilvl="6" w:tplc="0EB69C02" w:tentative="1">
      <w:start w:val="1"/>
      <w:numFmt w:val="bullet"/>
      <w:lvlText w:val="•"/>
      <w:lvlJc w:val="left"/>
      <w:pPr>
        <w:tabs>
          <w:tab w:val="num" w:pos="5040"/>
        </w:tabs>
        <w:ind w:left="5040" w:hanging="360"/>
      </w:pPr>
      <w:rPr>
        <w:rFonts w:ascii="Arial" w:hAnsi="Arial" w:hint="default"/>
      </w:rPr>
    </w:lvl>
    <w:lvl w:ilvl="7" w:tplc="8AF20500" w:tentative="1">
      <w:start w:val="1"/>
      <w:numFmt w:val="bullet"/>
      <w:lvlText w:val="•"/>
      <w:lvlJc w:val="left"/>
      <w:pPr>
        <w:tabs>
          <w:tab w:val="num" w:pos="5760"/>
        </w:tabs>
        <w:ind w:left="5760" w:hanging="360"/>
      </w:pPr>
      <w:rPr>
        <w:rFonts w:ascii="Arial" w:hAnsi="Arial" w:hint="default"/>
      </w:rPr>
    </w:lvl>
    <w:lvl w:ilvl="8" w:tplc="13CA9486" w:tentative="1">
      <w:start w:val="1"/>
      <w:numFmt w:val="bullet"/>
      <w:lvlText w:val="•"/>
      <w:lvlJc w:val="left"/>
      <w:pPr>
        <w:tabs>
          <w:tab w:val="num" w:pos="6480"/>
        </w:tabs>
        <w:ind w:left="6480" w:hanging="360"/>
      </w:pPr>
      <w:rPr>
        <w:rFonts w:ascii="Arial" w:hAnsi="Arial" w:hint="default"/>
      </w:rPr>
    </w:lvl>
  </w:abstractNum>
  <w:abstractNum w:abstractNumId="10">
    <w:nsid w:val="77606CCD"/>
    <w:multiLevelType w:val="hybridMultilevel"/>
    <w:tmpl w:val="9B185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EBD70BE"/>
    <w:multiLevelType w:val="hybridMultilevel"/>
    <w:tmpl w:val="DECA8E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0"/>
  </w:num>
  <w:num w:numId="6">
    <w:abstractNumId w:val="9"/>
  </w:num>
  <w:num w:numId="7">
    <w:abstractNumId w:val="10"/>
  </w:num>
  <w:num w:numId="8">
    <w:abstractNumId w:val="4"/>
  </w:num>
  <w:num w:numId="9">
    <w:abstractNumId w:val="2"/>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0825"/>
    <w:rsid w:val="00005249"/>
    <w:rsid w:val="00007015"/>
    <w:rsid w:val="000109E6"/>
    <w:rsid w:val="00016052"/>
    <w:rsid w:val="00020568"/>
    <w:rsid w:val="00040C71"/>
    <w:rsid w:val="0004589C"/>
    <w:rsid w:val="00050DC6"/>
    <w:rsid w:val="000550BA"/>
    <w:rsid w:val="00057301"/>
    <w:rsid w:val="00061E6E"/>
    <w:rsid w:val="000633CB"/>
    <w:rsid w:val="00082141"/>
    <w:rsid w:val="0008356A"/>
    <w:rsid w:val="000857F5"/>
    <w:rsid w:val="00097702"/>
    <w:rsid w:val="000A29A1"/>
    <w:rsid w:val="000B09B8"/>
    <w:rsid w:val="000B6A87"/>
    <w:rsid w:val="000C1008"/>
    <w:rsid w:val="000D575D"/>
    <w:rsid w:val="000E477D"/>
    <w:rsid w:val="000F661E"/>
    <w:rsid w:val="001023AE"/>
    <w:rsid w:val="00102B31"/>
    <w:rsid w:val="0013183B"/>
    <w:rsid w:val="00135953"/>
    <w:rsid w:val="001418C1"/>
    <w:rsid w:val="00151803"/>
    <w:rsid w:val="00154F04"/>
    <w:rsid w:val="00175461"/>
    <w:rsid w:val="00191B12"/>
    <w:rsid w:val="001A2F01"/>
    <w:rsid w:val="001B3807"/>
    <w:rsid w:val="001C126B"/>
    <w:rsid w:val="001C234B"/>
    <w:rsid w:val="001D1DA8"/>
    <w:rsid w:val="001E3D7D"/>
    <w:rsid w:val="001F6F23"/>
    <w:rsid w:val="00204533"/>
    <w:rsid w:val="002112EF"/>
    <w:rsid w:val="00212EBA"/>
    <w:rsid w:val="00214CD9"/>
    <w:rsid w:val="00216C21"/>
    <w:rsid w:val="00222519"/>
    <w:rsid w:val="002233C5"/>
    <w:rsid w:val="00224C43"/>
    <w:rsid w:val="00226F54"/>
    <w:rsid w:val="002304BA"/>
    <w:rsid w:val="00230F65"/>
    <w:rsid w:val="00234A18"/>
    <w:rsid w:val="00265C25"/>
    <w:rsid w:val="002741E2"/>
    <w:rsid w:val="00275134"/>
    <w:rsid w:val="00275D48"/>
    <w:rsid w:val="002765FC"/>
    <w:rsid w:val="00286215"/>
    <w:rsid w:val="002865E6"/>
    <w:rsid w:val="00287CC5"/>
    <w:rsid w:val="00287FCD"/>
    <w:rsid w:val="002957F2"/>
    <w:rsid w:val="002A2497"/>
    <w:rsid w:val="002A26EF"/>
    <w:rsid w:val="002B49F0"/>
    <w:rsid w:val="002B70E2"/>
    <w:rsid w:val="002D488F"/>
    <w:rsid w:val="002E069F"/>
    <w:rsid w:val="002E079D"/>
    <w:rsid w:val="002E3B15"/>
    <w:rsid w:val="002F0023"/>
    <w:rsid w:val="002F06E9"/>
    <w:rsid w:val="002F56DF"/>
    <w:rsid w:val="00306F5F"/>
    <w:rsid w:val="00307B13"/>
    <w:rsid w:val="00307C2D"/>
    <w:rsid w:val="0032000F"/>
    <w:rsid w:val="00321DFA"/>
    <w:rsid w:val="00342D5D"/>
    <w:rsid w:val="00343C2D"/>
    <w:rsid w:val="003570B7"/>
    <w:rsid w:val="00366543"/>
    <w:rsid w:val="00374F77"/>
    <w:rsid w:val="00381ECD"/>
    <w:rsid w:val="0038350A"/>
    <w:rsid w:val="00384ABA"/>
    <w:rsid w:val="0039044E"/>
    <w:rsid w:val="003B6B57"/>
    <w:rsid w:val="003C579A"/>
    <w:rsid w:val="003D3A8E"/>
    <w:rsid w:val="003E0884"/>
    <w:rsid w:val="003E3E2A"/>
    <w:rsid w:val="003F4575"/>
    <w:rsid w:val="004006E8"/>
    <w:rsid w:val="004071FF"/>
    <w:rsid w:val="00411906"/>
    <w:rsid w:val="004128A6"/>
    <w:rsid w:val="00412D3D"/>
    <w:rsid w:val="00415541"/>
    <w:rsid w:val="004171F9"/>
    <w:rsid w:val="0042079B"/>
    <w:rsid w:val="00423EAD"/>
    <w:rsid w:val="004255D6"/>
    <w:rsid w:val="00440795"/>
    <w:rsid w:val="0044274F"/>
    <w:rsid w:val="00446BFF"/>
    <w:rsid w:val="0044781B"/>
    <w:rsid w:val="004539B4"/>
    <w:rsid w:val="004612EA"/>
    <w:rsid w:val="00464EDF"/>
    <w:rsid w:val="00465AA8"/>
    <w:rsid w:val="00465D6A"/>
    <w:rsid w:val="004879F3"/>
    <w:rsid w:val="0049484C"/>
    <w:rsid w:val="004A0CB0"/>
    <w:rsid w:val="004A2E9F"/>
    <w:rsid w:val="004D4275"/>
    <w:rsid w:val="004F1193"/>
    <w:rsid w:val="00506FF4"/>
    <w:rsid w:val="005118E4"/>
    <w:rsid w:val="00514B4A"/>
    <w:rsid w:val="00517238"/>
    <w:rsid w:val="00523933"/>
    <w:rsid w:val="005300D6"/>
    <w:rsid w:val="00536ED7"/>
    <w:rsid w:val="00550C21"/>
    <w:rsid w:val="005513B1"/>
    <w:rsid w:val="00552AF8"/>
    <w:rsid w:val="00553225"/>
    <w:rsid w:val="00556D9D"/>
    <w:rsid w:val="00563442"/>
    <w:rsid w:val="00563F02"/>
    <w:rsid w:val="00567432"/>
    <w:rsid w:val="0057074D"/>
    <w:rsid w:val="00571362"/>
    <w:rsid w:val="00571881"/>
    <w:rsid w:val="005739FC"/>
    <w:rsid w:val="00580AB9"/>
    <w:rsid w:val="005871F3"/>
    <w:rsid w:val="005A2A7D"/>
    <w:rsid w:val="005A2FC3"/>
    <w:rsid w:val="005A7204"/>
    <w:rsid w:val="005B2A29"/>
    <w:rsid w:val="005B6AEE"/>
    <w:rsid w:val="005C301D"/>
    <w:rsid w:val="005C753B"/>
    <w:rsid w:val="005E447B"/>
    <w:rsid w:val="005F02F7"/>
    <w:rsid w:val="005F7AA2"/>
    <w:rsid w:val="005F7DE1"/>
    <w:rsid w:val="0060752B"/>
    <w:rsid w:val="00607DC7"/>
    <w:rsid w:val="00611DED"/>
    <w:rsid w:val="00621131"/>
    <w:rsid w:val="00625D10"/>
    <w:rsid w:val="00633C31"/>
    <w:rsid w:val="006350EE"/>
    <w:rsid w:val="00641C0C"/>
    <w:rsid w:val="00643C91"/>
    <w:rsid w:val="00647BB9"/>
    <w:rsid w:val="00653D41"/>
    <w:rsid w:val="0065566B"/>
    <w:rsid w:val="0066162D"/>
    <w:rsid w:val="0066369B"/>
    <w:rsid w:val="00664A7C"/>
    <w:rsid w:val="00673F24"/>
    <w:rsid w:val="00681923"/>
    <w:rsid w:val="00681D9F"/>
    <w:rsid w:val="00684796"/>
    <w:rsid w:val="006A5AFD"/>
    <w:rsid w:val="006B2B17"/>
    <w:rsid w:val="006B56C4"/>
    <w:rsid w:val="006C0F4C"/>
    <w:rsid w:val="006E068B"/>
    <w:rsid w:val="006E5DC5"/>
    <w:rsid w:val="006F071B"/>
    <w:rsid w:val="006F0893"/>
    <w:rsid w:val="00702C17"/>
    <w:rsid w:val="00702C5F"/>
    <w:rsid w:val="00710FDE"/>
    <w:rsid w:val="00711A55"/>
    <w:rsid w:val="00713267"/>
    <w:rsid w:val="00727BA6"/>
    <w:rsid w:val="00736379"/>
    <w:rsid w:val="00736919"/>
    <w:rsid w:val="00752FBB"/>
    <w:rsid w:val="00760550"/>
    <w:rsid w:val="007614F7"/>
    <w:rsid w:val="0076337D"/>
    <w:rsid w:val="007660DA"/>
    <w:rsid w:val="007812DF"/>
    <w:rsid w:val="0079779B"/>
    <w:rsid w:val="007A06D0"/>
    <w:rsid w:val="007A4610"/>
    <w:rsid w:val="007B1CD4"/>
    <w:rsid w:val="007C2683"/>
    <w:rsid w:val="007C4FBF"/>
    <w:rsid w:val="007C5BF4"/>
    <w:rsid w:val="007E42B8"/>
    <w:rsid w:val="007F3272"/>
    <w:rsid w:val="007F68A6"/>
    <w:rsid w:val="00800883"/>
    <w:rsid w:val="00802702"/>
    <w:rsid w:val="00802E53"/>
    <w:rsid w:val="0082280F"/>
    <w:rsid w:val="00835B92"/>
    <w:rsid w:val="00836C2D"/>
    <w:rsid w:val="008448C3"/>
    <w:rsid w:val="00847682"/>
    <w:rsid w:val="00847F13"/>
    <w:rsid w:val="00860E47"/>
    <w:rsid w:val="008625F1"/>
    <w:rsid w:val="0087003F"/>
    <w:rsid w:val="00872821"/>
    <w:rsid w:val="008773D2"/>
    <w:rsid w:val="00883646"/>
    <w:rsid w:val="008A6C0D"/>
    <w:rsid w:val="008C4459"/>
    <w:rsid w:val="008D2C02"/>
    <w:rsid w:val="008D34FE"/>
    <w:rsid w:val="008D6520"/>
    <w:rsid w:val="008E6164"/>
    <w:rsid w:val="008F096D"/>
    <w:rsid w:val="008F3876"/>
    <w:rsid w:val="008F4FD1"/>
    <w:rsid w:val="008F6334"/>
    <w:rsid w:val="00900825"/>
    <w:rsid w:val="0090151A"/>
    <w:rsid w:val="00901D52"/>
    <w:rsid w:val="009074D3"/>
    <w:rsid w:val="00911D58"/>
    <w:rsid w:val="00913D0F"/>
    <w:rsid w:val="00924115"/>
    <w:rsid w:val="00927687"/>
    <w:rsid w:val="00934ECC"/>
    <w:rsid w:val="009466A3"/>
    <w:rsid w:val="009516C5"/>
    <w:rsid w:val="009572EA"/>
    <w:rsid w:val="00970364"/>
    <w:rsid w:val="00972222"/>
    <w:rsid w:val="0097398C"/>
    <w:rsid w:val="00977B3B"/>
    <w:rsid w:val="00983CD7"/>
    <w:rsid w:val="009866FB"/>
    <w:rsid w:val="00994EBA"/>
    <w:rsid w:val="009A0768"/>
    <w:rsid w:val="009A2C82"/>
    <w:rsid w:val="009A51A3"/>
    <w:rsid w:val="009C3574"/>
    <w:rsid w:val="009C3BD3"/>
    <w:rsid w:val="009D1ABC"/>
    <w:rsid w:val="009F46A5"/>
    <w:rsid w:val="009F517C"/>
    <w:rsid w:val="00A059B5"/>
    <w:rsid w:val="00A111FC"/>
    <w:rsid w:val="00A11866"/>
    <w:rsid w:val="00A210D4"/>
    <w:rsid w:val="00A312EB"/>
    <w:rsid w:val="00A32E36"/>
    <w:rsid w:val="00A33AFE"/>
    <w:rsid w:val="00A66E3D"/>
    <w:rsid w:val="00A7722D"/>
    <w:rsid w:val="00A807AB"/>
    <w:rsid w:val="00A80D1C"/>
    <w:rsid w:val="00A840CE"/>
    <w:rsid w:val="00A87D5B"/>
    <w:rsid w:val="00A91082"/>
    <w:rsid w:val="00AA5F50"/>
    <w:rsid w:val="00AC6E28"/>
    <w:rsid w:val="00AD0B3C"/>
    <w:rsid w:val="00AD20C8"/>
    <w:rsid w:val="00AD5393"/>
    <w:rsid w:val="00AD7926"/>
    <w:rsid w:val="00AF12C7"/>
    <w:rsid w:val="00AF3223"/>
    <w:rsid w:val="00AF78AA"/>
    <w:rsid w:val="00B13A90"/>
    <w:rsid w:val="00B2214E"/>
    <w:rsid w:val="00B31D7E"/>
    <w:rsid w:val="00B35053"/>
    <w:rsid w:val="00B37053"/>
    <w:rsid w:val="00B376FD"/>
    <w:rsid w:val="00B4459D"/>
    <w:rsid w:val="00B55EED"/>
    <w:rsid w:val="00B70EFB"/>
    <w:rsid w:val="00B97B5C"/>
    <w:rsid w:val="00BA1D56"/>
    <w:rsid w:val="00BA33BF"/>
    <w:rsid w:val="00BA762D"/>
    <w:rsid w:val="00BC5171"/>
    <w:rsid w:val="00BD00A5"/>
    <w:rsid w:val="00BD1E97"/>
    <w:rsid w:val="00BE4E59"/>
    <w:rsid w:val="00C0263D"/>
    <w:rsid w:val="00C05F96"/>
    <w:rsid w:val="00C075E7"/>
    <w:rsid w:val="00C13C7A"/>
    <w:rsid w:val="00C23254"/>
    <w:rsid w:val="00C243CF"/>
    <w:rsid w:val="00C26B9F"/>
    <w:rsid w:val="00C35CDB"/>
    <w:rsid w:val="00C4222E"/>
    <w:rsid w:val="00C46D2F"/>
    <w:rsid w:val="00C5461C"/>
    <w:rsid w:val="00C65FFB"/>
    <w:rsid w:val="00C71BF8"/>
    <w:rsid w:val="00C7329A"/>
    <w:rsid w:val="00C74C0C"/>
    <w:rsid w:val="00C770CF"/>
    <w:rsid w:val="00C77CE2"/>
    <w:rsid w:val="00C85C66"/>
    <w:rsid w:val="00CA73BD"/>
    <w:rsid w:val="00CB3FB7"/>
    <w:rsid w:val="00CB4988"/>
    <w:rsid w:val="00CB6E56"/>
    <w:rsid w:val="00CD21BE"/>
    <w:rsid w:val="00CD34CD"/>
    <w:rsid w:val="00CD3A2F"/>
    <w:rsid w:val="00CD46A6"/>
    <w:rsid w:val="00CE07C0"/>
    <w:rsid w:val="00CF10E4"/>
    <w:rsid w:val="00CF61AB"/>
    <w:rsid w:val="00D021E6"/>
    <w:rsid w:val="00D12A44"/>
    <w:rsid w:val="00D12B41"/>
    <w:rsid w:val="00D12C52"/>
    <w:rsid w:val="00D46F23"/>
    <w:rsid w:val="00D6245F"/>
    <w:rsid w:val="00D633BE"/>
    <w:rsid w:val="00D70CA1"/>
    <w:rsid w:val="00D746C8"/>
    <w:rsid w:val="00D80DD1"/>
    <w:rsid w:val="00D83C69"/>
    <w:rsid w:val="00D87BD6"/>
    <w:rsid w:val="00DA7E8C"/>
    <w:rsid w:val="00DB5D95"/>
    <w:rsid w:val="00DB6943"/>
    <w:rsid w:val="00DC00EB"/>
    <w:rsid w:val="00DD1A7C"/>
    <w:rsid w:val="00DD64A1"/>
    <w:rsid w:val="00DD6C9C"/>
    <w:rsid w:val="00DF2ACE"/>
    <w:rsid w:val="00DF3183"/>
    <w:rsid w:val="00DF4111"/>
    <w:rsid w:val="00DF4AB2"/>
    <w:rsid w:val="00DF4B04"/>
    <w:rsid w:val="00E04D06"/>
    <w:rsid w:val="00E0769F"/>
    <w:rsid w:val="00E07AF8"/>
    <w:rsid w:val="00E1162F"/>
    <w:rsid w:val="00E11921"/>
    <w:rsid w:val="00E1452D"/>
    <w:rsid w:val="00E1595A"/>
    <w:rsid w:val="00E55C79"/>
    <w:rsid w:val="00E62962"/>
    <w:rsid w:val="00E653F1"/>
    <w:rsid w:val="00E74121"/>
    <w:rsid w:val="00E75B56"/>
    <w:rsid w:val="00E7698A"/>
    <w:rsid w:val="00E84503"/>
    <w:rsid w:val="00E94702"/>
    <w:rsid w:val="00E96158"/>
    <w:rsid w:val="00E96F68"/>
    <w:rsid w:val="00EA0505"/>
    <w:rsid w:val="00EA0A92"/>
    <w:rsid w:val="00EA7308"/>
    <w:rsid w:val="00EB32B0"/>
    <w:rsid w:val="00EC0367"/>
    <w:rsid w:val="00EC5F0E"/>
    <w:rsid w:val="00ED6213"/>
    <w:rsid w:val="00ED773C"/>
    <w:rsid w:val="00EE0B06"/>
    <w:rsid w:val="00EE19D6"/>
    <w:rsid w:val="00EF7B0A"/>
    <w:rsid w:val="00F0430F"/>
    <w:rsid w:val="00F0729F"/>
    <w:rsid w:val="00F072F7"/>
    <w:rsid w:val="00F1311B"/>
    <w:rsid w:val="00F17ACC"/>
    <w:rsid w:val="00F276B7"/>
    <w:rsid w:val="00F3019F"/>
    <w:rsid w:val="00F3232F"/>
    <w:rsid w:val="00F33F28"/>
    <w:rsid w:val="00F41C5D"/>
    <w:rsid w:val="00F435E1"/>
    <w:rsid w:val="00F46196"/>
    <w:rsid w:val="00F60CC1"/>
    <w:rsid w:val="00F703BB"/>
    <w:rsid w:val="00F81A0B"/>
    <w:rsid w:val="00F87D1D"/>
    <w:rsid w:val="00F90742"/>
    <w:rsid w:val="00F91621"/>
    <w:rsid w:val="00FA1C81"/>
    <w:rsid w:val="00FA5022"/>
    <w:rsid w:val="00FC249C"/>
    <w:rsid w:val="00FD1476"/>
    <w:rsid w:val="00FD436D"/>
    <w:rsid w:val="00FE4326"/>
    <w:rsid w:val="00FE44CD"/>
    <w:rsid w:val="00FE5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FBF"/>
  </w:style>
  <w:style w:type="paragraph" w:styleId="Balk4">
    <w:name w:val="heading 4"/>
    <w:basedOn w:val="Normal"/>
    <w:link w:val="Balk4Char"/>
    <w:uiPriority w:val="9"/>
    <w:qFormat/>
    <w:rsid w:val="009074D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9074D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86215"/>
    <w:pPr>
      <w:spacing w:before="100" w:beforeAutospacing="1" w:after="100" w:afterAutospacing="1" w:line="240" w:lineRule="auto"/>
    </w:pPr>
    <w:rPr>
      <w:rFonts w:ascii="Arial" w:eastAsia="Times New Roman" w:hAnsi="Arial" w:cs="Arial"/>
      <w:sz w:val="24"/>
      <w:szCs w:val="24"/>
      <w:lang w:eastAsia="tr-TR"/>
    </w:rPr>
  </w:style>
  <w:style w:type="paragraph" w:styleId="BalonMetni">
    <w:name w:val="Balloon Text"/>
    <w:basedOn w:val="Normal"/>
    <w:link w:val="BalonMetniChar"/>
    <w:uiPriority w:val="99"/>
    <w:semiHidden/>
    <w:unhideWhenUsed/>
    <w:rsid w:val="00D021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1E6"/>
    <w:rPr>
      <w:rFonts w:ascii="Tahoma" w:hAnsi="Tahoma" w:cs="Tahoma"/>
      <w:sz w:val="16"/>
      <w:szCs w:val="16"/>
    </w:rPr>
  </w:style>
  <w:style w:type="paragraph" w:styleId="ListeParagraf">
    <w:name w:val="List Paragraph"/>
    <w:basedOn w:val="Normal"/>
    <w:uiPriority w:val="34"/>
    <w:qFormat/>
    <w:rsid w:val="00F703BB"/>
    <w:pPr>
      <w:ind w:left="720"/>
      <w:contextualSpacing/>
    </w:pPr>
  </w:style>
  <w:style w:type="table" w:customStyle="1" w:styleId="AkGlgeleme1">
    <w:name w:val="Açık Gölgeleme1"/>
    <w:basedOn w:val="NormalTablo"/>
    <w:uiPriority w:val="60"/>
    <w:rsid w:val="00A111FC"/>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l">
    <w:name w:val="Strong"/>
    <w:basedOn w:val="VarsaylanParagrafYazTipi"/>
    <w:uiPriority w:val="22"/>
    <w:qFormat/>
    <w:rsid w:val="009074D3"/>
    <w:rPr>
      <w:b/>
      <w:bCs/>
    </w:rPr>
  </w:style>
  <w:style w:type="paragraph" w:customStyle="1" w:styleId="Default">
    <w:name w:val="Default"/>
    <w:rsid w:val="009074D3"/>
    <w:pPr>
      <w:autoSpaceDE w:val="0"/>
      <w:autoSpaceDN w:val="0"/>
      <w:adjustRightInd w:val="0"/>
      <w:spacing w:after="0" w:line="240" w:lineRule="auto"/>
    </w:pPr>
    <w:rPr>
      <w:rFonts w:ascii="Baskerville BE Regular" w:hAnsi="Baskerville BE Regular" w:cs="Baskerville BE Regular"/>
      <w:color w:val="000000"/>
      <w:sz w:val="24"/>
      <w:szCs w:val="24"/>
    </w:rPr>
  </w:style>
  <w:style w:type="character" w:customStyle="1" w:styleId="Balk4Char">
    <w:name w:val="Başlık 4 Char"/>
    <w:basedOn w:val="VarsaylanParagrafYazTipi"/>
    <w:link w:val="Balk4"/>
    <w:uiPriority w:val="9"/>
    <w:rsid w:val="009074D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9074D3"/>
    <w:rPr>
      <w:rFonts w:ascii="Times New Roman" w:eastAsia="Times New Roman" w:hAnsi="Times New Roman" w:cs="Times New Roman"/>
      <w:b/>
      <w:bCs/>
      <w:sz w:val="20"/>
      <w:szCs w:val="20"/>
      <w:lang w:eastAsia="tr-TR"/>
    </w:rPr>
  </w:style>
  <w:style w:type="paragraph" w:customStyle="1" w:styleId="Normal1">
    <w:name w:val="Normal1"/>
    <w:basedOn w:val="Normal"/>
    <w:rsid w:val="00D87BD6"/>
    <w:pPr>
      <w:spacing w:after="80" w:line="246" w:lineRule="atLeast"/>
      <w:ind w:firstLine="283"/>
      <w:jc w:val="both"/>
    </w:pPr>
    <w:rPr>
      <w:rFonts w:ascii="New York" w:eastAsia="Times New Roman" w:hAnsi="New York" w:cs="Times New Roman"/>
      <w:sz w:val="18"/>
      <w:szCs w:val="18"/>
      <w:lang w:eastAsia="tr-TR"/>
    </w:rPr>
  </w:style>
  <w:style w:type="character" w:customStyle="1" w:styleId="maintitle">
    <w:name w:val="maintitle"/>
    <w:basedOn w:val="VarsaylanParagrafYazTipi"/>
    <w:rsid w:val="009572EA"/>
  </w:style>
  <w:style w:type="paragraph" w:styleId="DipnotMetni">
    <w:name w:val="footnote text"/>
    <w:basedOn w:val="Normal"/>
    <w:link w:val="DipnotMetniChar"/>
    <w:uiPriority w:val="99"/>
    <w:semiHidden/>
    <w:unhideWhenUsed/>
    <w:rsid w:val="007660D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660DA"/>
    <w:rPr>
      <w:sz w:val="20"/>
      <w:szCs w:val="20"/>
    </w:rPr>
  </w:style>
  <w:style w:type="character" w:styleId="DipnotBavurusu">
    <w:name w:val="footnote reference"/>
    <w:basedOn w:val="VarsaylanParagrafYazTipi"/>
    <w:uiPriority w:val="99"/>
    <w:semiHidden/>
    <w:unhideWhenUsed/>
    <w:rsid w:val="007660DA"/>
    <w:rPr>
      <w:vertAlign w:val="superscript"/>
    </w:rPr>
  </w:style>
  <w:style w:type="character" w:styleId="Kpr">
    <w:name w:val="Hyperlink"/>
    <w:basedOn w:val="VarsaylanParagrafYazTipi"/>
    <w:uiPriority w:val="99"/>
    <w:unhideWhenUsed/>
    <w:rsid w:val="00563F02"/>
    <w:rPr>
      <w:color w:val="0000FF" w:themeColor="hyperlink"/>
      <w:u w:val="single"/>
    </w:rPr>
  </w:style>
  <w:style w:type="character" w:styleId="zlenenKpr">
    <w:name w:val="FollowedHyperlink"/>
    <w:basedOn w:val="VarsaylanParagrafYazTipi"/>
    <w:uiPriority w:val="99"/>
    <w:semiHidden/>
    <w:unhideWhenUsed/>
    <w:rsid w:val="00A059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3956">
      <w:bodyDiv w:val="1"/>
      <w:marLeft w:val="0"/>
      <w:marRight w:val="0"/>
      <w:marTop w:val="0"/>
      <w:marBottom w:val="0"/>
      <w:divBdr>
        <w:top w:val="none" w:sz="0" w:space="0" w:color="auto"/>
        <w:left w:val="none" w:sz="0" w:space="0" w:color="auto"/>
        <w:bottom w:val="none" w:sz="0" w:space="0" w:color="auto"/>
        <w:right w:val="none" w:sz="0" w:space="0" w:color="auto"/>
      </w:divBdr>
    </w:div>
    <w:div w:id="303972443">
      <w:bodyDiv w:val="1"/>
      <w:marLeft w:val="0"/>
      <w:marRight w:val="0"/>
      <w:marTop w:val="0"/>
      <w:marBottom w:val="0"/>
      <w:divBdr>
        <w:top w:val="none" w:sz="0" w:space="0" w:color="auto"/>
        <w:left w:val="none" w:sz="0" w:space="0" w:color="auto"/>
        <w:bottom w:val="none" w:sz="0" w:space="0" w:color="auto"/>
        <w:right w:val="none" w:sz="0" w:space="0" w:color="auto"/>
      </w:divBdr>
    </w:div>
    <w:div w:id="312030503">
      <w:bodyDiv w:val="1"/>
      <w:marLeft w:val="58"/>
      <w:marRight w:val="58"/>
      <w:marTop w:val="58"/>
      <w:marBottom w:val="58"/>
      <w:divBdr>
        <w:top w:val="none" w:sz="0" w:space="0" w:color="auto"/>
        <w:left w:val="none" w:sz="0" w:space="0" w:color="auto"/>
        <w:bottom w:val="none" w:sz="0" w:space="0" w:color="auto"/>
        <w:right w:val="none" w:sz="0" w:space="0" w:color="auto"/>
      </w:divBdr>
      <w:divsChild>
        <w:div w:id="2136173773">
          <w:marLeft w:val="0"/>
          <w:marRight w:val="0"/>
          <w:marTop w:val="0"/>
          <w:marBottom w:val="0"/>
          <w:divBdr>
            <w:top w:val="none" w:sz="0" w:space="0" w:color="auto"/>
            <w:left w:val="none" w:sz="0" w:space="0" w:color="auto"/>
            <w:bottom w:val="none" w:sz="0" w:space="0" w:color="auto"/>
            <w:right w:val="none" w:sz="0" w:space="0" w:color="auto"/>
          </w:divBdr>
          <w:divsChild>
            <w:div w:id="1627617128">
              <w:marLeft w:val="0"/>
              <w:marRight w:val="115"/>
              <w:marTop w:val="0"/>
              <w:marBottom w:val="0"/>
              <w:divBdr>
                <w:top w:val="none" w:sz="0" w:space="0" w:color="auto"/>
                <w:left w:val="none" w:sz="0" w:space="0" w:color="auto"/>
                <w:bottom w:val="none" w:sz="0" w:space="0" w:color="auto"/>
                <w:right w:val="none" w:sz="0" w:space="0" w:color="auto"/>
              </w:divBdr>
            </w:div>
          </w:divsChild>
        </w:div>
      </w:divsChild>
    </w:div>
    <w:div w:id="443041744">
      <w:bodyDiv w:val="1"/>
      <w:marLeft w:val="0"/>
      <w:marRight w:val="0"/>
      <w:marTop w:val="0"/>
      <w:marBottom w:val="0"/>
      <w:divBdr>
        <w:top w:val="none" w:sz="0" w:space="0" w:color="auto"/>
        <w:left w:val="none" w:sz="0" w:space="0" w:color="auto"/>
        <w:bottom w:val="none" w:sz="0" w:space="0" w:color="auto"/>
        <w:right w:val="none" w:sz="0" w:space="0" w:color="auto"/>
      </w:divBdr>
    </w:div>
    <w:div w:id="596182840">
      <w:bodyDiv w:val="1"/>
      <w:marLeft w:val="0"/>
      <w:marRight w:val="0"/>
      <w:marTop w:val="0"/>
      <w:marBottom w:val="0"/>
      <w:divBdr>
        <w:top w:val="none" w:sz="0" w:space="0" w:color="auto"/>
        <w:left w:val="none" w:sz="0" w:space="0" w:color="auto"/>
        <w:bottom w:val="none" w:sz="0" w:space="0" w:color="auto"/>
        <w:right w:val="none" w:sz="0" w:space="0" w:color="auto"/>
      </w:divBdr>
    </w:div>
    <w:div w:id="631836697">
      <w:bodyDiv w:val="1"/>
      <w:marLeft w:val="0"/>
      <w:marRight w:val="0"/>
      <w:marTop w:val="0"/>
      <w:marBottom w:val="0"/>
      <w:divBdr>
        <w:top w:val="none" w:sz="0" w:space="0" w:color="auto"/>
        <w:left w:val="none" w:sz="0" w:space="0" w:color="auto"/>
        <w:bottom w:val="none" w:sz="0" w:space="0" w:color="auto"/>
        <w:right w:val="none" w:sz="0" w:space="0" w:color="auto"/>
      </w:divBdr>
      <w:divsChild>
        <w:div w:id="2056997998">
          <w:marLeft w:val="0"/>
          <w:marRight w:val="0"/>
          <w:marTop w:val="0"/>
          <w:marBottom w:val="0"/>
          <w:divBdr>
            <w:top w:val="none" w:sz="0" w:space="0" w:color="auto"/>
            <w:left w:val="none" w:sz="0" w:space="0" w:color="auto"/>
            <w:bottom w:val="none" w:sz="0" w:space="0" w:color="auto"/>
            <w:right w:val="none" w:sz="0" w:space="0" w:color="auto"/>
          </w:divBdr>
        </w:div>
      </w:divsChild>
    </w:div>
    <w:div w:id="989989818">
      <w:bodyDiv w:val="1"/>
      <w:marLeft w:val="0"/>
      <w:marRight w:val="0"/>
      <w:marTop w:val="0"/>
      <w:marBottom w:val="0"/>
      <w:divBdr>
        <w:top w:val="none" w:sz="0" w:space="0" w:color="auto"/>
        <w:left w:val="none" w:sz="0" w:space="0" w:color="auto"/>
        <w:bottom w:val="none" w:sz="0" w:space="0" w:color="auto"/>
        <w:right w:val="none" w:sz="0" w:space="0" w:color="auto"/>
      </w:divBdr>
    </w:div>
    <w:div w:id="1065646926">
      <w:bodyDiv w:val="1"/>
      <w:marLeft w:val="0"/>
      <w:marRight w:val="0"/>
      <w:marTop w:val="0"/>
      <w:marBottom w:val="0"/>
      <w:divBdr>
        <w:top w:val="none" w:sz="0" w:space="0" w:color="auto"/>
        <w:left w:val="none" w:sz="0" w:space="0" w:color="auto"/>
        <w:bottom w:val="none" w:sz="0" w:space="0" w:color="auto"/>
        <w:right w:val="none" w:sz="0" w:space="0" w:color="auto"/>
      </w:divBdr>
    </w:div>
    <w:div w:id="1136990578">
      <w:bodyDiv w:val="1"/>
      <w:marLeft w:val="0"/>
      <w:marRight w:val="0"/>
      <w:marTop w:val="0"/>
      <w:marBottom w:val="0"/>
      <w:divBdr>
        <w:top w:val="none" w:sz="0" w:space="0" w:color="auto"/>
        <w:left w:val="none" w:sz="0" w:space="0" w:color="auto"/>
        <w:bottom w:val="none" w:sz="0" w:space="0" w:color="auto"/>
        <w:right w:val="none" w:sz="0" w:space="0" w:color="auto"/>
      </w:divBdr>
    </w:div>
    <w:div w:id="1163012100">
      <w:bodyDiv w:val="1"/>
      <w:marLeft w:val="0"/>
      <w:marRight w:val="0"/>
      <w:marTop w:val="0"/>
      <w:marBottom w:val="0"/>
      <w:divBdr>
        <w:top w:val="none" w:sz="0" w:space="0" w:color="auto"/>
        <w:left w:val="none" w:sz="0" w:space="0" w:color="auto"/>
        <w:bottom w:val="none" w:sz="0" w:space="0" w:color="auto"/>
        <w:right w:val="none" w:sz="0" w:space="0" w:color="auto"/>
      </w:divBdr>
    </w:div>
    <w:div w:id="1168014459">
      <w:bodyDiv w:val="1"/>
      <w:marLeft w:val="0"/>
      <w:marRight w:val="0"/>
      <w:marTop w:val="0"/>
      <w:marBottom w:val="0"/>
      <w:divBdr>
        <w:top w:val="none" w:sz="0" w:space="0" w:color="auto"/>
        <w:left w:val="none" w:sz="0" w:space="0" w:color="auto"/>
        <w:bottom w:val="none" w:sz="0" w:space="0" w:color="auto"/>
        <w:right w:val="none" w:sz="0" w:space="0" w:color="auto"/>
      </w:divBdr>
    </w:div>
    <w:div w:id="1182935282">
      <w:bodyDiv w:val="1"/>
      <w:marLeft w:val="0"/>
      <w:marRight w:val="0"/>
      <w:marTop w:val="0"/>
      <w:marBottom w:val="0"/>
      <w:divBdr>
        <w:top w:val="none" w:sz="0" w:space="0" w:color="auto"/>
        <w:left w:val="none" w:sz="0" w:space="0" w:color="auto"/>
        <w:bottom w:val="none" w:sz="0" w:space="0" w:color="auto"/>
        <w:right w:val="none" w:sz="0" w:space="0" w:color="auto"/>
      </w:divBdr>
    </w:div>
    <w:div w:id="1191605077">
      <w:bodyDiv w:val="1"/>
      <w:marLeft w:val="0"/>
      <w:marRight w:val="0"/>
      <w:marTop w:val="0"/>
      <w:marBottom w:val="0"/>
      <w:divBdr>
        <w:top w:val="none" w:sz="0" w:space="0" w:color="auto"/>
        <w:left w:val="none" w:sz="0" w:space="0" w:color="auto"/>
        <w:bottom w:val="none" w:sz="0" w:space="0" w:color="auto"/>
        <w:right w:val="none" w:sz="0" w:space="0" w:color="auto"/>
      </w:divBdr>
    </w:div>
    <w:div w:id="1194612253">
      <w:bodyDiv w:val="1"/>
      <w:marLeft w:val="0"/>
      <w:marRight w:val="0"/>
      <w:marTop w:val="0"/>
      <w:marBottom w:val="0"/>
      <w:divBdr>
        <w:top w:val="none" w:sz="0" w:space="0" w:color="auto"/>
        <w:left w:val="none" w:sz="0" w:space="0" w:color="auto"/>
        <w:bottom w:val="none" w:sz="0" w:space="0" w:color="auto"/>
        <w:right w:val="none" w:sz="0" w:space="0" w:color="auto"/>
      </w:divBdr>
    </w:div>
    <w:div w:id="1451240003">
      <w:bodyDiv w:val="1"/>
      <w:marLeft w:val="0"/>
      <w:marRight w:val="0"/>
      <w:marTop w:val="0"/>
      <w:marBottom w:val="0"/>
      <w:divBdr>
        <w:top w:val="none" w:sz="0" w:space="0" w:color="auto"/>
        <w:left w:val="none" w:sz="0" w:space="0" w:color="auto"/>
        <w:bottom w:val="none" w:sz="0" w:space="0" w:color="auto"/>
        <w:right w:val="none" w:sz="0" w:space="0" w:color="auto"/>
      </w:divBdr>
    </w:div>
    <w:div w:id="1485271075">
      <w:bodyDiv w:val="1"/>
      <w:marLeft w:val="0"/>
      <w:marRight w:val="0"/>
      <w:marTop w:val="0"/>
      <w:marBottom w:val="0"/>
      <w:divBdr>
        <w:top w:val="none" w:sz="0" w:space="0" w:color="auto"/>
        <w:left w:val="none" w:sz="0" w:space="0" w:color="auto"/>
        <w:bottom w:val="none" w:sz="0" w:space="0" w:color="auto"/>
        <w:right w:val="none" w:sz="0" w:space="0" w:color="auto"/>
      </w:divBdr>
    </w:div>
    <w:div w:id="1518154279">
      <w:bodyDiv w:val="1"/>
      <w:marLeft w:val="0"/>
      <w:marRight w:val="0"/>
      <w:marTop w:val="0"/>
      <w:marBottom w:val="0"/>
      <w:divBdr>
        <w:top w:val="none" w:sz="0" w:space="0" w:color="auto"/>
        <w:left w:val="none" w:sz="0" w:space="0" w:color="auto"/>
        <w:bottom w:val="none" w:sz="0" w:space="0" w:color="auto"/>
        <w:right w:val="none" w:sz="0" w:space="0" w:color="auto"/>
      </w:divBdr>
    </w:div>
    <w:div w:id="1545210637">
      <w:bodyDiv w:val="1"/>
      <w:marLeft w:val="0"/>
      <w:marRight w:val="0"/>
      <w:marTop w:val="0"/>
      <w:marBottom w:val="0"/>
      <w:divBdr>
        <w:top w:val="none" w:sz="0" w:space="0" w:color="auto"/>
        <w:left w:val="none" w:sz="0" w:space="0" w:color="auto"/>
        <w:bottom w:val="none" w:sz="0" w:space="0" w:color="auto"/>
        <w:right w:val="none" w:sz="0" w:space="0" w:color="auto"/>
      </w:divBdr>
    </w:div>
    <w:div w:id="1609266055">
      <w:bodyDiv w:val="1"/>
      <w:marLeft w:val="0"/>
      <w:marRight w:val="0"/>
      <w:marTop w:val="0"/>
      <w:marBottom w:val="0"/>
      <w:divBdr>
        <w:top w:val="none" w:sz="0" w:space="0" w:color="auto"/>
        <w:left w:val="none" w:sz="0" w:space="0" w:color="auto"/>
        <w:bottom w:val="none" w:sz="0" w:space="0" w:color="auto"/>
        <w:right w:val="none" w:sz="0" w:space="0" w:color="auto"/>
      </w:divBdr>
      <w:divsChild>
        <w:div w:id="1441988984">
          <w:marLeft w:val="0"/>
          <w:marRight w:val="0"/>
          <w:marTop w:val="0"/>
          <w:marBottom w:val="0"/>
          <w:divBdr>
            <w:top w:val="none" w:sz="0" w:space="0" w:color="auto"/>
            <w:left w:val="none" w:sz="0" w:space="0" w:color="auto"/>
            <w:bottom w:val="none" w:sz="0" w:space="0" w:color="auto"/>
            <w:right w:val="none" w:sz="0" w:space="0" w:color="auto"/>
          </w:divBdr>
          <w:divsChild>
            <w:div w:id="1136684402">
              <w:marLeft w:val="0"/>
              <w:marRight w:val="0"/>
              <w:marTop w:val="0"/>
              <w:marBottom w:val="0"/>
              <w:divBdr>
                <w:top w:val="none" w:sz="0" w:space="0" w:color="auto"/>
                <w:left w:val="none" w:sz="0" w:space="0" w:color="auto"/>
                <w:bottom w:val="none" w:sz="0" w:space="0" w:color="auto"/>
                <w:right w:val="none" w:sz="0" w:space="0" w:color="auto"/>
              </w:divBdr>
              <w:divsChild>
                <w:div w:id="736167671">
                  <w:marLeft w:val="0"/>
                  <w:marRight w:val="0"/>
                  <w:marTop w:val="0"/>
                  <w:marBottom w:val="0"/>
                  <w:divBdr>
                    <w:top w:val="none" w:sz="0" w:space="0" w:color="auto"/>
                    <w:left w:val="none" w:sz="0" w:space="0" w:color="auto"/>
                    <w:bottom w:val="none" w:sz="0" w:space="0" w:color="auto"/>
                    <w:right w:val="none" w:sz="0" w:space="0" w:color="auto"/>
                  </w:divBdr>
                  <w:divsChild>
                    <w:div w:id="1025056064">
                      <w:marLeft w:val="0"/>
                      <w:marRight w:val="0"/>
                      <w:marTop w:val="0"/>
                      <w:marBottom w:val="0"/>
                      <w:divBdr>
                        <w:top w:val="none" w:sz="0" w:space="0" w:color="auto"/>
                        <w:left w:val="none" w:sz="0" w:space="0" w:color="auto"/>
                        <w:bottom w:val="none" w:sz="0" w:space="0" w:color="auto"/>
                        <w:right w:val="none" w:sz="0" w:space="0" w:color="auto"/>
                      </w:divBdr>
                      <w:divsChild>
                        <w:div w:id="176818425">
                          <w:marLeft w:val="0"/>
                          <w:marRight w:val="0"/>
                          <w:marTop w:val="0"/>
                          <w:marBottom w:val="0"/>
                          <w:divBdr>
                            <w:top w:val="none" w:sz="0" w:space="0" w:color="auto"/>
                            <w:left w:val="none" w:sz="0" w:space="0" w:color="auto"/>
                            <w:bottom w:val="none" w:sz="0" w:space="0" w:color="auto"/>
                            <w:right w:val="none" w:sz="0" w:space="0" w:color="auto"/>
                          </w:divBdr>
                          <w:divsChild>
                            <w:div w:id="116069544">
                              <w:marLeft w:val="0"/>
                              <w:marRight w:val="0"/>
                              <w:marTop w:val="0"/>
                              <w:marBottom w:val="0"/>
                              <w:divBdr>
                                <w:top w:val="none" w:sz="0" w:space="0" w:color="auto"/>
                                <w:left w:val="none" w:sz="0" w:space="0" w:color="auto"/>
                                <w:bottom w:val="none" w:sz="0" w:space="0" w:color="auto"/>
                                <w:right w:val="none" w:sz="0" w:space="0" w:color="auto"/>
                              </w:divBdr>
                              <w:divsChild>
                                <w:div w:id="1715613482">
                                  <w:marLeft w:val="0"/>
                                  <w:marRight w:val="0"/>
                                  <w:marTop w:val="0"/>
                                  <w:marBottom w:val="0"/>
                                  <w:divBdr>
                                    <w:top w:val="none" w:sz="0" w:space="0" w:color="auto"/>
                                    <w:left w:val="none" w:sz="0" w:space="0" w:color="auto"/>
                                    <w:bottom w:val="none" w:sz="0" w:space="0" w:color="auto"/>
                                    <w:right w:val="none" w:sz="0" w:space="0" w:color="auto"/>
                                  </w:divBdr>
                                  <w:divsChild>
                                    <w:div w:id="1582787704">
                                      <w:marLeft w:val="0"/>
                                      <w:marRight w:val="0"/>
                                      <w:marTop w:val="0"/>
                                      <w:marBottom w:val="0"/>
                                      <w:divBdr>
                                        <w:top w:val="none" w:sz="0" w:space="0" w:color="auto"/>
                                        <w:left w:val="none" w:sz="0" w:space="0" w:color="auto"/>
                                        <w:bottom w:val="none" w:sz="0" w:space="0" w:color="auto"/>
                                        <w:right w:val="none" w:sz="0" w:space="0" w:color="auto"/>
                                      </w:divBdr>
                                      <w:divsChild>
                                        <w:div w:id="1470705680">
                                          <w:marLeft w:val="0"/>
                                          <w:marRight w:val="0"/>
                                          <w:marTop w:val="0"/>
                                          <w:marBottom w:val="0"/>
                                          <w:divBdr>
                                            <w:top w:val="none" w:sz="0" w:space="0" w:color="auto"/>
                                            <w:left w:val="none" w:sz="0" w:space="0" w:color="auto"/>
                                            <w:bottom w:val="none" w:sz="0" w:space="0" w:color="auto"/>
                                            <w:right w:val="none" w:sz="0" w:space="0" w:color="auto"/>
                                          </w:divBdr>
                                          <w:divsChild>
                                            <w:div w:id="5318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791901">
      <w:bodyDiv w:val="1"/>
      <w:marLeft w:val="0"/>
      <w:marRight w:val="0"/>
      <w:marTop w:val="0"/>
      <w:marBottom w:val="0"/>
      <w:divBdr>
        <w:top w:val="none" w:sz="0" w:space="0" w:color="auto"/>
        <w:left w:val="none" w:sz="0" w:space="0" w:color="auto"/>
        <w:bottom w:val="none" w:sz="0" w:space="0" w:color="auto"/>
        <w:right w:val="none" w:sz="0" w:space="0" w:color="auto"/>
      </w:divBdr>
    </w:div>
    <w:div w:id="1772503096">
      <w:bodyDiv w:val="1"/>
      <w:marLeft w:val="0"/>
      <w:marRight w:val="0"/>
      <w:marTop w:val="0"/>
      <w:marBottom w:val="0"/>
      <w:divBdr>
        <w:top w:val="none" w:sz="0" w:space="0" w:color="auto"/>
        <w:left w:val="none" w:sz="0" w:space="0" w:color="auto"/>
        <w:bottom w:val="none" w:sz="0" w:space="0" w:color="auto"/>
        <w:right w:val="none" w:sz="0" w:space="0" w:color="auto"/>
      </w:divBdr>
    </w:div>
    <w:div w:id="1816868283">
      <w:bodyDiv w:val="1"/>
      <w:marLeft w:val="0"/>
      <w:marRight w:val="0"/>
      <w:marTop w:val="0"/>
      <w:marBottom w:val="0"/>
      <w:divBdr>
        <w:top w:val="none" w:sz="0" w:space="0" w:color="auto"/>
        <w:left w:val="none" w:sz="0" w:space="0" w:color="auto"/>
        <w:bottom w:val="none" w:sz="0" w:space="0" w:color="auto"/>
        <w:right w:val="none" w:sz="0" w:space="0" w:color="auto"/>
      </w:divBdr>
    </w:div>
    <w:div w:id="1884366630">
      <w:bodyDiv w:val="1"/>
      <w:marLeft w:val="0"/>
      <w:marRight w:val="0"/>
      <w:marTop w:val="0"/>
      <w:marBottom w:val="0"/>
      <w:divBdr>
        <w:top w:val="none" w:sz="0" w:space="0" w:color="auto"/>
        <w:left w:val="none" w:sz="0" w:space="0" w:color="auto"/>
        <w:bottom w:val="none" w:sz="0" w:space="0" w:color="auto"/>
        <w:right w:val="none" w:sz="0" w:space="0" w:color="auto"/>
      </w:divBdr>
    </w:div>
    <w:div w:id="1934241888">
      <w:bodyDiv w:val="1"/>
      <w:marLeft w:val="0"/>
      <w:marRight w:val="0"/>
      <w:marTop w:val="0"/>
      <w:marBottom w:val="0"/>
      <w:divBdr>
        <w:top w:val="none" w:sz="0" w:space="0" w:color="auto"/>
        <w:left w:val="none" w:sz="0" w:space="0" w:color="auto"/>
        <w:bottom w:val="none" w:sz="0" w:space="0" w:color="auto"/>
        <w:right w:val="none" w:sz="0" w:space="0" w:color="auto"/>
      </w:divBdr>
    </w:div>
    <w:div w:id="2054765314">
      <w:bodyDiv w:val="1"/>
      <w:marLeft w:val="0"/>
      <w:marRight w:val="0"/>
      <w:marTop w:val="0"/>
      <w:marBottom w:val="0"/>
      <w:divBdr>
        <w:top w:val="none" w:sz="0" w:space="0" w:color="auto"/>
        <w:left w:val="none" w:sz="0" w:space="0" w:color="auto"/>
        <w:bottom w:val="none" w:sz="0" w:space="0" w:color="auto"/>
        <w:right w:val="none" w:sz="0" w:space="0" w:color="auto"/>
      </w:divBdr>
    </w:div>
    <w:div w:id="20806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glik.gov.tr/KlinikKalite/belge/1-17646/tanimlar.html" TargetMode="External"/><Relationship Id="rId5" Type="http://schemas.openxmlformats.org/officeDocument/2006/relationships/webSettings" Target="webSettings.xml"/><Relationship Id="rId10" Type="http://schemas.openxmlformats.org/officeDocument/2006/relationships/hyperlink" Target="http://www.ahrq.gov/consumer/guidetoq/guidetoq4.ht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15</Pages>
  <Words>5040</Words>
  <Characters>28730</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Sevgin Fettahoğlu</cp:lastModifiedBy>
  <cp:revision>327</cp:revision>
  <dcterms:created xsi:type="dcterms:W3CDTF">2012-12-24T11:33:00Z</dcterms:created>
  <dcterms:modified xsi:type="dcterms:W3CDTF">2014-07-07T11:46:00Z</dcterms:modified>
</cp:coreProperties>
</file>