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DE0CBE" w:rsidRPr="00DE0CBE" w:rsidRDefault="00BE1D54" w:rsidP="00DE0CBE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</w:t>
      </w:r>
      <w:r w:rsidR="00A927CE">
        <w:rPr>
          <w:b/>
          <w:bCs/>
        </w:rPr>
        <w:t>1</w:t>
      </w:r>
      <w:bookmarkStart w:id="0" w:name="_GoBack"/>
      <w:bookmarkEnd w:id="0"/>
      <w:r w:rsidR="00DE0CBE">
        <w:rPr>
          <w:b/>
          <w:bCs/>
        </w:rPr>
        <w:t>2</w:t>
      </w:r>
      <w:r w:rsidR="00B82E0A" w:rsidRPr="00EB01AF">
        <w:rPr>
          <w:b/>
          <w:bCs/>
        </w:rPr>
        <w:t>.</w:t>
      </w:r>
      <w:r w:rsidR="00B82E0A" w:rsidRPr="00EB01AF">
        <w:rPr>
          <w:b/>
          <w:bCs/>
          <w:spacing w:val="14"/>
        </w:rPr>
        <w:t xml:space="preserve"> </w:t>
      </w:r>
      <w:r w:rsidRPr="00EB01AF">
        <w:t xml:space="preserve"> </w:t>
      </w:r>
      <w:proofErr w:type="spellStart"/>
      <w:r w:rsidR="00DE0CBE" w:rsidRPr="00DE0CBE">
        <w:rPr>
          <w:b/>
          <w:bCs/>
        </w:rPr>
        <w:t>The</w:t>
      </w:r>
      <w:proofErr w:type="spellEnd"/>
      <w:r w:rsidR="00DE0CBE" w:rsidRPr="00DE0CBE">
        <w:rPr>
          <w:b/>
          <w:bCs/>
        </w:rPr>
        <w:t xml:space="preserve"> </w:t>
      </w:r>
      <w:proofErr w:type="spellStart"/>
      <w:r w:rsidR="00DE0CBE" w:rsidRPr="00DE0CBE">
        <w:rPr>
          <w:b/>
          <w:bCs/>
        </w:rPr>
        <w:t>Awareness</w:t>
      </w:r>
      <w:proofErr w:type="spellEnd"/>
      <w:r w:rsidR="00DE0CBE" w:rsidRPr="00DE0CBE">
        <w:rPr>
          <w:b/>
          <w:bCs/>
        </w:rPr>
        <w:t xml:space="preserve"> of </w:t>
      </w:r>
      <w:proofErr w:type="spellStart"/>
      <w:r w:rsidR="00DE0CBE" w:rsidRPr="00DE0CBE">
        <w:rPr>
          <w:b/>
          <w:bCs/>
        </w:rPr>
        <w:t>the</w:t>
      </w:r>
      <w:proofErr w:type="spellEnd"/>
      <w:r w:rsidR="00DE0CBE" w:rsidRPr="00DE0CBE">
        <w:rPr>
          <w:b/>
          <w:bCs/>
        </w:rPr>
        <w:t xml:space="preserve"> </w:t>
      </w:r>
      <w:proofErr w:type="spellStart"/>
      <w:r w:rsidR="00DE0CBE" w:rsidRPr="00DE0CBE">
        <w:rPr>
          <w:b/>
          <w:bCs/>
        </w:rPr>
        <w:t>Biocidal</w:t>
      </w:r>
      <w:proofErr w:type="spellEnd"/>
      <w:r w:rsidR="00DE0CBE" w:rsidRPr="00DE0CBE">
        <w:rPr>
          <w:b/>
          <w:bCs/>
        </w:rPr>
        <w:t xml:space="preserve"> is </w:t>
      </w:r>
      <w:proofErr w:type="spellStart"/>
      <w:r w:rsidR="00DE0CBE" w:rsidRPr="00DE0CBE">
        <w:rPr>
          <w:b/>
          <w:bCs/>
        </w:rPr>
        <w:t>the</w:t>
      </w:r>
      <w:proofErr w:type="spellEnd"/>
      <w:r w:rsidR="00DE0CBE" w:rsidRPr="00DE0CBE">
        <w:rPr>
          <w:b/>
          <w:bCs/>
        </w:rPr>
        <w:t xml:space="preserve"> </w:t>
      </w:r>
      <w:proofErr w:type="spellStart"/>
      <w:r w:rsidR="00DE0CBE" w:rsidRPr="00DE0CBE">
        <w:rPr>
          <w:b/>
          <w:bCs/>
        </w:rPr>
        <w:t>Students</w:t>
      </w:r>
      <w:proofErr w:type="spellEnd"/>
      <w:r w:rsidR="00DE0CBE" w:rsidRPr="00DE0CBE">
        <w:rPr>
          <w:b/>
          <w:bCs/>
        </w:rPr>
        <w:t xml:space="preserve"> of </w:t>
      </w:r>
      <w:proofErr w:type="spellStart"/>
      <w:r w:rsidR="00DE0CBE" w:rsidRPr="00DE0CBE">
        <w:rPr>
          <w:b/>
          <w:bCs/>
        </w:rPr>
        <w:t>Faculty</w:t>
      </w:r>
      <w:proofErr w:type="spellEnd"/>
      <w:r w:rsidR="00DE0CBE" w:rsidRPr="00DE0CBE">
        <w:rPr>
          <w:b/>
          <w:bCs/>
        </w:rPr>
        <w:t xml:space="preserve"> of </w:t>
      </w:r>
      <w:proofErr w:type="spellStart"/>
      <w:r w:rsidR="00DE0CBE" w:rsidRPr="00DE0CBE">
        <w:rPr>
          <w:b/>
          <w:bCs/>
        </w:rPr>
        <w:t>Pharmacy</w:t>
      </w:r>
      <w:proofErr w:type="spellEnd"/>
      <w:r w:rsidR="00DE0CBE" w:rsidRPr="00DE0CBE">
        <w:rPr>
          <w:b/>
          <w:bCs/>
        </w:rPr>
        <w:t xml:space="preserve"> at Erzincan </w:t>
      </w:r>
      <w:proofErr w:type="spellStart"/>
      <w:r w:rsidR="00DE0CBE" w:rsidRPr="00DE0CBE">
        <w:rPr>
          <w:b/>
          <w:bCs/>
        </w:rPr>
        <w:t>University</w:t>
      </w:r>
      <w:proofErr w:type="spellEnd"/>
      <w:r w:rsidR="00DE0CBE" w:rsidRPr="00DE0CBE">
        <w:rPr>
          <w:b/>
          <w:bCs/>
        </w:rPr>
        <w:t xml:space="preserve"> </w:t>
      </w:r>
    </w:p>
    <w:p w:rsidR="00DE0CBE" w:rsidRPr="00DE0CBE" w:rsidRDefault="00DE0CBE" w:rsidP="00DE0CBE">
      <w:pPr>
        <w:pStyle w:val="Default"/>
        <w:rPr>
          <w:b/>
          <w:bCs/>
        </w:rPr>
      </w:pPr>
    </w:p>
    <w:p w:rsidR="00DE0CBE" w:rsidRPr="00DE0CBE" w:rsidRDefault="00DE0CBE" w:rsidP="00DE0CBE">
      <w:pPr>
        <w:pStyle w:val="Default"/>
        <w:rPr>
          <w:b/>
          <w:bCs/>
        </w:rPr>
      </w:pPr>
    </w:p>
    <w:p w:rsidR="00DE0CBE" w:rsidRPr="00DE0CBE" w:rsidRDefault="00DE0CBE" w:rsidP="00DE0CBE">
      <w:pPr>
        <w:pStyle w:val="Default"/>
        <w:jc w:val="center"/>
      </w:pPr>
    </w:p>
    <w:p w:rsidR="00DE0CBE" w:rsidRPr="00DE0CBE" w:rsidRDefault="00DE0CBE" w:rsidP="00DE0CBE">
      <w:pPr>
        <w:widowControl/>
        <w:jc w:val="center"/>
        <w:rPr>
          <w:color w:val="000000"/>
        </w:rPr>
      </w:pPr>
      <w:r w:rsidRPr="00DE0CBE">
        <w:rPr>
          <w:color w:val="000000"/>
        </w:rPr>
        <w:t xml:space="preserve">Engin Kılıç, Maide </w:t>
      </w:r>
      <w:proofErr w:type="spellStart"/>
      <w:r w:rsidRPr="00DE0CBE">
        <w:rPr>
          <w:color w:val="000000"/>
        </w:rPr>
        <w:t>Kuytul</w:t>
      </w:r>
      <w:proofErr w:type="spellEnd"/>
      <w:r w:rsidRPr="00DE0CBE">
        <w:rPr>
          <w:color w:val="000000"/>
        </w:rPr>
        <w:t xml:space="preserve">, Sıla Elcik, Ceylan Aylin Yılmaz, Rabia Nalbant, Kader Akkurt, Ayşenur Güler, Betül Özer, Nermin </w:t>
      </w:r>
      <w:proofErr w:type="spellStart"/>
      <w:r w:rsidRPr="00DE0CBE">
        <w:rPr>
          <w:color w:val="000000"/>
        </w:rPr>
        <w:t>Senanur</w:t>
      </w:r>
      <w:proofErr w:type="spellEnd"/>
      <w:r w:rsidRPr="00DE0CBE">
        <w:rPr>
          <w:color w:val="000000"/>
        </w:rPr>
        <w:t xml:space="preserve"> Nalbant, Güler Merve Yolcu, Erol </w:t>
      </w:r>
      <w:proofErr w:type="spellStart"/>
      <w:r w:rsidRPr="00DE0CBE">
        <w:rPr>
          <w:color w:val="000000"/>
        </w:rPr>
        <w:t>Yüzgüllü</w:t>
      </w:r>
      <w:proofErr w:type="spellEnd"/>
    </w:p>
    <w:p w:rsidR="00DE0CBE" w:rsidRPr="00DE0CBE" w:rsidRDefault="00DE0CBE" w:rsidP="00DE0CBE">
      <w:pPr>
        <w:widowControl/>
        <w:jc w:val="center"/>
        <w:rPr>
          <w:color w:val="000000"/>
        </w:rPr>
      </w:pPr>
      <w:r w:rsidRPr="00DE0CBE">
        <w:rPr>
          <w:color w:val="000000"/>
        </w:rPr>
        <w:t>Erzincan Üniversitesi Eczacılık Fakültesi-Mikrobiyoloji Bölümü</w:t>
      </w:r>
    </w:p>
    <w:p w:rsidR="00DE0CBE" w:rsidRDefault="00DE0CBE" w:rsidP="00DE0CBE">
      <w:pPr>
        <w:widowControl/>
        <w:rPr>
          <w:color w:val="000000"/>
        </w:rPr>
      </w:pPr>
    </w:p>
    <w:p w:rsidR="00DE0CBE" w:rsidRDefault="00DE0CBE" w:rsidP="00DE0CBE">
      <w:pPr>
        <w:widowControl/>
        <w:rPr>
          <w:color w:val="000000"/>
        </w:rPr>
      </w:pPr>
    </w:p>
    <w:p w:rsidR="00DE0CBE" w:rsidRPr="00DE0CBE" w:rsidRDefault="00DE0CBE" w:rsidP="00DE0CBE">
      <w:pPr>
        <w:widowControl/>
        <w:rPr>
          <w:color w:val="000000"/>
        </w:rPr>
      </w:pPr>
    </w:p>
    <w:p w:rsidR="00DE0CBE" w:rsidRPr="00DE0CBE" w:rsidRDefault="00DE0CBE" w:rsidP="00DE0CBE">
      <w:pPr>
        <w:widowControl/>
        <w:rPr>
          <w:color w:val="000000"/>
        </w:rPr>
      </w:pP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aim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study</w:t>
      </w:r>
      <w:proofErr w:type="spellEnd"/>
      <w:r w:rsidRPr="00DE0CBE">
        <w:rPr>
          <w:color w:val="000000"/>
        </w:rPr>
        <w:t xml:space="preserve"> is </w:t>
      </w:r>
      <w:proofErr w:type="spellStart"/>
      <w:r w:rsidRPr="00DE0CBE">
        <w:rPr>
          <w:color w:val="000000"/>
        </w:rPr>
        <w:t>to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evaluate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biocidal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awareness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students</w:t>
      </w:r>
      <w:proofErr w:type="spellEnd"/>
      <w:r w:rsidRPr="00DE0CBE">
        <w:rPr>
          <w:color w:val="000000"/>
        </w:rPr>
        <w:t xml:space="preserve"> of Erzincan </w:t>
      </w:r>
      <w:proofErr w:type="spellStart"/>
      <w:r w:rsidRPr="00DE0CBE">
        <w:rPr>
          <w:color w:val="000000"/>
        </w:rPr>
        <w:t>University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Faculty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Pharmacy</w:t>
      </w:r>
      <w:proofErr w:type="spellEnd"/>
      <w:r w:rsidRPr="00DE0CBE">
        <w:rPr>
          <w:color w:val="000000"/>
        </w:rPr>
        <w:t xml:space="preserve">. </w:t>
      </w:r>
      <w:proofErr w:type="spellStart"/>
      <w:r w:rsidRPr="00DE0CBE">
        <w:rPr>
          <w:color w:val="000000"/>
        </w:rPr>
        <w:t>Survey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method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was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used</w:t>
      </w:r>
      <w:proofErr w:type="spellEnd"/>
      <w:r w:rsidRPr="00DE0CBE">
        <w:rPr>
          <w:color w:val="000000"/>
        </w:rPr>
        <w:t xml:space="preserve"> in </w:t>
      </w:r>
      <w:proofErr w:type="spellStart"/>
      <w:r w:rsidRPr="00DE0CBE">
        <w:rPr>
          <w:color w:val="000000"/>
        </w:rPr>
        <w:t>this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study</w:t>
      </w:r>
      <w:proofErr w:type="spellEnd"/>
      <w:r w:rsidRPr="00DE0CBE">
        <w:rPr>
          <w:color w:val="000000"/>
        </w:rPr>
        <w:t xml:space="preserve">.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sample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study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consisted</w:t>
      </w:r>
      <w:proofErr w:type="spellEnd"/>
      <w:r w:rsidRPr="00DE0CBE">
        <w:rPr>
          <w:color w:val="000000"/>
        </w:rPr>
        <w:t xml:space="preserve"> of 147 </w:t>
      </w:r>
      <w:proofErr w:type="spellStart"/>
      <w:r w:rsidRPr="00DE0CBE">
        <w:rPr>
          <w:color w:val="000000"/>
        </w:rPr>
        <w:t>students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Faculty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Pharmacy</w:t>
      </w:r>
      <w:proofErr w:type="spellEnd"/>
      <w:r w:rsidRPr="00DE0CBE">
        <w:rPr>
          <w:color w:val="000000"/>
        </w:rPr>
        <w:t xml:space="preserve"> at Erzincan </w:t>
      </w:r>
      <w:proofErr w:type="spellStart"/>
      <w:r w:rsidRPr="00DE0CBE">
        <w:rPr>
          <w:color w:val="000000"/>
        </w:rPr>
        <w:t>University</w:t>
      </w:r>
      <w:proofErr w:type="spellEnd"/>
      <w:r w:rsidRPr="00DE0CBE">
        <w:rPr>
          <w:color w:val="000000"/>
        </w:rPr>
        <w:t xml:space="preserve">. </w:t>
      </w:r>
      <w:proofErr w:type="spellStart"/>
      <w:r w:rsidRPr="00DE0CBE">
        <w:rPr>
          <w:color w:val="000000"/>
        </w:rPr>
        <w:t>Semistructured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interviews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Need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Determine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Questionnaire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were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used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for</w:t>
      </w:r>
      <w:proofErr w:type="spellEnd"/>
      <w:r w:rsidRPr="00DE0CBE">
        <w:rPr>
          <w:color w:val="000000"/>
        </w:rPr>
        <w:t xml:space="preserve"> </w:t>
      </w:r>
      <w:proofErr w:type="gramStart"/>
      <w:r w:rsidRPr="00DE0CBE">
        <w:rPr>
          <w:color w:val="000000"/>
        </w:rPr>
        <w:t>data</w:t>
      </w:r>
      <w:proofErr w:type="gram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collection</w:t>
      </w:r>
      <w:proofErr w:type="spellEnd"/>
      <w:r w:rsidRPr="00DE0CBE">
        <w:rPr>
          <w:color w:val="000000"/>
        </w:rPr>
        <w:t xml:space="preserve">. </w:t>
      </w:r>
      <w:proofErr w:type="spellStart"/>
      <w:r w:rsidRPr="00DE0CBE">
        <w:rPr>
          <w:color w:val="000000"/>
        </w:rPr>
        <w:t>Descriptivecontent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analysis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matrix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forming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to</w:t>
      </w:r>
      <w:proofErr w:type="spellEnd"/>
      <w:r w:rsidRPr="00DE0CBE">
        <w:rPr>
          <w:color w:val="000000"/>
        </w:rPr>
        <w:t xml:space="preserve"> be </w:t>
      </w:r>
      <w:proofErr w:type="spellStart"/>
      <w:r w:rsidRPr="00DE0CBE">
        <w:rPr>
          <w:color w:val="000000"/>
        </w:rPr>
        <w:t>benefit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from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codes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were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used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for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analysis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interviews</w:t>
      </w:r>
      <w:proofErr w:type="spellEnd"/>
      <w:r w:rsidRPr="00DE0CBE">
        <w:rPr>
          <w:color w:val="000000"/>
        </w:rPr>
        <w:t xml:space="preserve">. </w:t>
      </w:r>
      <w:proofErr w:type="spellStart"/>
      <w:r w:rsidRPr="00DE0CBE">
        <w:rPr>
          <w:color w:val="000000"/>
        </w:rPr>
        <w:t>Tables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including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frequency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percentage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worth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were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used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for</w:t>
      </w:r>
      <w:proofErr w:type="spellEnd"/>
      <w:r w:rsidRPr="00DE0CBE">
        <w:rPr>
          <w:color w:val="000000"/>
        </w:rPr>
        <w:t xml:space="preserve"> in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analysis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questionnaires</w:t>
      </w:r>
      <w:proofErr w:type="spellEnd"/>
      <w:r w:rsidRPr="00DE0CBE">
        <w:rPr>
          <w:color w:val="000000"/>
        </w:rPr>
        <w:t xml:space="preserve">. </w:t>
      </w:r>
      <w:proofErr w:type="spellStart"/>
      <w:r w:rsidRPr="00DE0CBE">
        <w:rPr>
          <w:color w:val="000000"/>
        </w:rPr>
        <w:t>Our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survey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consists</w:t>
      </w:r>
      <w:proofErr w:type="spellEnd"/>
      <w:r w:rsidRPr="00DE0CBE">
        <w:rPr>
          <w:color w:val="000000"/>
        </w:rPr>
        <w:t xml:space="preserve"> of a total of 25 </w:t>
      </w:r>
      <w:proofErr w:type="spellStart"/>
      <w:r w:rsidRPr="00DE0CBE">
        <w:rPr>
          <w:color w:val="000000"/>
        </w:rPr>
        <w:t>questions-multiple-choice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answers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that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include</w:t>
      </w:r>
      <w:proofErr w:type="spellEnd"/>
      <w:r w:rsidRPr="00DE0CBE">
        <w:rPr>
          <w:color w:val="000000"/>
        </w:rPr>
        <w:t xml:space="preserve"> 4 of </w:t>
      </w:r>
      <w:proofErr w:type="spellStart"/>
      <w:r w:rsidRPr="00DE0CBE">
        <w:rPr>
          <w:color w:val="000000"/>
        </w:rPr>
        <w:t>them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are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demographic</w:t>
      </w:r>
      <w:proofErr w:type="spellEnd"/>
      <w:r w:rsidRPr="00DE0CBE">
        <w:rPr>
          <w:color w:val="000000"/>
        </w:rPr>
        <w:t xml:space="preserve">, 20 of </w:t>
      </w:r>
      <w:proofErr w:type="spellStart"/>
      <w:r w:rsidRPr="00DE0CBE">
        <w:rPr>
          <w:color w:val="000000"/>
        </w:rPr>
        <w:t>them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are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theoretical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practical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one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them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suggestions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opinions</w:t>
      </w:r>
      <w:proofErr w:type="spellEnd"/>
      <w:r w:rsidRPr="00DE0CBE">
        <w:rPr>
          <w:color w:val="000000"/>
        </w:rPr>
        <w:t xml:space="preserve">.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number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students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who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participated</w:t>
      </w:r>
      <w:proofErr w:type="spellEnd"/>
      <w:r w:rsidRPr="00DE0CBE">
        <w:rPr>
          <w:color w:val="000000"/>
        </w:rPr>
        <w:t xml:space="preserve"> in </w:t>
      </w:r>
      <w:proofErr w:type="spellStart"/>
      <w:r w:rsidRPr="00DE0CBE">
        <w:rPr>
          <w:color w:val="000000"/>
        </w:rPr>
        <w:t>our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survey</w:t>
      </w:r>
      <w:proofErr w:type="spellEnd"/>
      <w:r w:rsidRPr="00DE0CBE">
        <w:rPr>
          <w:color w:val="000000"/>
        </w:rPr>
        <w:t xml:space="preserve"> is 147. </w:t>
      </w:r>
      <w:proofErr w:type="spellStart"/>
      <w:r w:rsidRPr="00DE0CBE">
        <w:rPr>
          <w:color w:val="000000"/>
        </w:rPr>
        <w:t>Participants</w:t>
      </w:r>
      <w:proofErr w:type="spellEnd"/>
      <w:r w:rsidRPr="00DE0CBE">
        <w:rPr>
          <w:color w:val="000000"/>
        </w:rPr>
        <w:t xml:space="preserve"> 64 </w:t>
      </w:r>
      <w:proofErr w:type="spellStart"/>
      <w:r w:rsidRPr="00DE0CBE">
        <w:rPr>
          <w:color w:val="000000"/>
        </w:rPr>
        <w:t>male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83 </w:t>
      </w:r>
      <w:proofErr w:type="spellStart"/>
      <w:r w:rsidRPr="00DE0CBE">
        <w:rPr>
          <w:color w:val="000000"/>
        </w:rPr>
        <w:t>are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female</w:t>
      </w:r>
      <w:proofErr w:type="spellEnd"/>
      <w:r w:rsidRPr="00DE0CBE">
        <w:rPr>
          <w:color w:val="000000"/>
        </w:rPr>
        <w:t xml:space="preserve">. </w:t>
      </w:r>
      <w:proofErr w:type="spellStart"/>
      <w:proofErr w:type="gramStart"/>
      <w:r w:rsidRPr="00DE0CBE">
        <w:rPr>
          <w:color w:val="000000"/>
        </w:rPr>
        <w:t>It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found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that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participants</w:t>
      </w:r>
      <w:proofErr w:type="spellEnd"/>
      <w:r w:rsidRPr="00DE0CBE">
        <w:rPr>
          <w:color w:val="000000"/>
        </w:rPr>
        <w:t xml:space="preserve"> in </w:t>
      </w:r>
      <w:proofErr w:type="spellStart"/>
      <w:r w:rsidRPr="00DE0CBE">
        <w:rPr>
          <w:color w:val="000000"/>
        </w:rPr>
        <w:t>question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for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measuring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information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about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biyosidall</w:t>
      </w:r>
      <w:proofErr w:type="spellEnd"/>
      <w:r w:rsidRPr="00DE0CBE">
        <w:rPr>
          <w:color w:val="000000"/>
        </w:rPr>
        <w:t xml:space="preserve">; 87.40 % </w:t>
      </w:r>
      <w:proofErr w:type="spellStart"/>
      <w:r w:rsidRPr="00DE0CBE">
        <w:rPr>
          <w:color w:val="000000"/>
        </w:rPr>
        <w:t>there</w:t>
      </w:r>
      <w:proofErr w:type="spellEnd"/>
      <w:r w:rsidRPr="00DE0CBE">
        <w:rPr>
          <w:color w:val="000000"/>
        </w:rPr>
        <w:t xml:space="preserve"> is </w:t>
      </w:r>
      <w:proofErr w:type="spellStart"/>
      <w:r w:rsidRPr="00DE0CBE">
        <w:rPr>
          <w:color w:val="000000"/>
        </w:rPr>
        <w:t>no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information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before</w:t>
      </w:r>
      <w:proofErr w:type="spellEnd"/>
      <w:r w:rsidRPr="00DE0CBE">
        <w:rPr>
          <w:color w:val="000000"/>
        </w:rPr>
        <w:t xml:space="preserve">, 95.02 % </w:t>
      </w:r>
      <w:proofErr w:type="spellStart"/>
      <w:r w:rsidRPr="00DE0CBE">
        <w:rPr>
          <w:color w:val="000000"/>
        </w:rPr>
        <w:t>are</w:t>
      </w:r>
      <w:proofErr w:type="spellEnd"/>
      <w:r w:rsidRPr="00DE0CBE">
        <w:rPr>
          <w:color w:val="000000"/>
        </w:rPr>
        <w:t xml:space="preserve"> not </w:t>
      </w:r>
      <w:proofErr w:type="spellStart"/>
      <w:r w:rsidRPr="00DE0CBE">
        <w:rPr>
          <w:color w:val="000000"/>
        </w:rPr>
        <w:t>aware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legal </w:t>
      </w:r>
      <w:proofErr w:type="spellStart"/>
      <w:r w:rsidRPr="00DE0CBE">
        <w:rPr>
          <w:color w:val="000000"/>
        </w:rPr>
        <w:t>biocidal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regulations</w:t>
      </w:r>
      <w:proofErr w:type="spellEnd"/>
      <w:r w:rsidRPr="00DE0CBE">
        <w:rPr>
          <w:color w:val="000000"/>
        </w:rPr>
        <w:t xml:space="preserve">, 47.77 of </w:t>
      </w:r>
      <w:proofErr w:type="spellStart"/>
      <w:r w:rsidRPr="00DE0CBE">
        <w:rPr>
          <w:color w:val="000000"/>
        </w:rPr>
        <w:t>Them</w:t>
      </w:r>
      <w:proofErr w:type="spellEnd"/>
      <w:r w:rsidRPr="00DE0CBE">
        <w:rPr>
          <w:color w:val="000000"/>
        </w:rPr>
        <w:t xml:space="preserve"> do not </w:t>
      </w:r>
      <w:proofErr w:type="spellStart"/>
      <w:r w:rsidRPr="00DE0CBE">
        <w:rPr>
          <w:color w:val="000000"/>
        </w:rPr>
        <w:t>know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whether</w:t>
      </w:r>
      <w:proofErr w:type="spellEnd"/>
      <w:r w:rsidRPr="00DE0CBE">
        <w:rPr>
          <w:color w:val="000000"/>
        </w:rPr>
        <w:t xml:space="preserve"> a </w:t>
      </w:r>
      <w:proofErr w:type="spellStart"/>
      <w:r w:rsidRPr="00DE0CBE">
        <w:rPr>
          <w:color w:val="000000"/>
        </w:rPr>
        <w:t>mandatory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or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elective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course</w:t>
      </w:r>
      <w:proofErr w:type="spellEnd"/>
      <w:r w:rsidRPr="00DE0CBE">
        <w:rPr>
          <w:color w:val="000000"/>
        </w:rPr>
        <w:t xml:space="preserve"> on </w:t>
      </w:r>
      <w:proofErr w:type="spellStart"/>
      <w:r w:rsidRPr="00DE0CBE">
        <w:rPr>
          <w:color w:val="000000"/>
        </w:rPr>
        <w:t>biocidal</w:t>
      </w:r>
      <w:proofErr w:type="spellEnd"/>
      <w:r w:rsidRPr="00DE0CBE">
        <w:rPr>
          <w:color w:val="000000"/>
        </w:rPr>
        <w:t xml:space="preserve"> at </w:t>
      </w:r>
      <w:proofErr w:type="spellStart"/>
      <w:r w:rsidRPr="00DE0CBE">
        <w:rPr>
          <w:color w:val="000000"/>
        </w:rPr>
        <w:t>any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pharmacy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faculty</w:t>
      </w:r>
      <w:proofErr w:type="spellEnd"/>
      <w:r w:rsidRPr="00DE0CBE">
        <w:rPr>
          <w:color w:val="000000"/>
        </w:rPr>
        <w:t xml:space="preserve">, 78.23% of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biocidal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products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they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believed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would</w:t>
      </w:r>
      <w:proofErr w:type="spellEnd"/>
      <w:r w:rsidRPr="00DE0CBE">
        <w:rPr>
          <w:color w:val="000000"/>
        </w:rPr>
        <w:t xml:space="preserve"> be </w:t>
      </w:r>
      <w:proofErr w:type="spellStart"/>
      <w:r w:rsidRPr="00DE0CBE">
        <w:rPr>
          <w:color w:val="000000"/>
        </w:rPr>
        <w:t>harmful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to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human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health</w:t>
      </w:r>
      <w:proofErr w:type="spellEnd"/>
      <w:r w:rsidRPr="00DE0CBE">
        <w:rPr>
          <w:color w:val="000000"/>
        </w:rPr>
        <w:t xml:space="preserve">, 34.01% of </w:t>
      </w:r>
      <w:proofErr w:type="spellStart"/>
      <w:r w:rsidRPr="00DE0CBE">
        <w:rPr>
          <w:color w:val="000000"/>
        </w:rPr>
        <w:t>those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with</w:t>
      </w:r>
      <w:proofErr w:type="spellEnd"/>
      <w:r w:rsidRPr="00DE0CBE">
        <w:rPr>
          <w:color w:val="000000"/>
        </w:rPr>
        <w:t xml:space="preserve"> a </w:t>
      </w:r>
      <w:proofErr w:type="spellStart"/>
      <w:r w:rsidRPr="00DE0CBE">
        <w:rPr>
          <w:color w:val="000000"/>
        </w:rPr>
        <w:t>proposal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for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prevention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harm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to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human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health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biocidal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products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are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made</w:t>
      </w:r>
      <w:proofErr w:type="spellEnd"/>
      <w:r w:rsidRPr="00DE0CBE">
        <w:rPr>
          <w:color w:val="000000"/>
        </w:rPr>
        <w:t xml:space="preserve">. </w:t>
      </w:r>
      <w:proofErr w:type="spellStart"/>
      <w:proofErr w:type="gramEnd"/>
      <w:r w:rsidRPr="00DE0CBE">
        <w:rPr>
          <w:color w:val="000000"/>
        </w:rPr>
        <w:t>Pharmacy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students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take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quality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education</w:t>
      </w:r>
      <w:proofErr w:type="spellEnd"/>
      <w:r w:rsidRPr="00DE0CBE">
        <w:rPr>
          <w:color w:val="000000"/>
        </w:rPr>
        <w:t xml:space="preserve"> at </w:t>
      </w:r>
      <w:proofErr w:type="spellStart"/>
      <w:r w:rsidRPr="00DE0CBE">
        <w:rPr>
          <w:color w:val="000000"/>
        </w:rPr>
        <w:t>international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level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that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basic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pharmaceutical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science</w:t>
      </w:r>
      <w:proofErr w:type="spellEnd"/>
      <w:r w:rsidRPr="00DE0CBE">
        <w:rPr>
          <w:color w:val="000000"/>
        </w:rPr>
        <w:t xml:space="preserve">, </w:t>
      </w:r>
      <w:proofErr w:type="spellStart"/>
      <w:r w:rsidRPr="00DE0CBE">
        <w:rPr>
          <w:color w:val="000000"/>
        </w:rPr>
        <w:t>professional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sciences</w:t>
      </w:r>
      <w:proofErr w:type="spellEnd"/>
      <w:r w:rsidRPr="00DE0CBE">
        <w:rPr>
          <w:color w:val="000000"/>
        </w:rPr>
        <w:t xml:space="preserve"> (</w:t>
      </w:r>
      <w:proofErr w:type="spellStart"/>
      <w:r w:rsidRPr="00DE0CBE">
        <w:rPr>
          <w:color w:val="000000"/>
        </w:rPr>
        <w:t>toxicology</w:t>
      </w:r>
      <w:proofErr w:type="spellEnd"/>
      <w:r w:rsidRPr="00DE0CBE">
        <w:rPr>
          <w:color w:val="000000"/>
        </w:rPr>
        <w:t xml:space="preserve">, </w:t>
      </w:r>
      <w:proofErr w:type="spellStart"/>
      <w:r w:rsidRPr="00DE0CBE">
        <w:rPr>
          <w:color w:val="000000"/>
        </w:rPr>
        <w:t>pharmacology</w:t>
      </w:r>
      <w:proofErr w:type="spellEnd"/>
      <w:r w:rsidRPr="00DE0CBE">
        <w:rPr>
          <w:color w:val="000000"/>
        </w:rPr>
        <w:t xml:space="preserve">)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department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technology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sciences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during</w:t>
      </w:r>
      <w:proofErr w:type="spellEnd"/>
      <w:r w:rsidRPr="00DE0CBE">
        <w:rPr>
          <w:color w:val="000000"/>
        </w:rPr>
        <w:t xml:space="preserve"> 5 </w:t>
      </w:r>
      <w:proofErr w:type="spellStart"/>
      <w:r w:rsidRPr="00DE0CBE">
        <w:rPr>
          <w:color w:val="000000"/>
        </w:rPr>
        <w:t>years</w:t>
      </w:r>
      <w:proofErr w:type="spellEnd"/>
      <w:r w:rsidRPr="00DE0CBE">
        <w:rPr>
          <w:color w:val="000000"/>
        </w:rPr>
        <w:t xml:space="preserve">. </w:t>
      </w:r>
      <w:proofErr w:type="spellStart"/>
      <w:r w:rsidRPr="00DE0CBE">
        <w:rPr>
          <w:color w:val="000000"/>
        </w:rPr>
        <w:t>we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believe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that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they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should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take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part</w:t>
      </w:r>
      <w:proofErr w:type="spellEnd"/>
      <w:r w:rsidRPr="00DE0CBE">
        <w:rPr>
          <w:color w:val="000000"/>
        </w:rPr>
        <w:t xml:space="preserve"> in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licensing</w:t>
      </w:r>
      <w:proofErr w:type="spellEnd"/>
      <w:r w:rsidRPr="00DE0CBE">
        <w:rPr>
          <w:color w:val="000000"/>
        </w:rPr>
        <w:t xml:space="preserve">, </w:t>
      </w:r>
      <w:proofErr w:type="spellStart"/>
      <w:r w:rsidRPr="00DE0CBE">
        <w:rPr>
          <w:color w:val="000000"/>
        </w:rPr>
        <w:t>the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patenting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market </w:t>
      </w:r>
      <w:proofErr w:type="spellStart"/>
      <w:r w:rsidRPr="00DE0CBE">
        <w:rPr>
          <w:color w:val="000000"/>
        </w:rPr>
        <w:t>surveillance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practices</w:t>
      </w:r>
      <w:proofErr w:type="spellEnd"/>
      <w:r w:rsidRPr="00DE0CBE">
        <w:rPr>
          <w:color w:val="000000"/>
        </w:rPr>
        <w:t xml:space="preserve">, </w:t>
      </w:r>
      <w:proofErr w:type="spellStart"/>
      <w:r w:rsidRPr="00DE0CBE">
        <w:rPr>
          <w:color w:val="000000"/>
        </w:rPr>
        <w:t>because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they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know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biocidal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products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that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consisting</w:t>
      </w:r>
      <w:proofErr w:type="spellEnd"/>
      <w:r w:rsidRPr="00DE0CBE">
        <w:rPr>
          <w:color w:val="000000"/>
        </w:rPr>
        <w:t xml:space="preserve"> of </w:t>
      </w:r>
      <w:proofErr w:type="spellStart"/>
      <w:r w:rsidRPr="00DE0CBE">
        <w:rPr>
          <w:color w:val="000000"/>
        </w:rPr>
        <w:t>pesticides</w:t>
      </w:r>
      <w:proofErr w:type="spellEnd"/>
      <w:r w:rsidRPr="00DE0CBE">
        <w:rPr>
          <w:color w:val="000000"/>
        </w:rPr>
        <w:t xml:space="preserve">, </w:t>
      </w:r>
      <w:proofErr w:type="spellStart"/>
      <w:r w:rsidRPr="00DE0CBE">
        <w:rPr>
          <w:color w:val="000000"/>
        </w:rPr>
        <w:t>dezenfectans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and</w:t>
      </w:r>
      <w:proofErr w:type="spellEnd"/>
      <w:r w:rsidRPr="00DE0CBE">
        <w:rPr>
          <w:color w:val="000000"/>
        </w:rPr>
        <w:t xml:space="preserve"> </w:t>
      </w:r>
      <w:proofErr w:type="spellStart"/>
      <w:r w:rsidRPr="00DE0CBE">
        <w:rPr>
          <w:color w:val="000000"/>
        </w:rPr>
        <w:t>preservatives</w:t>
      </w:r>
      <w:proofErr w:type="spellEnd"/>
      <w:r w:rsidRPr="00DE0CBE">
        <w:rPr>
          <w:color w:val="000000"/>
        </w:rPr>
        <w:t xml:space="preserve"> as </w:t>
      </w:r>
      <w:proofErr w:type="spellStart"/>
      <w:r w:rsidRPr="00DE0CBE">
        <w:rPr>
          <w:color w:val="000000"/>
        </w:rPr>
        <w:t>well</w:t>
      </w:r>
      <w:proofErr w:type="spellEnd"/>
      <w:r w:rsidRPr="00DE0CBE">
        <w:rPr>
          <w:color w:val="000000"/>
        </w:rPr>
        <w:t xml:space="preserve">. </w:t>
      </w:r>
    </w:p>
    <w:p w:rsidR="00DE0CBE" w:rsidRPr="00DE0CBE" w:rsidRDefault="00DE0CBE" w:rsidP="00DE0CBE">
      <w:pPr>
        <w:pStyle w:val="Default"/>
        <w:rPr>
          <w:b/>
          <w:bCs/>
        </w:rPr>
      </w:pPr>
    </w:p>
    <w:p w:rsidR="00DE0CBE" w:rsidRPr="00DE0CBE" w:rsidRDefault="00DE0CBE" w:rsidP="00DE0CBE">
      <w:pPr>
        <w:pStyle w:val="Default"/>
        <w:rPr>
          <w:b/>
          <w:bCs/>
        </w:rPr>
      </w:pPr>
    </w:p>
    <w:p w:rsidR="00DE0CBE" w:rsidRDefault="00DE0CBE" w:rsidP="00DE0CBE">
      <w:pPr>
        <w:pStyle w:val="Default"/>
        <w:rPr>
          <w:b/>
          <w:bCs/>
        </w:rPr>
      </w:pPr>
    </w:p>
    <w:p w:rsidR="00DE0CBE" w:rsidRDefault="00DE0CBE" w:rsidP="00DE0CBE">
      <w:pPr>
        <w:pStyle w:val="Default"/>
        <w:rPr>
          <w:b/>
          <w:bCs/>
        </w:rPr>
      </w:pPr>
    </w:p>
    <w:p w:rsidR="008B49A8" w:rsidRPr="00DE0CBE" w:rsidRDefault="00DE0CBE" w:rsidP="00DE0CBE">
      <w:pPr>
        <w:pStyle w:val="Default"/>
      </w:pPr>
      <w:proofErr w:type="spellStart"/>
      <w:r w:rsidRPr="00DE0CBE">
        <w:rPr>
          <w:b/>
          <w:bCs/>
        </w:rPr>
        <w:t>Keywords</w:t>
      </w:r>
      <w:proofErr w:type="spellEnd"/>
      <w:r w:rsidRPr="00DE0CBE">
        <w:rPr>
          <w:b/>
          <w:bCs/>
        </w:rPr>
        <w:t xml:space="preserve">: </w:t>
      </w:r>
      <w:proofErr w:type="spellStart"/>
      <w:r w:rsidRPr="00DE0CBE">
        <w:t>Pharmacy</w:t>
      </w:r>
      <w:proofErr w:type="spellEnd"/>
      <w:r w:rsidRPr="00DE0CBE">
        <w:t xml:space="preserve">, </w:t>
      </w:r>
      <w:proofErr w:type="spellStart"/>
      <w:r w:rsidRPr="00DE0CBE">
        <w:t>Students</w:t>
      </w:r>
      <w:proofErr w:type="spellEnd"/>
      <w:r w:rsidRPr="00DE0CBE">
        <w:t xml:space="preserve">, </w:t>
      </w:r>
      <w:proofErr w:type="spellStart"/>
      <w:r w:rsidRPr="00DE0CBE">
        <w:t>Biocidal</w:t>
      </w:r>
      <w:proofErr w:type="spellEnd"/>
      <w:r w:rsidRPr="00DE0CBE">
        <w:t xml:space="preserve">, </w:t>
      </w:r>
      <w:proofErr w:type="spellStart"/>
      <w:r w:rsidRPr="00DE0CBE">
        <w:t>Awareness</w:t>
      </w:r>
      <w:proofErr w:type="spellEnd"/>
    </w:p>
    <w:p w:rsidR="00677F3A" w:rsidRDefault="00E250AB">
      <w:pPr>
        <w:pStyle w:val="GvdeMetni"/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96140"/>
    <w:rsid w:val="00536055"/>
    <w:rsid w:val="00654BC3"/>
    <w:rsid w:val="00677F3A"/>
    <w:rsid w:val="0073215F"/>
    <w:rsid w:val="008B49A8"/>
    <w:rsid w:val="0096024C"/>
    <w:rsid w:val="00A03C77"/>
    <w:rsid w:val="00A1441E"/>
    <w:rsid w:val="00A927CE"/>
    <w:rsid w:val="00B82E0A"/>
    <w:rsid w:val="00BE1D54"/>
    <w:rsid w:val="00CA521B"/>
    <w:rsid w:val="00CC257E"/>
    <w:rsid w:val="00DE0CBE"/>
    <w:rsid w:val="00E250AB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2017-06-09T08:30:00Z</dcterms:created>
  <dcterms:modified xsi:type="dcterms:W3CDTF">2017-06-09T08:30:00Z</dcterms:modified>
</cp:coreProperties>
</file>