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E4" w:rsidRPr="00D60AE4" w:rsidRDefault="00D60AE4" w:rsidP="00D60AE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843"/>
        <w:gridCol w:w="2364"/>
        <w:gridCol w:w="1008"/>
      </w:tblGrid>
      <w:tr w:rsidR="00D60AE4" w:rsidRPr="00D60AE4" w:rsidTr="007C2C87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 xml:space="preserve">Table 1 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 xml:space="preserve">Comparison of blood pressures, proteinuria and biochemical parameters between bevacizumab-treated pregnant rats and the control group.  </w:t>
            </w:r>
          </w:p>
        </w:tc>
      </w:tr>
      <w:tr w:rsidR="00D60AE4" w:rsidRPr="00D60AE4" w:rsidTr="007C2C87">
        <w:trPr>
          <w:trHeight w:val="287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 xml:space="preserve">Control Group </w:t>
            </w:r>
          </w:p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>(n=8)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>Bevacizumab Group (n=8)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i/>
                <w:color w:val="231F20"/>
                <w:sz w:val="24"/>
                <w:szCs w:val="24"/>
                <w:lang w:val="en-US" w:eastAsia="tr-TR"/>
              </w:rPr>
              <w:t>P</w:t>
            </w: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 xml:space="preserve"> value</w:t>
            </w:r>
          </w:p>
        </w:tc>
      </w:tr>
      <w:tr w:rsidR="00D60AE4" w:rsidRPr="00D60AE4" w:rsidTr="007C2C87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Blood VEGF (</w:t>
            </w:r>
            <w:proofErr w:type="spellStart"/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pg</w:t>
            </w:r>
            <w:proofErr w:type="spellEnd"/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/ml)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28.84±13.83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15.31±17,62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>0.038</w:t>
            </w:r>
          </w:p>
        </w:tc>
      </w:tr>
      <w:tr w:rsidR="00D60AE4" w:rsidRPr="00D60AE4" w:rsidTr="007C2C87">
        <w:tc>
          <w:tcPr>
            <w:tcW w:w="4361" w:type="dxa"/>
            <w:gridSpan w:val="2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Blood Sflt-1 (</w:t>
            </w:r>
            <w:proofErr w:type="spellStart"/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pg</w:t>
            </w:r>
            <w:proofErr w:type="spellEnd"/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/ml)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108.11±26.50</w:t>
            </w:r>
          </w:p>
        </w:tc>
        <w:tc>
          <w:tcPr>
            <w:tcW w:w="2364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168.47±59,87</w:t>
            </w:r>
          </w:p>
        </w:tc>
        <w:tc>
          <w:tcPr>
            <w:tcW w:w="1008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>0.015</w:t>
            </w:r>
          </w:p>
        </w:tc>
      </w:tr>
      <w:tr w:rsidR="00D60AE4" w:rsidRPr="00D60AE4" w:rsidTr="007C2C87">
        <w:tc>
          <w:tcPr>
            <w:tcW w:w="4361" w:type="dxa"/>
            <w:gridSpan w:val="2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AST (U/L)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146.87±29,31</w:t>
            </w:r>
          </w:p>
        </w:tc>
        <w:tc>
          <w:tcPr>
            <w:tcW w:w="2364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162.25±22.48</w:t>
            </w:r>
          </w:p>
        </w:tc>
        <w:tc>
          <w:tcPr>
            <w:tcW w:w="1008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0.382</w:t>
            </w:r>
          </w:p>
        </w:tc>
      </w:tr>
      <w:tr w:rsidR="00D60AE4" w:rsidRPr="00D60AE4" w:rsidTr="007C2C87">
        <w:tc>
          <w:tcPr>
            <w:tcW w:w="4361" w:type="dxa"/>
            <w:gridSpan w:val="2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ALT (U/L)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76.75±22.46</w:t>
            </w:r>
          </w:p>
        </w:tc>
        <w:tc>
          <w:tcPr>
            <w:tcW w:w="2364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83.87±10.92</w:t>
            </w:r>
          </w:p>
        </w:tc>
        <w:tc>
          <w:tcPr>
            <w:tcW w:w="1008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0.328</w:t>
            </w:r>
          </w:p>
        </w:tc>
      </w:tr>
      <w:tr w:rsidR="00D60AE4" w:rsidRPr="00D60AE4" w:rsidTr="007C2C87">
        <w:tc>
          <w:tcPr>
            <w:tcW w:w="4361" w:type="dxa"/>
            <w:gridSpan w:val="2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BUN (mg/dl)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18.75±4.92</w:t>
            </w:r>
          </w:p>
        </w:tc>
        <w:tc>
          <w:tcPr>
            <w:tcW w:w="2364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21.00±3,77</w:t>
            </w:r>
          </w:p>
        </w:tc>
        <w:tc>
          <w:tcPr>
            <w:tcW w:w="1008" w:type="dxa"/>
            <w:shd w:val="clear" w:color="auto" w:fill="auto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0.382</w:t>
            </w:r>
          </w:p>
        </w:tc>
      </w:tr>
      <w:tr w:rsidR="00D60AE4" w:rsidRPr="00D60AE4" w:rsidTr="007C2C87">
        <w:tc>
          <w:tcPr>
            <w:tcW w:w="4361" w:type="dxa"/>
            <w:gridSpan w:val="2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Creatinine (mg/dl)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0.31±0.04</w:t>
            </w:r>
          </w:p>
        </w:tc>
        <w:tc>
          <w:tcPr>
            <w:tcW w:w="2364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0.36±0.06</w:t>
            </w:r>
          </w:p>
        </w:tc>
        <w:tc>
          <w:tcPr>
            <w:tcW w:w="1008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0.105</w:t>
            </w:r>
          </w:p>
        </w:tc>
      </w:tr>
      <w:tr w:rsidR="00D60AE4" w:rsidRPr="00D60AE4" w:rsidTr="007C2C87">
        <w:tc>
          <w:tcPr>
            <w:tcW w:w="3652" w:type="dxa"/>
            <w:vMerge w:val="restart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Systolic blood pressure (mm Hg)</w:t>
            </w:r>
          </w:p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</w:p>
        </w:tc>
        <w:tc>
          <w:tcPr>
            <w:tcW w:w="709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D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bscript"/>
                <w:lang w:val="en-US" w:eastAsia="tr-TR"/>
              </w:rPr>
              <w:t>0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120.87±6.89</w:t>
            </w:r>
            <w:r w:rsidRPr="00D60AE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  <w:t>a</w:t>
            </w:r>
          </w:p>
        </w:tc>
        <w:tc>
          <w:tcPr>
            <w:tcW w:w="2364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126.25±6.94</w:t>
            </w:r>
            <w:r w:rsidRPr="00D60AE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  <w:t>a</w:t>
            </w:r>
          </w:p>
        </w:tc>
        <w:tc>
          <w:tcPr>
            <w:tcW w:w="1008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0.130</w:t>
            </w:r>
          </w:p>
        </w:tc>
      </w:tr>
      <w:tr w:rsidR="00D60AE4" w:rsidRPr="00D60AE4" w:rsidTr="007C2C87">
        <w:tc>
          <w:tcPr>
            <w:tcW w:w="3652" w:type="dxa"/>
            <w:vMerge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</w:p>
        </w:tc>
        <w:tc>
          <w:tcPr>
            <w:tcW w:w="709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D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bscript"/>
                <w:lang w:val="en-US" w:eastAsia="tr-TR"/>
              </w:rPr>
              <w:t>20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120.62±11.09</w:t>
            </w:r>
          </w:p>
        </w:tc>
        <w:tc>
          <w:tcPr>
            <w:tcW w:w="2364" w:type="dxa"/>
          </w:tcPr>
          <w:p w:rsidR="00D60AE4" w:rsidRPr="00D60AE4" w:rsidRDefault="00D60AE4" w:rsidP="00D60A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132.37±14.16</w:t>
            </w:r>
          </w:p>
        </w:tc>
        <w:tc>
          <w:tcPr>
            <w:tcW w:w="1008" w:type="dxa"/>
          </w:tcPr>
          <w:p w:rsidR="00D60AE4" w:rsidRPr="00D60AE4" w:rsidRDefault="00D60AE4" w:rsidP="00D60AE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>0.050</w:t>
            </w:r>
          </w:p>
        </w:tc>
      </w:tr>
      <w:tr w:rsidR="00D60AE4" w:rsidRPr="00D60AE4" w:rsidTr="007C2C87">
        <w:tc>
          <w:tcPr>
            <w:tcW w:w="3652" w:type="dxa"/>
            <w:vMerge w:val="restart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Diastolic blood pressure (mm Hg)</w:t>
            </w:r>
          </w:p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</w:p>
        </w:tc>
        <w:tc>
          <w:tcPr>
            <w:tcW w:w="709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D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bscript"/>
                <w:lang w:val="en-US" w:eastAsia="tr-TR"/>
              </w:rPr>
              <w:t>0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78.62±5.04</w:t>
            </w:r>
            <w:r w:rsidRPr="00D60AE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  <w:t>a</w:t>
            </w:r>
          </w:p>
        </w:tc>
        <w:tc>
          <w:tcPr>
            <w:tcW w:w="2364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83.37±6.69</w:t>
            </w:r>
            <w:r w:rsidRPr="00D60AE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val="en-US" w:eastAsia="tr-TR"/>
              </w:rPr>
              <w:t>a</w:t>
            </w:r>
          </w:p>
        </w:tc>
        <w:tc>
          <w:tcPr>
            <w:tcW w:w="1008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0.195</w:t>
            </w:r>
          </w:p>
        </w:tc>
      </w:tr>
      <w:tr w:rsidR="00D60AE4" w:rsidRPr="00D60AE4" w:rsidTr="007C2C87">
        <w:tc>
          <w:tcPr>
            <w:tcW w:w="3652" w:type="dxa"/>
            <w:vMerge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</w:p>
        </w:tc>
        <w:tc>
          <w:tcPr>
            <w:tcW w:w="709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D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bscript"/>
                <w:lang w:val="en-US" w:eastAsia="tr-TR"/>
              </w:rPr>
              <w:t>20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78.00±3.81</w:t>
            </w:r>
          </w:p>
        </w:tc>
        <w:tc>
          <w:tcPr>
            <w:tcW w:w="2364" w:type="dxa"/>
          </w:tcPr>
          <w:p w:rsidR="00D60AE4" w:rsidRPr="00D60AE4" w:rsidRDefault="00D60AE4" w:rsidP="00D60A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Cs/>
                <w:sz w:val="24"/>
                <w:szCs w:val="24"/>
                <w:lang w:val="en-US" w:eastAsia="tr-TR"/>
              </w:rPr>
              <w:t>84.75±7.62</w:t>
            </w:r>
          </w:p>
        </w:tc>
        <w:tc>
          <w:tcPr>
            <w:tcW w:w="1008" w:type="dxa"/>
          </w:tcPr>
          <w:p w:rsidR="00D60AE4" w:rsidRPr="00D60AE4" w:rsidRDefault="00D60AE4" w:rsidP="00D60A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>0.046</w:t>
            </w:r>
          </w:p>
        </w:tc>
      </w:tr>
      <w:tr w:rsidR="00D60AE4" w:rsidRPr="00D60AE4" w:rsidTr="007C2C87">
        <w:tc>
          <w:tcPr>
            <w:tcW w:w="3652" w:type="dxa"/>
            <w:vMerge w:val="restart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Proteinuria</w:t>
            </w:r>
          </w:p>
        </w:tc>
        <w:tc>
          <w:tcPr>
            <w:tcW w:w="709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D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bscript"/>
                <w:lang w:val="en-US" w:eastAsia="tr-TR"/>
              </w:rPr>
              <w:t>0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0.13±0.23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perscript"/>
                <w:lang w:val="en-US" w:eastAsia="tr-TR"/>
              </w:rPr>
              <w:t>a</w:t>
            </w:r>
          </w:p>
        </w:tc>
        <w:tc>
          <w:tcPr>
            <w:tcW w:w="2364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0.13±0.23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perscript"/>
                <w:lang w:val="en-US" w:eastAsia="tr-TR"/>
              </w:rPr>
              <w:t>b</w:t>
            </w:r>
          </w:p>
        </w:tc>
        <w:tc>
          <w:tcPr>
            <w:tcW w:w="1008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1.000</w:t>
            </w:r>
          </w:p>
        </w:tc>
      </w:tr>
      <w:tr w:rsidR="00D60AE4" w:rsidRPr="00D60AE4" w:rsidTr="007C2C87"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D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bscript"/>
                <w:lang w:val="en-US" w:eastAsia="tr-TR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0AE4" w:rsidRPr="00D60AE4" w:rsidRDefault="00D60AE4" w:rsidP="00D60A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0.50±0.46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D60AE4" w:rsidRPr="00D60AE4" w:rsidRDefault="00D60AE4" w:rsidP="00D60A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0.88±0.64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60AE4" w:rsidRPr="00D60AE4" w:rsidRDefault="00D60AE4" w:rsidP="00D60A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0.084</w:t>
            </w:r>
          </w:p>
        </w:tc>
      </w:tr>
    </w:tbl>
    <w:p w:rsidR="00D60AE4" w:rsidRPr="00D60AE4" w:rsidRDefault="00D60AE4" w:rsidP="00D6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tr-TR"/>
        </w:rPr>
      </w:pPr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VEGF, vascular endothelial growth factor; Sflt-1, soluble </w:t>
      </w:r>
      <w:proofErr w:type="spellStart"/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>fms</w:t>
      </w:r>
      <w:proofErr w:type="spellEnd"/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-like tyrosine kinase 1, AST, aspartate aminotransferase, ALT, alanine transaminase, BUN, blood urea nitrogen. </w:t>
      </w:r>
      <w:r w:rsidRPr="00D60AE4">
        <w:rPr>
          <w:rFonts w:ascii="Arial" w:eastAsia="Calibri" w:hAnsi="Arial" w:cs="Arial"/>
          <w:sz w:val="24"/>
          <w:szCs w:val="24"/>
          <w:lang w:val="en-US" w:eastAsia="tr-TR"/>
        </w:rPr>
        <w:t xml:space="preserve">Mann-Whitney U test and Wilcoxon Signed Rank Tests were used for analysis. Data are presented as mean </w:t>
      </w:r>
      <w:r w:rsidRPr="00D60AE4">
        <w:rPr>
          <w:rFonts w:ascii="Arial" w:eastAsia="Calibri" w:hAnsi="Arial" w:cs="Arial"/>
          <w:color w:val="000000"/>
          <w:sz w:val="24"/>
          <w:szCs w:val="24"/>
          <w:lang w:val="en-US" w:eastAsia="tr-TR"/>
        </w:rPr>
        <w:t>± SD</w:t>
      </w:r>
      <w:r w:rsidRPr="00D60AE4">
        <w:rPr>
          <w:rFonts w:ascii="Arial" w:eastAsia="Calibri" w:hAnsi="Arial" w:cs="Arial"/>
          <w:sz w:val="24"/>
          <w:szCs w:val="24"/>
          <w:lang w:val="en-US" w:eastAsia="tr-TR"/>
        </w:rPr>
        <w:t xml:space="preserve">. </w:t>
      </w:r>
    </w:p>
    <w:p w:rsidR="00D60AE4" w:rsidRPr="00D60AE4" w:rsidRDefault="00D60AE4" w:rsidP="00D6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31F20"/>
          <w:sz w:val="24"/>
          <w:szCs w:val="24"/>
          <w:lang w:val="en-US" w:eastAsia="tr-TR"/>
        </w:rPr>
      </w:pPr>
      <w:r w:rsidRPr="00D60AE4">
        <w:rPr>
          <w:rFonts w:ascii="Arial" w:eastAsia="Calibri" w:hAnsi="Arial" w:cs="Arial"/>
          <w:sz w:val="24"/>
          <w:szCs w:val="24"/>
          <w:lang w:val="en-US" w:eastAsia="tr-TR"/>
        </w:rPr>
        <w:t>Boldface data indicates statistical significance (</w:t>
      </w:r>
      <w:r w:rsidRPr="00D60AE4">
        <w:rPr>
          <w:rFonts w:ascii="Arial" w:eastAsia="Calibri" w:hAnsi="Arial" w:cs="Arial"/>
          <w:i/>
          <w:sz w:val="24"/>
          <w:szCs w:val="24"/>
          <w:lang w:val="en-US" w:eastAsia="tr-TR"/>
        </w:rPr>
        <w:t>p</w:t>
      </w:r>
      <w:r w:rsidRPr="00D60AE4">
        <w:rPr>
          <w:rFonts w:ascii="Arial" w:eastAsia="Calibri" w:hAnsi="Arial" w:cs="Arial"/>
          <w:sz w:val="24"/>
          <w:szCs w:val="24"/>
          <w:lang w:val="en-US" w:eastAsia="tr-TR"/>
        </w:rPr>
        <w:t>&lt;0.05).</w:t>
      </w:r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  </w:t>
      </w:r>
    </w:p>
    <w:p w:rsidR="00D60AE4" w:rsidRPr="00D60AE4" w:rsidRDefault="00D60AE4" w:rsidP="00D6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31F20"/>
          <w:sz w:val="24"/>
          <w:szCs w:val="24"/>
          <w:lang w:val="en-US" w:eastAsia="tr-TR"/>
        </w:rPr>
      </w:pPr>
      <w:proofErr w:type="gramStart"/>
      <w:r w:rsidRPr="00D60AE4">
        <w:rPr>
          <w:rFonts w:ascii="Arial" w:eastAsia="Calibri" w:hAnsi="Arial" w:cs="Arial"/>
          <w:color w:val="231F20"/>
          <w:sz w:val="24"/>
          <w:szCs w:val="24"/>
          <w:vertAlign w:val="superscript"/>
          <w:lang w:val="en-US" w:eastAsia="tr-TR"/>
        </w:rPr>
        <w:t>a</w:t>
      </w:r>
      <w:proofErr w:type="gramEnd"/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 </w:t>
      </w:r>
      <w:r w:rsidRPr="00D60AE4">
        <w:rPr>
          <w:rFonts w:ascii="Arial" w:eastAsia="Calibri" w:hAnsi="Arial" w:cs="Arial"/>
          <w:i/>
          <w:color w:val="231F20"/>
          <w:sz w:val="24"/>
          <w:szCs w:val="24"/>
          <w:lang w:val="en-US" w:eastAsia="tr-TR"/>
        </w:rPr>
        <w:t>p</w:t>
      </w:r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 ˃0.05, D</w:t>
      </w:r>
      <w:r w:rsidRPr="00D60AE4">
        <w:rPr>
          <w:rFonts w:ascii="Arial" w:eastAsia="Calibri" w:hAnsi="Arial" w:cs="Arial"/>
          <w:color w:val="231F20"/>
          <w:sz w:val="24"/>
          <w:szCs w:val="24"/>
          <w:vertAlign w:val="subscript"/>
          <w:lang w:val="en-US" w:eastAsia="tr-TR"/>
        </w:rPr>
        <w:t xml:space="preserve">0 </w:t>
      </w:r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>vs. D</w:t>
      </w:r>
      <w:r w:rsidRPr="00D60AE4">
        <w:rPr>
          <w:rFonts w:ascii="Arial" w:eastAsia="Calibri" w:hAnsi="Arial" w:cs="Arial"/>
          <w:color w:val="231F20"/>
          <w:sz w:val="24"/>
          <w:szCs w:val="24"/>
          <w:vertAlign w:val="subscript"/>
          <w:lang w:val="en-US" w:eastAsia="tr-TR"/>
        </w:rPr>
        <w:t>20</w:t>
      </w:r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,  </w:t>
      </w:r>
      <w:r w:rsidRPr="00D60AE4">
        <w:rPr>
          <w:rFonts w:ascii="Arial" w:eastAsia="Calibri" w:hAnsi="Arial" w:cs="Arial"/>
          <w:color w:val="231F20"/>
          <w:sz w:val="24"/>
          <w:szCs w:val="24"/>
          <w:vertAlign w:val="superscript"/>
          <w:lang w:val="en-US" w:eastAsia="tr-TR"/>
        </w:rPr>
        <w:t>b</w:t>
      </w:r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 </w:t>
      </w:r>
      <w:r w:rsidRPr="00D60AE4">
        <w:rPr>
          <w:rFonts w:ascii="Arial" w:eastAsia="Calibri" w:hAnsi="Arial" w:cs="Arial"/>
          <w:i/>
          <w:color w:val="231F20"/>
          <w:sz w:val="24"/>
          <w:szCs w:val="24"/>
          <w:lang w:val="en-US" w:eastAsia="tr-TR"/>
        </w:rPr>
        <w:t>p</w:t>
      </w:r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 =0.026, D</w:t>
      </w:r>
      <w:r w:rsidRPr="00D60AE4">
        <w:rPr>
          <w:rFonts w:ascii="Arial" w:eastAsia="Calibri" w:hAnsi="Arial" w:cs="Arial"/>
          <w:color w:val="231F20"/>
          <w:sz w:val="24"/>
          <w:szCs w:val="24"/>
          <w:vertAlign w:val="subscript"/>
          <w:lang w:val="en-US" w:eastAsia="tr-TR"/>
        </w:rPr>
        <w:t xml:space="preserve">0 </w:t>
      </w:r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>vs. D</w:t>
      </w:r>
      <w:r w:rsidRPr="00D60AE4">
        <w:rPr>
          <w:rFonts w:ascii="Arial" w:eastAsia="Calibri" w:hAnsi="Arial" w:cs="Arial"/>
          <w:color w:val="231F20"/>
          <w:sz w:val="24"/>
          <w:szCs w:val="24"/>
          <w:vertAlign w:val="subscript"/>
          <w:lang w:val="en-US" w:eastAsia="tr-TR"/>
        </w:rPr>
        <w:t>20</w:t>
      </w:r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 </w:t>
      </w:r>
    </w:p>
    <w:p w:rsidR="00D60AE4" w:rsidRPr="00D60AE4" w:rsidRDefault="00D60AE4" w:rsidP="00D60AE4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tr-TR"/>
        </w:rPr>
      </w:pPr>
    </w:p>
    <w:p w:rsidR="00D60AE4" w:rsidRPr="00D60AE4" w:rsidRDefault="00D60AE4" w:rsidP="00D60AE4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tr-TR"/>
        </w:rPr>
      </w:pPr>
    </w:p>
    <w:p w:rsidR="00D60AE4" w:rsidRPr="00D60AE4" w:rsidRDefault="00D60AE4" w:rsidP="00D60AE4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tr-TR"/>
        </w:rPr>
      </w:pPr>
    </w:p>
    <w:p w:rsidR="00D60AE4" w:rsidRPr="00D60AE4" w:rsidRDefault="00D60AE4" w:rsidP="00D60AE4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3"/>
        <w:gridCol w:w="698"/>
        <w:gridCol w:w="1827"/>
        <w:gridCol w:w="2358"/>
        <w:gridCol w:w="1082"/>
      </w:tblGrid>
      <w:tr w:rsidR="00D60AE4" w:rsidRPr="00D60AE4" w:rsidTr="007C2C87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 xml:space="preserve">Table 2 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 xml:space="preserve">Comparison of fetal-maternal weight, histopathology and </w:t>
            </w:r>
            <w:proofErr w:type="spellStart"/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immunohistochemical</w:t>
            </w:r>
            <w:proofErr w:type="spellEnd"/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 xml:space="preserve"> results between </w:t>
            </w:r>
            <w:proofErr w:type="spellStart"/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bevacizumab</w:t>
            </w:r>
            <w:proofErr w:type="spellEnd"/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 xml:space="preserve">-treated pregnant rats and the control group.  </w:t>
            </w:r>
          </w:p>
        </w:tc>
      </w:tr>
      <w:tr w:rsidR="00D60AE4" w:rsidRPr="00D60AE4" w:rsidTr="007C2C87">
        <w:trPr>
          <w:trHeight w:val="287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>Control Group</w:t>
            </w:r>
          </w:p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>(n=8)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>Bevacizumab Group</w:t>
            </w:r>
          </w:p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>(n=8)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i/>
                <w:color w:val="231F20"/>
                <w:sz w:val="24"/>
                <w:szCs w:val="24"/>
                <w:lang w:val="en-US" w:eastAsia="tr-TR"/>
              </w:rPr>
              <w:t>P</w:t>
            </w: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 xml:space="preserve"> value</w:t>
            </w:r>
          </w:p>
        </w:tc>
      </w:tr>
      <w:tr w:rsidR="00D60AE4" w:rsidRPr="00D60AE4" w:rsidTr="007C2C87">
        <w:trPr>
          <w:trHeight w:val="237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Maternal weight (gr)</w:t>
            </w:r>
          </w:p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vertAlign w:val="subscript"/>
                <w:lang w:val="en-US"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D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bscript"/>
                <w:lang w:val="en-US" w:eastAsia="tr-TR"/>
              </w:rPr>
              <w:t xml:space="preserve">0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213.38±6.93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perscript"/>
                <w:lang w:val="en-US" w:eastAsia="tr-TR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213.50±5.71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perscript"/>
                <w:lang w:val="en-US" w:eastAsia="tr-TR"/>
              </w:rPr>
              <w:t>a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0.959</w:t>
            </w:r>
          </w:p>
        </w:tc>
      </w:tr>
      <w:tr w:rsidR="00D60AE4" w:rsidRPr="00D60AE4" w:rsidTr="007C2C87">
        <w:trPr>
          <w:trHeight w:val="83"/>
        </w:trPr>
        <w:tc>
          <w:tcPr>
            <w:tcW w:w="3510" w:type="dxa"/>
            <w:vMerge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</w:p>
        </w:tc>
        <w:tc>
          <w:tcPr>
            <w:tcW w:w="709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vertAlign w:val="sub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D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bscript"/>
                <w:lang w:val="en-US" w:eastAsia="tr-TR"/>
              </w:rPr>
              <w:t>20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242.50±7.65</w:t>
            </w:r>
          </w:p>
        </w:tc>
        <w:tc>
          <w:tcPr>
            <w:tcW w:w="2410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240.25±10.36</w:t>
            </w:r>
          </w:p>
        </w:tc>
        <w:tc>
          <w:tcPr>
            <w:tcW w:w="1104" w:type="dxa"/>
            <w:shd w:val="clear" w:color="auto" w:fill="auto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0.878</w:t>
            </w:r>
          </w:p>
        </w:tc>
      </w:tr>
      <w:tr w:rsidR="00D60AE4" w:rsidRPr="00D60AE4" w:rsidTr="007C2C87">
        <w:tc>
          <w:tcPr>
            <w:tcW w:w="4219" w:type="dxa"/>
            <w:gridSpan w:val="2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Maternal weight gain (gr) (D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bscript"/>
                <w:lang w:val="en-US" w:eastAsia="tr-TR"/>
              </w:rPr>
              <w:t>20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-D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vertAlign w:val="subscript"/>
                <w:lang w:val="en-US" w:eastAsia="tr-TR"/>
              </w:rPr>
              <w:t>0</w:t>
            </w: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29.13±4.73</w:t>
            </w:r>
          </w:p>
        </w:tc>
        <w:tc>
          <w:tcPr>
            <w:tcW w:w="2410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  <w:t>26.75±7.30</w:t>
            </w:r>
          </w:p>
        </w:tc>
        <w:tc>
          <w:tcPr>
            <w:tcW w:w="1104" w:type="dxa"/>
            <w:shd w:val="clear" w:color="auto" w:fill="auto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0.505</w:t>
            </w:r>
          </w:p>
        </w:tc>
      </w:tr>
      <w:tr w:rsidR="00D60AE4" w:rsidRPr="00D60AE4" w:rsidTr="007C2C87">
        <w:tc>
          <w:tcPr>
            <w:tcW w:w="4219" w:type="dxa"/>
            <w:gridSpan w:val="2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Number of pups per litter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  <w:t>7.5±0.92</w:t>
            </w:r>
          </w:p>
        </w:tc>
        <w:tc>
          <w:tcPr>
            <w:tcW w:w="2410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  <w:t>7.37±0.74</w:t>
            </w:r>
          </w:p>
        </w:tc>
        <w:tc>
          <w:tcPr>
            <w:tcW w:w="1104" w:type="dxa"/>
            <w:shd w:val="clear" w:color="auto" w:fill="auto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0.878</w:t>
            </w:r>
          </w:p>
        </w:tc>
      </w:tr>
      <w:tr w:rsidR="00D60AE4" w:rsidRPr="00D60AE4" w:rsidTr="007C2C87">
        <w:tc>
          <w:tcPr>
            <w:tcW w:w="4219" w:type="dxa"/>
            <w:gridSpan w:val="2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Mean fetal weight (gr)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  <w:t>2.19±0.19</w:t>
            </w:r>
          </w:p>
        </w:tc>
        <w:tc>
          <w:tcPr>
            <w:tcW w:w="2410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  <w:t>2.00±0.17</w:t>
            </w:r>
          </w:p>
        </w:tc>
        <w:tc>
          <w:tcPr>
            <w:tcW w:w="1104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0.274</w:t>
            </w:r>
          </w:p>
        </w:tc>
      </w:tr>
      <w:tr w:rsidR="00D60AE4" w:rsidRPr="00D60AE4" w:rsidTr="007C2C87">
        <w:tc>
          <w:tcPr>
            <w:tcW w:w="4219" w:type="dxa"/>
            <w:gridSpan w:val="2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vertAlign w:val="super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Placental VEGF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  <w:t>6.31±4.54</w:t>
            </w:r>
          </w:p>
        </w:tc>
        <w:tc>
          <w:tcPr>
            <w:tcW w:w="2410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  <w:t>5.55±3.64</w:t>
            </w:r>
          </w:p>
        </w:tc>
        <w:tc>
          <w:tcPr>
            <w:tcW w:w="1104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0.328</w:t>
            </w:r>
          </w:p>
        </w:tc>
      </w:tr>
      <w:tr w:rsidR="00D60AE4" w:rsidRPr="00D60AE4" w:rsidTr="007C2C87">
        <w:tc>
          <w:tcPr>
            <w:tcW w:w="4219" w:type="dxa"/>
            <w:gridSpan w:val="2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Placental Sflt-1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  <w:t>5.62±4.14</w:t>
            </w:r>
          </w:p>
        </w:tc>
        <w:tc>
          <w:tcPr>
            <w:tcW w:w="2410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  <w:t>8.12±4.82</w:t>
            </w:r>
          </w:p>
        </w:tc>
        <w:tc>
          <w:tcPr>
            <w:tcW w:w="1104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 w:eastAsia="tr-TR"/>
              </w:rPr>
              <w:t>0.050</w:t>
            </w:r>
          </w:p>
        </w:tc>
      </w:tr>
      <w:tr w:rsidR="00D60AE4" w:rsidRPr="00D60AE4" w:rsidTr="007C2C87">
        <w:tc>
          <w:tcPr>
            <w:tcW w:w="4219" w:type="dxa"/>
            <w:gridSpan w:val="2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Placental CD31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  <w:t>85.31±5.96</w:t>
            </w:r>
          </w:p>
        </w:tc>
        <w:tc>
          <w:tcPr>
            <w:tcW w:w="2410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  <w:t>81.93±4.55</w:t>
            </w:r>
          </w:p>
        </w:tc>
        <w:tc>
          <w:tcPr>
            <w:tcW w:w="1104" w:type="dxa"/>
            <w:shd w:val="clear" w:color="auto" w:fill="auto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0.328</w:t>
            </w:r>
          </w:p>
        </w:tc>
      </w:tr>
      <w:tr w:rsidR="00D60AE4" w:rsidRPr="00D60AE4" w:rsidTr="007C2C87">
        <w:tc>
          <w:tcPr>
            <w:tcW w:w="4219" w:type="dxa"/>
            <w:gridSpan w:val="2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Placental CD105</w:t>
            </w:r>
          </w:p>
        </w:tc>
        <w:tc>
          <w:tcPr>
            <w:tcW w:w="1843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  <w:t>83.81±6.48</w:t>
            </w:r>
          </w:p>
        </w:tc>
        <w:tc>
          <w:tcPr>
            <w:tcW w:w="2410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tr-TR"/>
              </w:rPr>
              <w:t>80.56±5.80</w:t>
            </w:r>
          </w:p>
        </w:tc>
        <w:tc>
          <w:tcPr>
            <w:tcW w:w="1104" w:type="dxa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0.234</w:t>
            </w:r>
          </w:p>
        </w:tc>
      </w:tr>
      <w:tr w:rsidR="00D60AE4" w:rsidRPr="00D60AE4" w:rsidTr="007C2C87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231F20"/>
                <w:sz w:val="24"/>
                <w:szCs w:val="24"/>
                <w:vertAlign w:val="subscript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sz w:val="24"/>
                <w:szCs w:val="24"/>
                <w:lang w:val="en-US" w:eastAsia="tr-TR"/>
              </w:rPr>
              <w:t xml:space="preserve">Glomerular </w:t>
            </w:r>
            <w:proofErr w:type="spellStart"/>
            <w:r w:rsidRPr="00D60AE4">
              <w:rPr>
                <w:rFonts w:ascii="Arial" w:eastAsia="Calibri" w:hAnsi="Arial" w:cs="Arial"/>
                <w:sz w:val="24"/>
                <w:szCs w:val="24"/>
                <w:lang w:val="en-US" w:eastAsia="tr-TR"/>
              </w:rPr>
              <w:t>endotheliosis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1.75±0.71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1.88±0.84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D60AE4" w:rsidRPr="00D60AE4" w:rsidRDefault="00D60AE4" w:rsidP="00D6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</w:pPr>
            <w:r w:rsidRPr="00D60AE4">
              <w:rPr>
                <w:rFonts w:ascii="Arial" w:eastAsia="Calibri" w:hAnsi="Arial" w:cs="Arial"/>
                <w:color w:val="231F20"/>
                <w:sz w:val="24"/>
                <w:szCs w:val="24"/>
                <w:lang w:val="en-US" w:eastAsia="tr-TR"/>
              </w:rPr>
              <w:t>0.798</w:t>
            </w:r>
          </w:p>
        </w:tc>
      </w:tr>
    </w:tbl>
    <w:p w:rsidR="00D60AE4" w:rsidRPr="00D60AE4" w:rsidRDefault="00D60AE4" w:rsidP="00D6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tr-TR"/>
        </w:rPr>
      </w:pPr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VEGF, vascular endothelial growth factor; Sflt-1, soluble </w:t>
      </w:r>
      <w:proofErr w:type="spellStart"/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>fms</w:t>
      </w:r>
      <w:proofErr w:type="spellEnd"/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-like tyrosine kinase 1. </w:t>
      </w:r>
      <w:r w:rsidRPr="00D60AE4">
        <w:rPr>
          <w:rFonts w:ascii="Arial" w:eastAsia="Calibri" w:hAnsi="Arial" w:cs="Arial"/>
          <w:sz w:val="24"/>
          <w:szCs w:val="24"/>
          <w:lang w:val="en-US" w:eastAsia="tr-TR"/>
        </w:rPr>
        <w:t xml:space="preserve">Mann-Whitney U test and Wilcoxon Signed Rank Tests were used for analysis. Data are presented as mean </w:t>
      </w:r>
      <w:r w:rsidRPr="00D60AE4">
        <w:rPr>
          <w:rFonts w:ascii="Arial" w:eastAsia="Calibri" w:hAnsi="Arial" w:cs="Arial"/>
          <w:color w:val="000000"/>
          <w:sz w:val="24"/>
          <w:szCs w:val="24"/>
          <w:lang w:val="en-US" w:eastAsia="tr-TR"/>
        </w:rPr>
        <w:t>± SD</w:t>
      </w:r>
      <w:r w:rsidRPr="00D60AE4">
        <w:rPr>
          <w:rFonts w:ascii="Arial" w:eastAsia="Calibri" w:hAnsi="Arial" w:cs="Arial"/>
          <w:sz w:val="24"/>
          <w:szCs w:val="24"/>
          <w:lang w:val="en-US" w:eastAsia="tr-TR"/>
        </w:rPr>
        <w:t xml:space="preserve">. </w:t>
      </w:r>
    </w:p>
    <w:p w:rsidR="00D60AE4" w:rsidRPr="00D60AE4" w:rsidRDefault="00D60AE4" w:rsidP="00D60A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31F20"/>
          <w:sz w:val="24"/>
          <w:szCs w:val="24"/>
          <w:lang w:val="en-US" w:eastAsia="tr-TR"/>
        </w:rPr>
      </w:pPr>
      <w:r w:rsidRPr="00D60AE4">
        <w:rPr>
          <w:rFonts w:ascii="Arial" w:eastAsia="Calibri" w:hAnsi="Arial" w:cs="Arial"/>
          <w:sz w:val="24"/>
          <w:szCs w:val="24"/>
          <w:lang w:val="en-US" w:eastAsia="tr-TR"/>
        </w:rPr>
        <w:t>Boldface data indicates statistical significance (</w:t>
      </w:r>
      <w:r w:rsidRPr="00D60AE4">
        <w:rPr>
          <w:rFonts w:ascii="Arial" w:eastAsia="Calibri" w:hAnsi="Arial" w:cs="Arial"/>
          <w:i/>
          <w:sz w:val="24"/>
          <w:szCs w:val="24"/>
          <w:lang w:val="en-US" w:eastAsia="tr-TR"/>
        </w:rPr>
        <w:t>p</w:t>
      </w:r>
      <w:r w:rsidRPr="00D60AE4">
        <w:rPr>
          <w:rFonts w:ascii="Arial" w:eastAsia="Calibri" w:hAnsi="Arial" w:cs="Arial"/>
          <w:sz w:val="24"/>
          <w:szCs w:val="24"/>
          <w:lang w:val="en-US" w:eastAsia="tr-TR"/>
        </w:rPr>
        <w:t>&lt;0.05).</w:t>
      </w:r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   </w:t>
      </w:r>
    </w:p>
    <w:p w:rsidR="00A01323" w:rsidRDefault="00D60AE4" w:rsidP="00D60AE4">
      <w:pPr>
        <w:autoSpaceDE w:val="0"/>
        <w:autoSpaceDN w:val="0"/>
        <w:adjustRightInd w:val="0"/>
        <w:spacing w:after="0" w:line="480" w:lineRule="auto"/>
        <w:jc w:val="both"/>
      </w:pPr>
      <w:proofErr w:type="gramStart"/>
      <w:r w:rsidRPr="00D60AE4">
        <w:rPr>
          <w:rFonts w:ascii="Arial" w:eastAsia="Calibri" w:hAnsi="Arial" w:cs="Arial"/>
          <w:color w:val="231F20"/>
          <w:sz w:val="24"/>
          <w:szCs w:val="24"/>
          <w:vertAlign w:val="superscript"/>
          <w:lang w:val="en-US" w:eastAsia="tr-TR"/>
        </w:rPr>
        <w:lastRenderedPageBreak/>
        <w:t>a</w:t>
      </w:r>
      <w:proofErr w:type="gramEnd"/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 </w:t>
      </w:r>
      <w:r w:rsidRPr="00D60AE4">
        <w:rPr>
          <w:rFonts w:ascii="Arial" w:eastAsia="Calibri" w:hAnsi="Arial" w:cs="Arial"/>
          <w:i/>
          <w:color w:val="231F20"/>
          <w:sz w:val="24"/>
          <w:szCs w:val="24"/>
          <w:lang w:val="en-US" w:eastAsia="tr-TR"/>
        </w:rPr>
        <w:t>p</w:t>
      </w:r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 xml:space="preserve"> =0.012, D</w:t>
      </w:r>
      <w:r w:rsidRPr="00D60AE4">
        <w:rPr>
          <w:rFonts w:ascii="Arial" w:eastAsia="Calibri" w:hAnsi="Arial" w:cs="Arial"/>
          <w:color w:val="231F20"/>
          <w:sz w:val="24"/>
          <w:szCs w:val="24"/>
          <w:vertAlign w:val="subscript"/>
          <w:lang w:val="en-US" w:eastAsia="tr-TR"/>
        </w:rPr>
        <w:t xml:space="preserve">0 </w:t>
      </w:r>
      <w:r w:rsidRPr="00D60AE4">
        <w:rPr>
          <w:rFonts w:ascii="Arial" w:eastAsia="Calibri" w:hAnsi="Arial" w:cs="Arial"/>
          <w:color w:val="231F20"/>
          <w:sz w:val="24"/>
          <w:szCs w:val="24"/>
          <w:lang w:val="en-US" w:eastAsia="tr-TR"/>
        </w:rPr>
        <w:t>vs. D</w:t>
      </w:r>
      <w:r w:rsidRPr="00D60AE4">
        <w:rPr>
          <w:rFonts w:ascii="Arial" w:eastAsia="Calibri" w:hAnsi="Arial" w:cs="Arial"/>
          <w:color w:val="231F20"/>
          <w:sz w:val="24"/>
          <w:szCs w:val="24"/>
          <w:vertAlign w:val="subscript"/>
          <w:lang w:val="en-US" w:eastAsia="tr-TR"/>
        </w:rPr>
        <w:t>20</w:t>
      </w:r>
    </w:p>
    <w:sectPr w:rsidR="00A013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0A60">
      <w:pPr>
        <w:spacing w:after="0" w:line="240" w:lineRule="auto"/>
      </w:pPr>
      <w:r>
        <w:separator/>
      </w:r>
    </w:p>
  </w:endnote>
  <w:endnote w:type="continuationSeparator" w:id="0">
    <w:p w:rsidR="00000000" w:rsidRDefault="00AC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98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26D" w:rsidRDefault="00D60AE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26D" w:rsidRDefault="00AC0A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0A60">
      <w:pPr>
        <w:spacing w:after="0" w:line="240" w:lineRule="auto"/>
      </w:pPr>
      <w:r>
        <w:separator/>
      </w:r>
    </w:p>
  </w:footnote>
  <w:footnote w:type="continuationSeparator" w:id="0">
    <w:p w:rsidR="00000000" w:rsidRDefault="00AC0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E4"/>
    <w:rsid w:val="00A01323"/>
    <w:rsid w:val="00AC0A60"/>
    <w:rsid w:val="00D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60AE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60AE4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60AE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60AE4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Pamukkale Üniversitesi Tıp Fakültesi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usertyf</cp:lastModifiedBy>
  <cp:revision>2</cp:revision>
  <dcterms:created xsi:type="dcterms:W3CDTF">2018-02-27T08:54:00Z</dcterms:created>
  <dcterms:modified xsi:type="dcterms:W3CDTF">2018-02-27T08:54:00Z</dcterms:modified>
</cp:coreProperties>
</file>