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C0" w:rsidRPr="00D50AF8" w:rsidRDefault="000545C0" w:rsidP="00363930">
      <w:pPr>
        <w:jc w:val="center"/>
        <w:rPr>
          <w:rFonts w:ascii="Times New Roman" w:hAnsi="Times New Roman" w:cs="Times New Roman"/>
          <w:sz w:val="40"/>
          <w:szCs w:val="40"/>
        </w:rPr>
      </w:pPr>
      <w:r w:rsidRPr="00D50AF8">
        <w:rPr>
          <w:rFonts w:ascii="Times New Roman" w:hAnsi="Times New Roman" w:cs="Times New Roman"/>
          <w:sz w:val="40"/>
          <w:szCs w:val="40"/>
        </w:rPr>
        <w:t>A Review of Foreign Direct Investments in Turkish Energy Sector</w:t>
      </w:r>
    </w:p>
    <w:p w:rsidR="00363930" w:rsidRPr="00D50AF8" w:rsidRDefault="00363930">
      <w:pPr>
        <w:rPr>
          <w:rFonts w:ascii="Times New Roman" w:hAnsi="Times New Roman" w:cs="Times New Roman"/>
        </w:rPr>
      </w:pPr>
    </w:p>
    <w:p w:rsidR="000545C0" w:rsidRPr="00D50AF8" w:rsidRDefault="000545C0">
      <w:pPr>
        <w:rPr>
          <w:rFonts w:ascii="Times New Roman" w:hAnsi="Times New Roman" w:cs="Times New Roman"/>
        </w:rPr>
      </w:pPr>
      <w:r w:rsidRPr="00D50AF8">
        <w:rPr>
          <w:rFonts w:ascii="Times New Roman" w:hAnsi="Times New Roman" w:cs="Times New Roman"/>
        </w:rPr>
        <w:t xml:space="preserve">Corresponding Author: </w:t>
      </w:r>
    </w:p>
    <w:p w:rsidR="000545C0" w:rsidRPr="00D50AF8" w:rsidRDefault="000545C0" w:rsidP="000545C0">
      <w:pPr>
        <w:spacing w:after="0"/>
        <w:rPr>
          <w:rFonts w:ascii="Times New Roman" w:hAnsi="Times New Roman" w:cs="Times New Roman"/>
        </w:rPr>
      </w:pPr>
      <w:proofErr w:type="spellStart"/>
      <w:r w:rsidRPr="00D50AF8">
        <w:rPr>
          <w:rFonts w:ascii="Times New Roman" w:hAnsi="Times New Roman" w:cs="Times New Roman"/>
        </w:rPr>
        <w:t>Syed</w:t>
      </w:r>
      <w:proofErr w:type="spellEnd"/>
      <w:r w:rsidRPr="00D50AF8">
        <w:rPr>
          <w:rFonts w:ascii="Times New Roman" w:hAnsi="Times New Roman" w:cs="Times New Roman"/>
        </w:rPr>
        <w:t xml:space="preserve"> F. Mahm</w:t>
      </w:r>
      <w:r w:rsidR="003F554C">
        <w:rPr>
          <w:rFonts w:ascii="Times New Roman" w:hAnsi="Times New Roman" w:cs="Times New Roman"/>
        </w:rPr>
        <w:t>u</w:t>
      </w:r>
      <w:r w:rsidRPr="00D50AF8">
        <w:rPr>
          <w:rFonts w:ascii="Times New Roman" w:hAnsi="Times New Roman" w:cs="Times New Roman"/>
        </w:rPr>
        <w:t>d</w:t>
      </w:r>
    </w:p>
    <w:p w:rsidR="000545C0" w:rsidRPr="00D50AF8" w:rsidRDefault="000545C0" w:rsidP="000545C0">
      <w:pPr>
        <w:spacing w:after="0"/>
        <w:rPr>
          <w:rFonts w:ascii="Times New Roman" w:hAnsi="Times New Roman" w:cs="Times New Roman"/>
        </w:rPr>
      </w:pPr>
      <w:proofErr w:type="spellStart"/>
      <w:r w:rsidRPr="00D50AF8">
        <w:rPr>
          <w:rFonts w:ascii="Times New Roman" w:hAnsi="Times New Roman" w:cs="Times New Roman"/>
        </w:rPr>
        <w:t>Bilkent</w:t>
      </w:r>
      <w:proofErr w:type="spellEnd"/>
      <w:r w:rsidRPr="00D50AF8">
        <w:rPr>
          <w:rFonts w:ascii="Times New Roman" w:hAnsi="Times New Roman" w:cs="Times New Roman"/>
        </w:rPr>
        <w:t xml:space="preserve"> University, Department of Economics</w:t>
      </w:r>
    </w:p>
    <w:p w:rsidR="000545C0" w:rsidRPr="00D50AF8" w:rsidRDefault="000545C0" w:rsidP="000545C0">
      <w:pPr>
        <w:spacing w:after="0"/>
        <w:rPr>
          <w:rFonts w:ascii="Times New Roman" w:hAnsi="Times New Roman" w:cs="Times New Roman"/>
        </w:rPr>
      </w:pPr>
      <w:proofErr w:type="spellStart"/>
      <w:r w:rsidRPr="00D50AF8">
        <w:rPr>
          <w:rFonts w:ascii="Times New Roman" w:hAnsi="Times New Roman" w:cs="Times New Roman"/>
        </w:rPr>
        <w:t>Universiteler</w:t>
      </w:r>
      <w:proofErr w:type="spellEnd"/>
      <w:r w:rsidRPr="00D50AF8">
        <w:rPr>
          <w:rFonts w:ascii="Times New Roman" w:hAnsi="Times New Roman" w:cs="Times New Roman"/>
        </w:rPr>
        <w:t xml:space="preserve"> </w:t>
      </w:r>
      <w:proofErr w:type="spellStart"/>
      <w:proofErr w:type="gramStart"/>
      <w:r w:rsidRPr="00D50AF8">
        <w:rPr>
          <w:rFonts w:ascii="Times New Roman" w:hAnsi="Times New Roman" w:cs="Times New Roman"/>
        </w:rPr>
        <w:t>Mh</w:t>
      </w:r>
      <w:proofErr w:type="spellEnd"/>
      <w:r w:rsidRPr="00D50AF8">
        <w:rPr>
          <w:rFonts w:ascii="Times New Roman" w:hAnsi="Times New Roman" w:cs="Times New Roman"/>
        </w:rPr>
        <w:t>.,</w:t>
      </w:r>
      <w:proofErr w:type="gramEnd"/>
      <w:r w:rsidRPr="00D50AF8">
        <w:rPr>
          <w:rFonts w:ascii="Times New Roman" w:hAnsi="Times New Roman" w:cs="Times New Roman"/>
        </w:rPr>
        <w:t xml:space="preserve"> 06800 </w:t>
      </w:r>
      <w:proofErr w:type="spellStart"/>
      <w:r w:rsidRPr="00D50AF8">
        <w:rPr>
          <w:rFonts w:ascii="Times New Roman" w:hAnsi="Times New Roman" w:cs="Times New Roman"/>
        </w:rPr>
        <w:t>Cankaya</w:t>
      </w:r>
      <w:proofErr w:type="spellEnd"/>
      <w:r w:rsidRPr="00D50AF8">
        <w:rPr>
          <w:rFonts w:ascii="Times New Roman" w:hAnsi="Times New Roman" w:cs="Times New Roman"/>
        </w:rPr>
        <w:t>/Ankara</w:t>
      </w:r>
    </w:p>
    <w:p w:rsidR="000545C0" w:rsidRPr="00D50AF8" w:rsidRDefault="000545C0" w:rsidP="000545C0">
      <w:pPr>
        <w:spacing w:after="0"/>
        <w:rPr>
          <w:rFonts w:ascii="Times New Roman" w:hAnsi="Times New Roman" w:cs="Times New Roman"/>
        </w:rPr>
      </w:pPr>
      <w:r w:rsidRPr="00D50AF8">
        <w:rPr>
          <w:rFonts w:ascii="Times New Roman" w:hAnsi="Times New Roman" w:cs="Times New Roman"/>
          <w:noProof/>
          <w:lang w:eastAsia="tr-TR"/>
        </w:rPr>
        <w:t>syed@bilkent.edu.tr</w:t>
      </w:r>
    </w:p>
    <w:p w:rsidR="000545C0" w:rsidRPr="00D50AF8" w:rsidRDefault="000545C0">
      <w:pPr>
        <w:rPr>
          <w:rFonts w:ascii="Times New Roman" w:hAnsi="Times New Roman" w:cs="Times New Roman"/>
          <w:sz w:val="40"/>
          <w:szCs w:val="40"/>
        </w:rPr>
      </w:pPr>
    </w:p>
    <w:p w:rsidR="000545C0" w:rsidRPr="00D50AF8" w:rsidRDefault="000545C0">
      <w:pPr>
        <w:rPr>
          <w:rFonts w:ascii="Times New Roman" w:hAnsi="Times New Roman" w:cs="Times New Roman"/>
        </w:rPr>
      </w:pPr>
      <w:r w:rsidRPr="00D50AF8">
        <w:rPr>
          <w:rFonts w:ascii="Times New Roman" w:hAnsi="Times New Roman" w:cs="Times New Roman"/>
        </w:rPr>
        <w:t>Co-Author:</w:t>
      </w:r>
    </w:p>
    <w:p w:rsidR="000545C0" w:rsidRPr="00D50AF8" w:rsidRDefault="000545C0" w:rsidP="000545C0">
      <w:pPr>
        <w:spacing w:after="0"/>
        <w:rPr>
          <w:rFonts w:ascii="Times New Roman" w:hAnsi="Times New Roman" w:cs="Times New Roman"/>
        </w:rPr>
      </w:pPr>
      <w:proofErr w:type="spellStart"/>
      <w:r w:rsidRPr="00D50AF8">
        <w:rPr>
          <w:rFonts w:ascii="Times New Roman" w:hAnsi="Times New Roman" w:cs="Times New Roman"/>
        </w:rPr>
        <w:t>Selahattin</w:t>
      </w:r>
      <w:proofErr w:type="spellEnd"/>
      <w:r w:rsidRPr="00D50AF8">
        <w:rPr>
          <w:rFonts w:ascii="Times New Roman" w:hAnsi="Times New Roman" w:cs="Times New Roman"/>
        </w:rPr>
        <w:t xml:space="preserve"> M. </w:t>
      </w:r>
      <w:proofErr w:type="spellStart"/>
      <w:r w:rsidRPr="00D50AF8">
        <w:rPr>
          <w:rFonts w:ascii="Times New Roman" w:hAnsi="Times New Roman" w:cs="Times New Roman"/>
        </w:rPr>
        <w:t>Sirin</w:t>
      </w:r>
      <w:proofErr w:type="spellEnd"/>
      <w:r w:rsidRPr="00D50AF8">
        <w:rPr>
          <w:rFonts w:ascii="Times New Roman" w:hAnsi="Times New Roman" w:cs="Times New Roman"/>
        </w:rPr>
        <w:t>,</w:t>
      </w:r>
    </w:p>
    <w:p w:rsidR="000545C0" w:rsidRPr="00D50AF8" w:rsidRDefault="000545C0" w:rsidP="000545C0">
      <w:pPr>
        <w:spacing w:after="0"/>
        <w:rPr>
          <w:rFonts w:ascii="Times New Roman" w:hAnsi="Times New Roman" w:cs="Times New Roman"/>
        </w:rPr>
      </w:pPr>
      <w:r w:rsidRPr="00D50AF8">
        <w:rPr>
          <w:rFonts w:ascii="Times New Roman" w:hAnsi="Times New Roman" w:cs="Times New Roman"/>
        </w:rPr>
        <w:t>Middle East Technical University,</w:t>
      </w:r>
    </w:p>
    <w:p w:rsidR="000545C0" w:rsidRPr="00D50AF8" w:rsidRDefault="000545C0" w:rsidP="000545C0">
      <w:pPr>
        <w:spacing w:after="0"/>
        <w:rPr>
          <w:rFonts w:ascii="Times New Roman" w:hAnsi="Times New Roman" w:cs="Times New Roman"/>
          <w:sz w:val="40"/>
          <w:szCs w:val="40"/>
        </w:rPr>
      </w:pPr>
      <w:proofErr w:type="spellStart"/>
      <w:r w:rsidRPr="00D50AF8">
        <w:rPr>
          <w:rFonts w:ascii="Times New Roman" w:hAnsi="Times New Roman" w:cs="Times New Roman"/>
        </w:rPr>
        <w:t>Universiteler</w:t>
      </w:r>
      <w:proofErr w:type="spellEnd"/>
      <w:r w:rsidRPr="00D50AF8">
        <w:rPr>
          <w:rFonts w:ascii="Times New Roman" w:hAnsi="Times New Roman" w:cs="Times New Roman"/>
        </w:rPr>
        <w:t xml:space="preserve"> </w:t>
      </w:r>
      <w:proofErr w:type="spellStart"/>
      <w:proofErr w:type="gramStart"/>
      <w:r w:rsidRPr="00D50AF8">
        <w:rPr>
          <w:rFonts w:ascii="Times New Roman" w:hAnsi="Times New Roman" w:cs="Times New Roman"/>
        </w:rPr>
        <w:t>Mh</w:t>
      </w:r>
      <w:proofErr w:type="spellEnd"/>
      <w:r w:rsidRPr="00D50AF8">
        <w:rPr>
          <w:rFonts w:ascii="Times New Roman" w:hAnsi="Times New Roman" w:cs="Times New Roman"/>
        </w:rPr>
        <w:t>.,</w:t>
      </w:r>
      <w:proofErr w:type="gramEnd"/>
      <w:r w:rsidRPr="00D50AF8">
        <w:rPr>
          <w:rFonts w:ascii="Times New Roman" w:hAnsi="Times New Roman" w:cs="Times New Roman"/>
        </w:rPr>
        <w:t xml:space="preserve"> 06800 </w:t>
      </w:r>
      <w:proofErr w:type="spellStart"/>
      <w:r w:rsidRPr="00D50AF8">
        <w:rPr>
          <w:rFonts w:ascii="Times New Roman" w:hAnsi="Times New Roman" w:cs="Times New Roman"/>
        </w:rPr>
        <w:t>Cankaya</w:t>
      </w:r>
      <w:proofErr w:type="spellEnd"/>
      <w:r w:rsidRPr="00D50AF8">
        <w:rPr>
          <w:rFonts w:ascii="Times New Roman" w:hAnsi="Times New Roman" w:cs="Times New Roman"/>
        </w:rPr>
        <w:t>/Ankara</w:t>
      </w:r>
      <w:r w:rsidRPr="00D50AF8">
        <w:rPr>
          <w:rFonts w:ascii="Times New Roman" w:hAnsi="Times New Roman" w:cs="Times New Roman"/>
          <w:sz w:val="40"/>
          <w:szCs w:val="40"/>
        </w:rPr>
        <w:t xml:space="preserve"> </w:t>
      </w:r>
    </w:p>
    <w:p w:rsidR="000545C0" w:rsidRPr="00D50AF8" w:rsidRDefault="000545C0" w:rsidP="000545C0">
      <w:pPr>
        <w:spacing w:after="0"/>
        <w:rPr>
          <w:rFonts w:ascii="Times New Roman" w:hAnsi="Times New Roman" w:cs="Times New Roman"/>
          <w:sz w:val="40"/>
          <w:szCs w:val="40"/>
        </w:rPr>
      </w:pPr>
      <w:r w:rsidRPr="00D50AF8">
        <w:rPr>
          <w:rFonts w:ascii="Times New Roman" w:hAnsi="Times New Roman" w:cs="Times New Roman"/>
        </w:rPr>
        <w:t>Selahattin.sirin@metu.edu.tr</w:t>
      </w:r>
      <w:r w:rsidRPr="00D50AF8">
        <w:rPr>
          <w:rFonts w:ascii="Times New Roman" w:hAnsi="Times New Roman" w:cs="Times New Roman"/>
          <w:sz w:val="40"/>
          <w:szCs w:val="40"/>
        </w:rPr>
        <w:br w:type="page"/>
      </w:r>
    </w:p>
    <w:p w:rsidR="001308B7" w:rsidRPr="00D50AF8" w:rsidRDefault="001308B7" w:rsidP="00E9471B">
      <w:pPr>
        <w:pStyle w:val="Heading2"/>
        <w:rPr>
          <w:rFonts w:ascii="Times New Roman" w:hAnsi="Times New Roman" w:cs="Times New Roman"/>
          <w:sz w:val="24"/>
          <w:szCs w:val="24"/>
        </w:rPr>
      </w:pPr>
      <w:r w:rsidRPr="00D50AF8">
        <w:rPr>
          <w:rFonts w:ascii="Times New Roman" w:hAnsi="Times New Roman" w:cs="Times New Roman"/>
          <w:sz w:val="24"/>
          <w:szCs w:val="24"/>
        </w:rPr>
        <w:lastRenderedPageBreak/>
        <w:t>Abstract</w:t>
      </w:r>
    </w:p>
    <w:p w:rsidR="001308B7" w:rsidRPr="00D50AF8" w:rsidRDefault="001308B7" w:rsidP="003B0F75">
      <w:pPr>
        <w:pStyle w:val="FirstParagraph"/>
        <w:jc w:val="both"/>
        <w:rPr>
          <w:rFonts w:ascii="Times New Roman" w:hAnsi="Times New Roman" w:cs="Times New Roman"/>
        </w:rPr>
      </w:pPr>
      <w:r w:rsidRPr="00D50AF8">
        <w:rPr>
          <w:rFonts w:ascii="Times New Roman" w:hAnsi="Times New Roman" w:cs="Times New Roman"/>
        </w:rPr>
        <w:t xml:space="preserve">Energy sector is one of the key sectors that can affect economic development and contribute to sustainable development goals. </w:t>
      </w:r>
      <w:proofErr w:type="gramStart"/>
      <w:r w:rsidRPr="00D50AF8">
        <w:rPr>
          <w:rFonts w:ascii="Times New Roman" w:hAnsi="Times New Roman" w:cs="Times New Roman"/>
        </w:rPr>
        <w:t>In addition, growing energy security concerns, maintaining low costs and improving efficiency warrant implementing various government policies and encouraging better coordination among different actors.</w:t>
      </w:r>
      <w:proofErr w:type="gramEnd"/>
      <w:r w:rsidRPr="00D50AF8">
        <w:rPr>
          <w:rFonts w:ascii="Times New Roman" w:hAnsi="Times New Roman" w:cs="Times New Roman"/>
        </w:rPr>
        <w:t xml:space="preserve"> It is in this context, foreign investments can play an important role in developing economies to address these issues. The literature on FDIs to other sectors is colossal and well documented; however, studies on energy sector have been limited and mostly carried out for the developed economies and major developing economies. In this paper, a contribution to the literature has been made by examining analyzing Turkish energy sector, which has promising prospects for the Middle East and South-Eastern European regions.</w:t>
      </w:r>
      <w:r w:rsidR="003B0F75" w:rsidRPr="00D50AF8">
        <w:rPr>
          <w:rFonts w:ascii="Times New Roman" w:hAnsi="Times New Roman" w:cs="Times New Roman"/>
        </w:rPr>
        <w:t xml:space="preserve"> </w:t>
      </w:r>
      <w:r w:rsidRPr="00D50AF8">
        <w:rPr>
          <w:rFonts w:ascii="Times New Roman" w:hAnsi="Times New Roman" w:cs="Times New Roman"/>
        </w:rPr>
        <w:t xml:space="preserve">The review shows that Turkey has taken steps to create a favorable environment for foreign investors; yet, it still struggles with structural economic problems and energy-market related </w:t>
      </w:r>
      <w:r w:rsidR="003B0F75" w:rsidRPr="00D50AF8">
        <w:rPr>
          <w:rFonts w:ascii="Times New Roman" w:hAnsi="Times New Roman" w:cs="Times New Roman"/>
        </w:rPr>
        <w:t>issues</w:t>
      </w:r>
      <w:r w:rsidRPr="00D50AF8">
        <w:rPr>
          <w:rFonts w:ascii="Times New Roman" w:hAnsi="Times New Roman" w:cs="Times New Roman"/>
        </w:rPr>
        <w:t>. Moreover, European integration process has made significant contributions to Turkish economy. In this regard, macroeconomic stability and together with pursuit of economic and institutional reforms to complete accession negotiations for EU membership is critical to stimulate further investments into the energy sector.</w:t>
      </w:r>
    </w:p>
    <w:p w:rsidR="00363930" w:rsidRPr="00D50AF8" w:rsidRDefault="00363930" w:rsidP="00363930">
      <w:pPr>
        <w:pStyle w:val="BodyText"/>
      </w:pPr>
      <w:r w:rsidRPr="00D50AF8">
        <w:t>Keywords: Foreign direct, investment, energy, Turkey</w:t>
      </w:r>
    </w:p>
    <w:p w:rsidR="00363930" w:rsidRPr="00D50AF8" w:rsidRDefault="00363930" w:rsidP="00363930">
      <w:pPr>
        <w:pStyle w:val="BodyText"/>
      </w:pPr>
    </w:p>
    <w:p w:rsidR="0017272C" w:rsidRPr="00D50AF8" w:rsidRDefault="00373453" w:rsidP="00363930">
      <w:pPr>
        <w:pStyle w:val="Heading2"/>
        <w:numPr>
          <w:ilvl w:val="0"/>
          <w:numId w:val="21"/>
        </w:numPr>
        <w:rPr>
          <w:rFonts w:ascii="Times New Roman" w:hAnsi="Times New Roman" w:cs="Times New Roman"/>
          <w:sz w:val="24"/>
          <w:szCs w:val="24"/>
        </w:rPr>
      </w:pPr>
      <w:r w:rsidRPr="00D50AF8">
        <w:rPr>
          <w:rFonts w:ascii="Times New Roman" w:hAnsi="Times New Roman" w:cs="Times New Roman"/>
          <w:sz w:val="24"/>
          <w:szCs w:val="24"/>
        </w:rPr>
        <w:t>Introduction</w:t>
      </w:r>
    </w:p>
    <w:p w:rsidR="005C5831" w:rsidRPr="00D50AF8" w:rsidRDefault="005C5831" w:rsidP="005C5831">
      <w:pPr>
        <w:pStyle w:val="BodyText"/>
        <w:jc w:val="both"/>
        <w:rPr>
          <w:rFonts w:ascii="Times New Roman" w:hAnsi="Times New Roman" w:cs="Times New Roman"/>
        </w:rPr>
      </w:pPr>
      <w:r w:rsidRPr="00D50AF8">
        <w:rPr>
          <w:rFonts w:ascii="Times New Roman" w:hAnsi="Times New Roman" w:cs="Times New Roman"/>
        </w:rPr>
        <w:t xml:space="preserve">Foreign direct investment (FDI) has proven to be a fast and reliable source to </w:t>
      </w:r>
      <w:r w:rsidR="00971159" w:rsidRPr="00D50AF8">
        <w:rPr>
          <w:rFonts w:ascii="Times New Roman" w:hAnsi="Times New Roman" w:cs="Times New Roman"/>
        </w:rPr>
        <w:t xml:space="preserve">help getting </w:t>
      </w:r>
      <w:r w:rsidRPr="00D50AF8">
        <w:rPr>
          <w:rFonts w:ascii="Times New Roman" w:hAnsi="Times New Roman" w:cs="Times New Roman"/>
        </w:rPr>
        <w:t xml:space="preserve">access </w:t>
      </w:r>
      <w:r w:rsidR="00971159" w:rsidRPr="00D50AF8">
        <w:rPr>
          <w:rFonts w:ascii="Times New Roman" w:hAnsi="Times New Roman" w:cs="Times New Roman"/>
        </w:rPr>
        <w:t xml:space="preserve">to </w:t>
      </w:r>
      <w:r w:rsidRPr="00D50AF8">
        <w:rPr>
          <w:rFonts w:ascii="Times New Roman" w:hAnsi="Times New Roman" w:cs="Times New Roman"/>
        </w:rPr>
        <w:t>new technologies, develop manufacturing capabilities and finance new investments in many countries. As liberalization of markets and interactions among countries ha</w:t>
      </w:r>
      <w:r w:rsidR="00363930" w:rsidRPr="00D50AF8">
        <w:rPr>
          <w:rFonts w:ascii="Times New Roman" w:hAnsi="Times New Roman" w:cs="Times New Roman"/>
        </w:rPr>
        <w:t>s</w:t>
      </w:r>
      <w:r w:rsidRPr="00D50AF8">
        <w:rPr>
          <w:rFonts w:ascii="Times New Roman" w:hAnsi="Times New Roman" w:cs="Times New Roman"/>
        </w:rPr>
        <w:t xml:space="preserve"> increased, foreign direct investment flows have increased as well. While earlier foreign direct investments in the energy sector were limited to natural resources (mostly hydrocarbons), liberalization of </w:t>
      </w:r>
      <w:r w:rsidR="00044D42" w:rsidRPr="00D50AF8">
        <w:rPr>
          <w:rFonts w:ascii="Times New Roman" w:hAnsi="Times New Roman" w:cs="Times New Roman"/>
        </w:rPr>
        <w:t>energy</w:t>
      </w:r>
      <w:r w:rsidRPr="00D50AF8">
        <w:rPr>
          <w:rFonts w:ascii="Times New Roman" w:hAnsi="Times New Roman" w:cs="Times New Roman"/>
        </w:rPr>
        <w:t xml:space="preserve"> markets, introduction of regional power markets, and new renewable energy technologies have increased </w:t>
      </w:r>
      <w:r w:rsidR="00836F0C" w:rsidRPr="00D50AF8">
        <w:rPr>
          <w:rFonts w:ascii="Times New Roman" w:hAnsi="Times New Roman" w:cs="Times New Roman"/>
        </w:rPr>
        <w:t>FDI inflows to power and natural gas sectors, mostly to benefit from  untapped potential in many countries.</w:t>
      </w:r>
    </w:p>
    <w:p w:rsidR="00E9471B" w:rsidRPr="00D50AF8" w:rsidRDefault="00971159" w:rsidP="00971159">
      <w:pPr>
        <w:pStyle w:val="BodyText"/>
        <w:jc w:val="both"/>
        <w:rPr>
          <w:rFonts w:ascii="Times New Roman" w:hAnsi="Times New Roman" w:cs="Times New Roman"/>
        </w:rPr>
      </w:pPr>
      <w:r w:rsidRPr="00D50AF8">
        <w:rPr>
          <w:rFonts w:ascii="Times New Roman" w:hAnsi="Times New Roman" w:cs="Times New Roman"/>
        </w:rPr>
        <w:t xml:space="preserve">Higher economic growth has contributed to </w:t>
      </w:r>
      <w:r w:rsidR="00836F0C" w:rsidRPr="00D50AF8">
        <w:rPr>
          <w:rFonts w:ascii="Times New Roman" w:hAnsi="Times New Roman" w:cs="Times New Roman"/>
        </w:rPr>
        <w:t>an increasing energy demand</w:t>
      </w:r>
      <w:r w:rsidRPr="00D50AF8">
        <w:rPr>
          <w:rFonts w:ascii="Times New Roman" w:hAnsi="Times New Roman" w:cs="Times New Roman"/>
        </w:rPr>
        <w:t xml:space="preserve"> in Turkey</w:t>
      </w:r>
      <w:r w:rsidR="00836F0C" w:rsidRPr="00D50AF8">
        <w:rPr>
          <w:rFonts w:ascii="Times New Roman" w:hAnsi="Times New Roman" w:cs="Times New Roman"/>
        </w:rPr>
        <w:t xml:space="preserve">, and </w:t>
      </w:r>
      <w:r w:rsidR="00044D42" w:rsidRPr="00D50AF8">
        <w:rPr>
          <w:rFonts w:ascii="Times New Roman" w:hAnsi="Times New Roman" w:cs="Times New Roman"/>
        </w:rPr>
        <w:t xml:space="preserve">the </w:t>
      </w:r>
      <w:r w:rsidR="00836F0C" w:rsidRPr="00D50AF8">
        <w:rPr>
          <w:rFonts w:ascii="Times New Roman" w:hAnsi="Times New Roman" w:cs="Times New Roman"/>
        </w:rPr>
        <w:t>government ha</w:t>
      </w:r>
      <w:r w:rsidRPr="00D50AF8">
        <w:rPr>
          <w:rFonts w:ascii="Times New Roman" w:hAnsi="Times New Roman" w:cs="Times New Roman"/>
        </w:rPr>
        <w:t>s</w:t>
      </w:r>
      <w:r w:rsidR="00836F0C" w:rsidRPr="00D50AF8">
        <w:rPr>
          <w:rFonts w:ascii="Times New Roman" w:hAnsi="Times New Roman" w:cs="Times New Roman"/>
        </w:rPr>
        <w:t xml:space="preserve"> taken many </w:t>
      </w:r>
      <w:r w:rsidRPr="00D50AF8">
        <w:rPr>
          <w:rFonts w:ascii="Times New Roman" w:hAnsi="Times New Roman" w:cs="Times New Roman"/>
        </w:rPr>
        <w:t xml:space="preserve">policy </w:t>
      </w:r>
      <w:r w:rsidR="00836F0C" w:rsidRPr="00D50AF8">
        <w:rPr>
          <w:rFonts w:ascii="Times New Roman" w:hAnsi="Times New Roman" w:cs="Times New Roman"/>
        </w:rPr>
        <w:t>measures to support investments in the energy sector. Besides, Turkey’s location and its proximity to major energy suppliers create opportunities</w:t>
      </w:r>
      <w:r w:rsidR="00044D42" w:rsidRPr="00D50AF8">
        <w:rPr>
          <w:rFonts w:ascii="Times New Roman" w:hAnsi="Times New Roman" w:cs="Times New Roman"/>
        </w:rPr>
        <w:t xml:space="preserve"> as</w:t>
      </w:r>
      <w:r w:rsidR="00836F0C" w:rsidRPr="00D50AF8">
        <w:rPr>
          <w:rFonts w:ascii="Times New Roman" w:hAnsi="Times New Roman" w:cs="Times New Roman"/>
        </w:rPr>
        <w:t xml:space="preserve"> an energy hub in the Middle East region. </w:t>
      </w:r>
      <w:r w:rsidRPr="00D50AF8">
        <w:rPr>
          <w:rFonts w:ascii="Times New Roman" w:hAnsi="Times New Roman" w:cs="Times New Roman"/>
        </w:rPr>
        <w:t>Many</w:t>
      </w:r>
      <w:r w:rsidR="00836F0C" w:rsidRPr="00D50AF8">
        <w:rPr>
          <w:rFonts w:ascii="Times New Roman" w:hAnsi="Times New Roman" w:cs="Times New Roman"/>
        </w:rPr>
        <w:t xml:space="preserve"> foreign investors have shown their interest </w:t>
      </w:r>
      <w:r w:rsidR="00044D42" w:rsidRPr="00D50AF8">
        <w:rPr>
          <w:rFonts w:ascii="Times New Roman" w:hAnsi="Times New Roman" w:cs="Times New Roman"/>
        </w:rPr>
        <w:t>in energy</w:t>
      </w:r>
      <w:r w:rsidR="00836F0C" w:rsidRPr="00D50AF8">
        <w:rPr>
          <w:rFonts w:ascii="Times New Roman" w:hAnsi="Times New Roman" w:cs="Times New Roman"/>
        </w:rPr>
        <w:t xml:space="preserve"> projects</w:t>
      </w:r>
      <w:r w:rsidRPr="00D50AF8">
        <w:rPr>
          <w:rFonts w:ascii="Times New Roman" w:hAnsi="Times New Roman" w:cs="Times New Roman"/>
        </w:rPr>
        <w:t xml:space="preserve"> in recent years</w:t>
      </w:r>
      <w:r w:rsidR="00836F0C" w:rsidRPr="00D50AF8">
        <w:rPr>
          <w:rFonts w:ascii="Times New Roman" w:hAnsi="Times New Roman" w:cs="Times New Roman"/>
        </w:rPr>
        <w:t xml:space="preserve">. </w:t>
      </w:r>
    </w:p>
    <w:p w:rsidR="00E9471B" w:rsidRPr="00D50AF8" w:rsidRDefault="00E9471B" w:rsidP="00D13AAC">
      <w:pPr>
        <w:pStyle w:val="BodyText"/>
        <w:jc w:val="both"/>
        <w:rPr>
          <w:rFonts w:ascii="Times New Roman" w:hAnsi="Times New Roman" w:cs="Times New Roman"/>
        </w:rPr>
      </w:pPr>
      <w:r w:rsidRPr="00D50AF8">
        <w:rPr>
          <w:rFonts w:ascii="Times New Roman" w:hAnsi="Times New Roman" w:cs="Times New Roman"/>
        </w:rPr>
        <w:t xml:space="preserve">Despite </w:t>
      </w:r>
      <w:r w:rsidR="00044D42" w:rsidRPr="00D50AF8">
        <w:rPr>
          <w:rFonts w:ascii="Times New Roman" w:hAnsi="Times New Roman" w:cs="Times New Roman"/>
        </w:rPr>
        <w:t>the</w:t>
      </w:r>
      <w:r w:rsidRPr="00D50AF8">
        <w:rPr>
          <w:rFonts w:ascii="Times New Roman" w:hAnsi="Times New Roman" w:cs="Times New Roman"/>
        </w:rPr>
        <w:t xml:space="preserve"> importance</w:t>
      </w:r>
      <w:r w:rsidR="00971159" w:rsidRPr="00D50AF8">
        <w:rPr>
          <w:rFonts w:ascii="Times New Roman" w:hAnsi="Times New Roman" w:cs="Times New Roman"/>
        </w:rPr>
        <w:t xml:space="preserve"> of this sector in achieving higher economic growth</w:t>
      </w:r>
      <w:r w:rsidRPr="00D50AF8">
        <w:rPr>
          <w:rFonts w:ascii="Times New Roman" w:hAnsi="Times New Roman" w:cs="Times New Roman"/>
        </w:rPr>
        <w:t xml:space="preserve">, FDI inflows in Turkish energy sectors have not attracted enough </w:t>
      </w:r>
      <w:r w:rsidR="00044D42" w:rsidRPr="00D50AF8">
        <w:rPr>
          <w:rFonts w:ascii="Times New Roman" w:hAnsi="Times New Roman" w:cs="Times New Roman"/>
        </w:rPr>
        <w:t>att</w:t>
      </w:r>
      <w:r w:rsidRPr="00D50AF8">
        <w:rPr>
          <w:rFonts w:ascii="Times New Roman" w:hAnsi="Times New Roman" w:cs="Times New Roman"/>
        </w:rPr>
        <w:t xml:space="preserve">ention and </w:t>
      </w:r>
      <w:r w:rsidR="001330A4" w:rsidRPr="00D50AF8">
        <w:rPr>
          <w:rFonts w:ascii="Times New Roman" w:hAnsi="Times New Roman" w:cs="Times New Roman"/>
        </w:rPr>
        <w:t xml:space="preserve">limited research has been done to identify determinants of FDI flows into the sector. </w:t>
      </w:r>
      <w:r w:rsidR="00373453" w:rsidRPr="00D50AF8">
        <w:rPr>
          <w:rFonts w:ascii="Times New Roman" w:hAnsi="Times New Roman" w:cs="Times New Roman"/>
        </w:rPr>
        <w:t xml:space="preserve">In this respect, this study aims to contribute to the literature by </w:t>
      </w:r>
      <w:r w:rsidR="001330A4" w:rsidRPr="00D50AF8">
        <w:rPr>
          <w:rFonts w:ascii="Times New Roman" w:hAnsi="Times New Roman" w:cs="Times New Roman"/>
        </w:rPr>
        <w:t xml:space="preserve">providing </w:t>
      </w:r>
      <w:r w:rsidRPr="00D50AF8">
        <w:rPr>
          <w:rFonts w:ascii="Times New Roman" w:hAnsi="Times New Roman" w:cs="Times New Roman"/>
        </w:rPr>
        <w:t xml:space="preserve">a </w:t>
      </w:r>
      <w:r w:rsidR="001330A4" w:rsidRPr="00D50AF8">
        <w:rPr>
          <w:rFonts w:ascii="Times New Roman" w:hAnsi="Times New Roman" w:cs="Times New Roman"/>
        </w:rPr>
        <w:t xml:space="preserve">broad </w:t>
      </w:r>
      <w:r w:rsidRPr="00D50AF8">
        <w:rPr>
          <w:rFonts w:ascii="Times New Roman" w:hAnsi="Times New Roman" w:cs="Times New Roman"/>
        </w:rPr>
        <w:t xml:space="preserve">review of foreign direct investments in Turkish energy sector and compare its performance with other economies. </w:t>
      </w:r>
      <w:r w:rsidR="00373453" w:rsidRPr="00D50AF8">
        <w:rPr>
          <w:rFonts w:ascii="Times New Roman" w:hAnsi="Times New Roman" w:cs="Times New Roman"/>
        </w:rPr>
        <w:t>The article starts with a</w:t>
      </w:r>
      <w:r w:rsidRPr="00D50AF8">
        <w:rPr>
          <w:rFonts w:ascii="Times New Roman" w:hAnsi="Times New Roman" w:cs="Times New Roman"/>
        </w:rPr>
        <w:t xml:space="preserve">n </w:t>
      </w:r>
      <w:r w:rsidR="00373453" w:rsidRPr="00D50AF8">
        <w:rPr>
          <w:rFonts w:ascii="Times New Roman" w:hAnsi="Times New Roman" w:cs="Times New Roman"/>
        </w:rPr>
        <w:t xml:space="preserve">overview of the </w:t>
      </w:r>
      <w:r w:rsidRPr="00D50AF8">
        <w:rPr>
          <w:rFonts w:ascii="Times New Roman" w:hAnsi="Times New Roman" w:cs="Times New Roman"/>
        </w:rPr>
        <w:t xml:space="preserve">foreign direct investments in the world </w:t>
      </w:r>
      <w:r w:rsidR="00D50AF8">
        <w:rPr>
          <w:rFonts w:ascii="Times New Roman" w:hAnsi="Times New Roman" w:cs="Times New Roman"/>
        </w:rPr>
        <w:t xml:space="preserve">in </w:t>
      </w:r>
      <w:r w:rsidR="00E973C4" w:rsidRPr="00D50AF8">
        <w:rPr>
          <w:rFonts w:ascii="Times New Roman" w:hAnsi="Times New Roman" w:cs="Times New Roman"/>
        </w:rPr>
        <w:t>Section</w:t>
      </w:r>
      <w:r w:rsidRPr="00D50AF8">
        <w:rPr>
          <w:rFonts w:ascii="Times New Roman" w:hAnsi="Times New Roman" w:cs="Times New Roman"/>
        </w:rPr>
        <w:t xml:space="preserve"> 2</w:t>
      </w:r>
      <w:r w:rsidR="00D50AF8">
        <w:rPr>
          <w:rFonts w:ascii="Times New Roman" w:hAnsi="Times New Roman" w:cs="Times New Roman"/>
        </w:rPr>
        <w:t>. Section 3</w:t>
      </w:r>
      <w:r w:rsidR="00373453" w:rsidRPr="00D50AF8">
        <w:rPr>
          <w:rFonts w:ascii="Times New Roman" w:hAnsi="Times New Roman" w:cs="Times New Roman"/>
        </w:rPr>
        <w:t xml:space="preserve"> presents </w:t>
      </w:r>
      <w:r w:rsidR="001330A4" w:rsidRPr="00D50AF8">
        <w:rPr>
          <w:rFonts w:ascii="Times New Roman" w:hAnsi="Times New Roman" w:cs="Times New Roman"/>
        </w:rPr>
        <w:t xml:space="preserve">trends in </w:t>
      </w:r>
      <w:r w:rsidR="00373453" w:rsidRPr="00D50AF8">
        <w:rPr>
          <w:rFonts w:ascii="Times New Roman" w:hAnsi="Times New Roman" w:cs="Times New Roman"/>
        </w:rPr>
        <w:t xml:space="preserve">Turkish energy sector and </w:t>
      </w:r>
      <w:r w:rsidR="009969C9">
        <w:rPr>
          <w:rFonts w:ascii="Times New Roman" w:hAnsi="Times New Roman" w:cs="Times New Roman"/>
        </w:rPr>
        <w:t>Section 4 presents literature review on the foreign direct investments in Turkish energy sector. Section 5</w:t>
      </w:r>
      <w:r w:rsidR="009327FF">
        <w:rPr>
          <w:rFonts w:ascii="Times New Roman" w:hAnsi="Times New Roman" w:cs="Times New Roman"/>
        </w:rPr>
        <w:t xml:space="preserve"> discusses the issues in Turkish energy sector and Section 6</w:t>
      </w:r>
      <w:r w:rsidR="009969C9">
        <w:rPr>
          <w:rFonts w:ascii="Times New Roman" w:hAnsi="Times New Roman" w:cs="Times New Roman"/>
        </w:rPr>
        <w:t xml:space="preserve"> concludes the article. </w:t>
      </w:r>
      <w:bookmarkStart w:id="0" w:name="the-drivers-of-fdi-inflows"/>
      <w:bookmarkEnd w:id="0"/>
    </w:p>
    <w:p w:rsidR="0017272C" w:rsidRPr="00D50AF8" w:rsidRDefault="00E9471B" w:rsidP="00363930">
      <w:pPr>
        <w:pStyle w:val="Heading2"/>
        <w:numPr>
          <w:ilvl w:val="0"/>
          <w:numId w:val="21"/>
        </w:numPr>
        <w:rPr>
          <w:rFonts w:ascii="Times New Roman" w:hAnsi="Times New Roman" w:cs="Times New Roman"/>
          <w:sz w:val="24"/>
          <w:szCs w:val="24"/>
        </w:rPr>
      </w:pPr>
      <w:r w:rsidRPr="00D50AF8">
        <w:rPr>
          <w:rFonts w:ascii="Times New Roman" w:hAnsi="Times New Roman" w:cs="Times New Roman"/>
          <w:sz w:val="24"/>
          <w:szCs w:val="24"/>
        </w:rPr>
        <w:lastRenderedPageBreak/>
        <w:t>Overview of F</w:t>
      </w:r>
      <w:r w:rsidR="00363930" w:rsidRPr="00D50AF8">
        <w:rPr>
          <w:rFonts w:ascii="Times New Roman" w:hAnsi="Times New Roman" w:cs="Times New Roman"/>
          <w:sz w:val="24"/>
          <w:szCs w:val="24"/>
        </w:rPr>
        <w:t>oreign Direct Investments</w:t>
      </w:r>
      <w:r w:rsidRPr="00D50AF8">
        <w:rPr>
          <w:rFonts w:ascii="Times New Roman" w:hAnsi="Times New Roman" w:cs="Times New Roman"/>
          <w:sz w:val="24"/>
          <w:szCs w:val="24"/>
        </w:rPr>
        <w:t xml:space="preserve"> in the</w:t>
      </w:r>
      <w:r w:rsidR="00363930" w:rsidRPr="00D50AF8">
        <w:rPr>
          <w:rFonts w:ascii="Times New Roman" w:hAnsi="Times New Roman" w:cs="Times New Roman"/>
          <w:sz w:val="24"/>
          <w:szCs w:val="24"/>
        </w:rPr>
        <w:t xml:space="preserve"> w</w:t>
      </w:r>
      <w:r w:rsidR="009A227B" w:rsidRPr="00D50AF8">
        <w:rPr>
          <w:rFonts w:ascii="Times New Roman" w:hAnsi="Times New Roman" w:cs="Times New Roman"/>
          <w:sz w:val="24"/>
          <w:szCs w:val="24"/>
        </w:rPr>
        <w:t>orld</w:t>
      </w:r>
    </w:p>
    <w:p w:rsidR="00CD6FE2" w:rsidRPr="00D50AF8" w:rsidRDefault="00F60FD6" w:rsidP="00056861">
      <w:pPr>
        <w:pStyle w:val="FirstParagraph"/>
        <w:jc w:val="both"/>
        <w:rPr>
          <w:rFonts w:ascii="Times New Roman" w:hAnsi="Times New Roman" w:cs="Times New Roman"/>
        </w:rPr>
      </w:pPr>
      <w:r w:rsidRPr="00D50AF8">
        <w:rPr>
          <w:rFonts w:ascii="Times New Roman" w:hAnsi="Times New Roman" w:cs="Times New Roman"/>
        </w:rPr>
        <w:t>Foreign direct investments (FDI) are an important source of technology transfers and</w:t>
      </w:r>
      <w:r w:rsidR="00044D42" w:rsidRPr="00D50AF8">
        <w:rPr>
          <w:rFonts w:ascii="Times New Roman" w:hAnsi="Times New Roman" w:cs="Times New Roman"/>
        </w:rPr>
        <w:t xml:space="preserve"> </w:t>
      </w:r>
      <w:r w:rsidRPr="00D50AF8">
        <w:rPr>
          <w:rFonts w:ascii="Times New Roman" w:hAnsi="Times New Roman" w:cs="Times New Roman"/>
        </w:rPr>
        <w:t xml:space="preserve">their contributions to higher economic growth and development in many developing economies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"abstract" : "Why and how firms take advantage of foreign opportunities, especially via foreign direct investment (FDI) has been much documented. China, as a major emerging market, has attracted significant flows of FDI, to become the second largest receipt. This paper briefly examines the literature on FDI and focuses on likely determinants of FDI in China. It then analyses responses from 22 firms operating in China on what they see as the important motivations for them to undertake FDI. Results show that market size is a major factor for FDI especially for US firms. For local, export-orientated, Asian firms, low labor costs are the main factor. The paper concludes with managerial implications for businesses wish to exploit opportunities in China.", "author" : [ { "dropping-particle" : "", "family" : "Ali", "given" : "Shaukat", "non-dropping-particle" : "", "parse-names" : false, "suffix" : "" }, { "dropping-particle" : "", "family" : "Guo", "given" : "Wei", "non-dropping-particle" : "", "parse-names" : false, "suffix" : "" } ], "container-title" : "Journal of Global BUsiness and Technology", "id" : "ITEM-1", "issue" : "2", "issued" : { "date-parts" : [ [ "2005" ] ] }, "page" : "21-33", "title" : "Determinants of FDI in China", "type" : "article-journal", "volume" : "1" }, "uris" : [ "http://www.mendeley.com/documents/?uuid=039f5957-bb97-4350-b6c3-109a33f459b4" ] }, { "id" : "ITEM-2", "itemData" : { "DOI" : "10.1016/j.sbspro.2012.03.270", "ISSN" : "18770428", "abstract" : "This paper explores the role of economic, institutional and political factors in attracting foreign direct investment (FDI) in BRICS (Brazil, Russia, India, China &amp; South Africa) economy and the comparative weightage of these factors in attracting FDI. The study uses panel data for a period of ten years (2000-2009) in order to examine the significant determinants of FDI in BRICS from a holistic approach. Analysis has been done using panel unit-root test, and multiple regressions. This study takes into account Market Size, Trade openness, natural resources as economic determinants and Macroeconomic Stability (Inflation Rate), Political stability/No violence, Government Effectiveness, Regulatory Quality, Control of corruption, Voice and accountability, Rule of Law as potential institutional and political determinants of FDI. These factors are based on their relative importance from previous empirical literature. Findings indicate that economics factors are more significant than institutional and political Factors in BRICS economies. The results indicate that market size measured by real GDP is a significant determinates of FDI which implies that most of the investment in BRICS is motivated by market-seeking purpose. Analysis of empirical data also indicates that trade openness, natural resource availability, rule of law and voice and accountability are statistically significant. Coefficients of market size, trade openness are positive which implies that these variables have positive effect on total inward FDI. Natural resource availability has negative effect on total inward FDI, this particular result indicate that FDI is not motivated by resource-seeking purpose in BRICS economies.", "author" : [ { "dropping-particle" : "", "family" : "Jadhav", "given" : "Pravin", "non-dropping-particle" : "", "parse-names" : false, "suffix" : "" } ], "container-title" : "Procedia - Social and Behavioral Sciences", "id" : "ITEM-2", "issued" : { "date-parts" : [ [ "2012" ] ] }, "page" : "5-14", "title" : "Determinants of foreign direct investment in BRICS economies: Analysis of economic, institutional and political factor", "type" : "article-journal", "volume" : "37" }, "uris" : [ "http://www.mendeley.com/documents/?uuid=35d2afbf-b179-4b53-9fdf-d6be1e9fbe73" ] }, { "id" : "ITEM-3", "itemData" : { "abstract" : "The aim of this paper is to identify, by estimating a panel econometric model, the factors determining FDI inflows to developing countries over a long period. The study is based on a sample of 32 developing countries. In our analysis, FDI inflows are modeled as a function of the market size, total reserves, infrastructure, labour cost and degree of openness-for the host countries. Using data from 1982 to 2008, a panel data estimator suggests that the market size, total reserves, infrastructure and labour costs are the main determinants of FDI inflows to developing countries.", "author" : [ { "dropping-particle" : "", "family" : "Khachoo", "given" : "Ab Quyoom", "non-dropping-particle" : "", "parse-names" : false, "suffix" : "" }, { "dropping-particle" : "", "family" : "Khan", "given" : "Mohd Imran", "non-dropping-particle" : "", "parse-names" : false, "suffix" : "" } ], "container-title" : "Munich Personal RePEc Archive (MPRA)", "id" : "ITEM-3", "issue" : "37278", "issued" : { "date-parts" : [ [ "2012" ] ] }, "title" : "Determinants of FDI in ows to developing countries: a panel data analysis", "type" : "article-journal", "volume" : "37278" }, "uris" : [ "http://www.mendeley.com/documents/?uuid=ecb5e461-8b83-4d6c-a69c-7af1d73bb931" ] } ], "mendeley" : { "formattedCitation" : "(Ali &amp; Guo, 2005; Jadhav, 2012; Khachoo &amp; Khan, 2012)", "plainTextFormattedCitation" : "(Ali &amp; Guo, 2005; Jadhav, 2012; Khachoo &amp; Khan, 2012)", "previouslyFormattedCitation" : "(Ali &amp; Guo, 2005; Jadhav, 2012; Khachoo &amp; Khan, 2012)"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(Ali &amp; Guo, 2005; Jadhav, 2012; Khachoo &amp; Khan, 2012)</w:t>
      </w:r>
      <w:r w:rsidR="009F4D10" w:rsidRPr="00D50AF8">
        <w:rPr>
          <w:rFonts w:ascii="Times New Roman" w:hAnsi="Times New Roman" w:cs="Times New Roman"/>
        </w:rPr>
        <w:fldChar w:fldCharType="end"/>
      </w:r>
      <w:r w:rsidR="00116F71" w:rsidRPr="00D50AF8">
        <w:rPr>
          <w:rFonts w:ascii="Times New Roman" w:hAnsi="Times New Roman" w:cs="Times New Roman"/>
        </w:rPr>
        <w:t xml:space="preserve">. </w:t>
      </w:r>
      <w:r w:rsidR="003B0B5C" w:rsidRPr="00D50AF8">
        <w:rPr>
          <w:rFonts w:ascii="Times New Roman" w:hAnsi="Times New Roman" w:cs="Times New Roman"/>
        </w:rPr>
        <w:t xml:space="preserve">According to </w:t>
      </w:r>
      <w:r w:rsidR="00373453" w:rsidRPr="00D50AF8">
        <w:rPr>
          <w:rFonts w:ascii="Times New Roman" w:hAnsi="Times New Roman" w:cs="Times New Roman"/>
        </w:rPr>
        <w:t>OECD FDI “reflects the objective of establishing a lasting interest by a resident enterprise in one economy (direct investor) in an enterprise (direct investment enterprise) that is resident in an economy other th</w:t>
      </w:r>
      <w:r w:rsidR="00116F71" w:rsidRPr="00D50AF8">
        <w:rPr>
          <w:rFonts w:ascii="Times New Roman" w:hAnsi="Times New Roman" w:cs="Times New Roman"/>
        </w:rPr>
        <w:t>an that of the direct investor”</w:t>
      </w:r>
      <w:r w:rsidR="003B0B5C" w:rsidRPr="00D50AF8">
        <w:rPr>
          <w:rFonts w:ascii="Times New Roman" w:hAnsi="Times New Roman" w:cs="Times New Roman"/>
        </w:rPr>
        <w:t xml:space="preserve">. Furthermore, if a foreign investor owns at least 10%, directly or indirectly, of the voting rights in the domestic venture, investment qualifies as direct investment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"DOI" : "http://dx.doi.org/10.1787/9789264045743-en", "abstract" : "Recording comprehensive, comparable and up-to-date statistics on Foreign Direct Investment (FDI) is a prerequisite for economic analysis and policy making. The Third Edition of the OECD Benchmark Definition, fully consistent with the IMF Balance of Payments Manual, Fifth Edition, provides operational guidance on how FDI data should be compiled to meet internationally agreed standards. It reviews the main statistical concepts and definitions of FDI, the valuation of FDI flows and stocks, and issues related to specific transactions and entities. Practical solutions are proposed and concrete examples are used wherever possible.", "author" : [ { "dropping-particle" : "", "family" : "OECD", "given" : "", "non-dropping-particle" : "", "parse-names" : false, "suffix" : "" } ], "container-title" : "OECD Publishing", "id" : "ITEM-1", "issued" : { "date-parts" : [ [ "2009" ] ] }, "title" : "OECD Benchmark Definition of Foreign Direct Investment 2008: Fourth Edition", "type" : "book" }, "uris" : [ "http://www.mendeley.com/documents/?uuid=9831dfef-ec88-41f0-a604-b80277cd4cb8" ] } ], "mendeley" : { "formattedCitation" : "(OECD, 2009)", "plainTextFormattedCitation" : "(OECD, 2009)", "previouslyFormattedCitation" : "(OECD, 2009)"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(OECD, 2009)</w:t>
      </w:r>
      <w:r w:rsidR="009F4D10" w:rsidRPr="00D50AF8">
        <w:rPr>
          <w:rFonts w:ascii="Times New Roman" w:hAnsi="Times New Roman" w:cs="Times New Roman"/>
        </w:rPr>
        <w:fldChar w:fldCharType="end"/>
      </w:r>
      <w:r w:rsidR="00373453" w:rsidRPr="00D50AF8">
        <w:rPr>
          <w:rFonts w:ascii="Times New Roman" w:hAnsi="Times New Roman" w:cs="Times New Roman"/>
        </w:rPr>
        <w:t xml:space="preserve">. IMF </w:t>
      </w:r>
      <w:r w:rsidR="003B0B5C" w:rsidRPr="00D50AF8">
        <w:rPr>
          <w:rFonts w:ascii="Times New Roman" w:hAnsi="Times New Roman" w:cs="Times New Roman"/>
        </w:rPr>
        <w:t xml:space="preserve">also </w:t>
      </w:r>
      <w:r w:rsidR="00373453" w:rsidRPr="00D50AF8">
        <w:rPr>
          <w:rFonts w:ascii="Times New Roman" w:hAnsi="Times New Roman" w:cs="Times New Roman"/>
        </w:rPr>
        <w:t xml:space="preserve">uses 10% threshold </w:t>
      </w:r>
      <w:r w:rsidR="003B0B5C" w:rsidRPr="00D50AF8">
        <w:rPr>
          <w:rFonts w:ascii="Times New Roman" w:hAnsi="Times New Roman" w:cs="Times New Roman"/>
        </w:rPr>
        <w:t xml:space="preserve">of </w:t>
      </w:r>
      <w:r w:rsidR="00373453" w:rsidRPr="00D50AF8">
        <w:rPr>
          <w:rFonts w:ascii="Times New Roman" w:hAnsi="Times New Roman" w:cs="Times New Roman"/>
        </w:rPr>
        <w:t xml:space="preserve">ordinary shares or voting stock as </w:t>
      </w:r>
      <w:r w:rsidR="003B0B5C" w:rsidRPr="00D50AF8">
        <w:rPr>
          <w:rFonts w:ascii="Times New Roman" w:hAnsi="Times New Roman" w:cs="Times New Roman"/>
        </w:rPr>
        <w:t xml:space="preserve">a basis </w:t>
      </w:r>
      <w:r w:rsidR="00373453" w:rsidRPr="00D50AF8">
        <w:rPr>
          <w:rFonts w:ascii="Times New Roman" w:hAnsi="Times New Roman" w:cs="Times New Roman"/>
        </w:rPr>
        <w:t xml:space="preserve">for </w:t>
      </w:r>
      <w:r w:rsidR="00056861" w:rsidRPr="00D50AF8">
        <w:rPr>
          <w:rFonts w:ascii="Times New Roman" w:hAnsi="Times New Roman" w:cs="Times New Roman"/>
        </w:rPr>
        <w:t xml:space="preserve">treating it as </w:t>
      </w:r>
      <w:r w:rsidR="00373453" w:rsidRPr="00D50AF8">
        <w:rPr>
          <w:rFonts w:ascii="Times New Roman" w:hAnsi="Times New Roman" w:cs="Times New Roman"/>
        </w:rPr>
        <w:t xml:space="preserve">a direct investment relationship </w:t>
      </w:r>
      <w:r w:rsidR="00056861" w:rsidRPr="00D50AF8">
        <w:rPr>
          <w:rFonts w:ascii="Times New Roman" w:hAnsi="Times New Roman" w:cs="Times New Roman"/>
        </w:rPr>
        <w:t xml:space="preserve">between the two parties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"author" : [ { "dropping-particle" : "", "family" : "IMF", "given" : "", "non-dropping-particle" : "", "parse-names" : false, "suffix" : "" } ], "id" : "ITEM-1", "issued" : { "date-parts" : [ [ "2008" ] ] }, "publisher-place" : "Washington, D.C.", "title" : "Glossary of Foreign Direct Investment Terms and Definitions", "type" : "article" }, "uris" : [ "http://www.mendeley.com/documents/?uuid=f10ef51e-2493-43f0-874a-21417965f34b" ] } ], "mendeley" : { "formattedCitation" : "(IMF, 2008)", "plainTextFormattedCitation" : "(IMF, 2008)", "previouslyFormattedCitation" : "(IMF, 2008)"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(IMF, 2008)</w:t>
      </w:r>
      <w:r w:rsidR="009F4D10" w:rsidRPr="00D50AF8">
        <w:rPr>
          <w:rFonts w:ascii="Times New Roman" w:hAnsi="Times New Roman" w:cs="Times New Roman"/>
        </w:rPr>
        <w:fldChar w:fldCharType="end"/>
      </w:r>
      <w:r w:rsidR="007D4BCA" w:rsidRPr="00D50AF8">
        <w:rPr>
          <w:rFonts w:ascii="Times New Roman" w:hAnsi="Times New Roman" w:cs="Times New Roman"/>
        </w:rPr>
        <w:t>.</w:t>
      </w:r>
    </w:p>
    <w:p w:rsidR="00CD6FE2" w:rsidRPr="00D50AF8" w:rsidRDefault="009F4D10" w:rsidP="00754473">
      <w:pPr>
        <w:pStyle w:val="FirstParagraph"/>
        <w:jc w:val="both"/>
        <w:rPr>
          <w:rFonts w:ascii="Times New Roman" w:hAnsi="Times New Roman" w:cs="Times New Roman"/>
        </w:rPr>
      </w:pPr>
      <w:bookmarkStart w:id="1" w:name="introduction"/>
      <w:bookmarkEnd w:id="1"/>
      <w:r w:rsidRPr="009F4D10">
        <w:rPr>
          <w:noProof/>
        </w:rPr>
        <w:pict>
          <v:shapetype id="_x0000_t202" coordsize="21600,21600" o:spt="202" path="m,l,21600r21600,l21600,xe">
            <v:stroke joinstyle="miter"/>
            <v:path gradientshapeok="t" o:connecttype="rect"/>
          </v:shapetype>
          <v:shape id="_x0000_s1026" type="#_x0000_t202" style="position:absolute;left:0;text-align:left;margin-left:19.9pt;margin-top:380.65pt;width:447.8pt;height:.05pt;z-index:251660288" stroked="f">
            <v:textbox style="mso-fit-shape-to-text:t" inset="0,0,0,0">
              <w:txbxContent>
                <w:p w:rsidR="00D50AF8" w:rsidRPr="004F1032" w:rsidRDefault="00D50AF8" w:rsidP="00D50AF8">
                  <w:pPr>
                    <w:pStyle w:val="Caption"/>
                    <w:jc w:val="center"/>
                    <w:rPr>
                      <w:rFonts w:ascii="Times New Roman" w:hAnsi="Times New Roman" w:cs="Times New Roman"/>
                      <w:noProof/>
                    </w:rPr>
                  </w:pPr>
                  <w:proofErr w:type="gramStart"/>
                  <w:r>
                    <w:t xml:space="preserve">Figure </w:t>
                  </w:r>
                  <w:fldSimple w:instr=" SEQ Figure \* ARABIC ">
                    <w:r w:rsidR="009F1FDC">
                      <w:rPr>
                        <w:noProof/>
                      </w:rPr>
                      <w:t>1</w:t>
                    </w:r>
                  </w:fldSimple>
                  <w:r>
                    <w:t>.</w:t>
                  </w:r>
                  <w:proofErr w:type="gramEnd"/>
                  <w:r>
                    <w:t xml:space="preserve"> </w:t>
                  </w:r>
                  <w:r w:rsidRPr="00214153">
                    <w:t>FDI Inflows by Region - Million USD (</w:t>
                  </w:r>
                  <w:proofErr w:type="spellStart"/>
                  <w:r w:rsidRPr="00214153">
                    <w:t>Source</w:t>
                  </w:r>
                  <w:proofErr w:type="gramStart"/>
                  <w:r w:rsidRPr="00214153">
                    <w:t>:WB</w:t>
                  </w:r>
                  <w:proofErr w:type="spellEnd"/>
                  <w:proofErr w:type="gramEnd"/>
                  <w:r w:rsidRPr="00214153">
                    <w:t>)</w:t>
                  </w:r>
                </w:p>
              </w:txbxContent>
            </v:textbox>
            <w10:wrap type="topAndBottom"/>
          </v:shape>
        </w:pict>
      </w:r>
      <w:r w:rsidR="00363930" w:rsidRPr="00D50AF8">
        <w:rPr>
          <w:rFonts w:ascii="Times New Roman" w:hAnsi="Times New Roman" w:cs="Times New Roman"/>
          <w:noProof/>
          <w:lang w:val="tr-TR" w:eastAsia="tr-TR"/>
        </w:rPr>
        <w:drawing>
          <wp:anchor distT="0" distB="0" distL="114300" distR="114300" simplePos="0" relativeHeight="251658240" behindDoc="0" locked="0" layoutInCell="1" allowOverlap="1">
            <wp:simplePos x="0" y="0"/>
            <wp:positionH relativeFrom="column">
              <wp:posOffset>252730</wp:posOffset>
            </wp:positionH>
            <wp:positionV relativeFrom="paragraph">
              <wp:posOffset>1586230</wp:posOffset>
            </wp:positionV>
            <wp:extent cx="5687060" cy="3190875"/>
            <wp:effectExtent l="19050" t="0" r="27940" b="0"/>
            <wp:wrapTopAndBottom/>
            <wp:docPr id="5"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75F1C" w:rsidRPr="00D50AF8">
        <w:rPr>
          <w:rFonts w:ascii="Times New Roman" w:hAnsi="Times New Roman" w:cs="Times New Roman"/>
        </w:rPr>
        <w:t>According to World Bank data on FDI inflows</w:t>
      </w:r>
      <w:r w:rsidR="00363930" w:rsidRPr="00D50AF8">
        <w:rPr>
          <w:rFonts w:ascii="Times New Roman" w:hAnsi="Times New Roman" w:cs="Times New Roman"/>
        </w:rPr>
        <w:t>,</w:t>
      </w:r>
      <w:r w:rsidR="00B75F1C" w:rsidRPr="00D50AF8">
        <w:rPr>
          <w:rFonts w:ascii="Times New Roman" w:hAnsi="Times New Roman" w:cs="Times New Roman"/>
        </w:rPr>
        <w:t xml:space="preserve"> </w:t>
      </w:r>
      <w:r w:rsidR="009955B3" w:rsidRPr="00D50AF8">
        <w:rPr>
          <w:rFonts w:ascii="Times New Roman" w:hAnsi="Times New Roman" w:cs="Times New Roman"/>
        </w:rPr>
        <w:t>g</w:t>
      </w:r>
      <w:r w:rsidR="00480E55" w:rsidRPr="00D50AF8">
        <w:rPr>
          <w:rFonts w:ascii="Times New Roman" w:hAnsi="Times New Roman" w:cs="Times New Roman"/>
        </w:rPr>
        <w:t xml:space="preserve">lobal FDI inflows have increased significantly </w:t>
      </w:r>
      <w:r w:rsidR="00EC5ACF" w:rsidRPr="00D50AF8">
        <w:rPr>
          <w:rFonts w:ascii="Times New Roman" w:hAnsi="Times New Roman" w:cs="Times New Roman"/>
        </w:rPr>
        <w:t>$</w:t>
      </w:r>
      <w:r w:rsidR="005B2C94" w:rsidRPr="00D50AF8">
        <w:rPr>
          <w:rFonts w:ascii="Times New Roman" w:hAnsi="Times New Roman" w:cs="Times New Roman"/>
        </w:rPr>
        <w:t>10</w:t>
      </w:r>
      <w:r w:rsidR="00EC5ACF" w:rsidRPr="00D50AF8">
        <w:rPr>
          <w:rFonts w:ascii="Times New Roman" w:hAnsi="Times New Roman" w:cs="Times New Roman"/>
        </w:rPr>
        <w:t xml:space="preserve"> billion</w:t>
      </w:r>
      <w:r w:rsidR="00B31FB8" w:rsidRPr="00D50AF8">
        <w:rPr>
          <w:rFonts w:ascii="Times New Roman" w:hAnsi="Times New Roman" w:cs="Times New Roman"/>
        </w:rPr>
        <w:t xml:space="preserve"> in 1970</w:t>
      </w:r>
      <w:r w:rsidR="00EC5ACF" w:rsidRPr="00D50AF8">
        <w:rPr>
          <w:rFonts w:ascii="Times New Roman" w:hAnsi="Times New Roman" w:cs="Times New Roman"/>
        </w:rPr>
        <w:t xml:space="preserve"> to $</w:t>
      </w:r>
      <w:r w:rsidR="002B7C4B" w:rsidRPr="00D50AF8">
        <w:rPr>
          <w:rFonts w:ascii="Times New Roman" w:hAnsi="Times New Roman" w:cs="Times New Roman"/>
        </w:rPr>
        <w:t>2</w:t>
      </w:r>
      <w:r w:rsidR="005B2C94" w:rsidRPr="00D50AF8">
        <w:rPr>
          <w:rFonts w:ascii="Times New Roman" w:hAnsi="Times New Roman" w:cs="Times New Roman"/>
        </w:rPr>
        <w:t>.4</w:t>
      </w:r>
      <w:r w:rsidR="002B7C4B" w:rsidRPr="00D50AF8">
        <w:rPr>
          <w:rFonts w:ascii="Times New Roman" w:hAnsi="Times New Roman" w:cs="Times New Roman"/>
        </w:rPr>
        <w:t xml:space="preserve"> trillion</w:t>
      </w:r>
      <w:r w:rsidR="00EC5ACF" w:rsidRPr="00D50AF8">
        <w:rPr>
          <w:rFonts w:ascii="Times New Roman" w:hAnsi="Times New Roman" w:cs="Times New Roman"/>
        </w:rPr>
        <w:t xml:space="preserve"> </w:t>
      </w:r>
      <w:r w:rsidR="005B2C94" w:rsidRPr="00D50AF8">
        <w:rPr>
          <w:rFonts w:ascii="Times New Roman" w:hAnsi="Times New Roman" w:cs="Times New Roman"/>
        </w:rPr>
        <w:t>in 2016</w:t>
      </w:r>
      <w:r w:rsidR="00480E55" w:rsidRPr="00D50AF8">
        <w:rPr>
          <w:rFonts w:ascii="Times New Roman" w:hAnsi="Times New Roman" w:cs="Times New Roman"/>
        </w:rPr>
        <w:t xml:space="preserve">, </w:t>
      </w:r>
      <w:r w:rsidR="00363930" w:rsidRPr="00D50AF8">
        <w:rPr>
          <w:rFonts w:ascii="Times New Roman" w:hAnsi="Times New Roman" w:cs="Times New Roman"/>
        </w:rPr>
        <w:t xml:space="preserve">with </w:t>
      </w:r>
      <w:r w:rsidR="00480E55" w:rsidRPr="00D50AF8">
        <w:rPr>
          <w:rFonts w:ascii="Times New Roman" w:hAnsi="Times New Roman" w:cs="Times New Roman"/>
        </w:rPr>
        <w:t xml:space="preserve">an average annual growth </w:t>
      </w:r>
      <w:r w:rsidR="00EC5ACF" w:rsidRPr="00D50AF8">
        <w:rPr>
          <w:rFonts w:ascii="Times New Roman" w:hAnsi="Times New Roman" w:cs="Times New Roman"/>
        </w:rPr>
        <w:t>of 1</w:t>
      </w:r>
      <w:r w:rsidR="00E057CA" w:rsidRPr="00D50AF8">
        <w:rPr>
          <w:rFonts w:ascii="Times New Roman" w:hAnsi="Times New Roman" w:cs="Times New Roman"/>
        </w:rPr>
        <w:t>1</w:t>
      </w:r>
      <w:r w:rsidR="00EC5ACF" w:rsidRPr="00D50AF8">
        <w:rPr>
          <w:rFonts w:ascii="Times New Roman" w:hAnsi="Times New Roman" w:cs="Times New Roman"/>
        </w:rPr>
        <w:t>.8%.</w:t>
      </w:r>
      <w:r w:rsidR="00E057CA" w:rsidRPr="00D50AF8">
        <w:rPr>
          <w:rFonts w:ascii="Times New Roman" w:hAnsi="Times New Roman" w:cs="Times New Roman"/>
        </w:rPr>
        <w:t xml:space="preserve"> Figure </w:t>
      </w:r>
      <w:r w:rsidR="00D50AF8">
        <w:rPr>
          <w:rFonts w:ascii="Times New Roman" w:hAnsi="Times New Roman" w:cs="Times New Roman"/>
        </w:rPr>
        <w:t xml:space="preserve">1 </w:t>
      </w:r>
      <w:r w:rsidR="00E057CA" w:rsidRPr="00D50AF8">
        <w:rPr>
          <w:rFonts w:ascii="Times New Roman" w:hAnsi="Times New Roman" w:cs="Times New Roman"/>
        </w:rPr>
        <w:t xml:space="preserve">shows that Europe and Central Asia has been the largest </w:t>
      </w:r>
      <w:r w:rsidR="00B75F1C" w:rsidRPr="00D50AF8">
        <w:rPr>
          <w:rFonts w:ascii="Times New Roman" w:hAnsi="Times New Roman" w:cs="Times New Roman"/>
        </w:rPr>
        <w:t>recipient</w:t>
      </w:r>
      <w:r w:rsidR="00E057CA" w:rsidRPr="00D50AF8">
        <w:rPr>
          <w:rFonts w:ascii="Times New Roman" w:hAnsi="Times New Roman" w:cs="Times New Roman"/>
        </w:rPr>
        <w:t xml:space="preserve"> of FDI inflows, followed by the North America region. However, East Asia &amp; Pacific countries have </w:t>
      </w:r>
      <w:r w:rsidR="00B75F1C" w:rsidRPr="00D50AF8">
        <w:rPr>
          <w:rFonts w:ascii="Times New Roman" w:hAnsi="Times New Roman" w:cs="Times New Roman"/>
        </w:rPr>
        <w:t xml:space="preserve">surpassed North American countries after 2000, and exceed $600 billion in 2014. Latin American countries have also managed to attract FDI inflows to their countries recently; however, Sub-Saharan Africa and North Africa &amp; Middle East countries were not able to increase growth in FDI inflows.  </w:t>
      </w:r>
    </w:p>
    <w:p w:rsidR="00CD6FE2" w:rsidRPr="00D50AF8" w:rsidRDefault="00CD6FE2" w:rsidP="00CD6FE2">
      <w:pPr>
        <w:pStyle w:val="FirstParagraph"/>
        <w:jc w:val="both"/>
        <w:rPr>
          <w:rFonts w:ascii="Times New Roman" w:hAnsi="Times New Roman" w:cs="Times New Roman"/>
          <w:b/>
        </w:rPr>
      </w:pPr>
    </w:p>
    <w:p w:rsidR="000956F8" w:rsidRPr="00D50AF8" w:rsidRDefault="000956F8" w:rsidP="003760EF">
      <w:pPr>
        <w:pStyle w:val="BodyText"/>
        <w:jc w:val="both"/>
        <w:rPr>
          <w:rFonts w:ascii="Times New Roman" w:hAnsi="Times New Roman" w:cs="Times New Roman"/>
        </w:rPr>
      </w:pPr>
    </w:p>
    <w:p w:rsidR="0017272C" w:rsidRPr="00D50AF8" w:rsidRDefault="009A227B" w:rsidP="00D50AF8">
      <w:pPr>
        <w:pStyle w:val="Heading2"/>
        <w:numPr>
          <w:ilvl w:val="0"/>
          <w:numId w:val="21"/>
        </w:numPr>
        <w:rPr>
          <w:rFonts w:ascii="Times New Roman" w:hAnsi="Times New Roman" w:cs="Times New Roman"/>
          <w:sz w:val="24"/>
          <w:szCs w:val="24"/>
        </w:rPr>
      </w:pPr>
      <w:bookmarkStart w:id="2" w:name="fdi-inflows-in-turkey"/>
      <w:bookmarkEnd w:id="2"/>
      <w:r w:rsidRPr="00D50AF8">
        <w:rPr>
          <w:rFonts w:ascii="Times New Roman" w:hAnsi="Times New Roman" w:cs="Times New Roman"/>
          <w:sz w:val="24"/>
          <w:szCs w:val="24"/>
        </w:rPr>
        <w:lastRenderedPageBreak/>
        <w:t>FDI inflows in Turkish Energy Sector</w:t>
      </w:r>
    </w:p>
    <w:p w:rsidR="005F7F50" w:rsidRPr="00D50AF8" w:rsidRDefault="00373453" w:rsidP="009955B3">
      <w:pPr>
        <w:pStyle w:val="FirstParagraph"/>
        <w:jc w:val="both"/>
        <w:rPr>
          <w:rFonts w:ascii="Times New Roman" w:hAnsi="Times New Roman" w:cs="Times New Roman"/>
        </w:rPr>
      </w:pPr>
      <w:r w:rsidRPr="00D50AF8">
        <w:rPr>
          <w:rFonts w:ascii="Times New Roman" w:hAnsi="Times New Roman" w:cs="Times New Roman"/>
        </w:rPr>
        <w:t>Turkey is a</w:t>
      </w:r>
      <w:r w:rsidR="002D1393" w:rsidRPr="00D50AF8">
        <w:rPr>
          <w:rFonts w:ascii="Times New Roman" w:hAnsi="Times New Roman" w:cs="Times New Roman"/>
        </w:rPr>
        <w:t>n</w:t>
      </w:r>
      <w:r w:rsidRPr="00D50AF8">
        <w:rPr>
          <w:rFonts w:ascii="Times New Roman" w:hAnsi="Times New Roman" w:cs="Times New Roman"/>
        </w:rPr>
        <w:t xml:space="preserve"> upper-middle income economy</w:t>
      </w:r>
      <w:r w:rsidR="00C3380C" w:rsidRPr="00D50AF8">
        <w:rPr>
          <w:rFonts w:ascii="Times New Roman" w:hAnsi="Times New Roman" w:cs="Times New Roman"/>
        </w:rPr>
        <w:t xml:space="preserve"> which has achieved considerable economic growth in the last three decades. I</w:t>
      </w:r>
      <w:r w:rsidRPr="00D50AF8">
        <w:rPr>
          <w:rFonts w:ascii="Times New Roman" w:hAnsi="Times New Roman" w:cs="Times New Roman"/>
        </w:rPr>
        <w:t xml:space="preserve">t is a candidate country for the EU membership and </w:t>
      </w:r>
      <w:r w:rsidR="00C3380C" w:rsidRPr="00D50AF8">
        <w:rPr>
          <w:rFonts w:ascii="Times New Roman" w:hAnsi="Times New Roman" w:cs="Times New Roman"/>
        </w:rPr>
        <w:t xml:space="preserve">it is one of the largest economies in the Middle East region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"author" : [ { "dropping-particle" : "", "family" : "World Bank", "given" : "", "non-dropping-particle" : "", "parse-names" : false, "suffix" : "" } ], "container-title" : "World Development Indicators", "id" : "ITEM-1", "issued" : { "date-parts" : [ [ "2016" ] ] }, "title" : "World DataBank", "type" : "report" }, "uris" : [ "http://www.mendeley.com/documents/?uuid=4f05fe2e-d9af-4880-a91b-2eefbfd04c1d" ] } ], "mendeley" : { "formattedCitation" : "(World Bank, 2016a)", "plainTextFormattedCitation" : "(World Bank, 2016a)", "previouslyFormattedCitation" : "(World Bank, 2016a)"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(World Bank, 2016a)</w:t>
      </w:r>
      <w:r w:rsidR="009F4D10" w:rsidRPr="00D50AF8">
        <w:rPr>
          <w:rFonts w:ascii="Times New Roman" w:hAnsi="Times New Roman" w:cs="Times New Roman"/>
        </w:rPr>
        <w:fldChar w:fldCharType="end"/>
      </w:r>
      <w:r w:rsidR="002D1393" w:rsidRPr="00D50AF8">
        <w:rPr>
          <w:rFonts w:ascii="Times New Roman" w:hAnsi="Times New Roman" w:cs="Times New Roman"/>
        </w:rPr>
        <w:t>.</w:t>
      </w:r>
      <w:r w:rsidR="009955B3" w:rsidRPr="00D50AF8">
        <w:rPr>
          <w:rFonts w:ascii="Times New Roman" w:hAnsi="Times New Roman" w:cs="Times New Roman"/>
        </w:rPr>
        <w:t xml:space="preserve"> </w:t>
      </w:r>
      <w:r w:rsidR="00C3380C" w:rsidRPr="00D50AF8">
        <w:rPr>
          <w:rFonts w:ascii="Times New Roman" w:hAnsi="Times New Roman" w:cs="Times New Roman"/>
        </w:rPr>
        <w:t xml:space="preserve">Until 1980s, Turkish economy was </w:t>
      </w:r>
      <w:r w:rsidR="0045663D" w:rsidRPr="00D50AF8">
        <w:rPr>
          <w:rFonts w:ascii="Times New Roman" w:hAnsi="Times New Roman" w:cs="Times New Roman"/>
        </w:rPr>
        <w:t xml:space="preserve">heavily dependent on </w:t>
      </w:r>
      <w:r w:rsidR="009955B3" w:rsidRPr="00D50AF8">
        <w:rPr>
          <w:rFonts w:ascii="Times New Roman" w:hAnsi="Times New Roman" w:cs="Times New Roman"/>
        </w:rPr>
        <w:t>public s</w:t>
      </w:r>
      <w:r w:rsidR="0045663D" w:rsidRPr="00D50AF8">
        <w:rPr>
          <w:rFonts w:ascii="Times New Roman" w:hAnsi="Times New Roman" w:cs="Times New Roman"/>
        </w:rPr>
        <w:t>ector investm</w:t>
      </w:r>
      <w:r w:rsidR="009955B3" w:rsidRPr="00D50AF8">
        <w:rPr>
          <w:rFonts w:ascii="Times New Roman" w:hAnsi="Times New Roman" w:cs="Times New Roman"/>
        </w:rPr>
        <w:t>ents</w:t>
      </w:r>
      <w:r w:rsidR="0045663D" w:rsidRPr="00D50AF8">
        <w:rPr>
          <w:rFonts w:ascii="Times New Roman" w:hAnsi="Times New Roman" w:cs="Times New Roman"/>
        </w:rPr>
        <w:t xml:space="preserve">, </w:t>
      </w:r>
      <w:r w:rsidR="00C3380C" w:rsidRPr="00D50AF8">
        <w:rPr>
          <w:rFonts w:ascii="Times New Roman" w:hAnsi="Times New Roman" w:cs="Times New Roman"/>
        </w:rPr>
        <w:t xml:space="preserve">and </w:t>
      </w:r>
      <w:r w:rsidR="005F7F50" w:rsidRPr="00D50AF8">
        <w:rPr>
          <w:rFonts w:ascii="Times New Roman" w:hAnsi="Times New Roman" w:cs="Times New Roman"/>
        </w:rPr>
        <w:t xml:space="preserve">import-substitution policy </w:t>
      </w:r>
      <w:r w:rsidR="0045663D" w:rsidRPr="00D50AF8">
        <w:rPr>
          <w:rFonts w:ascii="Times New Roman" w:hAnsi="Times New Roman" w:cs="Times New Roman"/>
        </w:rPr>
        <w:t xml:space="preserve">was adopted </w:t>
      </w:r>
      <w:r w:rsidR="005F7F50" w:rsidRPr="00D50AF8">
        <w:rPr>
          <w:rFonts w:ascii="Times New Roman" w:hAnsi="Times New Roman" w:cs="Times New Roman"/>
        </w:rPr>
        <w:t xml:space="preserve">to support domestic industries </w:t>
      </w:r>
      <w:r w:rsidR="0045663D" w:rsidRPr="00D50AF8">
        <w:rPr>
          <w:rFonts w:ascii="Times New Roman" w:hAnsi="Times New Roman" w:cs="Times New Roman"/>
        </w:rPr>
        <w:t xml:space="preserve">using </w:t>
      </w:r>
      <w:r w:rsidR="005F7F50" w:rsidRPr="00D50AF8">
        <w:rPr>
          <w:rFonts w:ascii="Times New Roman" w:hAnsi="Times New Roman" w:cs="Times New Roman"/>
        </w:rPr>
        <w:t xml:space="preserve">tariffs and non-tariff barriers. Hence, foreign direct investment was limited to specific sectors mostly to automotive and medicine. Following the military coup in 1980, Turkey started to follow </w:t>
      </w:r>
      <w:r w:rsidR="0045663D" w:rsidRPr="00D50AF8">
        <w:rPr>
          <w:rFonts w:ascii="Times New Roman" w:hAnsi="Times New Roman" w:cs="Times New Roman"/>
        </w:rPr>
        <w:t xml:space="preserve">a more </w:t>
      </w:r>
      <w:r w:rsidR="005F7F50" w:rsidRPr="00D50AF8">
        <w:rPr>
          <w:rFonts w:ascii="Times New Roman" w:hAnsi="Times New Roman" w:cs="Times New Roman"/>
        </w:rPr>
        <w:t>liberal economic polic</w:t>
      </w:r>
      <w:r w:rsidR="0045663D" w:rsidRPr="00D50AF8">
        <w:rPr>
          <w:rFonts w:ascii="Times New Roman" w:hAnsi="Times New Roman" w:cs="Times New Roman"/>
        </w:rPr>
        <w:t>y,</w:t>
      </w:r>
      <w:r w:rsidR="005F7F50" w:rsidRPr="00D50AF8">
        <w:rPr>
          <w:rFonts w:ascii="Times New Roman" w:hAnsi="Times New Roman" w:cs="Times New Roman"/>
        </w:rPr>
        <w:t xml:space="preserve"> including major privatizations, lifting government controls on capital movements</w:t>
      </w:r>
      <w:r w:rsidR="00587D9E" w:rsidRPr="00D50AF8">
        <w:rPr>
          <w:rFonts w:ascii="Times New Roman" w:hAnsi="Times New Roman" w:cs="Times New Roman"/>
        </w:rPr>
        <w:t xml:space="preserve"> and foreign trade. As a results, FDI inflows to major sectors have increased; however, political instability</w:t>
      </w:r>
      <w:r w:rsidR="00615974" w:rsidRPr="00D50AF8">
        <w:rPr>
          <w:rFonts w:ascii="Times New Roman" w:hAnsi="Times New Roman" w:cs="Times New Roman"/>
        </w:rPr>
        <w:t>,</w:t>
      </w:r>
      <w:r w:rsidR="00587D9E" w:rsidRPr="00D50AF8">
        <w:rPr>
          <w:rFonts w:ascii="Times New Roman" w:hAnsi="Times New Roman" w:cs="Times New Roman"/>
        </w:rPr>
        <w:t xml:space="preserve"> inconsistent economic policies and resulting financial crises, institutional problems and concerns on rule of law  and issues</w:t>
      </w:r>
      <w:r w:rsidR="00615974" w:rsidRPr="00D50AF8">
        <w:rPr>
          <w:rFonts w:ascii="Times New Roman" w:hAnsi="Times New Roman" w:cs="Times New Roman"/>
        </w:rPr>
        <w:t xml:space="preserve"> with the property rights limited FDI</w:t>
      </w:r>
      <w:r w:rsidR="00587D9E" w:rsidRPr="00D50AF8">
        <w:rPr>
          <w:rFonts w:ascii="Times New Roman" w:hAnsi="Times New Roman" w:cs="Times New Roman"/>
        </w:rPr>
        <w:t xml:space="preserve"> inflows, and investments were mostly made in services sector such as tourism, banking, insurance and commerce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"abstract" : "This article presents a comparative analysis of the inward and outward foreign direct investment in Turkey. It is hypothesized that the country's negative business climate caused by both economic and political factors is a major determinant of both. This article investigates why, compared to many developing countries that have attracted and benefited from significant inflows of foreign direct investment, Turkey is conspicuous as a country that has not done so, despite its increasing openness to international trade. After showing that Turkey's outward investment has surged recently, it relates the causes of such surge, especially compared to the meagre inward investment flows. It concludes that recent institutional reforms and increasing economic and political stability can make Turkey an important host country for foreign direct investment in the future.", "author" : [ { "dropping-particle" : "", "family" : "Erkilek", "given" : "Asim", "non-dropping-particle" : "", "parse-names" : false, "suffix" : "" } ], "container-title" : "Transnational Corporations", "id" : "ITEM-1", "issue" : "3", "issued" : { "date-parts" : [ [ "2003" ] ] }, "page" : "79-105", "title" : "A comparative analysis of inward and outward FDI in Turkey", "type" : "article-journal", "volume" : "12" }, "uris" : [ "http://www.mendeley.com/documents/?uuid=57aa1e74-e1ab-4df9-bb74-bad3270977a1" ] }, { "id" : "ITEM-2", "itemData" : { "author" : [ { "dropping-particle" : "", "family" : "Eduardo", "given" : "Miguel", "non-dropping-particle" : "", "parse-names" : false, "suffix" : "" }, { "dropping-particle" : "", "family" : "Mart\u00edn", "given" : "S\u00e1nchez", "non-dropping-particle" : "", "parse-names" : false, "suffix" : "" } ], "id" : "ITEM-2", "issue" : "July", "issued" : { "date-parts" : [ [ "2014" ] ] }, "note" : "Okundu, \u00f6nemli noktalar var, not al\u0131nd\u0131", "title" : "How Regional Integration and Transnational Energy Networks Have Boosted FDI in Turkey ( and May Cease to Do So ) A Case Study : How Geo-Political Alliances and Regional Networks Matter", "type" : "article-journal" }, "uris" : [ "http://www.mendeley.com/documents/?uuid=db625baf-2527-4830-97ea-fe79e6dd7e73" ] } ], "mendeley" : { "formattedCitation" : "(Eduardo &amp; Mart\u00edn, 2014; Erkilek, 2003)", "plainTextFormattedCitation" : "(Eduardo &amp; Mart\u00edn, 2014; Erkilek, 2003)", "previouslyFormattedCitation" : "(Eduardo &amp; Mart\u00edn, 2014; Erkilek, 2003)"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(Eduardo &amp; Martín, 2014; Erkilek, 2003)</w:t>
      </w:r>
      <w:r w:rsidR="009F4D10" w:rsidRPr="00D50AF8">
        <w:rPr>
          <w:rFonts w:ascii="Times New Roman" w:hAnsi="Times New Roman" w:cs="Times New Roman"/>
        </w:rPr>
        <w:fldChar w:fldCharType="end"/>
      </w:r>
      <w:r w:rsidR="00587D9E" w:rsidRPr="00D50AF8">
        <w:rPr>
          <w:rFonts w:ascii="Times New Roman" w:hAnsi="Times New Roman" w:cs="Times New Roman"/>
        </w:rPr>
        <w:t xml:space="preserve">. </w:t>
      </w:r>
      <w:r w:rsidR="00615974" w:rsidRPr="00D50AF8">
        <w:rPr>
          <w:rFonts w:ascii="Times New Roman" w:hAnsi="Times New Roman" w:cs="Times New Roman"/>
        </w:rPr>
        <w:t xml:space="preserve">After 2001 economic crisis, Turkey initiated new economic reforms with more focus on enhancing regulatory capacity, </w:t>
      </w:r>
      <w:r w:rsidR="002663DB" w:rsidRPr="00D50AF8">
        <w:rPr>
          <w:rFonts w:ascii="Times New Roman" w:hAnsi="Times New Roman" w:cs="Times New Roman"/>
        </w:rPr>
        <w:t xml:space="preserve">increasing transparency, </w:t>
      </w:r>
      <w:r w:rsidR="0045570C" w:rsidRPr="00D50AF8">
        <w:rPr>
          <w:rFonts w:ascii="Times New Roman" w:hAnsi="Times New Roman" w:cs="Times New Roman"/>
        </w:rPr>
        <w:t xml:space="preserve">supporting export capacity and integration with the European Union. As a result </w:t>
      </w:r>
      <w:r w:rsidR="00587D9E" w:rsidRPr="00D50AF8">
        <w:rPr>
          <w:rFonts w:ascii="Times New Roman" w:hAnsi="Times New Roman" w:cs="Times New Roman"/>
        </w:rPr>
        <w:t>FDI inflows increased from 0.5% of GDP in 2002 to 3.4% in 2007. However, global financial crisis and recent problems in the region affected Turkey adversely, reducing to 1.5% of GDP afterwards.</w:t>
      </w:r>
    </w:p>
    <w:p w:rsidR="0045570C" w:rsidRPr="00D50AF8" w:rsidRDefault="0045570C" w:rsidP="00977D9E">
      <w:pPr>
        <w:pStyle w:val="BodyText"/>
        <w:jc w:val="both"/>
        <w:rPr>
          <w:rFonts w:ascii="Times New Roman" w:hAnsi="Times New Roman" w:cs="Times New Roman"/>
        </w:rPr>
      </w:pPr>
      <w:r w:rsidRPr="00D50AF8">
        <w:rPr>
          <w:rFonts w:ascii="Times New Roman" w:hAnsi="Times New Roman" w:cs="Times New Roman"/>
        </w:rPr>
        <w:t>Figure</w:t>
      </w:r>
      <w:r w:rsidR="0045663D" w:rsidRPr="00D50AF8">
        <w:rPr>
          <w:rFonts w:ascii="Times New Roman" w:hAnsi="Times New Roman" w:cs="Times New Roman"/>
        </w:rPr>
        <w:t xml:space="preserve"> 2</w:t>
      </w:r>
      <w:r w:rsidRPr="00D50AF8">
        <w:rPr>
          <w:rFonts w:ascii="Times New Roman" w:hAnsi="Times New Roman" w:cs="Times New Roman"/>
        </w:rPr>
        <w:t xml:space="preserve"> shows FDI inflows to the selected developing countries. As seen from the figure, </w:t>
      </w:r>
      <w:r w:rsidR="00D50AF8" w:rsidRPr="00D50AF8">
        <w:rPr>
          <w:rFonts w:ascii="Times New Roman" w:hAnsi="Times New Roman" w:cs="Times New Roman"/>
        </w:rPr>
        <w:t>FDI inflows to Turkey as percent of GDP have</w:t>
      </w:r>
      <w:r w:rsidRPr="00D50AF8">
        <w:rPr>
          <w:rFonts w:ascii="Times New Roman" w:hAnsi="Times New Roman" w:cs="Times New Roman"/>
        </w:rPr>
        <w:t xml:space="preserve"> been lower than the average of the developing economies. </w:t>
      </w:r>
      <w:r w:rsidR="00931267" w:rsidRPr="00D50AF8">
        <w:rPr>
          <w:rFonts w:ascii="Times New Roman" w:hAnsi="Times New Roman" w:cs="Times New Roman"/>
        </w:rPr>
        <w:t xml:space="preserve">Annual </w:t>
      </w:r>
      <w:r w:rsidR="00147638" w:rsidRPr="00D50AF8">
        <w:rPr>
          <w:rFonts w:ascii="Times New Roman" w:hAnsi="Times New Roman" w:cs="Times New Roman"/>
        </w:rPr>
        <w:t>FDI inflows to Turkey were around</w:t>
      </w:r>
      <w:r w:rsidR="00931267" w:rsidRPr="00D50AF8">
        <w:rPr>
          <w:rFonts w:ascii="Times New Roman" w:hAnsi="Times New Roman" w:cs="Times New Roman"/>
        </w:rPr>
        <w:t xml:space="preserve"> 0.81%</w:t>
      </w:r>
      <w:r w:rsidR="00147638" w:rsidRPr="00D50AF8">
        <w:rPr>
          <w:rFonts w:ascii="Times New Roman" w:hAnsi="Times New Roman" w:cs="Times New Roman"/>
        </w:rPr>
        <w:t xml:space="preserve"> of GDP </w:t>
      </w:r>
      <w:r w:rsidR="00931267" w:rsidRPr="00D50AF8">
        <w:rPr>
          <w:rFonts w:ascii="Times New Roman" w:hAnsi="Times New Roman" w:cs="Times New Roman"/>
        </w:rPr>
        <w:t xml:space="preserve">on average </w:t>
      </w:r>
      <w:r w:rsidR="00147638" w:rsidRPr="00D50AF8">
        <w:rPr>
          <w:rFonts w:ascii="Times New Roman" w:hAnsi="Times New Roman" w:cs="Times New Roman"/>
        </w:rPr>
        <w:t>during 1970-2016,</w:t>
      </w:r>
      <w:r w:rsidR="00931267" w:rsidRPr="00D50AF8">
        <w:rPr>
          <w:rFonts w:ascii="Times New Roman" w:hAnsi="Times New Roman" w:cs="Times New Roman"/>
        </w:rPr>
        <w:t xml:space="preserve"> while the average FDI inflows to</w:t>
      </w:r>
      <w:r w:rsidR="009955B3" w:rsidRPr="00D50AF8">
        <w:rPr>
          <w:rFonts w:ascii="Times New Roman" w:hAnsi="Times New Roman" w:cs="Times New Roman"/>
        </w:rPr>
        <w:t xml:space="preserve"> </w:t>
      </w:r>
      <w:r w:rsidR="00931267" w:rsidRPr="00D50AF8">
        <w:rPr>
          <w:rFonts w:ascii="Times New Roman" w:hAnsi="Times New Roman" w:cs="Times New Roman"/>
        </w:rPr>
        <w:t>developing economies were twice of Turkey’s, 1.74%. Brazi</w:t>
      </w:r>
      <w:r w:rsidR="009955B3" w:rsidRPr="00D50AF8">
        <w:rPr>
          <w:rFonts w:ascii="Times New Roman" w:hAnsi="Times New Roman" w:cs="Times New Roman"/>
        </w:rPr>
        <w:t>l</w:t>
      </w:r>
      <w:r w:rsidR="00931267" w:rsidRPr="00D50AF8">
        <w:rPr>
          <w:rFonts w:ascii="Times New Roman" w:hAnsi="Times New Roman" w:cs="Times New Roman"/>
        </w:rPr>
        <w:t>’s FDI inflows were 1.86% of GDP and Mexico’s FDI inflows were around 1.83% of GDP annually on average.</w:t>
      </w:r>
    </w:p>
    <w:p w:rsidR="00D50AF8" w:rsidRDefault="0045570C" w:rsidP="00D50AF8">
      <w:pPr>
        <w:pStyle w:val="BodyText"/>
        <w:keepNext/>
        <w:jc w:val="center"/>
      </w:pPr>
      <w:r w:rsidRPr="00D50AF8">
        <w:rPr>
          <w:rFonts w:ascii="Times New Roman" w:hAnsi="Times New Roman" w:cs="Times New Roman"/>
          <w:noProof/>
          <w:lang w:val="tr-TR" w:eastAsia="tr-TR"/>
        </w:rPr>
        <w:drawing>
          <wp:inline distT="0" distB="0" distL="0" distR="0">
            <wp:extent cx="5734050" cy="3267075"/>
            <wp:effectExtent l="19050" t="0" r="1905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7F50" w:rsidRPr="00D50AF8" w:rsidRDefault="00D50AF8" w:rsidP="00D50AF8">
      <w:pPr>
        <w:pStyle w:val="Caption"/>
        <w:jc w:val="center"/>
        <w:rPr>
          <w:rFonts w:ascii="Times New Roman" w:hAnsi="Times New Roman" w:cs="Times New Roman"/>
        </w:rPr>
      </w:pPr>
      <w:proofErr w:type="gramStart"/>
      <w:r>
        <w:t xml:space="preserve">Figure </w:t>
      </w:r>
      <w:fldSimple w:instr=" SEQ Figure \* ARABIC ">
        <w:r w:rsidR="009F1FDC">
          <w:rPr>
            <w:noProof/>
          </w:rPr>
          <w:t>2</w:t>
        </w:r>
      </w:fldSimple>
      <w:r>
        <w:t>.</w:t>
      </w:r>
      <w:proofErr w:type="gramEnd"/>
      <w:r>
        <w:t xml:space="preserve"> FDI inflows to Developing Economies (</w:t>
      </w:r>
      <w:proofErr w:type="spellStart"/>
      <w:r>
        <w:t>Source</w:t>
      </w:r>
      <w:proofErr w:type="gramStart"/>
      <w:r>
        <w:t>:UNCTAD</w:t>
      </w:r>
      <w:proofErr w:type="spellEnd"/>
      <w:proofErr w:type="gramEnd"/>
      <w:r>
        <w:t>)</w:t>
      </w:r>
    </w:p>
    <w:p w:rsidR="00977D9E" w:rsidRPr="00D50AF8" w:rsidRDefault="00931267" w:rsidP="0045663D">
      <w:pPr>
        <w:pStyle w:val="BodyText"/>
        <w:jc w:val="both"/>
        <w:rPr>
          <w:rFonts w:ascii="Times New Roman" w:hAnsi="Times New Roman" w:cs="Times New Roman"/>
        </w:rPr>
      </w:pPr>
      <w:r w:rsidRPr="00D50AF8">
        <w:rPr>
          <w:rFonts w:ascii="Times New Roman" w:hAnsi="Times New Roman" w:cs="Times New Roman"/>
        </w:rPr>
        <w:lastRenderedPageBreak/>
        <w:t>Compa</w:t>
      </w:r>
      <w:r w:rsidR="00D50AF8">
        <w:rPr>
          <w:rFonts w:ascii="Times New Roman" w:hAnsi="Times New Roman" w:cs="Times New Roman"/>
        </w:rPr>
        <w:t>red to the other</w:t>
      </w:r>
      <w:r w:rsidR="000956F8" w:rsidRPr="00D50AF8">
        <w:rPr>
          <w:rFonts w:ascii="Times New Roman" w:hAnsi="Times New Roman" w:cs="Times New Roman"/>
        </w:rPr>
        <w:t xml:space="preserve"> major competit</w:t>
      </w:r>
      <w:r w:rsidRPr="00D50AF8">
        <w:rPr>
          <w:rFonts w:ascii="Times New Roman" w:hAnsi="Times New Roman" w:cs="Times New Roman"/>
        </w:rPr>
        <w:t>ors, Turkey’</w:t>
      </w:r>
      <w:r w:rsidR="00863689" w:rsidRPr="00D50AF8">
        <w:rPr>
          <w:rFonts w:ascii="Times New Roman" w:hAnsi="Times New Roman" w:cs="Times New Roman"/>
        </w:rPr>
        <w:t xml:space="preserve">s position in FDI inflows is still not promising. Table </w:t>
      </w:r>
      <w:r w:rsidR="000266C8">
        <w:rPr>
          <w:rFonts w:ascii="Times New Roman" w:hAnsi="Times New Roman" w:cs="Times New Roman"/>
        </w:rPr>
        <w:t xml:space="preserve">1 </w:t>
      </w:r>
      <w:r w:rsidR="00863689" w:rsidRPr="00D50AF8">
        <w:rPr>
          <w:rFonts w:ascii="Times New Roman" w:hAnsi="Times New Roman" w:cs="Times New Roman"/>
        </w:rPr>
        <w:t>shows FDI inflows to Turkey</w:t>
      </w:r>
      <w:r w:rsidR="000266C8">
        <w:rPr>
          <w:rFonts w:ascii="Times New Roman" w:hAnsi="Times New Roman" w:cs="Times New Roman"/>
        </w:rPr>
        <w:t xml:space="preserve"> and its </w:t>
      </w:r>
      <w:r w:rsidR="00C967F7" w:rsidRPr="00D50AF8">
        <w:rPr>
          <w:rFonts w:ascii="Times New Roman" w:hAnsi="Times New Roman" w:cs="Times New Roman"/>
        </w:rPr>
        <w:t xml:space="preserve">neighboring or </w:t>
      </w:r>
      <w:r w:rsidR="00863689" w:rsidRPr="00D50AF8">
        <w:rPr>
          <w:rFonts w:ascii="Times New Roman" w:hAnsi="Times New Roman" w:cs="Times New Roman"/>
        </w:rPr>
        <w:t>major</w:t>
      </w:r>
      <w:r w:rsidR="000266C8">
        <w:rPr>
          <w:rFonts w:ascii="Times New Roman" w:hAnsi="Times New Roman" w:cs="Times New Roman"/>
        </w:rPr>
        <w:t xml:space="preserve"> competitors. As seen from the T</w:t>
      </w:r>
      <w:r w:rsidR="00863689" w:rsidRPr="00D50AF8">
        <w:rPr>
          <w:rFonts w:ascii="Times New Roman" w:hAnsi="Times New Roman" w:cs="Times New Roman"/>
        </w:rPr>
        <w:t xml:space="preserve">able, Turkey’s position relatively </w:t>
      </w:r>
      <w:r w:rsidR="00C967F7" w:rsidRPr="00D50AF8">
        <w:rPr>
          <w:rFonts w:ascii="Times New Roman" w:hAnsi="Times New Roman" w:cs="Times New Roman"/>
        </w:rPr>
        <w:t>worse compared to Brazil, Israel, Mexico</w:t>
      </w:r>
      <w:r w:rsidR="000266C8">
        <w:rPr>
          <w:rFonts w:ascii="Times New Roman" w:hAnsi="Times New Roman" w:cs="Times New Roman"/>
        </w:rPr>
        <w:t>,</w:t>
      </w:r>
      <w:r w:rsidR="00863689" w:rsidRPr="00D50AF8">
        <w:rPr>
          <w:rFonts w:ascii="Times New Roman" w:hAnsi="Times New Roman" w:cs="Times New Roman"/>
        </w:rPr>
        <w:t xml:space="preserve"> and only after 2000, Turkey managed to attract FDI inflows, </w:t>
      </w:r>
      <w:r w:rsidR="000266C8">
        <w:rPr>
          <w:rFonts w:ascii="Times New Roman" w:hAnsi="Times New Roman" w:cs="Times New Roman"/>
        </w:rPr>
        <w:t xml:space="preserve">which is </w:t>
      </w:r>
      <w:r w:rsidR="00863689" w:rsidRPr="00D50AF8">
        <w:rPr>
          <w:rFonts w:ascii="Times New Roman" w:hAnsi="Times New Roman" w:cs="Times New Roman"/>
        </w:rPr>
        <w:t>still lower than the average</w:t>
      </w:r>
      <w:r w:rsidR="000266C8">
        <w:rPr>
          <w:rFonts w:ascii="Times New Roman" w:hAnsi="Times New Roman" w:cs="Times New Roman"/>
        </w:rPr>
        <w:t>.</w:t>
      </w:r>
      <w:r w:rsidR="00863689" w:rsidRPr="00D50AF8">
        <w:rPr>
          <w:rFonts w:ascii="Times New Roman" w:hAnsi="Times New Roman" w:cs="Times New Roman"/>
        </w:rPr>
        <w:t xml:space="preserve"> </w:t>
      </w:r>
    </w:p>
    <w:tbl>
      <w:tblPr>
        <w:tblStyle w:val="LightShading-Accent1"/>
        <w:tblW w:w="8939" w:type="dxa"/>
        <w:tblLook w:val="04A0"/>
      </w:tblPr>
      <w:tblGrid>
        <w:gridCol w:w="1674"/>
        <w:gridCol w:w="1737"/>
        <w:gridCol w:w="1475"/>
        <w:gridCol w:w="1175"/>
        <w:gridCol w:w="1255"/>
        <w:gridCol w:w="1623"/>
      </w:tblGrid>
      <w:tr w:rsidR="00147638" w:rsidRPr="000266C8" w:rsidTr="000266C8">
        <w:trPr>
          <w:cnfStyle w:val="100000000000"/>
          <w:trHeight w:val="255"/>
        </w:trPr>
        <w:tc>
          <w:tcPr>
            <w:cnfStyle w:val="001000000000"/>
            <w:tcW w:w="8939" w:type="dxa"/>
            <w:gridSpan w:val="6"/>
            <w:noWrap/>
            <w:hideMark/>
          </w:tcPr>
          <w:p w:rsidR="00147638" w:rsidRPr="000266C8" w:rsidRDefault="00931267" w:rsidP="00147638">
            <w:pPr>
              <w:jc w:val="center"/>
              <w:rPr>
                <w:rFonts w:ascii="Times New Roman" w:eastAsia="Times New Roman" w:hAnsi="Times New Roman" w:cs="Times New Roman"/>
                <w:bCs w:val="0"/>
                <w:color w:val="000000" w:themeColor="text1"/>
                <w:lang w:eastAsia="tr-TR"/>
              </w:rPr>
            </w:pPr>
            <w:r w:rsidRPr="000266C8">
              <w:rPr>
                <w:rFonts w:ascii="Times New Roman" w:eastAsia="Times New Roman" w:hAnsi="Times New Roman" w:cs="Times New Roman"/>
                <w:bCs w:val="0"/>
                <w:color w:val="000000" w:themeColor="text1"/>
                <w:lang w:eastAsia="tr-TR"/>
              </w:rPr>
              <w:t>Table</w:t>
            </w:r>
            <w:r w:rsidR="00D50AF8" w:rsidRPr="000266C8">
              <w:rPr>
                <w:rFonts w:ascii="Times New Roman" w:eastAsia="Times New Roman" w:hAnsi="Times New Roman" w:cs="Times New Roman"/>
                <w:bCs w:val="0"/>
                <w:color w:val="000000" w:themeColor="text1"/>
                <w:lang w:eastAsia="tr-TR"/>
              </w:rPr>
              <w:t xml:space="preserve"> 1.</w:t>
            </w:r>
            <w:r w:rsidRPr="000266C8">
              <w:rPr>
                <w:rFonts w:ascii="Times New Roman" w:eastAsia="Times New Roman" w:hAnsi="Times New Roman" w:cs="Times New Roman"/>
                <w:bCs w:val="0"/>
                <w:color w:val="000000" w:themeColor="text1"/>
                <w:lang w:eastAsia="tr-TR"/>
              </w:rPr>
              <w:t xml:space="preserve"> </w:t>
            </w:r>
            <w:r w:rsidR="00147638" w:rsidRPr="000266C8">
              <w:rPr>
                <w:rFonts w:ascii="Times New Roman" w:eastAsia="Times New Roman" w:hAnsi="Times New Roman" w:cs="Times New Roman"/>
                <w:bCs w:val="0"/>
                <w:color w:val="000000" w:themeColor="text1"/>
                <w:lang w:eastAsia="tr-TR"/>
              </w:rPr>
              <w:t>Average FDI Inflows</w:t>
            </w:r>
            <w:r w:rsidR="000266C8" w:rsidRPr="000266C8">
              <w:rPr>
                <w:rFonts w:ascii="Times New Roman" w:eastAsia="Times New Roman" w:hAnsi="Times New Roman" w:cs="Times New Roman"/>
                <w:bCs w:val="0"/>
                <w:color w:val="000000" w:themeColor="text1"/>
                <w:lang w:eastAsia="tr-TR"/>
              </w:rPr>
              <w:t xml:space="preserve"> to Selected C</w:t>
            </w:r>
            <w:r w:rsidR="00863689" w:rsidRPr="000266C8">
              <w:rPr>
                <w:rFonts w:ascii="Times New Roman" w:eastAsia="Times New Roman" w:hAnsi="Times New Roman" w:cs="Times New Roman"/>
                <w:bCs w:val="0"/>
                <w:color w:val="000000" w:themeColor="text1"/>
                <w:lang w:eastAsia="tr-TR"/>
              </w:rPr>
              <w:t>ountries</w:t>
            </w:r>
            <w:r w:rsidR="00147638" w:rsidRPr="000266C8">
              <w:rPr>
                <w:rFonts w:ascii="Times New Roman" w:eastAsia="Times New Roman" w:hAnsi="Times New Roman" w:cs="Times New Roman"/>
                <w:bCs w:val="0"/>
                <w:color w:val="000000" w:themeColor="text1"/>
                <w:lang w:eastAsia="tr-TR"/>
              </w:rPr>
              <w:t xml:space="preserve">- % of GDP </w:t>
            </w:r>
          </w:p>
        </w:tc>
      </w:tr>
      <w:tr w:rsidR="000266C8" w:rsidRPr="000266C8" w:rsidTr="000266C8">
        <w:trPr>
          <w:cnfStyle w:val="000000100000"/>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Cs w:val="0"/>
                <w:color w:val="000000"/>
                <w:lang w:eastAsia="tr-TR"/>
              </w:rPr>
            </w:pPr>
            <w:r w:rsidRPr="000266C8">
              <w:rPr>
                <w:rFonts w:ascii="Times New Roman" w:eastAsia="Times New Roman" w:hAnsi="Times New Roman" w:cs="Times New Roman"/>
                <w:bCs w:val="0"/>
                <w:color w:val="000000"/>
                <w:lang w:eastAsia="tr-TR"/>
              </w:rPr>
              <w:t>Country</w:t>
            </w:r>
          </w:p>
        </w:tc>
        <w:tc>
          <w:tcPr>
            <w:tcW w:w="1737" w:type="dxa"/>
            <w:noWrap/>
            <w:hideMark/>
          </w:tcPr>
          <w:p w:rsidR="00147638" w:rsidRPr="000266C8" w:rsidRDefault="00147638" w:rsidP="00147638">
            <w:pPr>
              <w:jc w:val="center"/>
              <w:cnfStyle w:val="000000100000"/>
              <w:rPr>
                <w:rFonts w:ascii="Times New Roman" w:eastAsia="Times New Roman" w:hAnsi="Times New Roman" w:cs="Times New Roman"/>
                <w:b/>
                <w:bCs/>
                <w:color w:val="000000"/>
                <w:lang w:eastAsia="tr-TR"/>
              </w:rPr>
            </w:pPr>
            <w:r w:rsidRPr="000266C8">
              <w:rPr>
                <w:rFonts w:ascii="Times New Roman" w:eastAsia="Times New Roman" w:hAnsi="Times New Roman" w:cs="Times New Roman"/>
                <w:b/>
                <w:bCs/>
                <w:color w:val="000000"/>
                <w:lang w:eastAsia="tr-TR"/>
              </w:rPr>
              <w:t>1970-79</w:t>
            </w:r>
          </w:p>
        </w:tc>
        <w:tc>
          <w:tcPr>
            <w:tcW w:w="1475" w:type="dxa"/>
            <w:noWrap/>
            <w:hideMark/>
          </w:tcPr>
          <w:p w:rsidR="00147638" w:rsidRPr="000266C8" w:rsidRDefault="00147638" w:rsidP="00147638">
            <w:pPr>
              <w:jc w:val="center"/>
              <w:cnfStyle w:val="000000100000"/>
              <w:rPr>
                <w:rFonts w:ascii="Times New Roman" w:eastAsia="Times New Roman" w:hAnsi="Times New Roman" w:cs="Times New Roman"/>
                <w:b/>
                <w:bCs/>
                <w:color w:val="000000"/>
                <w:lang w:eastAsia="tr-TR"/>
              </w:rPr>
            </w:pPr>
            <w:r w:rsidRPr="000266C8">
              <w:rPr>
                <w:rFonts w:ascii="Times New Roman" w:eastAsia="Times New Roman" w:hAnsi="Times New Roman" w:cs="Times New Roman"/>
                <w:b/>
                <w:bCs/>
                <w:color w:val="000000"/>
                <w:lang w:eastAsia="tr-TR"/>
              </w:rPr>
              <w:t>1980-89</w:t>
            </w:r>
          </w:p>
        </w:tc>
        <w:tc>
          <w:tcPr>
            <w:tcW w:w="1175" w:type="dxa"/>
            <w:noWrap/>
            <w:hideMark/>
          </w:tcPr>
          <w:p w:rsidR="00147638" w:rsidRPr="000266C8" w:rsidRDefault="00147638" w:rsidP="00147638">
            <w:pPr>
              <w:jc w:val="center"/>
              <w:cnfStyle w:val="000000100000"/>
              <w:rPr>
                <w:rFonts w:ascii="Times New Roman" w:eastAsia="Times New Roman" w:hAnsi="Times New Roman" w:cs="Times New Roman"/>
                <w:b/>
                <w:bCs/>
                <w:color w:val="000000"/>
                <w:lang w:eastAsia="tr-TR"/>
              </w:rPr>
            </w:pPr>
            <w:r w:rsidRPr="000266C8">
              <w:rPr>
                <w:rFonts w:ascii="Times New Roman" w:eastAsia="Times New Roman" w:hAnsi="Times New Roman" w:cs="Times New Roman"/>
                <w:b/>
                <w:bCs/>
                <w:color w:val="000000"/>
                <w:lang w:eastAsia="tr-TR"/>
              </w:rPr>
              <w:t>1990-99</w:t>
            </w:r>
          </w:p>
        </w:tc>
        <w:tc>
          <w:tcPr>
            <w:tcW w:w="1255" w:type="dxa"/>
            <w:noWrap/>
            <w:hideMark/>
          </w:tcPr>
          <w:p w:rsidR="00147638" w:rsidRPr="000266C8" w:rsidRDefault="00147638" w:rsidP="00147638">
            <w:pPr>
              <w:jc w:val="center"/>
              <w:cnfStyle w:val="000000100000"/>
              <w:rPr>
                <w:rFonts w:ascii="Times New Roman" w:eastAsia="Times New Roman" w:hAnsi="Times New Roman" w:cs="Times New Roman"/>
                <w:b/>
                <w:bCs/>
                <w:color w:val="000000"/>
                <w:lang w:eastAsia="tr-TR"/>
              </w:rPr>
            </w:pPr>
            <w:r w:rsidRPr="000266C8">
              <w:rPr>
                <w:rFonts w:ascii="Times New Roman" w:eastAsia="Times New Roman" w:hAnsi="Times New Roman" w:cs="Times New Roman"/>
                <w:b/>
                <w:bCs/>
                <w:color w:val="000000"/>
                <w:lang w:eastAsia="tr-TR"/>
              </w:rPr>
              <w:t>2000-09</w:t>
            </w:r>
          </w:p>
        </w:tc>
        <w:tc>
          <w:tcPr>
            <w:tcW w:w="1623" w:type="dxa"/>
            <w:noWrap/>
            <w:hideMark/>
          </w:tcPr>
          <w:p w:rsidR="00147638" w:rsidRPr="000266C8" w:rsidRDefault="00147638" w:rsidP="00147638">
            <w:pPr>
              <w:jc w:val="center"/>
              <w:cnfStyle w:val="000000100000"/>
              <w:rPr>
                <w:rFonts w:ascii="Times New Roman" w:eastAsia="Times New Roman" w:hAnsi="Times New Roman" w:cs="Times New Roman"/>
                <w:b/>
                <w:bCs/>
                <w:color w:val="000000"/>
                <w:lang w:eastAsia="tr-TR"/>
              </w:rPr>
            </w:pPr>
            <w:r w:rsidRPr="000266C8">
              <w:rPr>
                <w:rFonts w:ascii="Times New Roman" w:eastAsia="Times New Roman" w:hAnsi="Times New Roman" w:cs="Times New Roman"/>
                <w:b/>
                <w:bCs/>
                <w:color w:val="000000"/>
                <w:lang w:eastAsia="tr-TR"/>
              </w:rPr>
              <w:t>2010-2016</w:t>
            </w:r>
          </w:p>
        </w:tc>
      </w:tr>
      <w:tr w:rsidR="00147638" w:rsidRPr="000266C8" w:rsidTr="000266C8">
        <w:trPr>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 w:val="0"/>
                <w:color w:val="000000"/>
                <w:lang w:eastAsia="tr-TR"/>
              </w:rPr>
            </w:pPr>
            <w:r w:rsidRPr="000266C8">
              <w:rPr>
                <w:rFonts w:ascii="Times New Roman" w:eastAsia="Times New Roman" w:hAnsi="Times New Roman" w:cs="Times New Roman"/>
                <w:b w:val="0"/>
                <w:color w:val="000000"/>
                <w:lang w:eastAsia="tr-TR"/>
              </w:rPr>
              <w:t>Brazil</w:t>
            </w:r>
          </w:p>
        </w:tc>
        <w:tc>
          <w:tcPr>
            <w:tcW w:w="1737"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1,21</w:t>
            </w:r>
          </w:p>
        </w:tc>
        <w:tc>
          <w:tcPr>
            <w:tcW w:w="147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0,77</w:t>
            </w:r>
          </w:p>
        </w:tc>
        <w:tc>
          <w:tcPr>
            <w:tcW w:w="117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1,40</w:t>
            </w:r>
          </w:p>
        </w:tc>
        <w:tc>
          <w:tcPr>
            <w:tcW w:w="125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2,69</w:t>
            </w:r>
          </w:p>
        </w:tc>
        <w:tc>
          <w:tcPr>
            <w:tcW w:w="1623"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3,24</w:t>
            </w:r>
          </w:p>
        </w:tc>
      </w:tr>
      <w:tr w:rsidR="000266C8" w:rsidRPr="000266C8" w:rsidTr="000266C8">
        <w:trPr>
          <w:cnfStyle w:val="000000100000"/>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 w:val="0"/>
                <w:color w:val="000000"/>
                <w:lang w:eastAsia="tr-TR"/>
              </w:rPr>
            </w:pPr>
            <w:r w:rsidRPr="000266C8">
              <w:rPr>
                <w:rFonts w:ascii="Times New Roman" w:eastAsia="Times New Roman" w:hAnsi="Times New Roman" w:cs="Times New Roman"/>
                <w:b w:val="0"/>
                <w:color w:val="000000"/>
                <w:lang w:eastAsia="tr-TR"/>
              </w:rPr>
              <w:t>Egypt</w:t>
            </w:r>
          </w:p>
        </w:tc>
        <w:tc>
          <w:tcPr>
            <w:tcW w:w="1737"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1,02</w:t>
            </w:r>
          </w:p>
        </w:tc>
        <w:tc>
          <w:tcPr>
            <w:tcW w:w="147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3,72</w:t>
            </w:r>
          </w:p>
        </w:tc>
        <w:tc>
          <w:tcPr>
            <w:tcW w:w="117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1,33</w:t>
            </w:r>
          </w:p>
        </w:tc>
        <w:tc>
          <w:tcPr>
            <w:tcW w:w="125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3,87</w:t>
            </w:r>
          </w:p>
        </w:tc>
        <w:tc>
          <w:tcPr>
            <w:tcW w:w="1623"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1,88</w:t>
            </w:r>
          </w:p>
        </w:tc>
      </w:tr>
      <w:tr w:rsidR="00147638" w:rsidRPr="000266C8" w:rsidTr="000266C8">
        <w:trPr>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 w:val="0"/>
                <w:color w:val="000000"/>
                <w:lang w:eastAsia="tr-TR"/>
              </w:rPr>
            </w:pPr>
            <w:r w:rsidRPr="000266C8">
              <w:rPr>
                <w:rFonts w:ascii="Times New Roman" w:eastAsia="Times New Roman" w:hAnsi="Times New Roman" w:cs="Times New Roman"/>
                <w:b w:val="0"/>
                <w:color w:val="000000"/>
                <w:lang w:eastAsia="tr-TR"/>
              </w:rPr>
              <w:t>Greece</w:t>
            </w:r>
          </w:p>
        </w:tc>
        <w:tc>
          <w:tcPr>
            <w:tcW w:w="1737"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0,58</w:t>
            </w:r>
          </w:p>
        </w:tc>
        <w:tc>
          <w:tcPr>
            <w:tcW w:w="147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0,98</w:t>
            </w:r>
          </w:p>
        </w:tc>
        <w:tc>
          <w:tcPr>
            <w:tcW w:w="117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0,74</w:t>
            </w:r>
          </w:p>
        </w:tc>
        <w:tc>
          <w:tcPr>
            <w:tcW w:w="125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0,84</w:t>
            </w:r>
          </w:p>
        </w:tc>
        <w:tc>
          <w:tcPr>
            <w:tcW w:w="1623"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0,82</w:t>
            </w:r>
          </w:p>
        </w:tc>
      </w:tr>
      <w:tr w:rsidR="000266C8" w:rsidRPr="000266C8" w:rsidTr="000266C8">
        <w:trPr>
          <w:cnfStyle w:val="000000100000"/>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 w:val="0"/>
                <w:color w:val="000000"/>
                <w:lang w:eastAsia="tr-TR"/>
              </w:rPr>
            </w:pPr>
            <w:r w:rsidRPr="000266C8">
              <w:rPr>
                <w:rFonts w:ascii="Times New Roman" w:eastAsia="Times New Roman" w:hAnsi="Times New Roman" w:cs="Times New Roman"/>
                <w:b w:val="0"/>
                <w:color w:val="000000"/>
                <w:lang w:eastAsia="tr-TR"/>
              </w:rPr>
              <w:t>Israel</w:t>
            </w:r>
          </w:p>
        </w:tc>
        <w:tc>
          <w:tcPr>
            <w:tcW w:w="1737"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0,64</w:t>
            </w:r>
          </w:p>
        </w:tc>
        <w:tc>
          <w:tcPr>
            <w:tcW w:w="147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0,32</w:t>
            </w:r>
          </w:p>
        </w:tc>
        <w:tc>
          <w:tcPr>
            <w:tcW w:w="117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1,19</w:t>
            </w:r>
          </w:p>
        </w:tc>
        <w:tc>
          <w:tcPr>
            <w:tcW w:w="125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3,74</w:t>
            </w:r>
          </w:p>
        </w:tc>
        <w:tc>
          <w:tcPr>
            <w:tcW w:w="1623"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3,37</w:t>
            </w:r>
          </w:p>
        </w:tc>
      </w:tr>
      <w:tr w:rsidR="00147638" w:rsidRPr="000266C8" w:rsidTr="000266C8">
        <w:trPr>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 w:val="0"/>
                <w:color w:val="000000"/>
                <w:lang w:eastAsia="tr-TR"/>
              </w:rPr>
            </w:pPr>
            <w:r w:rsidRPr="000266C8">
              <w:rPr>
                <w:rFonts w:ascii="Times New Roman" w:eastAsia="Times New Roman" w:hAnsi="Times New Roman" w:cs="Times New Roman"/>
                <w:b w:val="0"/>
                <w:color w:val="000000"/>
                <w:lang w:eastAsia="tr-TR"/>
              </w:rPr>
              <w:t>South Korea</w:t>
            </w:r>
          </w:p>
        </w:tc>
        <w:tc>
          <w:tcPr>
            <w:tcW w:w="1737"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0,67</w:t>
            </w:r>
          </w:p>
        </w:tc>
        <w:tc>
          <w:tcPr>
            <w:tcW w:w="147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0,36</w:t>
            </w:r>
          </w:p>
        </w:tc>
        <w:tc>
          <w:tcPr>
            <w:tcW w:w="117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0,69</w:t>
            </w:r>
          </w:p>
        </w:tc>
        <w:tc>
          <w:tcPr>
            <w:tcW w:w="125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1,23</w:t>
            </w:r>
          </w:p>
        </w:tc>
        <w:tc>
          <w:tcPr>
            <w:tcW w:w="1623"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0,74</w:t>
            </w:r>
          </w:p>
        </w:tc>
      </w:tr>
      <w:tr w:rsidR="000266C8" w:rsidRPr="000266C8" w:rsidTr="000266C8">
        <w:trPr>
          <w:cnfStyle w:val="000000100000"/>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 w:val="0"/>
                <w:color w:val="000000"/>
                <w:lang w:eastAsia="tr-TR"/>
              </w:rPr>
            </w:pPr>
            <w:r w:rsidRPr="000266C8">
              <w:rPr>
                <w:rFonts w:ascii="Times New Roman" w:eastAsia="Times New Roman" w:hAnsi="Times New Roman" w:cs="Times New Roman"/>
                <w:b w:val="0"/>
                <w:color w:val="000000"/>
                <w:lang w:eastAsia="tr-TR"/>
              </w:rPr>
              <w:t>Mexico</w:t>
            </w:r>
          </w:p>
        </w:tc>
        <w:tc>
          <w:tcPr>
            <w:tcW w:w="1737"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0,51</w:t>
            </w:r>
          </w:p>
        </w:tc>
        <w:tc>
          <w:tcPr>
            <w:tcW w:w="147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1,16</w:t>
            </w:r>
          </w:p>
        </w:tc>
        <w:tc>
          <w:tcPr>
            <w:tcW w:w="117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2,03</w:t>
            </w:r>
          </w:p>
        </w:tc>
        <w:tc>
          <w:tcPr>
            <w:tcW w:w="125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2,93</w:t>
            </w:r>
          </w:p>
        </w:tc>
        <w:tc>
          <w:tcPr>
            <w:tcW w:w="1623"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2,56</w:t>
            </w:r>
          </w:p>
        </w:tc>
      </w:tr>
      <w:tr w:rsidR="00147638" w:rsidRPr="000266C8" w:rsidTr="000266C8">
        <w:trPr>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 w:val="0"/>
                <w:color w:val="000000"/>
                <w:lang w:eastAsia="tr-TR"/>
              </w:rPr>
            </w:pPr>
            <w:r w:rsidRPr="000266C8">
              <w:rPr>
                <w:rFonts w:ascii="Times New Roman" w:eastAsia="Times New Roman" w:hAnsi="Times New Roman" w:cs="Times New Roman"/>
                <w:b w:val="0"/>
                <w:color w:val="000000"/>
                <w:lang w:eastAsia="tr-TR"/>
              </w:rPr>
              <w:t>Portugal</w:t>
            </w:r>
          </w:p>
        </w:tc>
        <w:tc>
          <w:tcPr>
            <w:tcW w:w="1737"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0,46</w:t>
            </w:r>
          </w:p>
        </w:tc>
        <w:tc>
          <w:tcPr>
            <w:tcW w:w="147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0,75</w:t>
            </w:r>
          </w:p>
        </w:tc>
        <w:tc>
          <w:tcPr>
            <w:tcW w:w="117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1,67</w:t>
            </w:r>
          </w:p>
        </w:tc>
        <w:tc>
          <w:tcPr>
            <w:tcW w:w="125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2,77</w:t>
            </w:r>
          </w:p>
        </w:tc>
        <w:tc>
          <w:tcPr>
            <w:tcW w:w="1623"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2,44</w:t>
            </w:r>
          </w:p>
        </w:tc>
      </w:tr>
      <w:tr w:rsidR="000266C8" w:rsidRPr="000266C8" w:rsidTr="000266C8">
        <w:trPr>
          <w:cnfStyle w:val="000000100000"/>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 w:val="0"/>
                <w:color w:val="000000"/>
                <w:lang w:eastAsia="tr-TR"/>
              </w:rPr>
            </w:pPr>
            <w:r w:rsidRPr="000266C8">
              <w:rPr>
                <w:rFonts w:ascii="Times New Roman" w:eastAsia="Times New Roman" w:hAnsi="Times New Roman" w:cs="Times New Roman"/>
                <w:b w:val="0"/>
                <w:color w:val="000000"/>
                <w:lang w:eastAsia="tr-TR"/>
              </w:rPr>
              <w:t>South Africa</w:t>
            </w:r>
          </w:p>
        </w:tc>
        <w:tc>
          <w:tcPr>
            <w:tcW w:w="1737"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0,47</w:t>
            </w:r>
          </w:p>
        </w:tc>
        <w:tc>
          <w:tcPr>
            <w:tcW w:w="147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0,00</w:t>
            </w:r>
          </w:p>
        </w:tc>
        <w:tc>
          <w:tcPr>
            <w:tcW w:w="117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0,57</w:t>
            </w:r>
          </w:p>
        </w:tc>
        <w:tc>
          <w:tcPr>
            <w:tcW w:w="125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1,89</w:t>
            </w:r>
          </w:p>
        </w:tc>
        <w:tc>
          <w:tcPr>
            <w:tcW w:w="1623"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1,20</w:t>
            </w:r>
          </w:p>
        </w:tc>
      </w:tr>
      <w:tr w:rsidR="00147638" w:rsidRPr="000266C8" w:rsidTr="000266C8">
        <w:trPr>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 w:val="0"/>
                <w:color w:val="000000"/>
                <w:lang w:eastAsia="tr-TR"/>
              </w:rPr>
            </w:pPr>
            <w:r w:rsidRPr="000266C8">
              <w:rPr>
                <w:rFonts w:ascii="Times New Roman" w:eastAsia="Times New Roman" w:hAnsi="Times New Roman" w:cs="Times New Roman"/>
                <w:b w:val="0"/>
                <w:color w:val="000000"/>
                <w:lang w:eastAsia="tr-TR"/>
              </w:rPr>
              <w:t>Turkey</w:t>
            </w:r>
          </w:p>
        </w:tc>
        <w:tc>
          <w:tcPr>
            <w:tcW w:w="1737"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0,13</w:t>
            </w:r>
          </w:p>
        </w:tc>
        <w:tc>
          <w:tcPr>
            <w:tcW w:w="147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0,15</w:t>
            </w:r>
          </w:p>
        </w:tc>
        <w:tc>
          <w:tcPr>
            <w:tcW w:w="117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0,34</w:t>
            </w:r>
          </w:p>
        </w:tc>
        <w:tc>
          <w:tcPr>
            <w:tcW w:w="1255"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1,72</w:t>
            </w:r>
          </w:p>
        </w:tc>
        <w:tc>
          <w:tcPr>
            <w:tcW w:w="1623" w:type="dxa"/>
            <w:noWrap/>
            <w:hideMark/>
          </w:tcPr>
          <w:p w:rsidR="00147638" w:rsidRPr="000266C8" w:rsidRDefault="00147638" w:rsidP="00147638">
            <w:pPr>
              <w:jc w:val="center"/>
              <w:cnfStyle w:val="0000000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1,75</w:t>
            </w:r>
          </w:p>
        </w:tc>
      </w:tr>
      <w:tr w:rsidR="000266C8" w:rsidRPr="000266C8" w:rsidTr="000266C8">
        <w:trPr>
          <w:cnfStyle w:val="000000100000"/>
          <w:trHeight w:val="255"/>
        </w:trPr>
        <w:tc>
          <w:tcPr>
            <w:cnfStyle w:val="001000000000"/>
            <w:tcW w:w="1674" w:type="dxa"/>
            <w:noWrap/>
            <w:hideMark/>
          </w:tcPr>
          <w:p w:rsidR="00147638" w:rsidRPr="000266C8" w:rsidRDefault="00147638" w:rsidP="00147638">
            <w:pPr>
              <w:rPr>
                <w:rFonts w:ascii="Times New Roman" w:eastAsia="Times New Roman" w:hAnsi="Times New Roman" w:cs="Times New Roman"/>
                <w:b w:val="0"/>
                <w:color w:val="000000"/>
                <w:lang w:eastAsia="tr-TR"/>
              </w:rPr>
            </w:pPr>
            <w:r w:rsidRPr="000266C8">
              <w:rPr>
                <w:rFonts w:ascii="Times New Roman" w:eastAsia="Times New Roman" w:hAnsi="Times New Roman" w:cs="Times New Roman"/>
                <w:b w:val="0"/>
                <w:color w:val="000000"/>
                <w:lang w:eastAsia="tr-TR"/>
              </w:rPr>
              <w:t>Developing economies</w:t>
            </w:r>
          </w:p>
        </w:tc>
        <w:tc>
          <w:tcPr>
            <w:tcW w:w="1737"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0,58</w:t>
            </w:r>
          </w:p>
        </w:tc>
        <w:tc>
          <w:tcPr>
            <w:tcW w:w="147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0,70</w:t>
            </w:r>
          </w:p>
        </w:tc>
        <w:tc>
          <w:tcPr>
            <w:tcW w:w="117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1,94</w:t>
            </w:r>
          </w:p>
        </w:tc>
        <w:tc>
          <w:tcPr>
            <w:tcW w:w="1255"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2,97</w:t>
            </w:r>
          </w:p>
        </w:tc>
        <w:tc>
          <w:tcPr>
            <w:tcW w:w="1623" w:type="dxa"/>
            <w:noWrap/>
            <w:hideMark/>
          </w:tcPr>
          <w:p w:rsidR="00147638" w:rsidRPr="000266C8" w:rsidRDefault="00147638" w:rsidP="00147638">
            <w:pPr>
              <w:jc w:val="center"/>
              <w:cnfStyle w:val="000000100000"/>
              <w:rPr>
                <w:rFonts w:ascii="Times New Roman" w:eastAsia="Times New Roman" w:hAnsi="Times New Roman" w:cs="Times New Roman"/>
                <w:color w:val="000000"/>
                <w:lang w:eastAsia="tr-TR"/>
              </w:rPr>
            </w:pPr>
            <w:r w:rsidRPr="000266C8">
              <w:rPr>
                <w:rFonts w:ascii="Times New Roman" w:eastAsia="Times New Roman" w:hAnsi="Times New Roman" w:cs="Times New Roman"/>
                <w:color w:val="000000"/>
                <w:lang w:eastAsia="tr-TR"/>
              </w:rPr>
              <w:t>2,52</w:t>
            </w:r>
          </w:p>
        </w:tc>
      </w:tr>
      <w:tr w:rsidR="00147638" w:rsidRPr="000266C8" w:rsidTr="000266C8">
        <w:trPr>
          <w:trHeight w:val="255"/>
        </w:trPr>
        <w:tc>
          <w:tcPr>
            <w:cnfStyle w:val="001000000000"/>
            <w:tcW w:w="4886" w:type="dxa"/>
            <w:gridSpan w:val="3"/>
            <w:noWrap/>
            <w:hideMark/>
          </w:tcPr>
          <w:p w:rsidR="00147638" w:rsidRPr="000266C8" w:rsidRDefault="00147638" w:rsidP="00147638">
            <w:pPr>
              <w:rPr>
                <w:rFonts w:ascii="Times New Roman" w:eastAsia="Times New Roman" w:hAnsi="Times New Roman" w:cs="Times New Roman"/>
                <w:color w:val="000000"/>
                <w:lang w:eastAsia="tr-TR"/>
              </w:rPr>
            </w:pPr>
            <w:proofErr w:type="spellStart"/>
            <w:r w:rsidRPr="000266C8">
              <w:rPr>
                <w:rFonts w:ascii="Times New Roman" w:eastAsia="Times New Roman" w:hAnsi="Times New Roman" w:cs="Times New Roman"/>
                <w:color w:val="000000"/>
                <w:lang w:eastAsia="tr-TR"/>
              </w:rPr>
              <w:t>Source:UNCTADSTAT</w:t>
            </w:r>
            <w:proofErr w:type="spellEnd"/>
          </w:p>
        </w:tc>
        <w:tc>
          <w:tcPr>
            <w:tcW w:w="1175" w:type="dxa"/>
            <w:noWrap/>
            <w:hideMark/>
          </w:tcPr>
          <w:p w:rsidR="00147638" w:rsidRPr="000266C8" w:rsidRDefault="00147638" w:rsidP="00147638">
            <w:pPr>
              <w:cnfStyle w:val="000000000000"/>
              <w:rPr>
                <w:rFonts w:ascii="Times New Roman" w:eastAsia="Times New Roman" w:hAnsi="Times New Roman" w:cs="Times New Roman"/>
                <w:color w:val="000000"/>
                <w:lang w:eastAsia="tr-TR"/>
              </w:rPr>
            </w:pPr>
          </w:p>
        </w:tc>
        <w:tc>
          <w:tcPr>
            <w:tcW w:w="1255" w:type="dxa"/>
            <w:noWrap/>
            <w:hideMark/>
          </w:tcPr>
          <w:p w:rsidR="00147638" w:rsidRPr="000266C8" w:rsidRDefault="00147638" w:rsidP="00147638">
            <w:pPr>
              <w:cnfStyle w:val="000000000000"/>
              <w:rPr>
                <w:rFonts w:ascii="Times New Roman" w:eastAsia="Times New Roman" w:hAnsi="Times New Roman" w:cs="Times New Roman"/>
                <w:color w:val="000000"/>
                <w:lang w:eastAsia="tr-TR"/>
              </w:rPr>
            </w:pPr>
          </w:p>
        </w:tc>
        <w:tc>
          <w:tcPr>
            <w:tcW w:w="1623" w:type="dxa"/>
            <w:noWrap/>
            <w:hideMark/>
          </w:tcPr>
          <w:p w:rsidR="00147638" w:rsidRPr="000266C8" w:rsidRDefault="00147638" w:rsidP="00147638">
            <w:pPr>
              <w:cnfStyle w:val="000000000000"/>
              <w:rPr>
                <w:rFonts w:ascii="Times New Roman" w:eastAsia="Times New Roman" w:hAnsi="Times New Roman" w:cs="Times New Roman"/>
                <w:color w:val="000000"/>
                <w:lang w:eastAsia="tr-TR"/>
              </w:rPr>
            </w:pPr>
          </w:p>
        </w:tc>
      </w:tr>
    </w:tbl>
    <w:p w:rsidR="007143C5" w:rsidRPr="00D50AF8" w:rsidRDefault="00863689" w:rsidP="0045663D">
      <w:pPr>
        <w:pStyle w:val="BodyText"/>
        <w:jc w:val="both"/>
        <w:rPr>
          <w:rFonts w:ascii="Times New Roman" w:hAnsi="Times New Roman" w:cs="Times New Roman"/>
        </w:rPr>
      </w:pPr>
      <w:r w:rsidRPr="00D50AF8">
        <w:rPr>
          <w:rFonts w:ascii="Times New Roman" w:hAnsi="Times New Roman" w:cs="Times New Roman"/>
        </w:rPr>
        <w:t xml:space="preserve">In terms of </w:t>
      </w:r>
      <w:proofErr w:type="spellStart"/>
      <w:r w:rsidR="009955B3" w:rsidRPr="00D50AF8">
        <w:rPr>
          <w:rFonts w:ascii="Times New Roman" w:hAnsi="Times New Roman" w:cs="Times New Roman"/>
        </w:rPr>
        <w:t>secto</w:t>
      </w:r>
      <w:r w:rsidR="000266C8">
        <w:rPr>
          <w:rFonts w:ascii="Times New Roman" w:hAnsi="Times New Roman" w:cs="Times New Roman"/>
        </w:rPr>
        <w:t>r</w:t>
      </w:r>
      <w:r w:rsidR="0045663D" w:rsidRPr="00D50AF8">
        <w:rPr>
          <w:rFonts w:ascii="Times New Roman" w:hAnsi="Times New Roman" w:cs="Times New Roman"/>
        </w:rPr>
        <w:t>al</w:t>
      </w:r>
      <w:proofErr w:type="spellEnd"/>
      <w:r w:rsidR="0045663D" w:rsidRPr="00D50AF8">
        <w:rPr>
          <w:rFonts w:ascii="Times New Roman" w:hAnsi="Times New Roman" w:cs="Times New Roman"/>
        </w:rPr>
        <w:t xml:space="preserve"> </w:t>
      </w:r>
      <w:r w:rsidRPr="00D50AF8">
        <w:rPr>
          <w:rFonts w:ascii="Times New Roman" w:hAnsi="Times New Roman" w:cs="Times New Roman"/>
        </w:rPr>
        <w:t xml:space="preserve">FDI inflows </w:t>
      </w:r>
      <w:r w:rsidR="00C967F7" w:rsidRPr="00D50AF8">
        <w:rPr>
          <w:rFonts w:ascii="Times New Roman" w:hAnsi="Times New Roman" w:cs="Times New Roman"/>
        </w:rPr>
        <w:t>in Turkey</w:t>
      </w:r>
      <w:r w:rsidR="00E65AEF" w:rsidRPr="00D50AF8">
        <w:rPr>
          <w:rFonts w:ascii="Times New Roman" w:hAnsi="Times New Roman" w:cs="Times New Roman"/>
        </w:rPr>
        <w:t xml:space="preserve">, </w:t>
      </w:r>
      <w:r w:rsidR="00373453" w:rsidRPr="00D50AF8">
        <w:rPr>
          <w:rFonts w:ascii="Times New Roman" w:hAnsi="Times New Roman" w:cs="Times New Roman"/>
        </w:rPr>
        <w:t xml:space="preserve">financial services received the highest </w:t>
      </w:r>
      <w:r w:rsidR="0045663D" w:rsidRPr="00D50AF8">
        <w:rPr>
          <w:rFonts w:ascii="Times New Roman" w:hAnsi="Times New Roman" w:cs="Times New Roman"/>
        </w:rPr>
        <w:t xml:space="preserve">share </w:t>
      </w:r>
      <w:r w:rsidR="00373453" w:rsidRPr="00D50AF8">
        <w:rPr>
          <w:rFonts w:ascii="Times New Roman" w:hAnsi="Times New Roman" w:cs="Times New Roman"/>
        </w:rPr>
        <w:t>among all sectors, $</w:t>
      </w:r>
      <w:r w:rsidR="007143C5" w:rsidRPr="00D50AF8">
        <w:rPr>
          <w:rFonts w:ascii="Times New Roman" w:hAnsi="Times New Roman" w:cs="Times New Roman"/>
        </w:rPr>
        <w:t>50</w:t>
      </w:r>
      <w:r w:rsidR="00373453" w:rsidRPr="00D50AF8">
        <w:rPr>
          <w:rFonts w:ascii="Times New Roman" w:hAnsi="Times New Roman" w:cs="Times New Roman"/>
        </w:rPr>
        <w:t xml:space="preserve"> billion between 2005 and 201</w:t>
      </w:r>
      <w:r w:rsidR="007143C5" w:rsidRPr="00D50AF8">
        <w:rPr>
          <w:rFonts w:ascii="Times New Roman" w:hAnsi="Times New Roman" w:cs="Times New Roman"/>
        </w:rPr>
        <w:t>7</w:t>
      </w:r>
      <w:r w:rsidR="00E65AEF" w:rsidRPr="00D50AF8">
        <w:rPr>
          <w:rFonts w:ascii="Times New Roman" w:hAnsi="Times New Roman" w:cs="Times New Roman"/>
        </w:rPr>
        <w:t xml:space="preserve"> as shown in Table</w:t>
      </w:r>
      <w:r w:rsidR="000266C8">
        <w:rPr>
          <w:rFonts w:ascii="Times New Roman" w:hAnsi="Times New Roman" w:cs="Times New Roman"/>
        </w:rPr>
        <w:t xml:space="preserve"> 2</w:t>
      </w:r>
      <w:r w:rsidR="003508B1" w:rsidRPr="00D50AF8">
        <w:rPr>
          <w:rFonts w:ascii="Times New Roman" w:hAnsi="Times New Roman" w:cs="Times New Roman"/>
        </w:rPr>
        <w:t>. Manufacturing and energy sectors followed financial sector</w:t>
      </w:r>
      <w:r w:rsidR="000266C8">
        <w:rPr>
          <w:rFonts w:ascii="Times New Roman" w:hAnsi="Times New Roman" w:cs="Times New Roman"/>
        </w:rPr>
        <w:t>,</w:t>
      </w:r>
      <w:r w:rsidR="003508B1" w:rsidRPr="00D50AF8">
        <w:rPr>
          <w:rFonts w:ascii="Times New Roman" w:hAnsi="Times New Roman" w:cs="Times New Roman"/>
        </w:rPr>
        <w:t xml:space="preserve"> and energy sector received almost 14 billion USD in the last decade. The major reasons for the increase were privatizations, liberalization of the energy markets and </w:t>
      </w:r>
      <w:r w:rsidR="00373453" w:rsidRPr="00D50AF8">
        <w:rPr>
          <w:rFonts w:ascii="Times New Roman" w:hAnsi="Times New Roman" w:cs="Times New Roman"/>
        </w:rPr>
        <w:t>large inter-governmental projects</w:t>
      </w:r>
      <w:r w:rsidR="003508B1" w:rsidRPr="00D50AF8">
        <w:rPr>
          <w:rFonts w:ascii="Times New Roman" w:hAnsi="Times New Roman" w:cs="Times New Roman"/>
        </w:rPr>
        <w:t xml:space="preserve"> in the energy sector such as </w:t>
      </w:r>
      <w:proofErr w:type="spellStart"/>
      <w:r w:rsidR="003508B1" w:rsidRPr="00D50AF8">
        <w:rPr>
          <w:rFonts w:ascii="Times New Roman" w:hAnsi="Times New Roman" w:cs="Times New Roman"/>
        </w:rPr>
        <w:t>Akkuyu</w:t>
      </w:r>
      <w:proofErr w:type="spellEnd"/>
      <w:r w:rsidR="003508B1" w:rsidRPr="00D50AF8">
        <w:rPr>
          <w:rFonts w:ascii="Times New Roman" w:hAnsi="Times New Roman" w:cs="Times New Roman"/>
        </w:rPr>
        <w:t xml:space="preserve"> Nuclear Power Plant Project.  </w:t>
      </w:r>
    </w:p>
    <w:tbl>
      <w:tblPr>
        <w:tblW w:w="8500" w:type="dxa"/>
        <w:jc w:val="center"/>
        <w:tblInd w:w="55" w:type="dxa"/>
        <w:tblCellMar>
          <w:left w:w="70" w:type="dxa"/>
          <w:right w:w="70" w:type="dxa"/>
        </w:tblCellMar>
        <w:tblLook w:val="04A0"/>
      </w:tblPr>
      <w:tblGrid>
        <w:gridCol w:w="1725"/>
        <w:gridCol w:w="1075"/>
        <w:gridCol w:w="620"/>
        <w:gridCol w:w="620"/>
        <w:gridCol w:w="620"/>
        <w:gridCol w:w="620"/>
        <w:gridCol w:w="620"/>
        <w:gridCol w:w="620"/>
        <w:gridCol w:w="620"/>
        <w:gridCol w:w="620"/>
        <w:gridCol w:w="740"/>
      </w:tblGrid>
      <w:tr w:rsidR="007143C5" w:rsidRPr="00D50AF8" w:rsidTr="000266C8">
        <w:trPr>
          <w:trHeight w:val="315"/>
          <w:jc w:val="center"/>
        </w:trPr>
        <w:tc>
          <w:tcPr>
            <w:tcW w:w="8500" w:type="dxa"/>
            <w:gridSpan w:val="11"/>
            <w:tcBorders>
              <w:top w:val="nil"/>
              <w:left w:val="nil"/>
              <w:bottom w:val="nil"/>
              <w:right w:val="nil"/>
            </w:tcBorders>
            <w:shd w:val="clear" w:color="000000" w:fill="FFFFFF"/>
            <w:hideMark/>
          </w:tcPr>
          <w:p w:rsidR="007143C5" w:rsidRPr="00D50AF8" w:rsidRDefault="007143C5" w:rsidP="000266C8">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 xml:space="preserve">Table </w:t>
            </w:r>
            <w:r w:rsidR="000266C8">
              <w:rPr>
                <w:rFonts w:ascii="Times New Roman" w:eastAsia="Times New Roman" w:hAnsi="Times New Roman" w:cs="Times New Roman"/>
                <w:b/>
                <w:bCs/>
                <w:color w:val="000000"/>
                <w:lang w:eastAsia="tr-TR"/>
              </w:rPr>
              <w:t>2</w:t>
            </w:r>
            <w:r w:rsidRPr="00D50AF8">
              <w:rPr>
                <w:rFonts w:ascii="Times New Roman" w:eastAsia="Times New Roman" w:hAnsi="Times New Roman" w:cs="Times New Roman"/>
                <w:b/>
                <w:bCs/>
                <w:color w:val="000000"/>
                <w:lang w:eastAsia="tr-TR"/>
              </w:rPr>
              <w:t>. Breakdown of FDI Inflows by sector in Turkey, $ Million,</w:t>
            </w:r>
          </w:p>
        </w:tc>
      </w:tr>
      <w:tr w:rsidR="007143C5" w:rsidRPr="00D50AF8" w:rsidTr="000266C8">
        <w:trPr>
          <w:trHeight w:val="330"/>
          <w:jc w:val="center"/>
        </w:trPr>
        <w:tc>
          <w:tcPr>
            <w:tcW w:w="8500" w:type="dxa"/>
            <w:gridSpan w:val="11"/>
            <w:tcBorders>
              <w:top w:val="nil"/>
              <w:left w:val="nil"/>
              <w:bottom w:val="single" w:sz="12" w:space="0" w:color="4F81BD"/>
              <w:right w:val="nil"/>
            </w:tcBorders>
            <w:shd w:val="clear" w:color="000000" w:fill="FFFFFF"/>
            <w:hideMark/>
          </w:tcPr>
          <w:p w:rsidR="007143C5" w:rsidRPr="00D50AF8" w:rsidRDefault="007143C5" w:rsidP="000266C8">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 xml:space="preserve"> Source: M</w:t>
            </w:r>
            <w:r w:rsidR="000266C8">
              <w:rPr>
                <w:rFonts w:ascii="Times New Roman" w:eastAsia="Times New Roman" w:hAnsi="Times New Roman" w:cs="Times New Roman"/>
                <w:b/>
                <w:bCs/>
                <w:color w:val="000000"/>
                <w:lang w:eastAsia="tr-TR"/>
              </w:rPr>
              <w:t xml:space="preserve">inistry of Economy, </w:t>
            </w:r>
            <w:r w:rsidRPr="00D50AF8">
              <w:rPr>
                <w:rFonts w:ascii="Times New Roman" w:eastAsia="Times New Roman" w:hAnsi="Times New Roman" w:cs="Times New Roman"/>
                <w:b/>
                <w:bCs/>
                <w:color w:val="000000"/>
                <w:lang w:eastAsia="tr-TR"/>
              </w:rPr>
              <w:t xml:space="preserve"> Turkey</w:t>
            </w:r>
          </w:p>
        </w:tc>
      </w:tr>
      <w:tr w:rsidR="007143C5" w:rsidRPr="00D50AF8" w:rsidTr="000266C8">
        <w:trPr>
          <w:trHeight w:val="585"/>
          <w:jc w:val="center"/>
        </w:trPr>
        <w:tc>
          <w:tcPr>
            <w:tcW w:w="1860" w:type="dxa"/>
            <w:tcBorders>
              <w:top w:val="nil"/>
              <w:left w:val="nil"/>
              <w:bottom w:val="nil"/>
              <w:right w:val="single" w:sz="8" w:space="0" w:color="4F81BD"/>
            </w:tcBorders>
            <w:shd w:val="clear" w:color="000000" w:fill="FFFFFF"/>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Sector /Year</w:t>
            </w:r>
          </w:p>
        </w:tc>
        <w:tc>
          <w:tcPr>
            <w:tcW w:w="136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2005-2009</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2010</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2011</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2012</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2013</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2014</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2015</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2016</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2017</w:t>
            </w:r>
          </w:p>
        </w:tc>
        <w:tc>
          <w:tcPr>
            <w:tcW w:w="640" w:type="dxa"/>
            <w:tcBorders>
              <w:top w:val="nil"/>
              <w:left w:val="nil"/>
              <w:bottom w:val="nil"/>
              <w:right w:val="single" w:sz="8" w:space="0" w:color="4F81BD"/>
            </w:tcBorders>
            <w:shd w:val="clear" w:color="000000" w:fill="D3DFEE"/>
            <w:hideMark/>
          </w:tcPr>
          <w:p w:rsidR="007143C5" w:rsidRPr="00D50AF8" w:rsidRDefault="007143C5" w:rsidP="007143C5">
            <w:pPr>
              <w:spacing w:after="0"/>
              <w:jc w:val="center"/>
              <w:rPr>
                <w:rFonts w:ascii="Times New Roman" w:eastAsia="Times New Roman" w:hAnsi="Times New Roman" w:cs="Times New Roman"/>
                <w:b/>
                <w:bCs/>
                <w:color w:val="000000"/>
                <w:lang w:eastAsia="tr-TR"/>
              </w:rPr>
            </w:pPr>
            <w:r w:rsidRPr="00D50AF8">
              <w:rPr>
                <w:rFonts w:ascii="Times New Roman" w:eastAsia="Times New Roman" w:hAnsi="Times New Roman" w:cs="Times New Roman"/>
                <w:b/>
                <w:bCs/>
                <w:color w:val="000000"/>
                <w:lang w:eastAsia="tr-TR"/>
              </w:rPr>
              <w:t>Total</w:t>
            </w:r>
          </w:p>
        </w:tc>
      </w:tr>
      <w:tr w:rsidR="007143C5" w:rsidRPr="00D50AF8" w:rsidTr="000266C8">
        <w:trPr>
          <w:trHeight w:val="300"/>
          <w:jc w:val="center"/>
        </w:trPr>
        <w:tc>
          <w:tcPr>
            <w:tcW w:w="1860" w:type="dxa"/>
            <w:tcBorders>
              <w:top w:val="nil"/>
              <w:left w:val="nil"/>
              <w:bottom w:val="nil"/>
              <w:right w:val="single" w:sz="8" w:space="0" w:color="4F81BD"/>
            </w:tcBorders>
            <w:shd w:val="clear" w:color="000000" w:fill="FFFFFF"/>
            <w:hideMark/>
          </w:tcPr>
          <w:p w:rsidR="007143C5" w:rsidRPr="00D50AF8" w:rsidRDefault="007143C5" w:rsidP="007143C5">
            <w:pPr>
              <w:spacing w:after="0"/>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 xml:space="preserve">Manufacturing </w:t>
            </w:r>
          </w:p>
        </w:tc>
        <w:tc>
          <w:tcPr>
            <w:tcW w:w="136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12309</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924</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3597</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4343</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2207</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2894</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4225</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2241</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1261</w:t>
            </w:r>
          </w:p>
        </w:tc>
        <w:tc>
          <w:tcPr>
            <w:tcW w:w="640" w:type="dxa"/>
            <w:tcBorders>
              <w:top w:val="nil"/>
              <w:left w:val="nil"/>
              <w:bottom w:val="nil"/>
              <w:right w:val="single" w:sz="8" w:space="0" w:color="4F81BD"/>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34001</w:t>
            </w:r>
          </w:p>
        </w:tc>
      </w:tr>
      <w:tr w:rsidR="007143C5" w:rsidRPr="00D50AF8" w:rsidTr="000266C8">
        <w:trPr>
          <w:trHeight w:val="300"/>
          <w:jc w:val="center"/>
        </w:trPr>
        <w:tc>
          <w:tcPr>
            <w:tcW w:w="1860" w:type="dxa"/>
            <w:tcBorders>
              <w:top w:val="nil"/>
              <w:left w:val="nil"/>
              <w:bottom w:val="nil"/>
              <w:right w:val="single" w:sz="8" w:space="0" w:color="4F81BD"/>
            </w:tcBorders>
            <w:shd w:val="clear" w:color="000000" w:fill="FFFFFF"/>
            <w:hideMark/>
          </w:tcPr>
          <w:p w:rsidR="007143C5" w:rsidRPr="00D50AF8" w:rsidRDefault="007143C5" w:rsidP="007143C5">
            <w:pPr>
              <w:spacing w:after="0"/>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 xml:space="preserve">Financial Serv. </w:t>
            </w:r>
          </w:p>
        </w:tc>
        <w:tc>
          <w:tcPr>
            <w:tcW w:w="136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29480</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1621</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5883</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2084</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3415</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1535</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3516</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1766</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1452</w:t>
            </w:r>
          </w:p>
        </w:tc>
        <w:tc>
          <w:tcPr>
            <w:tcW w:w="640" w:type="dxa"/>
            <w:tcBorders>
              <w:top w:val="nil"/>
              <w:left w:val="nil"/>
              <w:bottom w:val="nil"/>
              <w:right w:val="single" w:sz="8" w:space="0" w:color="4F81BD"/>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50752</w:t>
            </w:r>
          </w:p>
        </w:tc>
      </w:tr>
      <w:tr w:rsidR="007143C5" w:rsidRPr="00D50AF8" w:rsidTr="000266C8">
        <w:trPr>
          <w:trHeight w:val="300"/>
          <w:jc w:val="center"/>
        </w:trPr>
        <w:tc>
          <w:tcPr>
            <w:tcW w:w="1860" w:type="dxa"/>
            <w:tcBorders>
              <w:top w:val="nil"/>
              <w:left w:val="nil"/>
              <w:bottom w:val="nil"/>
              <w:right w:val="single" w:sz="8" w:space="0" w:color="4F81BD"/>
            </w:tcBorders>
            <w:shd w:val="clear" w:color="000000" w:fill="FFFFFF"/>
            <w:hideMark/>
          </w:tcPr>
          <w:p w:rsidR="007143C5" w:rsidRPr="00D50AF8" w:rsidRDefault="007143C5" w:rsidP="007143C5">
            <w:pPr>
              <w:spacing w:after="0"/>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 xml:space="preserve">Energy </w:t>
            </w:r>
          </w:p>
        </w:tc>
        <w:tc>
          <w:tcPr>
            <w:tcW w:w="136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4941</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1824</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4293</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924</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2334</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1322</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1340</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678</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943</w:t>
            </w:r>
          </w:p>
        </w:tc>
        <w:tc>
          <w:tcPr>
            <w:tcW w:w="640" w:type="dxa"/>
            <w:tcBorders>
              <w:top w:val="nil"/>
              <w:left w:val="nil"/>
              <w:bottom w:val="nil"/>
              <w:right w:val="single" w:sz="8" w:space="0" w:color="4F81BD"/>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18599</w:t>
            </w:r>
          </w:p>
        </w:tc>
      </w:tr>
      <w:tr w:rsidR="007143C5" w:rsidRPr="00D50AF8" w:rsidTr="000266C8">
        <w:trPr>
          <w:trHeight w:val="300"/>
          <w:jc w:val="center"/>
        </w:trPr>
        <w:tc>
          <w:tcPr>
            <w:tcW w:w="1860" w:type="dxa"/>
            <w:tcBorders>
              <w:top w:val="nil"/>
              <w:left w:val="nil"/>
              <w:bottom w:val="nil"/>
              <w:right w:val="single" w:sz="8" w:space="0" w:color="4F81BD"/>
            </w:tcBorders>
            <w:shd w:val="clear" w:color="000000" w:fill="FFFFFF"/>
            <w:hideMark/>
          </w:tcPr>
          <w:p w:rsidR="007143C5" w:rsidRPr="00D50AF8" w:rsidRDefault="007143C5" w:rsidP="007143C5">
            <w:pPr>
              <w:spacing w:after="0"/>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 xml:space="preserve">Wholesale &amp; Retail </w:t>
            </w:r>
          </w:p>
        </w:tc>
        <w:tc>
          <w:tcPr>
            <w:tcW w:w="136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3245</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435</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709</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221</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377</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1165</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598</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688</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591</w:t>
            </w:r>
          </w:p>
        </w:tc>
        <w:tc>
          <w:tcPr>
            <w:tcW w:w="640" w:type="dxa"/>
            <w:tcBorders>
              <w:top w:val="nil"/>
              <w:left w:val="nil"/>
              <w:bottom w:val="nil"/>
              <w:right w:val="single" w:sz="8" w:space="0" w:color="4F81BD"/>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8029</w:t>
            </w:r>
          </w:p>
        </w:tc>
      </w:tr>
      <w:tr w:rsidR="007143C5" w:rsidRPr="00D50AF8" w:rsidTr="000266C8">
        <w:trPr>
          <w:trHeight w:val="300"/>
          <w:jc w:val="center"/>
        </w:trPr>
        <w:tc>
          <w:tcPr>
            <w:tcW w:w="1860" w:type="dxa"/>
            <w:tcBorders>
              <w:top w:val="nil"/>
              <w:left w:val="nil"/>
              <w:bottom w:val="nil"/>
              <w:right w:val="single" w:sz="8" w:space="0" w:color="4F81BD"/>
            </w:tcBorders>
            <w:shd w:val="clear" w:color="000000" w:fill="FFFFFF"/>
            <w:hideMark/>
          </w:tcPr>
          <w:p w:rsidR="007143C5" w:rsidRPr="00D50AF8" w:rsidRDefault="007143C5" w:rsidP="007143C5">
            <w:pPr>
              <w:spacing w:after="0"/>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 xml:space="preserve">Mining </w:t>
            </w:r>
          </w:p>
        </w:tc>
        <w:tc>
          <w:tcPr>
            <w:tcW w:w="136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734</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136</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146</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213</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242</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449</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207</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148</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448</w:t>
            </w:r>
          </w:p>
        </w:tc>
        <w:tc>
          <w:tcPr>
            <w:tcW w:w="640" w:type="dxa"/>
            <w:tcBorders>
              <w:top w:val="nil"/>
              <w:left w:val="nil"/>
              <w:bottom w:val="nil"/>
              <w:right w:val="single" w:sz="8" w:space="0" w:color="4F81BD"/>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2723</w:t>
            </w:r>
          </w:p>
        </w:tc>
      </w:tr>
      <w:tr w:rsidR="007143C5" w:rsidRPr="00D50AF8" w:rsidTr="000266C8">
        <w:trPr>
          <w:trHeight w:val="300"/>
          <w:jc w:val="center"/>
        </w:trPr>
        <w:tc>
          <w:tcPr>
            <w:tcW w:w="1860" w:type="dxa"/>
            <w:tcBorders>
              <w:top w:val="nil"/>
              <w:left w:val="nil"/>
              <w:bottom w:val="nil"/>
              <w:right w:val="single" w:sz="8" w:space="0" w:color="4F81BD"/>
            </w:tcBorders>
            <w:shd w:val="clear" w:color="000000" w:fill="FFFFFF"/>
            <w:hideMark/>
          </w:tcPr>
          <w:p w:rsidR="007143C5" w:rsidRPr="00D50AF8" w:rsidRDefault="007143C5" w:rsidP="007143C5">
            <w:pPr>
              <w:spacing w:after="0"/>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 xml:space="preserve">Construction </w:t>
            </w:r>
          </w:p>
        </w:tc>
        <w:tc>
          <w:tcPr>
            <w:tcW w:w="136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1129</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310</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301</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1427</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178</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232</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106</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291</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627</w:t>
            </w:r>
          </w:p>
        </w:tc>
        <w:tc>
          <w:tcPr>
            <w:tcW w:w="640" w:type="dxa"/>
            <w:tcBorders>
              <w:top w:val="nil"/>
              <w:left w:val="nil"/>
              <w:bottom w:val="nil"/>
              <w:right w:val="single" w:sz="8" w:space="0" w:color="4F81BD"/>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4601</w:t>
            </w:r>
          </w:p>
        </w:tc>
      </w:tr>
      <w:tr w:rsidR="007143C5" w:rsidRPr="00D50AF8" w:rsidTr="000266C8">
        <w:trPr>
          <w:trHeight w:val="300"/>
          <w:jc w:val="center"/>
        </w:trPr>
        <w:tc>
          <w:tcPr>
            <w:tcW w:w="1860" w:type="dxa"/>
            <w:tcBorders>
              <w:top w:val="nil"/>
              <w:left w:val="nil"/>
              <w:bottom w:val="nil"/>
              <w:right w:val="single" w:sz="8" w:space="0" w:color="4F81BD"/>
            </w:tcBorders>
            <w:shd w:val="clear" w:color="000000" w:fill="FFFFFF"/>
            <w:hideMark/>
          </w:tcPr>
          <w:p w:rsidR="007143C5" w:rsidRPr="00D50AF8" w:rsidRDefault="007143C5" w:rsidP="007143C5">
            <w:pPr>
              <w:spacing w:after="0"/>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 xml:space="preserve">Real Estate </w:t>
            </w:r>
          </w:p>
        </w:tc>
        <w:tc>
          <w:tcPr>
            <w:tcW w:w="136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1406</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241</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300</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173</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128</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252</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171</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283</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31</w:t>
            </w:r>
          </w:p>
        </w:tc>
        <w:tc>
          <w:tcPr>
            <w:tcW w:w="640" w:type="dxa"/>
            <w:tcBorders>
              <w:top w:val="nil"/>
              <w:left w:val="nil"/>
              <w:bottom w:val="nil"/>
              <w:right w:val="single" w:sz="8" w:space="0" w:color="4F81BD"/>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2985</w:t>
            </w:r>
          </w:p>
        </w:tc>
      </w:tr>
      <w:tr w:rsidR="007143C5" w:rsidRPr="00D50AF8" w:rsidTr="000266C8">
        <w:trPr>
          <w:trHeight w:val="360"/>
          <w:jc w:val="center"/>
        </w:trPr>
        <w:tc>
          <w:tcPr>
            <w:tcW w:w="1860" w:type="dxa"/>
            <w:tcBorders>
              <w:top w:val="nil"/>
              <w:left w:val="nil"/>
              <w:bottom w:val="nil"/>
              <w:right w:val="single" w:sz="8" w:space="0" w:color="4F81BD"/>
            </w:tcBorders>
            <w:shd w:val="clear" w:color="000000" w:fill="FFFFFF"/>
            <w:hideMark/>
          </w:tcPr>
          <w:p w:rsidR="007143C5" w:rsidRPr="00D50AF8" w:rsidRDefault="007143C5" w:rsidP="007143C5">
            <w:pPr>
              <w:spacing w:after="0"/>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 xml:space="preserve">Health &amp;Soc. Serv. </w:t>
            </w:r>
          </w:p>
        </w:tc>
        <w:tc>
          <w:tcPr>
            <w:tcW w:w="136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525</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112</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232</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546</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106</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204</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58</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274</w:t>
            </w:r>
          </w:p>
        </w:tc>
        <w:tc>
          <w:tcPr>
            <w:tcW w:w="58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62</w:t>
            </w:r>
          </w:p>
        </w:tc>
        <w:tc>
          <w:tcPr>
            <w:tcW w:w="640" w:type="dxa"/>
            <w:tcBorders>
              <w:top w:val="nil"/>
              <w:left w:val="nil"/>
              <w:bottom w:val="nil"/>
              <w:right w:val="single" w:sz="8" w:space="0" w:color="4F81BD"/>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2119</w:t>
            </w:r>
          </w:p>
        </w:tc>
      </w:tr>
      <w:tr w:rsidR="007143C5" w:rsidRPr="00D50AF8" w:rsidTr="000266C8">
        <w:trPr>
          <w:trHeight w:val="300"/>
          <w:jc w:val="center"/>
        </w:trPr>
        <w:tc>
          <w:tcPr>
            <w:tcW w:w="1860" w:type="dxa"/>
            <w:tcBorders>
              <w:top w:val="nil"/>
              <w:left w:val="nil"/>
              <w:bottom w:val="nil"/>
              <w:right w:val="single" w:sz="8" w:space="0" w:color="4F81BD"/>
            </w:tcBorders>
            <w:shd w:val="clear" w:color="000000" w:fill="FFFFFF"/>
            <w:hideMark/>
          </w:tcPr>
          <w:p w:rsidR="007143C5" w:rsidRPr="00D50AF8" w:rsidRDefault="007143C5" w:rsidP="007143C5">
            <w:pPr>
              <w:spacing w:after="0"/>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 xml:space="preserve">Trans. &amp; Storage </w:t>
            </w:r>
          </w:p>
        </w:tc>
        <w:tc>
          <w:tcPr>
            <w:tcW w:w="1360" w:type="dxa"/>
            <w:tcBorders>
              <w:top w:val="nil"/>
              <w:left w:val="nil"/>
              <w:bottom w:val="nil"/>
              <w:right w:val="nil"/>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1479</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183</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222</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130</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300</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594</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1524</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635</w:t>
            </w:r>
          </w:p>
        </w:tc>
        <w:tc>
          <w:tcPr>
            <w:tcW w:w="580" w:type="dxa"/>
            <w:tcBorders>
              <w:top w:val="nil"/>
              <w:left w:val="nil"/>
              <w:bottom w:val="nil"/>
              <w:right w:val="nil"/>
            </w:tcBorders>
            <w:shd w:val="clear" w:color="000000" w:fill="D3DFEE"/>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1350</w:t>
            </w:r>
          </w:p>
        </w:tc>
        <w:tc>
          <w:tcPr>
            <w:tcW w:w="640" w:type="dxa"/>
            <w:tcBorders>
              <w:top w:val="nil"/>
              <w:left w:val="nil"/>
              <w:bottom w:val="nil"/>
              <w:right w:val="single" w:sz="8" w:space="0" w:color="4F81BD"/>
            </w:tcBorders>
            <w:shd w:val="clear" w:color="auto" w:fill="auto"/>
            <w:hideMark/>
          </w:tcPr>
          <w:p w:rsidR="007143C5" w:rsidRPr="00D50AF8" w:rsidRDefault="007143C5" w:rsidP="007143C5">
            <w:pPr>
              <w:spacing w:after="0"/>
              <w:jc w:val="center"/>
              <w:rPr>
                <w:rFonts w:ascii="Times New Roman" w:eastAsia="Times New Roman" w:hAnsi="Times New Roman" w:cs="Times New Roman"/>
                <w:color w:val="000000"/>
                <w:lang w:eastAsia="tr-TR"/>
              </w:rPr>
            </w:pPr>
            <w:r w:rsidRPr="00D50AF8">
              <w:rPr>
                <w:rFonts w:ascii="Times New Roman" w:eastAsia="Times New Roman" w:hAnsi="Times New Roman" w:cs="Times New Roman"/>
                <w:color w:val="000000"/>
                <w:lang w:eastAsia="tr-TR"/>
              </w:rPr>
              <w:t>6417</w:t>
            </w:r>
          </w:p>
        </w:tc>
      </w:tr>
    </w:tbl>
    <w:p w:rsidR="0017272C" w:rsidRPr="00D50AF8" w:rsidRDefault="0017272C" w:rsidP="00A4702A">
      <w:pPr>
        <w:pStyle w:val="BodyText"/>
        <w:jc w:val="both"/>
        <w:rPr>
          <w:rFonts w:ascii="Times New Roman" w:hAnsi="Times New Roman" w:cs="Times New Roman"/>
        </w:rPr>
      </w:pPr>
    </w:p>
    <w:p w:rsidR="0017272C" w:rsidRPr="00D50AF8" w:rsidRDefault="00C9744C" w:rsidP="009969C9">
      <w:pPr>
        <w:pStyle w:val="FirstParagraph"/>
        <w:jc w:val="both"/>
        <w:rPr>
          <w:rFonts w:ascii="Times New Roman" w:hAnsi="Times New Roman" w:cs="Times New Roman"/>
        </w:rPr>
      </w:pPr>
      <w:r w:rsidRPr="00D50AF8">
        <w:rPr>
          <w:rFonts w:ascii="Times New Roman" w:hAnsi="Times New Roman" w:cs="Times New Roman"/>
        </w:rPr>
        <w:lastRenderedPageBreak/>
        <w:t xml:space="preserve">As indicated earlier, growing energy demand in Turkey is directly linked to its economic performance reflected in higher economic growth. The energy use (kg of oil equivalent per capita) has increased more than 50%, on the other hand </w:t>
      </w:r>
      <w:r w:rsidR="00373453" w:rsidRPr="00D50AF8">
        <w:rPr>
          <w:rFonts w:ascii="Times New Roman" w:hAnsi="Times New Roman" w:cs="Times New Roman"/>
        </w:rPr>
        <w:t>electricity consumption (kWh per capita) has increased three-fold in the last two decades</w:t>
      </w:r>
      <w:r w:rsidR="000266C8">
        <w:rPr>
          <w:rFonts w:ascii="Times New Roman" w:hAnsi="Times New Roman" w:cs="Times New Roman"/>
        </w:rPr>
        <w:t xml:space="preserve">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"URL" : "http://databank.worldbank.org/", "accessed" : { "date-parts" : [ [ "2016", "1", "1" ] ] }, "author" : [ { "dropping-particle" : "", "family" : "World Bank", "given" : "", "non-dropping-particle" : "", "parse-names" : false, "suffix" : "" } ], "container-title" : "World Development Indicators", "id" : "ITEM-1", "issued" : { "date-parts" : [ [ "2016" ] ] }, "title" : "World Development Indicators", "type" : "webpage" }, "uris" : [ "http://www.mendeley.com/documents/?uuid=c88123c2-240b-4a4d-9846-053451c0d360" ] } ], "mendeley" : { "formattedCitation" : "(World Bank, 2016b)", "plainTextFormattedCitation" : "(World Bank, 2016b)", "previouslyFormattedCitation" : "(World Bank, 2016b)"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(World Bank, 2016b)</w:t>
      </w:r>
      <w:r w:rsidR="009F4D10" w:rsidRPr="00D50AF8">
        <w:rPr>
          <w:rFonts w:ascii="Times New Roman" w:hAnsi="Times New Roman" w:cs="Times New Roman"/>
        </w:rPr>
        <w:fldChar w:fldCharType="end"/>
      </w:r>
      <w:r w:rsidR="00373453" w:rsidRPr="00D50AF8">
        <w:rPr>
          <w:rFonts w:ascii="Times New Roman" w:hAnsi="Times New Roman" w:cs="Times New Roman"/>
        </w:rPr>
        <w:t xml:space="preserve">. </w:t>
      </w:r>
      <w:r w:rsidR="00374F51" w:rsidRPr="00D50AF8">
        <w:rPr>
          <w:rFonts w:ascii="Times New Roman" w:hAnsi="Times New Roman" w:cs="Times New Roman"/>
        </w:rPr>
        <w:t xml:space="preserve">Three key major sources of energy were </w:t>
      </w:r>
      <w:r w:rsidR="00373453" w:rsidRPr="00D50AF8">
        <w:rPr>
          <w:rFonts w:ascii="Times New Roman" w:hAnsi="Times New Roman" w:cs="Times New Roman"/>
        </w:rPr>
        <w:t xml:space="preserve">coal, oil and hydropower </w:t>
      </w:r>
      <w:r w:rsidR="00374F51" w:rsidRPr="00D50AF8">
        <w:rPr>
          <w:rFonts w:ascii="Times New Roman" w:hAnsi="Times New Roman" w:cs="Times New Roman"/>
        </w:rPr>
        <w:t>until late 1990s</w:t>
      </w:r>
      <w:r w:rsidR="000266C8">
        <w:rPr>
          <w:rFonts w:ascii="Times New Roman" w:hAnsi="Times New Roman" w:cs="Times New Roman"/>
        </w:rPr>
        <w:t xml:space="preserve">; </w:t>
      </w:r>
      <w:r w:rsidR="00373453" w:rsidRPr="00D50AF8">
        <w:rPr>
          <w:rFonts w:ascii="Times New Roman" w:hAnsi="Times New Roman" w:cs="Times New Roman"/>
        </w:rPr>
        <w:t xml:space="preserve">however, </w:t>
      </w:r>
      <w:r w:rsidR="00374F51" w:rsidRPr="00D50AF8">
        <w:rPr>
          <w:rFonts w:ascii="Times New Roman" w:hAnsi="Times New Roman" w:cs="Times New Roman"/>
        </w:rPr>
        <w:t xml:space="preserve">pertaining to higher utilization of gas in heating and electricity generation, </w:t>
      </w:r>
      <w:r w:rsidR="00373453" w:rsidRPr="00D50AF8">
        <w:rPr>
          <w:rFonts w:ascii="Times New Roman" w:hAnsi="Times New Roman" w:cs="Times New Roman"/>
        </w:rPr>
        <w:t xml:space="preserve">natural gas became </w:t>
      </w:r>
      <w:r w:rsidR="00374F51" w:rsidRPr="00D50AF8">
        <w:rPr>
          <w:rFonts w:ascii="Times New Roman" w:hAnsi="Times New Roman" w:cs="Times New Roman"/>
        </w:rPr>
        <w:t>one of the</w:t>
      </w:r>
      <w:r w:rsidR="00373453" w:rsidRPr="00D50AF8">
        <w:rPr>
          <w:rFonts w:ascii="Times New Roman" w:hAnsi="Times New Roman" w:cs="Times New Roman"/>
        </w:rPr>
        <w:t xml:space="preserve"> major source</w:t>
      </w:r>
      <w:r w:rsidR="00374F51" w:rsidRPr="00D50AF8">
        <w:rPr>
          <w:rFonts w:ascii="Times New Roman" w:hAnsi="Times New Roman" w:cs="Times New Roman"/>
        </w:rPr>
        <w:t>s</w:t>
      </w:r>
      <w:r w:rsidR="00373453" w:rsidRPr="00D50AF8">
        <w:rPr>
          <w:rFonts w:ascii="Times New Roman" w:hAnsi="Times New Roman" w:cs="Times New Roman"/>
        </w:rPr>
        <w:t xml:space="preserve"> for energy supply</w:t>
      </w:r>
      <w:r w:rsidR="00374F51" w:rsidRPr="00D50AF8">
        <w:rPr>
          <w:rFonts w:ascii="Times New Roman" w:hAnsi="Times New Roman" w:cs="Times New Roman"/>
        </w:rPr>
        <w:t xml:space="preserve"> in recent years. </w:t>
      </w:r>
      <w:r w:rsidR="0070619A" w:rsidRPr="00D50AF8">
        <w:rPr>
          <w:rFonts w:ascii="Times New Roman" w:hAnsi="Times New Roman" w:cs="Times New Roman"/>
          <w:iCs/>
        </w:rPr>
        <w:t xml:space="preserve">In the 1990s, </w:t>
      </w:r>
      <w:r w:rsidR="00373453" w:rsidRPr="00D50AF8">
        <w:rPr>
          <w:rFonts w:ascii="Times New Roman" w:hAnsi="Times New Roman" w:cs="Times New Roman"/>
        </w:rPr>
        <w:t xml:space="preserve">energy industry was </w:t>
      </w:r>
      <w:r w:rsidR="0070619A" w:rsidRPr="00D50AF8">
        <w:rPr>
          <w:rFonts w:ascii="Times New Roman" w:hAnsi="Times New Roman" w:cs="Times New Roman"/>
        </w:rPr>
        <w:t xml:space="preserve">heavily </w:t>
      </w:r>
      <w:r w:rsidR="00373453" w:rsidRPr="00D50AF8">
        <w:rPr>
          <w:rFonts w:ascii="Times New Roman" w:hAnsi="Times New Roman" w:cs="Times New Roman"/>
        </w:rPr>
        <w:t xml:space="preserve">controlled by the </w:t>
      </w:r>
      <w:r w:rsidR="0070619A" w:rsidRPr="00D50AF8">
        <w:rPr>
          <w:rFonts w:ascii="Times New Roman" w:hAnsi="Times New Roman" w:cs="Times New Roman"/>
        </w:rPr>
        <w:t>public sector</w:t>
      </w:r>
      <w:r w:rsidR="00373453" w:rsidRPr="00D50AF8">
        <w:rPr>
          <w:rFonts w:ascii="Times New Roman" w:hAnsi="Times New Roman" w:cs="Times New Roman"/>
        </w:rPr>
        <w:t>, and companies</w:t>
      </w:r>
      <w:r w:rsidR="0070619A" w:rsidRPr="00D50AF8">
        <w:rPr>
          <w:rFonts w:ascii="Times New Roman" w:hAnsi="Times New Roman" w:cs="Times New Roman"/>
        </w:rPr>
        <w:t xml:space="preserve"> in the energy sector</w:t>
      </w:r>
      <w:r w:rsidR="00373453" w:rsidRPr="00D50AF8">
        <w:rPr>
          <w:rFonts w:ascii="Times New Roman" w:hAnsi="Times New Roman" w:cs="Times New Roman"/>
        </w:rPr>
        <w:t xml:space="preserve"> were state-owned</w:t>
      </w:r>
      <w:r w:rsidR="0070619A" w:rsidRPr="00D50AF8">
        <w:rPr>
          <w:rFonts w:ascii="Times New Roman" w:hAnsi="Times New Roman" w:cs="Times New Roman"/>
        </w:rPr>
        <w:t xml:space="preserve">, with the </w:t>
      </w:r>
      <w:r w:rsidR="00373453" w:rsidRPr="00D50AF8">
        <w:rPr>
          <w:rFonts w:ascii="Times New Roman" w:hAnsi="Times New Roman" w:cs="Times New Roman"/>
        </w:rPr>
        <w:t xml:space="preserve">exception </w:t>
      </w:r>
      <w:r w:rsidR="0070619A" w:rsidRPr="00D50AF8">
        <w:rPr>
          <w:rFonts w:ascii="Times New Roman" w:hAnsi="Times New Roman" w:cs="Times New Roman"/>
        </w:rPr>
        <w:t xml:space="preserve">of </w:t>
      </w:r>
      <w:r w:rsidR="00373453" w:rsidRPr="00D50AF8">
        <w:rPr>
          <w:rFonts w:ascii="Times New Roman" w:hAnsi="Times New Roman" w:cs="Times New Roman"/>
        </w:rPr>
        <w:t xml:space="preserve">the petroleum industry in which </w:t>
      </w:r>
      <w:r w:rsidR="0070619A" w:rsidRPr="00D50AF8">
        <w:rPr>
          <w:rFonts w:ascii="Times New Roman" w:hAnsi="Times New Roman" w:cs="Times New Roman"/>
        </w:rPr>
        <w:t xml:space="preserve">its </w:t>
      </w:r>
      <w:r w:rsidR="00373453" w:rsidRPr="00D50AF8">
        <w:rPr>
          <w:rFonts w:ascii="Times New Roman" w:hAnsi="Times New Roman" w:cs="Times New Roman"/>
        </w:rPr>
        <w:t>distribution</w:t>
      </w:r>
      <w:r w:rsidR="0070619A" w:rsidRPr="00D50AF8">
        <w:rPr>
          <w:rFonts w:ascii="Times New Roman" w:hAnsi="Times New Roman" w:cs="Times New Roman"/>
        </w:rPr>
        <w:t xml:space="preserve"> by private companies was also permitted.</w:t>
      </w:r>
      <w:r w:rsidR="00373453" w:rsidRPr="00D50AF8">
        <w:rPr>
          <w:rFonts w:ascii="Times New Roman" w:hAnsi="Times New Roman" w:cs="Times New Roman"/>
        </w:rPr>
        <w:t xml:space="preserve"> However, </w:t>
      </w:r>
      <w:r w:rsidR="00BB599E" w:rsidRPr="00D50AF8">
        <w:rPr>
          <w:rFonts w:ascii="Times New Roman" w:hAnsi="Times New Roman" w:cs="Times New Roman"/>
        </w:rPr>
        <w:t>bulk of the distribution was managed by public enterprises,</w:t>
      </w:r>
      <w:r w:rsidR="0049343E" w:rsidRPr="00D50AF8">
        <w:rPr>
          <w:rFonts w:ascii="Times New Roman" w:hAnsi="Times New Roman" w:cs="Times New Roman"/>
        </w:rPr>
        <w:t xml:space="preserve"> </w:t>
      </w:r>
      <w:r w:rsidR="00373453" w:rsidRPr="00D50AF8">
        <w:rPr>
          <w:rFonts w:ascii="Times New Roman" w:hAnsi="Times New Roman" w:cs="Times New Roman"/>
        </w:rPr>
        <w:t xml:space="preserve">the largest fuel </w:t>
      </w:r>
      <w:r w:rsidR="000266C8">
        <w:rPr>
          <w:rFonts w:ascii="Times New Roman" w:hAnsi="Times New Roman" w:cs="Times New Roman"/>
        </w:rPr>
        <w:t>distribution company</w:t>
      </w:r>
      <w:r w:rsidR="00BB599E" w:rsidRPr="00D50AF8">
        <w:rPr>
          <w:rFonts w:ascii="Times New Roman" w:hAnsi="Times New Roman" w:cs="Times New Roman"/>
        </w:rPr>
        <w:t xml:space="preserve"> </w:t>
      </w:r>
      <w:r w:rsidR="00373453" w:rsidRPr="00D50AF8">
        <w:rPr>
          <w:rFonts w:ascii="Times New Roman" w:hAnsi="Times New Roman" w:cs="Times New Roman"/>
        </w:rPr>
        <w:t xml:space="preserve">(Petrol </w:t>
      </w:r>
      <w:proofErr w:type="spellStart"/>
      <w:r w:rsidR="00373453" w:rsidRPr="00D50AF8">
        <w:rPr>
          <w:rFonts w:ascii="Times New Roman" w:hAnsi="Times New Roman" w:cs="Times New Roman"/>
        </w:rPr>
        <w:t>Ofisi</w:t>
      </w:r>
      <w:proofErr w:type="spellEnd"/>
      <w:r w:rsidR="00373453" w:rsidRPr="00D50AF8">
        <w:rPr>
          <w:rFonts w:ascii="Times New Roman" w:hAnsi="Times New Roman" w:cs="Times New Roman"/>
        </w:rPr>
        <w:t xml:space="preserve">) and four of five refineries (TUPRAS) were also state-owned. </w:t>
      </w:r>
      <w:r w:rsidR="00BB599E" w:rsidRPr="00D50AF8">
        <w:rPr>
          <w:rFonts w:ascii="Times New Roman" w:hAnsi="Times New Roman" w:cs="Times New Roman"/>
        </w:rPr>
        <w:t xml:space="preserve">Similarly, </w:t>
      </w:r>
      <w:r w:rsidR="00373453" w:rsidRPr="00D50AF8">
        <w:rPr>
          <w:rFonts w:ascii="Times New Roman" w:hAnsi="Times New Roman" w:cs="Times New Roman"/>
        </w:rPr>
        <w:t xml:space="preserve">electricity generation, transmission and </w:t>
      </w:r>
      <w:r w:rsidR="00BB599E" w:rsidRPr="00D50AF8">
        <w:rPr>
          <w:rFonts w:ascii="Times New Roman" w:hAnsi="Times New Roman" w:cs="Times New Roman"/>
        </w:rPr>
        <w:t xml:space="preserve">its </w:t>
      </w:r>
      <w:r w:rsidR="00373453" w:rsidRPr="00D50AF8">
        <w:rPr>
          <w:rFonts w:ascii="Times New Roman" w:hAnsi="Times New Roman" w:cs="Times New Roman"/>
        </w:rPr>
        <w:t xml:space="preserve">distribution were </w:t>
      </w:r>
      <w:r w:rsidR="00BB599E" w:rsidRPr="00D50AF8">
        <w:rPr>
          <w:rFonts w:ascii="Times New Roman" w:hAnsi="Times New Roman" w:cs="Times New Roman"/>
        </w:rPr>
        <w:t xml:space="preserve">primarily managed </w:t>
      </w:r>
      <w:r w:rsidR="00373453" w:rsidRPr="00D50AF8">
        <w:rPr>
          <w:rFonts w:ascii="Times New Roman" w:hAnsi="Times New Roman" w:cs="Times New Roman"/>
        </w:rPr>
        <w:t xml:space="preserve">by state-owned </w:t>
      </w:r>
      <w:r w:rsidR="00BB599E" w:rsidRPr="00D50AF8">
        <w:rPr>
          <w:rFonts w:ascii="Times New Roman" w:hAnsi="Times New Roman" w:cs="Times New Roman"/>
        </w:rPr>
        <w:t xml:space="preserve">companies </w:t>
      </w:r>
      <w:r w:rsidR="00373453" w:rsidRPr="00D50AF8">
        <w:rPr>
          <w:rFonts w:ascii="Times New Roman" w:hAnsi="Times New Roman" w:cs="Times New Roman"/>
        </w:rPr>
        <w:t xml:space="preserve">and </w:t>
      </w:r>
      <w:r w:rsidR="00BB599E" w:rsidRPr="00D50AF8">
        <w:rPr>
          <w:rFonts w:ascii="Times New Roman" w:hAnsi="Times New Roman" w:cs="Times New Roman"/>
        </w:rPr>
        <w:t xml:space="preserve">they were </w:t>
      </w:r>
      <w:r w:rsidR="00373453" w:rsidRPr="00D50AF8">
        <w:rPr>
          <w:rFonts w:ascii="Times New Roman" w:hAnsi="Times New Roman" w:cs="Times New Roman"/>
        </w:rPr>
        <w:t xml:space="preserve">vertically integrated </w:t>
      </w:r>
      <w:r w:rsidR="00BB599E" w:rsidRPr="00D50AF8">
        <w:rPr>
          <w:rFonts w:ascii="Times New Roman" w:hAnsi="Times New Roman" w:cs="Times New Roman"/>
        </w:rPr>
        <w:t xml:space="preserve">with </w:t>
      </w:r>
      <w:r w:rsidR="00373453" w:rsidRPr="00D50AF8">
        <w:rPr>
          <w:rFonts w:ascii="Times New Roman" w:hAnsi="Times New Roman" w:cs="Times New Roman"/>
        </w:rPr>
        <w:t xml:space="preserve">Turkish Electricity Authority (TEK) founded in 1970. </w:t>
      </w:r>
      <w:r w:rsidR="005A1A66" w:rsidRPr="00D50AF8">
        <w:rPr>
          <w:rFonts w:ascii="Times New Roman" w:hAnsi="Times New Roman" w:cs="Times New Roman"/>
        </w:rPr>
        <w:t>The process of economic reforms, primarily motivate</w:t>
      </w:r>
      <w:r w:rsidR="000266C8">
        <w:rPr>
          <w:rFonts w:ascii="Times New Roman" w:hAnsi="Times New Roman" w:cs="Times New Roman"/>
        </w:rPr>
        <w:t>d</w:t>
      </w:r>
      <w:r w:rsidR="005A1A66" w:rsidRPr="00D50AF8">
        <w:rPr>
          <w:rFonts w:ascii="Times New Roman" w:hAnsi="Times New Roman" w:cs="Times New Roman"/>
        </w:rPr>
        <w:t xml:space="preserve"> to reduce budgetary deficits, led to developing </w:t>
      </w:r>
      <w:r w:rsidR="00373453" w:rsidRPr="00D50AF8">
        <w:rPr>
          <w:rFonts w:ascii="Times New Roman" w:hAnsi="Times New Roman" w:cs="Times New Roman"/>
        </w:rPr>
        <w:t>Built-Operate-Transfer (BOT) and Transfer-of-Operating Rights (</w:t>
      </w:r>
      <w:proofErr w:type="spellStart"/>
      <w:r w:rsidR="00373453" w:rsidRPr="00D50AF8">
        <w:rPr>
          <w:rFonts w:ascii="Times New Roman" w:hAnsi="Times New Roman" w:cs="Times New Roman"/>
        </w:rPr>
        <w:t>ToOR</w:t>
      </w:r>
      <w:proofErr w:type="spellEnd"/>
      <w:r w:rsidR="00373453" w:rsidRPr="00D50AF8">
        <w:rPr>
          <w:rFonts w:ascii="Times New Roman" w:hAnsi="Times New Roman" w:cs="Times New Roman"/>
        </w:rPr>
        <w:t>)</w:t>
      </w:r>
      <w:r w:rsidR="005A1A66" w:rsidRPr="00D50AF8">
        <w:rPr>
          <w:rFonts w:ascii="Times New Roman" w:hAnsi="Times New Roman" w:cs="Times New Roman"/>
        </w:rPr>
        <w:t xml:space="preserve">, in order to allow </w:t>
      </w:r>
      <w:r w:rsidR="00373453" w:rsidRPr="00D50AF8">
        <w:rPr>
          <w:rFonts w:ascii="Times New Roman" w:hAnsi="Times New Roman" w:cs="Times New Roman"/>
        </w:rPr>
        <w:t xml:space="preserve">private participation in generation investments. In 1993, TEK was </w:t>
      </w:r>
      <w:r w:rsidR="005A1A66" w:rsidRPr="00D50AF8">
        <w:rPr>
          <w:rFonts w:ascii="Times New Roman" w:hAnsi="Times New Roman" w:cs="Times New Roman"/>
        </w:rPr>
        <w:t xml:space="preserve">divided </w:t>
      </w:r>
      <w:r w:rsidR="00373453" w:rsidRPr="00D50AF8">
        <w:rPr>
          <w:rFonts w:ascii="Times New Roman" w:hAnsi="Times New Roman" w:cs="Times New Roman"/>
        </w:rPr>
        <w:t>into two state economic enterprises, Turkish Electricity Generation Transmission Co. (TEAS)</w:t>
      </w:r>
      <w:r w:rsidR="005A1A66" w:rsidRPr="00D50AF8">
        <w:rPr>
          <w:rFonts w:ascii="Times New Roman" w:hAnsi="Times New Roman" w:cs="Times New Roman"/>
        </w:rPr>
        <w:t xml:space="preserve">, </w:t>
      </w:r>
      <w:r w:rsidR="00373453" w:rsidRPr="00D50AF8">
        <w:rPr>
          <w:rFonts w:ascii="Times New Roman" w:hAnsi="Times New Roman" w:cs="Times New Roman"/>
        </w:rPr>
        <w:t>responsible for the generation and transmission</w:t>
      </w:r>
      <w:r w:rsidR="005A1A66" w:rsidRPr="00D50AF8">
        <w:rPr>
          <w:rFonts w:ascii="Times New Roman" w:hAnsi="Times New Roman" w:cs="Times New Roman"/>
        </w:rPr>
        <w:t>,</w:t>
      </w:r>
      <w:r w:rsidR="00373453" w:rsidRPr="00D50AF8">
        <w:rPr>
          <w:rFonts w:ascii="Times New Roman" w:hAnsi="Times New Roman" w:cs="Times New Roman"/>
        </w:rPr>
        <w:t xml:space="preserve"> and Turkish Electricity Distribution Co. (TEDAS)</w:t>
      </w:r>
      <w:r w:rsidR="005A1A66" w:rsidRPr="00D50AF8">
        <w:rPr>
          <w:rFonts w:ascii="Times New Roman" w:hAnsi="Times New Roman" w:cs="Times New Roman"/>
        </w:rPr>
        <w:t xml:space="preserve">, taking the responsibility of </w:t>
      </w:r>
      <w:r w:rsidR="00373453" w:rsidRPr="00D50AF8">
        <w:rPr>
          <w:rFonts w:ascii="Times New Roman" w:hAnsi="Times New Roman" w:cs="Times New Roman"/>
        </w:rPr>
        <w:t xml:space="preserve">distribution of electricity and electricity services </w:t>
      </w:r>
      <w:r w:rsidR="005A1A66" w:rsidRPr="00D50AF8">
        <w:rPr>
          <w:rFonts w:ascii="Times New Roman" w:hAnsi="Times New Roman" w:cs="Times New Roman"/>
        </w:rPr>
        <w:t xml:space="preserve">in </w:t>
      </w:r>
      <w:r w:rsidR="00373453" w:rsidRPr="00D50AF8">
        <w:rPr>
          <w:rFonts w:ascii="Times New Roman" w:hAnsi="Times New Roman" w:cs="Times New Roman"/>
        </w:rPr>
        <w:t xml:space="preserve">trade. </w:t>
      </w:r>
      <w:r w:rsidR="005A1A66" w:rsidRPr="00D50AF8">
        <w:rPr>
          <w:rFonts w:ascii="Times New Roman" w:hAnsi="Times New Roman" w:cs="Times New Roman"/>
        </w:rPr>
        <w:t xml:space="preserve">Further reforms </w:t>
      </w:r>
      <w:r w:rsidR="00373453" w:rsidRPr="00D50AF8">
        <w:rPr>
          <w:rFonts w:ascii="Times New Roman" w:hAnsi="Times New Roman" w:cs="Times New Roman"/>
        </w:rPr>
        <w:t>initiated after 200</w:t>
      </w:r>
      <w:r w:rsidR="009A030D" w:rsidRPr="00D50AF8">
        <w:rPr>
          <w:rFonts w:ascii="Times New Roman" w:hAnsi="Times New Roman" w:cs="Times New Roman"/>
        </w:rPr>
        <w:t>1 economic crisis</w:t>
      </w:r>
      <w:r w:rsidR="009969C9">
        <w:rPr>
          <w:rFonts w:ascii="Times New Roman" w:hAnsi="Times New Roman" w:cs="Times New Roman"/>
        </w:rPr>
        <w:t>,</w:t>
      </w:r>
      <w:r w:rsidR="004E5C53" w:rsidRPr="00D50AF8">
        <w:rPr>
          <w:rFonts w:ascii="Times New Roman" w:hAnsi="Times New Roman" w:cs="Times New Roman"/>
        </w:rPr>
        <w:t xml:space="preserve"> </w:t>
      </w:r>
      <w:r w:rsidR="009969C9">
        <w:rPr>
          <w:rFonts w:ascii="Times New Roman" w:hAnsi="Times New Roman" w:cs="Times New Roman"/>
        </w:rPr>
        <w:t xml:space="preserve">and as a requirement of </w:t>
      </w:r>
      <w:r w:rsidR="00F265D1" w:rsidRPr="00D50AF8">
        <w:rPr>
          <w:rFonts w:ascii="Times New Roman" w:hAnsi="Times New Roman" w:cs="Times New Roman"/>
        </w:rPr>
        <w:t>accession</w:t>
      </w:r>
      <w:r w:rsidR="009A030D" w:rsidRPr="00D50AF8">
        <w:rPr>
          <w:rFonts w:ascii="Times New Roman" w:hAnsi="Times New Roman" w:cs="Times New Roman"/>
        </w:rPr>
        <w:t xml:space="preserve"> negotiations</w:t>
      </w:r>
      <w:r w:rsidR="004E5C53" w:rsidRPr="00D50AF8">
        <w:rPr>
          <w:rFonts w:ascii="Times New Roman" w:hAnsi="Times New Roman" w:cs="Times New Roman"/>
        </w:rPr>
        <w:t xml:space="preserve"> with EU</w:t>
      </w:r>
      <w:r w:rsidR="00373453" w:rsidRPr="00D50AF8">
        <w:rPr>
          <w:rFonts w:ascii="Times New Roman" w:hAnsi="Times New Roman" w:cs="Times New Roman"/>
        </w:rPr>
        <w:t xml:space="preserve">, </w:t>
      </w:r>
      <w:r w:rsidR="004E5C53" w:rsidRPr="00D50AF8">
        <w:rPr>
          <w:rFonts w:ascii="Times New Roman" w:hAnsi="Times New Roman" w:cs="Times New Roman"/>
        </w:rPr>
        <w:t xml:space="preserve">a new </w:t>
      </w:r>
      <w:r w:rsidR="00373453" w:rsidRPr="00D50AF8">
        <w:rPr>
          <w:rFonts w:ascii="Times New Roman" w:hAnsi="Times New Roman" w:cs="Times New Roman"/>
        </w:rPr>
        <w:t>Electricity Market Law (EML) was enacted in 2001</w:t>
      </w:r>
      <w:r w:rsidR="004E5C53" w:rsidRPr="00D50AF8">
        <w:rPr>
          <w:rFonts w:ascii="Times New Roman" w:hAnsi="Times New Roman" w:cs="Times New Roman"/>
        </w:rPr>
        <w:t xml:space="preserve">, aiming to promote </w:t>
      </w:r>
      <w:r w:rsidR="00373453" w:rsidRPr="00D50AF8">
        <w:rPr>
          <w:rFonts w:ascii="Times New Roman" w:hAnsi="Times New Roman" w:cs="Times New Roman"/>
        </w:rPr>
        <w:t>competitive and liberalized e</w:t>
      </w:r>
      <w:r w:rsidR="009A030D" w:rsidRPr="00D50AF8">
        <w:rPr>
          <w:rFonts w:ascii="Times New Roman" w:hAnsi="Times New Roman" w:cs="Times New Roman"/>
        </w:rPr>
        <w:t xml:space="preserve">lectricity market. </w:t>
      </w:r>
      <w:r w:rsidR="004E5C53" w:rsidRPr="00D50AF8">
        <w:rPr>
          <w:rFonts w:ascii="Times New Roman" w:hAnsi="Times New Roman" w:cs="Times New Roman"/>
        </w:rPr>
        <w:t xml:space="preserve">This led a further division of </w:t>
      </w:r>
      <w:r w:rsidR="00373453" w:rsidRPr="00D50AF8">
        <w:rPr>
          <w:rFonts w:ascii="Times New Roman" w:hAnsi="Times New Roman" w:cs="Times New Roman"/>
        </w:rPr>
        <w:t xml:space="preserve">TEAS into three </w:t>
      </w:r>
      <w:r w:rsidR="00F265D1" w:rsidRPr="00D50AF8">
        <w:rPr>
          <w:rFonts w:ascii="Times New Roman" w:hAnsi="Times New Roman" w:cs="Times New Roman"/>
        </w:rPr>
        <w:t>separate</w:t>
      </w:r>
      <w:r w:rsidR="00373453" w:rsidRPr="00D50AF8">
        <w:rPr>
          <w:rFonts w:ascii="Times New Roman" w:hAnsi="Times New Roman" w:cs="Times New Roman"/>
        </w:rPr>
        <w:t xml:space="preserve"> economic enterprises, namely Turkish Electricity Transmission Co. (TEIAS), Electricity Generation Co. (EUAS) and Turkish Electricity Contracting and Trading Co. (TETAS). EML </w:t>
      </w:r>
      <w:r w:rsidR="004E5C53" w:rsidRPr="00D50AF8">
        <w:rPr>
          <w:rFonts w:ascii="Times New Roman" w:hAnsi="Times New Roman" w:cs="Times New Roman"/>
        </w:rPr>
        <w:t xml:space="preserve">was based </w:t>
      </w:r>
      <w:r w:rsidR="00373453" w:rsidRPr="00D50AF8">
        <w:rPr>
          <w:rFonts w:ascii="Times New Roman" w:hAnsi="Times New Roman" w:cs="Times New Roman"/>
        </w:rPr>
        <w:t>on bilateral contracts, power exchange, and regulated third-party access scheme</w:t>
      </w:r>
      <w:r w:rsidR="0049343E" w:rsidRPr="00D50AF8">
        <w:rPr>
          <w:rFonts w:ascii="Times New Roman" w:hAnsi="Times New Roman" w:cs="Times New Roman"/>
        </w:rPr>
        <w:t xml:space="preserve">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"author" : [ { "dropping-particle" : "", "family" : "TBMM", "given" : "", "non-dropping-particle" : "", "parse-names" : false, "suffix" : "" } ], "id" : "ITEM-1", "issued" : { "date-parts" : [ [ "2013" ] ] }, "publisher-place" : "Ankara", "title" : "Elektrik Piyasas\u0131 Kanunu", "type" : "bill" }, "uris" : [ "http://www.mendeley.com/documents/?uuid=5417fc52-6722-4bd6-a26f-aaa4190df50d" ] } ], "mendeley" : { "formattedCitation" : "(TBMM, 2013)", "plainTextFormattedCitation" : "(TBMM, 2013)", "previouslyFormattedCitation" : "(TBMM, 2013)"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(TBMM, 2013)</w:t>
      </w:r>
      <w:r w:rsidR="009F4D10" w:rsidRPr="00D50AF8">
        <w:rPr>
          <w:rFonts w:ascii="Times New Roman" w:hAnsi="Times New Roman" w:cs="Times New Roman"/>
        </w:rPr>
        <w:fldChar w:fldCharType="end"/>
      </w:r>
      <w:r w:rsidR="00373453" w:rsidRPr="00D50AF8">
        <w:rPr>
          <w:rFonts w:ascii="Times New Roman" w:hAnsi="Times New Roman" w:cs="Times New Roman"/>
        </w:rPr>
        <w:t xml:space="preserve">. </w:t>
      </w:r>
      <w:r w:rsidR="004E5C53" w:rsidRPr="00D50AF8">
        <w:rPr>
          <w:rFonts w:ascii="Times New Roman" w:hAnsi="Times New Roman" w:cs="Times New Roman"/>
        </w:rPr>
        <w:t xml:space="preserve">The new law permitted private companies to invest in electricity generation with the exclusion of </w:t>
      </w:r>
      <w:r w:rsidR="00373453" w:rsidRPr="00D50AF8">
        <w:rPr>
          <w:rFonts w:ascii="Times New Roman" w:hAnsi="Times New Roman" w:cs="Times New Roman"/>
        </w:rPr>
        <w:t>transmission</w:t>
      </w:r>
      <w:r w:rsidR="009A030D" w:rsidRPr="00D50AF8">
        <w:rPr>
          <w:rFonts w:ascii="Times New Roman" w:hAnsi="Times New Roman" w:cs="Times New Roman"/>
        </w:rPr>
        <w:t xml:space="preserve">. </w:t>
      </w:r>
      <w:r w:rsidR="00686374" w:rsidRPr="00D50AF8">
        <w:rPr>
          <w:rFonts w:ascii="Times New Roman" w:hAnsi="Times New Roman" w:cs="Times New Roman"/>
        </w:rPr>
        <w:t xml:space="preserve">In the process, </w:t>
      </w:r>
      <w:r w:rsidR="00373453" w:rsidRPr="00D50AF8">
        <w:rPr>
          <w:rFonts w:ascii="Times New Roman" w:hAnsi="Times New Roman" w:cs="Times New Roman"/>
        </w:rPr>
        <w:t xml:space="preserve">state-owned power plants (except for very large hydropower plants) and </w:t>
      </w:r>
      <w:r w:rsidR="00686374" w:rsidRPr="00D50AF8">
        <w:rPr>
          <w:rFonts w:ascii="Times New Roman" w:hAnsi="Times New Roman" w:cs="Times New Roman"/>
        </w:rPr>
        <w:t xml:space="preserve">its </w:t>
      </w:r>
      <w:r w:rsidR="00373453" w:rsidRPr="00D50AF8">
        <w:rPr>
          <w:rFonts w:ascii="Times New Roman" w:hAnsi="Times New Roman" w:cs="Times New Roman"/>
        </w:rPr>
        <w:t xml:space="preserve">distribution </w:t>
      </w:r>
      <w:r w:rsidR="009A030D" w:rsidRPr="00D50AF8">
        <w:rPr>
          <w:rFonts w:ascii="Times New Roman" w:hAnsi="Times New Roman" w:cs="Times New Roman"/>
        </w:rPr>
        <w:t>were</w:t>
      </w:r>
      <w:r w:rsidR="0049343E" w:rsidRPr="00D50AF8">
        <w:rPr>
          <w:rFonts w:ascii="Times New Roman" w:hAnsi="Times New Roman" w:cs="Times New Roman"/>
        </w:rPr>
        <w:t xml:space="preserve"> </w:t>
      </w:r>
      <w:r w:rsidR="00686374" w:rsidRPr="00D50AF8">
        <w:rPr>
          <w:rFonts w:ascii="Times New Roman" w:hAnsi="Times New Roman" w:cs="Times New Roman"/>
        </w:rPr>
        <w:t xml:space="preserve">also </w:t>
      </w:r>
      <w:r w:rsidR="00373453" w:rsidRPr="00D50AF8">
        <w:rPr>
          <w:rFonts w:ascii="Times New Roman" w:hAnsi="Times New Roman" w:cs="Times New Roman"/>
        </w:rPr>
        <w:t>privatized</w:t>
      </w:r>
      <w:r w:rsidR="00686374" w:rsidRPr="00D50AF8">
        <w:rPr>
          <w:rFonts w:ascii="Times New Roman" w:hAnsi="Times New Roman" w:cs="Times New Roman"/>
        </w:rPr>
        <w:t xml:space="preserve">, aiming to attract further </w:t>
      </w:r>
      <w:r w:rsidR="00373453" w:rsidRPr="00D50AF8">
        <w:rPr>
          <w:rFonts w:ascii="Times New Roman" w:hAnsi="Times New Roman" w:cs="Times New Roman"/>
        </w:rPr>
        <w:t xml:space="preserve">investment </w:t>
      </w:r>
      <w:r w:rsidR="00686374" w:rsidRPr="00D50AF8">
        <w:rPr>
          <w:rFonts w:ascii="Times New Roman" w:hAnsi="Times New Roman" w:cs="Times New Roman"/>
        </w:rPr>
        <w:t>into this sector.</w:t>
      </w:r>
      <w:r w:rsidR="009969C9">
        <w:rPr>
          <w:rFonts w:ascii="Times New Roman" w:hAnsi="Times New Roman" w:cs="Times New Roman"/>
        </w:rPr>
        <w:t xml:space="preserve"> </w:t>
      </w:r>
      <w:r w:rsidR="00686374" w:rsidRPr="00D50AF8">
        <w:rPr>
          <w:rFonts w:ascii="Times New Roman" w:hAnsi="Times New Roman" w:cs="Times New Roman"/>
        </w:rPr>
        <w:t xml:space="preserve">Similar reforms were made </w:t>
      </w:r>
      <w:r w:rsidR="009A030D" w:rsidRPr="00D50AF8">
        <w:rPr>
          <w:rFonts w:ascii="Times New Roman" w:hAnsi="Times New Roman" w:cs="Times New Roman"/>
        </w:rPr>
        <w:t xml:space="preserve">in </w:t>
      </w:r>
      <w:r w:rsidR="00686374" w:rsidRPr="00D50AF8">
        <w:rPr>
          <w:rFonts w:ascii="Times New Roman" w:hAnsi="Times New Roman" w:cs="Times New Roman"/>
        </w:rPr>
        <w:t xml:space="preserve">the </w:t>
      </w:r>
      <w:r w:rsidR="009A030D" w:rsidRPr="00D50AF8">
        <w:rPr>
          <w:rFonts w:ascii="Times New Roman" w:hAnsi="Times New Roman" w:cs="Times New Roman"/>
        </w:rPr>
        <w:t>natural gas sector</w:t>
      </w:r>
      <w:r w:rsidR="009969C9">
        <w:rPr>
          <w:rFonts w:ascii="Times New Roman" w:hAnsi="Times New Roman" w:cs="Times New Roman"/>
        </w:rPr>
        <w:t xml:space="preserve"> with</w:t>
      </w:r>
      <w:r w:rsidR="00686374" w:rsidRPr="00D50AF8">
        <w:rPr>
          <w:rFonts w:ascii="Times New Roman" w:hAnsi="Times New Roman" w:cs="Times New Roman"/>
        </w:rPr>
        <w:t xml:space="preserve"> the enactment of </w:t>
      </w:r>
      <w:r w:rsidR="00373453" w:rsidRPr="00D50AF8">
        <w:rPr>
          <w:rFonts w:ascii="Times New Roman" w:hAnsi="Times New Roman" w:cs="Times New Roman"/>
        </w:rPr>
        <w:t>Natural Gas Market Law (NGML) No.4646 in 2001</w:t>
      </w:r>
      <w:r w:rsidR="009969C9">
        <w:rPr>
          <w:rFonts w:ascii="Times New Roman" w:hAnsi="Times New Roman" w:cs="Times New Roman"/>
        </w:rPr>
        <w:t xml:space="preserve"> which</w:t>
      </w:r>
      <w:r w:rsidR="00373453" w:rsidRPr="00D50AF8">
        <w:rPr>
          <w:rFonts w:ascii="Times New Roman" w:hAnsi="Times New Roman" w:cs="Times New Roman"/>
        </w:rPr>
        <w:t xml:space="preserve"> </w:t>
      </w:r>
      <w:r w:rsidR="00686374" w:rsidRPr="00D50AF8">
        <w:rPr>
          <w:rFonts w:ascii="Times New Roman" w:hAnsi="Times New Roman" w:cs="Times New Roman"/>
        </w:rPr>
        <w:t xml:space="preserve">facilitated in the development of </w:t>
      </w:r>
      <w:r w:rsidR="00373453" w:rsidRPr="00D50AF8">
        <w:rPr>
          <w:rFonts w:ascii="Times New Roman" w:hAnsi="Times New Roman" w:cs="Times New Roman"/>
        </w:rPr>
        <w:t xml:space="preserve">a competitive and liberalized </w:t>
      </w:r>
      <w:r w:rsidR="00686374" w:rsidRPr="00D50AF8">
        <w:rPr>
          <w:rFonts w:ascii="Times New Roman" w:hAnsi="Times New Roman" w:cs="Times New Roman"/>
        </w:rPr>
        <w:t xml:space="preserve">market of </w:t>
      </w:r>
      <w:r w:rsidR="00373453" w:rsidRPr="00D50AF8">
        <w:rPr>
          <w:rFonts w:ascii="Times New Roman" w:hAnsi="Times New Roman" w:cs="Times New Roman"/>
        </w:rPr>
        <w:t>natural gas. NGML also aim</w:t>
      </w:r>
      <w:r w:rsidR="00686374" w:rsidRPr="00D50AF8">
        <w:rPr>
          <w:rFonts w:ascii="Times New Roman" w:hAnsi="Times New Roman" w:cs="Times New Roman"/>
        </w:rPr>
        <w:t xml:space="preserve">ed to bring </w:t>
      </w:r>
      <w:r w:rsidR="00373453" w:rsidRPr="00D50AF8">
        <w:rPr>
          <w:rFonts w:ascii="Times New Roman" w:hAnsi="Times New Roman" w:cs="Times New Roman"/>
        </w:rPr>
        <w:t>financial</w:t>
      </w:r>
      <w:r w:rsidR="009969C9">
        <w:rPr>
          <w:rFonts w:ascii="Times New Roman" w:hAnsi="Times New Roman" w:cs="Times New Roman"/>
        </w:rPr>
        <w:t xml:space="preserve"> </w:t>
      </w:r>
      <w:r w:rsidR="00686374" w:rsidRPr="00D50AF8">
        <w:rPr>
          <w:rFonts w:ascii="Times New Roman" w:hAnsi="Times New Roman" w:cs="Times New Roman"/>
        </w:rPr>
        <w:t>stability</w:t>
      </w:r>
      <w:r w:rsidR="00373453" w:rsidRPr="00D50AF8">
        <w:rPr>
          <w:rFonts w:ascii="Times New Roman" w:hAnsi="Times New Roman" w:cs="Times New Roman"/>
        </w:rPr>
        <w:t xml:space="preserve">, </w:t>
      </w:r>
      <w:r w:rsidR="00EB0A9D" w:rsidRPr="00D50AF8">
        <w:rPr>
          <w:rFonts w:ascii="Times New Roman" w:hAnsi="Times New Roman" w:cs="Times New Roman"/>
        </w:rPr>
        <w:t xml:space="preserve">a </w:t>
      </w:r>
      <w:r w:rsidR="00373453" w:rsidRPr="00D50AF8">
        <w:rPr>
          <w:rFonts w:ascii="Times New Roman" w:hAnsi="Times New Roman" w:cs="Times New Roman"/>
        </w:rPr>
        <w:t>transparent natural gas market</w:t>
      </w:r>
      <w:r w:rsidR="00EB0A9D" w:rsidRPr="00D50AF8">
        <w:rPr>
          <w:rFonts w:ascii="Times New Roman" w:hAnsi="Times New Roman" w:cs="Times New Roman"/>
        </w:rPr>
        <w:t xml:space="preserve"> to cater consumers demand of </w:t>
      </w:r>
      <w:r w:rsidR="00373453" w:rsidRPr="00D50AF8">
        <w:rPr>
          <w:rFonts w:ascii="Times New Roman" w:hAnsi="Times New Roman" w:cs="Times New Roman"/>
        </w:rPr>
        <w:t xml:space="preserve">natural gas </w:t>
      </w:r>
      <w:r w:rsidR="00EB0A9D" w:rsidRPr="00D50AF8">
        <w:rPr>
          <w:rFonts w:ascii="Times New Roman" w:hAnsi="Times New Roman" w:cs="Times New Roman"/>
        </w:rPr>
        <w:t xml:space="preserve">and ensuring supply </w:t>
      </w:r>
      <w:r w:rsidR="00373453" w:rsidRPr="00D50AF8">
        <w:rPr>
          <w:rFonts w:ascii="Times New Roman" w:hAnsi="Times New Roman" w:cs="Times New Roman"/>
        </w:rPr>
        <w:t xml:space="preserve">at competitive prices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"author" : [ { "dropping-particle" : "", "family" : "EPDK", "given" : "", "non-dropping-particle" : "", "parse-names" : false, "suffix" : "" } ], "id" : "ITEM-1", "issued" : { "date-parts" : [ [ "2001" ] ] }, "publisher-place" : "Ankara", "title" : "Dogal Gaz Piyasas\u0131 Kanunu", "type" : "bill" }, "uris" : [ "http://www.mendeley.com/documents/?uuid=6e66b636-6f0b-4809-8174-4f7e1625f14f", "http://www.mendeley.com/documents/?uuid=8f38110c-838c-4816-a196-446070d42117" ] } ], "mendeley" : { "formattedCitation" : "(EPDK, 2001)", "plainTextFormattedCitation" : "(EPDK, 2001)", "previouslyFormattedCitation" : "(EPDK, 2001)"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(EPDK, 2001)</w:t>
      </w:r>
      <w:r w:rsidR="009F4D10" w:rsidRPr="00D50AF8">
        <w:rPr>
          <w:rFonts w:ascii="Times New Roman" w:hAnsi="Times New Roman" w:cs="Times New Roman"/>
        </w:rPr>
        <w:fldChar w:fldCharType="end"/>
      </w:r>
      <w:r w:rsidR="00A23D2E" w:rsidRPr="00D50AF8">
        <w:rPr>
          <w:rFonts w:ascii="Times New Roman" w:hAnsi="Times New Roman" w:cs="Times New Roman"/>
        </w:rPr>
        <w:t xml:space="preserve">. </w:t>
      </w:r>
      <w:r w:rsidR="009A030D" w:rsidRPr="00D50AF8">
        <w:rPr>
          <w:rFonts w:ascii="Times New Roman" w:hAnsi="Times New Roman" w:cs="Times New Roman"/>
        </w:rPr>
        <w:t>Petroleum Pipeline Corporat</w:t>
      </w:r>
      <w:r w:rsidR="00CF70C5" w:rsidRPr="00D50AF8">
        <w:rPr>
          <w:rFonts w:ascii="Times New Roman" w:hAnsi="Times New Roman" w:cs="Times New Roman"/>
        </w:rPr>
        <w:t>ion (BOTAS)</w:t>
      </w:r>
      <w:r w:rsidR="00373453" w:rsidRPr="00D50AF8">
        <w:rPr>
          <w:rFonts w:ascii="Times New Roman" w:hAnsi="Times New Roman" w:cs="Times New Roman"/>
        </w:rPr>
        <w:t xml:space="preserve"> was </w:t>
      </w:r>
      <w:r w:rsidR="00EB0A9D" w:rsidRPr="00D50AF8">
        <w:rPr>
          <w:rFonts w:ascii="Times New Roman" w:hAnsi="Times New Roman" w:cs="Times New Roman"/>
        </w:rPr>
        <w:t>reorganized</w:t>
      </w:r>
      <w:r w:rsidR="0049343E" w:rsidRPr="00D50AF8">
        <w:rPr>
          <w:rFonts w:ascii="Times New Roman" w:hAnsi="Times New Roman" w:cs="Times New Roman"/>
        </w:rPr>
        <w:t xml:space="preserve"> </w:t>
      </w:r>
      <w:r w:rsidR="00EB0A9D" w:rsidRPr="00D50AF8">
        <w:rPr>
          <w:rFonts w:ascii="Times New Roman" w:hAnsi="Times New Roman" w:cs="Times New Roman"/>
        </w:rPr>
        <w:t xml:space="preserve">and its monopoly over </w:t>
      </w:r>
      <w:r w:rsidR="00373453" w:rsidRPr="00D50AF8">
        <w:rPr>
          <w:rFonts w:ascii="Times New Roman" w:hAnsi="Times New Roman" w:cs="Times New Roman"/>
        </w:rPr>
        <w:t>gas import</w:t>
      </w:r>
      <w:r w:rsidR="00EB0A9D" w:rsidRPr="00D50AF8">
        <w:rPr>
          <w:rFonts w:ascii="Times New Roman" w:hAnsi="Times New Roman" w:cs="Times New Roman"/>
        </w:rPr>
        <w:t>s</w:t>
      </w:r>
      <w:r w:rsidR="00373453" w:rsidRPr="00D50AF8">
        <w:rPr>
          <w:rFonts w:ascii="Times New Roman" w:hAnsi="Times New Roman" w:cs="Times New Roman"/>
        </w:rPr>
        <w:t xml:space="preserve">, </w:t>
      </w:r>
      <w:r w:rsidR="00EB0A9D" w:rsidRPr="00D50AF8">
        <w:rPr>
          <w:rFonts w:ascii="Times New Roman" w:hAnsi="Times New Roman" w:cs="Times New Roman"/>
        </w:rPr>
        <w:t xml:space="preserve">its </w:t>
      </w:r>
      <w:r w:rsidR="00373453" w:rsidRPr="00D50AF8">
        <w:rPr>
          <w:rFonts w:ascii="Times New Roman" w:hAnsi="Times New Roman" w:cs="Times New Roman"/>
        </w:rPr>
        <w:t xml:space="preserve">transmission, sales and pricing </w:t>
      </w:r>
      <w:r w:rsidR="00EB0A9D" w:rsidRPr="00D50AF8">
        <w:rPr>
          <w:rFonts w:ascii="Times New Roman" w:hAnsi="Times New Roman" w:cs="Times New Roman"/>
        </w:rPr>
        <w:t>were removed</w:t>
      </w:r>
      <w:r w:rsidR="00373453" w:rsidRPr="00D50AF8">
        <w:rPr>
          <w:rFonts w:ascii="Times New Roman" w:hAnsi="Times New Roman" w:cs="Times New Roman"/>
        </w:rPr>
        <w:t>.</w:t>
      </w:r>
    </w:p>
    <w:p w:rsidR="009428C3" w:rsidRPr="00D50AF8" w:rsidRDefault="00BD13FF" w:rsidP="002E0035">
      <w:pPr>
        <w:pStyle w:val="BodyText"/>
        <w:jc w:val="both"/>
        <w:rPr>
          <w:rFonts w:ascii="Times New Roman" w:hAnsi="Times New Roman" w:cs="Times New Roman"/>
        </w:rPr>
      </w:pPr>
      <w:r w:rsidRPr="00D50AF8">
        <w:rPr>
          <w:rFonts w:ascii="Times New Roman" w:hAnsi="Times New Roman" w:cs="Times New Roman"/>
        </w:rPr>
        <w:t>The process of p</w:t>
      </w:r>
      <w:r w:rsidR="00373453" w:rsidRPr="00D50AF8">
        <w:rPr>
          <w:rFonts w:ascii="Times New Roman" w:hAnsi="Times New Roman" w:cs="Times New Roman"/>
        </w:rPr>
        <w:t xml:space="preserve">rivatization </w:t>
      </w:r>
      <w:r w:rsidRPr="00D50AF8">
        <w:rPr>
          <w:rFonts w:ascii="Times New Roman" w:hAnsi="Times New Roman" w:cs="Times New Roman"/>
        </w:rPr>
        <w:t xml:space="preserve">of energy sectors opened up new </w:t>
      </w:r>
      <w:r w:rsidR="00373453" w:rsidRPr="00D50AF8">
        <w:rPr>
          <w:rFonts w:ascii="Times New Roman" w:hAnsi="Times New Roman" w:cs="Times New Roman"/>
        </w:rPr>
        <w:t>investment opportunit</w:t>
      </w:r>
      <w:r w:rsidRPr="00D50AF8">
        <w:rPr>
          <w:rFonts w:ascii="Times New Roman" w:hAnsi="Times New Roman" w:cs="Times New Roman"/>
        </w:rPr>
        <w:t xml:space="preserve">ies </w:t>
      </w:r>
      <w:r w:rsidR="00373453" w:rsidRPr="00D50AF8">
        <w:rPr>
          <w:rFonts w:ascii="Times New Roman" w:hAnsi="Times New Roman" w:cs="Times New Roman"/>
        </w:rPr>
        <w:t>for foreign investors</w:t>
      </w:r>
      <w:r w:rsidRPr="00D50AF8">
        <w:rPr>
          <w:rFonts w:ascii="Times New Roman" w:hAnsi="Times New Roman" w:cs="Times New Roman"/>
        </w:rPr>
        <w:t>.</w:t>
      </w:r>
      <w:r w:rsidR="0049343E" w:rsidRPr="00D50AF8">
        <w:rPr>
          <w:rFonts w:ascii="Times New Roman" w:hAnsi="Times New Roman" w:cs="Times New Roman"/>
        </w:rPr>
        <w:t xml:space="preserve"> </w:t>
      </w:r>
      <w:r w:rsidRPr="00D50AF8">
        <w:rPr>
          <w:rFonts w:ascii="Times New Roman" w:hAnsi="Times New Roman" w:cs="Times New Roman"/>
        </w:rPr>
        <w:t xml:space="preserve">Gradually most of the stated-owned companies </w:t>
      </w:r>
      <w:r w:rsidR="00373453" w:rsidRPr="00D50AF8">
        <w:rPr>
          <w:rFonts w:ascii="Times New Roman" w:hAnsi="Times New Roman" w:cs="Times New Roman"/>
        </w:rPr>
        <w:t>over the years</w:t>
      </w:r>
      <w:r w:rsidRPr="00D50AF8">
        <w:rPr>
          <w:rFonts w:ascii="Times New Roman" w:hAnsi="Times New Roman" w:cs="Times New Roman"/>
        </w:rPr>
        <w:t xml:space="preserve"> have been bought by many </w:t>
      </w:r>
      <w:r w:rsidR="00373453" w:rsidRPr="00D50AF8">
        <w:rPr>
          <w:rFonts w:ascii="Times New Roman" w:hAnsi="Times New Roman" w:cs="Times New Roman"/>
        </w:rPr>
        <w:t>foreign companies</w:t>
      </w:r>
      <w:r w:rsidRPr="00D50AF8">
        <w:rPr>
          <w:rFonts w:ascii="Times New Roman" w:hAnsi="Times New Roman" w:cs="Times New Roman"/>
        </w:rPr>
        <w:t>,</w:t>
      </w:r>
      <w:r w:rsidR="0049343E" w:rsidRPr="00D50AF8">
        <w:rPr>
          <w:rFonts w:ascii="Times New Roman" w:hAnsi="Times New Roman" w:cs="Times New Roman"/>
        </w:rPr>
        <w:t xml:space="preserve"> </w:t>
      </w:r>
      <w:r w:rsidR="00373453" w:rsidRPr="00D50AF8">
        <w:rPr>
          <w:rFonts w:ascii="Times New Roman" w:hAnsi="Times New Roman" w:cs="Times New Roman"/>
        </w:rPr>
        <w:t xml:space="preserve">either directly or as joint-ventures. </w:t>
      </w:r>
      <w:proofErr w:type="spellStart"/>
      <w:r w:rsidR="00373453" w:rsidRPr="00D50AF8">
        <w:rPr>
          <w:rFonts w:ascii="Times New Roman" w:hAnsi="Times New Roman" w:cs="Times New Roman"/>
        </w:rPr>
        <w:t>Cukurova</w:t>
      </w:r>
      <w:proofErr w:type="spellEnd"/>
      <w:r w:rsidR="00373453" w:rsidRPr="00D50AF8">
        <w:rPr>
          <w:rFonts w:ascii="Times New Roman" w:hAnsi="Times New Roman" w:cs="Times New Roman"/>
        </w:rPr>
        <w:t xml:space="preserve"> and </w:t>
      </w:r>
      <w:proofErr w:type="spellStart"/>
      <w:r w:rsidR="00373453" w:rsidRPr="00D50AF8">
        <w:rPr>
          <w:rFonts w:ascii="Times New Roman" w:hAnsi="Times New Roman" w:cs="Times New Roman"/>
        </w:rPr>
        <w:t>Kepez</w:t>
      </w:r>
      <w:proofErr w:type="spellEnd"/>
      <w:r w:rsidR="00373453" w:rsidRPr="00D50AF8">
        <w:rPr>
          <w:rFonts w:ascii="Times New Roman" w:hAnsi="Times New Roman" w:cs="Times New Roman"/>
        </w:rPr>
        <w:t xml:space="preserve"> (two electric utilities) were </w:t>
      </w:r>
      <w:r w:rsidRPr="00D50AF8">
        <w:rPr>
          <w:rFonts w:ascii="Times New Roman" w:hAnsi="Times New Roman" w:cs="Times New Roman"/>
        </w:rPr>
        <w:t xml:space="preserve">bought by </w:t>
      </w:r>
      <w:proofErr w:type="spellStart"/>
      <w:r w:rsidR="00373453" w:rsidRPr="00D50AF8">
        <w:rPr>
          <w:rFonts w:ascii="Times New Roman" w:hAnsi="Times New Roman" w:cs="Times New Roman"/>
        </w:rPr>
        <w:t>Rumeli</w:t>
      </w:r>
      <w:proofErr w:type="spellEnd"/>
      <w:r w:rsidR="0049343E" w:rsidRPr="00D50AF8">
        <w:rPr>
          <w:rFonts w:ascii="Times New Roman" w:hAnsi="Times New Roman" w:cs="Times New Roman"/>
        </w:rPr>
        <w:t xml:space="preserve"> </w:t>
      </w:r>
      <w:proofErr w:type="spellStart"/>
      <w:r w:rsidR="00373453" w:rsidRPr="00D50AF8">
        <w:rPr>
          <w:rFonts w:ascii="Times New Roman" w:hAnsi="Times New Roman" w:cs="Times New Roman"/>
        </w:rPr>
        <w:t>Elektrik</w:t>
      </w:r>
      <w:proofErr w:type="spellEnd"/>
      <w:r w:rsidR="009969C9">
        <w:rPr>
          <w:rFonts w:ascii="Times New Roman" w:hAnsi="Times New Roman" w:cs="Times New Roman"/>
        </w:rPr>
        <w:t xml:space="preserve"> in 1990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"author" : [ { "dropping-particle" : "", "family" : "OIB", "given" : "", "non-dropping-particle" : "", "parse-names" : false, "suffix" : "" } ], "id" : "ITEM-1", "issued" : { "date-parts" : [ [ "2016" ] ] }, "title" : "Ozellestirme Uygulamalari", "type" : "webpage" }, "uris" : [ "http://www.mendeley.com/documents/?uuid=7df685bf-4755-4809-94df-b8b07663270f", "http://www.mendeley.com/documents/?uuid=23fb3e92-17cd-400d-9e26-5c96b92b2cf6" ] } ], "mendeley" : { "formattedCitation" : "(OIB, 2016)", "plainTextFormattedCitation" : "(OIB, 2016)", "previouslyFormattedCitation" : "(OIB, 2016)"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(OIB, 2016)</w:t>
      </w:r>
      <w:r w:rsidR="009F4D10" w:rsidRPr="00D50AF8">
        <w:rPr>
          <w:rFonts w:ascii="Times New Roman" w:hAnsi="Times New Roman" w:cs="Times New Roman"/>
        </w:rPr>
        <w:fldChar w:fldCharType="end"/>
      </w:r>
      <w:r w:rsidR="00373453" w:rsidRPr="00D50AF8">
        <w:rPr>
          <w:rFonts w:ascii="Times New Roman" w:hAnsi="Times New Roman" w:cs="Times New Roman"/>
        </w:rPr>
        <w:t xml:space="preserve">. In 1992, </w:t>
      </w:r>
      <w:proofErr w:type="spellStart"/>
      <w:r w:rsidR="00373453" w:rsidRPr="00D50AF8">
        <w:rPr>
          <w:rFonts w:ascii="Times New Roman" w:hAnsi="Times New Roman" w:cs="Times New Roman"/>
        </w:rPr>
        <w:t>Ipragaz</w:t>
      </w:r>
      <w:proofErr w:type="spellEnd"/>
      <w:r w:rsidR="00373453" w:rsidRPr="00D50AF8">
        <w:rPr>
          <w:rFonts w:ascii="Times New Roman" w:hAnsi="Times New Roman" w:cs="Times New Roman"/>
        </w:rPr>
        <w:t xml:space="preserve"> (LPG Company) was </w:t>
      </w:r>
      <w:r w:rsidRPr="00D50AF8">
        <w:rPr>
          <w:rFonts w:ascii="Times New Roman" w:hAnsi="Times New Roman" w:cs="Times New Roman"/>
        </w:rPr>
        <w:t xml:space="preserve">also </w:t>
      </w:r>
      <w:r w:rsidR="00373453" w:rsidRPr="00D50AF8">
        <w:rPr>
          <w:rFonts w:ascii="Times New Roman" w:hAnsi="Times New Roman" w:cs="Times New Roman"/>
        </w:rPr>
        <w:t xml:space="preserve">privatized, and </w:t>
      </w:r>
      <w:proofErr w:type="spellStart"/>
      <w:r w:rsidR="00373453" w:rsidRPr="00D50AF8">
        <w:rPr>
          <w:rFonts w:ascii="Times New Roman" w:hAnsi="Times New Roman" w:cs="Times New Roman"/>
        </w:rPr>
        <w:t>Primagaz</w:t>
      </w:r>
      <w:proofErr w:type="spellEnd"/>
      <w:r w:rsidR="0049343E" w:rsidRPr="00D50AF8">
        <w:rPr>
          <w:rFonts w:ascii="Times New Roman" w:hAnsi="Times New Roman" w:cs="Times New Roman"/>
        </w:rPr>
        <w:t xml:space="preserve"> </w:t>
      </w:r>
      <w:r w:rsidR="00373453" w:rsidRPr="00D50AF8">
        <w:rPr>
          <w:rFonts w:ascii="Times New Roman" w:hAnsi="Times New Roman" w:cs="Times New Roman"/>
        </w:rPr>
        <w:t>A.G</w:t>
      </w:r>
      <w:proofErr w:type="gramStart"/>
      <w:r w:rsidR="00373453" w:rsidRPr="00D50AF8">
        <w:rPr>
          <w:rFonts w:ascii="Times New Roman" w:hAnsi="Times New Roman" w:cs="Times New Roman"/>
        </w:rPr>
        <w:t>.(</w:t>
      </w:r>
      <w:proofErr w:type="gramEnd"/>
      <w:r w:rsidR="00373453" w:rsidRPr="00D50AF8">
        <w:rPr>
          <w:rFonts w:ascii="Times New Roman" w:hAnsi="Times New Roman" w:cs="Times New Roman"/>
        </w:rPr>
        <w:t xml:space="preserve">Dutch-French company) </w:t>
      </w:r>
      <w:r w:rsidRPr="00D50AF8">
        <w:rPr>
          <w:rFonts w:ascii="Times New Roman" w:hAnsi="Times New Roman" w:cs="Times New Roman"/>
        </w:rPr>
        <w:t xml:space="preserve">bought it </w:t>
      </w:r>
      <w:r w:rsidR="00373453" w:rsidRPr="00D50AF8">
        <w:rPr>
          <w:rFonts w:ascii="Times New Roman" w:hAnsi="Times New Roman" w:cs="Times New Roman"/>
        </w:rPr>
        <w:t xml:space="preserve">for $64 million. </w:t>
      </w:r>
      <w:r w:rsidRPr="00D50AF8">
        <w:rPr>
          <w:rFonts w:ascii="Times New Roman" w:hAnsi="Times New Roman" w:cs="Times New Roman"/>
        </w:rPr>
        <w:t xml:space="preserve">Furthermore, during early phase of these reforms in </w:t>
      </w:r>
      <w:r w:rsidR="00373453" w:rsidRPr="00D50AF8">
        <w:rPr>
          <w:rFonts w:ascii="Times New Roman" w:hAnsi="Times New Roman" w:cs="Times New Roman"/>
        </w:rPr>
        <w:t xml:space="preserve">the 1990s, </w:t>
      </w:r>
      <w:r w:rsidR="0083260B" w:rsidRPr="00D50AF8">
        <w:rPr>
          <w:rFonts w:ascii="Times New Roman" w:hAnsi="Times New Roman" w:cs="Times New Roman"/>
        </w:rPr>
        <w:t xml:space="preserve">shares of several public energy companies had been </w:t>
      </w:r>
      <w:r w:rsidR="0049343E" w:rsidRPr="00D50AF8">
        <w:rPr>
          <w:rFonts w:ascii="Times New Roman" w:hAnsi="Times New Roman" w:cs="Times New Roman"/>
        </w:rPr>
        <w:t>pr</w:t>
      </w:r>
      <w:r w:rsidR="009969C9">
        <w:rPr>
          <w:rFonts w:ascii="Times New Roman" w:hAnsi="Times New Roman" w:cs="Times New Roman"/>
        </w:rPr>
        <w:t>i</w:t>
      </w:r>
      <w:r w:rsidR="0049343E" w:rsidRPr="00D50AF8">
        <w:rPr>
          <w:rFonts w:ascii="Times New Roman" w:hAnsi="Times New Roman" w:cs="Times New Roman"/>
        </w:rPr>
        <w:t>vatized</w:t>
      </w:r>
      <w:r w:rsidR="00373453" w:rsidRPr="00D50AF8">
        <w:rPr>
          <w:rFonts w:ascii="Times New Roman" w:hAnsi="Times New Roman" w:cs="Times New Roman"/>
        </w:rPr>
        <w:t xml:space="preserve"> in </w:t>
      </w:r>
      <w:r w:rsidR="0083260B" w:rsidRPr="00D50AF8">
        <w:rPr>
          <w:rFonts w:ascii="Times New Roman" w:hAnsi="Times New Roman" w:cs="Times New Roman"/>
        </w:rPr>
        <w:t>lesser</w:t>
      </w:r>
      <w:r w:rsidR="0049343E" w:rsidRPr="00D50AF8">
        <w:rPr>
          <w:rFonts w:ascii="Times New Roman" w:hAnsi="Times New Roman" w:cs="Times New Roman"/>
        </w:rPr>
        <w:t xml:space="preserve"> </w:t>
      </w:r>
      <w:r w:rsidR="00373453" w:rsidRPr="00D50AF8">
        <w:rPr>
          <w:rFonts w:ascii="Times New Roman" w:hAnsi="Times New Roman" w:cs="Times New Roman"/>
        </w:rPr>
        <w:t xml:space="preserve">amounts </w:t>
      </w:r>
      <w:r w:rsidR="0083260B" w:rsidRPr="00D50AF8">
        <w:rPr>
          <w:rFonts w:ascii="Times New Roman" w:hAnsi="Times New Roman" w:cs="Times New Roman"/>
        </w:rPr>
        <w:t xml:space="preserve">through </w:t>
      </w:r>
      <w:r w:rsidR="00373453" w:rsidRPr="00D50AF8">
        <w:rPr>
          <w:rFonts w:ascii="Times New Roman" w:hAnsi="Times New Roman" w:cs="Times New Roman"/>
        </w:rPr>
        <w:t xml:space="preserve">public offerings (such as Petrol </w:t>
      </w:r>
      <w:proofErr w:type="spellStart"/>
      <w:r w:rsidR="00373453" w:rsidRPr="00D50AF8">
        <w:rPr>
          <w:rFonts w:ascii="Times New Roman" w:hAnsi="Times New Roman" w:cs="Times New Roman"/>
        </w:rPr>
        <w:t>Ofisi</w:t>
      </w:r>
      <w:proofErr w:type="spellEnd"/>
      <w:r w:rsidR="00373453" w:rsidRPr="00D50AF8">
        <w:rPr>
          <w:rFonts w:ascii="Times New Roman" w:hAnsi="Times New Roman" w:cs="Times New Roman"/>
        </w:rPr>
        <w:t xml:space="preserve">-TUPRAS in 1991). In the power distribution sector, a </w:t>
      </w:r>
      <w:r w:rsidR="00ED42AD" w:rsidRPr="00D50AF8">
        <w:rPr>
          <w:rFonts w:ascii="Times New Roman" w:hAnsi="Times New Roman" w:cs="Times New Roman"/>
        </w:rPr>
        <w:t xml:space="preserve">different model of </w:t>
      </w:r>
      <w:proofErr w:type="spellStart"/>
      <w:r w:rsidR="00373453" w:rsidRPr="00D50AF8">
        <w:rPr>
          <w:rFonts w:ascii="Times New Roman" w:hAnsi="Times New Roman" w:cs="Times New Roman"/>
        </w:rPr>
        <w:t>ToOR</w:t>
      </w:r>
      <w:proofErr w:type="spellEnd"/>
      <w:r w:rsidR="00373453" w:rsidRPr="00D50AF8">
        <w:rPr>
          <w:rFonts w:ascii="Times New Roman" w:hAnsi="Times New Roman" w:cs="Times New Roman"/>
        </w:rPr>
        <w:t xml:space="preserve">-backed share-sale model was </w:t>
      </w:r>
      <w:r w:rsidR="00ED42AD" w:rsidRPr="00D50AF8">
        <w:rPr>
          <w:rFonts w:ascii="Times New Roman" w:hAnsi="Times New Roman" w:cs="Times New Roman"/>
        </w:rPr>
        <w:t xml:space="preserve">employed to </w:t>
      </w:r>
      <w:r w:rsidR="00373453" w:rsidRPr="00D50AF8">
        <w:rPr>
          <w:rFonts w:ascii="Times New Roman" w:hAnsi="Times New Roman" w:cs="Times New Roman"/>
        </w:rPr>
        <w:t>privatiz</w:t>
      </w:r>
      <w:r w:rsidR="00ED42AD" w:rsidRPr="00D50AF8">
        <w:rPr>
          <w:rFonts w:ascii="Times New Roman" w:hAnsi="Times New Roman" w:cs="Times New Roman"/>
        </w:rPr>
        <w:t>e the sector</w:t>
      </w:r>
      <w:r w:rsidR="00373453" w:rsidRPr="00D50AF8">
        <w:rPr>
          <w:rFonts w:ascii="Times New Roman" w:hAnsi="Times New Roman" w:cs="Times New Roman"/>
        </w:rPr>
        <w:t xml:space="preserve">. </w:t>
      </w:r>
      <w:r w:rsidR="00ED42AD" w:rsidRPr="00D50AF8">
        <w:rPr>
          <w:rFonts w:ascii="Times New Roman" w:hAnsi="Times New Roman" w:cs="Times New Roman"/>
        </w:rPr>
        <w:t xml:space="preserve">In this model, </w:t>
      </w:r>
      <w:r w:rsidR="00373453" w:rsidRPr="00D50AF8">
        <w:rPr>
          <w:rFonts w:ascii="Times New Roman" w:hAnsi="Times New Roman" w:cs="Times New Roman"/>
        </w:rPr>
        <w:t xml:space="preserve">investor </w:t>
      </w:r>
      <w:r w:rsidR="00ED42AD" w:rsidRPr="00D50AF8">
        <w:rPr>
          <w:rFonts w:ascii="Times New Roman" w:hAnsi="Times New Roman" w:cs="Times New Roman"/>
        </w:rPr>
        <w:t xml:space="preserve">can own all the shares but it allowed </w:t>
      </w:r>
      <w:r w:rsidR="00373453" w:rsidRPr="00D50AF8">
        <w:rPr>
          <w:rFonts w:ascii="Times New Roman" w:hAnsi="Times New Roman" w:cs="Times New Roman"/>
        </w:rPr>
        <w:t xml:space="preserve">distribution assets </w:t>
      </w:r>
      <w:r w:rsidR="00ED42AD" w:rsidRPr="00D50AF8">
        <w:rPr>
          <w:rFonts w:ascii="Times New Roman" w:hAnsi="Times New Roman" w:cs="Times New Roman"/>
        </w:rPr>
        <w:t xml:space="preserve">to be </w:t>
      </w:r>
      <w:r w:rsidR="00373453" w:rsidRPr="00D50AF8">
        <w:rPr>
          <w:rFonts w:ascii="Times New Roman" w:hAnsi="Times New Roman" w:cs="Times New Roman"/>
        </w:rPr>
        <w:t xml:space="preserve">owned by Turkish Electricity Distribution Company. </w:t>
      </w:r>
      <w:r w:rsidR="00ED42AD" w:rsidRPr="00D50AF8">
        <w:rPr>
          <w:rFonts w:ascii="Times New Roman" w:hAnsi="Times New Roman" w:cs="Times New Roman"/>
        </w:rPr>
        <w:t>In this process, e</w:t>
      </w:r>
      <w:r w:rsidR="00373453" w:rsidRPr="00D50AF8">
        <w:rPr>
          <w:rFonts w:ascii="Times New Roman" w:hAnsi="Times New Roman" w:cs="Times New Roman"/>
        </w:rPr>
        <w:t>ighteen companies were privatized between 2009 and 2013</w:t>
      </w:r>
      <w:r w:rsidR="0049343E" w:rsidRPr="00D50AF8">
        <w:rPr>
          <w:rFonts w:ascii="Times New Roman" w:hAnsi="Times New Roman" w:cs="Times New Roman"/>
        </w:rPr>
        <w:t>.</w:t>
      </w:r>
    </w:p>
    <w:p w:rsidR="009428C3" w:rsidRPr="00D50AF8" w:rsidRDefault="009428C3" w:rsidP="002E0035">
      <w:pPr>
        <w:pStyle w:val="BodyText"/>
        <w:jc w:val="both"/>
        <w:rPr>
          <w:rFonts w:ascii="Times New Roman" w:hAnsi="Times New Roman" w:cs="Times New Roman"/>
        </w:rPr>
      </w:pPr>
      <w:r w:rsidRPr="00D50AF8">
        <w:rPr>
          <w:rFonts w:ascii="Times New Roman" w:hAnsi="Times New Roman" w:cs="Times New Roman"/>
        </w:rPr>
        <w:lastRenderedPageBreak/>
        <w:t>Figure shows FDI inflows to energy sector (FDI related to extraction of crude petroleum and natural gas; service activities incidental to oil and gas extraction and FDI inflows to electricity, natural gas and water sectors) in Turkey and average of selected OECD countries (Austria, Czech Republic, France, Germany, Mexico, Netherlands and Poland</w:t>
      </w:r>
      <w:r w:rsidR="008F1ED5" w:rsidRPr="00D50AF8">
        <w:rPr>
          <w:rFonts w:ascii="Times New Roman" w:hAnsi="Times New Roman" w:cs="Times New Roman"/>
        </w:rPr>
        <w:t>). Data is taken from OECD BMD3 Database which covers data between 1990 and 2013</w:t>
      </w:r>
      <w:r w:rsidR="008F1ED5" w:rsidRPr="00D50AF8">
        <w:rPr>
          <w:rStyle w:val="FootnoteReference"/>
          <w:rFonts w:ascii="Times New Roman" w:hAnsi="Times New Roman" w:cs="Times New Roman"/>
        </w:rPr>
        <w:footnoteReference w:id="1"/>
      </w:r>
      <w:r w:rsidR="008F1ED5" w:rsidRPr="00D50AF8">
        <w:rPr>
          <w:rFonts w:ascii="Times New Roman" w:hAnsi="Times New Roman" w:cs="Times New Roman"/>
        </w:rPr>
        <w:t xml:space="preserve">. As seen from the figure, FDI inflows to Turkish energy sector followed a similar pattern with the average, but lags behind two or three years. </w:t>
      </w:r>
      <w:r w:rsidR="00051BE9" w:rsidRPr="00D50AF8">
        <w:rPr>
          <w:rFonts w:ascii="Times New Roman" w:hAnsi="Times New Roman" w:cs="Times New Roman"/>
        </w:rPr>
        <w:t>Recent surge in Turkish FDI is mostly related with privatization and power generation investment related FDI mostly.</w:t>
      </w:r>
    </w:p>
    <w:p w:rsidR="009428C3" w:rsidRPr="00D50AF8" w:rsidRDefault="009428C3" w:rsidP="002E0035">
      <w:pPr>
        <w:pStyle w:val="BodyText"/>
        <w:jc w:val="both"/>
        <w:rPr>
          <w:rFonts w:ascii="Times New Roman" w:hAnsi="Times New Roman" w:cs="Times New Roman"/>
          <w:highlight w:val="yellow"/>
        </w:rPr>
      </w:pPr>
    </w:p>
    <w:p w:rsidR="009969C9" w:rsidRDefault="009428C3" w:rsidP="009969C9">
      <w:pPr>
        <w:pStyle w:val="BodyText"/>
        <w:keepNext/>
        <w:jc w:val="center"/>
      </w:pPr>
      <w:r w:rsidRPr="00D50AF8">
        <w:rPr>
          <w:rFonts w:ascii="Times New Roman" w:hAnsi="Times New Roman" w:cs="Times New Roman"/>
          <w:noProof/>
          <w:lang w:val="tr-TR" w:eastAsia="tr-TR"/>
        </w:rPr>
        <w:drawing>
          <wp:inline distT="0" distB="0" distL="0" distR="0">
            <wp:extent cx="5534025" cy="3019425"/>
            <wp:effectExtent l="19050" t="0" r="9525" b="0"/>
            <wp:docPr id="7"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28C3" w:rsidRPr="00D50AF8" w:rsidRDefault="009969C9" w:rsidP="009969C9">
      <w:pPr>
        <w:pStyle w:val="Caption"/>
        <w:jc w:val="center"/>
        <w:rPr>
          <w:rFonts w:ascii="Times New Roman" w:hAnsi="Times New Roman" w:cs="Times New Roman"/>
          <w:highlight w:val="yellow"/>
        </w:rPr>
      </w:pPr>
      <w:proofErr w:type="gramStart"/>
      <w:r>
        <w:t xml:space="preserve">Figure </w:t>
      </w:r>
      <w:fldSimple w:instr=" SEQ Figure \* ARABIC ">
        <w:r w:rsidR="009F1FDC">
          <w:rPr>
            <w:noProof/>
          </w:rPr>
          <w:t>3</w:t>
        </w:r>
      </w:fldSimple>
      <w:r>
        <w:t>.</w:t>
      </w:r>
      <w:proofErr w:type="gramEnd"/>
      <w:r>
        <w:t xml:space="preserve"> Energy FDI inflows to Turkey (</w:t>
      </w:r>
      <w:proofErr w:type="spellStart"/>
      <w:r>
        <w:t>Source</w:t>
      </w:r>
      <w:proofErr w:type="gramStart"/>
      <w:r>
        <w:t>:OECD</w:t>
      </w:r>
      <w:proofErr w:type="spellEnd"/>
      <w:proofErr w:type="gramEnd"/>
      <w:r>
        <w:t>)</w:t>
      </w:r>
    </w:p>
    <w:p w:rsidR="009428C3" w:rsidRPr="00D50AF8" w:rsidRDefault="009428C3" w:rsidP="002E0035">
      <w:pPr>
        <w:pStyle w:val="BodyText"/>
        <w:jc w:val="both"/>
        <w:rPr>
          <w:rFonts w:ascii="Times New Roman" w:hAnsi="Times New Roman" w:cs="Times New Roman"/>
          <w:highlight w:val="yellow"/>
        </w:rPr>
      </w:pPr>
    </w:p>
    <w:p w:rsidR="00A4702A" w:rsidRPr="00D50AF8" w:rsidRDefault="00A4702A" w:rsidP="009969C9">
      <w:pPr>
        <w:pStyle w:val="Heading3"/>
        <w:numPr>
          <w:ilvl w:val="0"/>
          <w:numId w:val="21"/>
        </w:numPr>
        <w:rPr>
          <w:rFonts w:ascii="Times New Roman" w:hAnsi="Times New Roman" w:cs="Times New Roman"/>
          <w:sz w:val="24"/>
          <w:szCs w:val="24"/>
        </w:rPr>
      </w:pPr>
      <w:r w:rsidRPr="00D50AF8">
        <w:rPr>
          <w:rFonts w:ascii="Times New Roman" w:hAnsi="Times New Roman" w:cs="Times New Roman"/>
          <w:sz w:val="24"/>
          <w:szCs w:val="24"/>
        </w:rPr>
        <w:t>Literature Review on FDI Inflows to Turkish Energy Sector</w:t>
      </w:r>
    </w:p>
    <w:p w:rsidR="00A4702A" w:rsidRPr="00D50AF8" w:rsidRDefault="00A4702A" w:rsidP="00A4702A">
      <w:pPr>
        <w:pStyle w:val="BodyText"/>
        <w:jc w:val="both"/>
        <w:rPr>
          <w:rFonts w:ascii="Times New Roman" w:hAnsi="Times New Roman" w:cs="Times New Roman"/>
        </w:rPr>
      </w:pPr>
      <w:r w:rsidRPr="00D50AF8">
        <w:rPr>
          <w:rFonts w:ascii="Times New Roman" w:hAnsi="Times New Roman" w:cs="Times New Roman"/>
        </w:rPr>
        <w:t xml:space="preserve">FDI movements has been mostly examined under portfolio and capital movements, and early studies have focused on factors such as ownership advantages, risk aversion, risk diversification, and asset acquisition etc.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"DOI" : "10.2307/3557177", "ISBN" : "0047-2506", "ISSN" : "00472506", "abstract" : "This paper seeks to provide a rationale for changing trends in the flow and determinants of foreign direct investment (FDI) as a result of macro-economic and firm strategy considerations. We identify several factors that impact on such trends, and develop propositions that could explain the phenomenon generically. The study then provides preliminary empirical support for the propositions presented, and outlines the path for further research needed to investigate more causal links. The statistical analysis of investments by US multinational enterprises (MNEs) reveals significant changes in the regional distribution of FDI, and a change in some of its traditional determinants. Results show that US MNEs are now making increasing investments into Asia to exploit low wage levels and to secure entry into new markets. CR - Copyright &amp;#169; 2003 Palgrave Macmillan Journals", "author" : [ { "dropping-particle" : "", "family" : "Sethi", "given" : "Deepak", "non-dropping-particle" : "", "parse-names" : false, "suffix" : "" }, { "dropping-particle" : "", "family" : "Guisinger", "given" : "S E", "non-dropping-particle" : "", "parse-names" : false, "suffix" : "" }, { "dropping-particle" : "", "family" : "Phelan", "given" : "S E", "non-dropping-particle" : "", "parse-names" : false, "suffix" : "" }, { "dropping-particle" : "", "family" : "Berg", "given" : "D M", "non-dropping-particle" : "", "parse-names" : false, "suffix" : "" } ], "container-title" : "Journal of International Business Studies", "id" : "ITEM-1", "issue" : "4", "issued" : { "date-parts" : [ [ "2003" ] ] }, "page" : "315-326", "title" : "Trends in Foreign Direct Investment Flows: A Theoretical and Empirical Analysis", "type" : "article-journal", "volume" : "34" }, "uris" : [ "http://www.mendeley.com/documents/?uuid=ac9cf8ed-27ce-4c17-a2ec-9a626f27ca1a" ] } ], "mendeley" : { "formattedCitation" : "(Sethi, Guisinger, Phelan, &amp; Berg, 2003)", "plainTextFormattedCitation" : "(Sethi, Guisinger, Phelan, &amp; Berg, 2003)", "previouslyFormattedCitation" : "(Sethi, Guisinger, Phelan, &amp; Berg, 2003)"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(Sethi, Guisinger, Phelan, &amp; Berg, 2003)</w:t>
      </w:r>
      <w:r w:rsidR="009F4D10" w:rsidRPr="00D50AF8">
        <w:rPr>
          <w:rFonts w:ascii="Times New Roman" w:hAnsi="Times New Roman" w:cs="Times New Roman"/>
        </w:rPr>
        <w:fldChar w:fldCharType="end"/>
      </w:r>
      <w:r w:rsidRPr="00D50AF8">
        <w:rPr>
          <w:rFonts w:ascii="Times New Roman" w:hAnsi="Times New Roman" w:cs="Times New Roman"/>
        </w:rPr>
        <w:t>. The literature on FDI</w:t>
      </w:r>
      <w:r w:rsidR="00860395" w:rsidRPr="00D50AF8">
        <w:rPr>
          <w:rFonts w:ascii="Times New Roman" w:hAnsi="Times New Roman" w:cs="Times New Roman"/>
        </w:rPr>
        <w:t xml:space="preserve"> inflows ha</w:t>
      </w:r>
      <w:r w:rsidR="008A4CFA" w:rsidRPr="00D50AF8">
        <w:rPr>
          <w:rFonts w:ascii="Times New Roman" w:hAnsi="Times New Roman" w:cs="Times New Roman"/>
        </w:rPr>
        <w:t>s</w:t>
      </w:r>
      <w:r w:rsidR="00860395" w:rsidRPr="00D50AF8">
        <w:rPr>
          <w:rFonts w:ascii="Times New Roman" w:hAnsi="Times New Roman" w:cs="Times New Roman"/>
        </w:rPr>
        <w:t xml:space="preserve"> two major categories</w:t>
      </w:r>
      <w:r w:rsidRPr="00D50AF8">
        <w:rPr>
          <w:rFonts w:ascii="Times New Roman" w:hAnsi="Times New Roman" w:cs="Times New Roman"/>
        </w:rPr>
        <w:t xml:space="preserve"> for investment decisions: Internal factors and external factors. While the first one </w:t>
      </w:r>
      <w:r w:rsidR="000F3552" w:rsidRPr="00D50AF8">
        <w:rPr>
          <w:rFonts w:ascii="Times New Roman" w:hAnsi="Times New Roman" w:cs="Times New Roman"/>
        </w:rPr>
        <w:t xml:space="preserve">examines </w:t>
      </w:r>
      <w:r w:rsidRPr="00D50AF8">
        <w:rPr>
          <w:rFonts w:ascii="Times New Roman" w:hAnsi="Times New Roman" w:cs="Times New Roman"/>
        </w:rPr>
        <w:t>companies' internal</w:t>
      </w:r>
      <w:r w:rsidR="000F3552" w:rsidRPr="00D50AF8">
        <w:rPr>
          <w:rFonts w:ascii="Times New Roman" w:hAnsi="Times New Roman" w:cs="Times New Roman"/>
        </w:rPr>
        <w:t xml:space="preserve"> motives for direct investments</w:t>
      </w:r>
      <w:r w:rsidR="00860395" w:rsidRPr="00D50AF8">
        <w:rPr>
          <w:rFonts w:ascii="Times New Roman" w:hAnsi="Times New Roman" w:cs="Times New Roman"/>
        </w:rPr>
        <w:t>, t</w:t>
      </w:r>
      <w:r w:rsidRPr="00D50AF8">
        <w:rPr>
          <w:rFonts w:ascii="Times New Roman" w:hAnsi="Times New Roman" w:cs="Times New Roman"/>
        </w:rPr>
        <w:t xml:space="preserve">he second branch focuses on the external factors and policies that affect FDI decisions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"author" : [ { "dropping-particle" : "", "family" : "Blonigen", "given" : "Bruce A.", "non-dropping-particle" : "", "parse-names" : false, "suffix" : "" }, { "dropping-particle" : "", "family" : "Piger", "given" : "Jeremy", "non-dropping-particle" : "", "parse-names" : false, "suffix" : "" } ], "collection-title" : "NBER Working Paper Series", "id" : "ITEM-1", "issued" : { "date-parts" : [ [ "2011" ] ] }, "number" : "16704", "publisher-place" : "Cambridge, MA", "title" : "Determinants of Foreign Direct Investment", "type" : "report" }, "uris" : [ "http://www.mendeley.com/documents/?uuid=302eb615-bbee-4e61-9a7a-96a2b1671d12" ] } ], "mendeley" : { "formattedCitation" : "(Blonigen &amp; Piger, 2011)", "plainTextFormattedCitation" : "(Blonigen &amp; Piger, 2011)", "previouslyFormattedCitation" : "(Blonigen &amp; Piger, 2011)"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(Blonigen &amp; Piger, 2011)</w:t>
      </w:r>
      <w:r w:rsidR="009F4D10" w:rsidRPr="00D50AF8">
        <w:rPr>
          <w:rFonts w:ascii="Times New Roman" w:hAnsi="Times New Roman" w:cs="Times New Roman"/>
        </w:rPr>
        <w:fldChar w:fldCharType="end"/>
      </w:r>
      <w:r w:rsidR="00860395" w:rsidRPr="00D50AF8">
        <w:rPr>
          <w:rFonts w:ascii="Times New Roman" w:hAnsi="Times New Roman" w:cs="Times New Roman"/>
        </w:rPr>
        <w:t>. Within this context, four</w:t>
      </w:r>
      <w:r w:rsidRPr="00D50AF8">
        <w:rPr>
          <w:rFonts w:ascii="Times New Roman" w:hAnsi="Times New Roman" w:cs="Times New Roman"/>
        </w:rPr>
        <w:t xml:space="preserve"> major motives are presented for FDI flows: </w:t>
      </w:r>
    </w:p>
    <w:p w:rsidR="00A4702A" w:rsidRPr="00D50AF8" w:rsidRDefault="00A4702A" w:rsidP="00A4702A">
      <w:pPr>
        <w:pStyle w:val="BodyText"/>
        <w:numPr>
          <w:ilvl w:val="0"/>
          <w:numId w:val="9"/>
        </w:numPr>
        <w:spacing w:before="0" w:after="0"/>
        <w:ind w:left="714" w:hanging="357"/>
        <w:jc w:val="both"/>
        <w:rPr>
          <w:rFonts w:ascii="Times New Roman" w:hAnsi="Times New Roman" w:cs="Times New Roman"/>
        </w:rPr>
      </w:pPr>
      <w:r w:rsidRPr="00D50AF8">
        <w:rPr>
          <w:rFonts w:ascii="Times New Roman" w:hAnsi="Times New Roman" w:cs="Times New Roman"/>
        </w:rPr>
        <w:t>Natural-resource seeking FDI which aims to gain access to a natural resource in a region,</w:t>
      </w:r>
    </w:p>
    <w:p w:rsidR="00A4702A" w:rsidRPr="00D50AF8" w:rsidRDefault="00A4702A" w:rsidP="00A4702A">
      <w:pPr>
        <w:pStyle w:val="BodyText"/>
        <w:numPr>
          <w:ilvl w:val="0"/>
          <w:numId w:val="9"/>
        </w:numPr>
        <w:spacing w:before="0" w:after="0"/>
        <w:ind w:left="714" w:hanging="357"/>
        <w:jc w:val="both"/>
        <w:rPr>
          <w:rFonts w:ascii="Times New Roman" w:hAnsi="Times New Roman" w:cs="Times New Roman"/>
        </w:rPr>
      </w:pPr>
      <w:r w:rsidRPr="00D50AF8">
        <w:rPr>
          <w:rFonts w:ascii="Times New Roman" w:hAnsi="Times New Roman" w:cs="Times New Roman"/>
        </w:rPr>
        <w:t xml:space="preserve">Market-seeking FDI which aims to benefit from market size in the host country, </w:t>
      </w:r>
    </w:p>
    <w:p w:rsidR="00A4702A" w:rsidRPr="00D50AF8" w:rsidRDefault="00A4702A" w:rsidP="00A4702A">
      <w:pPr>
        <w:pStyle w:val="BodyText"/>
        <w:numPr>
          <w:ilvl w:val="0"/>
          <w:numId w:val="9"/>
        </w:numPr>
        <w:spacing w:before="0" w:after="0"/>
        <w:ind w:left="714" w:hanging="357"/>
        <w:jc w:val="both"/>
        <w:rPr>
          <w:rFonts w:ascii="Times New Roman" w:hAnsi="Times New Roman" w:cs="Times New Roman"/>
        </w:rPr>
      </w:pPr>
      <w:r w:rsidRPr="00D50AF8">
        <w:rPr>
          <w:rFonts w:ascii="Times New Roman" w:hAnsi="Times New Roman" w:cs="Times New Roman"/>
        </w:rPr>
        <w:lastRenderedPageBreak/>
        <w:t>Efficiency-seeking FDI which aims to reduce production costs or access to domestic innovative capabilities,</w:t>
      </w:r>
    </w:p>
    <w:p w:rsidR="00A4702A" w:rsidRPr="00D50AF8" w:rsidRDefault="00A4702A" w:rsidP="00A4702A">
      <w:pPr>
        <w:pStyle w:val="BodyText"/>
        <w:numPr>
          <w:ilvl w:val="0"/>
          <w:numId w:val="9"/>
        </w:numPr>
        <w:spacing w:before="0" w:after="0"/>
        <w:ind w:left="714" w:hanging="357"/>
        <w:jc w:val="both"/>
        <w:rPr>
          <w:rFonts w:ascii="Times New Roman" w:hAnsi="Times New Roman" w:cs="Times New Roman"/>
        </w:rPr>
      </w:pPr>
      <w:r w:rsidRPr="00D50AF8">
        <w:rPr>
          <w:rFonts w:ascii="Times New Roman" w:hAnsi="Times New Roman" w:cs="Times New Roman"/>
        </w:rPr>
        <w:t xml:space="preserve">Strategic-asset seeking FDI which aims to acquire assets in the local economies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"author" : [ { "dropping-particle" : "", "family" : "Dunning", "given" : "John H.", "non-dropping-particle" : "", "parse-names" : false, "suffix" : "" } ], "id" : "ITEM-1", "issued" : { "date-parts" : [ [ "2003" ] ] }, "publisher" : "International Thomson Buiness Press", "publisher-place" : "London", "title" : "Re-evaluating the Benefits of Foreign Direct Investment", "type" : "book" }, "uris" : [ "http://www.mendeley.com/documents/?uuid=cbfe32c5-f360-42b4-ba2a-408325f6ffef" ] }, { "id" : "ITEM-2", "itemData" : { "abstract" : "Business opportunitiesas reflected in the size and growth potential of marketsare the most powerful drivers of foreign direct investment. But investment climate features such as strong institutions and investor-friendly regulations also matter and may even boost the development impact of the investment. Moreover, many elements of the investment climate can be reformed in the short run and at comparatively low cost. Improving the investment climate therefore offers an excellent opportunity for countries seeking to attract foreign direct investment.", "author" : [ { "dropping-particle" : "", "family" : "Hornberger", "given" : "Kusi", "non-dropping-particle" : "", "parse-names" : false, "suffix" : "" }, { "dropping-particle" : "", "family" : "Battat", "given" : "Joseph", "non-dropping-particle" : "", "parse-names" : false, "suffix" : "" }, { "dropping-particle" : "", "family" : "Kusek", "given" : "Peter", "non-dropping-particle" : "", "parse-names" : false, "suffix" : "" } ], "container-title" : "ViewPoint a publication of the World Bank Group", "id" : "ITEM-2", "issued" : { "date-parts" : [ [ "2011" ] ] }, "page" : "1-4", "title" : "Attracting FDI: How Much Does Investment Climate Matter?", "type" : "article-journal" }, "uris" : [ "http://www.mendeley.com/documents/?uuid=b0ff25b7-d8de-4082-b9ed-2e37171009d4" ] } ], "mendeley" : { "formattedCitation" : "(Dunning, 2003; Hornberger, Battat, &amp; Kusek, 2011)", "plainTextFormattedCitation" : "(Dunning, 2003; Hornberger, Battat, &amp; Kusek, 2011)", "previouslyFormattedCitation" : "(Dunning, 2003; Hornberger, Battat, &amp; Kusek, 2011)"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(Dunning, 2003; Hornberger, Battat, &amp; Kusek, 2011)</w:t>
      </w:r>
      <w:r w:rsidR="009F4D10" w:rsidRPr="00D50AF8">
        <w:rPr>
          <w:rFonts w:ascii="Times New Roman" w:hAnsi="Times New Roman" w:cs="Times New Roman"/>
        </w:rPr>
        <w:fldChar w:fldCharType="end"/>
      </w:r>
      <w:r w:rsidRPr="00D50AF8">
        <w:rPr>
          <w:rFonts w:ascii="Times New Roman" w:hAnsi="Times New Roman" w:cs="Times New Roman"/>
        </w:rPr>
        <w:t xml:space="preserve">. </w:t>
      </w:r>
    </w:p>
    <w:p w:rsidR="00860395" w:rsidRPr="00D50AF8" w:rsidRDefault="00A4702A" w:rsidP="00A4702A">
      <w:pPr>
        <w:pStyle w:val="BodyText"/>
        <w:jc w:val="both"/>
        <w:rPr>
          <w:rFonts w:ascii="Times New Roman" w:hAnsi="Times New Roman" w:cs="Times New Roman"/>
        </w:rPr>
      </w:pPr>
      <w:r w:rsidRPr="00D50AF8">
        <w:rPr>
          <w:rFonts w:ascii="Times New Roman" w:hAnsi="Times New Roman" w:cs="Times New Roman"/>
        </w:rPr>
        <w:t xml:space="preserve">Different theories focusing on FDI </w:t>
      </w:r>
      <w:r w:rsidR="00860395" w:rsidRPr="00D50AF8">
        <w:rPr>
          <w:rFonts w:ascii="Times New Roman" w:hAnsi="Times New Roman" w:cs="Times New Roman"/>
        </w:rPr>
        <w:t>in</w:t>
      </w:r>
      <w:r w:rsidRPr="00D50AF8">
        <w:rPr>
          <w:rFonts w:ascii="Times New Roman" w:hAnsi="Times New Roman" w:cs="Times New Roman"/>
        </w:rPr>
        <w:t xml:space="preserve">flows have </w:t>
      </w:r>
      <w:r w:rsidR="00860395" w:rsidRPr="00D50AF8">
        <w:rPr>
          <w:rFonts w:ascii="Times New Roman" w:hAnsi="Times New Roman" w:cs="Times New Roman"/>
        </w:rPr>
        <w:t xml:space="preserve">stressed multiple </w:t>
      </w:r>
      <w:r w:rsidRPr="00D50AF8">
        <w:rPr>
          <w:rFonts w:ascii="Times New Roman" w:hAnsi="Times New Roman" w:cs="Times New Roman"/>
        </w:rPr>
        <w:t>factors are affecting FDI decisions</w:t>
      </w:r>
      <w:r w:rsidR="00860395" w:rsidRPr="00D50AF8">
        <w:rPr>
          <w:rFonts w:ascii="Times New Roman" w:hAnsi="Times New Roman" w:cs="Times New Roman"/>
        </w:rPr>
        <w:t xml:space="preserve"> which</w:t>
      </w:r>
      <w:r w:rsidRPr="00D50AF8">
        <w:rPr>
          <w:rFonts w:ascii="Times New Roman" w:hAnsi="Times New Roman" w:cs="Times New Roman"/>
        </w:rPr>
        <w:t xml:space="preserve"> can be grouped under four categories </w:t>
      </w:r>
      <w:r w:rsidR="009F4D10">
        <w:rPr>
          <w:rFonts w:ascii="Times New Roman" w:hAnsi="Times New Roman" w:cs="Times New Roman"/>
        </w:rPr>
        <w:fldChar w:fldCharType="begin" w:fldLock="1"/>
      </w:r>
      <w:r w:rsidR="00AB4E69">
        <w:rPr>
          <w:rFonts w:ascii="Times New Roman" w:hAnsi="Times New Roman" w:cs="Times New Roman"/>
        </w:rPr>
        <w:instrText>ADDIN CSL_CITATION { "citationItems" : [ { "id" : "ITEM-1", "itemData" : { "ISBN" : "92-9079-314-7", "abstract" : "This paper analyses Turkey's performance in attracting foreign direct investment (FDI). The paper is divided into three main sections. The first section analyses FDI in Turkey over time and relative to Central and Eastern Europe. The second section identifies the key factors determining investment location and on the basis of these factors assesses Turkey's competitive position. The third section examines the impact of EU enlargement on FDI in Turkey and explores whether the IMF agreement is sufficient for reducing obstacles to investment. The paper concludes that Turkey has under-performed in attracting FDI due to the slow pace of privatisation and political-institutional obstacles, of which chronic inflation is a manifestation. Structured interviews with global companies also highlighted lack of investment promotion as a major obstacle. While the IMF agreement will increase privatisation and reduce inflation, EU membership is vital if Turkey is to successfully compete for foreign investment.", "author" : [ { "dropping-particle" : "", "family" : "Loewendahl", "given" : "Henry", "non-dropping-particle" : "", "parse-names" : false, "suffix" : "" }, { "dropping-particle" : "", "family" : "Ertugal-Loewendahl", "given" : "Ebru.", "non-dropping-particle" : "", "parse-names" : false, "suffix" : "" } ], "collection-title" : "CEPS Working Paper Series", "id" : "ITEM-1", "issued" : { "date-parts" : [ [ "2000" ] ] }, "number" : "157", "title" : "Turkey's performance in attracting foreign direct investment; Implications of EU enlargement", "type" : "report" }, "uris" : [ "http://www.mendeley.com/documents/?uuid=72c5a76d-3f57-40c7-8265-238a1a02cd47" ] }, { "id" : "ITEM-2", "itemData" : { "DOI" : "10.1016/j.ejpoleco.2012.09.001", "ISBN" : "0176-2680", "ISSN" : "01762680", "abstract" : "Using a novel dataset of bilateral FDI flows, we analyze location choices of investors from emerging economies, with an emphasis on institutions and natural resources. We show that FDI from the South has a more regional aspect than investment from the North. Institutional distance has an asymmetric effect on FDI depending on whether investors choose countries with better or worse institutions. In the latter case, large institutional distance discourages FDI inflows, but this deterring effect is diminished for destination countries with substantial resources. We also find a complementary relationship between capital flows from the North and the South in developing recipient countries, which we attribute to different FDI patterns of these investors.", "author" : [ { "dropping-particle" : "", "family" : "Aleksynska", "given" : "Mariya", "non-dropping-particle" : "", "parse-names" : false, "suffix" : "" }, { "dropping-particle" : "", "family" : "Havrylchyk", "given" : "Olena", "non-dropping-particle" : "", "parse-names" : false, "suffix" : "" } ], "container-title" : "European Journal of Political Economy", "id" : "ITEM-2", "issue" : "null", "issued" : { "date-parts" : [ [ "2013" ] ] }, "note" : "OKundu notlr al\u0131nd\u0131, eklemeler yap\u0131ld\u0131.", "page" : "38-53", "publisher" : "Elsevier B.V.", "title" : "FDI from the south: The role of institutional distance and natural resources", "type" : "article-journal", "volume" : "29" }, "uris" : [ "http://www.mendeley.com/documents/?uuid=1e9323ab-fe86-4b43-96d9-4e20f8b33c4a" ] }, { "id" : "ITEM-3", "itemData" : { "DOI" : "10.1016/j.ibusrev.2003.05.005", "ISSN" : "09695931", "abstract" : "Institutions are widely regarded as a crucial locational advantage of host countries aiming to attract foreign investors. However, there is little agreement on which institutions matter, and why. This study contributes to filling this gap by analyzing the impact of different dimensions of the newly created institutional framework in East European transition economies on foreign direct investment (FDI). Using a dataset detailing FDI flows from individual market economies to transition ones, we examine the relationship between institutional development and FDI inflow. We find that FDI is positively related to the quality of formal institutions, though an impact from informal institutions can only be shown for the special case of Russia, which has suffered from a gap between the extensiveness and effectiveness of legal reform. Several specific formal institutions are found to influence FDI: private ownership of business, banking sector reform, foreign exchange and trade liberalization, and legal development. Conversely, domestic price liberalization, non-bank financial sector development and competition policy do not enhance FDI. These results point to important complementarities, but also potential conflicts, between policy reform and the interest of multinational firms.", "author" : [ { "dropping-particle" : "", "family" : "Bevan", "given" : "Alan", "non-dropping-particle" : "", "parse-names" : false, "suffix" : "" }, { "dropping-particle" : "", "family" : "Estrin", "given" : "Saul", "non-dropping-particle" : "", "parse-names" : false, "suffix" : "" }, { "dropping-particle" : "", "family" : "Meyer", "given" : "Klaus", "non-dropping-particle" : "", "parse-names" : false, "suffix" : "" } ], "container-title" : "International Business Review", "id" : "ITEM-3", "issue" : "1", "issued" : { "date-parts" : [ [ "2004", "2" ] ] }, "note" : "Okundu, notlar al\u0131nd\u0131.", "page" : "43-64", "title" : "Foreign investment location and institutional development in transition economies", "type" : "article-journal", "volume" : "13" }, "uris" : [ "http://www.mendeley.com/documents/?uuid=e1718397-6d38-41e7-87c4-6c16cd188e4e" ] }, { "id" : "ITEM-4", "itemData" : { "DOI" : "10.1111/1467-9361.00169", "ISSN" : "1363-6669", "author" : [ { "dropping-particle" : "", "family" : "Biswas", "given" : "Romita", "non-dropping-particle" : "", "parse-names" : false, "suffix" : "" } ], "container-title" : "Review of Development Economics", "id" : "ITEM-4", "issue" : "3", "issued" : { "date-parts" : [ [ "2002", "10" ] ] }, "page" : "492-504", "title" : "Determinants of Foreign Direct Investment", "type" : "article-journal", "volume" : "6" }, "uris" : [ "http://www.mendeley.com/documents/?uuid=b2a88620-ee5a-4a6d-99b3-48457a58f43c" ] }, { "id" : "ITEM-5", "itemData" : { "abstract" : "Gravity factors explain a large part of Foreign Direct Investment (FDI) inflows in Southeastern Europe\u2014a region not comprehensively covered before in econometric studies\u2014but host-country policies also matter. Key are policies that affect relative unit labor costs, the corporate tax burden, infrastructure, and the trade regime. This paper develops the concept of potential FDI for each country, and uses its deviation from actual levels to estimate what policies can realistically be expected to achieve in terms of additional FDI. It also finds evidence that above a certain threshold, the importance of some policies for attracting FDI is distinctly different.", "author" : [ { "dropping-particle" : "", "family" : "Demekas", "given" : "Dimitri G", "non-dropping-particle" : "", "parse-names" : false, "suffix" : "" }, { "dropping-particle" : "", "family" : "Horv\u00e1th", "given" : "Bal\u00e1zs", "non-dropping-particle" : "", "parse-names" : false, "suffix" : "" }, { "dropping-particle" : "", "family" : "Ribakova", "given" : "Elina", "non-dropping-particle" : "", "parse-names" : false, "suffix" : "" }, { "dropping-particle" : "", "family" : "Wu", "given" : "Yi", "non-dropping-particle" : "", "parse-names" : false, "suffix" : "" } ], "id" : "ITEM-5", "issued" : { "date-parts" : [ [ "2005" ] ] }, "page" : "31", "title" : "Foreign Direct Investment in Southeastern Europe : How (and How Much) Can Policies Help ?", "type" : "article-journal" }, "uris" : [ "http://www.mendeley.com/documents/?uuid=af61bebc-0ac4-49e2-88a5-3a8e592b2ce3" ] }, { "id" : "ITEM-6", "itemData" : { "DOI" : "10.1016/j.jce.2007.03.005", "ISSN" : "01475967", "abstract" : "Gravity factors explain a large part of Foreign Direct Investment (FDI) inflows in transition economies, including in Southeastern Europe\u2014a region not comprehensively covered before in econometric studies\u2014but host country policies also matter. Key are policies that affect unit labor costs, the corporate tax burden, infrastructure, and the foreign exchange and trade regime. This paper focuses on non-privatization FDI\u2014a novelty in the literature\u2014and finds evidence of nonlinearities, with the impact of policies on FDI changing above a certain level of income. It also develops the concept of potential FDI for each host country, using its deviation from predicted levels given optimal policies to estimate what governments can realistically expect to achieve in terms of attracting additional FDI. Journal of Comparative Economics \u2022\u2022\u2022 (\u2022\u2022\u2022) (\u2022\u2022\u2022\u2022) \u2022\u2022\u2022\u2013\u2022\u2022\u2022.", "author" : [ { "dropping-particle" : "", "family" : "Demekas", "given" : "Dimitri G.", "non-dropping-particle" : "", "parse-names" : false, "suffix" : "" }, { "dropping-particle" : "", "family" : "Horv\u00e1th", "given" : "Bal\u00e1zs", "non-dropping-particle" : "", "parse-names" : false, "suffix" : "" }, { "dropping-particle" : "", "family" : "Ribakova", "given" : "Elina", "non-dropping-particle" : "", "parse-names" : false, "suffix" : "" }, { "dropping-particle" : "", "family" : "Wu", "given" : "Yi", "non-dropping-particle" : "", "parse-names" : false, "suffix" : "" } ], "container-title" : "Journal of Comparative Economics", "id" : "ITEM-6", "issue" : "2", "issued" : { "date-parts" : [ [ "2007", "6" ] ] }, "page" : "369-386", "title" : "Foreign direct investment in European transition economies\u2014The role of policies", "type" : "article-journal", "volume" : "35" }, "uris" : [ "http://www.mendeley.com/documents/?uuid=cdb257ec-ca40-4e56-a6ee-bf3741ceadb9" ] }, { "id" : "ITEM-7", "itemData" : { "abstract" : "This paper surveys the recent burgeoning literature that empirically examines the foreign direct investment (FDI) decisions of multinational enterprises (MNEs) and the resulting aggregate location of FDI across the world. The contribution of the paper is to evaluate what we can say with relative confidence about FDI as a profession, given the evidence, and what we cannot have much confidence in at this point. Suggestions are made for future research directions.", "author" : [ { "dropping-particle" : "", "family" : "Blonigen", "given" : "Bruce A.", "non-dropping-particle" : "", "parse-names" : false, "suffix" : "" } ], "id" : "ITEM-7", "issued" : { "date-parts" : [ [ "2005", "5", "1" ] ] }, "note" : "Okundu notlar al\u0131nd\u0131", "title" : "A Review of the Empirical Literature on FDI Determinants", "type" : "article-journal" }, "uris" : [ "http://www.mendeley.com/documents/?uuid=d7d730c0-5dda-4745-8895-b4695cfe381a" ] }, { "id" : "ITEM-8", "itemData" : { "DOI" : "10.2307/3557177", "ISBN" : "0047-2506", "ISSN" : "00472506", "abstract" : "This paper seeks to provide a rationale for changing trends in the flow and determinants of foreign direct investment (FDI) as a result of macro-economic and firm strategy considerations. We identify several factors that impact on such trends, and develop propositions that could explain the phenomenon generically. The study then provides preliminary empirical support for the propositions presented, and outlines the path for further research needed to investigate more causal links. The statistical analysis of investments by US multinational enterprises (MNEs) reveals significant changes in the regional distribution of FDI, and a change in some of its traditional determinants. Results show that US MNEs are now making increasing investments into Asia to exploit low wage levels and to secure entry into new markets. CR - Copyright &amp;#169; 2003 Palgrave Macmillan Journals", "author" : [ { "dropping-particle" : "", "family" : "Sethi", "given" : "Deepak", "non-dropping-particle" : "", "parse-names" : false, "suffix" : "" }, { "dropping-particle" : "", "family" : "Guisinger", "given" : "S E", "non-dropping-particle" : "", "parse-names" : false, "suffix" : "" }, { "dropping-particle" : "", "family" : "Phelan", "given" : "S E", "non-dropping-particle" : "", "parse-names" : false, "suffix" : "" }, { "dropping-particle" : "", "family" : "Berg", "given" : "D M", "non-dropping-particle" : "", "parse-names" : false, "suffix" : "" } ], "container-title" : "Journal of International Business Studies", "id" : "ITEM-8", "issue" : "4", "issued" : { "date-parts" : [ [ "2003" ] ] }, "page" : "315-326", "title" : "Trends in Foreign Direct Investment Flows: A Theoretical and Empirical Analysis", "type" : "article-journal", "volume" : "34" }, "uris" : [ "http://www.mendeley.com/documents/?uuid=ac9cf8ed-27ce-4c17-a2ec-9a626f27ca1a" ] }, { "id" : "ITEM-9", "itemData" : { "ISSN" : "10158812", "abstract" : "The explanatory power of institutional and macroeconomic variables for FDI stock accumulation in developing countries is investigated. Hypotheses are tested by means of pooled least squares regressions. The impact of institutional variables on FDI flows produced mixed results: levels of economic freedom facilitate inward FDI; political risk dampens investment. Some macroeconomic variables displayed significant explanatory power: market size (as measured by per capita income in the base year) and absolute growth of GDP positively impacts FDI inflows. Other key macroeconomic variables, such as lower current account balance, appreciation of host country's currency, and lower inflation rate stimulate FDI inflows.", "author" : [ { "dropping-particle" : "", "family" : "Wyk", "given" : "Jay", "non-dropping-particle" : "van", "parse-names" : false, "suffix" : "" }, { "dropping-particle" : "", "family" : "Lal", "given" : "Anil K", "non-dropping-particle" : "", "parse-names" : false, "suffix" : "" } ], "container-title" : "South African Journal of Economic and Management Science", "id" : "ITEM-9", "issue" : "4", "issued" : { "date-parts" : [ [ "2008" ] ] }, "page" : "261-262", "title" : "Risk and FDI Flows to Developing Countries", "type" : "article-journal", "volume" : "11" }, "uris" : [ "http://www.mendeley.com/documents/?uuid=089054cb-3811-4493-9521-e912b5877d25" ] } ], "mendeley" : { "formattedCitation" : "(Aleksynska &amp; Havrylchyk, 2013; Bevan, Estrin, &amp; Meyer, 2004; Biswas, 2002; Blonigen, 2005; Demekas, Horv\u00e1th, Ribakova, &amp; Wu, 2005, 2007; Loewendahl &amp; Ertugal-Loewendahl, 2000; Sethi et al., 2003; van Wyk &amp; Lal, 2008)", "plainTextFormattedCitation" : "(Aleksynska &amp; Havrylchyk, 2013; Bevan, Estrin, &amp; Meyer, 2004; Biswas, 2002; Blonigen, 2005; Demekas, Horv\u00e1th, Ribakova, &amp; Wu, 2005, 2007; Loewendahl &amp; Ertugal-Loewendahl, 2000; Sethi et al., 2003; van Wyk &amp; Lal, 2008)", "previouslyFormattedCitation" : "(Aleksynska &amp; Havrylchyk, 2013; Bevan, Estrin, &amp; Meyer, 2004; Biswas, 2002; Blonigen, 2005; Demekas, Horv\u00e1th, Ribakova, &amp; Wu, 2005, 2007; Loewendahl &amp; Ertugal-Loewendahl, 2000; Sethi et al., 2003; van Wyk &amp; Lal, 2008)" }, "properties" : { "noteIndex" : 0 }, "schema" : "https://github.com/citation-style-language/schema/raw/master/csl-citation.json" }</w:instrText>
      </w:r>
      <w:r w:rsidR="009F4D10">
        <w:rPr>
          <w:rFonts w:ascii="Times New Roman" w:hAnsi="Times New Roman" w:cs="Times New Roman"/>
        </w:rPr>
        <w:fldChar w:fldCharType="separate"/>
      </w:r>
      <w:r w:rsidR="00AB4E69" w:rsidRPr="00AB4E69">
        <w:rPr>
          <w:rFonts w:ascii="Times New Roman" w:hAnsi="Times New Roman" w:cs="Times New Roman"/>
          <w:noProof/>
        </w:rPr>
        <w:t>(Aleksynska &amp; Havrylchyk, 2013; Bevan, Estrin, &amp; Meyer, 2004; Biswas, 2002; Blonigen, 2005; Demekas, Horváth, Ribakova, &amp; Wu, 2005, 2007; Loewendahl &amp; Ertugal-Loewendahl, 2000; Sethi et al., 2003; van Wyk &amp; Lal, 2008)</w:t>
      </w:r>
      <w:r w:rsidR="009F4D10">
        <w:rPr>
          <w:rFonts w:ascii="Times New Roman" w:hAnsi="Times New Roman" w:cs="Times New Roman"/>
        </w:rPr>
        <w:fldChar w:fldCharType="end"/>
      </w:r>
      <w:r w:rsidRPr="00D50AF8">
        <w:rPr>
          <w:rFonts w:ascii="Times New Roman" w:hAnsi="Times New Roman" w:cs="Times New Roman"/>
        </w:rPr>
        <w:t xml:space="preserve">: </w:t>
      </w:r>
    </w:p>
    <w:p w:rsidR="00860395" w:rsidRPr="00D50AF8" w:rsidRDefault="00A4702A" w:rsidP="00926FD0">
      <w:pPr>
        <w:pStyle w:val="BodyText"/>
        <w:ind w:left="720"/>
        <w:jc w:val="both"/>
        <w:rPr>
          <w:rFonts w:ascii="Times New Roman" w:hAnsi="Times New Roman" w:cs="Times New Roman"/>
        </w:rPr>
      </w:pPr>
      <w:r w:rsidRPr="00D50AF8">
        <w:rPr>
          <w:rFonts w:ascii="Times New Roman" w:hAnsi="Times New Roman" w:cs="Times New Roman"/>
        </w:rPr>
        <w:t>1) Macroeconomic policies and Business/Investment Environment</w:t>
      </w:r>
      <w:r w:rsidR="00860395" w:rsidRPr="00D50AF8">
        <w:rPr>
          <w:rFonts w:ascii="Times New Roman" w:hAnsi="Times New Roman" w:cs="Times New Roman"/>
        </w:rPr>
        <w:t>: Interest rate, risk premium, interest rate, labor costs, tax rates, inflation rate, etc</w:t>
      </w:r>
    </w:p>
    <w:p w:rsidR="00860395" w:rsidRPr="00D50AF8" w:rsidRDefault="00A4702A" w:rsidP="00926FD0">
      <w:pPr>
        <w:pStyle w:val="BodyText"/>
        <w:ind w:left="720"/>
        <w:jc w:val="both"/>
        <w:rPr>
          <w:rFonts w:ascii="Times New Roman" w:hAnsi="Times New Roman" w:cs="Times New Roman"/>
        </w:rPr>
      </w:pPr>
      <w:r w:rsidRPr="00D50AF8">
        <w:rPr>
          <w:rFonts w:ascii="Times New Roman" w:hAnsi="Times New Roman" w:cs="Times New Roman"/>
        </w:rPr>
        <w:t xml:space="preserve">2) Quality of institutions and Political </w:t>
      </w:r>
      <w:r w:rsidR="00860395" w:rsidRPr="00D50AF8">
        <w:rPr>
          <w:rFonts w:ascii="Times New Roman" w:hAnsi="Times New Roman" w:cs="Times New Roman"/>
        </w:rPr>
        <w:t>stability: Legal Framework, Property rights, Rule of Law, etc.</w:t>
      </w:r>
    </w:p>
    <w:p w:rsidR="00860395" w:rsidRPr="00D50AF8" w:rsidRDefault="00A4702A" w:rsidP="00926FD0">
      <w:pPr>
        <w:pStyle w:val="BodyText"/>
        <w:ind w:left="720"/>
        <w:jc w:val="both"/>
        <w:rPr>
          <w:rFonts w:ascii="Times New Roman" w:hAnsi="Times New Roman" w:cs="Times New Roman"/>
        </w:rPr>
      </w:pPr>
      <w:r w:rsidRPr="00D50AF8">
        <w:rPr>
          <w:rFonts w:ascii="Times New Roman" w:hAnsi="Times New Roman" w:cs="Times New Roman"/>
        </w:rPr>
        <w:t>3) Human and Social c</w:t>
      </w:r>
      <w:r w:rsidR="00860395" w:rsidRPr="00D50AF8">
        <w:rPr>
          <w:rFonts w:ascii="Times New Roman" w:hAnsi="Times New Roman" w:cs="Times New Roman"/>
        </w:rPr>
        <w:t>apital: Culture, traditions, education etc.</w:t>
      </w:r>
    </w:p>
    <w:p w:rsidR="00860395" w:rsidRPr="00D50AF8" w:rsidRDefault="00A4702A" w:rsidP="00926FD0">
      <w:pPr>
        <w:pStyle w:val="BodyText"/>
        <w:ind w:left="720"/>
        <w:jc w:val="both"/>
        <w:rPr>
          <w:rFonts w:ascii="Times New Roman" w:hAnsi="Times New Roman" w:cs="Times New Roman"/>
        </w:rPr>
      </w:pPr>
      <w:r w:rsidRPr="00D50AF8">
        <w:rPr>
          <w:rFonts w:ascii="Times New Roman" w:hAnsi="Times New Roman" w:cs="Times New Roman"/>
        </w:rPr>
        <w:t>4) Country-specific c</w:t>
      </w:r>
      <w:r w:rsidR="00860395" w:rsidRPr="00D50AF8">
        <w:rPr>
          <w:rFonts w:ascii="Times New Roman" w:hAnsi="Times New Roman" w:cs="Times New Roman"/>
        </w:rPr>
        <w:t>haracteristics: Resource endowment,</w:t>
      </w:r>
      <w:r w:rsidR="00151750" w:rsidRPr="00D50AF8">
        <w:rPr>
          <w:rFonts w:ascii="Times New Roman" w:hAnsi="Times New Roman" w:cs="Times New Roman"/>
        </w:rPr>
        <w:t xml:space="preserve"> Infrastructure, </w:t>
      </w:r>
      <w:r w:rsidR="00860395" w:rsidRPr="00D50AF8">
        <w:rPr>
          <w:rFonts w:ascii="Times New Roman" w:hAnsi="Times New Roman" w:cs="Times New Roman"/>
        </w:rPr>
        <w:t xml:space="preserve">Location and proximity to other markets etc. </w:t>
      </w:r>
    </w:p>
    <w:p w:rsidR="00A4702A" w:rsidRPr="00D50AF8" w:rsidRDefault="00A4702A" w:rsidP="00A4702A">
      <w:pPr>
        <w:pStyle w:val="BodyText"/>
        <w:jc w:val="both"/>
        <w:rPr>
          <w:rFonts w:ascii="Times New Roman" w:hAnsi="Times New Roman" w:cs="Times New Roman"/>
        </w:rPr>
      </w:pPr>
      <w:r w:rsidRPr="00D50AF8">
        <w:rPr>
          <w:rFonts w:ascii="Times New Roman" w:hAnsi="Times New Roman" w:cs="Times New Roman"/>
        </w:rPr>
        <w:t xml:space="preserve">Studies on energy investments suggest that there are many obstacles for energy investments in developing economies, and policies promoting energy investments such as restructuring, privatization and financial incentives are assumed to promote energy FDI inflows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"DOI" : "10.1016/j.rser.2013.08.093", "ISSN" : "1364-0321", "author" : [ { "dropping-particle" : "", "family" : "Streimikiene", "given" : "Dalia", "non-dropping-particle" : "", "parse-names" : false, "suffix" : "" }, { "dropping-particle" : "", "family" : "Siksnelyte", "given" : "Indre", "non-dropping-particle" : "", "parse-names" : false, "suffix" : "" } ], "container-title" : "Renewable and Sustainable Energy Reviews", "id" : "ITEM-1", "issued" : { "date-parts" : [ [ "2014" ] ] }, "note" : "Okundu notlar al\u0131nd", "page" : "891-904", "publisher" : "Elsevier", "title" : "Electricity market opening impact on investments in electricity sector", "type" : "article-journal", "volume" : "29" }, "uris" : [ "http://www.mendeley.com/documents/?uuid=aad4f4b6-f9a4-4114-8520-9d63685b0f6f" ] }, { "id" : "ITEM-2", "itemData" : { "DOI" : "10.1787/9789264030084-en", "ISBN" : "9789264030077", "abstract" : "What are the recent trends and prospects for investment in power generation? What are the main drivers and barriers? This book assesses these issues and gives special emphasis to the question of how uncertainties may affect investment decisions. Uncertainties on CO2 constraints, on power plant licensing, on acceptability of nuclear power, on local opposition to any new energy infrastructure, on government support for specific generation technologies and on government policies on energy efficiency are particularly disturbing. Market liberalisation can also be a key uncertainty, but this may be greatly reduced and deliver considerable benefits if liberalisation is implemented whole-heartedly and backed by on-going government commitment.", "author" : [ { "dropping-particle" : "", "family" : "OECD/IEA", "given" : "", "non-dropping-particle" : "", "parse-names" : false, "suffix" : "" } ], "container-title" : "International Energy Agency", "id" : "ITEM-2", "issued" : { "date-parts" : [ [ "2007" ] ] }, "page" : "1-210", "title" : "Tackling Investment Challenges in Power Generation in IEA Countries", "type" : "article-journal" }, "uris" : [ "http://www.mendeley.com/documents/?uuid=4ba5f603-bf4c-4849-a7fc-bc575213775c" ] }, { "id" : "ITEM-3", "itemData" : { "DOI" : "10.1787/9789264105577-en", "ISBN" : "9789264105560", "abstract" : "IEA. (2003). Power Generation Investment in Electricity Markets. International Energy Agency, OECD, 104 p.", "author" : [ { "dropping-particle" : "", "family" : "IEA", "given" : "", "non-dropping-particle" : "", "parse-names" : false, "suffix" : "" } ], "id" : "ITEM-3", "issued" : { "date-parts" : [ [ "2003" ] ] }, "page" : "104", "title" : "Power Generation Investment in Electricity Markets. International Energy Agency, OECD, 104 p.", "type" : "article-journal" }, "uris" : [ "http://www.mendeley.com/documents/?uuid=3e14ba79-87e9-4200-a0e3-53d067ffae36" ] }, { "id" : "ITEM-4", "itemData" : { "ISBN" : "9789264042209", "author" : [ { "dropping-particle" : "", "family" : "OECD/IEA", "given" : "", "non-dropping-particle" : "", "parse-names" : false, "suffix" : "" } ], "id" : "ITEM-4", "issued" : { "date-parts" : [ [ "2008" ] ] }, "publisher-place" : "Paris", "title" : "Deploying Renewables: Principles for Effective Policies", "type" : "report" }, "uris" : [ "http://www.mendeley.com/documents/?uuid=96836941-6528-43f7-91a4-be15c12c085a" ] }, { "id" : "ITEM-5", "itemData" : { "author" : [ { "dropping-particle" : "", "family" : "Gabriele", "given" : "Alberto", "non-dropping-particle" : "", "parse-names" : false, "suffix" : "" } ], "collection-title" : "UNCTAD Discussion Papers", "id" : "ITEM-5", "issued" : { "date-parts" : [ [ "2004" ] ] }, "note" : "Okundu, notlar al\u0131nd\u0131", "number" : "UNCTAD/OSG/DP/2004/2", "title" : "Policy Alternatives in Reforming Power Utilities in Developing Countries: A Critical Survey", "type" : "report" }, "uris" : [ "http://www.mendeley.com/documents/?uuid=78fb2f1b-3fb0-4270-8fb7-72f6ce61f2ab" ] }, { "id" : "ITEM-6", "itemData" : { "author" : [ { "dropping-particle" : "", "family" : "Akampurira", "given" : "Emmanuel", "non-dropping-particle" : "", "parse-names" : false, "suffix" : "" }, { "dropping-particle" : "", "family" : "Root", "given" : "David", "non-dropping-particle" : "", "parse-names" : false, "suffix" : "" }, { "dropping-particle" : "", "family" : "Shakantu", "given" : "Winston", "non-dropping-particle" : "", "parse-names" : false, "suffix" : "" } ], "container-title" : "Journal of Energy in Southern Africa", "id" : "ITEM-6", "issue" : "2", "issued" : { "date-parts" : [ [ "2009" ] ] }, "page" : "2-9", "title" : "Stakeholder perceptions in the factors constraining the development and implementation of public private partnerships in the Ugandan electricity sector", "type" : "article-journal", "volume" : "20" }, "uris" : [ "http://www.mendeley.com/documents/?uuid=7ad608e7-96db-46ac-8bd8-38be3c9c3312" ] }, { "id" : "ITEM-7", "itemData" : { "DOI" : "10.1016/j.enpol.2013.04.001", "ISBN" : "0301-4215", "ISSN" : "03014215", "abstract" : "In this paper, we discuss the implications of financing constraints for future energy and climate scenarios. Aspirations to improve energy access and electrification rates in developing countries, while simultaneously reducing greenhouse gas emissions, can be seriously hindered by the availability of low-cost capital for the necessary investments. We first provide a brief description of the theoretical foundations for financing constraints in the energy sector. Then, using a broad range of alternate assumptions we introduce capital supply curves to an energy system model for Sub-Saharan Africa, with a specific focus on the power sector. Our results portray the effect of capital cost on technology selection in electricity generation, specifically how limited capital supply decreases investments to capital-intensive zero-emission technologies. As a direct consequence, the emission price required to meet given emission targets is considerably increased when compared to case that disregards the capital constraints. Finally, we discuss possible policy instruments for resolving the constraints. \u00a9 2013 Elsevier Ltd.", "author" : [ { "dropping-particle" : "", "family" : "Ekholm", "given" : "Tommi", "non-dropping-particle" : "", "parse-names" : false, "suffix" : "" }, { "dropping-particle" : "", "family" : "Ghoddusi", "given" : "Hamed", "non-dropping-particle" : "", "parse-names" : false, "suffix" : "" }, { "dropping-particle" : "", "family" : "Krey", "given" : "Volker", "non-dropping-particle" : "", "parse-names" : false, "suffix" : "" }, { "dropping-particle" : "", "family" : "Riahi", "given" : "Keywan", "non-dropping-particle" : "", "parse-names" : false, "suffix" : "" } ], "container-title" : "Energy Policy", "id" : "ITEM-7", "issued" : { "date-parts" : [ [ "2013" ] ] }, "page" : "562-572", "title" : "The effect of financial constraints on energy-climate scenarios", "type" : "article-journal", "volume" : "59" }, "uris" : [ "http://www.mendeley.com/documents/?uuid=e8553e95-648c-49e4-9aea-ef685e6e4bbf" ] } ], "mendeley" : { "formattedCitation" : "(Akampurira, Root, &amp; Shakantu, 2009; Ekholm, Ghoddusi, Krey, &amp; Riahi, 2013; Gabriele, 2004; IEA, 2003; OECD/IEA, 2007, 2008; Streimikiene &amp; Siksnelyte, 2014)", "plainTextFormattedCitation" : "(Akampurira, Root, &amp; Shakantu, 2009; Ekholm, Ghoddusi, Krey, &amp; Riahi, 2013; Gabriele, 2004; IEA, 2003; OECD/IEA, 2007, 2008; Streimikiene &amp; Siksnelyte, 2014)", "previouslyFormattedCitation" : "(Akampurira, Root, &amp; Shakantu, 2009; Ekholm, Ghoddusi, Krey, &amp; Riahi, 2013; Gabriele, 2004; IEA, 2003; OECD/IEA, 2007, 2008; Streimikiene &amp; Siksnelyte, 2014)"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(Akampurira, Root, &amp; Shakantu, 2009; Ekholm, Ghoddusi, Krey, &amp; Riahi, 2013; Gabriele, 2004; IEA, 2003; OECD/IEA, 2007, 2008; Streimikiene &amp; Siksnelyte, 2014)</w:t>
      </w:r>
      <w:r w:rsidR="009F4D10" w:rsidRPr="00D50AF8">
        <w:rPr>
          <w:rFonts w:ascii="Times New Roman" w:hAnsi="Times New Roman" w:cs="Times New Roman"/>
        </w:rPr>
        <w:fldChar w:fldCharType="end"/>
      </w:r>
      <w:r w:rsidRPr="00D50AF8">
        <w:rPr>
          <w:rFonts w:ascii="Times New Roman" w:hAnsi="Times New Roman" w:cs="Times New Roman"/>
        </w:rPr>
        <w:t xml:space="preserve">. Research on FDI in the energy sector in developing economies has mostly been conducted on natural resource investments (oil and natural gas to a great extent). </w:t>
      </w:r>
      <w:r w:rsidR="00151750" w:rsidRPr="00D50AF8">
        <w:rPr>
          <w:rFonts w:ascii="Times New Roman" w:hAnsi="Times New Roman" w:cs="Times New Roman"/>
        </w:rPr>
        <w:t>Recently, with the growing concerns on climate and emissions</w:t>
      </w:r>
      <w:r w:rsidR="00361E1D" w:rsidRPr="00D50AF8">
        <w:rPr>
          <w:rFonts w:ascii="Times New Roman" w:hAnsi="Times New Roman" w:cs="Times New Roman"/>
        </w:rPr>
        <w:t xml:space="preserve"> and more interest on </w:t>
      </w:r>
      <w:r w:rsidR="00726FC9" w:rsidRPr="00D50AF8">
        <w:rPr>
          <w:rFonts w:ascii="Times New Roman" w:hAnsi="Times New Roman" w:cs="Times New Roman"/>
        </w:rPr>
        <w:t xml:space="preserve">renewable energy technologies, studies are conducted on FDI in the power sector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"DOI" : "10.1016/j.rser.2015.08.017", "ISSN" : "1364-0321", "author" : [ { "dropping-particle" : "", "family" : "Khatun", "given" : "Fahmida", "non-dropping-particle" : "", "parse-names" : false, "suffix" : "" }, { "dropping-particle" : "", "family" : "Ahamad", "given" : "Mazbahul", "non-dropping-particle" : "", "parse-names" : false, "suffix" : "" } ], "container-title" : "Renewable and Sustainable Energy Reviews", "id" : "ITEM-1", "issued" : { "date-parts" : [ [ "2015" ] ] }, "note" : "Okundu temel bir iki nokta var not al\u0131nd\u0131.", "page" : "1369-1377", "publisher" : "Elsevier", "title" : "Foreign direct investment in the energy and power sector in Bangladesh : Implications for economic growth", "type" : "article-journal", "volume" : "52" }, "uris" : [ "http://www.mendeley.com/documents/?uuid=5b287270-1919-455c-b718-afcbdfc33a7a" ] }, { "id" : "ITEM-2", "itemData" : { "author" : [ { "dropping-particle" : "", "family" : "Bezuidenhout", "given" : "Henri", "non-dropping-particle" : "", "parse-names" : false, "suffix" : "" }, { "dropping-particle" : "", "family" : "Coetzee", "given" : "Zahn\u00e9", "non-dropping-particle" : "", "parse-names" : false, "suffix" : "" }, { "dropping-particle" : "", "family" : "Claassen", "given" : "Carike", "non-dropping-particle" : "", "parse-names" : false, "suffix" : "" } ], "collection-title" : "ERSA Working Paper Series", "id" : "ITEM-2", "issue" : "January", "issued" : { "date-parts" : [ [ "2014" ] ] }, "note" : "Okundu, Afrikada FDIlara ili\u015fkin risk alg\u0131s\u0131 \u00fczeirne yaz\u0131lm\u0131\u015f. Notlar al\u0131nd\u0131.", "number" : "415", "title" : "Profiling Sectoral Risks of Foreign Direct Investment in Africa Profiling Sectoral Risks of Foreign Direct Investment in Africa", "type" : "report" }, "uris" : [ "http://www.mendeley.com/documents/?uuid=1b18e424-4a39-4e2f-a3f0-6351e9c1a8ed" ] } ], "mendeley" : { "formattedCitation" : "(Bezuidenhout, Coetzee, &amp; Claassen, 2014; Khatun &amp; Ahamad, 2015)", "plainTextFormattedCitation" : "(Bezuidenhout, Coetzee, &amp; Claassen, 2014; Khatun &amp; Ahamad, 2015)", "previouslyFormattedCitation" : "(Bezuidenhout, Coetzee, &amp; Claassen, 2014; Khatun &amp; Ahamad, 2015)" }, "properties" : { "noteIndex" : 0 }, "schema" : "https://github.com/citation-style-language/schema/raw/master/csl-citation.json" }</w:instrText>
      </w:r>
      <w:r w:rsidR="009F4D10" w:rsidRPr="00D50AF8">
        <w:rPr>
          <w:rFonts w:ascii="Times New Roman" w:hAnsi="Times New Roman" w:cs="Times New Roman"/>
        </w:rPr>
        <w:fldChar w:fldCharType="separate"/>
      </w:r>
      <w:r w:rsidR="00D21631" w:rsidRPr="00D21631">
        <w:rPr>
          <w:rFonts w:ascii="Times New Roman" w:hAnsi="Times New Roman" w:cs="Times New Roman"/>
          <w:noProof/>
        </w:rPr>
        <w:t>(Bezuidenhout, Coetzee, &amp; Claassen, 2014; Khatun &amp; Ahamad, 2015)</w:t>
      </w:r>
      <w:r w:rsidR="009F4D10" w:rsidRPr="00D50AF8">
        <w:rPr>
          <w:rFonts w:ascii="Times New Roman" w:hAnsi="Times New Roman" w:cs="Times New Roman"/>
        </w:rPr>
        <w:fldChar w:fldCharType="end"/>
      </w:r>
      <w:r w:rsidRPr="00D50AF8">
        <w:rPr>
          <w:rFonts w:ascii="Times New Roman" w:hAnsi="Times New Roman" w:cs="Times New Roman"/>
        </w:rPr>
        <w:t xml:space="preserve">. </w:t>
      </w:r>
      <w:r w:rsidR="00926FD0" w:rsidRPr="00D50AF8">
        <w:rPr>
          <w:rFonts w:ascii="Times New Roman" w:hAnsi="Times New Roman" w:cs="Times New Roman"/>
        </w:rPr>
        <w:t>The</w:t>
      </w:r>
      <w:r w:rsidR="00726FC9" w:rsidRPr="00D50AF8">
        <w:rPr>
          <w:rFonts w:ascii="Times New Roman" w:hAnsi="Times New Roman" w:cs="Times New Roman"/>
        </w:rPr>
        <w:t>se studies, similar to the FDI studies in other sectors, underlined the problems such as regulatory barriers, risks and uncertainties in incentive schemes</w:t>
      </w:r>
      <w:r w:rsidR="00926FD0" w:rsidRPr="00D50AF8">
        <w:rPr>
          <w:rFonts w:ascii="Times New Roman" w:hAnsi="Times New Roman" w:cs="Times New Roman"/>
        </w:rPr>
        <w:t>,</w:t>
      </w:r>
      <w:r w:rsidR="00726FC9" w:rsidRPr="00D50AF8">
        <w:rPr>
          <w:rFonts w:ascii="Times New Roman" w:hAnsi="Times New Roman" w:cs="Times New Roman"/>
        </w:rPr>
        <w:t xml:space="preserve"> poor institutional quality, lack of finance, problems and frictions in energy markets are the major </w:t>
      </w:r>
      <w:r w:rsidR="00926FD0" w:rsidRPr="00D50AF8">
        <w:rPr>
          <w:rFonts w:ascii="Times New Roman" w:hAnsi="Times New Roman" w:cs="Times New Roman"/>
        </w:rPr>
        <w:t xml:space="preserve">obstacles for foreign investors </w:t>
      </w:r>
      <w:r w:rsidR="009F4D10" w:rsidRPr="00D50AF8">
        <w:rPr>
          <w:rFonts w:ascii="Times New Roman" w:hAnsi="Times New Roman" w:cs="Times New Roman"/>
        </w:rPr>
        <w:fldChar w:fldCharType="begin" w:fldLock="1"/>
      </w:r>
      <w:r w:rsidR="00AB4E69">
        <w:rPr>
          <w:rFonts w:ascii="Times New Roman" w:hAnsi="Times New Roman" w:cs="Times New Roman"/>
        </w:rPr>
        <w:instrText>ADDIN CSL_CITATION { "citationItems" : [ { "id" : "ITEM-1", "itemData" : { "DOI" : "http://dx.doi.org/10.1016/S0301-4215(99)00063-4", "ISSN" : "0301-4215", "abstract" : "Using data from an original survey of US private investors, official Chinese statistics, and other sources, we assess the volume and characteristics of FDI in China's power sector, its impact on energy efficiency, and the factors that limit this impact. Our five principal findings are as follows. First, the volume of FDI in China's power sector will likely fall short of the government's 1995 \u2013 2000 capacity expansion target by a substantial margin, in part because of persistent institutional barriers to FDI. Second, to avoid the lengthy central government approval process for large plants and to minimize risk, early FDI tended to be in small-scale, gas- and oil-fired plants using imported equipment and located in coastal provinces. However, more recent FDI tends to be in larger coal-fired plants that use more Chinese equipment and tends to be located in the north as well as the east. Third, and perhaps most important, FDI is likely having a significant positive impact on energy efficiency. Almost a third of the 20 FDI plants in our survey sample use advanced efficiency-enhancing generating technologies, and a fifth are cogeneration plants. Fourth, the main factor that has hampered the contribution of FDI to energy efficiency is an institutional bias in favor of small-scale plants which are generally not as energy efficient as the large-scale plants. And finally, the most important institutional barriers to FDI generally are uncertainty associated with the approval process for FDI projects, electricity sector regulation, and the risk of default on power purchase contracts.", "author" : [ { "dropping-particle" : "", "family" : "Blackman", "given" : "Allen", "non-dropping-particle" : "", "parse-names" : false, "suffix" : "" }, { "dropping-particle" : "", "family" : "Wu", "given" : "Xun", "non-dropping-particle" : "", "parse-names" : false, "suffix" : "" } ], "container-title" : "Energy Policy", "id" : "ITEM-1", "issue" : "12", "issued" : { "date-parts" : [ [ "1999", "11", "1" ] ] }, "page" : "695-711", "title" : "Foreign direct investment in china's power sector: trends, benefits and barriers", "type" : "article-journal", "volume" : "27" }, "uris" : [ "http://www.mendeley.com/documents/?uuid=6ae619b4-78e1-432b-b1dc-f595a7d2d43b" ] }, { "id" : "ITEM-2", "itemData" : { "DOI" : "10.1016/j.enpol.2009.12.008", "ISBN" : "0301-4215", "ISSN" : "03014215", "abstract" : "The world needs to reduce greenhouse gas emissions to prevent climate change, while meeting the energy needs of developed and developing economies. Recent studies suggest that generation of electricity from concentrated solar power in North African countries and its transmission to Europe could provide European and North African partners with low-carbon electricity. The private capital will be likely required to achieve the scale of new investment and yet the North African region experience difficulties with sustaining high levels of foreign direct investment from the private sector. The literature identifies a number of risks as barriers to investment, and we examine these in the particular context of renewable energy development. We conducted three stages of interviews with stakeholders to learn their perceptions of the risks most likely to affect renewable energy projects. Three class of risks-regulatory, political, and force majeure (which includes terrorism)-stand out as being of high concern. Of these, regulatory risks are perceived as being the most consequential, and the most likely to occur. This suggests that attention to building the capacities of North African countries to develop, implement, and enforce sound regulations in a transparent manner could be an important step in promoting renewable energy cooperation with Europe. ?? 2009 Elsevier Ltd.", "author" : [ { "dropping-particle" : "", "family" : "Komendantova", "given" : "Nadejda", "non-dropping-particle" : "", "parse-names" : false, "suffix" : "" }, { "dropping-particle" : "", "family" : "Patt", "given" : "Anthony", "non-dropping-particle" : "", "parse-names" : false, "suffix" : "" }, { "dropping-particle" : "", "family" : "Barras", "given" : "Lucile", "non-dropping-particle" : "", "parse-names" : false, "suffix" : "" }, { "dropping-particle" : "", "family" : "Battaglini", "given" : "Antonella", "non-dropping-particle" : "", "parse-names" : false, "suffix" : "" } ], "container-title" : "Energy Policy", "id" : "ITEM-2", "issue" : "1", "issued" : { "date-parts" : [ [ "2012" ] ] }, "note" : "Okundu baz\u0131 noktalar yaz\u0131ld\u0131, genel bir makale", "page" : "103-109", "publisher" : "Elsevier", "title" : "Perception of risks in renewable energy projects: The case of concentrated solar power in North Africa", "type" : "article-journal", "volume" : "40" }, "uris" : [ "http://www.mendeley.com/documents/?uuid=427d76b9-1424-406f-9887-47830a1af8cd" ] }, { "id" : "ITEM-3", "itemData" : { "DOI" : "10.1016/j.enpol.2016.09.018", "ISSN" : "03014215", "abstract" : "This paper addresses three questions: how have trade and investment in wind and solar sectors evolved between the EU and China in recent years? Is there a link between rising trade conflicts and trade and investment trends? And what wider motivations and synergies can be identified in Chinese investments in the EU's RE sector? To address these questions we analyze trade and investment data, as well as qualitative data, including information from media and company reports. Large increases in trade and investment were followed by rapid falls since 2012-13. Trade tensions have not led to increases in investment, rather the inverse. We find that Chinese investment in these two sectors is very concentrated in Germany. The key motivation for investment is market seeking, although R+D is also important, especially for wind. Most investments are greenfield, a preference that has persisted over time. Our qualitative analysis of several key acquisitions indicates that technology integration and the consolidation of capacities across the supply chain were key motivations in most of the cases studied. We conclude with some policy orientations.", "author" : [ { "dropping-particle" : "", "family" : "Curran", "given" : "Louise", "non-dropping-particle" : "", "parse-names" : false, "suffix" : "" }, { "dropping-particle" : "", "family" : "Lv", "given" : "Ping", "non-dropping-particle" : "", "parse-names" : false, "suffix" : "" }, { "dropping-particle" : "", "family" : "Spigarelli", "given" : "Francesca", "non-dropping-particle" : "", "parse-names" : false, "suffix" : "" } ], "container-title" : "Energy Policy", "id" : "ITEM-3", "issued" : { "date-parts" : [ [ "2016" ] ] }, "page" : "670-682", "publisher" : "Elsevier", "title" : "Chinese investment in the EU renewable energy sector: Motives, synergies and policy implications", "type" : "article-journal", "volume" : "101" }, "uris" : [ "http://www.mendeley.com/documents/?uuid=73f5cdd0-c04c-4299-b6c3-f4cbb5a3c6aa" ] }, { "id" : "ITEM-4", "itemData" : { "DOI" : "10.1016/j.enpol.2015.01.042", "ISSN" : "0301-4215", "author" : [ { "dropping-particle" : "", "family" : "Lv", "given" : "Ping", "non-dropping-particle" : "", "parse-names" : false, "suffix" : "" }, { "dropping-particle" : "", "family" : "Spigarelli", "given" : "Francesca", "non-dropping-particle" : "", "parse-names" : false, "suffix" : "" } ], "container-title" : "Energy Policy", "id" : "ITEM-4", "issued" : { "date-parts" : [ [ "2015" ] ] }, "note" : "G\u00fczel ve \u00f6nemli bir makale, T\u00fcrkiye ve di\u011fer avrupa \u00fclkelerinin kar\u015f\u0131la\u015ft\u0131r\u0131lmas\u0131 i\u00e7in kullan\u0131labilir", "page" : "14-26", "publisher" : "Elsevier", "title" : "The integration of Chinese and European renewable energy markets : The role of Chinese foreign direct investments", "type" : "article-journal", "volume" : "81" }, "uris" : [ "http://www.mendeley.com/documents/?uuid=a039ba43-16bc-4b22-ad81-2cd1a67fb01e" ] }, { "id" : "ITEM-5", "itemData" : { "DOI" : "10.1016/j.rser.2017.03.016", "ISSN" : "1364-0321", "author" : [ { "dropping-particle" : "", "family" : "Zeng", "given" : "Shihong", "non-dropping-particle" : "", "parse-names" : false, "suffix" : "" }, { "dropping-particle" : "", "family" : "Liu", "given" : "Yuchen", "non-dropping-particle" : "", "parse-names" : false, "suffix" : "" }, { "dropping-particle" : "", "family" : "Liu", "given" : "Chao", "non-dropping-particle" : "", "parse-names" : false, "suffix" : "" }, { "dropping-particle" : "", "family" : "Nan", "given" : "Xin", "non-dropping-particle" : "", "parse-names" : false, "suffix" : "" } ], "container-title" : "Renewable and Sustainable Energy Reviews", "id" : "ITEM-5", "issue" : "November 2016", "issued" : { "date-parts" : [ [ "2017" ] ] }, "note" : "Okundu enel olarak BRIClerdeki investment konusuna odaklanm\u0131\u015f ama bu da eklendi", "page" : "860-872", "publisher" : "Elsevier Ltd", "title" : "A review of renewable energy investment in the BRICS countries : History , models , problems and solutions", "type" : "article-journal", "volume" : "74" }, "uris" : [ "http://www.mendeley.com/documents/?uuid=03d44ce9-6ac0-464f-8fac-efc2db90435b" ] }, { "id" : "ITEM-6", "itemData" : { "author" : [ { "dropping-particle" : "", "family" : "Resmini", "given" : "Laura", "non-dropping-particle" : "", "parse-names" : false, "suffix" : "" } ], "container-title" : "Economics of Transition", "id" : "ITEM-6", "issue" : "8", "issued" : { "date-parts" : [ [ "2000" ] ] }, "page" : "665-689", "title" : "The determinants of foreign direct investment in the CEECS: New evidence from sectoral patterns", "type" : "article-journal" }, "uris" : [ "http://www.mendeley.com/documents/?uuid=afbb9835-7859-4195-b8b0-1aaef83e6db1" ] }, { "id" : "ITEM-7", "itemData" : { "DOI" : "10.1016/j.rser.2013.08.093", "ISSN" : "1364-0321", "author" : [ { "dropping-particle" : "", "family" : "Streimikiene", "given" : "Dalia", "non-dropping-particle" : "", "parse-names" : false, "suffix" : "" }, { "dropping-particle" : "", "family" : "Siksnelyte", "given" : "Indre", "non-dropping-particle" : "", "parse-names" : false, "suffix" : "" } ], "container-title" : "Renewable and Sustainable Energy Reviews", "id" : "ITEM-7", "issued" : { "date-parts" : [ [ "2014" ] ] }, "note" : "Okundu notlar al\u0131nd", "page" : "891-904", "publisher" : "Elsevier", "title" : "Electricity market opening impact on investments in electricity sector", "type" : "article-journal", "volume" : "29" }, "uris" : [ "http://www.mendeley.com/documents/?uuid=aad4f4b6-f9a4-4114-8520-9d63685b0f6f" ] }, { "id" : "ITEM-8", "itemData" : { "DOI" : "10.1016/j.rser.2015.08.017", "ISSN" : "1364-0321", "author" : [ { "dropping-particle" : "", "family" : "Khatun", "given" : "Fahmida", "non-dropping-particle" : "", "parse-names" : false, "suffix" : "" }, { "dropping-particle" : "", "family" : "Ahamad", "given" : "Mazbahul", "non-dropping-particle" : "", "parse-names" : false, "suffix" : "" } ], "container-title" : "Renewable and Sustainable Energy Reviews", "id" : "ITEM-8", "issued" : { "date-parts" : [ [ "2015" ] ] }, "note" : "Okundu temel bir iki nokta var not al\u0131nd\u0131.", "page" : "1369-1377", "publisher" : "Elsevier", "title" : "Foreign direct investment in the energy and power sector in Bangladesh : Implications for economic growth", "type" : "article-journal", "volume" : "52" }, "uris" : [ "http://www.mendeley.com/documents/?uuid=5b287270-1919-455c-b718-afcbdfc33a7a" ] } ], "mendeley" : { "formattedCitation" : "(Blackman &amp; Wu, 1999; Curran, Lv, &amp; Spigarelli, 2016; Khatun &amp; Ahamad, 2015; Komendantova, Patt, Barras, &amp; Battaglini, 2012; Lv &amp; Spigarelli, 2015; Resmini, 2000; Streimikiene &amp; Siksnelyte, 2014; Zeng, Liu, Liu, &amp; Nan, 2017)", "plainTextFormattedCitation" : "(Blackman &amp; Wu, 1999; Curran, Lv, &amp; Spigarelli, 2016; Khatun &amp; Ahamad, 2015; Komendantova, Patt, Barras, &amp; Battaglini, 2012; Lv &amp; Spigarelli, 2015; Resmini, 2000; Streimikiene &amp; Siksnelyte, 2014; Zeng, Liu, Liu, &amp; Nan, 2017)", "previouslyFormattedCitation" : "(Blackman &amp; Wu, 1999; Curran, Lv, &amp; Spigarelli, 2016; Khatun &amp; Ahamad, 2015; Komendantova, Patt, Barras, &amp; Battaglini, 2012; Lv &amp; Spigarelli, 2015; Resmini, 2000; Streimikiene &amp; Siksnelyte, 2014; Zeng, Liu, Liu, &amp; Nan, 2017)" }, "properties" : { "noteIndex" : 0 }, "schema" : "https://github.com/citation-style-language/schema/raw/master/csl-citation.json" }</w:instrText>
      </w:r>
      <w:r w:rsidR="009F4D10" w:rsidRPr="00D50AF8">
        <w:rPr>
          <w:rFonts w:ascii="Times New Roman" w:hAnsi="Times New Roman" w:cs="Times New Roman"/>
        </w:rPr>
        <w:fldChar w:fldCharType="separate"/>
      </w:r>
      <w:r w:rsidR="00AB4E69" w:rsidRPr="00AB4E69">
        <w:rPr>
          <w:rFonts w:ascii="Times New Roman" w:hAnsi="Times New Roman" w:cs="Times New Roman"/>
          <w:noProof/>
        </w:rPr>
        <w:t>(Blackman &amp; Wu, 1999; Curran, Lv, &amp; Spigarelli, 2016; Khatun &amp; Ahamad, 2015; Komendantova, Patt, Barras, &amp; Battaglini, 2012; Lv &amp; Spigarelli, 2015; Resmini, 2000; Streimikiene &amp; Siksnelyte, 2014; Zeng, Liu, Liu, &amp; Nan, 2017)</w:t>
      </w:r>
      <w:r w:rsidR="009F4D10" w:rsidRPr="00D50AF8">
        <w:rPr>
          <w:rFonts w:ascii="Times New Roman" w:hAnsi="Times New Roman" w:cs="Times New Roman"/>
        </w:rPr>
        <w:fldChar w:fldCharType="end"/>
      </w:r>
      <w:r w:rsidR="00926FD0" w:rsidRPr="00D50AF8">
        <w:rPr>
          <w:rFonts w:ascii="Times New Roman" w:hAnsi="Times New Roman" w:cs="Times New Roman"/>
        </w:rPr>
        <w:t>. Most empirical studies have shown that i</w:t>
      </w:r>
      <w:r w:rsidRPr="00D50AF8">
        <w:rPr>
          <w:rFonts w:ascii="Times New Roman" w:hAnsi="Times New Roman" w:cs="Times New Roman"/>
        </w:rPr>
        <w:t xml:space="preserve">nstitutional quality and business environment are found to be the </w:t>
      </w:r>
      <w:r w:rsidR="00926FD0" w:rsidRPr="00D50AF8">
        <w:rPr>
          <w:rFonts w:ascii="Times New Roman" w:hAnsi="Times New Roman" w:cs="Times New Roman"/>
        </w:rPr>
        <w:t xml:space="preserve">major driver </w:t>
      </w:r>
      <w:r w:rsidRPr="00D50AF8">
        <w:rPr>
          <w:rFonts w:ascii="Times New Roman" w:hAnsi="Times New Roman" w:cs="Times New Roman"/>
        </w:rPr>
        <w:t>of energy FDI inflows to developing economies. Yet, country-specific characteristics, notably market potential and public policies to encourage energy investments also promote energy FDI inflows.</w:t>
      </w:r>
    </w:p>
    <w:p w:rsidR="00A4702A" w:rsidRPr="00D50AF8" w:rsidRDefault="00926FD0" w:rsidP="00926FD0">
      <w:pPr>
        <w:pStyle w:val="BodyText"/>
        <w:jc w:val="both"/>
        <w:rPr>
          <w:rFonts w:ascii="Times New Roman" w:hAnsi="Times New Roman" w:cs="Times New Roman"/>
        </w:rPr>
      </w:pPr>
      <w:r w:rsidRPr="00D50AF8">
        <w:rPr>
          <w:rFonts w:ascii="Times New Roman" w:hAnsi="Times New Roman" w:cs="Times New Roman"/>
        </w:rPr>
        <w:t xml:space="preserve">The studies on FDI inflows in Turkey, have also found similar results to those studies. </w:t>
      </w:r>
      <w:r w:rsidR="00A4702A" w:rsidRPr="00D50AF8">
        <w:rPr>
          <w:rFonts w:ascii="Times New Roman" w:hAnsi="Times New Roman" w:cs="Times New Roman"/>
        </w:rPr>
        <w:t xml:space="preserve">While </w:t>
      </w:r>
      <w:r w:rsidRPr="00D50AF8">
        <w:rPr>
          <w:rFonts w:ascii="Times New Roman" w:hAnsi="Times New Roman" w:cs="Times New Roman"/>
        </w:rPr>
        <w:t xml:space="preserve">authors tried to validate </w:t>
      </w:r>
      <w:r w:rsidR="00A4702A" w:rsidRPr="00D50AF8">
        <w:rPr>
          <w:rFonts w:ascii="Times New Roman" w:hAnsi="Times New Roman" w:cs="Times New Roman"/>
        </w:rPr>
        <w:t xml:space="preserve">different theories and approaches in analyzing FDI flows in Turkey, most of them have focused on macroeconomic variables, business environment, European Union accession process, institutions and micro-economic factors. </w:t>
      </w:r>
      <w:r w:rsidRPr="00D50AF8">
        <w:rPr>
          <w:rFonts w:ascii="Times New Roman" w:hAnsi="Times New Roman" w:cs="Times New Roman"/>
        </w:rPr>
        <w:t xml:space="preserve">These studies have found out </w:t>
      </w:r>
      <w:r w:rsidR="00FF05DC" w:rsidRPr="00D50AF8">
        <w:rPr>
          <w:rFonts w:ascii="Times New Roman" w:hAnsi="Times New Roman" w:cs="Times New Roman"/>
        </w:rPr>
        <w:t>that political and economic reforms contributed positively to investment environment, and economic integration with the European Union have supported FDI inflows to Turkey ; however, Turkey performed poorly compared to similar countries,</w:t>
      </w:r>
      <w:r w:rsidR="00C60175" w:rsidRPr="00D50AF8">
        <w:rPr>
          <w:rFonts w:ascii="Times New Roman" w:hAnsi="Times New Roman" w:cs="Times New Roman"/>
        </w:rPr>
        <w:t xml:space="preserve"> and</w:t>
      </w:r>
      <w:r w:rsidR="00FF05DC" w:rsidRPr="00D50AF8">
        <w:rPr>
          <w:rFonts w:ascii="Times New Roman" w:hAnsi="Times New Roman" w:cs="Times New Roman"/>
        </w:rPr>
        <w:t xml:space="preserve"> problems in rule-of law, lack of transparency in bureaucratic processes, </w:t>
      </w:r>
      <w:r w:rsidR="00C60175" w:rsidRPr="00D50AF8">
        <w:rPr>
          <w:rFonts w:ascii="Times New Roman" w:hAnsi="Times New Roman" w:cs="Times New Roman"/>
        </w:rPr>
        <w:t xml:space="preserve">unfavorable fiscal policy and taxation, unfavorable business environment, low innovative capabilities, </w:t>
      </w:r>
      <w:r w:rsidR="00A4702A" w:rsidRPr="00D50AF8">
        <w:rPr>
          <w:rFonts w:ascii="Times New Roman" w:hAnsi="Times New Roman" w:cs="Times New Roman"/>
        </w:rPr>
        <w:t xml:space="preserve">economic instability, negative government </w:t>
      </w:r>
      <w:r w:rsidR="00A4702A" w:rsidRPr="00D50AF8">
        <w:rPr>
          <w:rFonts w:ascii="Times New Roman" w:hAnsi="Times New Roman" w:cs="Times New Roman"/>
        </w:rPr>
        <w:lastRenderedPageBreak/>
        <w:t>attitudes towards foreign investors, weak enabling environment for privatization-re</w:t>
      </w:r>
      <w:r w:rsidR="00FF05DC" w:rsidRPr="00D50AF8">
        <w:rPr>
          <w:rFonts w:ascii="Times New Roman" w:hAnsi="Times New Roman" w:cs="Times New Roman"/>
        </w:rPr>
        <w:t xml:space="preserve">lated FDI, </w:t>
      </w:r>
      <w:r w:rsidR="00A4702A" w:rsidRPr="00D50AF8">
        <w:rPr>
          <w:rFonts w:ascii="Times New Roman" w:hAnsi="Times New Roman" w:cs="Times New Roman"/>
        </w:rPr>
        <w:t>lack of effective investment promotion</w:t>
      </w:r>
      <w:r w:rsidR="00FB45C5" w:rsidRPr="00D50AF8">
        <w:rPr>
          <w:rFonts w:ascii="Times New Roman" w:hAnsi="Times New Roman" w:cs="Times New Roman"/>
        </w:rPr>
        <w:t xml:space="preserve"> still constitute considerable obstacles again</w:t>
      </w:r>
      <w:r w:rsidR="00C60175" w:rsidRPr="00D50AF8">
        <w:rPr>
          <w:rFonts w:ascii="Times New Roman" w:hAnsi="Times New Roman" w:cs="Times New Roman"/>
        </w:rPr>
        <w:t>s</w:t>
      </w:r>
      <w:r w:rsidR="00FB45C5" w:rsidRPr="00D50AF8">
        <w:rPr>
          <w:rFonts w:ascii="Times New Roman" w:hAnsi="Times New Roman" w:cs="Times New Roman"/>
        </w:rPr>
        <w:t>t FDI inflows</w:t>
      </w:r>
      <w:r w:rsidR="00C60175" w:rsidRPr="00D50AF8">
        <w:rPr>
          <w:rFonts w:ascii="Times New Roman" w:hAnsi="Times New Roman" w:cs="Times New Roman"/>
        </w:rPr>
        <w:t xml:space="preserve">. </w:t>
      </w:r>
      <w:r w:rsidR="009F4D10" w:rsidRPr="00D50AF8">
        <w:rPr>
          <w:rFonts w:ascii="Times New Roman" w:hAnsi="Times New Roman" w:cs="Times New Roman"/>
        </w:rPr>
        <w:fldChar w:fldCharType="begin" w:fldLock="1"/>
      </w:r>
      <w:r w:rsidR="009F1FDC">
        <w:rPr>
          <w:rFonts w:ascii="Times New Roman" w:hAnsi="Times New Roman" w:cs="Times New Roman"/>
        </w:rPr>
        <w:instrText>ADDIN CSL_CITATION { "citationItems" : [ { "id" : "ITEM-1", "itemData" : { "DOI" : "10.1080/14683840500235423", "ISBN" : "14683849", "ISSN" : "1468-3849", "PMID" : "18288337", "abstract" : "Despite huge potential, Turkey has failed to attract levels of foreign direct investment (FDI) entering countries of comparable size such as Mexico and Argentina. Several barriers have squandered the advantages that Turkey could offer to foreign investors. Turkey was given a date for starting negotiations with the EU and although Turkey\u2019s accession to the EU in the future cannot be taken for granted, the prospect of future membership could boost FDI in Turkey on the condition that ongoing efforts of democratization and economic stabilization implemented by the Erdo\u011fan government remain high priorities on Ankara\u2019s agenda. [ABSTRACT FROM AUTHOR] Copyright of Turkish Studies is the property of Routledge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"Hadjit", "given" : "Assia", "non-dropping-particle" : "", "parse-names" : false, "suffix" : "" }, { "dropping-particle" : "", "family" : "Moxon Browne", "given" : "Edward", "non-dropping-particle" : "", "parse-names" : false, "suffix" : "" } ], "container-title" : "Turkish Studies", "id" : "ITEM-1", "issue" : "3", "issued" : { "date-parts" : [ [ "2005" ] ] }, "page" : "321-340", "title" : "Foreign Direct Investment in Turkey: The Implications of EU Accession", "type" : "article-journal", "volume" : "6" }, "uris" : [ "http://www.mendeley.com/documents/?uuid=bb569dcc-f9d6-4a15-bf50-86083985485b" ] }, { "id" : "ITEM-2", "itemData" : { "author" : [ { "dropping-particle" : "", "family" : "Basar", "given" : "Mehmet", "non-dropping-particle" : "", "parse-names" : false, "suffix" : "" }, { "dropping-particle" : "", "family" : "Tosunoglu", "given" : "Sebnem", "non-dropping-particle" : "", "parse-names" : false, "suffix" : "" } ], "container-title" : "Managing Global Transitions", "id" : "ITEM-2", "issued" : { "date-parts" : [ [ "2006" ] ] }, "note" : "Okundu makroekonomik stabilitie ile iligli makale yaz\u0131ld\u0131.", "page" : "115-128", "title" : "EU integration process: Will Turkey overcome the FDI obstacles?", "type" : "article-journal", "volume" : "4" }, "uris" : [ "http://www.mendeley.com/documents/?uuid=6ae6d158-2f10-47bd-ae1e-edeba380e1ad" ] }, { "id" : "ITEM-3", "itemData" : { "DOI" : "10.1016/j.econmod.2012.04.009", "ISSN" : "02649993", "abstract" : "This paper considers movements of Foreign Direct Investments (FDI) in Turkey, and therefore, to understand the dynamics of FDI, runs several nonlinear FDI equations in which the basic determinants of FDI in Turkey are determined through Markov Regime-Switching Models (MSMs). The statistical properties of Markov Regime-Switching time series models are more desirable than those of conventional time series or panel regression models. Through these properties of MSMs, i) one can observe structural changes, if they exist, in FDI equations through time, ii) if, in fact, the true FDI regression equation follows a nonlinear relationship, MSMs fit data better than the linear models. This paper eventually follows maximum likelihood methodology of Markov Regime-Switching Model (MSM) to search for the possible structural changes in level and/or trends and possible changes in parameters of independent variables of FDI\u2013MSM equations through the transition probabilities. In conclusion, this paper yields the outcome that Turkish FDI growth equation has significant structural changes in level and trend and that has significant coefficient shifts in explanatory variables. These explanatory variables are Turkish GDP Growth, Labor Cost, the Electricity Price Growth, the growth in average prices of High Sulphur Fuel Oil, Cooking Coal, Steam Coal and Natural Gas, Export Growth, Import Growth, Discount Rate and Country Risk Indexes for Turkey, US and EU, respectively, within the time interval from 1988 first quarter to 2010 second quarter.", "author" : [ { "dropping-particle" : "", "family" : "Bilgili", "given" : "Faik", "non-dropping-particle" : "", "parse-names" : false, "suffix" : "" }, { "dropping-particle" : "", "family" : "T\u00fcl\u00fcce", "given" : "Nadide Sevil Hal\u0131c\u0131", "non-dropping-particle" : "", "parse-names" : false, "suffix" : "" }, { "dropping-particle" : "", "family" : "Do\u011fan", "given" : "\u0130brahim", "non-dropping-particle" : "", "parse-names" : false, "suffix" : "" } ], "container-title" : "Economic Modelling", "id" : "ITEM-3", "issue" : "4", "issued" : { "date-parts" : [ [ "2012", "7" ] ] }, "note" : "Okundu, notlar al\u0131nd\u0131", "page" : "1161-1169", "title" : "The determinants of FDI in Turkey: A Markov Regime-Switching approach", "type" : "article-journal", "volume" : "29" }, "uris" : [ "http://www.mendeley.com/documents/?uuid=41686735-dd3d-498e-a5c7-0d5c35a6b99f" ] }, { "id" : "ITEM-4", "itemData" : { "author" : [ { "dropping-particle" : "", "family" : "Emir", "given" : "Mustafa", "non-dropping-particle" : "", "parse-names" : false, "suffix" : "" }, { "dropping-particle" : "", "family" : "Uysal", "given" : "Mustafa", "non-dropping-particle" : "", "parse-names" : false, "suffix" : "" }, { "dropping-particle" : "", "family" : "Do\u011fru", "given" : "B\u00fclent", "non-dropping-particle" : "", "parse-names" : false, "suffix" : "" } ], "container-title" : "Atat\u00fcrk \u00dcniversitesi \u0130ktisadi ve \u0130dari Bilimler Dergisi", "id" : "ITEM-4", "issue" : "2", "issued" : { "date-parts" : [ [ "2013" ] ] }, "page" : "123-136", "title" : "\u00dclkenin risklilik durumu ile \u00fclkeye gelen do\u011frudan yabanc\u0131 yat\u0131r\u0131m aras\u0131ndaki ili\u015fki: T\u00fcrkiye \u00f6rne\u011fi", "type" : "article-journal", "volume" : "27" }, "uris" : [ "http://www.mendeley.com/documents/?uuid=a30e00ff-d319-45c9-8a89-549aa91c85b5" ] }, { "id" : "ITEM-5", "itemData" : { "ISSN" : "1525-383X", "author" : [ { "dropping-particle" : "", "family" : "Erdal", "given" : "Fuat", "non-dropping-particle" : "", "parse-names" : false, "suffix" : "" }, { "dropping-particle" : "", "family" : "Tatoglu", "given" : "Ekrem", "non-dropping-particle" : "", "parse-names" : false, "suffix" : "" } ], "container-title" : "Multinational Business Review", "id" : "ITEM-5", "issue" : "1", "issued" : { "date-parts" : [ [ "2002" ] ] }, "page" : "21", "publisher" : "Emerald Group Publishing, Ltd.", "title" : "Locational determinants of foreign direct investment in an emerging market ec ...", "type" : "article-journal", "volume" : "10" }, "uris" : [ "http://www.mendeley.com/documents/?uuid=b7167eb9-8fc6-363c-aa4c-208a29579e50" ] } ], "mendeley" : { "formattedCitation" : "(Basar &amp; Tosunoglu, 2006; Bilgili, T\u00fcl\u00fcce, &amp; Do\u011fan, 2012; Emir, Uysal, &amp; Do\u011fru, 2013; Erdal &amp; Tatoglu, 2002; Hadjit &amp; Moxon Browne, 2005)", "plainTextFormattedCitation" : "(Basar &amp; Tosunoglu, 2006; Bilgili, T\u00fcl\u00fcce, &amp; Do\u011fan, 2012; Emir, Uysal, &amp; Do\u011fru, 2013; Erdal &amp; Tatoglu, 2002; Hadjit &amp; Moxon Browne, 2005)", "previouslyFormattedCitation" : "(Basar &amp; Tosunoglu, 2006; Bilgili, T\u00fcl\u00fcce, &amp; Do\u011fan, 2012; Emir, Uysal, &amp; Do\u011fru, 2013; Erdal &amp; Tatoglu, 2002; Hadjit &amp; Moxon Browne, 2005)" }, "properties" : { "noteIndex" : 0 }, "schema" : "https://github.com/citation-style-language/schema/raw/master/csl-citation.json" }</w:instrText>
      </w:r>
      <w:r w:rsidR="009F4D10" w:rsidRPr="00D50AF8">
        <w:rPr>
          <w:rFonts w:ascii="Times New Roman" w:hAnsi="Times New Roman" w:cs="Times New Roman"/>
        </w:rPr>
        <w:fldChar w:fldCharType="separate"/>
      </w:r>
      <w:proofErr w:type="gramStart"/>
      <w:r w:rsidR="00AB4E69" w:rsidRPr="00AB4E69">
        <w:rPr>
          <w:rFonts w:ascii="Times New Roman" w:hAnsi="Times New Roman" w:cs="Times New Roman"/>
          <w:noProof/>
        </w:rPr>
        <w:t>(Basar &amp; Tosunoglu, 2006; Bilgili, Tülüce, &amp; Doğan, 2012; Emir, Uysal, &amp; Doğru, 2013; Erdal &amp; Tatoglu, 2002; Hadjit &amp; Moxon Browne, 2005)</w:t>
      </w:r>
      <w:r w:rsidR="009F4D10" w:rsidRPr="00D50AF8">
        <w:rPr>
          <w:rFonts w:ascii="Times New Roman" w:hAnsi="Times New Roman" w:cs="Times New Roman"/>
        </w:rPr>
        <w:fldChar w:fldCharType="end"/>
      </w:r>
      <w:r w:rsidR="00AB4E69">
        <w:rPr>
          <w:rFonts w:ascii="Times New Roman" w:hAnsi="Times New Roman" w:cs="Times New Roman"/>
        </w:rPr>
        <w:t>.</w:t>
      </w:r>
      <w:proofErr w:type="gramEnd"/>
      <w:r w:rsidR="00AB4E69" w:rsidRPr="00D50AF8">
        <w:rPr>
          <w:rFonts w:ascii="Times New Roman" w:hAnsi="Times New Roman" w:cs="Times New Roman"/>
        </w:rPr>
        <w:t xml:space="preserve"> </w:t>
      </w:r>
    </w:p>
    <w:p w:rsidR="00A4702A" w:rsidRPr="00D50AF8" w:rsidRDefault="00A4702A" w:rsidP="00A4702A">
      <w:pPr>
        <w:pStyle w:val="FirstParagraph"/>
        <w:jc w:val="both"/>
        <w:rPr>
          <w:rFonts w:ascii="Times New Roman" w:hAnsi="Times New Roman" w:cs="Times New Roman"/>
        </w:rPr>
      </w:pPr>
      <w:r w:rsidRPr="00D50AF8">
        <w:rPr>
          <w:rFonts w:ascii="Times New Roman" w:hAnsi="Times New Roman" w:cs="Times New Roman"/>
        </w:rPr>
        <w:t xml:space="preserve">Sanchez-Martin </w:t>
      </w:r>
      <w:r w:rsidR="009F4D10" w:rsidRPr="00D50AF8">
        <w:rPr>
          <w:rFonts w:ascii="Times New Roman" w:hAnsi="Times New Roman" w:cs="Times New Roman"/>
        </w:rPr>
        <w:fldChar w:fldCharType="begin" w:fldLock="1"/>
      </w:r>
      <w:r w:rsidR="009F1FDC">
        <w:rPr>
          <w:rFonts w:ascii="Times New Roman" w:hAnsi="Times New Roman" w:cs="Times New Roman"/>
        </w:rPr>
        <w:instrText>ADDIN CSL_CITATION { "citationItems" : [ { "id" : "ITEM-1", "itemData" : { "author" : [ { "dropping-particle" : "", "family" : "Eduardo", "given" : "Miguel", "non-dropping-particle" : "", "parse-names" : false, "suffix" : "" }, { "dropping-particle" : "", "family" : "Mart\u00edn", "given" : "S\u00e1nchez", "non-dropping-particle" : "", "parse-names" : false, "suffix" : "" } ], "id" : "ITEM-1", "issue" : "July", "issued" : { "date-parts" : [ [ "2014" ] ] }, "note" : "Okundu, \u00f6nemli noktalar var, not al\u0131nd\u0131", "title" : "How Regional Integration and Transnational Energy Networks Have Boosted FDI in Turkey ( and May Cease to Do So ) A Case Study : How Geo-Political Alliances and Regional Networks Matter", "type" : "article-journal" }, "uris" : [ "http://www.mendeley.com/documents/?uuid=db625baf-2527-4830-97ea-fe79e6dd7e73" ] } ], "mendeley" : { "formattedCitation" : "(Eduardo &amp; Mart\u00edn, 2014)", "manualFormatting" : "(2014)", "plainTextFormattedCitation" : "(Eduardo &amp; Mart\u00edn, 2014)", "previouslyFormattedCitation" : "(Eduardo &amp; Mart\u00edn, 2014)"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(2014)</w:t>
      </w:r>
      <w:r w:rsidR="009F4D10" w:rsidRPr="00D50AF8">
        <w:rPr>
          <w:rFonts w:ascii="Times New Roman" w:hAnsi="Times New Roman" w:cs="Times New Roman"/>
        </w:rPr>
        <w:fldChar w:fldCharType="end"/>
      </w:r>
      <w:r w:rsidRPr="00D50AF8">
        <w:rPr>
          <w:rFonts w:ascii="Times New Roman" w:hAnsi="Times New Roman" w:cs="Times New Roman"/>
        </w:rPr>
        <w:t xml:space="preserve"> discussed the role of energy networks in FDI inflows to Turkey. Using a qualitative theoretical framework to assess the impact of regionalization on FDI, the authors tried to explain the contribution of EU accession process considering the location of the host country and the degree of environmental change derived from the accession agreement. The authors concluded that liberalization, privatization and Turkey's position in EU's energy security strategy were the main factors for the increase of foreign investments in Turkish electricity, gas and oil sectors. </w:t>
      </w:r>
    </w:p>
    <w:p w:rsidR="00C60175" w:rsidRPr="00D50AF8" w:rsidRDefault="009F4D10" w:rsidP="00051BE9">
      <w:pPr>
        <w:pStyle w:val="BodyText"/>
        <w:jc w:val="both"/>
        <w:rPr>
          <w:rFonts w:ascii="Times New Roman" w:hAnsi="Times New Roman" w:cs="Times New Roman"/>
        </w:rPr>
      </w:pPr>
      <w:r w:rsidRPr="00D50AF8">
        <w:rPr>
          <w:rFonts w:ascii="Times New Roman" w:hAnsi="Times New Roman" w:cs="Times New Roman"/>
        </w:rPr>
        <w:fldChar w:fldCharType="begin" w:fldLock="1"/>
      </w:r>
      <w:r w:rsidR="009F1FDC">
        <w:rPr>
          <w:rFonts w:ascii="Times New Roman" w:hAnsi="Times New Roman" w:cs="Times New Roman"/>
        </w:rPr>
        <w:instrText>ADDIN CSL_CITATION { "citationItems" : [ { "id" : "ITEM-1", "itemData" : { "DOI" : "10.1016/j.rser.2017.05.160", "ISSN" : "18790690", "abstract" : "\u00a9 2017 Elsevier Ltd Power sector is important for managing the transition towards sustainable and cleaner energy systems, and foreign investments can contribute to overcome the problems encountered in the process. Despite the vast literature on foreign direct investments (FDI) in other sectors, studies on the power sector have been limited to either developed economies or major developing economies such as China or India. Therefore, this study aims to discuss Turkish case by using panel data analysis for 2002\u20132012 period. Results have shown that the major drivers of FDI inflows in Turkish power sector were privatization and low real effective exchange rate during the period. In addition, Turkey has the potential and opportunities to attract more investments with the recent reforms and increasing incentives for renewable energy technologies; however, business environment and the quality of institutions may create obstacles for realizing its potential. Moreover, fiscal incentives and macroeconomic stability are important to sustain investments, and economic and institutional reforms, notably the EU integration process, are important for FDI inflows.", "author" : [ { "dropping-particle" : "", "family" : "Sirin", "given" : "S.M.", "non-dropping-particle" : "", "parse-names" : false, "suffix" : "" } ], "container-title" : "Renewable and Sustainable Energy Reviews", "id" : "ITEM-1", "issued" : { "date-parts" : [ [ "2017" ] ] }, "title" : "Foreign direct investments (FDIs) in Turkish power sector: A discussion on investments, opportunities and risks", "type" : "article-journal", "volume" : "78" }, "uris" : [ "http://www.mendeley.com/documents/?uuid=c466760f-8530-3529-ae04-769f770372fc" ] } ], "mendeley" : { "formattedCitation" : "(Sirin, 2017)", "manualFormatting" : "Sirin (2017)", "plainTextFormattedCitation" : "(Sirin, 2017)", "previouslyFormattedCitation" : "(Sirin, 2017)" }, "properties" : { "noteIndex" : 0 }, "schema" : "https://github.com/citation-style-language/schema/raw/master/csl-citation.json" }</w:instrText>
      </w:r>
      <w:r w:rsidRPr="00D50AF8">
        <w:rPr>
          <w:rFonts w:ascii="Times New Roman" w:hAnsi="Times New Roman" w:cs="Times New Roman"/>
        </w:rPr>
        <w:fldChar w:fldCharType="separate"/>
      </w:r>
      <w:r w:rsidR="009F1FDC">
        <w:rPr>
          <w:rFonts w:ascii="Times New Roman" w:hAnsi="Times New Roman" w:cs="Times New Roman"/>
          <w:noProof/>
        </w:rPr>
        <w:t>Sirin (</w:t>
      </w:r>
      <w:r w:rsidR="00C227DA" w:rsidRPr="00D50AF8">
        <w:rPr>
          <w:rFonts w:ascii="Times New Roman" w:hAnsi="Times New Roman" w:cs="Times New Roman"/>
          <w:noProof/>
        </w:rPr>
        <w:t>2017)</w:t>
      </w:r>
      <w:r w:rsidRPr="00D50AF8">
        <w:rPr>
          <w:rFonts w:ascii="Times New Roman" w:hAnsi="Times New Roman" w:cs="Times New Roman"/>
        </w:rPr>
        <w:fldChar w:fldCharType="end"/>
      </w:r>
      <w:r w:rsidR="008A454F" w:rsidRPr="00D50AF8">
        <w:rPr>
          <w:rFonts w:ascii="Times New Roman" w:hAnsi="Times New Roman" w:cs="Times New Roman"/>
        </w:rPr>
        <w:t xml:space="preserve"> </w:t>
      </w:r>
      <w:r w:rsidR="00C60175" w:rsidRPr="00D50AF8">
        <w:rPr>
          <w:rFonts w:ascii="Times New Roman" w:hAnsi="Times New Roman" w:cs="Times New Roman"/>
        </w:rPr>
        <w:t xml:space="preserve">also conducted a panel data analysis to understand the drivers of FDI inflows to Turkish power market between 2002-2012 period. The study has found that privatization, EU Membership and relatively </w:t>
      </w:r>
      <w:r w:rsidR="00BF2D83" w:rsidRPr="00D50AF8">
        <w:rPr>
          <w:rFonts w:ascii="Times New Roman" w:hAnsi="Times New Roman" w:cs="Times New Roman"/>
        </w:rPr>
        <w:t xml:space="preserve">favorable cost and price competitiveness </w:t>
      </w:r>
      <w:r w:rsidR="00485A3B" w:rsidRPr="00D50AF8">
        <w:rPr>
          <w:rFonts w:ascii="Times New Roman" w:hAnsi="Times New Roman" w:cs="Times New Roman"/>
        </w:rPr>
        <w:t>(real effective exchange rate)</w:t>
      </w:r>
      <w:r w:rsidR="00C60175" w:rsidRPr="00D50AF8">
        <w:rPr>
          <w:rFonts w:ascii="Times New Roman" w:hAnsi="Times New Roman" w:cs="Times New Roman"/>
        </w:rPr>
        <w:t xml:space="preserve"> had positive effect on FDI inflows. </w:t>
      </w:r>
      <w:r w:rsidR="00BF2D83" w:rsidRPr="00D50AF8">
        <w:rPr>
          <w:rFonts w:ascii="Times New Roman" w:hAnsi="Times New Roman" w:cs="Times New Roman"/>
        </w:rPr>
        <w:t>Moreover, the author underlined the importance of business environment, quality of government institutions (governance) and support schemes for new energy technologies in attracting FDI to the power sector.</w:t>
      </w:r>
    </w:p>
    <w:p w:rsidR="00E20DEB" w:rsidRPr="00D50AF8" w:rsidRDefault="007E4C8C" w:rsidP="009F1FDC">
      <w:pPr>
        <w:pStyle w:val="Heading3"/>
        <w:numPr>
          <w:ilvl w:val="0"/>
          <w:numId w:val="21"/>
        </w:numPr>
        <w:jc w:val="both"/>
        <w:rPr>
          <w:rFonts w:ascii="Times New Roman" w:hAnsi="Times New Roman" w:cs="Times New Roman"/>
          <w:sz w:val="24"/>
          <w:szCs w:val="24"/>
        </w:rPr>
      </w:pPr>
      <w:r w:rsidRPr="00D50AF8">
        <w:rPr>
          <w:rFonts w:ascii="Times New Roman" w:hAnsi="Times New Roman" w:cs="Times New Roman"/>
          <w:sz w:val="24"/>
          <w:szCs w:val="24"/>
        </w:rPr>
        <w:t>Issues in Turkish</w:t>
      </w:r>
      <w:r w:rsidR="000766EB" w:rsidRPr="00D50AF8">
        <w:rPr>
          <w:rFonts w:ascii="Times New Roman" w:hAnsi="Times New Roman" w:cs="Times New Roman"/>
          <w:sz w:val="24"/>
          <w:szCs w:val="24"/>
        </w:rPr>
        <w:t xml:space="preserve"> economy and </w:t>
      </w:r>
      <w:r w:rsidRPr="00D50AF8">
        <w:rPr>
          <w:rFonts w:ascii="Times New Roman" w:hAnsi="Times New Roman" w:cs="Times New Roman"/>
          <w:sz w:val="24"/>
          <w:szCs w:val="24"/>
        </w:rPr>
        <w:t>Energy Markets</w:t>
      </w:r>
    </w:p>
    <w:p w:rsidR="007559C9" w:rsidRPr="00D50AF8" w:rsidRDefault="007559C9" w:rsidP="00051BE9">
      <w:pPr>
        <w:pStyle w:val="NormalWeb"/>
        <w:spacing w:before="45" w:beforeAutospacing="0" w:after="45" w:afterAutospacing="0"/>
        <w:ind w:left="45" w:right="45"/>
        <w:jc w:val="both"/>
        <w:rPr>
          <w:rFonts w:eastAsiaTheme="minorHAnsi"/>
          <w:lang w:val="en-US" w:eastAsia="en-US"/>
        </w:rPr>
      </w:pPr>
      <w:r w:rsidRPr="00D50AF8">
        <w:rPr>
          <w:rFonts w:eastAsiaTheme="minorHAnsi"/>
          <w:lang w:val="en-US" w:eastAsia="en-US"/>
        </w:rPr>
        <w:t xml:space="preserve">Figure </w:t>
      </w:r>
      <w:r w:rsidR="009F1FDC">
        <w:rPr>
          <w:rFonts w:eastAsiaTheme="minorHAnsi"/>
          <w:lang w:val="en-US" w:eastAsia="en-US"/>
        </w:rPr>
        <w:t xml:space="preserve">4 </w:t>
      </w:r>
      <w:r w:rsidRPr="00D50AF8">
        <w:rPr>
          <w:rFonts w:eastAsiaTheme="minorHAnsi"/>
          <w:lang w:val="en-US" w:eastAsia="en-US"/>
        </w:rPr>
        <w:t xml:space="preserve">shows regulatory restrictiveness index for OECD countries in </w:t>
      </w:r>
      <w:r w:rsidR="008D43B3" w:rsidRPr="00D50AF8">
        <w:rPr>
          <w:rFonts w:eastAsiaTheme="minorHAnsi"/>
          <w:lang w:val="en-US" w:eastAsia="en-US"/>
        </w:rPr>
        <w:t xml:space="preserve">2003 and </w:t>
      </w:r>
      <w:r w:rsidRPr="00D50AF8">
        <w:rPr>
          <w:rFonts w:eastAsiaTheme="minorHAnsi"/>
          <w:lang w:val="en-US" w:eastAsia="en-US"/>
        </w:rPr>
        <w:t xml:space="preserve">2016. </w:t>
      </w:r>
      <w:bookmarkStart w:id="3" w:name="DatabaseSpecific"/>
      <w:r w:rsidR="009F1FDC">
        <w:rPr>
          <w:rFonts w:eastAsiaTheme="minorHAnsi"/>
          <w:lang w:val="en-US" w:eastAsia="en-US"/>
        </w:rPr>
        <w:t>This index</w:t>
      </w:r>
      <w:r w:rsidRPr="00D50AF8">
        <w:rPr>
          <w:rFonts w:eastAsiaTheme="minorHAnsi"/>
          <w:lang w:val="en-US" w:eastAsia="en-US"/>
        </w:rPr>
        <w:t xml:space="preserve"> measu</w:t>
      </w:r>
      <w:r w:rsidR="000766EB" w:rsidRPr="00D50AF8">
        <w:rPr>
          <w:rFonts w:eastAsiaTheme="minorHAnsi"/>
          <w:lang w:val="en-US" w:eastAsia="en-US"/>
        </w:rPr>
        <w:t>res</w:t>
      </w:r>
      <w:r w:rsidR="00051BE9" w:rsidRPr="00D50AF8">
        <w:rPr>
          <w:rFonts w:eastAsiaTheme="minorHAnsi"/>
          <w:lang w:val="en-US" w:eastAsia="en-US"/>
        </w:rPr>
        <w:t xml:space="preserve"> </w:t>
      </w:r>
      <w:r w:rsidR="000766EB" w:rsidRPr="00D50AF8">
        <w:rPr>
          <w:rFonts w:eastAsiaTheme="minorHAnsi"/>
          <w:lang w:val="en-US" w:eastAsia="en-US"/>
        </w:rPr>
        <w:t xml:space="preserve">FDI </w:t>
      </w:r>
      <w:r w:rsidRPr="00D50AF8">
        <w:rPr>
          <w:rFonts w:eastAsiaTheme="minorHAnsi"/>
          <w:lang w:val="en-US" w:eastAsia="en-US"/>
        </w:rPr>
        <w:t xml:space="preserve">restrictions on </w:t>
      </w:r>
      <w:r w:rsidR="009B287E" w:rsidRPr="00D50AF8">
        <w:rPr>
          <w:rFonts w:eastAsiaTheme="minorHAnsi"/>
          <w:lang w:val="en-US" w:eastAsia="en-US"/>
        </w:rPr>
        <w:t>four main types: 1) Foreign equity limitations,</w:t>
      </w:r>
      <w:r w:rsidRPr="00D50AF8">
        <w:rPr>
          <w:rFonts w:eastAsiaTheme="minorHAnsi"/>
          <w:lang w:val="en-US" w:eastAsia="en-US"/>
        </w:rPr>
        <w:t xml:space="preserve"> 2) Discriminatory screening or approval mechanisms</w:t>
      </w:r>
      <w:r w:rsidR="009B287E" w:rsidRPr="00D50AF8">
        <w:rPr>
          <w:rFonts w:eastAsiaTheme="minorHAnsi"/>
          <w:lang w:val="en-US" w:eastAsia="en-US"/>
        </w:rPr>
        <w:t xml:space="preserve">, </w:t>
      </w:r>
      <w:r w:rsidRPr="00D50AF8">
        <w:rPr>
          <w:rFonts w:eastAsiaTheme="minorHAnsi"/>
          <w:lang w:val="en-US" w:eastAsia="en-US"/>
        </w:rPr>
        <w:t>3) Restrictions on the employment of foreigners as key personnel and 4) Other operational restrictions</w:t>
      </w:r>
      <w:r w:rsidR="00B3733E" w:rsidRPr="00D50AF8">
        <w:rPr>
          <w:rFonts w:eastAsiaTheme="minorHAnsi"/>
          <w:lang w:val="en-US" w:eastAsia="en-US"/>
        </w:rPr>
        <w:t xml:space="preserve">. Although this index does not completely reflect the restrictions on FDI or gives a full </w:t>
      </w:r>
      <w:r w:rsidR="000766EB" w:rsidRPr="00D50AF8">
        <w:rPr>
          <w:rFonts w:eastAsiaTheme="minorHAnsi"/>
          <w:lang w:val="en-US" w:eastAsia="en-US"/>
        </w:rPr>
        <w:t>pi</w:t>
      </w:r>
      <w:r w:rsidR="00B3733E" w:rsidRPr="00D50AF8">
        <w:rPr>
          <w:rFonts w:eastAsiaTheme="minorHAnsi"/>
          <w:lang w:val="en-US" w:eastAsia="en-US"/>
        </w:rPr>
        <w:t xml:space="preserve">cture of the </w:t>
      </w:r>
      <w:r w:rsidR="000766EB" w:rsidRPr="00D50AF8">
        <w:rPr>
          <w:rFonts w:eastAsiaTheme="minorHAnsi"/>
          <w:lang w:val="en-US" w:eastAsia="en-US"/>
        </w:rPr>
        <w:t xml:space="preserve">business environment, it helps to understand the issues in a country. Turkey had the highest score in 2003, followed by Canada and Australia. With the economic reforms and European integration process, Turkey, at least managed to decrease restrictions on FDIs, and its score is close to OECD average. Nonetheless, countries similar to Turkey have lower scores, which may indicate a disadvantage in </w:t>
      </w:r>
      <w:r w:rsidR="00AF0E84" w:rsidRPr="00D50AF8">
        <w:rPr>
          <w:rFonts w:eastAsiaTheme="minorHAnsi"/>
          <w:lang w:val="en-US" w:eastAsia="en-US"/>
        </w:rPr>
        <w:t>competition for new investments.</w:t>
      </w:r>
    </w:p>
    <w:bookmarkEnd w:id="3"/>
    <w:p w:rsidR="007E4C8C" w:rsidRPr="00D50AF8" w:rsidRDefault="007E4C8C" w:rsidP="00C60175">
      <w:pPr>
        <w:pStyle w:val="BodyText"/>
        <w:rPr>
          <w:rFonts w:ascii="Times New Roman" w:hAnsi="Times New Roman" w:cs="Times New Roman"/>
        </w:rPr>
      </w:pPr>
    </w:p>
    <w:p w:rsidR="009F1FDC" w:rsidRDefault="008D43B3" w:rsidP="009F1FDC">
      <w:pPr>
        <w:pStyle w:val="BodyText"/>
        <w:keepNext/>
      </w:pPr>
      <w:r w:rsidRPr="00D50AF8">
        <w:rPr>
          <w:rFonts w:ascii="Times New Roman" w:hAnsi="Times New Roman" w:cs="Times New Roman"/>
          <w:noProof/>
          <w:lang w:val="tr-TR" w:eastAsia="tr-TR"/>
        </w:rPr>
        <w:lastRenderedPageBreak/>
        <w:drawing>
          <wp:inline distT="0" distB="0" distL="0" distR="0">
            <wp:extent cx="5972810" cy="3613785"/>
            <wp:effectExtent l="19050" t="0" r="27940" b="5715"/>
            <wp:docPr id="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0DEB" w:rsidRPr="00D50AF8" w:rsidRDefault="009F1FDC" w:rsidP="009F1FDC">
      <w:pPr>
        <w:pStyle w:val="Caption"/>
        <w:jc w:val="center"/>
        <w:rPr>
          <w:rFonts w:ascii="Times New Roman" w:hAnsi="Times New Roman" w:cs="Times New Roman"/>
        </w:rPr>
      </w:pPr>
      <w:proofErr w:type="gramStart"/>
      <w:r>
        <w:t xml:space="preserve">Figure </w:t>
      </w:r>
      <w:fldSimple w:instr=" SEQ Figure \* ARABIC ">
        <w:r>
          <w:rPr>
            <w:noProof/>
          </w:rPr>
          <w:t>4</w:t>
        </w:r>
      </w:fldSimple>
      <w:r>
        <w:t>.</w:t>
      </w:r>
      <w:proofErr w:type="gramEnd"/>
      <w:r>
        <w:t xml:space="preserve"> FDI Restrictiveness Index (</w:t>
      </w:r>
      <w:proofErr w:type="spellStart"/>
      <w:r>
        <w:t>Source</w:t>
      </w:r>
      <w:proofErr w:type="gramStart"/>
      <w:r>
        <w:t>:OECD</w:t>
      </w:r>
      <w:proofErr w:type="spellEnd"/>
      <w:proofErr w:type="gramEnd"/>
      <w:r>
        <w:t>)</w:t>
      </w:r>
    </w:p>
    <w:p w:rsidR="00AF0E84" w:rsidRPr="00D50AF8" w:rsidRDefault="00AF0E84" w:rsidP="003760EF">
      <w:pPr>
        <w:pStyle w:val="BodyText"/>
        <w:jc w:val="both"/>
        <w:rPr>
          <w:rFonts w:ascii="Times New Roman" w:hAnsi="Times New Roman" w:cs="Times New Roman"/>
          <w:highlight w:val="yellow"/>
        </w:rPr>
      </w:pPr>
      <w:r w:rsidRPr="00D50AF8">
        <w:rPr>
          <w:rFonts w:ascii="Times New Roman" w:hAnsi="Times New Roman" w:cs="Times New Roman"/>
        </w:rPr>
        <w:t xml:space="preserve">Although restrictions of FDIs have decreased over time, some structural problems still exist in Turkey for businesses. According to the World Bank’s Ease of Doing Business </w:t>
      </w:r>
      <w:r w:rsidR="00223434" w:rsidRPr="00D50AF8">
        <w:rPr>
          <w:rFonts w:ascii="Times New Roman" w:hAnsi="Times New Roman" w:cs="Times New Roman"/>
        </w:rPr>
        <w:t>Rank</w:t>
      </w:r>
      <w:r w:rsidRPr="00D50AF8">
        <w:rPr>
          <w:rFonts w:ascii="Times New Roman" w:hAnsi="Times New Roman" w:cs="Times New Roman"/>
        </w:rPr>
        <w:t>, Turkey ranked 60</w:t>
      </w:r>
      <w:r w:rsidRPr="00D50AF8">
        <w:rPr>
          <w:rFonts w:ascii="Times New Roman" w:hAnsi="Times New Roman" w:cs="Times New Roman"/>
          <w:vertAlign w:val="superscript"/>
        </w:rPr>
        <w:t xml:space="preserve">th </w:t>
      </w:r>
      <w:r w:rsidRPr="00D50AF8">
        <w:rPr>
          <w:rFonts w:ascii="Times New Roman" w:hAnsi="Times New Roman" w:cs="Times New Roman"/>
        </w:rPr>
        <w:t xml:space="preserve">among 190 countries in 2017. This index shows how </w:t>
      </w:r>
      <w:r w:rsidRPr="00D50AF8">
        <w:rPr>
          <w:rFonts w:ascii="Times New Roman" w:hAnsi="Times New Roman" w:cs="Times New Roman"/>
          <w:color w:val="000000"/>
          <w:shd w:val="clear" w:color="auto" w:fill="FFFFFF"/>
        </w:rPr>
        <w:t>the regulatory environment is more conducive to the starting and operation of a local firm</w:t>
      </w:r>
      <w:r w:rsidR="009F36D4" w:rsidRPr="00D50AF8">
        <w:rPr>
          <w:rFonts w:ascii="Times New Roman" w:hAnsi="Times New Roman" w:cs="Times New Roman"/>
          <w:color w:val="000000"/>
          <w:shd w:val="clear" w:color="auto" w:fill="FFFFFF"/>
        </w:rPr>
        <w:t>, and evaluates the legal system, infrastructure and property rights</w:t>
      </w:r>
      <w:r w:rsidRPr="00D50AF8">
        <w:rPr>
          <w:rFonts w:ascii="Times New Roman" w:hAnsi="Times New Roman" w:cs="Times New Roman"/>
          <w:color w:val="000000"/>
          <w:shd w:val="clear" w:color="auto" w:fill="FFFFFF"/>
        </w:rPr>
        <w:t>.</w:t>
      </w:r>
      <w:r w:rsidR="009F36D4" w:rsidRPr="00D50AF8">
        <w:rPr>
          <w:rFonts w:ascii="Times New Roman" w:hAnsi="Times New Roman" w:cs="Times New Roman"/>
          <w:color w:val="000000"/>
          <w:shd w:val="clear" w:color="auto" w:fill="FFFFFF"/>
        </w:rPr>
        <w:t xml:space="preserve"> The best countries were New Zealand, </w:t>
      </w:r>
      <w:proofErr w:type="spellStart"/>
      <w:r w:rsidR="009F36D4" w:rsidRPr="00D50AF8">
        <w:rPr>
          <w:rFonts w:ascii="Times New Roman" w:hAnsi="Times New Roman" w:cs="Times New Roman"/>
          <w:color w:val="000000"/>
          <w:shd w:val="clear" w:color="auto" w:fill="FFFFFF"/>
        </w:rPr>
        <w:t>Singapoure</w:t>
      </w:r>
      <w:proofErr w:type="spellEnd"/>
      <w:r w:rsidR="009F36D4" w:rsidRPr="00D50AF8">
        <w:rPr>
          <w:rFonts w:ascii="Times New Roman" w:hAnsi="Times New Roman" w:cs="Times New Roman"/>
          <w:color w:val="000000"/>
          <w:shd w:val="clear" w:color="auto" w:fill="FFFFFF"/>
        </w:rPr>
        <w:t xml:space="preserve">, </w:t>
      </w:r>
      <w:proofErr w:type="spellStart"/>
      <w:r w:rsidR="009F36D4" w:rsidRPr="00D50AF8">
        <w:rPr>
          <w:rFonts w:ascii="Times New Roman" w:hAnsi="Times New Roman" w:cs="Times New Roman"/>
          <w:color w:val="000000"/>
          <w:shd w:val="clear" w:color="auto" w:fill="FFFFFF"/>
        </w:rPr>
        <w:t>Denmak</w:t>
      </w:r>
      <w:proofErr w:type="spellEnd"/>
      <w:r w:rsidR="009F36D4" w:rsidRPr="00D50AF8">
        <w:rPr>
          <w:rFonts w:ascii="Times New Roman" w:hAnsi="Times New Roman" w:cs="Times New Roman"/>
          <w:color w:val="000000"/>
          <w:shd w:val="clear" w:color="auto" w:fill="FFFFFF"/>
        </w:rPr>
        <w:t>, South Korea, USA, UK and Norway, whereas Turkey is close to Azerbaijan, Colombia, Peru and Chile. While Turkey has a better position in enforcing contracts (ranked 30</w:t>
      </w:r>
      <w:r w:rsidR="009F36D4" w:rsidRPr="00D50AF8">
        <w:rPr>
          <w:rFonts w:ascii="Times New Roman" w:hAnsi="Times New Roman" w:cs="Times New Roman"/>
          <w:color w:val="000000"/>
          <w:shd w:val="clear" w:color="auto" w:fill="FFFFFF"/>
          <w:vertAlign w:val="superscript"/>
        </w:rPr>
        <w:t>th</w:t>
      </w:r>
      <w:r w:rsidR="009F36D4" w:rsidRPr="00D50AF8">
        <w:rPr>
          <w:rFonts w:ascii="Times New Roman" w:hAnsi="Times New Roman" w:cs="Times New Roman"/>
          <w:color w:val="000000"/>
          <w:shd w:val="clear" w:color="auto" w:fill="FFFFFF"/>
        </w:rPr>
        <w:t>), protecting minority investors (ranked 20</w:t>
      </w:r>
      <w:r w:rsidR="009F36D4" w:rsidRPr="00D50AF8">
        <w:rPr>
          <w:rFonts w:ascii="Times New Roman" w:hAnsi="Times New Roman" w:cs="Times New Roman"/>
          <w:color w:val="000000"/>
          <w:shd w:val="clear" w:color="auto" w:fill="FFFFFF"/>
          <w:vertAlign w:val="superscript"/>
        </w:rPr>
        <w:t>th</w:t>
      </w:r>
      <w:r w:rsidR="009F36D4" w:rsidRPr="00D50AF8">
        <w:rPr>
          <w:rFonts w:ascii="Times New Roman" w:hAnsi="Times New Roman" w:cs="Times New Roman"/>
          <w:color w:val="000000"/>
          <w:shd w:val="clear" w:color="auto" w:fill="FFFFFF"/>
        </w:rPr>
        <w:t>), its position is bad in resolving insolvency (ranked 139</w:t>
      </w:r>
      <w:r w:rsidR="009F36D4" w:rsidRPr="00D50AF8">
        <w:rPr>
          <w:rFonts w:ascii="Times New Roman" w:hAnsi="Times New Roman" w:cs="Times New Roman"/>
          <w:color w:val="000000"/>
          <w:shd w:val="clear" w:color="auto" w:fill="FFFFFF"/>
          <w:vertAlign w:val="superscript"/>
        </w:rPr>
        <w:t>th</w:t>
      </w:r>
      <w:r w:rsidR="009F36D4" w:rsidRPr="00D50AF8">
        <w:rPr>
          <w:rFonts w:ascii="Times New Roman" w:hAnsi="Times New Roman" w:cs="Times New Roman"/>
          <w:color w:val="000000"/>
          <w:shd w:val="clear" w:color="auto" w:fill="FFFFFF"/>
        </w:rPr>
        <w:t>), starting a business (ranked 80</w:t>
      </w:r>
      <w:r w:rsidR="009F36D4" w:rsidRPr="00D50AF8">
        <w:rPr>
          <w:rFonts w:ascii="Times New Roman" w:hAnsi="Times New Roman" w:cs="Times New Roman"/>
          <w:color w:val="000000"/>
          <w:shd w:val="clear" w:color="auto" w:fill="FFFFFF"/>
          <w:vertAlign w:val="superscript"/>
        </w:rPr>
        <w:t>th</w:t>
      </w:r>
      <w:r w:rsidR="009F36D4" w:rsidRPr="00D50AF8">
        <w:rPr>
          <w:rFonts w:ascii="Times New Roman" w:hAnsi="Times New Roman" w:cs="Times New Roman"/>
          <w:color w:val="000000"/>
          <w:shd w:val="clear" w:color="auto" w:fill="FFFFFF"/>
        </w:rPr>
        <w:t>), and paying taxes (ranked 80</w:t>
      </w:r>
      <w:r w:rsidR="009F36D4" w:rsidRPr="00D50AF8">
        <w:rPr>
          <w:rFonts w:ascii="Times New Roman" w:hAnsi="Times New Roman" w:cs="Times New Roman"/>
          <w:color w:val="000000"/>
          <w:shd w:val="clear" w:color="auto" w:fill="FFFFFF"/>
          <w:vertAlign w:val="superscript"/>
        </w:rPr>
        <w:t>th</w:t>
      </w:r>
      <w:r w:rsidR="009F36D4" w:rsidRPr="00D50AF8">
        <w:rPr>
          <w:rFonts w:ascii="Times New Roman" w:hAnsi="Times New Roman" w:cs="Times New Roman"/>
          <w:color w:val="000000"/>
          <w:shd w:val="clear" w:color="auto" w:fill="FFFFFF"/>
        </w:rPr>
        <w:t>)</w:t>
      </w:r>
      <w:r w:rsidR="00223434" w:rsidRPr="00D50AF8">
        <w:rPr>
          <w:rFonts w:ascii="Times New Roman" w:hAnsi="Times New Roman" w:cs="Times New Roman"/>
          <w:color w:val="000000"/>
          <w:shd w:val="clear" w:color="auto" w:fill="FFFFFF"/>
        </w:rPr>
        <w:t xml:space="preserve"> (WB,</w:t>
      </w:r>
      <w:r w:rsidR="009F1FDC">
        <w:rPr>
          <w:rFonts w:ascii="Times New Roman" w:hAnsi="Times New Roman" w:cs="Times New Roman"/>
          <w:color w:val="000000"/>
          <w:shd w:val="clear" w:color="auto" w:fill="FFFFFF"/>
        </w:rPr>
        <w:t xml:space="preserve"> </w:t>
      </w:r>
      <w:r w:rsidR="00223434" w:rsidRPr="00D50AF8">
        <w:rPr>
          <w:rFonts w:ascii="Times New Roman" w:hAnsi="Times New Roman" w:cs="Times New Roman"/>
          <w:color w:val="000000"/>
          <w:shd w:val="clear" w:color="auto" w:fill="FFFFFF"/>
        </w:rPr>
        <w:t>2017)</w:t>
      </w:r>
      <w:r w:rsidR="00223434" w:rsidRPr="00D50AF8">
        <w:rPr>
          <w:rStyle w:val="FootnoteReference"/>
          <w:rFonts w:ascii="Times New Roman" w:hAnsi="Times New Roman" w:cs="Times New Roman"/>
          <w:color w:val="000000"/>
          <w:shd w:val="clear" w:color="auto" w:fill="FFFFFF"/>
        </w:rPr>
        <w:footnoteReference w:id="2"/>
      </w:r>
      <w:r w:rsidR="00223434" w:rsidRPr="00D50AF8">
        <w:rPr>
          <w:rFonts w:ascii="Times New Roman" w:hAnsi="Times New Roman" w:cs="Times New Roman"/>
          <w:color w:val="000000"/>
          <w:shd w:val="clear" w:color="auto" w:fill="FFFFFF"/>
        </w:rPr>
        <w:t xml:space="preserve">. In addition, financial constraints, taxation, the size of informal economy and the quality of the workforce as the major constraints in Turkish economy affects companies’ performance negatively </w:t>
      </w:r>
      <w:r w:rsidR="009F4D10" w:rsidRPr="00D50AF8">
        <w:rPr>
          <w:rFonts w:ascii="Times New Roman" w:hAnsi="Times New Roman" w:cs="Times New Roman"/>
          <w:color w:val="000000"/>
          <w:shd w:val="clear" w:color="auto" w:fill="FFFFFF"/>
        </w:rPr>
        <w:fldChar w:fldCharType="begin" w:fldLock="1"/>
      </w:r>
      <w:r w:rsidR="00D95E00">
        <w:rPr>
          <w:rFonts w:ascii="Times New Roman" w:hAnsi="Times New Roman" w:cs="Times New Roman"/>
          <w:color w:val="000000"/>
          <w:shd w:val="clear" w:color="auto" w:fill="FFFFFF"/>
        </w:rPr>
        <w:instrText>ADDIN CSL_CITATION { "citationItems" : [ { "id" : "ITEM-1", "itemData" : { "author" : [ { "dropping-particle" : "", "family" : "World Bank", "given" : "", "non-dropping-particle" : "", "parse-names" : false, "suffix" : "" } ], "id" : "ITEM-1", "issue" : "54123", "issued" : { "date-parts" : [ [ "2010" ] ] }, "publisher-place" : "Washington, D.C.", "title" : "Investment Climate Assessment From Crisis to Private Sector Led Growth", "type" : "report" }, "uris" : [ "http://www.mendeley.com/documents/?uuid=e58a47ef-d20d-4a4d-b3a3-96f7ca8215bb" ] } ], "mendeley" : { "formattedCitation" : "(World Bank, 2010)", "plainTextFormattedCitation" : "(World Bank, 2010)", "previouslyFormattedCitation" : "(World Bank, 2010)" }, "properties" : { "noteIndex" : 0 }, "schema" : "https://github.com/citation-style-language/schema/raw/master/csl-citation.json" }</w:instrText>
      </w:r>
      <w:r w:rsidR="009F4D10" w:rsidRPr="00D50AF8">
        <w:rPr>
          <w:rFonts w:ascii="Times New Roman" w:hAnsi="Times New Roman" w:cs="Times New Roman"/>
          <w:color w:val="000000"/>
          <w:shd w:val="clear" w:color="auto" w:fill="FFFFFF"/>
        </w:rPr>
        <w:fldChar w:fldCharType="separate"/>
      </w:r>
      <w:r w:rsidR="00214EE6" w:rsidRPr="00D50AF8">
        <w:rPr>
          <w:rFonts w:ascii="Times New Roman" w:hAnsi="Times New Roman" w:cs="Times New Roman"/>
          <w:noProof/>
          <w:color w:val="000000"/>
          <w:shd w:val="clear" w:color="auto" w:fill="FFFFFF"/>
        </w:rPr>
        <w:t>(World Bank, 2010)</w:t>
      </w:r>
      <w:r w:rsidR="009F4D10" w:rsidRPr="00D50AF8">
        <w:rPr>
          <w:rFonts w:ascii="Times New Roman" w:hAnsi="Times New Roman" w:cs="Times New Roman"/>
          <w:color w:val="000000"/>
          <w:shd w:val="clear" w:color="auto" w:fill="FFFFFF"/>
        </w:rPr>
        <w:fldChar w:fldCharType="end"/>
      </w:r>
      <w:r w:rsidR="00223434" w:rsidRPr="00D50AF8">
        <w:rPr>
          <w:rFonts w:ascii="Times New Roman" w:hAnsi="Times New Roman" w:cs="Times New Roman"/>
          <w:color w:val="000000"/>
          <w:shd w:val="clear" w:color="auto" w:fill="FFFFFF"/>
        </w:rPr>
        <w:t>.</w:t>
      </w:r>
    </w:p>
    <w:p w:rsidR="00214EE6" w:rsidRPr="00D50AF8" w:rsidRDefault="00E9696E" w:rsidP="00214EE6">
      <w:pPr>
        <w:pStyle w:val="BodyText"/>
        <w:jc w:val="both"/>
        <w:rPr>
          <w:rFonts w:ascii="Times New Roman" w:hAnsi="Times New Roman" w:cs="Times New Roman"/>
          <w:color w:val="000000"/>
          <w:shd w:val="clear" w:color="auto" w:fill="FFFFFF"/>
        </w:rPr>
      </w:pPr>
      <w:r w:rsidRPr="00D50AF8">
        <w:rPr>
          <w:rFonts w:ascii="Times New Roman" w:hAnsi="Times New Roman" w:cs="Times New Roman"/>
          <w:color w:val="000000"/>
          <w:shd w:val="clear" w:color="auto" w:fill="FFFFFF"/>
        </w:rPr>
        <w:t xml:space="preserve">In energy markets, there are similar obstacles that limit FDI inflows. According to a study conducted by PwC in 20016, problems in </w:t>
      </w:r>
      <w:r w:rsidR="00373453" w:rsidRPr="00D50AF8">
        <w:rPr>
          <w:rFonts w:ascii="Times New Roman" w:hAnsi="Times New Roman" w:cs="Times New Roman"/>
          <w:color w:val="000000"/>
          <w:shd w:val="clear" w:color="auto" w:fill="FFFFFF"/>
        </w:rPr>
        <w:t>renewable energy support schemes, declining prices in the electricity market</w:t>
      </w:r>
      <w:r w:rsidR="00161A2F" w:rsidRPr="00D50AF8">
        <w:rPr>
          <w:rFonts w:ascii="Times New Roman" w:hAnsi="Times New Roman" w:cs="Times New Roman"/>
          <w:color w:val="000000"/>
          <w:shd w:val="clear" w:color="auto" w:fill="FFFFFF"/>
        </w:rPr>
        <w:t>,</w:t>
      </w:r>
      <w:r w:rsidR="00373453" w:rsidRPr="00D50AF8">
        <w:rPr>
          <w:rFonts w:ascii="Times New Roman" w:hAnsi="Times New Roman" w:cs="Times New Roman"/>
          <w:color w:val="000000"/>
          <w:shd w:val="clear" w:color="auto" w:fill="FFFFFF"/>
        </w:rPr>
        <w:t xml:space="preserve"> financial sustainability of natural gas power plants</w:t>
      </w:r>
      <w:r w:rsidR="00161A2F" w:rsidRPr="00D50AF8">
        <w:rPr>
          <w:rFonts w:ascii="Times New Roman" w:hAnsi="Times New Roman" w:cs="Times New Roman"/>
          <w:color w:val="000000"/>
          <w:shd w:val="clear" w:color="auto" w:fill="FFFFFF"/>
        </w:rPr>
        <w:t xml:space="preserve"> and</w:t>
      </w:r>
      <w:r w:rsidR="00373453" w:rsidRPr="00D50AF8">
        <w:rPr>
          <w:rFonts w:ascii="Times New Roman" w:hAnsi="Times New Roman" w:cs="Times New Roman"/>
          <w:color w:val="000000"/>
          <w:shd w:val="clear" w:color="auto" w:fill="FFFFFF"/>
        </w:rPr>
        <w:t xml:space="preserve"> power distribution utili</w:t>
      </w:r>
      <w:r w:rsidR="00574357" w:rsidRPr="00D50AF8">
        <w:rPr>
          <w:rFonts w:ascii="Times New Roman" w:hAnsi="Times New Roman" w:cs="Times New Roman"/>
          <w:color w:val="000000"/>
          <w:shd w:val="clear" w:color="auto" w:fill="FFFFFF"/>
        </w:rPr>
        <w:t>ti</w:t>
      </w:r>
      <w:r w:rsidR="00373453" w:rsidRPr="00D50AF8">
        <w:rPr>
          <w:rFonts w:ascii="Times New Roman" w:hAnsi="Times New Roman" w:cs="Times New Roman"/>
          <w:color w:val="000000"/>
          <w:shd w:val="clear" w:color="auto" w:fill="FFFFFF"/>
        </w:rPr>
        <w:t xml:space="preserve">es have created obstacles in attracting </w:t>
      </w:r>
      <w:r w:rsidR="006F1F70" w:rsidRPr="00D50AF8">
        <w:rPr>
          <w:rFonts w:ascii="Times New Roman" w:hAnsi="Times New Roman" w:cs="Times New Roman"/>
          <w:color w:val="000000"/>
          <w:shd w:val="clear" w:color="auto" w:fill="FFFFFF"/>
        </w:rPr>
        <w:t>FDI</w:t>
      </w:r>
      <w:r w:rsidR="00373453" w:rsidRPr="00D50AF8">
        <w:rPr>
          <w:rFonts w:ascii="Times New Roman" w:hAnsi="Times New Roman" w:cs="Times New Roman"/>
          <w:color w:val="000000"/>
          <w:shd w:val="clear" w:color="auto" w:fill="FFFFFF"/>
        </w:rPr>
        <w:t xml:space="preserve"> to these sectors </w:t>
      </w:r>
      <w:r w:rsidR="009F4D10" w:rsidRPr="00D50AF8">
        <w:rPr>
          <w:rFonts w:ascii="Times New Roman" w:hAnsi="Times New Roman" w:cs="Times New Roman"/>
          <w:color w:val="000000"/>
          <w:shd w:val="clear" w:color="auto" w:fill="FFFFFF"/>
        </w:rPr>
        <w:fldChar w:fldCharType="begin" w:fldLock="1"/>
      </w:r>
      <w:r w:rsidR="00D95E00">
        <w:rPr>
          <w:rFonts w:ascii="Times New Roman" w:hAnsi="Times New Roman" w:cs="Times New Roman"/>
          <w:color w:val="000000"/>
          <w:shd w:val="clear" w:color="auto" w:fill="FFFFFF"/>
        </w:rPr>
        <w:instrText>ADDIN CSL_CITATION { "citationItems" : [ { "id" : "ITEM-1", "itemData" : { "author" : [ { "dropping-particle" : "", "family" : "PwC", "given" : "", "non-dropping-particle" : "", "parse-names" : false, "suffix" : "" } ], "id" : "ITEM-1", "issued" : { "date-parts" : [ [ "2016" ] ] }, "publisher-place" : "\u0130stanbul", "title" : "T\u00fcrkiye Enerji Sekt\u00f6r\u00fcndeki Birle\u015fme ve Sat\u0131n Almalar Raporu", "type" : "report" }, "uris" : [ "http://www.mendeley.com/documents/?uuid=447429cf-be27-4a80-b8ca-53924d2538db" ] } ], "mendeley" : { "formattedCitation" : "(PwC, 2016)", "plainTextFormattedCitation" : "(PwC, 2016)", "previouslyFormattedCitation" : "(PwC, 2016)" }, "properties" : { "noteIndex" : 0 }, "schema" : "https://github.com/citation-style-language/schema/raw/master/csl-citation.json" }</w:instrText>
      </w:r>
      <w:r w:rsidR="009F4D10" w:rsidRPr="00D50AF8">
        <w:rPr>
          <w:rFonts w:ascii="Times New Roman" w:hAnsi="Times New Roman" w:cs="Times New Roman"/>
          <w:color w:val="000000"/>
          <w:shd w:val="clear" w:color="auto" w:fill="FFFFFF"/>
        </w:rPr>
        <w:fldChar w:fldCharType="separate"/>
      </w:r>
      <w:r w:rsidR="00214EE6" w:rsidRPr="00D50AF8">
        <w:rPr>
          <w:rFonts w:ascii="Times New Roman" w:hAnsi="Times New Roman" w:cs="Times New Roman"/>
          <w:noProof/>
          <w:color w:val="000000"/>
          <w:shd w:val="clear" w:color="auto" w:fill="FFFFFF"/>
        </w:rPr>
        <w:t>(PwC, 2016)</w:t>
      </w:r>
      <w:r w:rsidR="009F4D10" w:rsidRPr="00D50AF8">
        <w:rPr>
          <w:rFonts w:ascii="Times New Roman" w:hAnsi="Times New Roman" w:cs="Times New Roman"/>
          <w:color w:val="000000"/>
          <w:shd w:val="clear" w:color="auto" w:fill="FFFFFF"/>
        </w:rPr>
        <w:fldChar w:fldCharType="end"/>
      </w:r>
      <w:r w:rsidR="00161A2F" w:rsidRPr="00D50AF8">
        <w:rPr>
          <w:rFonts w:ascii="Times New Roman" w:hAnsi="Times New Roman" w:cs="Times New Roman"/>
          <w:color w:val="000000"/>
          <w:shd w:val="clear" w:color="auto" w:fill="FFFFFF"/>
        </w:rPr>
        <w:t>.</w:t>
      </w:r>
    </w:p>
    <w:p w:rsidR="005A4DE2" w:rsidRPr="00D50AF8" w:rsidRDefault="00E9696E" w:rsidP="003760EF">
      <w:pPr>
        <w:pStyle w:val="BodyText"/>
        <w:jc w:val="both"/>
        <w:rPr>
          <w:rFonts w:ascii="Times New Roman" w:hAnsi="Times New Roman" w:cs="Times New Roman"/>
          <w:highlight w:val="yellow"/>
        </w:rPr>
      </w:pPr>
      <w:r w:rsidRPr="00D50AF8">
        <w:rPr>
          <w:rFonts w:ascii="Times New Roman" w:hAnsi="Times New Roman" w:cs="Times New Roman"/>
        </w:rPr>
        <w:t xml:space="preserve">As discussed </w:t>
      </w:r>
      <w:r w:rsidR="00214EE6" w:rsidRPr="00D50AF8">
        <w:rPr>
          <w:rFonts w:ascii="Times New Roman" w:hAnsi="Times New Roman" w:cs="Times New Roman"/>
        </w:rPr>
        <w:t>in the literature</w:t>
      </w:r>
      <w:r w:rsidRPr="00D50AF8">
        <w:rPr>
          <w:rFonts w:ascii="Times New Roman" w:hAnsi="Times New Roman" w:cs="Times New Roman"/>
        </w:rPr>
        <w:t xml:space="preserve">, </w:t>
      </w:r>
      <w:r w:rsidR="00214EE6" w:rsidRPr="00D50AF8">
        <w:rPr>
          <w:rFonts w:ascii="Times New Roman" w:hAnsi="Times New Roman" w:cs="Times New Roman"/>
        </w:rPr>
        <w:t>renewable energy technologies create</w:t>
      </w:r>
      <w:r w:rsidR="00373453" w:rsidRPr="00D50AF8">
        <w:rPr>
          <w:rFonts w:ascii="Times New Roman" w:hAnsi="Times New Roman" w:cs="Times New Roman"/>
        </w:rPr>
        <w:t xml:space="preserve"> opportunities for innovation and building domestic innovative capabilities; </w:t>
      </w:r>
      <w:r w:rsidR="00214EE6" w:rsidRPr="00D50AF8">
        <w:rPr>
          <w:rFonts w:ascii="Times New Roman" w:hAnsi="Times New Roman" w:cs="Times New Roman"/>
        </w:rPr>
        <w:t>h</w:t>
      </w:r>
      <w:r w:rsidR="0082347A" w:rsidRPr="00D50AF8">
        <w:rPr>
          <w:rFonts w:ascii="Times New Roman" w:hAnsi="Times New Roman" w:cs="Times New Roman"/>
        </w:rPr>
        <w:t>owever,</w:t>
      </w:r>
      <w:r w:rsidR="00373453" w:rsidRPr="00D50AF8">
        <w:rPr>
          <w:rFonts w:ascii="Times New Roman" w:hAnsi="Times New Roman" w:cs="Times New Roman"/>
        </w:rPr>
        <w:t xml:space="preserve"> path dependency and inertia problems in </w:t>
      </w:r>
      <w:r w:rsidR="00373453" w:rsidRPr="00D50AF8">
        <w:rPr>
          <w:rFonts w:ascii="Times New Roman" w:hAnsi="Times New Roman" w:cs="Times New Roman"/>
        </w:rPr>
        <w:lastRenderedPageBreak/>
        <w:t>energy technology innovation</w:t>
      </w:r>
      <w:r w:rsidR="0082347A" w:rsidRPr="00D50AF8">
        <w:rPr>
          <w:rFonts w:ascii="Times New Roman" w:hAnsi="Times New Roman" w:cs="Times New Roman"/>
        </w:rPr>
        <w:t xml:space="preserve"> systems require consistent</w:t>
      </w:r>
      <w:r w:rsidR="00373453" w:rsidRPr="00D50AF8">
        <w:rPr>
          <w:rFonts w:ascii="Times New Roman" w:hAnsi="Times New Roman" w:cs="Times New Roman"/>
        </w:rPr>
        <w:t xml:space="preserve"> long-term policy, strong collaboration of actors (government agencies, universities and the business sector) and </w:t>
      </w:r>
      <w:r w:rsidR="00214EE6" w:rsidRPr="00D50AF8">
        <w:rPr>
          <w:rFonts w:ascii="Times New Roman" w:hAnsi="Times New Roman" w:cs="Times New Roman"/>
        </w:rPr>
        <w:t xml:space="preserve">effective incentive mechanisms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"DOI" : "10.1016/j.rser.2011.07.093", "abstract" : "Energy sector is encountering serious problems which can be solved by technological innovations and increasing R&amp;D expenditures. On the other hand, energy market reforms notably the establishment of competitive electricity and natural gas markets have resulted in a decrease of government energy R&amp;D expenditures in most countries. Furthermore, there are rising concerns that private energy R&amp;D expenditures are also declining as a result of energy market reforms, and companies are choosing customer-oriented innovations which may jeopardize the deployment of sustainable and renewable energy technologies. Turkey initiated energy market reforms in 2001, and has been trying to establish competitive electricity and natural gas markets since then. A survey of electricity and natural gas transmission and distribution companies in Turkey showed that nearly all of these companies have refrained R&amp;D expenditures and have made organizational innovations mostly. Moreover, government energy R&amp;D expenditures are very low compared to developed countries and enterprises are still trying to adapt to new market conditions. Nonetheless, energy market reforms may have positive effects on R&amp;D expenditures and innovations as Turkey completes privatization of distribution companies, eliminates uncertainties in electricity and natural gas markets, and take measures to increase collaboration among enterprises, universities and government agencies. \u00a9 2011 Elsevier Ltd. All rights reserved.", "author" : [ { "dropping-particle" : "", "family" : "Sirin", "given" : "S.M.", "non-dropping-particle" : "", "parse-names" : false, "suffix" : "" } ], "container-title" : "Renewable and Sustainable Energy Reviews", "id" : "ITEM-1", "issue" : "9", "issued" : { "date-parts" : [ [ "2011" ] ] }, "title" : "Energy market reforms in Turkey and their impact on innovation and R&amp;D expenditures", "type" : "article-journal", "volume" : "15" }, "uris" : [ "http://www.mendeley.com/documents/?uuid=e76e4708-7731-3598-a105-67d52f8b26e5" ] }, { "id" : "ITEM-2", "itemData" : { "DOI" : "10.1016/j.rser.2017.05.160", "ISSN" : "18790690", "abstract" : "\u00a9 2017 Elsevier Ltd Power sector is important for managing the transition towards sustainable and cleaner energy systems, and foreign investments can contribute to overcome the problems encountered in the process. Despite the vast literature on foreign direct investments (FDI) in other sectors, studies on the power sector have been limited to either developed economies or major developing economies such as China or India. Therefore, this study aims to discuss Turkish case by using panel data analysis for 2002\u20132012 period. Results have shown that the major drivers of FDI inflows in Turkish power sector were privatization and low real effective exchange rate during the period. In addition, Turkey has the potential and opportunities to attract more investments with the recent reforms and increasing incentives for renewable energy technologies; however, business environment and the quality of institutions may create obstacles for realizing its potential. Moreover, fiscal incentives and macroeconomic stability are important to sustain investments, and economic and institutional reforms, notably the EU integration process, are important for FDI inflows.", "author" : [ { "dropping-particle" : "", "family" : "Sirin", "given" : "S.M.", "non-dropping-particle" : "", "parse-names" : false, "suffix" : "" } ], "container-title" : "Renewable and Sustainable Energy Reviews", "id" : "ITEM-2", "issued" : { "date-parts" : [ [ "2017" ] ] }, "title" : "Foreign direct investments (FDIs) in Turkish power sector: A discussion on investments, opportunities and risks", "type" : "article-journal", "volume" : "78" }, "uris" : [ "http://www.mendeley.com/documents/?uuid=c466760f-8530-3529-ae04-769f770372fc" ] }, { "id" : "ITEM-3", "itemData" : { "DOI" : "10.1016/j.rser.2012.03.067", "ISBN" : "1364-0321", "ISSN" : "13640321", "abstract" : "Fossil fuels cover most of the energy demand in the world, and this creates significant social, economic and environmental problems. Many countries have taken measures to increase the share of renewable energy sources (RES), especially in electricity generation, and the review of literature shows that the success of a country in RES diffusion depends on a comprehensive renewable energy policy which combines political commitment with stable and long-term support measures that stimulate technological innovation. As the largest economy in the world, EU has also taken steps to increase RES usage in electricity generation in member states. Similar to other developing countries, Turkey is learning lessons from EU experiences regarding RES policies, and Turkey is also reforming its legal framework in line with acquis communautaire as a candidate country. As a result, EU has a multiway impact on Turkeys renewable energy policy. An overview of Turkeys renewable energy policy showed that EU has significantly contributed to Turkey in shaping its renewable energy policy, and Turkey should increase cooperation with EU in order to utilize its renewable energy potential. \u00a9 2012 Elsevier Ltd. All rights reserved.", "author" : [ { "dropping-particle" : "", "family" : "Murat Sirin", "given" : "Selahattin", "non-dropping-particle" : "", "parse-names" : false, "suffix" : "" }, { "dropping-particle" : "", "family" : "Ege", "given" : "Aylin", "non-dropping-particle" : "", "parse-names" : false, "suffix" : "" } ], "container-title" : "Renewable and Sustainable Energy Reviews", "id" : "ITEM-3", "issued" : { "date-parts" : [ [ "2012" ] ] }, "title" : "Overcoming problems in Turkeys renewable energy policy: How can EU contribute?", "type" : "article" }, "uris" : [ "http://www.mendeley.com/documents/?uuid=749ec023-2f3a-346b-a161-8bda33221833" ] } ], "mendeley" : { "formattedCitation" : "(Murat Sirin &amp; Ege, 2012; Sirin, 2011, 2017)", "manualFormatting" : "(Sirin, 2011, 2017)", "plainTextFormattedCitation" : "(Murat Sirin &amp; Ege, 2012; Sirin, 2011, 2017)", "previouslyFormattedCitation" : "(Murat Sirin &amp; Ege, 2012; Sirin, 2011, 2017)"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(Sirin, 2011, 2017)</w:t>
      </w:r>
      <w:r w:rsidR="009F4D10" w:rsidRPr="00D50AF8">
        <w:rPr>
          <w:rFonts w:ascii="Times New Roman" w:hAnsi="Times New Roman" w:cs="Times New Roman"/>
        </w:rPr>
        <w:fldChar w:fldCharType="end"/>
      </w:r>
      <w:r w:rsidR="00214EE6" w:rsidRPr="00D50AF8">
        <w:rPr>
          <w:rFonts w:ascii="Times New Roman" w:hAnsi="Times New Roman" w:cs="Times New Roman"/>
        </w:rPr>
        <w:t xml:space="preserve">. Turkey has significant renewable energy potential for electricity generation </w:t>
      </w:r>
      <w:r w:rsidR="005A4DE2" w:rsidRPr="00D50AF8">
        <w:rPr>
          <w:rFonts w:ascii="Times New Roman" w:hAnsi="Times New Roman" w:cs="Times New Roman"/>
        </w:rPr>
        <w:t>and heating</w:t>
      </w:r>
      <w:r w:rsidR="009F1FDC">
        <w:rPr>
          <w:rFonts w:ascii="Times New Roman" w:hAnsi="Times New Roman" w:cs="Times New Roman"/>
        </w:rPr>
        <w:t xml:space="preserve">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"ISBN" : "9789264042209", "author" : [ { "dropping-particle" : "", "family" : "OECD/IEA", "given" : "", "non-dropping-particle" : "", "parse-names" : false, "suffix" : "" } ], "id" : "ITEM-1", "issued" : { "date-parts" : [ [ "2008" ] ] }, "publisher-place" : "Paris", "title" : "Deploying Renewables: Principles for Effective Policies", "type" : "report" }, "uris" : [ "http://www.mendeley.com/documents/?uuid=96836941-6528-43f7-91a4-be15c12c085a" ] } ], "mendeley" : { "formattedCitation" : "(OECD/IEA, 2008)", "plainTextFormattedCitation" : "(OECD/IEA, 2008)", "previouslyFormattedCitation" : "(OECD/IEA, 2008)" }, "properties" : { "noteIndex" : 0 }, "schema" : "https://github.com/citation-style-language/schema/raw/master/csl-citation.json" }</w:instrText>
      </w:r>
      <w:r w:rsidR="009F4D10" w:rsidRPr="00D50AF8">
        <w:rPr>
          <w:rFonts w:ascii="Times New Roman" w:hAnsi="Times New Roman" w:cs="Times New Roman"/>
        </w:rPr>
        <w:fldChar w:fldCharType="separate"/>
      </w:r>
      <w:r w:rsidR="005A4DE2" w:rsidRPr="00D50AF8">
        <w:rPr>
          <w:rFonts w:ascii="Times New Roman" w:hAnsi="Times New Roman" w:cs="Times New Roman"/>
          <w:noProof/>
        </w:rPr>
        <w:t>(OECD/IEA, 2008)</w:t>
      </w:r>
      <w:r w:rsidR="009F4D10" w:rsidRPr="00D50AF8">
        <w:rPr>
          <w:rFonts w:ascii="Times New Roman" w:hAnsi="Times New Roman" w:cs="Times New Roman"/>
        </w:rPr>
        <w:fldChar w:fldCharType="end"/>
      </w:r>
      <w:r w:rsidR="005A4DE2" w:rsidRPr="00D50AF8">
        <w:rPr>
          <w:rFonts w:ascii="Times New Roman" w:hAnsi="Times New Roman" w:cs="Times New Roman"/>
        </w:rPr>
        <w:t xml:space="preserve">, and this potential can contribute a lot to Turkey as well as to the European Union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"DOI" : "10.1016/j.rser.2012.03.067", "ISBN" : "1364-0321", "ISSN" : "13640321", "abstract" : "Fossil fuels cover most of the energy demand in the world, and this creates significant social, economic and environmental problems. Many countries have taken measures to increase the share of renewable energy sources (RES), especially in electricity generation, and the review of literature shows that the success of a country in RES diffusion depends on a comprehensive renewable energy policy which combines political commitment with stable and long-term support measures that stimulate technological innovation. As the largest economy in the world, EU has also taken steps to increase RES usage in electricity generation in member states. Similar to other developing countries, Turkey is learning lessons from EU experiences regarding RES policies, and Turkey is also reforming its legal framework in line with acquis communautaire as a candidate country. As a result, EU has a multiway impact on Turkeys renewable energy policy. An overview of Turkeys renewable energy policy showed that EU has significantly contributed to Turkey in shaping its renewable energy policy, and Turkey should increase cooperation with EU in order to utilize its renewable energy potential. \u00a9 2012 Elsevier Ltd. All rights reserved.", "author" : [ { "dropping-particle" : "", "family" : "Murat Sirin", "given" : "Selahattin", "non-dropping-particle" : "", "parse-names" : false, "suffix" : "" }, { "dropping-particle" : "", "family" : "Ege", "given" : "Aylin", "non-dropping-particle" : "", "parse-names" : false, "suffix" : "" } ], "container-title" : "Renewable and Sustainable Energy Reviews", "id" : "ITEM-1", "issued" : { "date-parts" : [ [ "2012" ] ] }, "title" : "Overcoming problems in Turkeys renewable energy policy: How can EU contribute?", "type" : "article" }, "uris" : [ "http://www.mendeley.com/documents/?uuid=749ec023-2f3a-346b-a161-8bda33221833" ] } ], "mendeley" : { "formattedCitation" : "(Murat Sirin &amp; Ege, 2012)", "manualFormatting" : "(Sirin &amp; Ege, 2012)", "plainTextFormattedCitation" : "(Murat Sirin &amp; Ege, 2012)", "previouslyFormattedCitation" : "(Murat Sirin &amp; Ege, 2012)" }, "properties" : { "noteIndex" : 0 }, "schema" : "https://github.com/citation-style-language/schema/raw/master/csl-citation.json" }</w:instrText>
      </w:r>
      <w:r w:rsidR="009F4D10" w:rsidRPr="00D50AF8">
        <w:rPr>
          <w:rFonts w:ascii="Times New Roman" w:hAnsi="Times New Roman" w:cs="Times New Roman"/>
        </w:rPr>
        <w:fldChar w:fldCharType="separate"/>
      </w:r>
      <w:r w:rsidR="005A4DE2" w:rsidRPr="00D50AF8">
        <w:rPr>
          <w:rFonts w:ascii="Times New Roman" w:hAnsi="Times New Roman" w:cs="Times New Roman"/>
          <w:noProof/>
        </w:rPr>
        <w:t>(Sirin &amp; Ege, 2012)</w:t>
      </w:r>
      <w:r w:rsidR="009F4D10" w:rsidRPr="00D50AF8">
        <w:rPr>
          <w:rFonts w:ascii="Times New Roman" w:hAnsi="Times New Roman" w:cs="Times New Roman"/>
        </w:rPr>
        <w:fldChar w:fldCharType="end"/>
      </w:r>
      <w:r w:rsidR="005A4DE2" w:rsidRPr="00D50AF8">
        <w:rPr>
          <w:rFonts w:ascii="Times New Roman" w:hAnsi="Times New Roman" w:cs="Times New Roman"/>
        </w:rPr>
        <w:t xml:space="preserve">. However, earlier support schemes have failed to attract investors to the market in some technologies, and </w:t>
      </w:r>
      <w:r w:rsidR="00373453" w:rsidRPr="00D50AF8">
        <w:rPr>
          <w:rFonts w:ascii="Times New Roman" w:hAnsi="Times New Roman" w:cs="Times New Roman"/>
        </w:rPr>
        <w:t xml:space="preserve">investors refrained </w:t>
      </w:r>
      <w:r w:rsidR="005A4DE2" w:rsidRPr="00D50AF8">
        <w:rPr>
          <w:rFonts w:ascii="Times New Roman" w:hAnsi="Times New Roman" w:cs="Times New Roman"/>
        </w:rPr>
        <w:t xml:space="preserve">investments such as </w:t>
      </w:r>
      <w:r w:rsidR="00373453" w:rsidRPr="00D50AF8">
        <w:rPr>
          <w:rFonts w:ascii="Times New Roman" w:hAnsi="Times New Roman" w:cs="Times New Roman"/>
        </w:rPr>
        <w:t xml:space="preserve">solar power investments </w:t>
      </w:r>
      <w:r w:rsidR="009F4D10" w:rsidRPr="00D50AF8">
        <w:rPr>
          <w:rFonts w:ascii="Times New Roman" w:hAnsi="Times New Roman" w:cs="Times New Roman"/>
        </w:rPr>
        <w:fldChar w:fldCharType="begin" w:fldLock="1"/>
      </w:r>
      <w:r w:rsidR="009F1FDC">
        <w:rPr>
          <w:rFonts w:ascii="Times New Roman" w:hAnsi="Times New Roman" w:cs="Times New Roman"/>
        </w:rPr>
        <w:instrText>ADDIN CSL_CITATION { "citationItems" : [ { "id" : "ITEM-1", "itemData" : { "ISSN" : "13640321", "abstract" : "Market reform, energy security and environmental protection are three primary energy policy goals of Turkish government. Although Turkey's abundant solar energy resources can directly address the government's energy policy goals, Turkey has not utilized solar power yet. Utilization of country's huge solar energy potential would decrease dependence on imported fossil fuels and contribute to fulfill environmental commitments. However, lack of regulatory and financial support for the development of solar power has considerably delayed the utilization of country's huge solar potential. The government has taken only modest steps to promote investment in solar power until the end of 2010 when a new feed-in tariff policy was adapted. Turkey's solar energy potential, PV technology status and prospect for concentrating solar power in Turkey have been explored in a number of studies; yet literature dealing with recent policy developments, associated investment environment and opportunities for solar power investors are limited. The aim of this paper is to set out the latest legal framework for investment in Turkey's emerging solar power market and to provide some guidelines to potential investors who appreciated country's huge solar energy potential.", "author" : [ { "dropping-particle" : "", "family" : "Topkaya", "given" : "Sermin Oguz", "non-dropping-particle" : "", "parse-names" : false, "suffix" : "" } ], "container-title" : "Renewable and Sustainable Energy Reviews", "id" : "ITEM-1", "issue" : "6", "issued" : { "date-parts" : [ [ "2012" ] ] }, "page" : "3754-3765", "title" : "A discussion on recent developments in Turkey's emerging solar power market", "type" : "article-journal", "volume" : "16" }, "uris" : [ "http://www.mendeley.com/documents/?uuid=f6102e5a-77c4-47ac-800b-1011ee00e029" ] }, { "id" : "ITEM-2", "itemData" : { "author" : [ { "dropping-particle" : "", "family" : "Dilli", "given" : "Budak", "non-dropping-particle" : "", "parse-names" : false, "suffix" : "" }, { "dropping-particle" : "", "family" : "Nyman", "given" : "Kari J.", "non-dropping-particle" : "", "parse-names" : false, "suffix" : "" } ], "id" : "ITEM-2", "issued" : { "date-parts" : [ [ "2015" ] ] }, "publisher-place" : "Washington, D.C.", "title" : "Turkey\u2019s energy transition milestones and challenges", "type" : "report" }, "uris" : [ "http://www.mendeley.com/documents/?uuid=f22c9b87-f012-4b78-91cb-cd470fea0d93" ] } ], "mendeley" : { "formattedCitation" : "(Dilli &amp; Nyman, 2015; Topkaya, 2012)", "plainTextFormattedCitation" : "(Dilli &amp; Nyman, 2015; Topkaya, 2012)", "previouslyFormattedCitation" : "(Topkaya, 2012)" }, "properties" : { "noteIndex" : 0 }, "schema" : "https://github.com/citation-style-language/schema/raw/master/csl-citation.json" }</w:instrText>
      </w:r>
      <w:r w:rsidR="009F4D10" w:rsidRPr="00D50AF8">
        <w:rPr>
          <w:rFonts w:ascii="Times New Roman" w:hAnsi="Times New Roman" w:cs="Times New Roman"/>
        </w:rPr>
        <w:fldChar w:fldCharType="separate"/>
      </w:r>
      <w:r w:rsidR="009F1FDC" w:rsidRPr="009F1FDC">
        <w:rPr>
          <w:rFonts w:ascii="Times New Roman" w:hAnsi="Times New Roman" w:cs="Times New Roman"/>
          <w:noProof/>
        </w:rPr>
        <w:t>(Dilli &amp; Nyman, 2015; Topkaya, 2012)</w:t>
      </w:r>
      <w:r w:rsidR="009F4D10" w:rsidRPr="00D50AF8">
        <w:rPr>
          <w:rFonts w:ascii="Times New Roman" w:hAnsi="Times New Roman" w:cs="Times New Roman"/>
        </w:rPr>
        <w:fldChar w:fldCharType="end"/>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"author" : [ { "dropping-particle" : "", "family" : "Dilli", "given" : "Budak", "non-dropping-particle" : "", "parse-names" : false, "suffix" : "" }, { "dropping-particle" : "", "family" : "Nyman", "given" : "Kari J.", "non-dropping-particle" : "", "parse-names" : false, "suffix" : "" } ], "id" : "ITEM-1", "issued" : { "date-parts" : [ [ "2015" ] ] }, "publisher-place" : "Washington, D.C.", "title" : "Turkey\u2019s energy transition milestones and challenges", "type" : "report" }, "uris" : [ "http://www.mendeley.com/documents/?uuid=f22c9b87-f012-4b78-91cb-cd470fea0d93" ] } ], "mendeley" : { "formattedCitation" : "(Dilli &amp; Nyman, 2015)", "plainTextFormattedCitation" : "(Dilli &amp; Nyman, 2015)", "previouslyFormattedCitation" : "(Dilli &amp; Nyman, 2015)" }, "properties" : { "noteIndex" : 0 }, "schema" : "https://github.com/citation-style-language/schema/raw/master/csl-citation.json" }</w:instrText>
      </w:r>
      <w:r w:rsidR="009F4D10" w:rsidRPr="00D50AF8">
        <w:rPr>
          <w:rFonts w:ascii="Times New Roman" w:hAnsi="Times New Roman" w:cs="Times New Roman"/>
        </w:rPr>
        <w:fldChar w:fldCharType="end"/>
      </w:r>
      <w:r w:rsidR="00E8466F" w:rsidRPr="00D50AF8">
        <w:rPr>
          <w:rFonts w:ascii="Times New Roman" w:hAnsi="Times New Roman" w:cs="Times New Roman"/>
        </w:rPr>
        <w:t xml:space="preserve">. </w:t>
      </w:r>
      <w:r w:rsidR="00373453" w:rsidRPr="00D50AF8">
        <w:rPr>
          <w:rFonts w:ascii="Times New Roman" w:hAnsi="Times New Roman" w:cs="Times New Roman"/>
        </w:rPr>
        <w:t xml:space="preserve">In 2010, </w:t>
      </w:r>
      <w:r w:rsidR="005A4DE2" w:rsidRPr="00D50AF8">
        <w:rPr>
          <w:rFonts w:ascii="Times New Roman" w:hAnsi="Times New Roman" w:cs="Times New Roman"/>
        </w:rPr>
        <w:t>new incen</w:t>
      </w:r>
      <w:r w:rsidR="003B2321" w:rsidRPr="00D50AF8">
        <w:rPr>
          <w:rFonts w:ascii="Times New Roman" w:hAnsi="Times New Roman" w:cs="Times New Roman"/>
        </w:rPr>
        <w:t>tive schemes were initiated</w:t>
      </w:r>
      <w:r w:rsidR="000C36BF" w:rsidRPr="00D50AF8">
        <w:rPr>
          <w:rFonts w:ascii="Times New Roman" w:hAnsi="Times New Roman" w:cs="Times New Roman"/>
        </w:rPr>
        <w:t xml:space="preserve"> to support new renewable energy investments, and the share of</w:t>
      </w:r>
      <w:r w:rsidR="00E8466F" w:rsidRPr="00D50AF8">
        <w:rPr>
          <w:rFonts w:ascii="Times New Roman" w:hAnsi="Times New Roman" w:cs="Times New Roman"/>
        </w:rPr>
        <w:t xml:space="preserve"> non-hydro</w:t>
      </w:r>
      <w:r w:rsidR="000C36BF" w:rsidRPr="00D50AF8">
        <w:rPr>
          <w:rFonts w:ascii="Times New Roman" w:hAnsi="Times New Roman" w:cs="Times New Roman"/>
        </w:rPr>
        <w:t xml:space="preserve"> renewable energy in power generation ha</w:t>
      </w:r>
      <w:r w:rsidR="00E8466F" w:rsidRPr="00D50AF8">
        <w:rPr>
          <w:rFonts w:ascii="Times New Roman" w:hAnsi="Times New Roman" w:cs="Times New Roman"/>
        </w:rPr>
        <w:t>s</w:t>
      </w:r>
      <w:r w:rsidR="000C36BF" w:rsidRPr="00D50AF8">
        <w:rPr>
          <w:rFonts w:ascii="Times New Roman" w:hAnsi="Times New Roman" w:cs="Times New Roman"/>
        </w:rPr>
        <w:t xml:space="preserve"> increased recently</w:t>
      </w:r>
      <w:r w:rsidR="009327FF">
        <w:rPr>
          <w:rFonts w:ascii="Times New Roman" w:hAnsi="Times New Roman" w:cs="Times New Roman"/>
        </w:rPr>
        <w:t xml:space="preserve"> as shown in Figure 5</w:t>
      </w:r>
      <w:r w:rsidR="000C36BF" w:rsidRPr="00D50AF8">
        <w:rPr>
          <w:rFonts w:ascii="Times New Roman" w:hAnsi="Times New Roman" w:cs="Times New Roman"/>
        </w:rPr>
        <w:t xml:space="preserve">. </w:t>
      </w:r>
    </w:p>
    <w:p w:rsidR="009F1FDC" w:rsidRDefault="000C36BF" w:rsidP="009F1FDC">
      <w:pPr>
        <w:pStyle w:val="BodyText"/>
        <w:keepNext/>
        <w:jc w:val="both"/>
      </w:pPr>
      <w:r w:rsidRPr="00D50AF8">
        <w:rPr>
          <w:rFonts w:ascii="Times New Roman" w:hAnsi="Times New Roman" w:cs="Times New Roman"/>
          <w:noProof/>
          <w:lang w:val="tr-TR" w:eastAsia="tr-TR"/>
        </w:rPr>
        <w:drawing>
          <wp:inline distT="0" distB="0" distL="0" distR="0">
            <wp:extent cx="5619750" cy="3448050"/>
            <wp:effectExtent l="19050" t="0" r="19050" b="0"/>
            <wp:docPr id="2"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4DE2" w:rsidRPr="00D50AF8" w:rsidRDefault="009F1FDC" w:rsidP="009F1FDC">
      <w:pPr>
        <w:pStyle w:val="Caption"/>
        <w:jc w:val="center"/>
        <w:rPr>
          <w:rFonts w:ascii="Times New Roman" w:hAnsi="Times New Roman" w:cs="Times New Roman"/>
          <w:highlight w:val="yellow"/>
        </w:rPr>
      </w:pPr>
      <w:proofErr w:type="gramStart"/>
      <w:r>
        <w:t xml:space="preserve">Figure </w:t>
      </w:r>
      <w:fldSimple w:instr=" SEQ Figure \* ARABIC ">
        <w:r>
          <w:rPr>
            <w:noProof/>
          </w:rPr>
          <w:t>5</w:t>
        </w:r>
      </w:fldSimple>
      <w:r>
        <w:t>.</w:t>
      </w:r>
      <w:proofErr w:type="gramEnd"/>
      <w:r>
        <w:t xml:space="preserve"> Electricity generation by sources-</w:t>
      </w:r>
      <w:proofErr w:type="spellStart"/>
      <w:r>
        <w:t>GWh</w:t>
      </w:r>
      <w:proofErr w:type="spellEnd"/>
      <w:r>
        <w:t xml:space="preserve"> (</w:t>
      </w:r>
      <w:proofErr w:type="spellStart"/>
      <w:r>
        <w:t>Source</w:t>
      </w:r>
      <w:proofErr w:type="gramStart"/>
      <w:r>
        <w:t>:TUIK</w:t>
      </w:r>
      <w:proofErr w:type="spellEnd"/>
      <w:proofErr w:type="gramEnd"/>
      <w:r>
        <w:t>)</w:t>
      </w:r>
    </w:p>
    <w:p w:rsidR="005A4DE2" w:rsidRPr="00D50AF8" w:rsidRDefault="005A4DE2" w:rsidP="003760EF">
      <w:pPr>
        <w:pStyle w:val="BodyText"/>
        <w:jc w:val="both"/>
        <w:rPr>
          <w:rFonts w:ascii="Times New Roman" w:hAnsi="Times New Roman" w:cs="Times New Roman"/>
          <w:highlight w:val="yellow"/>
        </w:rPr>
      </w:pPr>
    </w:p>
    <w:p w:rsidR="0017272C" w:rsidRPr="00D50AF8" w:rsidRDefault="00373453" w:rsidP="003760EF">
      <w:pPr>
        <w:pStyle w:val="BodyText"/>
        <w:jc w:val="both"/>
        <w:rPr>
          <w:rFonts w:ascii="Times New Roman" w:hAnsi="Times New Roman" w:cs="Times New Roman"/>
        </w:rPr>
      </w:pPr>
      <w:r w:rsidRPr="00D50AF8">
        <w:rPr>
          <w:rFonts w:ascii="Times New Roman" w:hAnsi="Times New Roman" w:cs="Times New Roman"/>
        </w:rPr>
        <w:t xml:space="preserve">According to Ernst and Young's Renewable Energy Country Attractiveness Index (RECAI), Turkey </w:t>
      </w:r>
      <w:r w:rsidR="00D813F3" w:rsidRPr="00D50AF8">
        <w:rPr>
          <w:rFonts w:ascii="Times New Roman" w:hAnsi="Times New Roman" w:cs="Times New Roman"/>
        </w:rPr>
        <w:t xml:space="preserve">has </w:t>
      </w:r>
      <w:r w:rsidRPr="00D50AF8">
        <w:rPr>
          <w:rFonts w:ascii="Times New Roman" w:hAnsi="Times New Roman" w:cs="Times New Roman"/>
        </w:rPr>
        <w:t>improved its rank from 24th (of 25 countries) in 2007 to 1</w:t>
      </w:r>
      <w:r w:rsidR="00D813F3" w:rsidRPr="00D50AF8">
        <w:rPr>
          <w:rFonts w:ascii="Times New Roman" w:hAnsi="Times New Roman" w:cs="Times New Roman"/>
        </w:rPr>
        <w:t>7</w:t>
      </w:r>
      <w:r w:rsidRPr="00D50AF8">
        <w:rPr>
          <w:rFonts w:ascii="Times New Roman" w:hAnsi="Times New Roman" w:cs="Times New Roman"/>
        </w:rPr>
        <w:t>th (of 40 countries) in 201</w:t>
      </w:r>
      <w:r w:rsidR="00D813F3" w:rsidRPr="00D50AF8">
        <w:rPr>
          <w:rFonts w:ascii="Times New Roman" w:hAnsi="Times New Roman" w:cs="Times New Roman"/>
        </w:rPr>
        <w:t>7</w:t>
      </w:r>
      <w:r w:rsidR="009327FF">
        <w:rPr>
          <w:rFonts w:ascii="Times New Roman" w:hAnsi="Times New Roman" w:cs="Times New Roman"/>
        </w:rPr>
        <w:t xml:space="preserve"> </w:t>
      </w:r>
      <w:r w:rsidR="009F4D10" w:rsidRPr="00D50AF8">
        <w:rPr>
          <w:rFonts w:ascii="Times New Roman" w:hAnsi="Times New Roman" w:cs="Times New Roman"/>
        </w:rPr>
        <w:fldChar w:fldCharType="begin" w:fldLock="1"/>
      </w:r>
      <w:r w:rsidR="00D95E00">
        <w:rPr>
          <w:rFonts w:ascii="Times New Roman" w:hAnsi="Times New Roman" w:cs="Times New Roman"/>
        </w:rPr>
        <w:instrText>ADDIN CSL_CITATION { "citationItems" : [ { "id" : "ITEM-1", "itemData" : { "author" : [ { "dropping-particle" : "", "family" : "Ernst &amp; Young Global Limited", "given" : "", "non-dropping-particle" : "", "parse-names" : false, "suffix" : "" } ], "id" : "ITEM-1", "issued" : { "date-parts" : [ [ "2016" ] ] }, "title" : "Renewable Energy Country Attractiveness Index", "type" : "webpage" }, "uris" : [ "http://www.mendeley.com/documents/?uuid=6a9b2e95-50a6-49a9-a6cb-530c8852e16c", "http://www.mendeley.com/documents/?uuid=ce863a8a-aa7f-4d2c-9846-2f49261588ef" ] } ], "mendeley" : { "formattedCitation" : "(Ernst &amp; Young Global Limited, 2016)", "manualFormatting" : "(Ernst &amp; Young Global Limited, 2017)", "plainTextFormattedCitation" : "(Ernst &amp; Young Global Limited, 2016)", "previouslyFormattedCitation" : "(Ernst &amp; Young Global Limited, 2016)" }, "properties" : { "noteIndex" : 0 }, "schema" : "https://github.com/citation-style-language/schema/raw/master/csl-citation.json" }</w:instrText>
      </w:r>
      <w:r w:rsidR="009F4D10" w:rsidRPr="00D50AF8">
        <w:rPr>
          <w:rFonts w:ascii="Times New Roman" w:hAnsi="Times New Roman" w:cs="Times New Roman"/>
        </w:rPr>
        <w:fldChar w:fldCharType="separate"/>
      </w:r>
      <w:r w:rsidR="00214EE6" w:rsidRPr="00D50AF8">
        <w:rPr>
          <w:rFonts w:ascii="Times New Roman" w:hAnsi="Times New Roman" w:cs="Times New Roman"/>
          <w:noProof/>
        </w:rPr>
        <w:t>(Ernst &amp; Young Global Limited, 201</w:t>
      </w:r>
      <w:r w:rsidR="00D813F3" w:rsidRPr="00D50AF8">
        <w:rPr>
          <w:rFonts w:ascii="Times New Roman" w:hAnsi="Times New Roman" w:cs="Times New Roman"/>
          <w:noProof/>
        </w:rPr>
        <w:t>7</w:t>
      </w:r>
      <w:r w:rsidR="00214EE6" w:rsidRPr="00D50AF8">
        <w:rPr>
          <w:rFonts w:ascii="Times New Roman" w:hAnsi="Times New Roman" w:cs="Times New Roman"/>
          <w:noProof/>
        </w:rPr>
        <w:t>)</w:t>
      </w:r>
      <w:r w:rsidR="009F4D10" w:rsidRPr="00D50AF8">
        <w:rPr>
          <w:rFonts w:ascii="Times New Roman" w:hAnsi="Times New Roman" w:cs="Times New Roman"/>
        </w:rPr>
        <w:fldChar w:fldCharType="end"/>
      </w:r>
      <w:r w:rsidRPr="00D50AF8">
        <w:rPr>
          <w:rFonts w:ascii="Times New Roman" w:hAnsi="Times New Roman" w:cs="Times New Roman"/>
        </w:rPr>
        <w:t xml:space="preserve">. </w:t>
      </w:r>
      <w:r w:rsidR="00E8466F" w:rsidRPr="00D50AF8">
        <w:rPr>
          <w:rFonts w:ascii="Times New Roman" w:hAnsi="Times New Roman" w:cs="Times New Roman"/>
        </w:rPr>
        <w:t>Recent renewable energy support scheme- Renewable Ener</w:t>
      </w:r>
      <w:r w:rsidR="00E624A3" w:rsidRPr="00D50AF8">
        <w:rPr>
          <w:rFonts w:ascii="Times New Roman" w:hAnsi="Times New Roman" w:cs="Times New Roman"/>
        </w:rPr>
        <w:t>gy Resource Area (</w:t>
      </w:r>
      <w:proofErr w:type="spellStart"/>
      <w:r w:rsidR="00E624A3" w:rsidRPr="00D50AF8">
        <w:rPr>
          <w:rFonts w:ascii="Times New Roman" w:hAnsi="Times New Roman" w:cs="Times New Roman"/>
        </w:rPr>
        <w:t>Yenilenebilir</w:t>
      </w:r>
      <w:proofErr w:type="spellEnd"/>
      <w:r w:rsidR="008A454F" w:rsidRPr="00D50AF8">
        <w:rPr>
          <w:rFonts w:ascii="Times New Roman" w:hAnsi="Times New Roman" w:cs="Times New Roman"/>
        </w:rPr>
        <w:t xml:space="preserve"> </w:t>
      </w:r>
      <w:proofErr w:type="spellStart"/>
      <w:r w:rsidR="00E624A3" w:rsidRPr="00D50AF8">
        <w:rPr>
          <w:rFonts w:ascii="Times New Roman" w:hAnsi="Times New Roman" w:cs="Times New Roman"/>
        </w:rPr>
        <w:t>Enerji</w:t>
      </w:r>
      <w:proofErr w:type="spellEnd"/>
      <w:r w:rsidR="008A454F" w:rsidRPr="00D50AF8">
        <w:rPr>
          <w:rFonts w:ascii="Times New Roman" w:hAnsi="Times New Roman" w:cs="Times New Roman"/>
        </w:rPr>
        <w:t xml:space="preserve"> </w:t>
      </w:r>
      <w:proofErr w:type="spellStart"/>
      <w:r w:rsidR="00E624A3" w:rsidRPr="00D50AF8">
        <w:rPr>
          <w:rFonts w:ascii="Times New Roman" w:hAnsi="Times New Roman" w:cs="Times New Roman"/>
        </w:rPr>
        <w:t>Kaynak</w:t>
      </w:r>
      <w:proofErr w:type="spellEnd"/>
      <w:r w:rsidR="008A454F" w:rsidRPr="00D50AF8">
        <w:rPr>
          <w:rFonts w:ascii="Times New Roman" w:hAnsi="Times New Roman" w:cs="Times New Roman"/>
        </w:rPr>
        <w:t xml:space="preserve"> </w:t>
      </w:r>
      <w:proofErr w:type="spellStart"/>
      <w:r w:rsidR="00E624A3" w:rsidRPr="00D50AF8">
        <w:rPr>
          <w:rFonts w:ascii="Times New Roman" w:hAnsi="Times New Roman" w:cs="Times New Roman"/>
        </w:rPr>
        <w:t>Alanlari</w:t>
      </w:r>
      <w:proofErr w:type="spellEnd"/>
      <w:r w:rsidR="00063614" w:rsidRPr="00D50AF8">
        <w:rPr>
          <w:rFonts w:ascii="Times New Roman" w:hAnsi="Times New Roman" w:cs="Times New Roman"/>
        </w:rPr>
        <w:t>-YEKA</w:t>
      </w:r>
      <w:r w:rsidR="00E624A3" w:rsidRPr="00D50AF8">
        <w:rPr>
          <w:rFonts w:ascii="Times New Roman" w:hAnsi="Times New Roman" w:cs="Times New Roman"/>
        </w:rPr>
        <w:t xml:space="preserve">) is seen a promising scheme to support renewable energy technologies and attract foreign investors. This scheme was initiated in 2016 to reduce bureaucratic processes, to support technology transfer and domestic manufacturing capabilities. This scheme is a tendering process in which the participants compete in the lowest feed-in tariff per kWh. In this respect, it is similar to those tenders used in Great Britain in the early 2000s; however, in this scheme the winner of the tender has to purchase a defined share of  domestic manufactured equipments (defined in the tender) in the power plant, and even more it has to </w:t>
      </w:r>
      <w:r w:rsidR="00063614" w:rsidRPr="00D50AF8">
        <w:rPr>
          <w:rFonts w:ascii="Times New Roman" w:hAnsi="Times New Roman" w:cs="Times New Roman"/>
        </w:rPr>
        <w:t xml:space="preserve">produce equipment and </w:t>
      </w:r>
      <w:r w:rsidR="00CB0B1B" w:rsidRPr="00D50AF8">
        <w:rPr>
          <w:rFonts w:ascii="Times New Roman" w:hAnsi="Times New Roman" w:cs="Times New Roman"/>
        </w:rPr>
        <w:t xml:space="preserve">conduct R&amp;D activities for defined time-period. </w:t>
      </w:r>
      <w:r w:rsidR="00063614" w:rsidRPr="00D50AF8">
        <w:rPr>
          <w:rFonts w:ascii="Times New Roman" w:hAnsi="Times New Roman" w:cs="Times New Roman"/>
        </w:rPr>
        <w:t>First Solar YEKA tender was made for 1000 MW</w:t>
      </w:r>
      <w:r w:rsidR="00831FB4" w:rsidRPr="00D50AF8">
        <w:rPr>
          <w:rFonts w:ascii="Times New Roman" w:hAnsi="Times New Roman" w:cs="Times New Roman"/>
        </w:rPr>
        <w:t xml:space="preserve"> installed</w:t>
      </w:r>
      <w:r w:rsidR="00063614" w:rsidRPr="00D50AF8">
        <w:rPr>
          <w:rFonts w:ascii="Times New Roman" w:hAnsi="Times New Roman" w:cs="Times New Roman"/>
        </w:rPr>
        <w:t xml:space="preserve"> capacity in March 2017</w:t>
      </w:r>
      <w:r w:rsidR="009327FF">
        <w:rPr>
          <w:rFonts w:ascii="Times New Roman" w:hAnsi="Times New Roman" w:cs="Times New Roman"/>
        </w:rPr>
        <w:t>.</w:t>
      </w:r>
      <w:r w:rsidR="00831FB4" w:rsidRPr="00D50AF8">
        <w:rPr>
          <w:rFonts w:ascii="Times New Roman" w:hAnsi="Times New Roman" w:cs="Times New Roman"/>
        </w:rPr>
        <w:t xml:space="preserve"> This tender required construction of Solar PV factory with annual 500 </w:t>
      </w:r>
      <w:proofErr w:type="spellStart"/>
      <w:r w:rsidR="00831FB4" w:rsidRPr="00D50AF8">
        <w:rPr>
          <w:rFonts w:ascii="Times New Roman" w:hAnsi="Times New Roman" w:cs="Times New Roman"/>
        </w:rPr>
        <w:t>MWp</w:t>
      </w:r>
      <w:proofErr w:type="spellEnd"/>
      <w:r w:rsidR="00831FB4" w:rsidRPr="00D50AF8">
        <w:rPr>
          <w:rFonts w:ascii="Times New Roman" w:hAnsi="Times New Roman" w:cs="Times New Roman"/>
        </w:rPr>
        <w:t xml:space="preserve"> production </w:t>
      </w:r>
      <w:proofErr w:type="gramStart"/>
      <w:r w:rsidR="00831FB4" w:rsidRPr="00D50AF8">
        <w:rPr>
          <w:rFonts w:ascii="Times New Roman" w:hAnsi="Times New Roman" w:cs="Times New Roman"/>
        </w:rPr>
        <w:t>capacity</w:t>
      </w:r>
      <w:proofErr w:type="gramEnd"/>
      <w:r w:rsidR="00831FB4" w:rsidRPr="00D50AF8">
        <w:rPr>
          <w:rFonts w:ascii="Times New Roman" w:hAnsi="Times New Roman" w:cs="Times New Roman"/>
        </w:rPr>
        <w:t xml:space="preserve"> and 15-ye</w:t>
      </w:r>
      <w:r w:rsidR="009327FF">
        <w:rPr>
          <w:rFonts w:ascii="Times New Roman" w:hAnsi="Times New Roman" w:cs="Times New Roman"/>
        </w:rPr>
        <w:t>a</w:t>
      </w:r>
      <w:r w:rsidR="00831FB4" w:rsidRPr="00D50AF8">
        <w:rPr>
          <w:rFonts w:ascii="Times New Roman" w:hAnsi="Times New Roman" w:cs="Times New Roman"/>
        </w:rPr>
        <w:t xml:space="preserve">r </w:t>
      </w:r>
      <w:r w:rsidR="00831FB4" w:rsidRPr="00D50AF8">
        <w:rPr>
          <w:rFonts w:ascii="Times New Roman" w:hAnsi="Times New Roman" w:cs="Times New Roman"/>
        </w:rPr>
        <w:lastRenderedPageBreak/>
        <w:t xml:space="preserve">R&amp;D plan. The winner was </w:t>
      </w:r>
      <w:proofErr w:type="spellStart"/>
      <w:r w:rsidR="00831FB4" w:rsidRPr="00D50AF8">
        <w:rPr>
          <w:rFonts w:ascii="Times New Roman" w:hAnsi="Times New Roman" w:cs="Times New Roman"/>
        </w:rPr>
        <w:t>Kalyon-Hanwha</w:t>
      </w:r>
      <w:proofErr w:type="spellEnd"/>
      <w:r w:rsidR="00831FB4" w:rsidRPr="00D50AF8">
        <w:rPr>
          <w:rFonts w:ascii="Times New Roman" w:hAnsi="Times New Roman" w:cs="Times New Roman"/>
        </w:rPr>
        <w:t xml:space="preserve"> Group, and the </w:t>
      </w:r>
      <w:r w:rsidR="009D4066" w:rsidRPr="00D50AF8">
        <w:rPr>
          <w:rFonts w:ascii="Times New Roman" w:hAnsi="Times New Roman" w:cs="Times New Roman"/>
        </w:rPr>
        <w:t xml:space="preserve">final </w:t>
      </w:r>
      <w:r w:rsidR="00831FB4" w:rsidRPr="00D50AF8">
        <w:rPr>
          <w:rFonts w:ascii="Times New Roman" w:hAnsi="Times New Roman" w:cs="Times New Roman"/>
        </w:rPr>
        <w:t>price was 6</w:t>
      </w:r>
      <w:proofErr w:type="gramStart"/>
      <w:r w:rsidR="00831FB4" w:rsidRPr="00D50AF8">
        <w:rPr>
          <w:rFonts w:ascii="Times New Roman" w:hAnsi="Times New Roman" w:cs="Times New Roman"/>
        </w:rPr>
        <w:t>,99</w:t>
      </w:r>
      <w:proofErr w:type="gramEnd"/>
      <w:r w:rsidR="00831FB4" w:rsidRPr="00D50AF8">
        <w:rPr>
          <w:rFonts w:ascii="Times New Roman" w:hAnsi="Times New Roman" w:cs="Times New Roman"/>
        </w:rPr>
        <w:t xml:space="preserve"> USD cent/kWh, which is almost half of the earlier incentive scheme. The wind tender was made in </w:t>
      </w:r>
      <w:r w:rsidR="00C227DA" w:rsidRPr="00D50AF8">
        <w:rPr>
          <w:rFonts w:ascii="Times New Roman" w:hAnsi="Times New Roman" w:cs="Times New Roman"/>
        </w:rPr>
        <w:t xml:space="preserve">August 2017, and the </w:t>
      </w:r>
      <w:r w:rsidR="009D4066" w:rsidRPr="00D50AF8">
        <w:rPr>
          <w:rFonts w:ascii="Times New Roman" w:hAnsi="Times New Roman" w:cs="Times New Roman"/>
        </w:rPr>
        <w:t xml:space="preserve">final </w:t>
      </w:r>
      <w:r w:rsidR="009327FF">
        <w:rPr>
          <w:rFonts w:ascii="Times New Roman" w:hAnsi="Times New Roman" w:cs="Times New Roman"/>
        </w:rPr>
        <w:t>price was</w:t>
      </w:r>
      <w:r w:rsidR="00C227DA" w:rsidRPr="00D50AF8">
        <w:rPr>
          <w:rFonts w:ascii="Times New Roman" w:hAnsi="Times New Roman" w:cs="Times New Roman"/>
        </w:rPr>
        <w:t xml:space="preserve"> </w:t>
      </w:r>
      <w:proofErr w:type="gramStart"/>
      <w:r w:rsidR="00C227DA" w:rsidRPr="00D50AF8">
        <w:rPr>
          <w:rFonts w:ascii="Times New Roman" w:hAnsi="Times New Roman" w:cs="Times New Roman"/>
        </w:rPr>
        <w:t>3.48</w:t>
      </w:r>
      <w:r w:rsidR="009327FF">
        <w:rPr>
          <w:rFonts w:ascii="Times New Roman" w:hAnsi="Times New Roman" w:cs="Times New Roman"/>
        </w:rPr>
        <w:t xml:space="preserve"> </w:t>
      </w:r>
      <w:r w:rsidR="00C227DA" w:rsidRPr="00D50AF8">
        <w:rPr>
          <w:rFonts w:ascii="Times New Roman" w:hAnsi="Times New Roman" w:cs="Times New Roman"/>
        </w:rPr>
        <w:t>USD cent/kWh</w:t>
      </w:r>
      <w:proofErr w:type="gramEnd"/>
      <w:r w:rsidR="009D4066" w:rsidRPr="00D50AF8">
        <w:rPr>
          <w:rFonts w:ascii="Times New Roman" w:hAnsi="Times New Roman" w:cs="Times New Roman"/>
        </w:rPr>
        <w:t>. In this tender, again, the winner will build domestic wind equipment factory, and 65% of the equipment used in the project must be manufactured in Turkey.</w:t>
      </w:r>
    </w:p>
    <w:p w:rsidR="009D4066" w:rsidRPr="00D50AF8" w:rsidRDefault="009D4066" w:rsidP="003760EF">
      <w:pPr>
        <w:pStyle w:val="BodyText"/>
        <w:jc w:val="both"/>
        <w:rPr>
          <w:rFonts w:ascii="Times New Roman" w:hAnsi="Times New Roman" w:cs="Times New Roman"/>
        </w:rPr>
      </w:pPr>
      <w:r w:rsidRPr="00D50AF8">
        <w:rPr>
          <w:rFonts w:ascii="Times New Roman" w:hAnsi="Times New Roman" w:cs="Times New Roman"/>
        </w:rPr>
        <w:t xml:space="preserve">These tenders are supported by various stakeholders for supporting domestic manufacturing and attracting foreign investors. It is still too early to reach a conclusion on the success of these tender given the unsuccessful outcomes in the other countries, but these tenders also provide new opportunities for new foreign investors. </w:t>
      </w:r>
    </w:p>
    <w:p w:rsidR="0017272C" w:rsidRPr="00D50AF8" w:rsidRDefault="00373453" w:rsidP="009327FF">
      <w:pPr>
        <w:pStyle w:val="Heading2"/>
        <w:numPr>
          <w:ilvl w:val="0"/>
          <w:numId w:val="21"/>
        </w:numPr>
        <w:rPr>
          <w:rFonts w:ascii="Times New Roman" w:hAnsi="Times New Roman" w:cs="Times New Roman"/>
          <w:sz w:val="24"/>
          <w:szCs w:val="24"/>
        </w:rPr>
      </w:pPr>
      <w:bookmarkStart w:id="4" w:name="conclusion"/>
      <w:bookmarkEnd w:id="4"/>
      <w:r w:rsidRPr="00D50AF8">
        <w:rPr>
          <w:rFonts w:ascii="Times New Roman" w:hAnsi="Times New Roman" w:cs="Times New Roman"/>
          <w:sz w:val="24"/>
          <w:szCs w:val="24"/>
        </w:rPr>
        <w:t>Conclusion</w:t>
      </w:r>
    </w:p>
    <w:p w:rsidR="0017272C" w:rsidRPr="00D50AF8" w:rsidRDefault="001A4D80" w:rsidP="00D478F5">
      <w:pPr>
        <w:pStyle w:val="FirstParagraph"/>
        <w:jc w:val="both"/>
        <w:rPr>
          <w:rFonts w:ascii="Times New Roman" w:hAnsi="Times New Roman" w:cs="Times New Roman"/>
        </w:rPr>
      </w:pPr>
      <w:r w:rsidRPr="00D50AF8">
        <w:rPr>
          <w:rFonts w:ascii="Times New Roman" w:hAnsi="Times New Roman" w:cs="Times New Roman"/>
        </w:rPr>
        <w:t xml:space="preserve">Energy sector is one of the primary sectors that can affect economic development and contribute to sustainable development goals. </w:t>
      </w:r>
      <w:proofErr w:type="gramStart"/>
      <w:r w:rsidR="00373453" w:rsidRPr="00D50AF8">
        <w:rPr>
          <w:rFonts w:ascii="Times New Roman" w:hAnsi="Times New Roman" w:cs="Times New Roman"/>
        </w:rPr>
        <w:t>In addition, growing</w:t>
      </w:r>
      <w:r w:rsidRPr="00D50AF8">
        <w:rPr>
          <w:rFonts w:ascii="Times New Roman" w:hAnsi="Times New Roman" w:cs="Times New Roman"/>
        </w:rPr>
        <w:t xml:space="preserve"> energy </w:t>
      </w:r>
      <w:r w:rsidR="00373453" w:rsidRPr="00D50AF8">
        <w:rPr>
          <w:rFonts w:ascii="Times New Roman" w:hAnsi="Times New Roman" w:cs="Times New Roman"/>
        </w:rPr>
        <w:t>security</w:t>
      </w:r>
      <w:r w:rsidR="008A4CFA" w:rsidRPr="00D50AF8">
        <w:rPr>
          <w:rFonts w:ascii="Times New Roman" w:hAnsi="Times New Roman" w:cs="Times New Roman"/>
        </w:rPr>
        <w:t xml:space="preserve"> concerns</w:t>
      </w:r>
      <w:r w:rsidR="00373453" w:rsidRPr="00D50AF8">
        <w:rPr>
          <w:rFonts w:ascii="Times New Roman" w:hAnsi="Times New Roman" w:cs="Times New Roman"/>
        </w:rPr>
        <w:t xml:space="preserve">, </w:t>
      </w:r>
      <w:r w:rsidR="00972040" w:rsidRPr="00D50AF8">
        <w:rPr>
          <w:rFonts w:ascii="Times New Roman" w:hAnsi="Times New Roman" w:cs="Times New Roman"/>
        </w:rPr>
        <w:t xml:space="preserve">maintaining low </w:t>
      </w:r>
      <w:r w:rsidR="00373453" w:rsidRPr="00D50AF8">
        <w:rPr>
          <w:rFonts w:ascii="Times New Roman" w:hAnsi="Times New Roman" w:cs="Times New Roman"/>
        </w:rPr>
        <w:t xml:space="preserve">costs and </w:t>
      </w:r>
      <w:r w:rsidR="00972040" w:rsidRPr="00D50AF8">
        <w:rPr>
          <w:rFonts w:ascii="Times New Roman" w:hAnsi="Times New Roman" w:cs="Times New Roman"/>
        </w:rPr>
        <w:t xml:space="preserve">improving </w:t>
      </w:r>
      <w:r w:rsidR="00373453" w:rsidRPr="00D50AF8">
        <w:rPr>
          <w:rFonts w:ascii="Times New Roman" w:hAnsi="Times New Roman" w:cs="Times New Roman"/>
        </w:rPr>
        <w:t xml:space="preserve">efficiency </w:t>
      </w:r>
      <w:r w:rsidR="00972040" w:rsidRPr="00D50AF8">
        <w:rPr>
          <w:rFonts w:ascii="Times New Roman" w:hAnsi="Times New Roman" w:cs="Times New Roman"/>
        </w:rPr>
        <w:t xml:space="preserve">warrant implementing </w:t>
      </w:r>
      <w:r w:rsidR="0082347A" w:rsidRPr="00D50AF8">
        <w:rPr>
          <w:rFonts w:ascii="Times New Roman" w:hAnsi="Times New Roman" w:cs="Times New Roman"/>
        </w:rPr>
        <w:t xml:space="preserve">various government policies and </w:t>
      </w:r>
      <w:r w:rsidR="00D478F5" w:rsidRPr="00D50AF8">
        <w:rPr>
          <w:rFonts w:ascii="Times New Roman" w:hAnsi="Times New Roman" w:cs="Times New Roman"/>
        </w:rPr>
        <w:t xml:space="preserve">encouraging </w:t>
      </w:r>
      <w:r w:rsidR="00972040" w:rsidRPr="00D50AF8">
        <w:rPr>
          <w:rFonts w:ascii="Times New Roman" w:hAnsi="Times New Roman" w:cs="Times New Roman"/>
        </w:rPr>
        <w:t xml:space="preserve">better coordination </w:t>
      </w:r>
      <w:r w:rsidR="0082347A" w:rsidRPr="00D50AF8">
        <w:rPr>
          <w:rFonts w:ascii="Times New Roman" w:hAnsi="Times New Roman" w:cs="Times New Roman"/>
        </w:rPr>
        <w:t>among different actors</w:t>
      </w:r>
      <w:r w:rsidR="00373453" w:rsidRPr="00D50AF8">
        <w:rPr>
          <w:rFonts w:ascii="Times New Roman" w:hAnsi="Times New Roman" w:cs="Times New Roman"/>
        </w:rPr>
        <w:t>.</w:t>
      </w:r>
      <w:proofErr w:type="gramEnd"/>
      <w:r w:rsidR="00373453" w:rsidRPr="00D50AF8">
        <w:rPr>
          <w:rFonts w:ascii="Times New Roman" w:hAnsi="Times New Roman" w:cs="Times New Roman"/>
        </w:rPr>
        <w:t xml:space="preserve"> </w:t>
      </w:r>
      <w:r w:rsidR="00D478F5" w:rsidRPr="00D50AF8">
        <w:rPr>
          <w:rFonts w:ascii="Times New Roman" w:hAnsi="Times New Roman" w:cs="Times New Roman"/>
        </w:rPr>
        <w:t xml:space="preserve">It is in this context, </w:t>
      </w:r>
      <w:r w:rsidR="00373453" w:rsidRPr="00D50AF8">
        <w:rPr>
          <w:rFonts w:ascii="Times New Roman" w:hAnsi="Times New Roman" w:cs="Times New Roman"/>
        </w:rPr>
        <w:t xml:space="preserve">foreign investments can </w:t>
      </w:r>
      <w:r w:rsidR="00D478F5" w:rsidRPr="00D50AF8">
        <w:rPr>
          <w:rFonts w:ascii="Times New Roman" w:hAnsi="Times New Roman" w:cs="Times New Roman"/>
        </w:rPr>
        <w:t xml:space="preserve">play an important role </w:t>
      </w:r>
      <w:r w:rsidR="00373453" w:rsidRPr="00D50AF8">
        <w:rPr>
          <w:rFonts w:ascii="Times New Roman" w:hAnsi="Times New Roman" w:cs="Times New Roman"/>
        </w:rPr>
        <w:t xml:space="preserve">in </w:t>
      </w:r>
      <w:r w:rsidR="0082347A" w:rsidRPr="00D50AF8">
        <w:rPr>
          <w:rFonts w:ascii="Times New Roman" w:hAnsi="Times New Roman" w:cs="Times New Roman"/>
        </w:rPr>
        <w:t xml:space="preserve">developing economies to </w:t>
      </w:r>
      <w:r w:rsidR="00D478F5" w:rsidRPr="00D50AF8">
        <w:rPr>
          <w:rFonts w:ascii="Times New Roman" w:hAnsi="Times New Roman" w:cs="Times New Roman"/>
        </w:rPr>
        <w:t xml:space="preserve">address these issues. </w:t>
      </w:r>
    </w:p>
    <w:p w:rsidR="0017272C" w:rsidRPr="00D50AF8" w:rsidRDefault="00D478F5" w:rsidP="00834E5E">
      <w:pPr>
        <w:pStyle w:val="BodyText"/>
        <w:jc w:val="both"/>
        <w:rPr>
          <w:rFonts w:ascii="Times New Roman" w:hAnsi="Times New Roman" w:cs="Times New Roman"/>
        </w:rPr>
      </w:pPr>
      <w:r w:rsidRPr="00D50AF8">
        <w:rPr>
          <w:rFonts w:ascii="Times New Roman" w:hAnsi="Times New Roman" w:cs="Times New Roman"/>
        </w:rPr>
        <w:t>The literature on FDIs to other sector</w:t>
      </w:r>
      <w:r w:rsidR="001A4D80" w:rsidRPr="00D50AF8">
        <w:rPr>
          <w:rFonts w:ascii="Times New Roman" w:hAnsi="Times New Roman" w:cs="Times New Roman"/>
        </w:rPr>
        <w:t>s</w:t>
      </w:r>
      <w:r w:rsidRPr="00D50AF8">
        <w:rPr>
          <w:rFonts w:ascii="Times New Roman" w:hAnsi="Times New Roman" w:cs="Times New Roman"/>
        </w:rPr>
        <w:t xml:space="preserve"> is </w:t>
      </w:r>
      <w:r w:rsidR="00834E5E" w:rsidRPr="00D50AF8">
        <w:rPr>
          <w:rFonts w:ascii="Times New Roman" w:hAnsi="Times New Roman" w:cs="Times New Roman"/>
        </w:rPr>
        <w:t>colossal and well documented</w:t>
      </w:r>
      <w:r w:rsidR="001A4D80" w:rsidRPr="00D50AF8">
        <w:rPr>
          <w:rFonts w:ascii="Times New Roman" w:hAnsi="Times New Roman" w:cs="Times New Roman"/>
        </w:rPr>
        <w:t xml:space="preserve">; </w:t>
      </w:r>
      <w:r w:rsidR="00834E5E" w:rsidRPr="00D50AF8">
        <w:rPr>
          <w:rFonts w:ascii="Times New Roman" w:hAnsi="Times New Roman" w:cs="Times New Roman"/>
        </w:rPr>
        <w:t xml:space="preserve">however, </w:t>
      </w:r>
      <w:r w:rsidR="00373453" w:rsidRPr="00D50AF8">
        <w:rPr>
          <w:rFonts w:ascii="Times New Roman" w:hAnsi="Times New Roman" w:cs="Times New Roman"/>
        </w:rPr>
        <w:t xml:space="preserve">studies on </w:t>
      </w:r>
      <w:r w:rsidR="001A4D80" w:rsidRPr="00D50AF8">
        <w:rPr>
          <w:rFonts w:ascii="Times New Roman" w:hAnsi="Times New Roman" w:cs="Times New Roman"/>
        </w:rPr>
        <w:t>energy</w:t>
      </w:r>
      <w:r w:rsidR="00373453" w:rsidRPr="00D50AF8">
        <w:rPr>
          <w:rFonts w:ascii="Times New Roman" w:hAnsi="Times New Roman" w:cs="Times New Roman"/>
        </w:rPr>
        <w:t xml:space="preserve"> sector ha</w:t>
      </w:r>
      <w:r w:rsidR="00834E5E" w:rsidRPr="00D50AF8">
        <w:rPr>
          <w:rFonts w:ascii="Times New Roman" w:hAnsi="Times New Roman" w:cs="Times New Roman"/>
        </w:rPr>
        <w:t xml:space="preserve">ve </w:t>
      </w:r>
      <w:r w:rsidR="00373453" w:rsidRPr="00D50AF8">
        <w:rPr>
          <w:rFonts w:ascii="Times New Roman" w:hAnsi="Times New Roman" w:cs="Times New Roman"/>
        </w:rPr>
        <w:t xml:space="preserve">been limited </w:t>
      </w:r>
      <w:r w:rsidR="00834E5E" w:rsidRPr="00D50AF8">
        <w:rPr>
          <w:rFonts w:ascii="Times New Roman" w:hAnsi="Times New Roman" w:cs="Times New Roman"/>
        </w:rPr>
        <w:t xml:space="preserve">and mostly carried out for the </w:t>
      </w:r>
      <w:r w:rsidR="00B76C1A" w:rsidRPr="00D50AF8">
        <w:rPr>
          <w:rFonts w:ascii="Times New Roman" w:hAnsi="Times New Roman" w:cs="Times New Roman"/>
        </w:rPr>
        <w:t xml:space="preserve">developed economies and </w:t>
      </w:r>
      <w:r w:rsidR="00373453" w:rsidRPr="00D50AF8">
        <w:rPr>
          <w:rFonts w:ascii="Times New Roman" w:hAnsi="Times New Roman" w:cs="Times New Roman"/>
        </w:rPr>
        <w:t xml:space="preserve">major developing economies. </w:t>
      </w:r>
      <w:r w:rsidR="00834E5E" w:rsidRPr="00D50AF8">
        <w:rPr>
          <w:rFonts w:ascii="Times New Roman" w:hAnsi="Times New Roman" w:cs="Times New Roman"/>
        </w:rPr>
        <w:t>In this paper, a contribution to the literature has been made by</w:t>
      </w:r>
      <w:r w:rsidR="001A4D80" w:rsidRPr="00D50AF8">
        <w:rPr>
          <w:rFonts w:ascii="Times New Roman" w:hAnsi="Times New Roman" w:cs="Times New Roman"/>
        </w:rPr>
        <w:t xml:space="preserve"> examining </w:t>
      </w:r>
      <w:r w:rsidR="00834E5E" w:rsidRPr="00D50AF8">
        <w:rPr>
          <w:rFonts w:ascii="Times New Roman" w:hAnsi="Times New Roman" w:cs="Times New Roman"/>
        </w:rPr>
        <w:t xml:space="preserve">analyzing </w:t>
      </w:r>
      <w:r w:rsidR="00373453" w:rsidRPr="00D50AF8">
        <w:rPr>
          <w:rFonts w:ascii="Times New Roman" w:hAnsi="Times New Roman" w:cs="Times New Roman"/>
        </w:rPr>
        <w:t xml:space="preserve">Turkish </w:t>
      </w:r>
      <w:r w:rsidR="001A4D80" w:rsidRPr="00D50AF8">
        <w:rPr>
          <w:rFonts w:ascii="Times New Roman" w:hAnsi="Times New Roman" w:cs="Times New Roman"/>
        </w:rPr>
        <w:t>energy</w:t>
      </w:r>
      <w:r w:rsidR="00373453" w:rsidRPr="00D50AF8">
        <w:rPr>
          <w:rFonts w:ascii="Times New Roman" w:hAnsi="Times New Roman" w:cs="Times New Roman"/>
        </w:rPr>
        <w:t xml:space="preserve"> sector, which </w:t>
      </w:r>
      <w:r w:rsidR="001A4D80" w:rsidRPr="00D50AF8">
        <w:rPr>
          <w:rFonts w:ascii="Times New Roman" w:hAnsi="Times New Roman" w:cs="Times New Roman"/>
        </w:rPr>
        <w:t xml:space="preserve">has </w:t>
      </w:r>
      <w:r w:rsidR="00373453" w:rsidRPr="00D50AF8">
        <w:rPr>
          <w:rFonts w:ascii="Times New Roman" w:hAnsi="Times New Roman" w:cs="Times New Roman"/>
        </w:rPr>
        <w:t xml:space="preserve">promising </w:t>
      </w:r>
      <w:r w:rsidR="00834E5E" w:rsidRPr="00D50AF8">
        <w:rPr>
          <w:rFonts w:ascii="Times New Roman" w:hAnsi="Times New Roman" w:cs="Times New Roman"/>
        </w:rPr>
        <w:t xml:space="preserve">prospects </w:t>
      </w:r>
      <w:r w:rsidR="00373453" w:rsidRPr="00D50AF8">
        <w:rPr>
          <w:rFonts w:ascii="Times New Roman" w:hAnsi="Times New Roman" w:cs="Times New Roman"/>
        </w:rPr>
        <w:t>for the Middle East and South-Eastern European regions.</w:t>
      </w:r>
    </w:p>
    <w:p w:rsidR="0017272C" w:rsidRPr="00D50AF8" w:rsidRDefault="001A4D80" w:rsidP="00C83A41">
      <w:pPr>
        <w:pStyle w:val="BodyText"/>
        <w:jc w:val="both"/>
        <w:rPr>
          <w:rFonts w:ascii="Times New Roman" w:hAnsi="Times New Roman" w:cs="Times New Roman"/>
        </w:rPr>
      </w:pPr>
      <w:r w:rsidRPr="00D50AF8">
        <w:rPr>
          <w:rFonts w:ascii="Times New Roman" w:hAnsi="Times New Roman" w:cs="Times New Roman"/>
        </w:rPr>
        <w:t>The literature points out that institutional quality, consistent government policies and sound macro-economic environment are essential to attract foreign investments. In addition, energy market reforms and growing support for renewable energy technologies help countries to transfer new technologies via FDIs. The review in this paper shows</w:t>
      </w:r>
      <w:r w:rsidR="00485A3B" w:rsidRPr="00D50AF8">
        <w:rPr>
          <w:rFonts w:ascii="Times New Roman" w:hAnsi="Times New Roman" w:cs="Times New Roman"/>
        </w:rPr>
        <w:t xml:space="preserve"> that Turkey has taken steps to create a favorable environment for foreign investors; yet, it still struggles with structural economic problems and energy-market related issues. Moreover, European integration process has made significant contributions to Turkish econom</w:t>
      </w:r>
      <w:r w:rsidR="00C142AB" w:rsidRPr="00D50AF8">
        <w:rPr>
          <w:rFonts w:ascii="Times New Roman" w:hAnsi="Times New Roman" w:cs="Times New Roman"/>
        </w:rPr>
        <w:t xml:space="preserve">y. </w:t>
      </w:r>
      <w:r w:rsidR="00403960" w:rsidRPr="00D50AF8">
        <w:rPr>
          <w:rFonts w:ascii="Times New Roman" w:hAnsi="Times New Roman" w:cs="Times New Roman"/>
        </w:rPr>
        <w:t xml:space="preserve">In this regard, </w:t>
      </w:r>
      <w:r w:rsidR="00373453" w:rsidRPr="00D50AF8">
        <w:rPr>
          <w:rFonts w:ascii="Times New Roman" w:hAnsi="Times New Roman" w:cs="Times New Roman"/>
        </w:rPr>
        <w:t xml:space="preserve">macroeconomic stability </w:t>
      </w:r>
      <w:r w:rsidR="00D80D85" w:rsidRPr="00D50AF8">
        <w:rPr>
          <w:rFonts w:ascii="Times New Roman" w:hAnsi="Times New Roman" w:cs="Times New Roman"/>
        </w:rPr>
        <w:t xml:space="preserve">and </w:t>
      </w:r>
      <w:r w:rsidR="00403960" w:rsidRPr="00D50AF8">
        <w:rPr>
          <w:rFonts w:ascii="Times New Roman" w:hAnsi="Times New Roman" w:cs="Times New Roman"/>
        </w:rPr>
        <w:t xml:space="preserve">together with </w:t>
      </w:r>
      <w:r w:rsidR="00D80D85" w:rsidRPr="00D50AF8">
        <w:rPr>
          <w:rFonts w:ascii="Times New Roman" w:hAnsi="Times New Roman" w:cs="Times New Roman"/>
        </w:rPr>
        <w:t>pursui</w:t>
      </w:r>
      <w:r w:rsidR="00403960" w:rsidRPr="00D50AF8">
        <w:rPr>
          <w:rFonts w:ascii="Times New Roman" w:hAnsi="Times New Roman" w:cs="Times New Roman"/>
        </w:rPr>
        <w:t xml:space="preserve">t of </w:t>
      </w:r>
      <w:r w:rsidR="00373453" w:rsidRPr="00D50AF8">
        <w:rPr>
          <w:rFonts w:ascii="Times New Roman" w:hAnsi="Times New Roman" w:cs="Times New Roman"/>
        </w:rPr>
        <w:t xml:space="preserve">economic and institutional reforms to complete accession </w:t>
      </w:r>
      <w:r w:rsidR="00B76C1A" w:rsidRPr="00D50AF8">
        <w:rPr>
          <w:rFonts w:ascii="Times New Roman" w:hAnsi="Times New Roman" w:cs="Times New Roman"/>
        </w:rPr>
        <w:t>negotiations</w:t>
      </w:r>
      <w:r w:rsidR="00373453" w:rsidRPr="00D50AF8">
        <w:rPr>
          <w:rFonts w:ascii="Times New Roman" w:hAnsi="Times New Roman" w:cs="Times New Roman"/>
        </w:rPr>
        <w:t xml:space="preserve"> for EU me</w:t>
      </w:r>
      <w:r w:rsidR="00D80D85" w:rsidRPr="00D50AF8">
        <w:rPr>
          <w:rFonts w:ascii="Times New Roman" w:hAnsi="Times New Roman" w:cs="Times New Roman"/>
        </w:rPr>
        <w:t xml:space="preserve">mbership is </w:t>
      </w:r>
      <w:r w:rsidR="00403960" w:rsidRPr="00D50AF8">
        <w:rPr>
          <w:rFonts w:ascii="Times New Roman" w:hAnsi="Times New Roman" w:cs="Times New Roman"/>
        </w:rPr>
        <w:t>critical</w:t>
      </w:r>
      <w:r w:rsidR="00C142AB" w:rsidRPr="00D50AF8">
        <w:rPr>
          <w:rFonts w:ascii="Times New Roman" w:hAnsi="Times New Roman" w:cs="Times New Roman"/>
        </w:rPr>
        <w:t xml:space="preserve"> </w:t>
      </w:r>
      <w:r w:rsidR="00C83A41" w:rsidRPr="00D50AF8">
        <w:rPr>
          <w:rFonts w:ascii="Times New Roman" w:hAnsi="Times New Roman" w:cs="Times New Roman"/>
        </w:rPr>
        <w:t xml:space="preserve">to stimulate further </w:t>
      </w:r>
      <w:r w:rsidR="00D80D85" w:rsidRPr="00D50AF8">
        <w:rPr>
          <w:rFonts w:ascii="Times New Roman" w:hAnsi="Times New Roman" w:cs="Times New Roman"/>
        </w:rPr>
        <w:t xml:space="preserve">investments </w:t>
      </w:r>
      <w:r w:rsidR="00C83A41" w:rsidRPr="00D50AF8">
        <w:rPr>
          <w:rFonts w:ascii="Times New Roman" w:hAnsi="Times New Roman" w:cs="Times New Roman"/>
        </w:rPr>
        <w:t>in</w:t>
      </w:r>
      <w:r w:rsidR="00D80D85" w:rsidRPr="00D50AF8">
        <w:rPr>
          <w:rFonts w:ascii="Times New Roman" w:hAnsi="Times New Roman" w:cs="Times New Roman"/>
        </w:rPr>
        <w:t xml:space="preserve">to the </w:t>
      </w:r>
      <w:r w:rsidR="00C142AB" w:rsidRPr="00D50AF8">
        <w:rPr>
          <w:rFonts w:ascii="Times New Roman" w:hAnsi="Times New Roman" w:cs="Times New Roman"/>
        </w:rPr>
        <w:t>energy</w:t>
      </w:r>
      <w:r w:rsidR="00D80D85" w:rsidRPr="00D50AF8">
        <w:rPr>
          <w:rFonts w:ascii="Times New Roman" w:hAnsi="Times New Roman" w:cs="Times New Roman"/>
        </w:rPr>
        <w:t xml:space="preserve"> sector.</w:t>
      </w:r>
    </w:p>
    <w:p w:rsidR="009419E4" w:rsidRPr="00D50AF8" w:rsidRDefault="00373453" w:rsidP="00B76C1A">
      <w:pPr>
        <w:pStyle w:val="BodyText"/>
        <w:jc w:val="both"/>
        <w:rPr>
          <w:rFonts w:ascii="Times New Roman" w:hAnsi="Times New Roman" w:cs="Times New Roman"/>
        </w:rPr>
      </w:pPr>
      <w:r w:rsidRPr="00D50AF8">
        <w:rPr>
          <w:rFonts w:ascii="Times New Roman" w:hAnsi="Times New Roman" w:cs="Times New Roman"/>
        </w:rPr>
        <w:t>There are some limitations of this study, and further research may focus on these issues. F</w:t>
      </w:r>
      <w:r w:rsidR="00B76C1A" w:rsidRPr="00D50AF8">
        <w:rPr>
          <w:rFonts w:ascii="Times New Roman" w:hAnsi="Times New Roman" w:cs="Times New Roman"/>
        </w:rPr>
        <w:t>irst</w:t>
      </w:r>
      <w:r w:rsidRPr="00D50AF8">
        <w:rPr>
          <w:rFonts w:ascii="Times New Roman" w:hAnsi="Times New Roman" w:cs="Times New Roman"/>
        </w:rPr>
        <w:t xml:space="preserve"> of all, FDI data used in this study retrieved from OECD's BMD3 classification. Starting from 2014 OECD provides a mo</w:t>
      </w:r>
      <w:r w:rsidR="00AB6345" w:rsidRPr="00D50AF8">
        <w:rPr>
          <w:rFonts w:ascii="Times New Roman" w:hAnsi="Times New Roman" w:cs="Times New Roman"/>
        </w:rPr>
        <w:t>r</w:t>
      </w:r>
      <w:r w:rsidRPr="00D50AF8">
        <w:rPr>
          <w:rFonts w:ascii="Times New Roman" w:hAnsi="Times New Roman" w:cs="Times New Roman"/>
        </w:rPr>
        <w:t xml:space="preserve">e detailed FDI data (BMD4 </w:t>
      </w:r>
      <w:r w:rsidR="00B76C1A" w:rsidRPr="00D50AF8">
        <w:rPr>
          <w:rFonts w:ascii="Times New Roman" w:hAnsi="Times New Roman" w:cs="Times New Roman"/>
        </w:rPr>
        <w:t>classification</w:t>
      </w:r>
      <w:r w:rsidRPr="00D50AF8">
        <w:rPr>
          <w:rFonts w:ascii="Times New Roman" w:hAnsi="Times New Roman" w:cs="Times New Roman"/>
        </w:rPr>
        <w:t>). So, further research could benefit from using more detailed d</w:t>
      </w:r>
      <w:r w:rsidR="0082347A" w:rsidRPr="00D50AF8">
        <w:rPr>
          <w:rFonts w:ascii="Times New Roman" w:hAnsi="Times New Roman" w:cs="Times New Roman"/>
        </w:rPr>
        <w:t>ata.</w:t>
      </w:r>
      <w:r w:rsidR="001308B7" w:rsidRPr="00D50AF8">
        <w:rPr>
          <w:rFonts w:ascii="Times New Roman" w:hAnsi="Times New Roman" w:cs="Times New Roman"/>
        </w:rPr>
        <w:t xml:space="preserve"> Moreover, detailed surveys and microeconomic analysis could shed light on the potentials and weaknesses in the Turkish energy sector for new foreign investments. </w:t>
      </w:r>
    </w:p>
    <w:p w:rsidR="001308B7" w:rsidRPr="00D50AF8" w:rsidRDefault="001308B7">
      <w:pPr>
        <w:rPr>
          <w:rFonts w:ascii="Times New Roman" w:hAnsi="Times New Roman" w:cs="Times New Roman"/>
        </w:rPr>
      </w:pPr>
      <w:r w:rsidRPr="00D50AF8">
        <w:rPr>
          <w:rFonts w:ascii="Times New Roman" w:hAnsi="Times New Roman" w:cs="Times New Roman"/>
        </w:rPr>
        <w:br w:type="page"/>
      </w:r>
    </w:p>
    <w:p w:rsidR="001308B7" w:rsidRPr="00D50AF8" w:rsidRDefault="001308B7" w:rsidP="00B76C1A">
      <w:pPr>
        <w:pStyle w:val="BodyText"/>
        <w:jc w:val="both"/>
        <w:rPr>
          <w:rFonts w:ascii="Times New Roman" w:hAnsi="Times New Roman" w:cs="Times New Roman"/>
        </w:rPr>
      </w:pPr>
    </w:p>
    <w:p w:rsidR="0017272C" w:rsidRPr="00D50AF8" w:rsidRDefault="00373453" w:rsidP="003760EF">
      <w:pPr>
        <w:pStyle w:val="Heading2"/>
        <w:jc w:val="both"/>
        <w:rPr>
          <w:rFonts w:ascii="Times New Roman" w:hAnsi="Times New Roman" w:cs="Times New Roman"/>
          <w:color w:val="000000" w:themeColor="text1"/>
          <w:sz w:val="24"/>
          <w:szCs w:val="24"/>
        </w:rPr>
      </w:pPr>
      <w:bookmarkStart w:id="5" w:name="references"/>
      <w:bookmarkEnd w:id="5"/>
      <w:r w:rsidRPr="00D50AF8">
        <w:rPr>
          <w:rFonts w:ascii="Times New Roman" w:hAnsi="Times New Roman" w:cs="Times New Roman"/>
          <w:color w:val="000000" w:themeColor="text1"/>
          <w:sz w:val="24"/>
          <w:szCs w:val="24"/>
        </w:rPr>
        <w:t>References</w:t>
      </w:r>
    </w:p>
    <w:p w:rsidR="009F1FDC" w:rsidRPr="009F1FDC" w:rsidRDefault="009F4D10" w:rsidP="009F1FDC">
      <w:pPr>
        <w:widowControl w:val="0"/>
        <w:autoSpaceDE w:val="0"/>
        <w:autoSpaceDN w:val="0"/>
        <w:adjustRightInd w:val="0"/>
        <w:spacing w:before="180" w:after="180"/>
        <w:ind w:left="480" w:hanging="480"/>
        <w:rPr>
          <w:rFonts w:ascii="Times New Roman" w:hAnsi="Times New Roman" w:cs="Times New Roman"/>
          <w:noProof/>
        </w:rPr>
      </w:pPr>
      <w:r w:rsidRPr="00D50AF8">
        <w:rPr>
          <w:rFonts w:ascii="Times New Roman" w:hAnsi="Times New Roman" w:cs="Times New Roman"/>
        </w:rPr>
        <w:fldChar w:fldCharType="begin" w:fldLock="1"/>
      </w:r>
      <w:r w:rsidR="00243EC5" w:rsidRPr="00D50AF8">
        <w:rPr>
          <w:rFonts w:ascii="Times New Roman" w:hAnsi="Times New Roman" w:cs="Times New Roman"/>
        </w:rPr>
        <w:instrText xml:space="preserve">ADDIN Mendeley Bibliography CSL_BIBLIOGRAPHY </w:instrText>
      </w:r>
      <w:r w:rsidRPr="00D50AF8">
        <w:rPr>
          <w:rFonts w:ascii="Times New Roman" w:hAnsi="Times New Roman" w:cs="Times New Roman"/>
        </w:rPr>
        <w:fldChar w:fldCharType="separate"/>
      </w:r>
      <w:r w:rsidR="009F1FDC" w:rsidRPr="009F1FDC">
        <w:rPr>
          <w:rFonts w:ascii="Times New Roman" w:hAnsi="Times New Roman" w:cs="Times New Roman"/>
          <w:noProof/>
        </w:rPr>
        <w:t xml:space="preserve">Akampurira, E., Root, D., &amp; Shakantu, W. (2009). Stakeholder perceptions in the factors constraining the development and implementation of public private partnerships in the Ugandan electricity sector. </w:t>
      </w:r>
      <w:r w:rsidR="009F1FDC" w:rsidRPr="009F1FDC">
        <w:rPr>
          <w:rFonts w:ascii="Times New Roman" w:hAnsi="Times New Roman" w:cs="Times New Roman"/>
          <w:i/>
          <w:iCs/>
          <w:noProof/>
        </w:rPr>
        <w:t>Journal of Energy in Southern Africa</w:t>
      </w:r>
      <w:r w:rsidR="009F1FDC" w:rsidRPr="009F1FDC">
        <w:rPr>
          <w:rFonts w:ascii="Times New Roman" w:hAnsi="Times New Roman" w:cs="Times New Roman"/>
          <w:noProof/>
        </w:rPr>
        <w:t xml:space="preserve">, </w:t>
      </w:r>
      <w:r w:rsidR="009F1FDC" w:rsidRPr="009F1FDC">
        <w:rPr>
          <w:rFonts w:ascii="Times New Roman" w:hAnsi="Times New Roman" w:cs="Times New Roman"/>
          <w:i/>
          <w:iCs/>
          <w:noProof/>
        </w:rPr>
        <w:t>20</w:t>
      </w:r>
      <w:r w:rsidR="009F1FDC" w:rsidRPr="009F1FDC">
        <w:rPr>
          <w:rFonts w:ascii="Times New Roman" w:hAnsi="Times New Roman" w:cs="Times New Roman"/>
          <w:noProof/>
        </w:rPr>
        <w:t>(2), 2–9.</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Aleksynska, M., &amp; Havrylchyk, O. (2013). FDI from the south: The role of institutional distance and natural resources. </w:t>
      </w:r>
      <w:r w:rsidRPr="009F1FDC">
        <w:rPr>
          <w:rFonts w:ascii="Times New Roman" w:hAnsi="Times New Roman" w:cs="Times New Roman"/>
          <w:i/>
          <w:iCs/>
          <w:noProof/>
        </w:rPr>
        <w:t>European Journal of Political Economy</w:t>
      </w:r>
      <w:r w:rsidRPr="009F1FDC">
        <w:rPr>
          <w:rFonts w:ascii="Times New Roman" w:hAnsi="Times New Roman" w:cs="Times New Roman"/>
          <w:noProof/>
        </w:rPr>
        <w:t xml:space="preserve">, </w:t>
      </w:r>
      <w:r w:rsidRPr="009F1FDC">
        <w:rPr>
          <w:rFonts w:ascii="Times New Roman" w:hAnsi="Times New Roman" w:cs="Times New Roman"/>
          <w:i/>
          <w:iCs/>
          <w:noProof/>
        </w:rPr>
        <w:t>29</w:t>
      </w:r>
      <w:r w:rsidRPr="009F1FDC">
        <w:rPr>
          <w:rFonts w:ascii="Times New Roman" w:hAnsi="Times New Roman" w:cs="Times New Roman"/>
          <w:noProof/>
        </w:rPr>
        <w:t>(null), 38–53. https://doi.org/10.1016/j.ejpoleco.2012.09.001</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Ali, S., &amp; Guo, W. (2005). Determinants of FDI in China. </w:t>
      </w:r>
      <w:r w:rsidRPr="009F1FDC">
        <w:rPr>
          <w:rFonts w:ascii="Times New Roman" w:hAnsi="Times New Roman" w:cs="Times New Roman"/>
          <w:i/>
          <w:iCs/>
          <w:noProof/>
        </w:rPr>
        <w:t>Journal of Global BUsiness and Technology</w:t>
      </w:r>
      <w:r w:rsidRPr="009F1FDC">
        <w:rPr>
          <w:rFonts w:ascii="Times New Roman" w:hAnsi="Times New Roman" w:cs="Times New Roman"/>
          <w:noProof/>
        </w:rPr>
        <w:t xml:space="preserve">, </w:t>
      </w:r>
      <w:r w:rsidRPr="009F1FDC">
        <w:rPr>
          <w:rFonts w:ascii="Times New Roman" w:hAnsi="Times New Roman" w:cs="Times New Roman"/>
          <w:i/>
          <w:iCs/>
          <w:noProof/>
        </w:rPr>
        <w:t>1</w:t>
      </w:r>
      <w:r w:rsidRPr="009F1FDC">
        <w:rPr>
          <w:rFonts w:ascii="Times New Roman" w:hAnsi="Times New Roman" w:cs="Times New Roman"/>
          <w:noProof/>
        </w:rPr>
        <w:t>(2), 21–33.</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Basar, M., &amp; Tosunoglu, S. (2006). EU integration process: Will Turkey overcome the FDI obstacles? </w:t>
      </w:r>
      <w:r w:rsidRPr="009F1FDC">
        <w:rPr>
          <w:rFonts w:ascii="Times New Roman" w:hAnsi="Times New Roman" w:cs="Times New Roman"/>
          <w:i/>
          <w:iCs/>
          <w:noProof/>
        </w:rPr>
        <w:t>Managing Global Transitions</w:t>
      </w:r>
      <w:r w:rsidRPr="009F1FDC">
        <w:rPr>
          <w:rFonts w:ascii="Times New Roman" w:hAnsi="Times New Roman" w:cs="Times New Roman"/>
          <w:noProof/>
        </w:rPr>
        <w:t xml:space="preserve">, </w:t>
      </w:r>
      <w:r w:rsidRPr="009F1FDC">
        <w:rPr>
          <w:rFonts w:ascii="Times New Roman" w:hAnsi="Times New Roman" w:cs="Times New Roman"/>
          <w:i/>
          <w:iCs/>
          <w:noProof/>
        </w:rPr>
        <w:t>4</w:t>
      </w:r>
      <w:r w:rsidRPr="009F1FDC">
        <w:rPr>
          <w:rFonts w:ascii="Times New Roman" w:hAnsi="Times New Roman" w:cs="Times New Roman"/>
          <w:noProof/>
        </w:rPr>
        <w:t>, 115–128. Retrieved from http://www.fm-kp.si/zalozba/ISSN/1581-6311/4_115-128.pdf</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Bevan, A., Estrin, S., &amp; Meyer, K. (2004). Foreign investment location and institutional development in transition economies. </w:t>
      </w:r>
      <w:r w:rsidRPr="009F1FDC">
        <w:rPr>
          <w:rFonts w:ascii="Times New Roman" w:hAnsi="Times New Roman" w:cs="Times New Roman"/>
          <w:i/>
          <w:iCs/>
          <w:noProof/>
        </w:rPr>
        <w:t>International Business Review</w:t>
      </w:r>
      <w:r w:rsidRPr="009F1FDC">
        <w:rPr>
          <w:rFonts w:ascii="Times New Roman" w:hAnsi="Times New Roman" w:cs="Times New Roman"/>
          <w:noProof/>
        </w:rPr>
        <w:t xml:space="preserve">, </w:t>
      </w:r>
      <w:r w:rsidRPr="009F1FDC">
        <w:rPr>
          <w:rFonts w:ascii="Times New Roman" w:hAnsi="Times New Roman" w:cs="Times New Roman"/>
          <w:i/>
          <w:iCs/>
          <w:noProof/>
        </w:rPr>
        <w:t>13</w:t>
      </w:r>
      <w:r w:rsidRPr="009F1FDC">
        <w:rPr>
          <w:rFonts w:ascii="Times New Roman" w:hAnsi="Times New Roman" w:cs="Times New Roman"/>
          <w:noProof/>
        </w:rPr>
        <w:t>(1), 43–64. https://doi.org/10.1016/j.ibusrev.2003.05.005</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Bezuidenhout, H., Coetzee, Z., &amp; Claassen, C. (2014). </w:t>
      </w:r>
      <w:r w:rsidRPr="009F1FDC">
        <w:rPr>
          <w:rFonts w:ascii="Times New Roman" w:hAnsi="Times New Roman" w:cs="Times New Roman"/>
          <w:i/>
          <w:iCs/>
          <w:noProof/>
        </w:rPr>
        <w:t>Profiling Sectoral Risks of Foreign Direct Investment in Africa Profiling Sectoral Risks of Foreign Direct Investment in Africa</w:t>
      </w:r>
      <w:r w:rsidRPr="009F1FDC">
        <w:rPr>
          <w:rFonts w:ascii="Times New Roman" w:hAnsi="Times New Roman" w:cs="Times New Roman"/>
          <w:noProof/>
        </w:rPr>
        <w:t xml:space="preserve"> (ERSA Working Paper Series No. 415).</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Bilgili, F., Tülüce, N. S. H., &amp; Doğan, İ. (2012). The determinants of FDI in Turkey: A Markov Regime-Switching approach. </w:t>
      </w:r>
      <w:r w:rsidRPr="009F1FDC">
        <w:rPr>
          <w:rFonts w:ascii="Times New Roman" w:hAnsi="Times New Roman" w:cs="Times New Roman"/>
          <w:i/>
          <w:iCs/>
          <w:noProof/>
        </w:rPr>
        <w:t>Economic Modelling</w:t>
      </w:r>
      <w:r w:rsidRPr="009F1FDC">
        <w:rPr>
          <w:rFonts w:ascii="Times New Roman" w:hAnsi="Times New Roman" w:cs="Times New Roman"/>
          <w:noProof/>
        </w:rPr>
        <w:t xml:space="preserve">, </w:t>
      </w:r>
      <w:r w:rsidRPr="009F1FDC">
        <w:rPr>
          <w:rFonts w:ascii="Times New Roman" w:hAnsi="Times New Roman" w:cs="Times New Roman"/>
          <w:i/>
          <w:iCs/>
          <w:noProof/>
        </w:rPr>
        <w:t>29</w:t>
      </w:r>
      <w:r w:rsidRPr="009F1FDC">
        <w:rPr>
          <w:rFonts w:ascii="Times New Roman" w:hAnsi="Times New Roman" w:cs="Times New Roman"/>
          <w:noProof/>
        </w:rPr>
        <w:t>(4), 1161–1169. https://doi.org/10.1016/j.econmod.2012.04.009</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Biswas, R. (2002). Determinants of Foreign Direct Investment. </w:t>
      </w:r>
      <w:r w:rsidRPr="009F1FDC">
        <w:rPr>
          <w:rFonts w:ascii="Times New Roman" w:hAnsi="Times New Roman" w:cs="Times New Roman"/>
          <w:i/>
          <w:iCs/>
          <w:noProof/>
        </w:rPr>
        <w:t>Review of Development Economics</w:t>
      </w:r>
      <w:r w:rsidRPr="009F1FDC">
        <w:rPr>
          <w:rFonts w:ascii="Times New Roman" w:hAnsi="Times New Roman" w:cs="Times New Roman"/>
          <w:noProof/>
        </w:rPr>
        <w:t xml:space="preserve">, </w:t>
      </w:r>
      <w:r w:rsidRPr="009F1FDC">
        <w:rPr>
          <w:rFonts w:ascii="Times New Roman" w:hAnsi="Times New Roman" w:cs="Times New Roman"/>
          <w:i/>
          <w:iCs/>
          <w:noProof/>
        </w:rPr>
        <w:t>6</w:t>
      </w:r>
      <w:r w:rsidRPr="009F1FDC">
        <w:rPr>
          <w:rFonts w:ascii="Times New Roman" w:hAnsi="Times New Roman" w:cs="Times New Roman"/>
          <w:noProof/>
        </w:rPr>
        <w:t>(3), 492–504. https://doi.org/10.1111/1467-9361.00169</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Blackman, A., &amp; Wu, X. (1999). Foreign direct investment in china’s power sector: trends, benefits and barriers. </w:t>
      </w:r>
      <w:r w:rsidRPr="009F1FDC">
        <w:rPr>
          <w:rFonts w:ascii="Times New Roman" w:hAnsi="Times New Roman" w:cs="Times New Roman"/>
          <w:i/>
          <w:iCs/>
          <w:noProof/>
        </w:rPr>
        <w:t>Energy Policy</w:t>
      </w:r>
      <w:r w:rsidRPr="009F1FDC">
        <w:rPr>
          <w:rFonts w:ascii="Times New Roman" w:hAnsi="Times New Roman" w:cs="Times New Roman"/>
          <w:noProof/>
        </w:rPr>
        <w:t xml:space="preserve">, </w:t>
      </w:r>
      <w:r w:rsidRPr="009F1FDC">
        <w:rPr>
          <w:rFonts w:ascii="Times New Roman" w:hAnsi="Times New Roman" w:cs="Times New Roman"/>
          <w:i/>
          <w:iCs/>
          <w:noProof/>
        </w:rPr>
        <w:t>27</w:t>
      </w:r>
      <w:r w:rsidRPr="009F1FDC">
        <w:rPr>
          <w:rFonts w:ascii="Times New Roman" w:hAnsi="Times New Roman" w:cs="Times New Roman"/>
          <w:noProof/>
        </w:rPr>
        <w:t>(12), 695–711. https://doi.org/http://dx.doi.org/10.1016/S0301-4215(99)00063-4</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Blonigen, B. A. (2005). A Review of the Empirical Literature on FDI Determinants. Retrieved from http://papers.ssrn.com/abstract=714071</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Blonigen, B. A., &amp; Piger, J. (2011). </w:t>
      </w:r>
      <w:r w:rsidRPr="009F1FDC">
        <w:rPr>
          <w:rFonts w:ascii="Times New Roman" w:hAnsi="Times New Roman" w:cs="Times New Roman"/>
          <w:i/>
          <w:iCs/>
          <w:noProof/>
        </w:rPr>
        <w:t>Determinants of Foreign Direct Investment</w:t>
      </w:r>
      <w:r w:rsidRPr="009F1FDC">
        <w:rPr>
          <w:rFonts w:ascii="Times New Roman" w:hAnsi="Times New Roman" w:cs="Times New Roman"/>
          <w:noProof/>
        </w:rPr>
        <w:t xml:space="preserve"> (NBER Working Paper Series No. 16704). Cambridge, MA.</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Curran, L., Lv, P., &amp; Spigarelli, F. (2016). Chinese investment in the EU renewable energy sector: Motives, synergies and policy implications. </w:t>
      </w:r>
      <w:r w:rsidRPr="009F1FDC">
        <w:rPr>
          <w:rFonts w:ascii="Times New Roman" w:hAnsi="Times New Roman" w:cs="Times New Roman"/>
          <w:i/>
          <w:iCs/>
          <w:noProof/>
        </w:rPr>
        <w:t>Energy Policy</w:t>
      </w:r>
      <w:r w:rsidRPr="009F1FDC">
        <w:rPr>
          <w:rFonts w:ascii="Times New Roman" w:hAnsi="Times New Roman" w:cs="Times New Roman"/>
          <w:noProof/>
        </w:rPr>
        <w:t xml:space="preserve">, </w:t>
      </w:r>
      <w:r w:rsidRPr="009F1FDC">
        <w:rPr>
          <w:rFonts w:ascii="Times New Roman" w:hAnsi="Times New Roman" w:cs="Times New Roman"/>
          <w:i/>
          <w:iCs/>
          <w:noProof/>
        </w:rPr>
        <w:t>101</w:t>
      </w:r>
      <w:r w:rsidRPr="009F1FDC">
        <w:rPr>
          <w:rFonts w:ascii="Times New Roman" w:hAnsi="Times New Roman" w:cs="Times New Roman"/>
          <w:noProof/>
        </w:rPr>
        <w:t>, 670–682. https://doi.org/10.1016/j.enpol.2016.09.018</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Demekas, D. G., Horváth, B., Ribakova, E., &amp; Wu, Y. (2005). Foreign Direct Investment in Southeastern Europe : How (and How Much) Can Policies Help ?, 31.</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Demekas, D. G., Horváth, B., Ribakova, E., &amp; Wu, Y. (2007). Foreign direct investment in </w:t>
      </w:r>
      <w:r w:rsidRPr="009F1FDC">
        <w:rPr>
          <w:rFonts w:ascii="Times New Roman" w:hAnsi="Times New Roman" w:cs="Times New Roman"/>
          <w:noProof/>
        </w:rPr>
        <w:lastRenderedPageBreak/>
        <w:t xml:space="preserve">European transition economies—The role of policies. </w:t>
      </w:r>
      <w:r w:rsidRPr="009F1FDC">
        <w:rPr>
          <w:rFonts w:ascii="Times New Roman" w:hAnsi="Times New Roman" w:cs="Times New Roman"/>
          <w:i/>
          <w:iCs/>
          <w:noProof/>
        </w:rPr>
        <w:t>Journal of Comparative Economics</w:t>
      </w:r>
      <w:r w:rsidRPr="009F1FDC">
        <w:rPr>
          <w:rFonts w:ascii="Times New Roman" w:hAnsi="Times New Roman" w:cs="Times New Roman"/>
          <w:noProof/>
        </w:rPr>
        <w:t xml:space="preserve">, </w:t>
      </w:r>
      <w:r w:rsidRPr="009F1FDC">
        <w:rPr>
          <w:rFonts w:ascii="Times New Roman" w:hAnsi="Times New Roman" w:cs="Times New Roman"/>
          <w:i/>
          <w:iCs/>
          <w:noProof/>
        </w:rPr>
        <w:t>35</w:t>
      </w:r>
      <w:r w:rsidRPr="009F1FDC">
        <w:rPr>
          <w:rFonts w:ascii="Times New Roman" w:hAnsi="Times New Roman" w:cs="Times New Roman"/>
          <w:noProof/>
        </w:rPr>
        <w:t>(2), 369–386. https://doi.org/10.1016/j.jce.2007.03.005</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Dilli, B., &amp; Nyman, K. J. (2015). </w:t>
      </w:r>
      <w:r w:rsidRPr="009F1FDC">
        <w:rPr>
          <w:rFonts w:ascii="Times New Roman" w:hAnsi="Times New Roman" w:cs="Times New Roman"/>
          <w:i/>
          <w:iCs/>
          <w:noProof/>
        </w:rPr>
        <w:t>Turkey’s energy transition milestones and challenges</w:t>
      </w:r>
      <w:r w:rsidRPr="009F1FDC">
        <w:rPr>
          <w:rFonts w:ascii="Times New Roman" w:hAnsi="Times New Roman" w:cs="Times New Roman"/>
          <w:noProof/>
        </w:rPr>
        <w:t>. Washington, D.C. Retrieved from http://documents.worldbank.org/curated/en/2015/10/25201156/turkey’s-energy-transition-milestones-challenges#</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Dunning, J. H. (2003). </w:t>
      </w:r>
      <w:r w:rsidRPr="009F1FDC">
        <w:rPr>
          <w:rFonts w:ascii="Times New Roman" w:hAnsi="Times New Roman" w:cs="Times New Roman"/>
          <w:i/>
          <w:iCs/>
          <w:noProof/>
        </w:rPr>
        <w:t>Re-evaluating the Benefits of Foreign Direct Investment</w:t>
      </w:r>
      <w:r w:rsidRPr="009F1FDC">
        <w:rPr>
          <w:rFonts w:ascii="Times New Roman" w:hAnsi="Times New Roman" w:cs="Times New Roman"/>
          <w:noProof/>
        </w:rPr>
        <w:t>. London: International Thomson Buiness Press.</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Eduardo, M., &amp; Martín, S. (2014). How Regional Integration and Transnational Energy Networks Have Boosted FDI in Turkey ( and May Cease to Do So ) A Case Study : How Geo-Political Alliances and Regional Networks Matter, (July).</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Ekholm, T., Ghoddusi, H., Krey, V., &amp; Riahi, K. (2013). The effect of financial constraints on energy-climate scenarios. </w:t>
      </w:r>
      <w:r w:rsidRPr="009F1FDC">
        <w:rPr>
          <w:rFonts w:ascii="Times New Roman" w:hAnsi="Times New Roman" w:cs="Times New Roman"/>
          <w:i/>
          <w:iCs/>
          <w:noProof/>
        </w:rPr>
        <w:t>Energy Policy</w:t>
      </w:r>
      <w:r w:rsidRPr="009F1FDC">
        <w:rPr>
          <w:rFonts w:ascii="Times New Roman" w:hAnsi="Times New Roman" w:cs="Times New Roman"/>
          <w:noProof/>
        </w:rPr>
        <w:t xml:space="preserve">, </w:t>
      </w:r>
      <w:r w:rsidRPr="009F1FDC">
        <w:rPr>
          <w:rFonts w:ascii="Times New Roman" w:hAnsi="Times New Roman" w:cs="Times New Roman"/>
          <w:i/>
          <w:iCs/>
          <w:noProof/>
        </w:rPr>
        <w:t>59</w:t>
      </w:r>
      <w:r w:rsidRPr="009F1FDC">
        <w:rPr>
          <w:rFonts w:ascii="Times New Roman" w:hAnsi="Times New Roman" w:cs="Times New Roman"/>
          <w:noProof/>
        </w:rPr>
        <w:t>, 562–572. https://doi.org/10.1016/j.enpol.2013.04.001</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Emir, M., Uysal, M., &amp; Doğru, B. (2013). Ülkenin risklilik durumu ile ülkeye gelen doğrudan yabancı yatırım arasındaki ilişki: Türkiye örneği. </w:t>
      </w:r>
      <w:r w:rsidRPr="009F1FDC">
        <w:rPr>
          <w:rFonts w:ascii="Times New Roman" w:hAnsi="Times New Roman" w:cs="Times New Roman"/>
          <w:i/>
          <w:iCs/>
          <w:noProof/>
        </w:rPr>
        <w:t>Atatürk Üniversitesi İktisadi ve İdari Bilimler Dergisi</w:t>
      </w:r>
      <w:r w:rsidRPr="009F1FDC">
        <w:rPr>
          <w:rFonts w:ascii="Times New Roman" w:hAnsi="Times New Roman" w:cs="Times New Roman"/>
          <w:noProof/>
        </w:rPr>
        <w:t xml:space="preserve">, </w:t>
      </w:r>
      <w:r w:rsidRPr="009F1FDC">
        <w:rPr>
          <w:rFonts w:ascii="Times New Roman" w:hAnsi="Times New Roman" w:cs="Times New Roman"/>
          <w:i/>
          <w:iCs/>
          <w:noProof/>
        </w:rPr>
        <w:t>27</w:t>
      </w:r>
      <w:r w:rsidRPr="009F1FDC">
        <w:rPr>
          <w:rFonts w:ascii="Times New Roman" w:hAnsi="Times New Roman" w:cs="Times New Roman"/>
          <w:noProof/>
        </w:rPr>
        <w:t>(2), 123–136.</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EPDK. Dogal Gaz Piyasası Kanunu (2001). Ankara.</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Erdal, F., &amp; Tatoglu, E. (2002). Locational determinants of foreign direct investment in an emerging market ec ... </w:t>
      </w:r>
      <w:r w:rsidRPr="009F1FDC">
        <w:rPr>
          <w:rFonts w:ascii="Times New Roman" w:hAnsi="Times New Roman" w:cs="Times New Roman"/>
          <w:i/>
          <w:iCs/>
          <w:noProof/>
        </w:rPr>
        <w:t>Multinational Business Review</w:t>
      </w:r>
      <w:r w:rsidRPr="009F1FDC">
        <w:rPr>
          <w:rFonts w:ascii="Times New Roman" w:hAnsi="Times New Roman" w:cs="Times New Roman"/>
          <w:noProof/>
        </w:rPr>
        <w:t xml:space="preserve">, </w:t>
      </w:r>
      <w:r w:rsidRPr="009F1FDC">
        <w:rPr>
          <w:rFonts w:ascii="Times New Roman" w:hAnsi="Times New Roman" w:cs="Times New Roman"/>
          <w:i/>
          <w:iCs/>
          <w:noProof/>
        </w:rPr>
        <w:t>10</w:t>
      </w:r>
      <w:r w:rsidRPr="009F1FDC">
        <w:rPr>
          <w:rFonts w:ascii="Times New Roman" w:hAnsi="Times New Roman" w:cs="Times New Roman"/>
          <w:noProof/>
        </w:rPr>
        <w:t>(1), 21.</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Erkilek, A. (2003). A comparative analysis of inward and outward FDI in Turkey. </w:t>
      </w:r>
      <w:r w:rsidRPr="009F1FDC">
        <w:rPr>
          <w:rFonts w:ascii="Times New Roman" w:hAnsi="Times New Roman" w:cs="Times New Roman"/>
          <w:i/>
          <w:iCs/>
          <w:noProof/>
        </w:rPr>
        <w:t>Transnational Corporations</w:t>
      </w:r>
      <w:r w:rsidRPr="009F1FDC">
        <w:rPr>
          <w:rFonts w:ascii="Times New Roman" w:hAnsi="Times New Roman" w:cs="Times New Roman"/>
          <w:noProof/>
        </w:rPr>
        <w:t xml:space="preserve">, </w:t>
      </w:r>
      <w:r w:rsidRPr="009F1FDC">
        <w:rPr>
          <w:rFonts w:ascii="Times New Roman" w:hAnsi="Times New Roman" w:cs="Times New Roman"/>
          <w:i/>
          <w:iCs/>
          <w:noProof/>
        </w:rPr>
        <w:t>12</w:t>
      </w:r>
      <w:r w:rsidRPr="009F1FDC">
        <w:rPr>
          <w:rFonts w:ascii="Times New Roman" w:hAnsi="Times New Roman" w:cs="Times New Roman"/>
          <w:noProof/>
        </w:rPr>
        <w:t>(3), 79–105.</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Ernst &amp; Young Global Limited. (2016). Renewable Energy Country Attractiveness Index.</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Gabriele, A. (2004). </w:t>
      </w:r>
      <w:r w:rsidRPr="009F1FDC">
        <w:rPr>
          <w:rFonts w:ascii="Times New Roman" w:hAnsi="Times New Roman" w:cs="Times New Roman"/>
          <w:i/>
          <w:iCs/>
          <w:noProof/>
        </w:rPr>
        <w:t>Policy Alternatives in Reforming Power Utilities in Developing Countries: A Critical Survey</w:t>
      </w:r>
      <w:r w:rsidRPr="009F1FDC">
        <w:rPr>
          <w:rFonts w:ascii="Times New Roman" w:hAnsi="Times New Roman" w:cs="Times New Roman"/>
          <w:noProof/>
        </w:rPr>
        <w:t xml:space="preserve"> (UNCTAD Discussion Papers No. UNCTAD/OSG/DP/2004/2).</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Hadjit, A., &amp; Moxon Browne, E. (2005). Foreign Direct Investment in Turkey: The Implications of EU Accession. </w:t>
      </w:r>
      <w:r w:rsidRPr="009F1FDC">
        <w:rPr>
          <w:rFonts w:ascii="Times New Roman" w:hAnsi="Times New Roman" w:cs="Times New Roman"/>
          <w:i/>
          <w:iCs/>
          <w:noProof/>
        </w:rPr>
        <w:t>Turkish Studies</w:t>
      </w:r>
      <w:r w:rsidRPr="009F1FDC">
        <w:rPr>
          <w:rFonts w:ascii="Times New Roman" w:hAnsi="Times New Roman" w:cs="Times New Roman"/>
          <w:noProof/>
        </w:rPr>
        <w:t xml:space="preserve">, </w:t>
      </w:r>
      <w:r w:rsidRPr="009F1FDC">
        <w:rPr>
          <w:rFonts w:ascii="Times New Roman" w:hAnsi="Times New Roman" w:cs="Times New Roman"/>
          <w:i/>
          <w:iCs/>
          <w:noProof/>
        </w:rPr>
        <w:t>6</w:t>
      </w:r>
      <w:r w:rsidRPr="009F1FDC">
        <w:rPr>
          <w:rFonts w:ascii="Times New Roman" w:hAnsi="Times New Roman" w:cs="Times New Roman"/>
          <w:noProof/>
        </w:rPr>
        <w:t>(3), 321–340. https://doi.org/10.1080/14683840500235423</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Hornberger, K., Battat, J., &amp; Kusek, P. (2011). Attracting FDI: How Much Does Investment Climate Matter? </w:t>
      </w:r>
      <w:r w:rsidRPr="009F1FDC">
        <w:rPr>
          <w:rFonts w:ascii="Times New Roman" w:hAnsi="Times New Roman" w:cs="Times New Roman"/>
          <w:i/>
          <w:iCs/>
          <w:noProof/>
        </w:rPr>
        <w:t>ViewPoint a Publication of the World Bank Group</w:t>
      </w:r>
      <w:r w:rsidRPr="009F1FDC">
        <w:rPr>
          <w:rFonts w:ascii="Times New Roman" w:hAnsi="Times New Roman" w:cs="Times New Roman"/>
          <w:noProof/>
        </w:rPr>
        <w:t>, 1–4. Retrieved from http://siteresources.worldbank.org/FINANCIALSECTOR/Resources/327-Attracting-FDI.pdf</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IEA. (2003). Power Generation Investment in Electricity Markets. International Energy Agency, OECD, 104 p., 104. https://doi.org/10.1787/9789264105577-en</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IMF. (2008). Glossary of Foreign Direct Investment Terms and Definitions. Washington, D.C. Retrieved from https://www.imf.org/external/np/sta/di/</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Jadhav, P. (2012). Determinants of foreign direct investment in BRICS economies: Analysis of </w:t>
      </w:r>
      <w:r w:rsidRPr="009F1FDC">
        <w:rPr>
          <w:rFonts w:ascii="Times New Roman" w:hAnsi="Times New Roman" w:cs="Times New Roman"/>
          <w:noProof/>
        </w:rPr>
        <w:lastRenderedPageBreak/>
        <w:t xml:space="preserve">economic, institutional and political factor. </w:t>
      </w:r>
      <w:r w:rsidRPr="009F1FDC">
        <w:rPr>
          <w:rFonts w:ascii="Times New Roman" w:hAnsi="Times New Roman" w:cs="Times New Roman"/>
          <w:i/>
          <w:iCs/>
          <w:noProof/>
        </w:rPr>
        <w:t>Procedia - Social and Behavioral Sciences</w:t>
      </w:r>
      <w:r w:rsidRPr="009F1FDC">
        <w:rPr>
          <w:rFonts w:ascii="Times New Roman" w:hAnsi="Times New Roman" w:cs="Times New Roman"/>
          <w:noProof/>
        </w:rPr>
        <w:t xml:space="preserve">, </w:t>
      </w:r>
      <w:r w:rsidRPr="009F1FDC">
        <w:rPr>
          <w:rFonts w:ascii="Times New Roman" w:hAnsi="Times New Roman" w:cs="Times New Roman"/>
          <w:i/>
          <w:iCs/>
          <w:noProof/>
        </w:rPr>
        <w:t>37</w:t>
      </w:r>
      <w:r w:rsidRPr="009F1FDC">
        <w:rPr>
          <w:rFonts w:ascii="Times New Roman" w:hAnsi="Times New Roman" w:cs="Times New Roman"/>
          <w:noProof/>
        </w:rPr>
        <w:t>, 5–14. https://doi.org/10.1016/j.sbspro.2012.03.270</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Khachoo, A. Q., &amp; Khan, M. I. (2012). Determinants of FDI in ows to developing countries: a panel data analysis. </w:t>
      </w:r>
      <w:r w:rsidRPr="009F1FDC">
        <w:rPr>
          <w:rFonts w:ascii="Times New Roman" w:hAnsi="Times New Roman" w:cs="Times New Roman"/>
          <w:i/>
          <w:iCs/>
          <w:noProof/>
        </w:rPr>
        <w:t>Munich Personal RePEc Archive (MPRA)</w:t>
      </w:r>
      <w:r w:rsidRPr="009F1FDC">
        <w:rPr>
          <w:rFonts w:ascii="Times New Roman" w:hAnsi="Times New Roman" w:cs="Times New Roman"/>
          <w:noProof/>
        </w:rPr>
        <w:t xml:space="preserve">, </w:t>
      </w:r>
      <w:r w:rsidRPr="009F1FDC">
        <w:rPr>
          <w:rFonts w:ascii="Times New Roman" w:hAnsi="Times New Roman" w:cs="Times New Roman"/>
          <w:i/>
          <w:iCs/>
          <w:noProof/>
        </w:rPr>
        <w:t>37278</w:t>
      </w:r>
      <w:r w:rsidRPr="009F1FDC">
        <w:rPr>
          <w:rFonts w:ascii="Times New Roman" w:hAnsi="Times New Roman" w:cs="Times New Roman"/>
          <w:noProof/>
        </w:rPr>
        <w:t>(37278). Retrieved from https://mpra.ub.uni-muenchen.de/37278/</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Khatun, F., &amp; Ahamad, M. (2015). Foreign direct investment in the energy and power sector in Bangladesh : Implications for economic growth. </w:t>
      </w:r>
      <w:r w:rsidRPr="009F1FDC">
        <w:rPr>
          <w:rFonts w:ascii="Times New Roman" w:hAnsi="Times New Roman" w:cs="Times New Roman"/>
          <w:i/>
          <w:iCs/>
          <w:noProof/>
        </w:rPr>
        <w:t>Renewable and Sustainable Energy Reviews</w:t>
      </w:r>
      <w:r w:rsidRPr="009F1FDC">
        <w:rPr>
          <w:rFonts w:ascii="Times New Roman" w:hAnsi="Times New Roman" w:cs="Times New Roman"/>
          <w:noProof/>
        </w:rPr>
        <w:t xml:space="preserve">, </w:t>
      </w:r>
      <w:r w:rsidRPr="009F1FDC">
        <w:rPr>
          <w:rFonts w:ascii="Times New Roman" w:hAnsi="Times New Roman" w:cs="Times New Roman"/>
          <w:i/>
          <w:iCs/>
          <w:noProof/>
        </w:rPr>
        <w:t>52</w:t>
      </w:r>
      <w:r w:rsidRPr="009F1FDC">
        <w:rPr>
          <w:rFonts w:ascii="Times New Roman" w:hAnsi="Times New Roman" w:cs="Times New Roman"/>
          <w:noProof/>
        </w:rPr>
        <w:t>, 1369–1377. https://doi.org/10.1016/j.rser.2015.08.017</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Komendantova, N., Patt, A., Barras, L., &amp; Battaglini, A. (2012). Perception of risks in renewable energy projects: The case of concentrated solar power in North Africa. </w:t>
      </w:r>
      <w:r w:rsidRPr="009F1FDC">
        <w:rPr>
          <w:rFonts w:ascii="Times New Roman" w:hAnsi="Times New Roman" w:cs="Times New Roman"/>
          <w:i/>
          <w:iCs/>
          <w:noProof/>
        </w:rPr>
        <w:t>Energy Policy</w:t>
      </w:r>
      <w:r w:rsidRPr="009F1FDC">
        <w:rPr>
          <w:rFonts w:ascii="Times New Roman" w:hAnsi="Times New Roman" w:cs="Times New Roman"/>
          <w:noProof/>
        </w:rPr>
        <w:t xml:space="preserve">, </w:t>
      </w:r>
      <w:r w:rsidRPr="009F1FDC">
        <w:rPr>
          <w:rFonts w:ascii="Times New Roman" w:hAnsi="Times New Roman" w:cs="Times New Roman"/>
          <w:i/>
          <w:iCs/>
          <w:noProof/>
        </w:rPr>
        <w:t>40</w:t>
      </w:r>
      <w:r w:rsidRPr="009F1FDC">
        <w:rPr>
          <w:rFonts w:ascii="Times New Roman" w:hAnsi="Times New Roman" w:cs="Times New Roman"/>
          <w:noProof/>
        </w:rPr>
        <w:t>(1), 103–109. https://doi.org/10.1016/j.enpol.2009.12.008</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Loewendahl, H., &amp; Ertugal-Loewendahl, E. (2000). </w:t>
      </w:r>
      <w:r w:rsidRPr="009F1FDC">
        <w:rPr>
          <w:rFonts w:ascii="Times New Roman" w:hAnsi="Times New Roman" w:cs="Times New Roman"/>
          <w:i/>
          <w:iCs/>
          <w:noProof/>
        </w:rPr>
        <w:t>Turkey’s performance in attracting foreign direct investment; Implications of EU enlargement</w:t>
      </w:r>
      <w:r w:rsidRPr="009F1FDC">
        <w:rPr>
          <w:rFonts w:ascii="Times New Roman" w:hAnsi="Times New Roman" w:cs="Times New Roman"/>
          <w:noProof/>
        </w:rPr>
        <w:t xml:space="preserve"> (CEPS Working Paper Series No. 157). Retrieved from http://aei.pitt.edu/11686/1/67.pdf</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Lv, P., &amp; Spigarelli, F. (2015). The integration of Chinese and European renewable energy markets : The role of Chinese foreign direct investments. </w:t>
      </w:r>
      <w:r w:rsidRPr="009F1FDC">
        <w:rPr>
          <w:rFonts w:ascii="Times New Roman" w:hAnsi="Times New Roman" w:cs="Times New Roman"/>
          <w:i/>
          <w:iCs/>
          <w:noProof/>
        </w:rPr>
        <w:t>Energy Policy</w:t>
      </w:r>
      <w:r w:rsidRPr="009F1FDC">
        <w:rPr>
          <w:rFonts w:ascii="Times New Roman" w:hAnsi="Times New Roman" w:cs="Times New Roman"/>
          <w:noProof/>
        </w:rPr>
        <w:t xml:space="preserve">, </w:t>
      </w:r>
      <w:r w:rsidRPr="009F1FDC">
        <w:rPr>
          <w:rFonts w:ascii="Times New Roman" w:hAnsi="Times New Roman" w:cs="Times New Roman"/>
          <w:i/>
          <w:iCs/>
          <w:noProof/>
        </w:rPr>
        <w:t>81</w:t>
      </w:r>
      <w:r w:rsidRPr="009F1FDC">
        <w:rPr>
          <w:rFonts w:ascii="Times New Roman" w:hAnsi="Times New Roman" w:cs="Times New Roman"/>
          <w:noProof/>
        </w:rPr>
        <w:t>, 14–26. https://doi.org/10.1016/j.enpol.2015.01.042</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Murat Sirin, S., &amp; Ege, A. (2012). Overcoming problems in Turkeys renewable energy policy: How can EU contribute? </w:t>
      </w:r>
      <w:r w:rsidRPr="009F1FDC">
        <w:rPr>
          <w:rFonts w:ascii="Times New Roman" w:hAnsi="Times New Roman" w:cs="Times New Roman"/>
          <w:i/>
          <w:iCs/>
          <w:noProof/>
        </w:rPr>
        <w:t>Renewable and Sustainable Energy Reviews</w:t>
      </w:r>
      <w:r w:rsidRPr="009F1FDC">
        <w:rPr>
          <w:rFonts w:ascii="Times New Roman" w:hAnsi="Times New Roman" w:cs="Times New Roman"/>
          <w:noProof/>
        </w:rPr>
        <w:t>. https://doi.org/10.1016/j.rser.2012.03.067</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OECD/IEA. (2007). Tackling Investment Challenges in Power Generation in IEA Countries. </w:t>
      </w:r>
      <w:r w:rsidRPr="009F1FDC">
        <w:rPr>
          <w:rFonts w:ascii="Times New Roman" w:hAnsi="Times New Roman" w:cs="Times New Roman"/>
          <w:i/>
          <w:iCs/>
          <w:noProof/>
        </w:rPr>
        <w:t>International Energy Agency</w:t>
      </w:r>
      <w:r w:rsidRPr="009F1FDC">
        <w:rPr>
          <w:rFonts w:ascii="Times New Roman" w:hAnsi="Times New Roman" w:cs="Times New Roman"/>
          <w:noProof/>
        </w:rPr>
        <w:t>, 1–210. https://doi.org/10.1787/9789264030084-en</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OECD/IEA. (2008). </w:t>
      </w:r>
      <w:r w:rsidRPr="009F1FDC">
        <w:rPr>
          <w:rFonts w:ascii="Times New Roman" w:hAnsi="Times New Roman" w:cs="Times New Roman"/>
          <w:i/>
          <w:iCs/>
          <w:noProof/>
        </w:rPr>
        <w:t>Deploying Renewables: Principles for Effective Policies</w:t>
      </w:r>
      <w:r w:rsidRPr="009F1FDC">
        <w:rPr>
          <w:rFonts w:ascii="Times New Roman" w:hAnsi="Times New Roman" w:cs="Times New Roman"/>
          <w:noProof/>
        </w:rPr>
        <w:t>. Paris.</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OECD. (2009). </w:t>
      </w:r>
      <w:r w:rsidRPr="009F1FDC">
        <w:rPr>
          <w:rFonts w:ascii="Times New Roman" w:hAnsi="Times New Roman" w:cs="Times New Roman"/>
          <w:i/>
          <w:iCs/>
          <w:noProof/>
        </w:rPr>
        <w:t>OECD Benchmark Definition of Foreign Direct Investment 2008: Fourth Edition</w:t>
      </w:r>
      <w:r w:rsidRPr="009F1FDC">
        <w:rPr>
          <w:rFonts w:ascii="Times New Roman" w:hAnsi="Times New Roman" w:cs="Times New Roman"/>
          <w:noProof/>
        </w:rPr>
        <w:t xml:space="preserve">. </w:t>
      </w:r>
      <w:r w:rsidRPr="009F1FDC">
        <w:rPr>
          <w:rFonts w:ascii="Times New Roman" w:hAnsi="Times New Roman" w:cs="Times New Roman"/>
          <w:i/>
          <w:iCs/>
          <w:noProof/>
        </w:rPr>
        <w:t>OECD Publishing</w:t>
      </w:r>
      <w:r w:rsidRPr="009F1FDC">
        <w:rPr>
          <w:rFonts w:ascii="Times New Roman" w:hAnsi="Times New Roman" w:cs="Times New Roman"/>
          <w:noProof/>
        </w:rPr>
        <w:t>. https://doi.org/http://dx.doi.org/10.1787/9789264045743-en</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OIB. (2016). Ozellestirme Uygulamalari.</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PwC. (2016). </w:t>
      </w:r>
      <w:r w:rsidRPr="009F1FDC">
        <w:rPr>
          <w:rFonts w:ascii="Times New Roman" w:hAnsi="Times New Roman" w:cs="Times New Roman"/>
          <w:i/>
          <w:iCs/>
          <w:noProof/>
        </w:rPr>
        <w:t>Türkiye Enerji Sektöründeki Birleşme ve Satın Almalar Raporu</w:t>
      </w:r>
      <w:r w:rsidRPr="009F1FDC">
        <w:rPr>
          <w:rFonts w:ascii="Times New Roman" w:hAnsi="Times New Roman" w:cs="Times New Roman"/>
          <w:noProof/>
        </w:rPr>
        <w:t>. İstanbul. Retrieved from http://www.pwc.com.tr/tr/sektorler/enerji-altyapi-madencilik/yayinlar/enerji-sektorundeki-birlesme-ve-satin-almalar.html</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Resmini, L. (2000). The determinants of foreign direct investment in the CEECS: New evidence from sectoral patterns. </w:t>
      </w:r>
      <w:r w:rsidRPr="009F1FDC">
        <w:rPr>
          <w:rFonts w:ascii="Times New Roman" w:hAnsi="Times New Roman" w:cs="Times New Roman"/>
          <w:i/>
          <w:iCs/>
          <w:noProof/>
        </w:rPr>
        <w:t>Economics of Transition</w:t>
      </w:r>
      <w:r w:rsidRPr="009F1FDC">
        <w:rPr>
          <w:rFonts w:ascii="Times New Roman" w:hAnsi="Times New Roman" w:cs="Times New Roman"/>
          <w:noProof/>
        </w:rPr>
        <w:t>, (8), 665–689.</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Sethi, D., Guisinger, S. E., Phelan, S. E., &amp; Berg, D. M. (2003). Trends in Foreign Direct Investment Flows: A Theoretical and Empirical Analysis. </w:t>
      </w:r>
      <w:r w:rsidRPr="009F1FDC">
        <w:rPr>
          <w:rFonts w:ascii="Times New Roman" w:hAnsi="Times New Roman" w:cs="Times New Roman"/>
          <w:i/>
          <w:iCs/>
          <w:noProof/>
        </w:rPr>
        <w:t>Journal of International Business Studies</w:t>
      </w:r>
      <w:r w:rsidRPr="009F1FDC">
        <w:rPr>
          <w:rFonts w:ascii="Times New Roman" w:hAnsi="Times New Roman" w:cs="Times New Roman"/>
          <w:noProof/>
        </w:rPr>
        <w:t xml:space="preserve">, </w:t>
      </w:r>
      <w:r w:rsidRPr="009F1FDC">
        <w:rPr>
          <w:rFonts w:ascii="Times New Roman" w:hAnsi="Times New Roman" w:cs="Times New Roman"/>
          <w:i/>
          <w:iCs/>
          <w:noProof/>
        </w:rPr>
        <w:t>34</w:t>
      </w:r>
      <w:r w:rsidRPr="009F1FDC">
        <w:rPr>
          <w:rFonts w:ascii="Times New Roman" w:hAnsi="Times New Roman" w:cs="Times New Roman"/>
          <w:noProof/>
        </w:rPr>
        <w:t>(4), 315–326. https://doi.org/10.2307/3557177</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Sirin, S. M. (2011). Energy market reforms in Turkey and their impact on innovation and R&amp;D expenditures. </w:t>
      </w:r>
      <w:r w:rsidRPr="009F1FDC">
        <w:rPr>
          <w:rFonts w:ascii="Times New Roman" w:hAnsi="Times New Roman" w:cs="Times New Roman"/>
          <w:i/>
          <w:iCs/>
          <w:noProof/>
        </w:rPr>
        <w:t>Renewable and Sustainable Energy Reviews</w:t>
      </w:r>
      <w:r w:rsidRPr="009F1FDC">
        <w:rPr>
          <w:rFonts w:ascii="Times New Roman" w:hAnsi="Times New Roman" w:cs="Times New Roman"/>
          <w:noProof/>
        </w:rPr>
        <w:t xml:space="preserve">, </w:t>
      </w:r>
      <w:r w:rsidRPr="009F1FDC">
        <w:rPr>
          <w:rFonts w:ascii="Times New Roman" w:hAnsi="Times New Roman" w:cs="Times New Roman"/>
          <w:i/>
          <w:iCs/>
          <w:noProof/>
        </w:rPr>
        <w:t>15</w:t>
      </w:r>
      <w:r w:rsidRPr="009F1FDC">
        <w:rPr>
          <w:rFonts w:ascii="Times New Roman" w:hAnsi="Times New Roman" w:cs="Times New Roman"/>
          <w:noProof/>
        </w:rPr>
        <w:t>(9). https://doi.org/10.1016/j.rser.2011.07.093</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lastRenderedPageBreak/>
        <w:t xml:space="preserve">Sirin, S. M. (2017). Foreign direct investments (FDIs) in Turkish power sector: A discussion on investments, opportunities and risks. </w:t>
      </w:r>
      <w:r w:rsidRPr="009F1FDC">
        <w:rPr>
          <w:rFonts w:ascii="Times New Roman" w:hAnsi="Times New Roman" w:cs="Times New Roman"/>
          <w:i/>
          <w:iCs/>
          <w:noProof/>
        </w:rPr>
        <w:t>Renewable and Sustainable Energy Reviews</w:t>
      </w:r>
      <w:r w:rsidRPr="009F1FDC">
        <w:rPr>
          <w:rFonts w:ascii="Times New Roman" w:hAnsi="Times New Roman" w:cs="Times New Roman"/>
          <w:noProof/>
        </w:rPr>
        <w:t xml:space="preserve">, </w:t>
      </w:r>
      <w:r w:rsidRPr="009F1FDC">
        <w:rPr>
          <w:rFonts w:ascii="Times New Roman" w:hAnsi="Times New Roman" w:cs="Times New Roman"/>
          <w:i/>
          <w:iCs/>
          <w:noProof/>
        </w:rPr>
        <w:t>78</w:t>
      </w:r>
      <w:r w:rsidRPr="009F1FDC">
        <w:rPr>
          <w:rFonts w:ascii="Times New Roman" w:hAnsi="Times New Roman" w:cs="Times New Roman"/>
          <w:noProof/>
        </w:rPr>
        <w:t>. https://doi.org/10.1016/j.rser.2017.05.160</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Streimikiene, D., &amp; Siksnelyte, I. (2014). Electricity market opening impact on investments in electricity sector. </w:t>
      </w:r>
      <w:r w:rsidRPr="009F1FDC">
        <w:rPr>
          <w:rFonts w:ascii="Times New Roman" w:hAnsi="Times New Roman" w:cs="Times New Roman"/>
          <w:i/>
          <w:iCs/>
          <w:noProof/>
        </w:rPr>
        <w:t>Renewable and Sustainable Energy Reviews</w:t>
      </w:r>
      <w:r w:rsidRPr="009F1FDC">
        <w:rPr>
          <w:rFonts w:ascii="Times New Roman" w:hAnsi="Times New Roman" w:cs="Times New Roman"/>
          <w:noProof/>
        </w:rPr>
        <w:t xml:space="preserve">, </w:t>
      </w:r>
      <w:r w:rsidRPr="009F1FDC">
        <w:rPr>
          <w:rFonts w:ascii="Times New Roman" w:hAnsi="Times New Roman" w:cs="Times New Roman"/>
          <w:i/>
          <w:iCs/>
          <w:noProof/>
        </w:rPr>
        <w:t>29</w:t>
      </w:r>
      <w:r w:rsidRPr="009F1FDC">
        <w:rPr>
          <w:rFonts w:ascii="Times New Roman" w:hAnsi="Times New Roman" w:cs="Times New Roman"/>
          <w:noProof/>
        </w:rPr>
        <w:t>, 891–904. https://doi.org/10.1016/j.rser.2013.08.093</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TBMM. Elektrik Piyasası Kanunu (2013). Ankara. Retrieved from http://www3.epdk.org.tr/index.php/elektrik-piyasasi/mevzuat?id=143</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Topkaya, S. O. (2012). A discussion on recent developments in Turkey’s emerging solar power market. </w:t>
      </w:r>
      <w:r w:rsidRPr="009F1FDC">
        <w:rPr>
          <w:rFonts w:ascii="Times New Roman" w:hAnsi="Times New Roman" w:cs="Times New Roman"/>
          <w:i/>
          <w:iCs/>
          <w:noProof/>
        </w:rPr>
        <w:t>Renewable and Sustainable Energy Reviews</w:t>
      </w:r>
      <w:r w:rsidRPr="009F1FDC">
        <w:rPr>
          <w:rFonts w:ascii="Times New Roman" w:hAnsi="Times New Roman" w:cs="Times New Roman"/>
          <w:noProof/>
        </w:rPr>
        <w:t xml:space="preserve">, </w:t>
      </w:r>
      <w:r w:rsidRPr="009F1FDC">
        <w:rPr>
          <w:rFonts w:ascii="Times New Roman" w:hAnsi="Times New Roman" w:cs="Times New Roman"/>
          <w:i/>
          <w:iCs/>
          <w:noProof/>
        </w:rPr>
        <w:t>16</w:t>
      </w:r>
      <w:r w:rsidRPr="009F1FDC">
        <w:rPr>
          <w:rFonts w:ascii="Times New Roman" w:hAnsi="Times New Roman" w:cs="Times New Roman"/>
          <w:noProof/>
        </w:rPr>
        <w:t>(6), 3754–3765. Retrieved from http://dx.doi.org/10.1016/j.rser.2012.03.019</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van Wyk, J., &amp; Lal, A. K. (2008). Risk and FDI Flows to Developing Countries. </w:t>
      </w:r>
      <w:r w:rsidRPr="009F1FDC">
        <w:rPr>
          <w:rFonts w:ascii="Times New Roman" w:hAnsi="Times New Roman" w:cs="Times New Roman"/>
          <w:i/>
          <w:iCs/>
          <w:noProof/>
        </w:rPr>
        <w:t>South African Journal of Economic and Management Science</w:t>
      </w:r>
      <w:r w:rsidRPr="009F1FDC">
        <w:rPr>
          <w:rFonts w:ascii="Times New Roman" w:hAnsi="Times New Roman" w:cs="Times New Roman"/>
          <w:noProof/>
        </w:rPr>
        <w:t xml:space="preserve">, </w:t>
      </w:r>
      <w:r w:rsidRPr="009F1FDC">
        <w:rPr>
          <w:rFonts w:ascii="Times New Roman" w:hAnsi="Times New Roman" w:cs="Times New Roman"/>
          <w:i/>
          <w:iCs/>
          <w:noProof/>
        </w:rPr>
        <w:t>11</w:t>
      </w:r>
      <w:r w:rsidRPr="009F1FDC">
        <w:rPr>
          <w:rFonts w:ascii="Times New Roman" w:hAnsi="Times New Roman" w:cs="Times New Roman"/>
          <w:noProof/>
        </w:rPr>
        <w:t>(4), 261–262.</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World Bank. (2010). </w:t>
      </w:r>
      <w:r w:rsidRPr="009F1FDC">
        <w:rPr>
          <w:rFonts w:ascii="Times New Roman" w:hAnsi="Times New Roman" w:cs="Times New Roman"/>
          <w:i/>
          <w:iCs/>
          <w:noProof/>
        </w:rPr>
        <w:t>Investment Climate Assessment From Crisis to Private Sector Led Growth</w:t>
      </w:r>
      <w:r w:rsidRPr="009F1FDC">
        <w:rPr>
          <w:rFonts w:ascii="Times New Roman" w:hAnsi="Times New Roman" w:cs="Times New Roman"/>
          <w:noProof/>
        </w:rPr>
        <w:t>. Washington, D.C. Retrieved from http://documents.worldbank.org/curated/en/155761468318533033/Turkiye-Yatirim-ortami-degerlendirmesi-krizden-ozel-sector-onculugunde-buyumeye</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World Bank. (2016a). </w:t>
      </w:r>
      <w:r w:rsidRPr="009F1FDC">
        <w:rPr>
          <w:rFonts w:ascii="Times New Roman" w:hAnsi="Times New Roman" w:cs="Times New Roman"/>
          <w:i/>
          <w:iCs/>
          <w:noProof/>
        </w:rPr>
        <w:t>World DataBank</w:t>
      </w:r>
      <w:r w:rsidRPr="009F1FDC">
        <w:rPr>
          <w:rFonts w:ascii="Times New Roman" w:hAnsi="Times New Roman" w:cs="Times New Roman"/>
          <w:noProof/>
        </w:rPr>
        <w:t xml:space="preserve">. </w:t>
      </w:r>
      <w:r w:rsidRPr="009F1FDC">
        <w:rPr>
          <w:rFonts w:ascii="Times New Roman" w:hAnsi="Times New Roman" w:cs="Times New Roman"/>
          <w:i/>
          <w:iCs/>
          <w:noProof/>
        </w:rPr>
        <w:t>World Development Indicators</w:t>
      </w:r>
      <w:r w:rsidRPr="009F1FDC">
        <w:rPr>
          <w:rFonts w:ascii="Times New Roman" w:hAnsi="Times New Roman" w:cs="Times New Roman"/>
          <w:noProof/>
        </w:rPr>
        <w:t>. Retrieved from http://databank.worldbank.org/data/reports.aspx?source=2&amp;country=TUR&amp;series=&amp;period=#</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World Bank. (2016b). World Development Indicators. Retrieved January 1, 2016, from http://databank.worldbank.org/</w:t>
      </w:r>
    </w:p>
    <w:p w:rsidR="009F1FDC" w:rsidRPr="009F1FDC" w:rsidRDefault="009F1FDC" w:rsidP="009F1FDC">
      <w:pPr>
        <w:widowControl w:val="0"/>
        <w:autoSpaceDE w:val="0"/>
        <w:autoSpaceDN w:val="0"/>
        <w:adjustRightInd w:val="0"/>
        <w:spacing w:before="180" w:after="180"/>
        <w:ind w:left="480" w:hanging="480"/>
        <w:rPr>
          <w:rFonts w:ascii="Times New Roman" w:hAnsi="Times New Roman" w:cs="Times New Roman"/>
          <w:noProof/>
        </w:rPr>
      </w:pPr>
      <w:r w:rsidRPr="009F1FDC">
        <w:rPr>
          <w:rFonts w:ascii="Times New Roman" w:hAnsi="Times New Roman" w:cs="Times New Roman"/>
          <w:noProof/>
        </w:rPr>
        <w:t xml:space="preserve">Zeng, S., Liu, Y., Liu, C., &amp; Nan, X. (2017). A review of renewable energy investment in the BRICS countries : History , models , problems and solutions. </w:t>
      </w:r>
      <w:r w:rsidRPr="009F1FDC">
        <w:rPr>
          <w:rFonts w:ascii="Times New Roman" w:hAnsi="Times New Roman" w:cs="Times New Roman"/>
          <w:i/>
          <w:iCs/>
          <w:noProof/>
        </w:rPr>
        <w:t>Renewable and Sustainable Energy Reviews</w:t>
      </w:r>
      <w:r w:rsidRPr="009F1FDC">
        <w:rPr>
          <w:rFonts w:ascii="Times New Roman" w:hAnsi="Times New Roman" w:cs="Times New Roman"/>
          <w:noProof/>
        </w:rPr>
        <w:t xml:space="preserve">, </w:t>
      </w:r>
      <w:r w:rsidRPr="009F1FDC">
        <w:rPr>
          <w:rFonts w:ascii="Times New Roman" w:hAnsi="Times New Roman" w:cs="Times New Roman"/>
          <w:i/>
          <w:iCs/>
          <w:noProof/>
        </w:rPr>
        <w:t>74</w:t>
      </w:r>
      <w:r w:rsidRPr="009F1FDC">
        <w:rPr>
          <w:rFonts w:ascii="Times New Roman" w:hAnsi="Times New Roman" w:cs="Times New Roman"/>
          <w:noProof/>
        </w:rPr>
        <w:t>(November 2016), 860–872. https://doi.org/10.1016/j.rser.2017.03.016</w:t>
      </w:r>
    </w:p>
    <w:p w:rsidR="00243EC5" w:rsidRPr="00D50AF8" w:rsidRDefault="009F4D10" w:rsidP="009F1FDC">
      <w:pPr>
        <w:widowControl w:val="0"/>
        <w:autoSpaceDE w:val="0"/>
        <w:autoSpaceDN w:val="0"/>
        <w:adjustRightInd w:val="0"/>
        <w:spacing w:before="180" w:after="180"/>
        <w:ind w:left="480" w:hanging="480"/>
        <w:rPr>
          <w:rFonts w:ascii="Times New Roman" w:hAnsi="Times New Roman" w:cs="Times New Roman"/>
        </w:rPr>
      </w:pPr>
      <w:r w:rsidRPr="00D50AF8">
        <w:rPr>
          <w:rFonts w:ascii="Times New Roman" w:hAnsi="Times New Roman" w:cs="Times New Roman"/>
        </w:rPr>
        <w:fldChar w:fldCharType="end"/>
      </w:r>
    </w:p>
    <w:sectPr w:rsidR="00243EC5" w:rsidRPr="00D50AF8" w:rsidSect="002310D8">
      <w:pgSz w:w="12240" w:h="15840"/>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88C" w:rsidRDefault="0009688C">
      <w:pPr>
        <w:spacing w:after="0"/>
      </w:pPr>
      <w:r>
        <w:separator/>
      </w:r>
    </w:p>
  </w:endnote>
  <w:endnote w:type="continuationSeparator" w:id="0">
    <w:p w:rsidR="0009688C" w:rsidRDefault="000968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88C" w:rsidRDefault="0009688C">
      <w:r>
        <w:separator/>
      </w:r>
    </w:p>
  </w:footnote>
  <w:footnote w:type="continuationSeparator" w:id="0">
    <w:p w:rsidR="0009688C" w:rsidRDefault="0009688C">
      <w:r>
        <w:continuationSeparator/>
      </w:r>
    </w:p>
  </w:footnote>
  <w:footnote w:id="1">
    <w:p w:rsidR="00363930" w:rsidRPr="008F1ED5" w:rsidRDefault="00363930" w:rsidP="008F1ED5">
      <w:pPr>
        <w:rPr>
          <w:rFonts w:ascii="Times New Roman" w:hAnsi="Times New Roman" w:cs="Times New Roman"/>
          <w:sz w:val="20"/>
          <w:szCs w:val="20"/>
        </w:rPr>
      </w:pPr>
      <w:r w:rsidRPr="008F1ED5">
        <w:rPr>
          <w:rFonts w:ascii="Times New Roman" w:hAnsi="Times New Roman" w:cs="Times New Roman"/>
          <w:sz w:val="20"/>
          <w:szCs w:val="20"/>
        </w:rPr>
        <w:footnoteRef/>
      </w:r>
      <w:r w:rsidRPr="008F1ED5">
        <w:rPr>
          <w:rFonts w:ascii="Times New Roman" w:hAnsi="Times New Roman" w:cs="Times New Roman"/>
          <w:sz w:val="20"/>
          <w:szCs w:val="20"/>
        </w:rPr>
        <w:t xml:space="preserve"> OECD now uses Benchmark definition, 4th edition (BMD4) for FDI </w:t>
      </w:r>
      <w:proofErr w:type="gramStart"/>
      <w:r w:rsidRPr="008F1ED5">
        <w:rPr>
          <w:rFonts w:ascii="Times New Roman" w:hAnsi="Times New Roman" w:cs="Times New Roman"/>
          <w:sz w:val="20"/>
          <w:szCs w:val="20"/>
        </w:rPr>
        <w:t>statistics,</w:t>
      </w:r>
      <w:proofErr w:type="gramEnd"/>
      <w:r w:rsidRPr="008F1ED5">
        <w:rPr>
          <w:rFonts w:ascii="Times New Roman" w:hAnsi="Times New Roman" w:cs="Times New Roman"/>
          <w:sz w:val="20"/>
          <w:szCs w:val="20"/>
        </w:rPr>
        <w:t xml:space="preserve"> unfortunately no data is available for Turkey in BMD4 database.</w:t>
      </w:r>
    </w:p>
  </w:footnote>
  <w:footnote w:id="2">
    <w:p w:rsidR="00363930" w:rsidRPr="00051BE9" w:rsidRDefault="00363930">
      <w:pPr>
        <w:pStyle w:val="FootnoteText"/>
        <w:rPr>
          <w:rFonts w:ascii="Times New Roman" w:hAnsi="Times New Roman" w:cs="Times New Roman"/>
          <w:sz w:val="20"/>
          <w:szCs w:val="20"/>
        </w:rPr>
      </w:pPr>
      <w:r w:rsidRPr="00051BE9">
        <w:rPr>
          <w:rStyle w:val="FootnoteReference"/>
          <w:rFonts w:ascii="Times New Roman" w:hAnsi="Times New Roman" w:cs="Times New Roman"/>
          <w:sz w:val="20"/>
          <w:szCs w:val="20"/>
        </w:rPr>
        <w:footnoteRef/>
      </w:r>
      <w:r>
        <w:rPr>
          <w:rFonts w:ascii="Times New Roman" w:hAnsi="Times New Roman" w:cs="Times New Roman"/>
          <w:sz w:val="20"/>
          <w:szCs w:val="20"/>
        </w:rPr>
        <w:t xml:space="preserve">Ranking of Economies-Doing Business, </w:t>
      </w:r>
      <w:r w:rsidRPr="00051BE9">
        <w:rPr>
          <w:rFonts w:ascii="Times New Roman" w:hAnsi="Times New Roman" w:cs="Times New Roman"/>
          <w:sz w:val="20"/>
          <w:szCs w:val="20"/>
        </w:rPr>
        <w:t>http://www.doingbusiness.org/rankings, accesses at 15/04/2018</w:t>
      </w:r>
    </w:p>
    <w:p w:rsidR="00363930" w:rsidRDefault="0036393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80D46D"/>
    <w:multiLevelType w:val="multilevel"/>
    <w:tmpl w:val="F198182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A9E6720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FFFFFF7C"/>
    <w:multiLevelType w:val="singleLevel"/>
    <w:tmpl w:val="A2A8888A"/>
    <w:lvl w:ilvl="0">
      <w:start w:val="1"/>
      <w:numFmt w:val="decimal"/>
      <w:lvlText w:val="%1."/>
      <w:lvlJc w:val="left"/>
      <w:pPr>
        <w:tabs>
          <w:tab w:val="num" w:pos="1492"/>
        </w:tabs>
        <w:ind w:left="1492" w:hanging="360"/>
      </w:pPr>
    </w:lvl>
  </w:abstractNum>
  <w:abstractNum w:abstractNumId="3">
    <w:nsid w:val="FFFFFF7D"/>
    <w:multiLevelType w:val="singleLevel"/>
    <w:tmpl w:val="C3D2D7F6"/>
    <w:lvl w:ilvl="0">
      <w:start w:val="1"/>
      <w:numFmt w:val="decimal"/>
      <w:lvlText w:val="%1."/>
      <w:lvlJc w:val="left"/>
      <w:pPr>
        <w:tabs>
          <w:tab w:val="num" w:pos="1209"/>
        </w:tabs>
        <w:ind w:left="1209" w:hanging="360"/>
      </w:pPr>
    </w:lvl>
  </w:abstractNum>
  <w:abstractNum w:abstractNumId="4">
    <w:nsid w:val="FFFFFF7E"/>
    <w:multiLevelType w:val="singleLevel"/>
    <w:tmpl w:val="50AE87D4"/>
    <w:lvl w:ilvl="0">
      <w:start w:val="1"/>
      <w:numFmt w:val="decimal"/>
      <w:lvlText w:val="%1."/>
      <w:lvlJc w:val="left"/>
      <w:pPr>
        <w:tabs>
          <w:tab w:val="num" w:pos="926"/>
        </w:tabs>
        <w:ind w:left="926" w:hanging="360"/>
      </w:pPr>
    </w:lvl>
  </w:abstractNum>
  <w:abstractNum w:abstractNumId="5">
    <w:nsid w:val="FFFFFF7F"/>
    <w:multiLevelType w:val="singleLevel"/>
    <w:tmpl w:val="431E2998"/>
    <w:lvl w:ilvl="0">
      <w:start w:val="1"/>
      <w:numFmt w:val="decimal"/>
      <w:lvlText w:val="%1."/>
      <w:lvlJc w:val="left"/>
      <w:pPr>
        <w:tabs>
          <w:tab w:val="num" w:pos="643"/>
        </w:tabs>
        <w:ind w:left="643" w:hanging="360"/>
      </w:pPr>
    </w:lvl>
  </w:abstractNum>
  <w:abstractNum w:abstractNumId="6">
    <w:nsid w:val="FFFFFF80"/>
    <w:multiLevelType w:val="singleLevel"/>
    <w:tmpl w:val="FC341BB4"/>
    <w:lvl w:ilvl="0">
      <w:start w:val="1"/>
      <w:numFmt w:val="bullet"/>
      <w:lvlText w:val=""/>
      <w:lvlJc w:val="left"/>
      <w:pPr>
        <w:tabs>
          <w:tab w:val="num" w:pos="1492"/>
        </w:tabs>
        <w:ind w:left="1492" w:hanging="360"/>
      </w:pPr>
      <w:rPr>
        <w:rFonts w:ascii="Symbol" w:hAnsi="Symbol" w:hint="default"/>
      </w:rPr>
    </w:lvl>
  </w:abstractNum>
  <w:abstractNum w:abstractNumId="7">
    <w:nsid w:val="FFFFFF81"/>
    <w:multiLevelType w:val="singleLevel"/>
    <w:tmpl w:val="3948F906"/>
    <w:lvl w:ilvl="0">
      <w:start w:val="1"/>
      <w:numFmt w:val="bullet"/>
      <w:lvlText w:val=""/>
      <w:lvlJc w:val="left"/>
      <w:pPr>
        <w:tabs>
          <w:tab w:val="num" w:pos="1209"/>
        </w:tabs>
        <w:ind w:left="1209" w:hanging="360"/>
      </w:pPr>
      <w:rPr>
        <w:rFonts w:ascii="Symbol" w:hAnsi="Symbol" w:hint="default"/>
      </w:rPr>
    </w:lvl>
  </w:abstractNum>
  <w:abstractNum w:abstractNumId="8">
    <w:nsid w:val="FFFFFF82"/>
    <w:multiLevelType w:val="singleLevel"/>
    <w:tmpl w:val="1262B482"/>
    <w:lvl w:ilvl="0">
      <w:start w:val="1"/>
      <w:numFmt w:val="bullet"/>
      <w:lvlText w:val=""/>
      <w:lvlJc w:val="left"/>
      <w:pPr>
        <w:tabs>
          <w:tab w:val="num" w:pos="926"/>
        </w:tabs>
        <w:ind w:left="926" w:hanging="360"/>
      </w:pPr>
      <w:rPr>
        <w:rFonts w:ascii="Symbol" w:hAnsi="Symbol" w:hint="default"/>
      </w:rPr>
    </w:lvl>
  </w:abstractNum>
  <w:abstractNum w:abstractNumId="9">
    <w:nsid w:val="FFFFFF83"/>
    <w:multiLevelType w:val="singleLevel"/>
    <w:tmpl w:val="592EA298"/>
    <w:lvl w:ilvl="0">
      <w:start w:val="1"/>
      <w:numFmt w:val="bullet"/>
      <w:lvlText w:val=""/>
      <w:lvlJc w:val="left"/>
      <w:pPr>
        <w:tabs>
          <w:tab w:val="num" w:pos="643"/>
        </w:tabs>
        <w:ind w:left="643" w:hanging="360"/>
      </w:pPr>
      <w:rPr>
        <w:rFonts w:ascii="Symbol" w:hAnsi="Symbol" w:hint="default"/>
      </w:rPr>
    </w:lvl>
  </w:abstractNum>
  <w:abstractNum w:abstractNumId="10">
    <w:nsid w:val="FFFFFF88"/>
    <w:multiLevelType w:val="singleLevel"/>
    <w:tmpl w:val="63B814D6"/>
    <w:lvl w:ilvl="0">
      <w:start w:val="1"/>
      <w:numFmt w:val="decimal"/>
      <w:lvlText w:val="%1."/>
      <w:lvlJc w:val="left"/>
      <w:pPr>
        <w:tabs>
          <w:tab w:val="num" w:pos="360"/>
        </w:tabs>
        <w:ind w:left="360" w:hanging="360"/>
      </w:pPr>
    </w:lvl>
  </w:abstractNum>
  <w:abstractNum w:abstractNumId="11">
    <w:nsid w:val="FFFFFF89"/>
    <w:multiLevelType w:val="singleLevel"/>
    <w:tmpl w:val="83A0079E"/>
    <w:lvl w:ilvl="0">
      <w:start w:val="1"/>
      <w:numFmt w:val="bullet"/>
      <w:lvlText w:val=""/>
      <w:lvlJc w:val="left"/>
      <w:pPr>
        <w:tabs>
          <w:tab w:val="num" w:pos="360"/>
        </w:tabs>
        <w:ind w:left="360" w:hanging="360"/>
      </w:pPr>
      <w:rPr>
        <w:rFonts w:ascii="Symbol" w:hAnsi="Symbol" w:hint="default"/>
      </w:rPr>
    </w:lvl>
  </w:abstractNum>
  <w:abstractNum w:abstractNumId="12">
    <w:nsid w:val="19620157"/>
    <w:multiLevelType w:val="hybridMultilevel"/>
    <w:tmpl w:val="27E013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99B7F90"/>
    <w:multiLevelType w:val="multilevel"/>
    <w:tmpl w:val="45285C08"/>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46513E"/>
    <w:multiLevelType w:val="hybridMultilevel"/>
    <w:tmpl w:val="0F3E2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0666C9"/>
    <w:multiLevelType w:val="hybridMultilevel"/>
    <w:tmpl w:val="F64A04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EB23B50"/>
    <w:multiLevelType w:val="multilevel"/>
    <w:tmpl w:val="209089D2"/>
    <w:lvl w:ilvl="0">
      <w:start w:val="1"/>
      <w:numFmt w:val="bullet"/>
      <w:lvlText w:val=""/>
      <w:lvlJc w:val="left"/>
      <w:pPr>
        <w:tabs>
          <w:tab w:val="num" w:pos="0"/>
        </w:tabs>
        <w:ind w:left="480" w:hanging="480"/>
      </w:pPr>
      <w:rPr>
        <w:rFonts w:ascii="Symbol" w:hAnsi="Symbol" w:hint="default"/>
      </w:r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4EE14A7E"/>
    <w:multiLevelType w:val="hybridMultilevel"/>
    <w:tmpl w:val="185A85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6CF0F2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243734"/>
    <w:multiLevelType w:val="hybridMultilevel"/>
    <w:tmpl w:val="ACFCE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59617F"/>
    <w:multiLevelType w:val="hybridMultilevel"/>
    <w:tmpl w:val="38BCD9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13"/>
  </w:num>
  <w:num w:numId="5">
    <w:abstractNumId w:val="18"/>
  </w:num>
  <w:num w:numId="6">
    <w:abstractNumId w:val="14"/>
  </w:num>
  <w:num w:numId="7">
    <w:abstractNumId w:val="19"/>
  </w:num>
  <w:num w:numId="8">
    <w:abstractNumId w:val="15"/>
  </w:num>
  <w:num w:numId="9">
    <w:abstractNumId w:val="20"/>
  </w:num>
  <w:num w:numId="10">
    <w:abstractNumId w:val="12"/>
  </w:num>
  <w:num w:numId="11">
    <w:abstractNumId w:val="11"/>
  </w:num>
  <w:num w:numId="12">
    <w:abstractNumId w:val="9"/>
  </w:num>
  <w:num w:numId="13">
    <w:abstractNumId w:val="8"/>
  </w:num>
  <w:num w:numId="14">
    <w:abstractNumId w:val="7"/>
  </w:num>
  <w:num w:numId="15">
    <w:abstractNumId w:val="6"/>
  </w:num>
  <w:num w:numId="16">
    <w:abstractNumId w:val="10"/>
  </w:num>
  <w:num w:numId="17">
    <w:abstractNumId w:val="5"/>
  </w:num>
  <w:num w:numId="18">
    <w:abstractNumId w:val="4"/>
  </w:num>
  <w:num w:numId="19">
    <w:abstractNumId w:val="3"/>
  </w:num>
  <w:num w:numId="20">
    <w:abstractNumId w:val="2"/>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rsids>
    <w:rsidRoot w:val="00590D07"/>
    <w:rsid w:val="00002D2C"/>
    <w:rsid w:val="00011C8B"/>
    <w:rsid w:val="00015471"/>
    <w:rsid w:val="000266C8"/>
    <w:rsid w:val="000439B1"/>
    <w:rsid w:val="00044D42"/>
    <w:rsid w:val="00051BE9"/>
    <w:rsid w:val="000545C0"/>
    <w:rsid w:val="00056861"/>
    <w:rsid w:val="00062F07"/>
    <w:rsid w:val="00063614"/>
    <w:rsid w:val="000651CA"/>
    <w:rsid w:val="00066A34"/>
    <w:rsid w:val="00066B4F"/>
    <w:rsid w:val="00075474"/>
    <w:rsid w:val="000766EB"/>
    <w:rsid w:val="00083A91"/>
    <w:rsid w:val="000956F8"/>
    <w:rsid w:val="0009688C"/>
    <w:rsid w:val="000A164D"/>
    <w:rsid w:val="000B37F3"/>
    <w:rsid w:val="000B4A16"/>
    <w:rsid w:val="000B6B68"/>
    <w:rsid w:val="000C36BF"/>
    <w:rsid w:val="000F3552"/>
    <w:rsid w:val="0010038E"/>
    <w:rsid w:val="00116F71"/>
    <w:rsid w:val="001308B7"/>
    <w:rsid w:val="00131E78"/>
    <w:rsid w:val="00132CD2"/>
    <w:rsid w:val="001330A4"/>
    <w:rsid w:val="00134648"/>
    <w:rsid w:val="00147638"/>
    <w:rsid w:val="00151750"/>
    <w:rsid w:val="00152369"/>
    <w:rsid w:val="00152980"/>
    <w:rsid w:val="001542E4"/>
    <w:rsid w:val="00154394"/>
    <w:rsid w:val="0015589B"/>
    <w:rsid w:val="00161A2F"/>
    <w:rsid w:val="0017272C"/>
    <w:rsid w:val="001741FC"/>
    <w:rsid w:val="0018566D"/>
    <w:rsid w:val="001A4D80"/>
    <w:rsid w:val="001B7FD1"/>
    <w:rsid w:val="001C0C46"/>
    <w:rsid w:val="001D0296"/>
    <w:rsid w:val="00211FEC"/>
    <w:rsid w:val="00214EE6"/>
    <w:rsid w:val="00222A17"/>
    <w:rsid w:val="00222A34"/>
    <w:rsid w:val="00223434"/>
    <w:rsid w:val="002235F2"/>
    <w:rsid w:val="002310D8"/>
    <w:rsid w:val="00243EC5"/>
    <w:rsid w:val="002663DB"/>
    <w:rsid w:val="00267A86"/>
    <w:rsid w:val="00275828"/>
    <w:rsid w:val="002767D0"/>
    <w:rsid w:val="00291A8D"/>
    <w:rsid w:val="002A1691"/>
    <w:rsid w:val="002A1A14"/>
    <w:rsid w:val="002B7C4B"/>
    <w:rsid w:val="002C340E"/>
    <w:rsid w:val="002C7FF8"/>
    <w:rsid w:val="002D1393"/>
    <w:rsid w:val="002E0035"/>
    <w:rsid w:val="002F5295"/>
    <w:rsid w:val="003125EF"/>
    <w:rsid w:val="00326E30"/>
    <w:rsid w:val="003329E0"/>
    <w:rsid w:val="003508B1"/>
    <w:rsid w:val="003523D9"/>
    <w:rsid w:val="00361E1D"/>
    <w:rsid w:val="00363930"/>
    <w:rsid w:val="00373453"/>
    <w:rsid w:val="00374F51"/>
    <w:rsid w:val="003760EF"/>
    <w:rsid w:val="003A045F"/>
    <w:rsid w:val="003A0507"/>
    <w:rsid w:val="003A1BE1"/>
    <w:rsid w:val="003B0B5C"/>
    <w:rsid w:val="003B0F75"/>
    <w:rsid w:val="003B22B0"/>
    <w:rsid w:val="003B2321"/>
    <w:rsid w:val="003D41A4"/>
    <w:rsid w:val="003F554C"/>
    <w:rsid w:val="003F7AFC"/>
    <w:rsid w:val="00401115"/>
    <w:rsid w:val="00401E99"/>
    <w:rsid w:val="00403960"/>
    <w:rsid w:val="004073D9"/>
    <w:rsid w:val="004076EF"/>
    <w:rsid w:val="00411194"/>
    <w:rsid w:val="0045570C"/>
    <w:rsid w:val="0045663D"/>
    <w:rsid w:val="00480E55"/>
    <w:rsid w:val="00481A5D"/>
    <w:rsid w:val="0048465D"/>
    <w:rsid w:val="00484D58"/>
    <w:rsid w:val="00485A3B"/>
    <w:rsid w:val="0049343E"/>
    <w:rsid w:val="004B0914"/>
    <w:rsid w:val="004B2671"/>
    <w:rsid w:val="004C1D2F"/>
    <w:rsid w:val="004C1D87"/>
    <w:rsid w:val="004E29B3"/>
    <w:rsid w:val="004E5C53"/>
    <w:rsid w:val="004F1987"/>
    <w:rsid w:val="004F4F58"/>
    <w:rsid w:val="004F517D"/>
    <w:rsid w:val="0050270E"/>
    <w:rsid w:val="00507265"/>
    <w:rsid w:val="00533D8F"/>
    <w:rsid w:val="00534A69"/>
    <w:rsid w:val="00542CD8"/>
    <w:rsid w:val="0054573D"/>
    <w:rsid w:val="0054779F"/>
    <w:rsid w:val="0055250E"/>
    <w:rsid w:val="005615EB"/>
    <w:rsid w:val="00563500"/>
    <w:rsid w:val="00572707"/>
    <w:rsid w:val="00574357"/>
    <w:rsid w:val="005778F1"/>
    <w:rsid w:val="00587184"/>
    <w:rsid w:val="00587D9E"/>
    <w:rsid w:val="0059023C"/>
    <w:rsid w:val="00590D07"/>
    <w:rsid w:val="005A1A66"/>
    <w:rsid w:val="005A37BA"/>
    <w:rsid w:val="005A3ED1"/>
    <w:rsid w:val="005A4DE2"/>
    <w:rsid w:val="005B2C94"/>
    <w:rsid w:val="005C5831"/>
    <w:rsid w:val="005C58FA"/>
    <w:rsid w:val="005F7945"/>
    <w:rsid w:val="005F7F50"/>
    <w:rsid w:val="00605910"/>
    <w:rsid w:val="00615732"/>
    <w:rsid w:val="00615974"/>
    <w:rsid w:val="00635C3B"/>
    <w:rsid w:val="0064487D"/>
    <w:rsid w:val="00644CB8"/>
    <w:rsid w:val="006463C9"/>
    <w:rsid w:val="00650DDA"/>
    <w:rsid w:val="00670668"/>
    <w:rsid w:val="00671745"/>
    <w:rsid w:val="00681DA2"/>
    <w:rsid w:val="00686374"/>
    <w:rsid w:val="006951CD"/>
    <w:rsid w:val="006C0811"/>
    <w:rsid w:val="006E4620"/>
    <w:rsid w:val="006F17EA"/>
    <w:rsid w:val="006F1F70"/>
    <w:rsid w:val="006F6FF3"/>
    <w:rsid w:val="00702BBD"/>
    <w:rsid w:val="0070619A"/>
    <w:rsid w:val="00710F26"/>
    <w:rsid w:val="007143C5"/>
    <w:rsid w:val="00724F41"/>
    <w:rsid w:val="00726FC9"/>
    <w:rsid w:val="007335C7"/>
    <w:rsid w:val="00736B5D"/>
    <w:rsid w:val="0074400F"/>
    <w:rsid w:val="00754473"/>
    <w:rsid w:val="007547B2"/>
    <w:rsid w:val="007559C9"/>
    <w:rsid w:val="00767675"/>
    <w:rsid w:val="00784D58"/>
    <w:rsid w:val="00786F49"/>
    <w:rsid w:val="007B1215"/>
    <w:rsid w:val="007B5B1E"/>
    <w:rsid w:val="007D4BCA"/>
    <w:rsid w:val="007E1B89"/>
    <w:rsid w:val="007E4C8C"/>
    <w:rsid w:val="007F6A8D"/>
    <w:rsid w:val="0082347A"/>
    <w:rsid w:val="00831FB4"/>
    <w:rsid w:val="0083260B"/>
    <w:rsid w:val="00834E5E"/>
    <w:rsid w:val="00836F0C"/>
    <w:rsid w:val="008464DA"/>
    <w:rsid w:val="00853166"/>
    <w:rsid w:val="00860395"/>
    <w:rsid w:val="00863689"/>
    <w:rsid w:val="008817CF"/>
    <w:rsid w:val="00886F87"/>
    <w:rsid w:val="008A454F"/>
    <w:rsid w:val="008A4CFA"/>
    <w:rsid w:val="008B0B5C"/>
    <w:rsid w:val="008C353A"/>
    <w:rsid w:val="008D1437"/>
    <w:rsid w:val="008D43B3"/>
    <w:rsid w:val="008D6863"/>
    <w:rsid w:val="008F1ED5"/>
    <w:rsid w:val="008F5224"/>
    <w:rsid w:val="00926FD0"/>
    <w:rsid w:val="00931267"/>
    <w:rsid w:val="009327FF"/>
    <w:rsid w:val="009419E4"/>
    <w:rsid w:val="00941A13"/>
    <w:rsid w:val="00941C74"/>
    <w:rsid w:val="009428C3"/>
    <w:rsid w:val="009436D9"/>
    <w:rsid w:val="009565A1"/>
    <w:rsid w:val="00960DDF"/>
    <w:rsid w:val="00965ED2"/>
    <w:rsid w:val="00966DB6"/>
    <w:rsid w:val="00971159"/>
    <w:rsid w:val="00972040"/>
    <w:rsid w:val="009737D0"/>
    <w:rsid w:val="00977D9E"/>
    <w:rsid w:val="00981A99"/>
    <w:rsid w:val="009955B3"/>
    <w:rsid w:val="009969C9"/>
    <w:rsid w:val="009A030D"/>
    <w:rsid w:val="009A227B"/>
    <w:rsid w:val="009A37D9"/>
    <w:rsid w:val="009B287E"/>
    <w:rsid w:val="009B5030"/>
    <w:rsid w:val="009B6067"/>
    <w:rsid w:val="009D4066"/>
    <w:rsid w:val="009D64FB"/>
    <w:rsid w:val="009E2644"/>
    <w:rsid w:val="009E3681"/>
    <w:rsid w:val="009E4BC4"/>
    <w:rsid w:val="009F1FDC"/>
    <w:rsid w:val="009F36D4"/>
    <w:rsid w:val="009F4D10"/>
    <w:rsid w:val="00A0572E"/>
    <w:rsid w:val="00A14480"/>
    <w:rsid w:val="00A20695"/>
    <w:rsid w:val="00A22BE3"/>
    <w:rsid w:val="00A23D2E"/>
    <w:rsid w:val="00A2726D"/>
    <w:rsid w:val="00A30E41"/>
    <w:rsid w:val="00A44972"/>
    <w:rsid w:val="00A4702A"/>
    <w:rsid w:val="00A63171"/>
    <w:rsid w:val="00A75CD2"/>
    <w:rsid w:val="00A81541"/>
    <w:rsid w:val="00A8287D"/>
    <w:rsid w:val="00A9490C"/>
    <w:rsid w:val="00A96EC9"/>
    <w:rsid w:val="00AA0E8E"/>
    <w:rsid w:val="00AB4E69"/>
    <w:rsid w:val="00AB6345"/>
    <w:rsid w:val="00AD45B7"/>
    <w:rsid w:val="00AE2EC0"/>
    <w:rsid w:val="00AF0E84"/>
    <w:rsid w:val="00AF5317"/>
    <w:rsid w:val="00B068CB"/>
    <w:rsid w:val="00B13DDA"/>
    <w:rsid w:val="00B148E9"/>
    <w:rsid w:val="00B15260"/>
    <w:rsid w:val="00B21D74"/>
    <w:rsid w:val="00B27E09"/>
    <w:rsid w:val="00B31FB8"/>
    <w:rsid w:val="00B3733E"/>
    <w:rsid w:val="00B3782D"/>
    <w:rsid w:val="00B45AD1"/>
    <w:rsid w:val="00B46A4C"/>
    <w:rsid w:val="00B513E8"/>
    <w:rsid w:val="00B63561"/>
    <w:rsid w:val="00B63ABF"/>
    <w:rsid w:val="00B75F1C"/>
    <w:rsid w:val="00B76C1A"/>
    <w:rsid w:val="00B857A2"/>
    <w:rsid w:val="00B86B75"/>
    <w:rsid w:val="00B87DA7"/>
    <w:rsid w:val="00B91318"/>
    <w:rsid w:val="00BB02F9"/>
    <w:rsid w:val="00BB599E"/>
    <w:rsid w:val="00BC48D5"/>
    <w:rsid w:val="00BD13FF"/>
    <w:rsid w:val="00BD1C7A"/>
    <w:rsid w:val="00BD48D5"/>
    <w:rsid w:val="00BE39A9"/>
    <w:rsid w:val="00BF2D83"/>
    <w:rsid w:val="00C03F05"/>
    <w:rsid w:val="00C12DC9"/>
    <w:rsid w:val="00C142AB"/>
    <w:rsid w:val="00C227DA"/>
    <w:rsid w:val="00C3380C"/>
    <w:rsid w:val="00C34201"/>
    <w:rsid w:val="00C35BC9"/>
    <w:rsid w:val="00C36279"/>
    <w:rsid w:val="00C44795"/>
    <w:rsid w:val="00C47DEF"/>
    <w:rsid w:val="00C60175"/>
    <w:rsid w:val="00C71D56"/>
    <w:rsid w:val="00C8128C"/>
    <w:rsid w:val="00C83A41"/>
    <w:rsid w:val="00C83E78"/>
    <w:rsid w:val="00C84827"/>
    <w:rsid w:val="00C939C0"/>
    <w:rsid w:val="00C955B6"/>
    <w:rsid w:val="00C967F7"/>
    <w:rsid w:val="00C96C7D"/>
    <w:rsid w:val="00C9744C"/>
    <w:rsid w:val="00C97D79"/>
    <w:rsid w:val="00CB0584"/>
    <w:rsid w:val="00CB0B1B"/>
    <w:rsid w:val="00CC6F16"/>
    <w:rsid w:val="00CD6F58"/>
    <w:rsid w:val="00CD6FE2"/>
    <w:rsid w:val="00CF70C5"/>
    <w:rsid w:val="00D0397D"/>
    <w:rsid w:val="00D0789F"/>
    <w:rsid w:val="00D13AAC"/>
    <w:rsid w:val="00D21631"/>
    <w:rsid w:val="00D25496"/>
    <w:rsid w:val="00D35D7C"/>
    <w:rsid w:val="00D478F5"/>
    <w:rsid w:val="00D47E6E"/>
    <w:rsid w:val="00D50AF8"/>
    <w:rsid w:val="00D572FD"/>
    <w:rsid w:val="00D618DA"/>
    <w:rsid w:val="00D80D85"/>
    <w:rsid w:val="00D813F3"/>
    <w:rsid w:val="00D95E00"/>
    <w:rsid w:val="00D97A76"/>
    <w:rsid w:val="00DC0EEE"/>
    <w:rsid w:val="00E057CA"/>
    <w:rsid w:val="00E201D4"/>
    <w:rsid w:val="00E20DEB"/>
    <w:rsid w:val="00E315A3"/>
    <w:rsid w:val="00E624A3"/>
    <w:rsid w:val="00E65AEF"/>
    <w:rsid w:val="00E80002"/>
    <w:rsid w:val="00E8466F"/>
    <w:rsid w:val="00E93F39"/>
    <w:rsid w:val="00E9471B"/>
    <w:rsid w:val="00E9696E"/>
    <w:rsid w:val="00E973C4"/>
    <w:rsid w:val="00EB0A9D"/>
    <w:rsid w:val="00EB178C"/>
    <w:rsid w:val="00EB2464"/>
    <w:rsid w:val="00EC5ACF"/>
    <w:rsid w:val="00ED42AD"/>
    <w:rsid w:val="00ED5360"/>
    <w:rsid w:val="00ED78E1"/>
    <w:rsid w:val="00EE1208"/>
    <w:rsid w:val="00EF401B"/>
    <w:rsid w:val="00F10CE5"/>
    <w:rsid w:val="00F1228F"/>
    <w:rsid w:val="00F265D1"/>
    <w:rsid w:val="00F33966"/>
    <w:rsid w:val="00F409F2"/>
    <w:rsid w:val="00F60FD6"/>
    <w:rsid w:val="00F71735"/>
    <w:rsid w:val="00F73443"/>
    <w:rsid w:val="00F75321"/>
    <w:rsid w:val="00FA063F"/>
    <w:rsid w:val="00FB45C5"/>
    <w:rsid w:val="00FC1786"/>
    <w:rsid w:val="00FC7A57"/>
    <w:rsid w:val="00FC7FC8"/>
    <w:rsid w:val="00FD7D6A"/>
    <w:rsid w:val="00FE59A9"/>
    <w:rsid w:val="00FF05DC"/>
    <w:rsid w:val="00FF2986"/>
  </w:rsids>
  <m:mathPr>
    <m:mathFont m:val="Cambria Math"/>
    <m:brkBin m:val="before"/>
    <m:brkBinSub m:val="--"/>
    <m:smallFrac/>
    <m:dispDef/>
    <m:lMargin m:val="0"/>
    <m:rMargin m:val="0"/>
    <m:defJc m:val="centerGroup"/>
    <m:wrapRight/>
    <m:intLim m:val="subSup"/>
    <m:naryLim m:val="subSup"/>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310D8"/>
  </w:style>
  <w:style w:type="paragraph" w:styleId="Heading1">
    <w:name w:val="heading 1"/>
    <w:basedOn w:val="Normal"/>
    <w:next w:val="BodyText"/>
    <w:uiPriority w:val="9"/>
    <w:qFormat/>
    <w:rsid w:val="002310D8"/>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rsid w:val="002310D8"/>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2310D8"/>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rsid w:val="002310D8"/>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rsid w:val="002310D8"/>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rsid w:val="002310D8"/>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310D8"/>
    <w:pPr>
      <w:spacing w:before="180" w:after="180"/>
    </w:pPr>
  </w:style>
  <w:style w:type="paragraph" w:customStyle="1" w:styleId="FirstParagraph">
    <w:name w:val="First Paragraph"/>
    <w:basedOn w:val="BodyText"/>
    <w:next w:val="BodyText"/>
    <w:qFormat/>
    <w:rsid w:val="002310D8"/>
  </w:style>
  <w:style w:type="paragraph" w:customStyle="1" w:styleId="Compact">
    <w:name w:val="Compact"/>
    <w:basedOn w:val="BodyText"/>
    <w:qFormat/>
    <w:rsid w:val="002310D8"/>
    <w:pPr>
      <w:spacing w:before="36" w:after="36"/>
    </w:pPr>
  </w:style>
  <w:style w:type="paragraph" w:styleId="Title">
    <w:name w:val="Title"/>
    <w:basedOn w:val="Normal"/>
    <w:next w:val="BodyText"/>
    <w:qFormat/>
    <w:rsid w:val="002310D8"/>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rsid w:val="002310D8"/>
    <w:pPr>
      <w:spacing w:before="240"/>
    </w:pPr>
    <w:rPr>
      <w:sz w:val="30"/>
      <w:szCs w:val="30"/>
    </w:rPr>
  </w:style>
  <w:style w:type="paragraph" w:customStyle="1" w:styleId="Author">
    <w:name w:val="Author"/>
    <w:next w:val="BodyText"/>
    <w:qFormat/>
    <w:rsid w:val="002310D8"/>
    <w:pPr>
      <w:keepNext/>
      <w:keepLines/>
      <w:jc w:val="center"/>
    </w:pPr>
  </w:style>
  <w:style w:type="paragraph" w:styleId="Date">
    <w:name w:val="Date"/>
    <w:next w:val="BodyText"/>
    <w:qFormat/>
    <w:rsid w:val="002310D8"/>
    <w:pPr>
      <w:keepNext/>
      <w:keepLines/>
      <w:jc w:val="center"/>
    </w:pPr>
  </w:style>
  <w:style w:type="paragraph" w:customStyle="1" w:styleId="Abstract">
    <w:name w:val="Abstract"/>
    <w:basedOn w:val="Normal"/>
    <w:next w:val="BodyText"/>
    <w:qFormat/>
    <w:rsid w:val="002310D8"/>
    <w:pPr>
      <w:keepNext/>
      <w:keepLines/>
      <w:spacing w:before="300" w:after="300"/>
    </w:pPr>
    <w:rPr>
      <w:sz w:val="20"/>
      <w:szCs w:val="20"/>
    </w:rPr>
  </w:style>
  <w:style w:type="paragraph" w:styleId="Bibliography">
    <w:name w:val="Bibliography"/>
    <w:basedOn w:val="Normal"/>
    <w:qFormat/>
    <w:rsid w:val="002310D8"/>
  </w:style>
  <w:style w:type="paragraph" w:styleId="BlockText">
    <w:name w:val="Block Text"/>
    <w:basedOn w:val="BodyText"/>
    <w:next w:val="BodyText"/>
    <w:uiPriority w:val="9"/>
    <w:unhideWhenUsed/>
    <w:qFormat/>
    <w:rsid w:val="002310D8"/>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rsid w:val="002310D8"/>
  </w:style>
  <w:style w:type="paragraph" w:customStyle="1" w:styleId="DefinitionTerm">
    <w:name w:val="Definition Term"/>
    <w:basedOn w:val="Normal"/>
    <w:next w:val="Definition"/>
    <w:rsid w:val="002310D8"/>
    <w:pPr>
      <w:keepNext/>
      <w:keepLines/>
      <w:spacing w:after="0"/>
    </w:pPr>
    <w:rPr>
      <w:b/>
    </w:rPr>
  </w:style>
  <w:style w:type="paragraph" w:customStyle="1" w:styleId="Definition">
    <w:name w:val="Definition"/>
    <w:basedOn w:val="Normal"/>
    <w:rsid w:val="002310D8"/>
  </w:style>
  <w:style w:type="paragraph" w:styleId="Caption">
    <w:name w:val="caption"/>
    <w:basedOn w:val="Normal"/>
    <w:link w:val="CaptionChar"/>
    <w:rsid w:val="002310D8"/>
    <w:pPr>
      <w:spacing w:after="120"/>
    </w:pPr>
    <w:rPr>
      <w:i/>
    </w:rPr>
  </w:style>
  <w:style w:type="paragraph" w:customStyle="1" w:styleId="TableCaption">
    <w:name w:val="Table Caption"/>
    <w:basedOn w:val="Caption"/>
    <w:rsid w:val="002310D8"/>
    <w:pPr>
      <w:keepNext/>
    </w:pPr>
  </w:style>
  <w:style w:type="paragraph" w:customStyle="1" w:styleId="ImageCaption">
    <w:name w:val="Image Caption"/>
    <w:basedOn w:val="Caption"/>
    <w:rsid w:val="002310D8"/>
  </w:style>
  <w:style w:type="paragraph" w:customStyle="1" w:styleId="Figure">
    <w:name w:val="Figure"/>
    <w:basedOn w:val="Normal"/>
    <w:rsid w:val="002310D8"/>
  </w:style>
  <w:style w:type="paragraph" w:customStyle="1" w:styleId="FigurewithCaption">
    <w:name w:val="Figure with Caption"/>
    <w:basedOn w:val="Figure"/>
    <w:rsid w:val="002310D8"/>
    <w:pPr>
      <w:keepNext/>
    </w:pPr>
  </w:style>
  <w:style w:type="character" w:customStyle="1" w:styleId="CaptionChar">
    <w:name w:val="Caption Char"/>
    <w:basedOn w:val="DefaultParagraphFont"/>
    <w:link w:val="Caption"/>
    <w:rsid w:val="002310D8"/>
  </w:style>
  <w:style w:type="character" w:customStyle="1" w:styleId="VerbatimChar">
    <w:name w:val="Verbatim Char"/>
    <w:basedOn w:val="CaptionChar"/>
    <w:link w:val="SourceCode"/>
    <w:rsid w:val="002310D8"/>
    <w:rPr>
      <w:rFonts w:ascii="Consolas" w:hAnsi="Consolas"/>
      <w:sz w:val="22"/>
    </w:rPr>
  </w:style>
  <w:style w:type="character" w:styleId="FootnoteReference">
    <w:name w:val="footnote reference"/>
    <w:basedOn w:val="CaptionChar"/>
    <w:rsid w:val="002310D8"/>
    <w:rPr>
      <w:vertAlign w:val="superscript"/>
    </w:rPr>
  </w:style>
  <w:style w:type="character" w:styleId="Hyperlink">
    <w:name w:val="Hyperlink"/>
    <w:basedOn w:val="CaptionChar"/>
    <w:rsid w:val="002310D8"/>
    <w:rPr>
      <w:color w:val="4F81BD" w:themeColor="accent1"/>
    </w:rPr>
  </w:style>
  <w:style w:type="paragraph" w:styleId="TOCHeading">
    <w:name w:val="TOC Heading"/>
    <w:basedOn w:val="Heading1"/>
    <w:next w:val="BodyText"/>
    <w:uiPriority w:val="39"/>
    <w:unhideWhenUsed/>
    <w:qFormat/>
    <w:rsid w:val="002310D8"/>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rsid w:val="002310D8"/>
    <w:pPr>
      <w:shd w:val="clear" w:color="auto" w:fill="F8F8F8"/>
      <w:wordWrap w:val="0"/>
    </w:pPr>
  </w:style>
  <w:style w:type="character" w:customStyle="1" w:styleId="KeywordTok">
    <w:name w:val="KeywordTok"/>
    <w:basedOn w:val="VerbatimChar"/>
    <w:rsid w:val="002310D8"/>
    <w:rPr>
      <w:rFonts w:ascii="Consolas" w:hAnsi="Consolas"/>
      <w:b/>
      <w:color w:val="204A87"/>
      <w:sz w:val="22"/>
      <w:shd w:val="clear" w:color="auto" w:fill="F8F8F8"/>
    </w:rPr>
  </w:style>
  <w:style w:type="character" w:customStyle="1" w:styleId="DataTypeTok">
    <w:name w:val="DataTypeTok"/>
    <w:basedOn w:val="VerbatimChar"/>
    <w:rsid w:val="002310D8"/>
    <w:rPr>
      <w:rFonts w:ascii="Consolas" w:hAnsi="Consolas"/>
      <w:color w:val="204A87"/>
      <w:sz w:val="22"/>
      <w:shd w:val="clear" w:color="auto" w:fill="F8F8F8"/>
    </w:rPr>
  </w:style>
  <w:style w:type="character" w:customStyle="1" w:styleId="DecValTok">
    <w:name w:val="DecValTok"/>
    <w:basedOn w:val="VerbatimChar"/>
    <w:rsid w:val="002310D8"/>
    <w:rPr>
      <w:rFonts w:ascii="Consolas" w:hAnsi="Consolas"/>
      <w:color w:val="0000CF"/>
      <w:sz w:val="22"/>
      <w:shd w:val="clear" w:color="auto" w:fill="F8F8F8"/>
    </w:rPr>
  </w:style>
  <w:style w:type="character" w:customStyle="1" w:styleId="BaseNTok">
    <w:name w:val="BaseNTok"/>
    <w:basedOn w:val="VerbatimChar"/>
    <w:rsid w:val="002310D8"/>
    <w:rPr>
      <w:rFonts w:ascii="Consolas" w:hAnsi="Consolas"/>
      <w:color w:val="0000CF"/>
      <w:sz w:val="22"/>
      <w:shd w:val="clear" w:color="auto" w:fill="F8F8F8"/>
    </w:rPr>
  </w:style>
  <w:style w:type="character" w:customStyle="1" w:styleId="FloatTok">
    <w:name w:val="FloatTok"/>
    <w:basedOn w:val="VerbatimChar"/>
    <w:rsid w:val="002310D8"/>
    <w:rPr>
      <w:rFonts w:ascii="Consolas" w:hAnsi="Consolas"/>
      <w:color w:val="0000CF"/>
      <w:sz w:val="22"/>
      <w:shd w:val="clear" w:color="auto" w:fill="F8F8F8"/>
    </w:rPr>
  </w:style>
  <w:style w:type="character" w:customStyle="1" w:styleId="ConstantTok">
    <w:name w:val="ConstantTok"/>
    <w:basedOn w:val="VerbatimChar"/>
    <w:rsid w:val="002310D8"/>
    <w:rPr>
      <w:rFonts w:ascii="Consolas" w:hAnsi="Consolas"/>
      <w:color w:val="000000"/>
      <w:sz w:val="22"/>
      <w:shd w:val="clear" w:color="auto" w:fill="F8F8F8"/>
    </w:rPr>
  </w:style>
  <w:style w:type="character" w:customStyle="1" w:styleId="CharTok">
    <w:name w:val="CharTok"/>
    <w:basedOn w:val="VerbatimChar"/>
    <w:rsid w:val="002310D8"/>
    <w:rPr>
      <w:rFonts w:ascii="Consolas" w:hAnsi="Consolas"/>
      <w:color w:val="4E9A06"/>
      <w:sz w:val="22"/>
      <w:shd w:val="clear" w:color="auto" w:fill="F8F8F8"/>
    </w:rPr>
  </w:style>
  <w:style w:type="character" w:customStyle="1" w:styleId="SpecialCharTok">
    <w:name w:val="SpecialCharTok"/>
    <w:basedOn w:val="VerbatimChar"/>
    <w:rsid w:val="002310D8"/>
    <w:rPr>
      <w:rFonts w:ascii="Consolas" w:hAnsi="Consolas"/>
      <w:color w:val="000000"/>
      <w:sz w:val="22"/>
      <w:shd w:val="clear" w:color="auto" w:fill="F8F8F8"/>
    </w:rPr>
  </w:style>
  <w:style w:type="character" w:customStyle="1" w:styleId="StringTok">
    <w:name w:val="StringTok"/>
    <w:basedOn w:val="VerbatimChar"/>
    <w:rsid w:val="002310D8"/>
    <w:rPr>
      <w:rFonts w:ascii="Consolas" w:hAnsi="Consolas"/>
      <w:color w:val="4E9A06"/>
      <w:sz w:val="22"/>
      <w:shd w:val="clear" w:color="auto" w:fill="F8F8F8"/>
    </w:rPr>
  </w:style>
  <w:style w:type="character" w:customStyle="1" w:styleId="VerbatimStringTok">
    <w:name w:val="VerbatimStringTok"/>
    <w:basedOn w:val="VerbatimChar"/>
    <w:rsid w:val="002310D8"/>
    <w:rPr>
      <w:rFonts w:ascii="Consolas" w:hAnsi="Consolas"/>
      <w:color w:val="4E9A06"/>
      <w:sz w:val="22"/>
      <w:shd w:val="clear" w:color="auto" w:fill="F8F8F8"/>
    </w:rPr>
  </w:style>
  <w:style w:type="character" w:customStyle="1" w:styleId="SpecialStringTok">
    <w:name w:val="SpecialStringTok"/>
    <w:basedOn w:val="VerbatimChar"/>
    <w:rsid w:val="002310D8"/>
    <w:rPr>
      <w:rFonts w:ascii="Consolas" w:hAnsi="Consolas"/>
      <w:color w:val="4E9A06"/>
      <w:sz w:val="22"/>
      <w:shd w:val="clear" w:color="auto" w:fill="F8F8F8"/>
    </w:rPr>
  </w:style>
  <w:style w:type="character" w:customStyle="1" w:styleId="ImportTok">
    <w:name w:val="ImportTok"/>
    <w:basedOn w:val="VerbatimChar"/>
    <w:rsid w:val="002310D8"/>
    <w:rPr>
      <w:rFonts w:ascii="Consolas" w:hAnsi="Consolas"/>
      <w:sz w:val="22"/>
      <w:shd w:val="clear" w:color="auto" w:fill="F8F8F8"/>
    </w:rPr>
  </w:style>
  <w:style w:type="character" w:customStyle="1" w:styleId="CommentTok">
    <w:name w:val="CommentTok"/>
    <w:basedOn w:val="VerbatimChar"/>
    <w:rsid w:val="002310D8"/>
    <w:rPr>
      <w:rFonts w:ascii="Consolas" w:hAnsi="Consolas"/>
      <w:i/>
      <w:color w:val="8F5902"/>
      <w:sz w:val="22"/>
      <w:shd w:val="clear" w:color="auto" w:fill="F8F8F8"/>
    </w:rPr>
  </w:style>
  <w:style w:type="character" w:customStyle="1" w:styleId="DocumentationTok">
    <w:name w:val="DocumentationTok"/>
    <w:basedOn w:val="VerbatimChar"/>
    <w:rsid w:val="002310D8"/>
    <w:rPr>
      <w:rFonts w:ascii="Consolas" w:hAnsi="Consolas"/>
      <w:b/>
      <w:i/>
      <w:color w:val="8F5902"/>
      <w:sz w:val="22"/>
      <w:shd w:val="clear" w:color="auto" w:fill="F8F8F8"/>
    </w:rPr>
  </w:style>
  <w:style w:type="character" w:customStyle="1" w:styleId="AnnotationTok">
    <w:name w:val="AnnotationTok"/>
    <w:basedOn w:val="VerbatimChar"/>
    <w:rsid w:val="002310D8"/>
    <w:rPr>
      <w:rFonts w:ascii="Consolas" w:hAnsi="Consolas"/>
      <w:b/>
      <w:i/>
      <w:color w:val="8F5902"/>
      <w:sz w:val="22"/>
      <w:shd w:val="clear" w:color="auto" w:fill="F8F8F8"/>
    </w:rPr>
  </w:style>
  <w:style w:type="character" w:customStyle="1" w:styleId="CommentVarTok">
    <w:name w:val="CommentVarTok"/>
    <w:basedOn w:val="VerbatimChar"/>
    <w:rsid w:val="002310D8"/>
    <w:rPr>
      <w:rFonts w:ascii="Consolas" w:hAnsi="Consolas"/>
      <w:b/>
      <w:i/>
      <w:color w:val="8F5902"/>
      <w:sz w:val="22"/>
      <w:shd w:val="clear" w:color="auto" w:fill="F8F8F8"/>
    </w:rPr>
  </w:style>
  <w:style w:type="character" w:customStyle="1" w:styleId="OtherTok">
    <w:name w:val="OtherTok"/>
    <w:basedOn w:val="VerbatimChar"/>
    <w:rsid w:val="002310D8"/>
    <w:rPr>
      <w:rFonts w:ascii="Consolas" w:hAnsi="Consolas"/>
      <w:color w:val="8F5902"/>
      <w:sz w:val="22"/>
      <w:shd w:val="clear" w:color="auto" w:fill="F8F8F8"/>
    </w:rPr>
  </w:style>
  <w:style w:type="character" w:customStyle="1" w:styleId="FunctionTok">
    <w:name w:val="FunctionTok"/>
    <w:basedOn w:val="VerbatimChar"/>
    <w:rsid w:val="002310D8"/>
    <w:rPr>
      <w:rFonts w:ascii="Consolas" w:hAnsi="Consolas"/>
      <w:color w:val="000000"/>
      <w:sz w:val="22"/>
      <w:shd w:val="clear" w:color="auto" w:fill="F8F8F8"/>
    </w:rPr>
  </w:style>
  <w:style w:type="character" w:customStyle="1" w:styleId="VariableTok">
    <w:name w:val="VariableTok"/>
    <w:basedOn w:val="VerbatimChar"/>
    <w:rsid w:val="002310D8"/>
    <w:rPr>
      <w:rFonts w:ascii="Consolas" w:hAnsi="Consolas"/>
      <w:color w:val="000000"/>
      <w:sz w:val="22"/>
      <w:shd w:val="clear" w:color="auto" w:fill="F8F8F8"/>
    </w:rPr>
  </w:style>
  <w:style w:type="character" w:customStyle="1" w:styleId="ControlFlowTok">
    <w:name w:val="ControlFlowTok"/>
    <w:basedOn w:val="VerbatimChar"/>
    <w:rsid w:val="002310D8"/>
    <w:rPr>
      <w:rFonts w:ascii="Consolas" w:hAnsi="Consolas"/>
      <w:b/>
      <w:color w:val="204A87"/>
      <w:sz w:val="22"/>
      <w:shd w:val="clear" w:color="auto" w:fill="F8F8F8"/>
    </w:rPr>
  </w:style>
  <w:style w:type="character" w:customStyle="1" w:styleId="OperatorTok">
    <w:name w:val="OperatorTok"/>
    <w:basedOn w:val="VerbatimChar"/>
    <w:rsid w:val="002310D8"/>
    <w:rPr>
      <w:rFonts w:ascii="Consolas" w:hAnsi="Consolas"/>
      <w:b/>
      <w:color w:val="CE5C00"/>
      <w:sz w:val="22"/>
      <w:shd w:val="clear" w:color="auto" w:fill="F8F8F8"/>
    </w:rPr>
  </w:style>
  <w:style w:type="character" w:customStyle="1" w:styleId="BuiltInTok">
    <w:name w:val="BuiltInTok"/>
    <w:basedOn w:val="VerbatimChar"/>
    <w:rsid w:val="002310D8"/>
    <w:rPr>
      <w:rFonts w:ascii="Consolas" w:hAnsi="Consolas"/>
      <w:sz w:val="22"/>
      <w:shd w:val="clear" w:color="auto" w:fill="F8F8F8"/>
    </w:rPr>
  </w:style>
  <w:style w:type="character" w:customStyle="1" w:styleId="ExtensionTok">
    <w:name w:val="ExtensionTok"/>
    <w:basedOn w:val="VerbatimChar"/>
    <w:rsid w:val="002310D8"/>
    <w:rPr>
      <w:rFonts w:ascii="Consolas" w:hAnsi="Consolas"/>
      <w:sz w:val="22"/>
      <w:shd w:val="clear" w:color="auto" w:fill="F8F8F8"/>
    </w:rPr>
  </w:style>
  <w:style w:type="character" w:customStyle="1" w:styleId="PreprocessorTok">
    <w:name w:val="PreprocessorTok"/>
    <w:basedOn w:val="VerbatimChar"/>
    <w:rsid w:val="002310D8"/>
    <w:rPr>
      <w:rFonts w:ascii="Consolas" w:hAnsi="Consolas"/>
      <w:i/>
      <w:color w:val="8F5902"/>
      <w:sz w:val="22"/>
      <w:shd w:val="clear" w:color="auto" w:fill="F8F8F8"/>
    </w:rPr>
  </w:style>
  <w:style w:type="character" w:customStyle="1" w:styleId="AttributeTok">
    <w:name w:val="AttributeTok"/>
    <w:basedOn w:val="VerbatimChar"/>
    <w:rsid w:val="002310D8"/>
    <w:rPr>
      <w:rFonts w:ascii="Consolas" w:hAnsi="Consolas"/>
      <w:color w:val="C4A000"/>
      <w:sz w:val="22"/>
      <w:shd w:val="clear" w:color="auto" w:fill="F8F8F8"/>
    </w:rPr>
  </w:style>
  <w:style w:type="character" w:customStyle="1" w:styleId="RegionMarkerTok">
    <w:name w:val="RegionMarkerTok"/>
    <w:basedOn w:val="VerbatimChar"/>
    <w:rsid w:val="002310D8"/>
    <w:rPr>
      <w:rFonts w:ascii="Consolas" w:hAnsi="Consolas"/>
      <w:sz w:val="22"/>
      <w:shd w:val="clear" w:color="auto" w:fill="F8F8F8"/>
    </w:rPr>
  </w:style>
  <w:style w:type="character" w:customStyle="1" w:styleId="InformationTok">
    <w:name w:val="InformationTok"/>
    <w:basedOn w:val="VerbatimChar"/>
    <w:rsid w:val="002310D8"/>
    <w:rPr>
      <w:rFonts w:ascii="Consolas" w:hAnsi="Consolas"/>
      <w:b/>
      <w:i/>
      <w:color w:val="8F5902"/>
      <w:sz w:val="22"/>
      <w:shd w:val="clear" w:color="auto" w:fill="F8F8F8"/>
    </w:rPr>
  </w:style>
  <w:style w:type="character" w:customStyle="1" w:styleId="WarningTok">
    <w:name w:val="WarningTok"/>
    <w:basedOn w:val="VerbatimChar"/>
    <w:rsid w:val="002310D8"/>
    <w:rPr>
      <w:rFonts w:ascii="Consolas" w:hAnsi="Consolas"/>
      <w:b/>
      <w:i/>
      <w:color w:val="8F5902"/>
      <w:sz w:val="22"/>
      <w:shd w:val="clear" w:color="auto" w:fill="F8F8F8"/>
    </w:rPr>
  </w:style>
  <w:style w:type="character" w:customStyle="1" w:styleId="AlertTok">
    <w:name w:val="AlertTok"/>
    <w:basedOn w:val="VerbatimChar"/>
    <w:rsid w:val="002310D8"/>
    <w:rPr>
      <w:rFonts w:ascii="Consolas" w:hAnsi="Consolas"/>
      <w:color w:val="EF2929"/>
      <w:sz w:val="22"/>
      <w:shd w:val="clear" w:color="auto" w:fill="F8F8F8"/>
    </w:rPr>
  </w:style>
  <w:style w:type="character" w:customStyle="1" w:styleId="ErrorTok">
    <w:name w:val="ErrorTok"/>
    <w:basedOn w:val="VerbatimChar"/>
    <w:rsid w:val="002310D8"/>
    <w:rPr>
      <w:rFonts w:ascii="Consolas" w:hAnsi="Consolas"/>
      <w:b/>
      <w:color w:val="A40000"/>
      <w:sz w:val="22"/>
      <w:shd w:val="clear" w:color="auto" w:fill="F8F8F8"/>
    </w:rPr>
  </w:style>
  <w:style w:type="character" w:customStyle="1" w:styleId="NormalTok">
    <w:name w:val="NormalTok"/>
    <w:basedOn w:val="VerbatimChar"/>
    <w:rsid w:val="002310D8"/>
    <w:rPr>
      <w:rFonts w:ascii="Consolas" w:hAnsi="Consolas"/>
      <w:sz w:val="22"/>
      <w:shd w:val="clear" w:color="auto" w:fill="F8F8F8"/>
    </w:rPr>
  </w:style>
  <w:style w:type="paragraph" w:styleId="BalloonText">
    <w:name w:val="Balloon Text"/>
    <w:basedOn w:val="Normal"/>
    <w:link w:val="BalloonTextChar"/>
    <w:rsid w:val="003760EF"/>
    <w:pPr>
      <w:spacing w:after="0"/>
    </w:pPr>
    <w:rPr>
      <w:rFonts w:ascii="Tahoma" w:hAnsi="Tahoma" w:cs="Tahoma"/>
      <w:sz w:val="16"/>
      <w:szCs w:val="16"/>
    </w:rPr>
  </w:style>
  <w:style w:type="character" w:customStyle="1" w:styleId="BalloonTextChar">
    <w:name w:val="Balloon Text Char"/>
    <w:basedOn w:val="DefaultParagraphFont"/>
    <w:link w:val="BalloonText"/>
    <w:rsid w:val="003760EF"/>
    <w:rPr>
      <w:rFonts w:ascii="Tahoma" w:hAnsi="Tahoma" w:cs="Tahoma"/>
      <w:sz w:val="16"/>
      <w:szCs w:val="16"/>
    </w:rPr>
  </w:style>
  <w:style w:type="character" w:customStyle="1" w:styleId="BodyTextChar">
    <w:name w:val="Body Text Char"/>
    <w:basedOn w:val="DefaultParagraphFont"/>
    <w:link w:val="BodyText"/>
    <w:rsid w:val="002D1393"/>
  </w:style>
  <w:style w:type="table" w:styleId="MediumList2-Accent1">
    <w:name w:val="Medium List 2 Accent 1"/>
    <w:basedOn w:val="TableNormal"/>
    <w:uiPriority w:val="66"/>
    <w:rsid w:val="002C7FF8"/>
    <w:pPr>
      <w:spacing w:after="0"/>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rsid w:val="003125E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B0B5C"/>
    <w:pPr>
      <w:tabs>
        <w:tab w:val="center" w:pos="4703"/>
        <w:tab w:val="right" w:pos="9406"/>
      </w:tabs>
      <w:spacing w:after="0"/>
    </w:pPr>
  </w:style>
  <w:style w:type="character" w:customStyle="1" w:styleId="HeaderChar">
    <w:name w:val="Header Char"/>
    <w:basedOn w:val="DefaultParagraphFont"/>
    <w:link w:val="Header"/>
    <w:rsid w:val="008B0B5C"/>
  </w:style>
  <w:style w:type="paragraph" w:styleId="Footer">
    <w:name w:val="footer"/>
    <w:basedOn w:val="Normal"/>
    <w:link w:val="FooterChar"/>
    <w:rsid w:val="008B0B5C"/>
    <w:pPr>
      <w:tabs>
        <w:tab w:val="center" w:pos="4703"/>
        <w:tab w:val="right" w:pos="9406"/>
      </w:tabs>
      <w:spacing w:after="0"/>
    </w:pPr>
  </w:style>
  <w:style w:type="character" w:customStyle="1" w:styleId="FooterChar">
    <w:name w:val="Footer Char"/>
    <w:basedOn w:val="DefaultParagraphFont"/>
    <w:link w:val="Footer"/>
    <w:rsid w:val="008B0B5C"/>
  </w:style>
  <w:style w:type="character" w:styleId="Strong">
    <w:name w:val="Strong"/>
    <w:basedOn w:val="DefaultParagraphFont"/>
    <w:uiPriority w:val="22"/>
    <w:qFormat/>
    <w:rsid w:val="00615732"/>
    <w:rPr>
      <w:b/>
      <w:bCs/>
    </w:rPr>
  </w:style>
  <w:style w:type="table" w:customStyle="1" w:styleId="OrtaGlgeleme2-Vurgu11">
    <w:name w:val="Orta Gölgeleme 2 - Vurgu 11"/>
    <w:basedOn w:val="TableNormal"/>
    <w:rsid w:val="00C83E7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is">
    <w:name w:val="Emphasis"/>
    <w:basedOn w:val="DefaultParagraphFont"/>
    <w:uiPriority w:val="20"/>
    <w:qFormat/>
    <w:rsid w:val="00C83E78"/>
    <w:rPr>
      <w:i/>
      <w:iCs/>
    </w:rPr>
  </w:style>
  <w:style w:type="character" w:styleId="CommentReference">
    <w:name w:val="annotation reference"/>
    <w:basedOn w:val="DefaultParagraphFont"/>
    <w:semiHidden/>
    <w:unhideWhenUsed/>
    <w:rsid w:val="006F1F70"/>
    <w:rPr>
      <w:sz w:val="16"/>
      <w:szCs w:val="16"/>
    </w:rPr>
  </w:style>
  <w:style w:type="paragraph" w:styleId="CommentText">
    <w:name w:val="annotation text"/>
    <w:basedOn w:val="Normal"/>
    <w:link w:val="CommentTextChar"/>
    <w:semiHidden/>
    <w:unhideWhenUsed/>
    <w:rsid w:val="006F1F70"/>
    <w:rPr>
      <w:sz w:val="20"/>
      <w:szCs w:val="20"/>
    </w:rPr>
  </w:style>
  <w:style w:type="character" w:customStyle="1" w:styleId="CommentTextChar">
    <w:name w:val="Comment Text Char"/>
    <w:basedOn w:val="DefaultParagraphFont"/>
    <w:link w:val="CommentText"/>
    <w:semiHidden/>
    <w:rsid w:val="006F1F70"/>
    <w:rPr>
      <w:sz w:val="20"/>
      <w:szCs w:val="20"/>
    </w:rPr>
  </w:style>
  <w:style w:type="paragraph" w:styleId="CommentSubject">
    <w:name w:val="annotation subject"/>
    <w:basedOn w:val="CommentText"/>
    <w:next w:val="CommentText"/>
    <w:link w:val="CommentSubjectChar"/>
    <w:semiHidden/>
    <w:unhideWhenUsed/>
    <w:rsid w:val="006F1F70"/>
    <w:rPr>
      <w:b/>
      <w:bCs/>
    </w:rPr>
  </w:style>
  <w:style w:type="character" w:customStyle="1" w:styleId="CommentSubjectChar">
    <w:name w:val="Comment Subject Char"/>
    <w:basedOn w:val="CommentTextChar"/>
    <w:link w:val="CommentSubject"/>
    <w:semiHidden/>
    <w:rsid w:val="006F1F70"/>
    <w:rPr>
      <w:b/>
      <w:bCs/>
      <w:sz w:val="20"/>
      <w:szCs w:val="20"/>
    </w:rPr>
  </w:style>
  <w:style w:type="paragraph" w:styleId="NormalWeb">
    <w:name w:val="Normal (Web)"/>
    <w:basedOn w:val="Normal"/>
    <w:uiPriority w:val="99"/>
    <w:semiHidden/>
    <w:unhideWhenUsed/>
    <w:rsid w:val="007559C9"/>
    <w:pPr>
      <w:spacing w:before="100" w:beforeAutospacing="1" w:after="100" w:afterAutospacing="1"/>
    </w:pPr>
    <w:rPr>
      <w:rFonts w:ascii="Times New Roman" w:eastAsia="Times New Roman" w:hAnsi="Times New Roman" w:cs="Times New Roman"/>
      <w:lang w:val="tr-TR" w:eastAsia="tr-TR"/>
    </w:rPr>
  </w:style>
  <w:style w:type="character" w:styleId="FollowedHyperlink">
    <w:name w:val="FollowedHyperlink"/>
    <w:basedOn w:val="DefaultParagraphFont"/>
    <w:semiHidden/>
    <w:unhideWhenUsed/>
    <w:rsid w:val="00051BE9"/>
    <w:rPr>
      <w:color w:val="800080" w:themeColor="followedHyperlink"/>
      <w:u w:val="single"/>
    </w:rPr>
  </w:style>
  <w:style w:type="table" w:styleId="LightShading-Accent4">
    <w:name w:val="Light Shading Accent 4"/>
    <w:basedOn w:val="TableNormal"/>
    <w:rsid w:val="000266C8"/>
    <w:pPr>
      <w:spacing w:after="0"/>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1">
    <w:name w:val="Light Shading Accent 1"/>
    <w:basedOn w:val="TableNormal"/>
    <w:rsid w:val="000266C8"/>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rsid w:val="000266C8"/>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1">
    <w:name w:val="Medium Shading 1 Accent 1"/>
    <w:basedOn w:val="TableNormal"/>
    <w:rsid w:val="000266C8"/>
    <w:pPr>
      <w:spacing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499810039">
      <w:bodyDiv w:val="1"/>
      <w:marLeft w:val="0"/>
      <w:marRight w:val="0"/>
      <w:marTop w:val="0"/>
      <w:marBottom w:val="0"/>
      <w:divBdr>
        <w:top w:val="none" w:sz="0" w:space="0" w:color="auto"/>
        <w:left w:val="none" w:sz="0" w:space="0" w:color="auto"/>
        <w:bottom w:val="none" w:sz="0" w:space="0" w:color="auto"/>
        <w:right w:val="none" w:sz="0" w:space="0" w:color="auto"/>
      </w:divBdr>
    </w:div>
    <w:div w:id="926426490">
      <w:bodyDiv w:val="1"/>
      <w:marLeft w:val="0"/>
      <w:marRight w:val="0"/>
      <w:marTop w:val="0"/>
      <w:marBottom w:val="0"/>
      <w:divBdr>
        <w:top w:val="none" w:sz="0" w:space="0" w:color="auto"/>
        <w:left w:val="none" w:sz="0" w:space="0" w:color="auto"/>
        <w:bottom w:val="none" w:sz="0" w:space="0" w:color="auto"/>
        <w:right w:val="none" w:sz="0" w:space="0" w:color="auto"/>
      </w:divBdr>
    </w:div>
    <w:div w:id="974025696">
      <w:bodyDiv w:val="1"/>
      <w:marLeft w:val="0"/>
      <w:marRight w:val="0"/>
      <w:marTop w:val="0"/>
      <w:marBottom w:val="0"/>
      <w:divBdr>
        <w:top w:val="none" w:sz="0" w:space="0" w:color="auto"/>
        <w:left w:val="none" w:sz="0" w:space="0" w:color="auto"/>
        <w:bottom w:val="none" w:sz="0" w:space="0" w:color="auto"/>
        <w:right w:val="none" w:sz="0" w:space="0" w:color="auto"/>
      </w:divBdr>
    </w:div>
    <w:div w:id="975569472">
      <w:bodyDiv w:val="1"/>
      <w:marLeft w:val="0"/>
      <w:marRight w:val="0"/>
      <w:marTop w:val="0"/>
      <w:marBottom w:val="0"/>
      <w:divBdr>
        <w:top w:val="none" w:sz="0" w:space="0" w:color="auto"/>
        <w:left w:val="none" w:sz="0" w:space="0" w:color="auto"/>
        <w:bottom w:val="none" w:sz="0" w:space="0" w:color="auto"/>
        <w:right w:val="none" w:sz="0" w:space="0" w:color="auto"/>
      </w:divBdr>
    </w:div>
    <w:div w:id="1634287517">
      <w:bodyDiv w:val="1"/>
      <w:marLeft w:val="0"/>
      <w:marRight w:val="0"/>
      <w:marTop w:val="0"/>
      <w:marBottom w:val="0"/>
      <w:divBdr>
        <w:top w:val="none" w:sz="0" w:space="0" w:color="auto"/>
        <w:left w:val="none" w:sz="0" w:space="0" w:color="auto"/>
        <w:bottom w:val="none" w:sz="0" w:space="0" w:color="auto"/>
        <w:right w:val="none" w:sz="0" w:space="0" w:color="auto"/>
      </w:divBdr>
    </w:div>
    <w:div w:id="1756045976">
      <w:bodyDiv w:val="1"/>
      <w:marLeft w:val="0"/>
      <w:marRight w:val="0"/>
      <w:marTop w:val="0"/>
      <w:marBottom w:val="0"/>
      <w:divBdr>
        <w:top w:val="none" w:sz="0" w:space="0" w:color="auto"/>
        <w:left w:val="none" w:sz="0" w:space="0" w:color="auto"/>
        <w:bottom w:val="none" w:sz="0" w:space="0" w:color="auto"/>
        <w:right w:val="none" w:sz="0" w:space="0" w:color="auto"/>
      </w:divBdr>
    </w:div>
    <w:div w:id="1823883773">
      <w:bodyDiv w:val="1"/>
      <w:marLeft w:val="0"/>
      <w:marRight w:val="0"/>
      <w:marTop w:val="0"/>
      <w:marBottom w:val="0"/>
      <w:divBdr>
        <w:top w:val="none" w:sz="0" w:space="0" w:color="auto"/>
        <w:left w:val="none" w:sz="0" w:space="0" w:color="auto"/>
        <w:bottom w:val="none" w:sz="0" w:space="0" w:color="auto"/>
        <w:right w:val="none" w:sz="0" w:space="0" w:color="auto"/>
      </w:divBdr>
    </w:div>
    <w:div w:id="187796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ownloads\Data_Extract_From_World_Development_Indicators%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Downloads\us_fdiflowsstock_9338694616157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ba\Downloads\53e63d80-f471-4e82-a090-62403608802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oshiba\Downloads\b4100e46-030f-436f-96ba-4edf0cda42b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oshiba\Downloads\-603919877563902466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autoTitleDeleted val="1"/>
    <c:plotArea>
      <c:layout/>
      <c:barChart>
        <c:barDir val="col"/>
        <c:grouping val="stacked"/>
        <c:ser>
          <c:idx val="0"/>
          <c:order val="0"/>
          <c:tx>
            <c:strRef>
              <c:f>Data!$A$10</c:f>
              <c:strCache>
                <c:ptCount val="1"/>
                <c:pt idx="0">
                  <c:v>South Asia</c:v>
                </c:pt>
              </c:strCache>
            </c:strRef>
          </c:tx>
          <c:cat>
            <c:numRef>
              <c:f>Data!$B$9:$P$9</c:f>
              <c:numCache>
                <c:formatCode>General</c:formatCode>
                <c:ptCount val="15"/>
                <c:pt idx="0">
                  <c:v>1970</c:v>
                </c:pt>
                <c:pt idx="1">
                  <c:v>1975</c:v>
                </c:pt>
                <c:pt idx="2">
                  <c:v>1980</c:v>
                </c:pt>
                <c:pt idx="3">
                  <c:v>1985</c:v>
                </c:pt>
                <c:pt idx="4">
                  <c:v>1990</c:v>
                </c:pt>
                <c:pt idx="5">
                  <c:v>1995</c:v>
                </c:pt>
                <c:pt idx="6">
                  <c:v>2000</c:v>
                </c:pt>
                <c:pt idx="7">
                  <c:v>2005</c:v>
                </c:pt>
                <c:pt idx="8">
                  <c:v>2010</c:v>
                </c:pt>
                <c:pt idx="9">
                  <c:v>2011</c:v>
                </c:pt>
                <c:pt idx="10">
                  <c:v>2012</c:v>
                </c:pt>
                <c:pt idx="11">
                  <c:v>2013</c:v>
                </c:pt>
                <c:pt idx="12">
                  <c:v>2014</c:v>
                </c:pt>
                <c:pt idx="13">
                  <c:v>2015</c:v>
                </c:pt>
                <c:pt idx="14">
                  <c:v>2016</c:v>
                </c:pt>
              </c:numCache>
            </c:numRef>
          </c:cat>
          <c:val>
            <c:numRef>
              <c:f>Data!$B$10:$P$10</c:f>
              <c:numCache>
                <c:formatCode>General</c:formatCode>
                <c:ptCount val="15"/>
                <c:pt idx="0">
                  <c:v>22.93</c:v>
                </c:pt>
                <c:pt idx="1">
                  <c:v>18.329797662136087</c:v>
                </c:pt>
                <c:pt idx="2">
                  <c:v>203.48350002596814</c:v>
                </c:pt>
                <c:pt idx="3">
                  <c:v>258.84133240711435</c:v>
                </c:pt>
                <c:pt idx="4">
                  <c:v>541.68686437281553</c:v>
                </c:pt>
                <c:pt idx="5">
                  <c:v>2931.3390147331379</c:v>
                </c:pt>
                <c:pt idx="6">
                  <c:v>4367.5409675209194</c:v>
                </c:pt>
                <c:pt idx="7">
                  <c:v>10835.965281488925</c:v>
                </c:pt>
                <c:pt idx="8">
                  <c:v>31562.387497710544</c:v>
                </c:pt>
                <c:pt idx="9">
                  <c:v>40651.615041123601</c:v>
                </c:pt>
                <c:pt idx="10">
                  <c:v>27771.786000482021</c:v>
                </c:pt>
                <c:pt idx="11">
                  <c:v>33514.67822331786</c:v>
                </c:pt>
                <c:pt idx="12">
                  <c:v>40313.703979561658</c:v>
                </c:pt>
                <c:pt idx="13">
                  <c:v>49674.816558384126</c:v>
                </c:pt>
                <c:pt idx="14">
                  <c:v>50655.435687616955</c:v>
                </c:pt>
              </c:numCache>
            </c:numRef>
          </c:val>
        </c:ser>
        <c:ser>
          <c:idx val="1"/>
          <c:order val="1"/>
          <c:tx>
            <c:strRef>
              <c:f>Data!$A$11</c:f>
              <c:strCache>
                <c:ptCount val="1"/>
                <c:pt idx="0">
                  <c:v>Europe &amp; Central Asia</c:v>
                </c:pt>
              </c:strCache>
            </c:strRef>
          </c:tx>
          <c:cat>
            <c:numRef>
              <c:f>Data!$B$9:$P$9</c:f>
              <c:numCache>
                <c:formatCode>General</c:formatCode>
                <c:ptCount val="15"/>
                <c:pt idx="0">
                  <c:v>1970</c:v>
                </c:pt>
                <c:pt idx="1">
                  <c:v>1975</c:v>
                </c:pt>
                <c:pt idx="2">
                  <c:v>1980</c:v>
                </c:pt>
                <c:pt idx="3">
                  <c:v>1985</c:v>
                </c:pt>
                <c:pt idx="4">
                  <c:v>1990</c:v>
                </c:pt>
                <c:pt idx="5">
                  <c:v>1995</c:v>
                </c:pt>
                <c:pt idx="6">
                  <c:v>2000</c:v>
                </c:pt>
                <c:pt idx="7">
                  <c:v>2005</c:v>
                </c:pt>
                <c:pt idx="8">
                  <c:v>2010</c:v>
                </c:pt>
                <c:pt idx="9">
                  <c:v>2011</c:v>
                </c:pt>
                <c:pt idx="10">
                  <c:v>2012</c:v>
                </c:pt>
                <c:pt idx="11">
                  <c:v>2013</c:v>
                </c:pt>
                <c:pt idx="12">
                  <c:v>2014</c:v>
                </c:pt>
                <c:pt idx="13">
                  <c:v>2015</c:v>
                </c:pt>
                <c:pt idx="14">
                  <c:v>2016</c:v>
                </c:pt>
              </c:numCache>
            </c:numRef>
          </c:cat>
          <c:val>
            <c:numRef>
              <c:f>Data!$B$11:$P$11</c:f>
              <c:numCache>
                <c:formatCode>General</c:formatCode>
                <c:ptCount val="15"/>
                <c:pt idx="0">
                  <c:v>4093.8721267277301</c:v>
                </c:pt>
                <c:pt idx="1">
                  <c:v>9280.4032681689769</c:v>
                </c:pt>
                <c:pt idx="2">
                  <c:v>20030.47019888779</c:v>
                </c:pt>
                <c:pt idx="3">
                  <c:v>16148.230981402048</c:v>
                </c:pt>
                <c:pt idx="4">
                  <c:v>97646.849040947491</c:v>
                </c:pt>
                <c:pt idx="5">
                  <c:v>132094.99111336068</c:v>
                </c:pt>
                <c:pt idx="6">
                  <c:v>748984.29251290357</c:v>
                </c:pt>
                <c:pt idx="7">
                  <c:v>1005626.2143221387</c:v>
                </c:pt>
                <c:pt idx="8">
                  <c:v>692337.7155377334</c:v>
                </c:pt>
                <c:pt idx="9">
                  <c:v>999760.43156621221</c:v>
                </c:pt>
                <c:pt idx="10">
                  <c:v>882645.31196397485</c:v>
                </c:pt>
                <c:pt idx="11">
                  <c:v>694183.03299562063</c:v>
                </c:pt>
                <c:pt idx="12">
                  <c:v>476095.70527172822</c:v>
                </c:pt>
                <c:pt idx="13">
                  <c:v>768928.94457546226</c:v>
                </c:pt>
                <c:pt idx="14">
                  <c:v>955557.08524832397</c:v>
                </c:pt>
              </c:numCache>
            </c:numRef>
          </c:val>
        </c:ser>
        <c:ser>
          <c:idx val="2"/>
          <c:order val="2"/>
          <c:tx>
            <c:strRef>
              <c:f>Data!$A$12</c:f>
              <c:strCache>
                <c:ptCount val="1"/>
                <c:pt idx="0">
                  <c:v>Middle East &amp; North Africa</c:v>
                </c:pt>
              </c:strCache>
            </c:strRef>
          </c:tx>
          <c:spPr>
            <a:solidFill>
              <a:srgbClr val="FFC000"/>
            </a:solidFill>
          </c:spPr>
          <c:cat>
            <c:numRef>
              <c:f>Data!$B$9:$P$9</c:f>
              <c:numCache>
                <c:formatCode>General</c:formatCode>
                <c:ptCount val="15"/>
                <c:pt idx="0">
                  <c:v>1970</c:v>
                </c:pt>
                <c:pt idx="1">
                  <c:v>1975</c:v>
                </c:pt>
                <c:pt idx="2">
                  <c:v>1980</c:v>
                </c:pt>
                <c:pt idx="3">
                  <c:v>1985</c:v>
                </c:pt>
                <c:pt idx="4">
                  <c:v>1990</c:v>
                </c:pt>
                <c:pt idx="5">
                  <c:v>1995</c:v>
                </c:pt>
                <c:pt idx="6">
                  <c:v>2000</c:v>
                </c:pt>
                <c:pt idx="7">
                  <c:v>2005</c:v>
                </c:pt>
                <c:pt idx="8">
                  <c:v>2010</c:v>
                </c:pt>
                <c:pt idx="9">
                  <c:v>2011</c:v>
                </c:pt>
                <c:pt idx="10">
                  <c:v>2012</c:v>
                </c:pt>
                <c:pt idx="11">
                  <c:v>2013</c:v>
                </c:pt>
                <c:pt idx="12">
                  <c:v>2014</c:v>
                </c:pt>
                <c:pt idx="13">
                  <c:v>2015</c:v>
                </c:pt>
                <c:pt idx="14">
                  <c:v>2016</c:v>
                </c:pt>
              </c:numCache>
            </c:numRef>
          </c:cat>
          <c:val>
            <c:numRef>
              <c:f>Data!$B$12:$P$12</c:f>
              <c:numCache>
                <c:formatCode>General</c:formatCode>
                <c:ptCount val="15"/>
                <c:pt idx="0">
                  <c:v>225.95000000000007</c:v>
                </c:pt>
                <c:pt idx="1">
                  <c:v>2657.9296559594504</c:v>
                </c:pt>
                <c:pt idx="3">
                  <c:v>2106.7657341206218</c:v>
                </c:pt>
                <c:pt idx="4">
                  <c:v>2632.2042458420187</c:v>
                </c:pt>
                <c:pt idx="5">
                  <c:v>1488.8858677298101</c:v>
                </c:pt>
                <c:pt idx="6">
                  <c:v>12186.278134926541</c:v>
                </c:pt>
                <c:pt idx="7">
                  <c:v>73129.405134096014</c:v>
                </c:pt>
                <c:pt idx="8">
                  <c:v>87567.125470392057</c:v>
                </c:pt>
                <c:pt idx="9">
                  <c:v>62346.725072417474</c:v>
                </c:pt>
                <c:pt idx="10">
                  <c:v>61876.777142318671</c:v>
                </c:pt>
                <c:pt idx="11">
                  <c:v>58039.45032940957</c:v>
                </c:pt>
                <c:pt idx="12">
                  <c:v>51747.493411639014</c:v>
                </c:pt>
                <c:pt idx="13">
                  <c:v>50571.675928605575</c:v>
                </c:pt>
                <c:pt idx="14">
                  <c:v>54631.266059503287</c:v>
                </c:pt>
              </c:numCache>
            </c:numRef>
          </c:val>
        </c:ser>
        <c:ser>
          <c:idx val="3"/>
          <c:order val="3"/>
          <c:tx>
            <c:strRef>
              <c:f>Data!$A$13</c:f>
              <c:strCache>
                <c:ptCount val="1"/>
                <c:pt idx="0">
                  <c:v>East Asia &amp; Pacific</c:v>
                </c:pt>
              </c:strCache>
            </c:strRef>
          </c:tx>
          <c:cat>
            <c:numRef>
              <c:f>Data!$B$9:$P$9</c:f>
              <c:numCache>
                <c:formatCode>General</c:formatCode>
                <c:ptCount val="15"/>
                <c:pt idx="0">
                  <c:v>1970</c:v>
                </c:pt>
                <c:pt idx="1">
                  <c:v>1975</c:v>
                </c:pt>
                <c:pt idx="2">
                  <c:v>1980</c:v>
                </c:pt>
                <c:pt idx="3">
                  <c:v>1985</c:v>
                </c:pt>
                <c:pt idx="4">
                  <c:v>1990</c:v>
                </c:pt>
                <c:pt idx="5">
                  <c:v>1995</c:v>
                </c:pt>
                <c:pt idx="6">
                  <c:v>2000</c:v>
                </c:pt>
                <c:pt idx="7">
                  <c:v>2005</c:v>
                </c:pt>
                <c:pt idx="8">
                  <c:v>2010</c:v>
                </c:pt>
                <c:pt idx="9">
                  <c:v>2011</c:v>
                </c:pt>
                <c:pt idx="10">
                  <c:v>2012</c:v>
                </c:pt>
                <c:pt idx="11">
                  <c:v>2013</c:v>
                </c:pt>
                <c:pt idx="12">
                  <c:v>2014</c:v>
                </c:pt>
                <c:pt idx="13">
                  <c:v>2015</c:v>
                </c:pt>
                <c:pt idx="14">
                  <c:v>2016</c:v>
                </c:pt>
              </c:numCache>
            </c:numRef>
          </c:cat>
          <c:val>
            <c:numRef>
              <c:f>Data!$B$13:$P$13</c:f>
              <c:numCache>
                <c:formatCode>General</c:formatCode>
                <c:ptCount val="15"/>
                <c:pt idx="0">
                  <c:v>1421.9401438262119</c:v>
                </c:pt>
                <c:pt idx="1">
                  <c:v>1485.9046400387629</c:v>
                </c:pt>
                <c:pt idx="2">
                  <c:v>4876.7563128615784</c:v>
                </c:pt>
                <c:pt idx="3">
                  <c:v>8557.7200025476268</c:v>
                </c:pt>
                <c:pt idx="4">
                  <c:v>29807.929801278471</c:v>
                </c:pt>
                <c:pt idx="5">
                  <c:v>81052.985803710748</c:v>
                </c:pt>
                <c:pt idx="6">
                  <c:v>174697.200321913</c:v>
                </c:pt>
                <c:pt idx="7">
                  <c:v>187816.2002773915</c:v>
                </c:pt>
                <c:pt idx="8">
                  <c:v>496906.2647860318</c:v>
                </c:pt>
                <c:pt idx="9">
                  <c:v>560423.28099839692</c:v>
                </c:pt>
                <c:pt idx="10">
                  <c:v>517281.80867741734</c:v>
                </c:pt>
                <c:pt idx="11">
                  <c:v>590573.60896760703</c:v>
                </c:pt>
                <c:pt idx="12">
                  <c:v>619215.72318482283</c:v>
                </c:pt>
                <c:pt idx="13">
                  <c:v>609533.33640527958</c:v>
                </c:pt>
                <c:pt idx="14">
                  <c:v>512426.63776663813</c:v>
                </c:pt>
              </c:numCache>
            </c:numRef>
          </c:val>
        </c:ser>
        <c:ser>
          <c:idx val="4"/>
          <c:order val="4"/>
          <c:tx>
            <c:strRef>
              <c:f>Data!$A$14</c:f>
              <c:strCache>
                <c:ptCount val="1"/>
                <c:pt idx="0">
                  <c:v>Sub-Saharan Africa</c:v>
                </c:pt>
              </c:strCache>
            </c:strRef>
          </c:tx>
          <c:cat>
            <c:numRef>
              <c:f>Data!$B$9:$P$9</c:f>
              <c:numCache>
                <c:formatCode>General</c:formatCode>
                <c:ptCount val="15"/>
                <c:pt idx="0">
                  <c:v>1970</c:v>
                </c:pt>
                <c:pt idx="1">
                  <c:v>1975</c:v>
                </c:pt>
                <c:pt idx="2">
                  <c:v>1980</c:v>
                </c:pt>
                <c:pt idx="3">
                  <c:v>1985</c:v>
                </c:pt>
                <c:pt idx="4">
                  <c:v>1990</c:v>
                </c:pt>
                <c:pt idx="5">
                  <c:v>1995</c:v>
                </c:pt>
                <c:pt idx="6">
                  <c:v>2000</c:v>
                </c:pt>
                <c:pt idx="7">
                  <c:v>2005</c:v>
                </c:pt>
                <c:pt idx="8">
                  <c:v>2010</c:v>
                </c:pt>
                <c:pt idx="9">
                  <c:v>2011</c:v>
                </c:pt>
                <c:pt idx="10">
                  <c:v>2012</c:v>
                </c:pt>
                <c:pt idx="11">
                  <c:v>2013</c:v>
                </c:pt>
                <c:pt idx="12">
                  <c:v>2014</c:v>
                </c:pt>
                <c:pt idx="13">
                  <c:v>2015</c:v>
                </c:pt>
                <c:pt idx="14">
                  <c:v>2016</c:v>
                </c:pt>
              </c:numCache>
            </c:numRef>
          </c:cat>
          <c:val>
            <c:numRef>
              <c:f>Data!$B$14:$P$14</c:f>
              <c:numCache>
                <c:formatCode>General</c:formatCode>
                <c:ptCount val="15"/>
                <c:pt idx="0">
                  <c:v>706.57598759930067</c:v>
                </c:pt>
                <c:pt idx="1">
                  <c:v>1049.3463925459098</c:v>
                </c:pt>
                <c:pt idx="2">
                  <c:v>251.66531221453656</c:v>
                </c:pt>
                <c:pt idx="3">
                  <c:v>961.86774454715055</c:v>
                </c:pt>
                <c:pt idx="4">
                  <c:v>1227.500744425251</c:v>
                </c:pt>
                <c:pt idx="5">
                  <c:v>4538.3177269370763</c:v>
                </c:pt>
                <c:pt idx="6">
                  <c:v>6874.6613734023949</c:v>
                </c:pt>
                <c:pt idx="7">
                  <c:v>19596.845040064989</c:v>
                </c:pt>
                <c:pt idx="8">
                  <c:v>31200.677468873586</c:v>
                </c:pt>
                <c:pt idx="9">
                  <c:v>42015.055976348609</c:v>
                </c:pt>
                <c:pt idx="10">
                  <c:v>39463.063657297549</c:v>
                </c:pt>
                <c:pt idx="11">
                  <c:v>40605.169370713367</c:v>
                </c:pt>
                <c:pt idx="12">
                  <c:v>43028.190936469917</c:v>
                </c:pt>
                <c:pt idx="13">
                  <c:v>43687.673671054115</c:v>
                </c:pt>
                <c:pt idx="14">
                  <c:v>37972.156585367266</c:v>
                </c:pt>
              </c:numCache>
            </c:numRef>
          </c:val>
        </c:ser>
        <c:ser>
          <c:idx val="5"/>
          <c:order val="5"/>
          <c:tx>
            <c:strRef>
              <c:f>Data!$A$15</c:f>
              <c:strCache>
                <c:ptCount val="1"/>
                <c:pt idx="0">
                  <c:v>Latin America &amp; Caribbean</c:v>
                </c:pt>
              </c:strCache>
            </c:strRef>
          </c:tx>
          <c:cat>
            <c:numRef>
              <c:f>Data!$B$9:$P$9</c:f>
              <c:numCache>
                <c:formatCode>General</c:formatCode>
                <c:ptCount val="15"/>
                <c:pt idx="0">
                  <c:v>1970</c:v>
                </c:pt>
                <c:pt idx="1">
                  <c:v>1975</c:v>
                </c:pt>
                <c:pt idx="2">
                  <c:v>1980</c:v>
                </c:pt>
                <c:pt idx="3">
                  <c:v>1985</c:v>
                </c:pt>
                <c:pt idx="4">
                  <c:v>1990</c:v>
                </c:pt>
                <c:pt idx="5">
                  <c:v>1995</c:v>
                </c:pt>
                <c:pt idx="6">
                  <c:v>2000</c:v>
                </c:pt>
                <c:pt idx="7">
                  <c:v>2005</c:v>
                </c:pt>
                <c:pt idx="8">
                  <c:v>2010</c:v>
                </c:pt>
                <c:pt idx="9">
                  <c:v>2011</c:v>
                </c:pt>
                <c:pt idx="10">
                  <c:v>2012</c:v>
                </c:pt>
                <c:pt idx="11">
                  <c:v>2013</c:v>
                </c:pt>
                <c:pt idx="12">
                  <c:v>2014</c:v>
                </c:pt>
                <c:pt idx="13">
                  <c:v>2015</c:v>
                </c:pt>
                <c:pt idx="14">
                  <c:v>2016</c:v>
                </c:pt>
              </c:numCache>
            </c:numRef>
          </c:cat>
          <c:val>
            <c:numRef>
              <c:f>Data!$B$15:$P$15</c:f>
              <c:numCache>
                <c:formatCode>General</c:formatCode>
                <c:ptCount val="15"/>
                <c:pt idx="0">
                  <c:v>615.10299999543008</c:v>
                </c:pt>
                <c:pt idx="1">
                  <c:v>2714.8434892615492</c:v>
                </c:pt>
                <c:pt idx="2">
                  <c:v>6434.9409355961625</c:v>
                </c:pt>
                <c:pt idx="3">
                  <c:v>6431.2457588494053</c:v>
                </c:pt>
                <c:pt idx="4">
                  <c:v>8388.0702374950451</c:v>
                </c:pt>
                <c:pt idx="5">
                  <c:v>30674.732457140763</c:v>
                </c:pt>
                <c:pt idx="6">
                  <c:v>95442.34902223805</c:v>
                </c:pt>
                <c:pt idx="7">
                  <c:v>82296.382605212348</c:v>
                </c:pt>
                <c:pt idx="8">
                  <c:v>231486.01825909255</c:v>
                </c:pt>
                <c:pt idx="9">
                  <c:v>282066.12789957185</c:v>
                </c:pt>
                <c:pt idx="10">
                  <c:v>286061.12753068557</c:v>
                </c:pt>
                <c:pt idx="11">
                  <c:v>356354.51840942382</c:v>
                </c:pt>
                <c:pt idx="12">
                  <c:v>259919.69030803451</c:v>
                </c:pt>
                <c:pt idx="13">
                  <c:v>279817.78959860437</c:v>
                </c:pt>
                <c:pt idx="14">
                  <c:v>272283.54996995331</c:v>
                </c:pt>
              </c:numCache>
            </c:numRef>
          </c:val>
        </c:ser>
        <c:ser>
          <c:idx val="6"/>
          <c:order val="6"/>
          <c:tx>
            <c:strRef>
              <c:f>Data!$A$16</c:f>
              <c:strCache>
                <c:ptCount val="1"/>
                <c:pt idx="0">
                  <c:v>North America</c:v>
                </c:pt>
              </c:strCache>
            </c:strRef>
          </c:tx>
          <c:spPr>
            <a:solidFill>
              <a:srgbClr val="00B050"/>
            </a:solidFill>
          </c:spPr>
          <c:cat>
            <c:numRef>
              <c:f>Data!$B$9:$P$9</c:f>
              <c:numCache>
                <c:formatCode>General</c:formatCode>
                <c:ptCount val="15"/>
                <c:pt idx="0">
                  <c:v>1970</c:v>
                </c:pt>
                <c:pt idx="1">
                  <c:v>1975</c:v>
                </c:pt>
                <c:pt idx="2">
                  <c:v>1980</c:v>
                </c:pt>
                <c:pt idx="3">
                  <c:v>1985</c:v>
                </c:pt>
                <c:pt idx="4">
                  <c:v>1990</c:v>
                </c:pt>
                <c:pt idx="5">
                  <c:v>1995</c:v>
                </c:pt>
                <c:pt idx="6">
                  <c:v>2000</c:v>
                </c:pt>
                <c:pt idx="7">
                  <c:v>2005</c:v>
                </c:pt>
                <c:pt idx="8">
                  <c:v>2010</c:v>
                </c:pt>
                <c:pt idx="9">
                  <c:v>2011</c:v>
                </c:pt>
                <c:pt idx="10">
                  <c:v>2012</c:v>
                </c:pt>
                <c:pt idx="11">
                  <c:v>2013</c:v>
                </c:pt>
                <c:pt idx="12">
                  <c:v>2014</c:v>
                </c:pt>
                <c:pt idx="13">
                  <c:v>2015</c:v>
                </c:pt>
                <c:pt idx="14">
                  <c:v>2016</c:v>
                </c:pt>
              </c:numCache>
            </c:numRef>
          </c:cat>
          <c:val>
            <c:numRef>
              <c:f>Data!$B$16:$P$16</c:f>
              <c:numCache>
                <c:formatCode>General</c:formatCode>
                <c:ptCount val="15"/>
                <c:pt idx="0">
                  <c:v>3086.0571317251001</c:v>
                </c:pt>
                <c:pt idx="1">
                  <c:v>5946.1853798179354</c:v>
                </c:pt>
                <c:pt idx="2">
                  <c:v>22743.313577340006</c:v>
                </c:pt>
                <c:pt idx="3">
                  <c:v>21366.65095221085</c:v>
                </c:pt>
                <c:pt idx="4">
                  <c:v>56070.601938181775</c:v>
                </c:pt>
                <c:pt idx="5">
                  <c:v>67119.143130322249</c:v>
                </c:pt>
                <c:pt idx="6">
                  <c:v>418442.14032001473</c:v>
                </c:pt>
                <c:pt idx="7">
                  <c:v>163916.01985188638</c:v>
                </c:pt>
                <c:pt idx="8">
                  <c:v>289279.60709148174</c:v>
                </c:pt>
                <c:pt idx="9">
                  <c:v>295470.19883006241</c:v>
                </c:pt>
                <c:pt idx="10">
                  <c:v>299770.42546190968</c:v>
                </c:pt>
                <c:pt idx="11">
                  <c:v>355233.50059105194</c:v>
                </c:pt>
                <c:pt idx="12">
                  <c:v>301904.7691377282</c:v>
                </c:pt>
                <c:pt idx="13">
                  <c:v>560720.28684574645</c:v>
                </c:pt>
                <c:pt idx="14">
                  <c:v>514108.8193310253</c:v>
                </c:pt>
              </c:numCache>
            </c:numRef>
          </c:val>
        </c:ser>
        <c:gapWidth val="75"/>
        <c:overlap val="100"/>
        <c:axId val="152984192"/>
        <c:axId val="152998272"/>
      </c:barChart>
      <c:catAx>
        <c:axId val="152984192"/>
        <c:scaling>
          <c:orientation val="minMax"/>
        </c:scaling>
        <c:axPos val="b"/>
        <c:numFmt formatCode="General" sourceLinked="1"/>
        <c:majorTickMark val="none"/>
        <c:tickLblPos val="nextTo"/>
        <c:txPr>
          <a:bodyPr rot="-5400000" vert="horz"/>
          <a:lstStyle/>
          <a:p>
            <a:pPr>
              <a:defRPr/>
            </a:pPr>
            <a:endParaRPr lang="tr-TR"/>
          </a:p>
        </c:txPr>
        <c:crossAx val="152998272"/>
        <c:crosses val="autoZero"/>
        <c:auto val="1"/>
        <c:lblAlgn val="ctr"/>
        <c:lblOffset val="100"/>
      </c:catAx>
      <c:valAx>
        <c:axId val="152998272"/>
        <c:scaling>
          <c:orientation val="minMax"/>
        </c:scaling>
        <c:axPos val="l"/>
        <c:majorGridlines/>
        <c:title>
          <c:tx>
            <c:rich>
              <a:bodyPr rot="-5400000" vert="horz"/>
              <a:lstStyle/>
              <a:p>
                <a:pPr>
                  <a:defRPr/>
                </a:pPr>
                <a:r>
                  <a:rPr lang="en-US"/>
                  <a:t>Million USD</a:t>
                </a:r>
                <a:endParaRPr lang="tr-TR"/>
              </a:p>
            </c:rich>
          </c:tx>
          <c:layout/>
        </c:title>
        <c:numFmt formatCode="General" sourceLinked="1"/>
        <c:majorTickMark val="none"/>
        <c:tickLblPos val="nextTo"/>
        <c:spPr>
          <a:ln w="9525">
            <a:noFill/>
          </a:ln>
        </c:spPr>
        <c:crossAx val="152984192"/>
        <c:crosses val="autoZero"/>
        <c:crossBetween val="between"/>
      </c:valAx>
    </c:plotArea>
    <c:legend>
      <c:legendPos val="b"/>
      <c:layout/>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tr-T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autoTitleDeleted val="1"/>
    <c:plotArea>
      <c:layout/>
      <c:lineChart>
        <c:grouping val="standard"/>
        <c:ser>
          <c:idx val="0"/>
          <c:order val="0"/>
          <c:tx>
            <c:strRef>
              <c:f>us_fdiflowsstock_93386946161573!$A$7</c:f>
              <c:strCache>
                <c:ptCount val="1"/>
                <c:pt idx="0">
                  <c:v>Brazil</c:v>
                </c:pt>
              </c:strCache>
            </c:strRef>
          </c:tx>
          <c:spPr>
            <a:ln>
              <a:solidFill>
                <a:schemeClr val="accent2">
                  <a:lumMod val="40000"/>
                  <a:lumOff val="60000"/>
                </a:schemeClr>
              </a:solidFill>
            </a:ln>
          </c:spPr>
          <c:marker>
            <c:symbol val="none"/>
          </c:marker>
          <c:cat>
            <c:strRef>
              <c:f>us_fdiflowsstock_93386946161573!$B$6:$AV$6</c:f>
              <c:strCache>
                <c:ptCount val="47"/>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strCache>
            </c:strRef>
          </c:cat>
          <c:val>
            <c:numRef>
              <c:f>us_fdiflowsstock_93386946161573!$B$7:$AV$7</c:f>
              <c:numCache>
                <c:formatCode>General</c:formatCode>
                <c:ptCount val="47"/>
                <c:pt idx="0">
                  <c:v>1.1123461814000035</c:v>
                </c:pt>
                <c:pt idx="1">
                  <c:v>1.1415679639000045</c:v>
                </c:pt>
                <c:pt idx="2">
                  <c:v>0.90846524089999958</c:v>
                </c:pt>
                <c:pt idx="3">
                  <c:v>1.6473502533</c:v>
                </c:pt>
                <c:pt idx="4">
                  <c:v>1.3145356764</c:v>
                </c:pt>
                <c:pt idx="5">
                  <c:v>1.1131738239000035</c:v>
                </c:pt>
                <c:pt idx="6">
                  <c:v>1.0889972487999964</c:v>
                </c:pt>
                <c:pt idx="7">
                  <c:v>1.2290163428999952</c:v>
                </c:pt>
                <c:pt idx="8">
                  <c:v>1.2916212564999912</c:v>
                </c:pt>
                <c:pt idx="9">
                  <c:v>1.2938530468</c:v>
                </c:pt>
                <c:pt idx="10">
                  <c:v>0.99945164239999995</c:v>
                </c:pt>
                <c:pt idx="11">
                  <c:v>1.1180731108999999</c:v>
                </c:pt>
                <c:pt idx="12">
                  <c:v>1.3046128903</c:v>
                </c:pt>
                <c:pt idx="13">
                  <c:v>0.77826384999999998</c:v>
                </c:pt>
                <c:pt idx="14">
                  <c:v>0.85535172100000001</c:v>
                </c:pt>
                <c:pt idx="15">
                  <c:v>0.75677774080000004</c:v>
                </c:pt>
                <c:pt idx="16">
                  <c:v>0.14074837350000086</c:v>
                </c:pt>
                <c:pt idx="17">
                  <c:v>0.47307705</c:v>
                </c:pt>
                <c:pt idx="18">
                  <c:v>1.0161473483000001</c:v>
                </c:pt>
                <c:pt idx="19">
                  <c:v>0.30091753620000089</c:v>
                </c:pt>
                <c:pt idx="20">
                  <c:v>0.24300989440000054</c:v>
                </c:pt>
                <c:pt idx="21">
                  <c:v>0.29113955139999997</c:v>
                </c:pt>
                <c:pt idx="22">
                  <c:v>0.56832266300000001</c:v>
                </c:pt>
                <c:pt idx="23">
                  <c:v>0.31722464280000101</c:v>
                </c:pt>
                <c:pt idx="24">
                  <c:v>0.37035673930000207</c:v>
                </c:pt>
                <c:pt idx="25">
                  <c:v>0.56617261420000065</c:v>
                </c:pt>
                <c:pt idx="26">
                  <c:v>1.2701746200999964</c:v>
                </c:pt>
                <c:pt idx="27">
                  <c:v>2.1545851501</c:v>
                </c:pt>
                <c:pt idx="28">
                  <c:v>3.3796077497999999</c:v>
                </c:pt>
                <c:pt idx="29">
                  <c:v>4.8106053057000002</c:v>
                </c:pt>
                <c:pt idx="30">
                  <c:v>5.0247156553999739</c:v>
                </c:pt>
                <c:pt idx="31">
                  <c:v>4.0049010414999815</c:v>
                </c:pt>
                <c:pt idx="32">
                  <c:v>3.2400835705000071</c:v>
                </c:pt>
                <c:pt idx="33">
                  <c:v>1.8148367761999964</c:v>
                </c:pt>
                <c:pt idx="34">
                  <c:v>2.7112166389999999</c:v>
                </c:pt>
                <c:pt idx="35">
                  <c:v>1.6897398108999961</c:v>
                </c:pt>
                <c:pt idx="36">
                  <c:v>1.6993277390999999</c:v>
                </c:pt>
                <c:pt idx="37">
                  <c:v>2.4754526046999916</c:v>
                </c:pt>
                <c:pt idx="38">
                  <c:v>2.6569574575999999</c:v>
                </c:pt>
                <c:pt idx="39">
                  <c:v>1.5566069276000001</c:v>
                </c:pt>
                <c:pt idx="40">
                  <c:v>3.7915406146999997</c:v>
                </c:pt>
                <c:pt idx="41">
                  <c:v>3.6776185087000002</c:v>
                </c:pt>
                <c:pt idx="42">
                  <c:v>3.0925346209</c:v>
                </c:pt>
                <c:pt idx="43">
                  <c:v>2.1518385394999977</c:v>
                </c:pt>
                <c:pt idx="44">
                  <c:v>3.0236916934</c:v>
                </c:pt>
                <c:pt idx="45">
                  <c:v>3.6255930512000081</c:v>
                </c:pt>
                <c:pt idx="46">
                  <c:v>3.3118966455999987</c:v>
                </c:pt>
              </c:numCache>
            </c:numRef>
          </c:val>
        </c:ser>
        <c:ser>
          <c:idx val="1"/>
          <c:order val="1"/>
          <c:tx>
            <c:strRef>
              <c:f>us_fdiflowsstock_93386946161573!$A$8</c:f>
              <c:strCache>
                <c:ptCount val="1"/>
                <c:pt idx="0">
                  <c:v>South Korea</c:v>
                </c:pt>
              </c:strCache>
            </c:strRef>
          </c:tx>
          <c:spPr>
            <a:ln>
              <a:solidFill>
                <a:schemeClr val="accent4">
                  <a:lumMod val="60000"/>
                  <a:lumOff val="40000"/>
                </a:schemeClr>
              </a:solidFill>
            </a:ln>
          </c:spPr>
          <c:marker>
            <c:symbol val="none"/>
          </c:marker>
          <c:cat>
            <c:strRef>
              <c:f>us_fdiflowsstock_93386946161573!$B$6:$AV$6</c:f>
              <c:strCache>
                <c:ptCount val="47"/>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strCache>
            </c:strRef>
          </c:cat>
          <c:val>
            <c:numRef>
              <c:f>us_fdiflowsstock_93386946161573!$B$8:$AV$8</c:f>
              <c:numCache>
                <c:formatCode>General</c:formatCode>
                <c:ptCount val="47"/>
                <c:pt idx="0">
                  <c:v>0.73338646769999993</c:v>
                </c:pt>
                <c:pt idx="1">
                  <c:v>0.424669996800001</c:v>
                </c:pt>
                <c:pt idx="2">
                  <c:v>4.5747571873000004</c:v>
                </c:pt>
                <c:pt idx="3">
                  <c:v>2.8897917200000095E-2</c:v>
                </c:pt>
                <c:pt idx="4">
                  <c:v>1.02659298E-2</c:v>
                </c:pt>
                <c:pt idx="5">
                  <c:v>2.7643715900000154E-2</c:v>
                </c:pt>
                <c:pt idx="6">
                  <c:v>1.679016460000006E-2</c:v>
                </c:pt>
                <c:pt idx="7">
                  <c:v>0.34496201470000032</c:v>
                </c:pt>
                <c:pt idx="8">
                  <c:v>0.32688196110000267</c:v>
                </c:pt>
                <c:pt idx="9">
                  <c:v>0.25838250220000136</c:v>
                </c:pt>
                <c:pt idx="10">
                  <c:v>7.2483223900000282E-2</c:v>
                </c:pt>
                <c:pt idx="11">
                  <c:v>0.21415030110000041</c:v>
                </c:pt>
                <c:pt idx="12">
                  <c:v>0.155452430700001</c:v>
                </c:pt>
                <c:pt idx="13">
                  <c:v>0.21177916170000041</c:v>
                </c:pt>
                <c:pt idx="14">
                  <c:v>0.23116436530000001</c:v>
                </c:pt>
                <c:pt idx="15">
                  <c:v>0.35433232840000001</c:v>
                </c:pt>
                <c:pt idx="16">
                  <c:v>0.59072200249999995</c:v>
                </c:pt>
                <c:pt idx="17">
                  <c:v>0.5738577257999995</c:v>
                </c:pt>
                <c:pt idx="18">
                  <c:v>0.65651376439999998</c:v>
                </c:pt>
                <c:pt idx="19">
                  <c:v>0.57061303710000177</c:v>
                </c:pt>
                <c:pt idx="20">
                  <c:v>0.37430054310000166</c:v>
                </c:pt>
                <c:pt idx="21">
                  <c:v>0.44674660059999999</c:v>
                </c:pt>
                <c:pt idx="22">
                  <c:v>0.28612994990000101</c:v>
                </c:pt>
                <c:pt idx="23">
                  <c:v>0.21545295020000024</c:v>
                </c:pt>
                <c:pt idx="24">
                  <c:v>0.24947030640000054</c:v>
                </c:pt>
                <c:pt idx="25">
                  <c:v>0.44721676649999997</c:v>
                </c:pt>
                <c:pt idx="26">
                  <c:v>0.46524257460000001</c:v>
                </c:pt>
                <c:pt idx="27">
                  <c:v>0.59212177610000005</c:v>
                </c:pt>
                <c:pt idx="28">
                  <c:v>1.6003538161999999</c:v>
                </c:pt>
                <c:pt idx="29">
                  <c:v>2.2104706985</c:v>
                </c:pt>
                <c:pt idx="30">
                  <c:v>2.0492691809999997</c:v>
                </c:pt>
                <c:pt idx="31">
                  <c:v>1.2235808554999956</c:v>
                </c:pt>
                <c:pt idx="32">
                  <c:v>0.89900039670000009</c:v>
                </c:pt>
                <c:pt idx="33">
                  <c:v>1.0300971394000045</c:v>
                </c:pt>
                <c:pt idx="34">
                  <c:v>1.7380999793</c:v>
                </c:pt>
                <c:pt idx="35">
                  <c:v>1.5190551773000001</c:v>
                </c:pt>
                <c:pt idx="36">
                  <c:v>0.9055073312999995</c:v>
                </c:pt>
                <c:pt idx="37">
                  <c:v>0.78623528359999995</c:v>
                </c:pt>
                <c:pt idx="38">
                  <c:v>1.1162728975</c:v>
                </c:pt>
                <c:pt idx="39">
                  <c:v>1.0002827772</c:v>
                </c:pt>
                <c:pt idx="40">
                  <c:v>0.86773920870000065</c:v>
                </c:pt>
                <c:pt idx="41">
                  <c:v>0.81274805730000355</c:v>
                </c:pt>
                <c:pt idx="42">
                  <c:v>0.77656555860000065</c:v>
                </c:pt>
                <c:pt idx="43">
                  <c:v>0.97783023020000226</c:v>
                </c:pt>
                <c:pt idx="44">
                  <c:v>0.65708051950000201</c:v>
                </c:pt>
                <c:pt idx="45">
                  <c:v>0.29785759760000113</c:v>
                </c:pt>
                <c:pt idx="46">
                  <c:v>0.77723517350000226</c:v>
                </c:pt>
              </c:numCache>
            </c:numRef>
          </c:val>
        </c:ser>
        <c:ser>
          <c:idx val="2"/>
          <c:order val="2"/>
          <c:tx>
            <c:strRef>
              <c:f>us_fdiflowsstock_93386946161573!$A$9</c:f>
              <c:strCache>
                <c:ptCount val="1"/>
                <c:pt idx="0">
                  <c:v>Mexico</c:v>
                </c:pt>
              </c:strCache>
            </c:strRef>
          </c:tx>
          <c:spPr>
            <a:ln>
              <a:prstDash val="sysDash"/>
            </a:ln>
          </c:spPr>
          <c:marker>
            <c:symbol val="none"/>
          </c:marker>
          <c:cat>
            <c:strRef>
              <c:f>us_fdiflowsstock_93386946161573!$B$6:$AV$6</c:f>
              <c:strCache>
                <c:ptCount val="47"/>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strCache>
            </c:strRef>
          </c:cat>
          <c:val>
            <c:numRef>
              <c:f>us_fdiflowsstock_93386946161573!$B$9:$AV$9</c:f>
              <c:numCache>
                <c:formatCode>General</c:formatCode>
                <c:ptCount val="47"/>
                <c:pt idx="0">
                  <c:v>0.70561925510000201</c:v>
                </c:pt>
                <c:pt idx="1">
                  <c:v>0.62928563190000064</c:v>
                </c:pt>
                <c:pt idx="2">
                  <c:v>0.31727527940000089</c:v>
                </c:pt>
                <c:pt idx="3">
                  <c:v>0.66438539280000064</c:v>
                </c:pt>
                <c:pt idx="4">
                  <c:v>0.56796651409999999</c:v>
                </c:pt>
                <c:pt idx="5">
                  <c:v>0.41856022330000137</c:v>
                </c:pt>
                <c:pt idx="6">
                  <c:v>0.66132080530000226</c:v>
                </c:pt>
                <c:pt idx="7">
                  <c:v>0.32083117580000137</c:v>
                </c:pt>
                <c:pt idx="8">
                  <c:v>0.51513052260000003</c:v>
                </c:pt>
                <c:pt idx="9">
                  <c:v>0.31968222750000141</c:v>
                </c:pt>
                <c:pt idx="10">
                  <c:v>0.90530358229999996</c:v>
                </c:pt>
                <c:pt idx="11">
                  <c:v>1.0335633661999963</c:v>
                </c:pt>
                <c:pt idx="12">
                  <c:v>0.91879472700000064</c:v>
                </c:pt>
                <c:pt idx="13">
                  <c:v>1.236451921700005</c:v>
                </c:pt>
                <c:pt idx="14">
                  <c:v>0.73704687950000225</c:v>
                </c:pt>
                <c:pt idx="15">
                  <c:v>0.90302675129999999</c:v>
                </c:pt>
                <c:pt idx="16">
                  <c:v>1.5576961672999952</c:v>
                </c:pt>
                <c:pt idx="17">
                  <c:v>1.5775976013999964</c:v>
                </c:pt>
                <c:pt idx="18">
                  <c:v>1.4082419248000038</c:v>
                </c:pt>
                <c:pt idx="19">
                  <c:v>1.2753367872999923</c:v>
                </c:pt>
                <c:pt idx="20">
                  <c:v>0.89761791499999999</c:v>
                </c:pt>
                <c:pt idx="21">
                  <c:v>1.3560281677999999</c:v>
                </c:pt>
                <c:pt idx="22">
                  <c:v>1.0818920476999951</c:v>
                </c:pt>
                <c:pt idx="23">
                  <c:v>0.97478822030000201</c:v>
                </c:pt>
                <c:pt idx="24">
                  <c:v>2.3352590817999967</c:v>
                </c:pt>
                <c:pt idx="25">
                  <c:v>2.9811544730000001</c:v>
                </c:pt>
                <c:pt idx="26">
                  <c:v>2.4751415586000012</c:v>
                </c:pt>
                <c:pt idx="27">
                  <c:v>2.8660617062</c:v>
                </c:pt>
                <c:pt idx="28">
                  <c:v>2.7134861205999998</c:v>
                </c:pt>
                <c:pt idx="29">
                  <c:v>2.5977013177000012</c:v>
                </c:pt>
                <c:pt idx="30">
                  <c:v>2.8343727586000012</c:v>
                </c:pt>
                <c:pt idx="31">
                  <c:v>4.3288241920999955</c:v>
                </c:pt>
                <c:pt idx="32">
                  <c:v>3.3211529378999987</c:v>
                </c:pt>
                <c:pt idx="33">
                  <c:v>2.5547420434999997</c:v>
                </c:pt>
                <c:pt idx="34">
                  <c:v>3.2358289516999998</c:v>
                </c:pt>
                <c:pt idx="35">
                  <c:v>3.0085417829000081</c:v>
                </c:pt>
                <c:pt idx="36">
                  <c:v>2.1908309780000002</c:v>
                </c:pt>
                <c:pt idx="37">
                  <c:v>3.1115312271000071</c:v>
                </c:pt>
                <c:pt idx="38">
                  <c:v>2.6679520820000002</c:v>
                </c:pt>
                <c:pt idx="39">
                  <c:v>2.0273567211000012</c:v>
                </c:pt>
                <c:pt idx="40">
                  <c:v>2.5966470239999921</c:v>
                </c:pt>
                <c:pt idx="41">
                  <c:v>2.1128000742999977</c:v>
                </c:pt>
                <c:pt idx="42">
                  <c:v>1.7780280058</c:v>
                </c:pt>
                <c:pt idx="43">
                  <c:v>3.7764396515</c:v>
                </c:pt>
                <c:pt idx="44">
                  <c:v>2.1246666492999999</c:v>
                </c:pt>
                <c:pt idx="45">
                  <c:v>2.9087899229</c:v>
                </c:pt>
                <c:pt idx="46">
                  <c:v>2.6320799866999987</c:v>
                </c:pt>
              </c:numCache>
            </c:numRef>
          </c:val>
        </c:ser>
        <c:ser>
          <c:idx val="3"/>
          <c:order val="3"/>
          <c:tx>
            <c:strRef>
              <c:f>us_fdiflowsstock_93386946161573!$A$10</c:f>
              <c:strCache>
                <c:ptCount val="1"/>
                <c:pt idx="0">
                  <c:v>Turkey</c:v>
                </c:pt>
              </c:strCache>
            </c:strRef>
          </c:tx>
          <c:spPr>
            <a:ln>
              <a:solidFill>
                <a:schemeClr val="tx2">
                  <a:lumMod val="50000"/>
                </a:schemeClr>
              </a:solidFill>
            </a:ln>
          </c:spPr>
          <c:marker>
            <c:symbol val="none"/>
          </c:marker>
          <c:cat>
            <c:strRef>
              <c:f>us_fdiflowsstock_93386946161573!$B$6:$AV$6</c:f>
              <c:strCache>
                <c:ptCount val="47"/>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strCache>
            </c:strRef>
          </c:cat>
          <c:val>
            <c:numRef>
              <c:f>us_fdiflowsstock_93386946161573!$B$10:$AV$10</c:f>
              <c:numCache>
                <c:formatCode>General</c:formatCode>
                <c:ptCount val="47"/>
                <c:pt idx="0">
                  <c:v>0.23727605939999999</c:v>
                </c:pt>
                <c:pt idx="1">
                  <c:v>0.1951672049</c:v>
                </c:pt>
                <c:pt idx="2">
                  <c:v>0.14840424880000092</c:v>
                </c:pt>
                <c:pt idx="3">
                  <c:v>0.21712317859999999</c:v>
                </c:pt>
                <c:pt idx="4">
                  <c:v>0.12751403890000004</c:v>
                </c:pt>
                <c:pt idx="5">
                  <c:v>0.18171736640000086</c:v>
                </c:pt>
                <c:pt idx="6">
                  <c:v>1.3934750400000001E-2</c:v>
                </c:pt>
                <c:pt idx="7">
                  <c:v>3.2991451800000002E-2</c:v>
                </c:pt>
                <c:pt idx="8">
                  <c:v>3.7632887200000117E-2</c:v>
                </c:pt>
                <c:pt idx="9">
                  <c:v>6.0817914100000273E-2</c:v>
                </c:pt>
                <c:pt idx="10">
                  <c:v>1.946437070000008E-2</c:v>
                </c:pt>
                <c:pt idx="11">
                  <c:v>9.9481035800000006E-2</c:v>
                </c:pt>
                <c:pt idx="12">
                  <c:v>6.3390169299999979E-2</c:v>
                </c:pt>
                <c:pt idx="13">
                  <c:v>5.5480567900000034E-2</c:v>
                </c:pt>
                <c:pt idx="14">
                  <c:v>0.1401267527</c:v>
                </c:pt>
                <c:pt idx="15">
                  <c:v>0.10953875070000028</c:v>
                </c:pt>
                <c:pt idx="16">
                  <c:v>0.12279439800000012</c:v>
                </c:pt>
                <c:pt idx="17">
                  <c:v>9.8143273399999995E-2</c:v>
                </c:pt>
                <c:pt idx="18">
                  <c:v>0.28985780170000136</c:v>
                </c:pt>
                <c:pt idx="19">
                  <c:v>0.46033006900000101</c:v>
                </c:pt>
                <c:pt idx="20">
                  <c:v>0.33770143300000038</c:v>
                </c:pt>
                <c:pt idx="21">
                  <c:v>0.39894257690000201</c:v>
                </c:pt>
                <c:pt idx="22">
                  <c:v>0.39464570800000032</c:v>
                </c:pt>
                <c:pt idx="23">
                  <c:v>0.26223422210000003</c:v>
                </c:pt>
                <c:pt idx="24">
                  <c:v>0.34618585899999998</c:v>
                </c:pt>
                <c:pt idx="25">
                  <c:v>0.38882849050000201</c:v>
                </c:pt>
                <c:pt idx="26">
                  <c:v>0.29598286690000208</c:v>
                </c:pt>
                <c:pt idx="27">
                  <c:v>0.31538550450000113</c:v>
                </c:pt>
                <c:pt idx="28">
                  <c:v>0.34910229090000089</c:v>
                </c:pt>
                <c:pt idx="29">
                  <c:v>0.31349888010000154</c:v>
                </c:pt>
                <c:pt idx="30">
                  <c:v>0.36839784940000031</c:v>
                </c:pt>
                <c:pt idx="31">
                  <c:v>1.710141298999994</c:v>
                </c:pt>
                <c:pt idx="32">
                  <c:v>0.46531533300000089</c:v>
                </c:pt>
                <c:pt idx="33">
                  <c:v>0.56170080500000064</c:v>
                </c:pt>
                <c:pt idx="34">
                  <c:v>0.71017651150000005</c:v>
                </c:pt>
                <c:pt idx="35">
                  <c:v>2.0768721753999917</c:v>
                </c:pt>
                <c:pt idx="36">
                  <c:v>3.8019096105999997</c:v>
                </c:pt>
                <c:pt idx="37">
                  <c:v>3.4068373834999988</c:v>
                </c:pt>
                <c:pt idx="38">
                  <c:v>2.7181037720000081</c:v>
                </c:pt>
                <c:pt idx="39">
                  <c:v>1.3969119559000001</c:v>
                </c:pt>
                <c:pt idx="40">
                  <c:v>1.2427093876999928</c:v>
                </c:pt>
                <c:pt idx="41">
                  <c:v>2.0834431035999987</c:v>
                </c:pt>
                <c:pt idx="42">
                  <c:v>1.7279301922999921</c:v>
                </c:pt>
                <c:pt idx="43">
                  <c:v>1.5512191870999956</c:v>
                </c:pt>
                <c:pt idx="44">
                  <c:v>1.5603037744999999</c:v>
                </c:pt>
                <c:pt idx="45">
                  <c:v>2.4040716606000001</c:v>
                </c:pt>
                <c:pt idx="46">
                  <c:v>1.6865149938999999</c:v>
                </c:pt>
              </c:numCache>
            </c:numRef>
          </c:val>
        </c:ser>
        <c:ser>
          <c:idx val="4"/>
          <c:order val="4"/>
          <c:tx>
            <c:strRef>
              <c:f>us_fdiflowsstock_93386946161573!$A$11</c:f>
              <c:strCache>
                <c:ptCount val="1"/>
                <c:pt idx="0">
                  <c:v>Developing economies</c:v>
                </c:pt>
              </c:strCache>
            </c:strRef>
          </c:tx>
          <c:spPr>
            <a:ln>
              <a:solidFill>
                <a:schemeClr val="accent6">
                  <a:lumMod val="75000"/>
                </a:schemeClr>
              </a:solidFill>
            </a:ln>
          </c:spPr>
          <c:marker>
            <c:symbol val="none"/>
          </c:marker>
          <c:cat>
            <c:strRef>
              <c:f>us_fdiflowsstock_93386946161573!$B$6:$AV$6</c:f>
              <c:strCache>
                <c:ptCount val="47"/>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strCache>
            </c:strRef>
          </c:cat>
          <c:val>
            <c:numRef>
              <c:f>us_fdiflowsstock_93386946161573!$B$11:$AV$11</c:f>
              <c:numCache>
                <c:formatCode>General</c:formatCode>
                <c:ptCount val="47"/>
                <c:pt idx="0">
                  <c:v>0.81992316589999958</c:v>
                </c:pt>
                <c:pt idx="1">
                  <c:v>0.69744791650000226</c:v>
                </c:pt>
                <c:pt idx="2">
                  <c:v>0.56693510050000062</c:v>
                </c:pt>
                <c:pt idx="3">
                  <c:v>0.68561896950000001</c:v>
                </c:pt>
                <c:pt idx="4">
                  <c:v>0.23292112970000001</c:v>
                </c:pt>
                <c:pt idx="5">
                  <c:v>0.86717397690000064</c:v>
                </c:pt>
                <c:pt idx="6">
                  <c:v>0.50544000899999997</c:v>
                </c:pt>
                <c:pt idx="7">
                  <c:v>0.47905119460000001</c:v>
                </c:pt>
                <c:pt idx="8">
                  <c:v>0.54504834169999994</c:v>
                </c:pt>
                <c:pt idx="9">
                  <c:v>0.37496665150000136</c:v>
                </c:pt>
                <c:pt idx="10">
                  <c:v>0.27795728749999998</c:v>
                </c:pt>
                <c:pt idx="11">
                  <c:v>0.83449526130000062</c:v>
                </c:pt>
                <c:pt idx="12">
                  <c:v>0.95180116330000064</c:v>
                </c:pt>
                <c:pt idx="13">
                  <c:v>0.64817588730000308</c:v>
                </c:pt>
                <c:pt idx="14">
                  <c:v>0.6147999151000032</c:v>
                </c:pt>
                <c:pt idx="15">
                  <c:v>0.51817956060000003</c:v>
                </c:pt>
                <c:pt idx="16">
                  <c:v>0.60463378070000007</c:v>
                </c:pt>
                <c:pt idx="17">
                  <c:v>0.75970325290000273</c:v>
                </c:pt>
                <c:pt idx="18">
                  <c:v>0.93929147589999995</c:v>
                </c:pt>
                <c:pt idx="19">
                  <c:v>0.85368223820000178</c:v>
                </c:pt>
                <c:pt idx="20">
                  <c:v>0.87783519840000201</c:v>
                </c:pt>
                <c:pt idx="21">
                  <c:v>0.94252912760000063</c:v>
                </c:pt>
                <c:pt idx="22">
                  <c:v>1.1711013826999956</c:v>
                </c:pt>
                <c:pt idx="23">
                  <c:v>1.5282446151999938</c:v>
                </c:pt>
                <c:pt idx="24">
                  <c:v>1.933911589</c:v>
                </c:pt>
                <c:pt idx="25">
                  <c:v>1.9615634841</c:v>
                </c:pt>
                <c:pt idx="26">
                  <c:v>2.2453593347999998</c:v>
                </c:pt>
                <c:pt idx="27">
                  <c:v>2.7035343664000173</c:v>
                </c:pt>
                <c:pt idx="28">
                  <c:v>2.7109983781000002</c:v>
                </c:pt>
                <c:pt idx="29">
                  <c:v>3.3061127457000001</c:v>
                </c:pt>
                <c:pt idx="30">
                  <c:v>3.266996131</c:v>
                </c:pt>
                <c:pt idx="31">
                  <c:v>3.0651721267999998</c:v>
                </c:pt>
                <c:pt idx="32">
                  <c:v>2.365193652800007</c:v>
                </c:pt>
                <c:pt idx="33">
                  <c:v>2.5306968652999999</c:v>
                </c:pt>
                <c:pt idx="34">
                  <c:v>2.8404353722</c:v>
                </c:pt>
                <c:pt idx="35">
                  <c:v>3.0558005154999988</c:v>
                </c:pt>
                <c:pt idx="36">
                  <c:v>3.1748123737999987</c:v>
                </c:pt>
                <c:pt idx="37">
                  <c:v>3.4549184383999987</c:v>
                </c:pt>
                <c:pt idx="38">
                  <c:v>3.2586351347999987</c:v>
                </c:pt>
                <c:pt idx="39">
                  <c:v>2.6453334968000002</c:v>
                </c:pt>
                <c:pt idx="40">
                  <c:v>2.9708769257999967</c:v>
                </c:pt>
                <c:pt idx="41">
                  <c:v>2.7190753743999987</c:v>
                </c:pt>
                <c:pt idx="42">
                  <c:v>2.4896691876999997</c:v>
                </c:pt>
                <c:pt idx="43">
                  <c:v>2.3603245916000071</c:v>
                </c:pt>
                <c:pt idx="44">
                  <c:v>2.3652699819999987</c:v>
                </c:pt>
                <c:pt idx="45">
                  <c:v>2.60353739710001</c:v>
                </c:pt>
                <c:pt idx="46">
                  <c:v>2.146491631</c:v>
                </c:pt>
              </c:numCache>
            </c:numRef>
          </c:val>
        </c:ser>
        <c:marker val="1"/>
        <c:axId val="154630016"/>
        <c:axId val="154631552"/>
      </c:lineChart>
      <c:catAx>
        <c:axId val="154630016"/>
        <c:scaling>
          <c:orientation val="minMax"/>
        </c:scaling>
        <c:axPos val="b"/>
        <c:majorTickMark val="none"/>
        <c:tickLblPos val="nextTo"/>
        <c:txPr>
          <a:bodyPr/>
          <a:lstStyle/>
          <a:p>
            <a:pPr>
              <a:defRPr lang="en-US"/>
            </a:pPr>
            <a:endParaRPr lang="tr-TR"/>
          </a:p>
        </c:txPr>
        <c:crossAx val="154631552"/>
        <c:crosses val="autoZero"/>
        <c:auto val="1"/>
        <c:lblAlgn val="ctr"/>
        <c:lblOffset val="100"/>
      </c:catAx>
      <c:valAx>
        <c:axId val="154631552"/>
        <c:scaling>
          <c:orientation val="minMax"/>
        </c:scaling>
        <c:axPos val="l"/>
        <c:majorGridlines/>
        <c:title>
          <c:tx>
            <c:rich>
              <a:bodyPr/>
              <a:lstStyle/>
              <a:p>
                <a:pPr>
                  <a:defRPr lang="en-US"/>
                </a:pPr>
                <a:r>
                  <a:rPr lang="en-US"/>
                  <a:t>%</a:t>
                </a:r>
                <a:r>
                  <a:rPr lang="en-US" baseline="0"/>
                  <a:t> of GDP</a:t>
                </a:r>
                <a:endParaRPr lang="tr-TR"/>
              </a:p>
            </c:rich>
          </c:tx>
          <c:layout/>
        </c:title>
        <c:numFmt formatCode="General" sourceLinked="1"/>
        <c:majorTickMark val="none"/>
        <c:tickLblPos val="nextTo"/>
        <c:txPr>
          <a:bodyPr/>
          <a:lstStyle/>
          <a:p>
            <a:pPr>
              <a:defRPr lang="en-US"/>
            </a:pPr>
            <a:endParaRPr lang="tr-TR"/>
          </a:p>
        </c:txPr>
        <c:crossAx val="154630016"/>
        <c:crosses val="autoZero"/>
        <c:crossBetween val="between"/>
      </c:valAx>
    </c:plotArea>
    <c:legend>
      <c:legendPos val="r"/>
      <c:layout>
        <c:manualLayout>
          <c:xMode val="edge"/>
          <c:yMode val="edge"/>
          <c:x val="0.7825824538487095"/>
          <c:y val="0.19417423506993139"/>
          <c:w val="0.18489722584647081"/>
          <c:h val="0.65904864631647686"/>
        </c:manualLayout>
      </c:layout>
      <c:txPr>
        <a:bodyPr/>
        <a:lstStyle/>
        <a:p>
          <a:pPr>
            <a:defRPr lang="en-US"/>
          </a:pPr>
          <a:endParaRPr lang="tr-TR"/>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autoTitleDeleted val="1"/>
    <c:plotArea>
      <c:layout/>
      <c:lineChart>
        <c:grouping val="standard"/>
        <c:ser>
          <c:idx val="0"/>
          <c:order val="0"/>
          <c:tx>
            <c:strRef>
              <c:f>Sayfa2!$A$9</c:f>
              <c:strCache>
                <c:ptCount val="1"/>
                <c:pt idx="0">
                  <c:v>Turkey</c:v>
                </c:pt>
              </c:strCache>
            </c:strRef>
          </c:tx>
          <c:marker>
            <c:symbol val="none"/>
          </c:marker>
          <c:cat>
            <c:strRef>
              <c:f>Sayfa2!$B$1:$O$1</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Sayfa2!$B$9:$O$9</c:f>
              <c:numCache>
                <c:formatCode>#,##0.0_ ;\-#,##0.0\ </c:formatCode>
                <c:ptCount val="14"/>
                <c:pt idx="0">
                  <c:v>3</c:v>
                </c:pt>
                <c:pt idx="1">
                  <c:v>3</c:v>
                </c:pt>
                <c:pt idx="2">
                  <c:v>61</c:v>
                </c:pt>
                <c:pt idx="3">
                  <c:v>100</c:v>
                </c:pt>
                <c:pt idx="4">
                  <c:v>145</c:v>
                </c:pt>
                <c:pt idx="5">
                  <c:v>17</c:v>
                </c:pt>
                <c:pt idx="6">
                  <c:v>122</c:v>
                </c:pt>
                <c:pt idx="7">
                  <c:v>595</c:v>
                </c:pt>
                <c:pt idx="8">
                  <c:v>1108</c:v>
                </c:pt>
                <c:pt idx="9">
                  <c:v>2428</c:v>
                </c:pt>
                <c:pt idx="10">
                  <c:v>2153</c:v>
                </c:pt>
                <c:pt idx="11">
                  <c:v>4525</c:v>
                </c:pt>
                <c:pt idx="12">
                  <c:v>873</c:v>
                </c:pt>
                <c:pt idx="13">
                  <c:v>2111</c:v>
                </c:pt>
              </c:numCache>
            </c:numRef>
          </c:val>
        </c:ser>
        <c:ser>
          <c:idx val="1"/>
          <c:order val="1"/>
          <c:tx>
            <c:strRef>
              <c:f>Sayfa2!$A$10</c:f>
              <c:strCache>
                <c:ptCount val="1"/>
                <c:pt idx="0">
                  <c:v>Average</c:v>
                </c:pt>
              </c:strCache>
            </c:strRef>
          </c:tx>
          <c:marker>
            <c:symbol val="none"/>
          </c:marker>
          <c:cat>
            <c:strRef>
              <c:f>Sayfa2!$B$1:$O$1</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Sayfa2!$B$10:$O$10</c:f>
              <c:numCache>
                <c:formatCode>#,##0.0_ ;\-#,##0.0\ </c:formatCode>
                <c:ptCount val="14"/>
                <c:pt idx="0">
                  <c:v>563.22328571428568</c:v>
                </c:pt>
                <c:pt idx="1">
                  <c:v>780.52928571428549</c:v>
                </c:pt>
                <c:pt idx="2">
                  <c:v>506.17800000000005</c:v>
                </c:pt>
                <c:pt idx="3">
                  <c:v>-40.569857142857167</c:v>
                </c:pt>
                <c:pt idx="4">
                  <c:v>-21.534857142857149</c:v>
                </c:pt>
                <c:pt idx="5">
                  <c:v>589.20157142857227</c:v>
                </c:pt>
                <c:pt idx="6">
                  <c:v>196.77371428571408</c:v>
                </c:pt>
                <c:pt idx="7">
                  <c:v>765.32214285714292</c:v>
                </c:pt>
                <c:pt idx="8">
                  <c:v>2406.002</c:v>
                </c:pt>
                <c:pt idx="9">
                  <c:v>4372.760428571436</c:v>
                </c:pt>
                <c:pt idx="10">
                  <c:v>1410.4570000000001</c:v>
                </c:pt>
                <c:pt idx="11">
                  <c:v>1905.0185714285731</c:v>
                </c:pt>
                <c:pt idx="12">
                  <c:v>-498.91771428571423</c:v>
                </c:pt>
                <c:pt idx="13">
                  <c:v>6.6374285714285675</c:v>
                </c:pt>
              </c:numCache>
            </c:numRef>
          </c:val>
        </c:ser>
        <c:marker val="1"/>
        <c:axId val="154663168"/>
        <c:axId val="155586560"/>
      </c:lineChart>
      <c:catAx>
        <c:axId val="154663168"/>
        <c:scaling>
          <c:orientation val="minMax"/>
        </c:scaling>
        <c:axPos val="b"/>
        <c:tickLblPos val="nextTo"/>
        <c:txPr>
          <a:bodyPr rot="-5400000" vert="horz"/>
          <a:lstStyle/>
          <a:p>
            <a:pPr>
              <a:defRPr/>
            </a:pPr>
            <a:endParaRPr lang="tr-TR"/>
          </a:p>
        </c:txPr>
        <c:crossAx val="155586560"/>
        <c:crosses val="autoZero"/>
        <c:auto val="1"/>
        <c:lblAlgn val="ctr"/>
        <c:lblOffset val="100"/>
      </c:catAx>
      <c:valAx>
        <c:axId val="155586560"/>
        <c:scaling>
          <c:orientation val="minMax"/>
        </c:scaling>
        <c:axPos val="l"/>
        <c:majorGridlines/>
        <c:title>
          <c:tx>
            <c:rich>
              <a:bodyPr rot="-5400000" vert="horz"/>
              <a:lstStyle/>
              <a:p>
                <a:pPr>
                  <a:defRPr/>
                </a:pPr>
                <a:r>
                  <a:rPr lang="en-US"/>
                  <a:t>Million USD</a:t>
                </a:r>
              </a:p>
            </c:rich>
          </c:tx>
          <c:layout/>
        </c:title>
        <c:numFmt formatCode="#,##0.0_ ;\-#,##0.0\ " sourceLinked="1"/>
        <c:tickLblPos val="nextTo"/>
        <c:crossAx val="15466316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r-TR"/>
  <c:style val="18"/>
  <c:chart>
    <c:autoTitleDeleted val="1"/>
    <c:plotArea>
      <c:layout/>
      <c:barChart>
        <c:barDir val="col"/>
        <c:grouping val="clustered"/>
        <c:ser>
          <c:idx val="0"/>
          <c:order val="0"/>
          <c:tx>
            <c:v>2003</c:v>
          </c:tx>
          <c:spPr>
            <a:gradFill flip="none" rotWithShape="1">
              <a:gsLst>
                <a:gs pos="0">
                  <a:srgbClr val="03D4A8"/>
                </a:gs>
                <a:gs pos="25000">
                  <a:srgbClr val="21D6E0"/>
                </a:gs>
                <a:gs pos="75000">
                  <a:srgbClr val="0087E6"/>
                </a:gs>
                <a:gs pos="100000">
                  <a:srgbClr val="005CBF"/>
                </a:gs>
              </a:gsLst>
              <a:path path="circle">
                <a:fillToRect l="100000" t="100000"/>
              </a:path>
              <a:tileRect r="-100000" b="-100000"/>
            </a:gradFill>
          </c:spPr>
          <c:cat>
            <c:strRef>
              <c:f>'OECD.Stat export'!$A$1:$A$37</c:f>
              <c:strCache>
                <c:ptCount val="36"/>
                <c:pt idx="0">
                  <c:v>New Zealand</c:v>
                </c:pt>
                <c:pt idx="1">
                  <c:v>Mexico</c:v>
                </c:pt>
                <c:pt idx="2">
                  <c:v>Iceland</c:v>
                </c:pt>
                <c:pt idx="3">
                  <c:v>Canada</c:v>
                </c:pt>
                <c:pt idx="4">
                  <c:v>Australia</c:v>
                </c:pt>
                <c:pt idx="5">
                  <c:v>Korea</c:v>
                </c:pt>
                <c:pt idx="6">
                  <c:v>Israel</c:v>
                </c:pt>
                <c:pt idx="7">
                  <c:v>Austria</c:v>
                </c:pt>
                <c:pt idx="8">
                  <c:v>United States</c:v>
                </c:pt>
                <c:pt idx="9">
                  <c:v>Norway</c:v>
                </c:pt>
                <c:pt idx="10">
                  <c:v>Switzerland</c:v>
                </c:pt>
                <c:pt idx="11">
                  <c:v>Poland</c:v>
                </c:pt>
                <c:pt idx="12">
                  <c:v>OECD - Average</c:v>
                </c:pt>
                <c:pt idx="13">
                  <c:v>Sweden</c:v>
                </c:pt>
                <c:pt idx="14">
                  <c:v>Turkey</c:v>
                </c:pt>
                <c:pt idx="15">
                  <c:v>Chile</c:v>
                </c:pt>
                <c:pt idx="16">
                  <c:v>Italy</c:v>
                </c:pt>
                <c:pt idx="17">
                  <c:v>Japan</c:v>
                </c:pt>
                <c:pt idx="18">
                  <c:v>Slovak Republic</c:v>
                </c:pt>
                <c:pt idx="19">
                  <c:v>France</c:v>
                </c:pt>
                <c:pt idx="20">
                  <c:v>Ireland</c:v>
                </c:pt>
                <c:pt idx="21">
                  <c:v>Belgium</c:v>
                </c:pt>
                <c:pt idx="22">
                  <c:v>United Kingdom</c:v>
                </c:pt>
                <c:pt idx="23">
                  <c:v>Denmark</c:v>
                </c:pt>
                <c:pt idx="24">
                  <c:v>Greece</c:v>
                </c:pt>
                <c:pt idx="25">
                  <c:v>Hungary</c:v>
                </c:pt>
                <c:pt idx="26">
                  <c:v>Latvia</c:v>
                </c:pt>
                <c:pt idx="27">
                  <c:v>Germany</c:v>
                </c:pt>
                <c:pt idx="28">
                  <c:v>Spain</c:v>
                </c:pt>
                <c:pt idx="29">
                  <c:v>Finland</c:v>
                </c:pt>
                <c:pt idx="30">
                  <c:v>Estonia</c:v>
                </c:pt>
                <c:pt idx="31">
                  <c:v>Netherlands</c:v>
                </c:pt>
                <c:pt idx="32">
                  <c:v>Czech Republic</c:v>
                </c:pt>
                <c:pt idx="33">
                  <c:v>Portugal</c:v>
                </c:pt>
                <c:pt idx="34">
                  <c:v>Slovenia</c:v>
                </c:pt>
                <c:pt idx="35">
                  <c:v>Luxembourg</c:v>
                </c:pt>
              </c:strCache>
            </c:strRef>
          </c:cat>
          <c:val>
            <c:numRef>
              <c:f>'OECD.Stat export'!$B$1:$B$37</c:f>
              <c:numCache>
                <c:formatCode>#,##0.000_ ;\-#,##0.000\ </c:formatCode>
                <c:ptCount val="36"/>
                <c:pt idx="0">
                  <c:v>0.24000000000000021</c:v>
                </c:pt>
                <c:pt idx="1">
                  <c:v>0.24500000000000027</c:v>
                </c:pt>
                <c:pt idx="2">
                  <c:v>0.16700000000000001</c:v>
                </c:pt>
                <c:pt idx="3">
                  <c:v>0.26300000000000001</c:v>
                </c:pt>
                <c:pt idx="4">
                  <c:v>0.24600000000000027</c:v>
                </c:pt>
                <c:pt idx="5">
                  <c:v>0.14800000000000021</c:v>
                </c:pt>
                <c:pt idx="6">
                  <c:v>0.11799999999999998</c:v>
                </c:pt>
                <c:pt idx="7">
                  <c:v>0.14900000000000024</c:v>
                </c:pt>
                <c:pt idx="8">
                  <c:v>8.9000000000000065E-2</c:v>
                </c:pt>
                <c:pt idx="9">
                  <c:v>9.4000000000000028E-2</c:v>
                </c:pt>
                <c:pt idx="10">
                  <c:v>0.15400000000000028</c:v>
                </c:pt>
                <c:pt idx="11">
                  <c:v>8.3000000000000046E-2</c:v>
                </c:pt>
                <c:pt idx="12">
                  <c:v>9.8000000000000226E-2</c:v>
                </c:pt>
                <c:pt idx="13">
                  <c:v>7.900000000000014E-2</c:v>
                </c:pt>
                <c:pt idx="14">
                  <c:v>0.28300000000000008</c:v>
                </c:pt>
                <c:pt idx="15">
                  <c:v>6.3E-2</c:v>
                </c:pt>
                <c:pt idx="16">
                  <c:v>5.8000000000000003E-2</c:v>
                </c:pt>
                <c:pt idx="17">
                  <c:v>6.4000000000000112E-2</c:v>
                </c:pt>
                <c:pt idx="18">
                  <c:v>5.5000000000000014E-2</c:v>
                </c:pt>
                <c:pt idx="19">
                  <c:v>5.5000000000000014E-2</c:v>
                </c:pt>
                <c:pt idx="20">
                  <c:v>0.05</c:v>
                </c:pt>
                <c:pt idx="21">
                  <c:v>4.5999999999999999E-2</c:v>
                </c:pt>
                <c:pt idx="22">
                  <c:v>5.9000000000000101E-2</c:v>
                </c:pt>
                <c:pt idx="23">
                  <c:v>3.7999999999999999E-2</c:v>
                </c:pt>
                <c:pt idx="24">
                  <c:v>7.0999999999999994E-2</c:v>
                </c:pt>
                <c:pt idx="25">
                  <c:v>6.1000000000000013E-2</c:v>
                </c:pt>
                <c:pt idx="26">
                  <c:v>5.9000000000000101E-2</c:v>
                </c:pt>
                <c:pt idx="27">
                  <c:v>3.0000000000000002E-2</c:v>
                </c:pt>
                <c:pt idx="28">
                  <c:v>3.5999999999999997E-2</c:v>
                </c:pt>
                <c:pt idx="29">
                  <c:v>0.17800000000000021</c:v>
                </c:pt>
                <c:pt idx="30">
                  <c:v>3.9000000000000014E-2</c:v>
                </c:pt>
                <c:pt idx="31">
                  <c:v>2.0000000000000011E-2</c:v>
                </c:pt>
                <c:pt idx="32">
                  <c:v>2.3E-2</c:v>
                </c:pt>
                <c:pt idx="33">
                  <c:v>4.3000000000000003E-2</c:v>
                </c:pt>
                <c:pt idx="34">
                  <c:v>2.1000000000000012E-2</c:v>
                </c:pt>
                <c:pt idx="35">
                  <c:v>4.0000000000000088E-3</c:v>
                </c:pt>
              </c:numCache>
            </c:numRef>
          </c:val>
        </c:ser>
        <c:ser>
          <c:idx val="1"/>
          <c:order val="1"/>
          <c:tx>
            <c:v>2016</c:v>
          </c:tx>
          <c:cat>
            <c:strRef>
              <c:f>'OECD.Stat export'!$A$1:$A$37</c:f>
              <c:strCache>
                <c:ptCount val="36"/>
                <c:pt idx="0">
                  <c:v>New Zealand</c:v>
                </c:pt>
                <c:pt idx="1">
                  <c:v>Mexico</c:v>
                </c:pt>
                <c:pt idx="2">
                  <c:v>Iceland</c:v>
                </c:pt>
                <c:pt idx="3">
                  <c:v>Canada</c:v>
                </c:pt>
                <c:pt idx="4">
                  <c:v>Australia</c:v>
                </c:pt>
                <c:pt idx="5">
                  <c:v>Korea</c:v>
                </c:pt>
                <c:pt idx="6">
                  <c:v>Israel</c:v>
                </c:pt>
                <c:pt idx="7">
                  <c:v>Austria</c:v>
                </c:pt>
                <c:pt idx="8">
                  <c:v>United States</c:v>
                </c:pt>
                <c:pt idx="9">
                  <c:v>Norway</c:v>
                </c:pt>
                <c:pt idx="10">
                  <c:v>Switzerland</c:v>
                </c:pt>
                <c:pt idx="11">
                  <c:v>Poland</c:v>
                </c:pt>
                <c:pt idx="12">
                  <c:v>OECD - Average</c:v>
                </c:pt>
                <c:pt idx="13">
                  <c:v>Sweden</c:v>
                </c:pt>
                <c:pt idx="14">
                  <c:v>Turkey</c:v>
                </c:pt>
                <c:pt idx="15">
                  <c:v>Chile</c:v>
                </c:pt>
                <c:pt idx="16">
                  <c:v>Italy</c:v>
                </c:pt>
                <c:pt idx="17">
                  <c:v>Japan</c:v>
                </c:pt>
                <c:pt idx="18">
                  <c:v>Slovak Republic</c:v>
                </c:pt>
                <c:pt idx="19">
                  <c:v>France</c:v>
                </c:pt>
                <c:pt idx="20">
                  <c:v>Ireland</c:v>
                </c:pt>
                <c:pt idx="21">
                  <c:v>Belgium</c:v>
                </c:pt>
                <c:pt idx="22">
                  <c:v>United Kingdom</c:v>
                </c:pt>
                <c:pt idx="23">
                  <c:v>Denmark</c:v>
                </c:pt>
                <c:pt idx="24">
                  <c:v>Greece</c:v>
                </c:pt>
                <c:pt idx="25">
                  <c:v>Hungary</c:v>
                </c:pt>
                <c:pt idx="26">
                  <c:v>Latvia</c:v>
                </c:pt>
                <c:pt idx="27">
                  <c:v>Germany</c:v>
                </c:pt>
                <c:pt idx="28">
                  <c:v>Spain</c:v>
                </c:pt>
                <c:pt idx="29">
                  <c:v>Finland</c:v>
                </c:pt>
                <c:pt idx="30">
                  <c:v>Estonia</c:v>
                </c:pt>
                <c:pt idx="31">
                  <c:v>Netherlands</c:v>
                </c:pt>
                <c:pt idx="32">
                  <c:v>Czech Republic</c:v>
                </c:pt>
                <c:pt idx="33">
                  <c:v>Portugal</c:v>
                </c:pt>
                <c:pt idx="34">
                  <c:v>Slovenia</c:v>
                </c:pt>
                <c:pt idx="35">
                  <c:v>Luxembourg</c:v>
                </c:pt>
              </c:strCache>
            </c:strRef>
          </c:cat>
          <c:val>
            <c:numRef>
              <c:f>'OECD.Stat export'!$C$1:$C$37</c:f>
              <c:numCache>
                <c:formatCode>#,##0.000_ ;\-#,##0.000\ </c:formatCode>
                <c:ptCount val="36"/>
                <c:pt idx="0">
                  <c:v>0.24000000000000021</c:v>
                </c:pt>
                <c:pt idx="1">
                  <c:v>0.193</c:v>
                </c:pt>
                <c:pt idx="2">
                  <c:v>0.16700000000000001</c:v>
                </c:pt>
                <c:pt idx="3">
                  <c:v>0.16600000000000001</c:v>
                </c:pt>
                <c:pt idx="4">
                  <c:v>0.14600000000000021</c:v>
                </c:pt>
                <c:pt idx="5">
                  <c:v>0.13500000000000001</c:v>
                </c:pt>
                <c:pt idx="6">
                  <c:v>0.11799999999999998</c:v>
                </c:pt>
                <c:pt idx="7">
                  <c:v>0.10600000000000002</c:v>
                </c:pt>
                <c:pt idx="8">
                  <c:v>8.9000000000000065E-2</c:v>
                </c:pt>
                <c:pt idx="9">
                  <c:v>8.5000000000000006E-2</c:v>
                </c:pt>
                <c:pt idx="10">
                  <c:v>8.3000000000000046E-2</c:v>
                </c:pt>
                <c:pt idx="11">
                  <c:v>7.1999999999999995E-2</c:v>
                </c:pt>
                <c:pt idx="12">
                  <c:v>6.7000000000000004E-2</c:v>
                </c:pt>
                <c:pt idx="13">
                  <c:v>5.9000000000000101E-2</c:v>
                </c:pt>
                <c:pt idx="14">
                  <c:v>5.9000000000000101E-2</c:v>
                </c:pt>
                <c:pt idx="15">
                  <c:v>5.7000000000000023E-2</c:v>
                </c:pt>
                <c:pt idx="16">
                  <c:v>5.1999999999999998E-2</c:v>
                </c:pt>
                <c:pt idx="17">
                  <c:v>5.1999999999999998E-2</c:v>
                </c:pt>
                <c:pt idx="18">
                  <c:v>4.9000000000000092E-2</c:v>
                </c:pt>
                <c:pt idx="19">
                  <c:v>4.5000000000000012E-2</c:v>
                </c:pt>
                <c:pt idx="20">
                  <c:v>4.3000000000000003E-2</c:v>
                </c:pt>
                <c:pt idx="21">
                  <c:v>4.0000000000000022E-2</c:v>
                </c:pt>
                <c:pt idx="22">
                  <c:v>4.0000000000000022E-2</c:v>
                </c:pt>
                <c:pt idx="23">
                  <c:v>3.3000000000000002E-2</c:v>
                </c:pt>
                <c:pt idx="24">
                  <c:v>3.2000000000000042E-2</c:v>
                </c:pt>
                <c:pt idx="25">
                  <c:v>2.9000000000000001E-2</c:v>
                </c:pt>
                <c:pt idx="26">
                  <c:v>2.5999999999999999E-2</c:v>
                </c:pt>
                <c:pt idx="27">
                  <c:v>2.3E-2</c:v>
                </c:pt>
                <c:pt idx="28">
                  <c:v>2.1000000000000012E-2</c:v>
                </c:pt>
                <c:pt idx="29">
                  <c:v>1.9000000000000034E-2</c:v>
                </c:pt>
                <c:pt idx="30">
                  <c:v>1.7999999999999999E-2</c:v>
                </c:pt>
                <c:pt idx="31">
                  <c:v>1.4999999999999998E-2</c:v>
                </c:pt>
                <c:pt idx="32">
                  <c:v>1.0000000000000005E-2</c:v>
                </c:pt>
                <c:pt idx="33">
                  <c:v>7.0000000000000097E-3</c:v>
                </c:pt>
                <c:pt idx="34">
                  <c:v>7.0000000000000097E-3</c:v>
                </c:pt>
                <c:pt idx="35">
                  <c:v>4.0000000000000088E-3</c:v>
                </c:pt>
              </c:numCache>
            </c:numRef>
          </c:val>
        </c:ser>
        <c:gapWidth val="75"/>
        <c:overlap val="-25"/>
        <c:axId val="155616000"/>
        <c:axId val="155617536"/>
      </c:barChart>
      <c:catAx>
        <c:axId val="155616000"/>
        <c:scaling>
          <c:orientation val="minMax"/>
        </c:scaling>
        <c:axPos val="b"/>
        <c:majorTickMark val="none"/>
        <c:tickLblPos val="nextTo"/>
        <c:txPr>
          <a:bodyPr rot="-5400000" vert="horz"/>
          <a:lstStyle/>
          <a:p>
            <a:pPr>
              <a:defRPr lang="en-US" sz="800">
                <a:latin typeface="Times New Roman" pitchFamily="18" charset="0"/>
                <a:cs typeface="Times New Roman" pitchFamily="18" charset="0"/>
              </a:defRPr>
            </a:pPr>
            <a:endParaRPr lang="tr-TR"/>
          </a:p>
        </c:txPr>
        <c:crossAx val="155617536"/>
        <c:crosses val="autoZero"/>
        <c:auto val="1"/>
        <c:lblAlgn val="ctr"/>
        <c:lblOffset val="100"/>
      </c:catAx>
      <c:valAx>
        <c:axId val="155617536"/>
        <c:scaling>
          <c:orientation val="minMax"/>
        </c:scaling>
        <c:axPos val="l"/>
        <c:majorGridlines/>
        <c:numFmt formatCode="#,##0.000_ ;\-#,##0.000\ " sourceLinked="1"/>
        <c:majorTickMark val="none"/>
        <c:tickLblPos val="nextTo"/>
        <c:spPr>
          <a:ln w="9525">
            <a:noFill/>
          </a:ln>
        </c:spPr>
        <c:txPr>
          <a:bodyPr/>
          <a:lstStyle/>
          <a:p>
            <a:pPr>
              <a:defRPr lang="en-US"/>
            </a:pPr>
            <a:endParaRPr lang="tr-TR"/>
          </a:p>
        </c:txPr>
        <c:crossAx val="155616000"/>
        <c:crosses val="autoZero"/>
        <c:crossBetween val="between"/>
      </c:valAx>
    </c:plotArea>
    <c:legend>
      <c:legendPos val="b"/>
      <c:layout/>
      <c:txPr>
        <a:bodyPr/>
        <a:lstStyle/>
        <a:p>
          <a:pPr>
            <a:defRPr lang="en-US"/>
          </a:pPr>
          <a:endParaRPr lang="tr-TR"/>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tr-TR"/>
  <c:chart>
    <c:autoTitleDeleted val="1"/>
    <c:plotArea>
      <c:layout>
        <c:manualLayout>
          <c:layoutTarget val="inner"/>
          <c:xMode val="edge"/>
          <c:yMode val="edge"/>
          <c:x val="0.15298491925797417"/>
          <c:y val="6.6675947274546468E-2"/>
          <c:w val="0.77225908625828599"/>
          <c:h val="0.64398399095140735"/>
        </c:manualLayout>
      </c:layout>
      <c:barChart>
        <c:barDir val="col"/>
        <c:grouping val="stacked"/>
        <c:ser>
          <c:idx val="0"/>
          <c:order val="0"/>
          <c:tx>
            <c:strRef>
              <c:f>sayfa1!$J$4</c:f>
              <c:strCache>
                <c:ptCount val="1"/>
                <c:pt idx="0">
                  <c:v>Coal</c:v>
                </c:pt>
              </c:strCache>
            </c:strRef>
          </c:tx>
          <c:spPr>
            <a:solidFill>
              <a:schemeClr val="tx2">
                <a:lumMod val="75000"/>
              </a:schemeClr>
            </a:solidFill>
          </c:spPr>
          <c:cat>
            <c:numRef>
              <c:f>sayfa1!$A$5:$A$51</c:f>
              <c:numCache>
                <c:formatCode>General</c:formatCode>
                <c:ptCount val="47"/>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numCache>
            </c:numRef>
          </c:cat>
          <c:val>
            <c:numRef>
              <c:f>sayfa1!$J$5:$J$51</c:f>
              <c:numCache>
                <c:formatCode>0</c:formatCode>
                <c:ptCount val="47"/>
                <c:pt idx="0">
                  <c:v>2819.7210000000005</c:v>
                </c:pt>
                <c:pt idx="1">
                  <c:v>2973.4239999999995</c:v>
                </c:pt>
                <c:pt idx="2">
                  <c:v>2922.92</c:v>
                </c:pt>
                <c:pt idx="3">
                  <c:v>3242.9250000000002</c:v>
                </c:pt>
                <c:pt idx="4">
                  <c:v>3881.3760000000002</c:v>
                </c:pt>
                <c:pt idx="5">
                  <c:v>4108.8490000000002</c:v>
                </c:pt>
                <c:pt idx="6">
                  <c:v>4333.0710000000008</c:v>
                </c:pt>
                <c:pt idx="7">
                  <c:v>4894.4699999999993</c:v>
                </c:pt>
                <c:pt idx="8">
                  <c:v>5583.5820000000003</c:v>
                </c:pt>
                <c:pt idx="9">
                  <c:v>6441.2920000000004</c:v>
                </c:pt>
                <c:pt idx="10">
                  <c:v>5958.4</c:v>
                </c:pt>
                <c:pt idx="11">
                  <c:v>6143.5769999999993</c:v>
                </c:pt>
                <c:pt idx="12">
                  <c:v>6425.5839999999998</c:v>
                </c:pt>
                <c:pt idx="13">
                  <c:v>8586.957999999966</c:v>
                </c:pt>
                <c:pt idx="14">
                  <c:v>10102.620000000004</c:v>
                </c:pt>
                <c:pt idx="15">
                  <c:v>15022.140999999991</c:v>
                </c:pt>
                <c:pt idx="16">
                  <c:v>19450.55</c:v>
                </c:pt>
                <c:pt idx="17">
                  <c:v>17652.493999999999</c:v>
                </c:pt>
                <c:pt idx="18">
                  <c:v>12492.740000000014</c:v>
                </c:pt>
                <c:pt idx="19">
                  <c:v>20244.726999999999</c:v>
                </c:pt>
                <c:pt idx="20">
                  <c:v>20197.593000000001</c:v>
                </c:pt>
                <c:pt idx="21">
                  <c:v>21568.068000000021</c:v>
                </c:pt>
                <c:pt idx="22">
                  <c:v>24579.829999999973</c:v>
                </c:pt>
                <c:pt idx="23">
                  <c:v>23692.368000000009</c:v>
                </c:pt>
                <c:pt idx="24">
                  <c:v>28195.919999999969</c:v>
                </c:pt>
                <c:pt idx="25">
                  <c:v>28030.275000000001</c:v>
                </c:pt>
                <c:pt idx="26">
                  <c:v>30355.84</c:v>
                </c:pt>
                <c:pt idx="27">
                  <c:v>33881.088000000003</c:v>
                </c:pt>
                <c:pt idx="28">
                  <c:v>35749.084000000003</c:v>
                </c:pt>
                <c:pt idx="29">
                  <c:v>37027.920000000006</c:v>
                </c:pt>
                <c:pt idx="30">
                  <c:v>38226.132000000005</c:v>
                </c:pt>
                <c:pt idx="31">
                  <c:v>38412.925000000003</c:v>
                </c:pt>
                <c:pt idx="32">
                  <c:v>32091.200000000001</c:v>
                </c:pt>
                <c:pt idx="33">
                  <c:v>32193.048999999999</c:v>
                </c:pt>
                <c:pt idx="34">
                  <c:v>34359.144</c:v>
                </c:pt>
                <c:pt idx="35">
                  <c:v>43080.295999999995</c:v>
                </c:pt>
                <c:pt idx="36">
                  <c:v>46543.199999999997</c:v>
                </c:pt>
                <c:pt idx="37">
                  <c:v>53444.682000000001</c:v>
                </c:pt>
                <c:pt idx="38">
                  <c:v>57739.638000000006</c:v>
                </c:pt>
                <c:pt idx="39">
                  <c:v>55716.518000000011</c:v>
                </c:pt>
                <c:pt idx="40">
                  <c:v>55125.288000000008</c:v>
                </c:pt>
                <c:pt idx="41">
                  <c:v>66065.759999999995</c:v>
                </c:pt>
                <c:pt idx="42">
                  <c:v>68017.148000000001</c:v>
                </c:pt>
                <c:pt idx="43">
                  <c:v>63880.964000000007</c:v>
                </c:pt>
                <c:pt idx="44">
                  <c:v>76092.826000000001</c:v>
                </c:pt>
                <c:pt idx="45">
                  <c:v>76178.853000000003</c:v>
                </c:pt>
                <c:pt idx="46">
                  <c:v>92475.394900000014</c:v>
                </c:pt>
              </c:numCache>
            </c:numRef>
          </c:val>
        </c:ser>
        <c:ser>
          <c:idx val="1"/>
          <c:order val="1"/>
          <c:tx>
            <c:strRef>
              <c:f>sayfa1!$K$4</c:f>
              <c:strCache>
                <c:ptCount val="1"/>
                <c:pt idx="0">
                  <c:v>Liquid fuels</c:v>
                </c:pt>
              </c:strCache>
            </c:strRef>
          </c:tx>
          <c:cat>
            <c:numRef>
              <c:f>sayfa1!$A$5:$A$51</c:f>
              <c:numCache>
                <c:formatCode>General</c:formatCode>
                <c:ptCount val="47"/>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numCache>
            </c:numRef>
          </c:cat>
          <c:val>
            <c:numRef>
              <c:f>sayfa1!$K$5:$K$51</c:f>
              <c:numCache>
                <c:formatCode>0</c:formatCode>
                <c:ptCount val="47"/>
                <c:pt idx="0">
                  <c:v>2604.1459999999997</c:v>
                </c:pt>
                <c:pt idx="1">
                  <c:v>4029.7719999999995</c:v>
                </c:pt>
                <c:pt idx="2">
                  <c:v>4935.2379999999994</c:v>
                </c:pt>
                <c:pt idx="3">
                  <c:v>6374.0250000000024</c:v>
                </c:pt>
                <c:pt idx="4">
                  <c:v>6037.6960000000054</c:v>
                </c:pt>
                <c:pt idx="5">
                  <c:v>5389.9350000000004</c:v>
                </c:pt>
                <c:pt idx="6">
                  <c:v>5411.768</c:v>
                </c:pt>
                <c:pt idx="7">
                  <c:v>6868.71</c:v>
                </c:pt>
                <c:pt idx="8">
                  <c:v>6669.8820000000014</c:v>
                </c:pt>
                <c:pt idx="9">
                  <c:v>5653.0220000000054</c:v>
                </c:pt>
                <c:pt idx="10">
                  <c:v>5818.75</c:v>
                </c:pt>
                <c:pt idx="11">
                  <c:v>5822.8280000000004</c:v>
                </c:pt>
                <c:pt idx="12">
                  <c:v>5947.6479999999992</c:v>
                </c:pt>
                <c:pt idx="13">
                  <c:v>7411.0369999999994</c:v>
                </c:pt>
                <c:pt idx="14">
                  <c:v>7041.22</c:v>
                </c:pt>
                <c:pt idx="15">
                  <c:v>7083.3330000000005</c:v>
                </c:pt>
                <c:pt idx="16">
                  <c:v>6986.3200000000024</c:v>
                </c:pt>
                <c:pt idx="17">
                  <c:v>5499.7719999999999</c:v>
                </c:pt>
                <c:pt idx="18">
                  <c:v>3315.3809999999999</c:v>
                </c:pt>
                <c:pt idx="19">
                  <c:v>4267.5260000000044</c:v>
                </c:pt>
                <c:pt idx="20">
                  <c:v>3912.9239999999995</c:v>
                </c:pt>
                <c:pt idx="21">
                  <c:v>3373.7759999999998</c:v>
                </c:pt>
                <c:pt idx="22">
                  <c:v>5252.6760000000004</c:v>
                </c:pt>
                <c:pt idx="23">
                  <c:v>5166.5600000000004</c:v>
                </c:pt>
                <c:pt idx="24">
                  <c:v>5560.8620000000074</c:v>
                </c:pt>
                <c:pt idx="25">
                  <c:v>5778.549</c:v>
                </c:pt>
                <c:pt idx="26">
                  <c:v>6545.4779999999992</c:v>
                </c:pt>
                <c:pt idx="27">
                  <c:v>7127.4239999999991</c:v>
                </c:pt>
                <c:pt idx="28">
                  <c:v>7993.5839999999989</c:v>
                </c:pt>
                <c:pt idx="29">
                  <c:v>8034.3600000000024</c:v>
                </c:pt>
                <c:pt idx="30">
                  <c:v>9369.15</c:v>
                </c:pt>
                <c:pt idx="31">
                  <c:v>10308.9</c:v>
                </c:pt>
                <c:pt idx="32">
                  <c:v>10740.2</c:v>
                </c:pt>
                <c:pt idx="33">
                  <c:v>9278.3459999999759</c:v>
                </c:pt>
                <c:pt idx="34">
                  <c:v>7534.9</c:v>
                </c:pt>
                <c:pt idx="35">
                  <c:v>5506.5039999999999</c:v>
                </c:pt>
                <c:pt idx="36">
                  <c:v>4231.2</c:v>
                </c:pt>
                <c:pt idx="37">
                  <c:v>6512.9720000000007</c:v>
                </c:pt>
                <c:pt idx="38">
                  <c:v>7539.884</c:v>
                </c:pt>
                <c:pt idx="39">
                  <c:v>4870.3250000000044</c:v>
                </c:pt>
                <c:pt idx="40">
                  <c:v>2112.08</c:v>
                </c:pt>
                <c:pt idx="41">
                  <c:v>917.58</c:v>
                </c:pt>
                <c:pt idx="42">
                  <c:v>1676.479</c:v>
                </c:pt>
                <c:pt idx="43">
                  <c:v>1681.078</c:v>
                </c:pt>
                <c:pt idx="44">
                  <c:v>2267.6669999999958</c:v>
                </c:pt>
                <c:pt idx="45">
                  <c:v>2356.047</c:v>
                </c:pt>
                <c:pt idx="46">
                  <c:v>1920.8538999999998</c:v>
                </c:pt>
              </c:numCache>
            </c:numRef>
          </c:val>
        </c:ser>
        <c:ser>
          <c:idx val="2"/>
          <c:order val="2"/>
          <c:tx>
            <c:strRef>
              <c:f>sayfa1!$L$4</c:f>
              <c:strCache>
                <c:ptCount val="1"/>
                <c:pt idx="0">
                  <c:v>Natural Gas</c:v>
                </c:pt>
              </c:strCache>
            </c:strRef>
          </c:tx>
          <c:spPr>
            <a:solidFill>
              <a:schemeClr val="accent3">
                <a:lumMod val="75000"/>
              </a:schemeClr>
            </a:solidFill>
          </c:spPr>
          <c:cat>
            <c:numRef>
              <c:f>sayfa1!$A$5:$A$51</c:f>
              <c:numCache>
                <c:formatCode>General</c:formatCode>
                <c:ptCount val="47"/>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numCache>
            </c:numRef>
          </c:cat>
          <c:val>
            <c:numRef>
              <c:f>sayfa1!$L$5:$L$51</c:f>
              <c:numCache>
                <c:formatCode>0</c:formatCode>
                <c:ptCount val="4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68.438000000000002</c:v>
                </c:pt>
                <c:pt idx="16">
                  <c:v>1349.6299999999999</c:v>
                </c:pt>
                <c:pt idx="17">
                  <c:v>2528.1210000000001</c:v>
                </c:pt>
                <c:pt idx="18">
                  <c:v>3219.2829999999958</c:v>
                </c:pt>
                <c:pt idx="19">
                  <c:v>9523.8689999999697</c:v>
                </c:pt>
                <c:pt idx="20">
                  <c:v>10185.110999999984</c:v>
                </c:pt>
                <c:pt idx="21">
                  <c:v>12531.168</c:v>
                </c:pt>
                <c:pt idx="22">
                  <c:v>10774.720000000008</c:v>
                </c:pt>
                <c:pt idx="23">
                  <c:v>10775.968000000001</c:v>
                </c:pt>
                <c:pt idx="24">
                  <c:v>13784.672000000002</c:v>
                </c:pt>
                <c:pt idx="25">
                  <c:v>16559.423999999999</c:v>
                </c:pt>
                <c:pt idx="26">
                  <c:v>17170.022000000001</c:v>
                </c:pt>
                <c:pt idx="27">
                  <c:v>22105.343999999997</c:v>
                </c:pt>
                <c:pt idx="28">
                  <c:v>24868.928000000025</c:v>
                </c:pt>
                <c:pt idx="29">
                  <c:v>36329.279999999999</c:v>
                </c:pt>
                <c:pt idx="30">
                  <c:v>46221.14</c:v>
                </c:pt>
                <c:pt idx="31">
                  <c:v>49580.9</c:v>
                </c:pt>
                <c:pt idx="32">
                  <c:v>52536.4</c:v>
                </c:pt>
                <c:pt idx="33">
                  <c:v>63542.612000000001</c:v>
                </c:pt>
                <c:pt idx="34">
                  <c:v>62238.273999999998</c:v>
                </c:pt>
                <c:pt idx="35">
                  <c:v>73366.067999999999</c:v>
                </c:pt>
                <c:pt idx="36">
                  <c:v>80745.399999999994</c:v>
                </c:pt>
                <c:pt idx="37">
                  <c:v>95012.768000000011</c:v>
                </c:pt>
                <c:pt idx="38">
                  <c:v>98613.745999999999</c:v>
                </c:pt>
                <c:pt idx="39">
                  <c:v>96042.809000000023</c:v>
                </c:pt>
                <c:pt idx="40">
                  <c:v>98211.72</c:v>
                </c:pt>
                <c:pt idx="41">
                  <c:v>104145.33</c:v>
                </c:pt>
                <c:pt idx="42">
                  <c:v>104420.69200000001</c:v>
                </c:pt>
                <c:pt idx="43">
                  <c:v>105187.45199999999</c:v>
                </c:pt>
                <c:pt idx="44">
                  <c:v>120690.27699999999</c:v>
                </c:pt>
                <c:pt idx="45">
                  <c:v>99215.756999999998</c:v>
                </c:pt>
                <c:pt idx="46">
                  <c:v>89182.502499999988</c:v>
                </c:pt>
              </c:numCache>
            </c:numRef>
          </c:val>
        </c:ser>
        <c:ser>
          <c:idx val="3"/>
          <c:order val="3"/>
          <c:tx>
            <c:strRef>
              <c:f>sayfa1!$M$4</c:f>
              <c:strCache>
                <c:ptCount val="1"/>
                <c:pt idx="0">
                  <c:v>Hydro</c:v>
                </c:pt>
              </c:strCache>
            </c:strRef>
          </c:tx>
          <c:spPr>
            <a:solidFill>
              <a:schemeClr val="accent4">
                <a:lumMod val="50000"/>
              </a:schemeClr>
            </a:solidFill>
          </c:spPr>
          <c:cat>
            <c:numRef>
              <c:f>sayfa1!$A$5:$A$51</c:f>
              <c:numCache>
                <c:formatCode>General</c:formatCode>
                <c:ptCount val="47"/>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numCache>
            </c:numRef>
          </c:cat>
          <c:val>
            <c:numRef>
              <c:f>sayfa1!$M$5:$M$51</c:f>
              <c:numCache>
                <c:formatCode>0</c:formatCode>
                <c:ptCount val="47"/>
                <c:pt idx="0">
                  <c:v>3035.2960000000003</c:v>
                </c:pt>
                <c:pt idx="1">
                  <c:v>2611.527</c:v>
                </c:pt>
                <c:pt idx="2">
                  <c:v>3203.9700000000012</c:v>
                </c:pt>
                <c:pt idx="3">
                  <c:v>2609.25</c:v>
                </c:pt>
                <c:pt idx="4">
                  <c:v>3355.7729999999997</c:v>
                </c:pt>
                <c:pt idx="5">
                  <c:v>5905.4939999999988</c:v>
                </c:pt>
                <c:pt idx="6">
                  <c:v>8373.613999999985</c:v>
                </c:pt>
                <c:pt idx="7">
                  <c:v>8575.6050000000014</c:v>
                </c:pt>
                <c:pt idx="8">
                  <c:v>9342.18</c:v>
                </c:pt>
                <c:pt idx="9">
                  <c:v>10292.554</c:v>
                </c:pt>
                <c:pt idx="10">
                  <c:v>11358.2</c:v>
                </c:pt>
                <c:pt idx="11">
                  <c:v>12607.903</c:v>
                </c:pt>
                <c:pt idx="12">
                  <c:v>14178.768</c:v>
                </c:pt>
                <c:pt idx="13">
                  <c:v>11349.004999999985</c:v>
                </c:pt>
                <c:pt idx="14">
                  <c:v>13439.545999999982</c:v>
                </c:pt>
                <c:pt idx="15">
                  <c:v>12045.088</c:v>
                </c:pt>
                <c:pt idx="16">
                  <c:v>11868.804999999984</c:v>
                </c:pt>
                <c:pt idx="17">
                  <c:v>18628.259999999969</c:v>
                </c:pt>
                <c:pt idx="18">
                  <c:v>28973.546999999999</c:v>
                </c:pt>
                <c:pt idx="19">
                  <c:v>17954.834999999992</c:v>
                </c:pt>
                <c:pt idx="20">
                  <c:v>23132.286000000029</c:v>
                </c:pt>
                <c:pt idx="21">
                  <c:v>22652.495999999999</c:v>
                </c:pt>
                <c:pt idx="22">
                  <c:v>26600.09</c:v>
                </c:pt>
                <c:pt idx="23">
                  <c:v>34025.488000000012</c:v>
                </c:pt>
                <c:pt idx="24">
                  <c:v>30623.902000000009</c:v>
                </c:pt>
                <c:pt idx="25">
                  <c:v>35533.763999999996</c:v>
                </c:pt>
                <c:pt idx="26">
                  <c:v>40506.074000000001</c:v>
                </c:pt>
                <c:pt idx="27">
                  <c:v>39768.960000000006</c:v>
                </c:pt>
                <c:pt idx="28">
                  <c:v>42188.36</c:v>
                </c:pt>
                <c:pt idx="29">
                  <c:v>34699.120000000003</c:v>
                </c:pt>
                <c:pt idx="30">
                  <c:v>30855.734</c:v>
                </c:pt>
                <c:pt idx="31">
                  <c:v>24054.1</c:v>
                </c:pt>
                <c:pt idx="32">
                  <c:v>33644</c:v>
                </c:pt>
                <c:pt idx="33">
                  <c:v>35285.831000000006</c:v>
                </c:pt>
                <c:pt idx="34">
                  <c:v>46113.588000000003</c:v>
                </c:pt>
                <c:pt idx="35">
                  <c:v>39517.263999999996</c:v>
                </c:pt>
                <c:pt idx="36">
                  <c:v>44251.3</c:v>
                </c:pt>
                <c:pt idx="37">
                  <c:v>35821.346000000012</c:v>
                </c:pt>
                <c:pt idx="38">
                  <c:v>33334.223999999995</c:v>
                </c:pt>
                <c:pt idx="39">
                  <c:v>36040.405000000006</c:v>
                </c:pt>
                <c:pt idx="40">
                  <c:v>51745.96</c:v>
                </c:pt>
                <c:pt idx="41">
                  <c:v>52302.06</c:v>
                </c:pt>
                <c:pt idx="42">
                  <c:v>57958.273999999998</c:v>
                </c:pt>
                <c:pt idx="43">
                  <c:v>59318.038</c:v>
                </c:pt>
                <c:pt idx="44">
                  <c:v>40566.043000000005</c:v>
                </c:pt>
                <c:pt idx="45">
                  <c:v>67016.447999999888</c:v>
                </c:pt>
                <c:pt idx="46">
                  <c:v>67229.886500000008</c:v>
                </c:pt>
              </c:numCache>
            </c:numRef>
          </c:val>
        </c:ser>
        <c:ser>
          <c:idx val="4"/>
          <c:order val="4"/>
          <c:tx>
            <c:strRef>
              <c:f>sayfa1!$N$4</c:f>
              <c:strCache>
                <c:ptCount val="1"/>
                <c:pt idx="0">
                  <c:v>Renewable Energy and wastes</c:v>
                </c:pt>
              </c:strCache>
            </c:strRef>
          </c:tx>
          <c:spPr>
            <a:solidFill>
              <a:srgbClr val="FF0000"/>
            </a:solidFill>
          </c:spPr>
          <c:cat>
            <c:numRef>
              <c:f>sayfa1!$A$5:$A$51</c:f>
              <c:numCache>
                <c:formatCode>General</c:formatCode>
                <c:ptCount val="47"/>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numCache>
            </c:numRef>
          </c:cat>
          <c:val>
            <c:numRef>
              <c:f>sayfa1!$N$5:$N$51</c:f>
              <c:numCache>
                <c:formatCode>0</c:formatCode>
                <c:ptCount val="47"/>
                <c:pt idx="0">
                  <c:v>163.83700000000007</c:v>
                </c:pt>
                <c:pt idx="1">
                  <c:v>166.27700000000002</c:v>
                </c:pt>
                <c:pt idx="2">
                  <c:v>179.87200000000001</c:v>
                </c:pt>
                <c:pt idx="3">
                  <c:v>198.8</c:v>
                </c:pt>
                <c:pt idx="4">
                  <c:v>202.155</c:v>
                </c:pt>
                <c:pt idx="5">
                  <c:v>218.72200000000001</c:v>
                </c:pt>
                <c:pt idx="6">
                  <c:v>164.547</c:v>
                </c:pt>
                <c:pt idx="7">
                  <c:v>226.21499999999995</c:v>
                </c:pt>
                <c:pt idx="8">
                  <c:v>130.35600000000022</c:v>
                </c:pt>
                <c:pt idx="9">
                  <c:v>135.13200000000001</c:v>
                </c:pt>
                <c:pt idx="10">
                  <c:v>139.65</c:v>
                </c:pt>
                <c:pt idx="11">
                  <c:v>98.691999999999993</c:v>
                </c:pt>
                <c:pt idx="12">
                  <c:v>0</c:v>
                </c:pt>
                <c:pt idx="13">
                  <c:v>0</c:v>
                </c:pt>
                <c:pt idx="14">
                  <c:v>30.614000000000036</c:v>
                </c:pt>
                <c:pt idx="15">
                  <c:v>0</c:v>
                </c:pt>
                <c:pt idx="16">
                  <c:v>39.695000000000057</c:v>
                </c:pt>
                <c:pt idx="17">
                  <c:v>44.353000000000002</c:v>
                </c:pt>
                <c:pt idx="18">
                  <c:v>48.049000000000007</c:v>
                </c:pt>
                <c:pt idx="19">
                  <c:v>52.043000000000006</c:v>
                </c:pt>
                <c:pt idx="20">
                  <c:v>115.086</c:v>
                </c:pt>
                <c:pt idx="21">
                  <c:v>120.492</c:v>
                </c:pt>
                <c:pt idx="22">
                  <c:v>134.68400000000003</c:v>
                </c:pt>
                <c:pt idx="23">
                  <c:v>147.61599999999999</c:v>
                </c:pt>
                <c:pt idx="24">
                  <c:v>156.64399999999998</c:v>
                </c:pt>
                <c:pt idx="25">
                  <c:v>344.98799999999954</c:v>
                </c:pt>
                <c:pt idx="26">
                  <c:v>284.58599999999961</c:v>
                </c:pt>
                <c:pt idx="27">
                  <c:v>413.18400000000008</c:v>
                </c:pt>
                <c:pt idx="28">
                  <c:v>333.06600000000003</c:v>
                </c:pt>
                <c:pt idx="29">
                  <c:v>349.32</c:v>
                </c:pt>
                <c:pt idx="30">
                  <c:v>374.76599999999951</c:v>
                </c:pt>
                <c:pt idx="31">
                  <c:v>368.17500000000007</c:v>
                </c:pt>
                <c:pt idx="32">
                  <c:v>388.20000000000005</c:v>
                </c:pt>
                <c:pt idx="33">
                  <c:v>281.16200000000032</c:v>
                </c:pt>
                <c:pt idx="34">
                  <c:v>452.09400000000011</c:v>
                </c:pt>
                <c:pt idx="35">
                  <c:v>485.86800000000011</c:v>
                </c:pt>
                <c:pt idx="36">
                  <c:v>528.90000000000009</c:v>
                </c:pt>
                <c:pt idx="37">
                  <c:v>766.23199999999997</c:v>
                </c:pt>
                <c:pt idx="38">
                  <c:v>1190.508</c:v>
                </c:pt>
                <c:pt idx="39">
                  <c:v>2337.7559999999999</c:v>
                </c:pt>
                <c:pt idx="40">
                  <c:v>4012.9520000000002</c:v>
                </c:pt>
                <c:pt idx="41">
                  <c:v>5964.2700000000013</c:v>
                </c:pt>
                <c:pt idx="42">
                  <c:v>7424.4069999999992</c:v>
                </c:pt>
                <c:pt idx="43">
                  <c:v>10086.468000000001</c:v>
                </c:pt>
                <c:pt idx="44">
                  <c:v>12346.187000000002</c:v>
                </c:pt>
                <c:pt idx="45">
                  <c:v>17015.895</c:v>
                </c:pt>
                <c:pt idx="46">
                  <c:v>23599.0622</c:v>
                </c:pt>
              </c:numCache>
            </c:numRef>
          </c:val>
        </c:ser>
        <c:overlap val="100"/>
        <c:axId val="155812608"/>
        <c:axId val="155814144"/>
      </c:barChart>
      <c:catAx>
        <c:axId val="155812608"/>
        <c:scaling>
          <c:orientation val="minMax"/>
        </c:scaling>
        <c:axPos val="b"/>
        <c:numFmt formatCode="General" sourceLinked="1"/>
        <c:tickLblPos val="nextTo"/>
        <c:txPr>
          <a:bodyPr/>
          <a:lstStyle/>
          <a:p>
            <a:pPr>
              <a:defRPr lang="en-US"/>
            </a:pPr>
            <a:endParaRPr lang="tr-TR"/>
          </a:p>
        </c:txPr>
        <c:crossAx val="155814144"/>
        <c:crosses val="autoZero"/>
        <c:auto val="1"/>
        <c:lblAlgn val="ctr"/>
        <c:lblOffset val="100"/>
      </c:catAx>
      <c:valAx>
        <c:axId val="155814144"/>
        <c:scaling>
          <c:orientation val="minMax"/>
        </c:scaling>
        <c:axPos val="l"/>
        <c:majorGridlines/>
        <c:title>
          <c:tx>
            <c:rich>
              <a:bodyPr rot="-5400000" vert="horz"/>
              <a:lstStyle/>
              <a:p>
                <a:pPr>
                  <a:defRPr/>
                </a:pPr>
                <a:r>
                  <a:rPr lang="en-US"/>
                  <a:t>GWh</a:t>
                </a:r>
                <a:endParaRPr lang="tr-TR"/>
              </a:p>
            </c:rich>
          </c:tx>
          <c:layout/>
        </c:title>
        <c:numFmt formatCode="0" sourceLinked="1"/>
        <c:tickLblPos val="nextTo"/>
        <c:txPr>
          <a:bodyPr/>
          <a:lstStyle/>
          <a:p>
            <a:pPr>
              <a:defRPr lang="en-US"/>
            </a:pPr>
            <a:endParaRPr lang="tr-TR"/>
          </a:p>
        </c:txPr>
        <c:crossAx val="155812608"/>
        <c:crosses val="autoZero"/>
        <c:crossBetween val="between"/>
      </c:valAx>
    </c:plotArea>
    <c:legend>
      <c:legendPos val="r"/>
      <c:layout>
        <c:manualLayout>
          <c:xMode val="edge"/>
          <c:yMode val="edge"/>
          <c:x val="1.6769429245073249E-2"/>
          <c:y val="0.86756050521309169"/>
          <c:w val="0.933513056630633"/>
          <c:h val="7.5191775061266508E-2"/>
        </c:manualLayout>
      </c:layout>
      <c:txPr>
        <a:bodyPr/>
        <a:lstStyle/>
        <a:p>
          <a:pPr>
            <a:defRPr lang="en-US"/>
          </a:pPr>
          <a:endParaRPr lang="tr-TR"/>
        </a:p>
      </c:txPr>
    </c:legend>
    <c:plotVisOnly val="1"/>
    <c:dispBlanksAs val="gap"/>
  </c:chart>
  <c:txPr>
    <a:bodyPr/>
    <a:lstStyle/>
    <a:p>
      <a:pPr>
        <a:defRPr>
          <a:latin typeface="Times New Roman" pitchFamily="18" charset="0"/>
          <a:cs typeface="Times New Roman" pitchFamily="18" charset="0"/>
        </a:defRPr>
      </a:pPr>
      <a:endParaRPr lang="tr-T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55B4-50DE-4139-99AF-BFF31FF0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18387</Words>
  <Characters>104810</Characters>
  <Application>Microsoft Office Word</Application>
  <DocSecurity>4</DocSecurity>
  <Lines>873</Lines>
  <Paragraphs>245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Foreign direct investments (FDIs) in Turkish power sector: A discussion on investments,opportunities and risks</vt:lpstr>
      <vt:lpstr>Foreign direct investments (FDIs) in Turkish power sector: A discussion on investments,opportunities and risks</vt:lpstr>
    </vt:vector>
  </TitlesOfParts>
  <Company>EPDK</Company>
  <LinksUpToDate>false</LinksUpToDate>
  <CharactersWithSpaces>122952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direct investments (FDIs) in Turkish power sector: A discussion on investments,opportunities and risks</dc:title>
  <dc:creator>Selahattin Murat SIRIN</dc:creator>
  <cp:lastModifiedBy>Syed</cp:lastModifiedBy>
  <cp:revision>2</cp:revision>
  <cp:lastPrinted>2016-10-12T19:20:00Z</cp:lastPrinted>
  <dcterms:created xsi:type="dcterms:W3CDTF">2018-04-26T08:11:00Z</dcterms:created>
  <dcterms:modified xsi:type="dcterms:W3CDTF">2018-04-26T08:11:00Z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92722621-4d27-39a9-bcd3-5d652d8b1a89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http://www.zotero.org/styles/renewable-and-sustainable-energy-reviews</vt:lpwstr>
  </property>
  <property fmtid="{D5CDD505-2E9C-101B-9397-08002B2CF9AE}" pid="24" name="Mendeley Recent Style Name 9_1">
    <vt:lpwstr>Renewable and Sustainable Energy Reviews</vt:lpwstr>
  </property>
</Properties>
</file>