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D4" w:rsidRDefault="00AA2787" w:rsidP="007D6AF2">
      <w:pPr>
        <w:spacing w:before="120" w:after="0" w:line="240" w:lineRule="auto"/>
        <w:jc w:val="center"/>
        <w:outlineLvl w:val="0"/>
        <w:rPr>
          <w:rFonts w:cs="Times New Roman"/>
          <w:b/>
          <w:sz w:val="22"/>
          <w:szCs w:val="24"/>
        </w:rPr>
      </w:pPr>
      <w:r w:rsidRPr="00157B40">
        <w:rPr>
          <w:rFonts w:cs="Times New Roman"/>
          <w:b/>
          <w:sz w:val="22"/>
          <w:szCs w:val="24"/>
        </w:rPr>
        <w:t>TÜRKİYE EKONOMİSİNİN LOKOMOTİF SEKTÖRÜ</w:t>
      </w:r>
      <w:r w:rsidR="0049336E" w:rsidRPr="00157B40">
        <w:rPr>
          <w:rFonts w:cs="Times New Roman"/>
          <w:b/>
          <w:sz w:val="22"/>
          <w:szCs w:val="24"/>
        </w:rPr>
        <w:t>NÜN VERGİLENDİRİLMESİNDE</w:t>
      </w:r>
      <w:r w:rsidRPr="00157B40">
        <w:rPr>
          <w:rFonts w:cs="Times New Roman"/>
          <w:b/>
          <w:sz w:val="22"/>
          <w:szCs w:val="24"/>
        </w:rPr>
        <w:t xml:space="preserve"> İDARE VE YARGININ TUHAF YORUMU VE BİR ÇÖZÜM ÖNERİSİ</w:t>
      </w:r>
    </w:p>
    <w:p w:rsidR="00AD5DFF" w:rsidRDefault="00C84197" w:rsidP="004B5760">
      <w:pPr>
        <w:spacing w:before="0" w:after="0" w:line="240" w:lineRule="auto"/>
        <w:ind w:firstLine="0"/>
        <w:outlineLvl w:val="0"/>
        <w:rPr>
          <w:rFonts w:cs="Times New Roman"/>
          <w:sz w:val="20"/>
          <w:szCs w:val="24"/>
        </w:rPr>
      </w:pPr>
      <w:r>
        <w:rPr>
          <w:rFonts w:eastAsia="Calibri" w:cs="Times New Roman"/>
          <w:i/>
          <w:color w:val="000000"/>
          <w:sz w:val="20"/>
          <w:szCs w:val="14"/>
          <w:shd w:val="clear" w:color="auto" w:fill="FFFFFF"/>
        </w:rPr>
        <w:t>Geliş Tarihi (ReceievedDate) 08</w:t>
      </w:r>
      <w:r w:rsidR="004B5760" w:rsidRPr="004B5760">
        <w:rPr>
          <w:rFonts w:eastAsia="Calibri" w:cs="Times New Roman"/>
          <w:i/>
          <w:color w:val="000000"/>
          <w:sz w:val="20"/>
          <w:szCs w:val="14"/>
          <w:shd w:val="clear" w:color="auto" w:fill="FFFFFF"/>
        </w:rPr>
        <w:t>.0</w:t>
      </w:r>
      <w:r>
        <w:rPr>
          <w:rFonts w:eastAsia="Calibri" w:cs="Times New Roman"/>
          <w:i/>
          <w:color w:val="000000"/>
          <w:sz w:val="20"/>
          <w:szCs w:val="14"/>
          <w:shd w:val="clear" w:color="auto" w:fill="FFFFFF"/>
        </w:rPr>
        <w:t>8</w:t>
      </w:r>
      <w:r w:rsidR="004B5760" w:rsidRPr="004B5760">
        <w:rPr>
          <w:rFonts w:eastAsia="Calibri" w:cs="Times New Roman"/>
          <w:i/>
          <w:color w:val="000000"/>
          <w:sz w:val="20"/>
          <w:szCs w:val="14"/>
          <w:shd w:val="clear" w:color="auto" w:fill="FFFFFF"/>
        </w:rPr>
        <w:t>.2018</w:t>
      </w:r>
      <w:r w:rsidR="004B5760" w:rsidRPr="004B5760">
        <w:rPr>
          <w:rFonts w:eastAsia="Calibri" w:cs="Times New Roman"/>
          <w:bCs/>
          <w:sz w:val="20"/>
          <w:szCs w:val="20"/>
        </w:rPr>
        <w:t xml:space="preserve">                                        </w:t>
      </w:r>
      <w:r w:rsidR="004B5760" w:rsidRPr="004B5760">
        <w:rPr>
          <w:rFonts w:eastAsia="Times New Roman" w:cs="Times New Roman"/>
          <w:bCs/>
          <w:color w:val="000000"/>
          <w:sz w:val="20"/>
          <w:szCs w:val="20"/>
        </w:rPr>
        <w:t xml:space="preserve"> </w:t>
      </w:r>
      <w:r w:rsidR="004B5760" w:rsidRPr="004B5760">
        <w:rPr>
          <w:rFonts w:eastAsia="Calibri" w:cs="Times New Roman"/>
          <w:b/>
          <w:sz w:val="20"/>
        </w:rPr>
        <w:t xml:space="preserve">                                           </w:t>
      </w:r>
      <w:r w:rsidR="004B5760">
        <w:rPr>
          <w:rFonts w:eastAsia="Calibri" w:cs="Times New Roman"/>
          <w:b/>
          <w:sz w:val="20"/>
        </w:rPr>
        <w:t xml:space="preserve">   </w:t>
      </w:r>
      <w:r w:rsidR="00AD5DFF" w:rsidRPr="00AD5DFF">
        <w:rPr>
          <w:rFonts w:cs="Times New Roman"/>
          <w:sz w:val="20"/>
          <w:szCs w:val="24"/>
        </w:rPr>
        <w:t>Duran BÜLBÜL</w:t>
      </w:r>
      <w:r w:rsidR="00AD5DFF" w:rsidRPr="00AD5DFF">
        <w:rPr>
          <w:rStyle w:val="DipnotBavurusu"/>
          <w:rFonts w:cs="Times New Roman"/>
          <w:sz w:val="20"/>
          <w:szCs w:val="24"/>
        </w:rPr>
        <w:footnoteReference w:id="1"/>
      </w:r>
    </w:p>
    <w:p w:rsidR="004B5760" w:rsidRPr="00D715BD" w:rsidRDefault="004B5760" w:rsidP="004B5760">
      <w:pPr>
        <w:spacing w:before="0" w:after="0" w:line="240" w:lineRule="auto"/>
        <w:ind w:firstLine="0"/>
        <w:rPr>
          <w:rFonts w:eastAsia="Calibri" w:cs="Times New Roman"/>
          <w:bCs/>
          <w:sz w:val="20"/>
          <w:szCs w:val="20"/>
        </w:rPr>
      </w:pPr>
      <w:r w:rsidRPr="00D715BD">
        <w:rPr>
          <w:rFonts w:eastAsia="Calibri" w:cs="Times New Roman"/>
          <w:i/>
          <w:sz w:val="20"/>
          <w:szCs w:val="24"/>
        </w:rPr>
        <w:t xml:space="preserve">Kabul Tarihi (Accepted Date) </w:t>
      </w:r>
      <w:r w:rsidR="00C84197">
        <w:rPr>
          <w:rFonts w:eastAsia="Calibri" w:cs="Times New Roman"/>
          <w:i/>
          <w:sz w:val="20"/>
          <w:szCs w:val="24"/>
        </w:rPr>
        <w:t>04</w:t>
      </w:r>
      <w:r w:rsidRPr="00D715BD">
        <w:rPr>
          <w:rFonts w:eastAsia="Calibri" w:cs="Times New Roman"/>
          <w:i/>
          <w:sz w:val="20"/>
          <w:szCs w:val="24"/>
        </w:rPr>
        <w:t>.0</w:t>
      </w:r>
      <w:r w:rsidR="00C84197">
        <w:rPr>
          <w:rFonts w:eastAsia="Calibri" w:cs="Times New Roman"/>
          <w:i/>
          <w:sz w:val="20"/>
          <w:szCs w:val="24"/>
        </w:rPr>
        <w:t>9</w:t>
      </w:r>
      <w:r w:rsidRPr="00D715BD">
        <w:rPr>
          <w:rFonts w:eastAsia="Calibri" w:cs="Times New Roman"/>
          <w:i/>
          <w:sz w:val="20"/>
          <w:szCs w:val="24"/>
        </w:rPr>
        <w:t>.2018</w:t>
      </w:r>
    </w:p>
    <w:p w:rsidR="006B01B7" w:rsidRPr="0033706D" w:rsidRDefault="006B01B7" w:rsidP="007D6AF2">
      <w:pPr>
        <w:spacing w:before="120" w:after="0" w:line="240" w:lineRule="auto"/>
        <w:jc w:val="center"/>
        <w:outlineLvl w:val="0"/>
        <w:rPr>
          <w:rFonts w:cs="Times New Roman"/>
          <w:b/>
          <w:sz w:val="20"/>
          <w:szCs w:val="20"/>
        </w:rPr>
      </w:pPr>
      <w:r w:rsidRPr="0033706D">
        <w:rPr>
          <w:rFonts w:cs="Times New Roman"/>
          <w:b/>
          <w:sz w:val="20"/>
          <w:szCs w:val="20"/>
        </w:rPr>
        <w:t>Özet</w:t>
      </w:r>
    </w:p>
    <w:p w:rsidR="0033706D" w:rsidRPr="0033706D" w:rsidRDefault="006B01B7" w:rsidP="007D6AF2">
      <w:pPr>
        <w:spacing w:before="120" w:after="0" w:line="240" w:lineRule="auto"/>
        <w:outlineLvl w:val="0"/>
        <w:rPr>
          <w:rFonts w:cs="Times New Roman"/>
          <w:sz w:val="20"/>
          <w:szCs w:val="20"/>
        </w:rPr>
      </w:pPr>
      <w:r w:rsidRPr="0033706D">
        <w:rPr>
          <w:rFonts w:cs="Times New Roman"/>
          <w:sz w:val="20"/>
          <w:szCs w:val="20"/>
        </w:rPr>
        <w:t>Sivil havacılık sektörü gerek kendi başına gerekse turizm</w:t>
      </w:r>
      <w:r w:rsidR="0000626C" w:rsidRPr="0033706D">
        <w:rPr>
          <w:rFonts w:cs="Times New Roman"/>
          <w:sz w:val="20"/>
          <w:szCs w:val="20"/>
        </w:rPr>
        <w:t xml:space="preserve"> sektörü için taşıdığı</w:t>
      </w:r>
      <w:r w:rsidRPr="0033706D">
        <w:rPr>
          <w:rFonts w:cs="Times New Roman"/>
          <w:sz w:val="20"/>
          <w:szCs w:val="20"/>
        </w:rPr>
        <w:t xml:space="preserve"> önem dolayısıyla stratejik bir öneme sahiptir. </w:t>
      </w:r>
      <w:r w:rsidR="0000626C" w:rsidRPr="0033706D">
        <w:rPr>
          <w:rFonts w:cs="Times New Roman"/>
          <w:sz w:val="20"/>
          <w:szCs w:val="20"/>
        </w:rPr>
        <w:t xml:space="preserve">Bu bağlamda birçok ülke bu sektörlerin desteklenmesi için çeşitli vergisel avantajlar sağlamaktadır. Türkiye’de sağlanan bu avantajlardan biri de sivil havacılık personeline sağlanan uçuş tazminatlarının gelir vergisinden istisna edilmesidir. Ancak uygulamada normlar hiyerarşisine aykırı biçimde mevcut olan mevzuatın ve vergi hukukundaki yorumun kanımızca yanlış yapılması neticesinde bu istisnanın uygulanması noktasında uyuşmazlıklar ortaya çıkmaktadır. </w:t>
      </w:r>
    </w:p>
    <w:p w:rsidR="0033706D" w:rsidRDefault="0033706D" w:rsidP="007D6AF2">
      <w:pPr>
        <w:spacing w:before="120" w:after="0" w:line="240" w:lineRule="auto"/>
        <w:ind w:firstLine="708"/>
        <w:outlineLvl w:val="0"/>
        <w:rPr>
          <w:rFonts w:cs="Times New Roman"/>
          <w:sz w:val="20"/>
          <w:szCs w:val="20"/>
        </w:rPr>
      </w:pPr>
      <w:r w:rsidRPr="0033706D">
        <w:rPr>
          <w:rFonts w:cs="Times New Roman"/>
          <w:b/>
          <w:sz w:val="20"/>
          <w:szCs w:val="20"/>
        </w:rPr>
        <w:t xml:space="preserve">Anahtar Kelimeler: </w:t>
      </w:r>
      <w:r w:rsidRPr="0033706D">
        <w:rPr>
          <w:rFonts w:cs="Times New Roman"/>
          <w:sz w:val="20"/>
          <w:szCs w:val="20"/>
        </w:rPr>
        <w:t>Vergi Hukuku, Yorum, Sivil Havacılık, Uçuş Tazminatı, Uyuşmazlık</w:t>
      </w:r>
    </w:p>
    <w:p w:rsidR="00EB4A32" w:rsidRPr="00EB4A32" w:rsidRDefault="00EB4A32" w:rsidP="007D6AF2">
      <w:pPr>
        <w:spacing w:before="120" w:after="0" w:line="240" w:lineRule="auto"/>
        <w:ind w:firstLine="0"/>
        <w:jc w:val="center"/>
        <w:outlineLvl w:val="0"/>
        <w:rPr>
          <w:rFonts w:cs="Times New Roman"/>
          <w:b/>
          <w:sz w:val="20"/>
          <w:szCs w:val="20"/>
        </w:rPr>
      </w:pPr>
      <w:r w:rsidRPr="00EB4A32">
        <w:rPr>
          <w:rFonts w:cs="Times New Roman"/>
          <w:b/>
          <w:sz w:val="20"/>
          <w:szCs w:val="20"/>
        </w:rPr>
        <w:t>STRANGE INTERPRETATION OF ADMINISTRATION AND JUDGMENT AND A SOLUTION PROPOSAL INTO THE TAXATION OF LOCOMOTİVE SECTOR IN TURKEY ECONOMY</w:t>
      </w:r>
    </w:p>
    <w:p w:rsidR="0000626C" w:rsidRPr="0033706D" w:rsidRDefault="00DF2B35" w:rsidP="007D6AF2">
      <w:pPr>
        <w:spacing w:before="120" w:after="0" w:line="240" w:lineRule="auto"/>
        <w:jc w:val="center"/>
        <w:outlineLvl w:val="0"/>
        <w:rPr>
          <w:rFonts w:cs="Times New Roman"/>
          <w:b/>
          <w:sz w:val="20"/>
          <w:szCs w:val="20"/>
        </w:rPr>
      </w:pPr>
      <w:r>
        <w:rPr>
          <w:rFonts w:cs="Times New Roman"/>
          <w:b/>
          <w:sz w:val="20"/>
          <w:szCs w:val="20"/>
        </w:rPr>
        <w:t>Abstra</w:t>
      </w:r>
      <w:r w:rsidR="0000626C" w:rsidRPr="0033706D">
        <w:rPr>
          <w:rFonts w:cs="Times New Roman"/>
          <w:b/>
          <w:sz w:val="20"/>
          <w:szCs w:val="20"/>
        </w:rPr>
        <w:t>ct</w:t>
      </w:r>
    </w:p>
    <w:p w:rsidR="0000626C" w:rsidRPr="0033706D" w:rsidRDefault="00100E98" w:rsidP="007D6AF2">
      <w:pPr>
        <w:spacing w:before="120" w:after="0" w:line="240" w:lineRule="auto"/>
        <w:ind w:firstLine="708"/>
        <w:outlineLvl w:val="0"/>
        <w:rPr>
          <w:rFonts w:cs="Times New Roman"/>
          <w:sz w:val="20"/>
          <w:szCs w:val="20"/>
        </w:rPr>
      </w:pPr>
      <w:r w:rsidRPr="0033706D">
        <w:rPr>
          <w:rFonts w:cs="Times New Roman"/>
          <w:sz w:val="20"/>
          <w:szCs w:val="20"/>
        </w:rPr>
        <w:t>The civil aviation sector has a strategic precaution by itself  as well as its importance for the tourism sector.</w:t>
      </w:r>
      <w:r w:rsidR="0000626C" w:rsidRPr="0033706D">
        <w:rPr>
          <w:rFonts w:cs="Times New Roman"/>
          <w:sz w:val="20"/>
          <w:szCs w:val="20"/>
        </w:rPr>
        <w:t xml:space="preserve"> In this context, many countries provide various tax advantages in order to support these sectors. One of the advantages provided </w:t>
      </w:r>
      <w:r w:rsidRPr="0033706D">
        <w:rPr>
          <w:rFonts w:cs="Times New Roman"/>
          <w:sz w:val="20"/>
          <w:szCs w:val="20"/>
        </w:rPr>
        <w:t>in Turkey is exemption of the compensation civil aviation flight personnel</w:t>
      </w:r>
      <w:r w:rsidR="0000626C" w:rsidRPr="0033706D">
        <w:rPr>
          <w:rFonts w:cs="Times New Roman"/>
          <w:sz w:val="20"/>
          <w:szCs w:val="20"/>
        </w:rPr>
        <w:t xml:space="preserve"> fro</w:t>
      </w:r>
      <w:r w:rsidRPr="0033706D">
        <w:rPr>
          <w:rFonts w:cs="Times New Roman"/>
          <w:sz w:val="20"/>
          <w:szCs w:val="20"/>
        </w:rPr>
        <w:t xml:space="preserve">m income tax. </w:t>
      </w:r>
      <w:r w:rsidR="0000626C" w:rsidRPr="0033706D">
        <w:rPr>
          <w:rFonts w:cs="Times New Roman"/>
          <w:sz w:val="20"/>
          <w:szCs w:val="20"/>
        </w:rPr>
        <w:t>However, disputes arise at the point of application of this exe</w:t>
      </w:r>
      <w:r w:rsidRPr="0033706D">
        <w:rPr>
          <w:rFonts w:cs="Times New Roman"/>
          <w:sz w:val="20"/>
          <w:szCs w:val="20"/>
        </w:rPr>
        <w:t>m</w:t>
      </w:r>
      <w:r w:rsidR="0000626C" w:rsidRPr="0033706D">
        <w:rPr>
          <w:rFonts w:cs="Times New Roman"/>
          <w:sz w:val="20"/>
          <w:szCs w:val="20"/>
        </w:rPr>
        <w:t xml:space="preserve">ption as a result </w:t>
      </w:r>
      <w:r w:rsidR="0033706D" w:rsidRPr="0033706D">
        <w:rPr>
          <w:rFonts w:cs="Times New Roman"/>
          <w:sz w:val="20"/>
          <w:szCs w:val="20"/>
        </w:rPr>
        <w:t xml:space="preserve">of the </w:t>
      </w:r>
      <w:r w:rsidR="0000626C" w:rsidRPr="0033706D">
        <w:rPr>
          <w:rFonts w:cs="Times New Roman"/>
          <w:sz w:val="20"/>
          <w:szCs w:val="20"/>
        </w:rPr>
        <w:t>legislation</w:t>
      </w:r>
      <w:r w:rsidR="0033706D" w:rsidRPr="0033706D">
        <w:rPr>
          <w:rFonts w:cs="Times New Roman"/>
          <w:sz w:val="20"/>
          <w:szCs w:val="20"/>
        </w:rPr>
        <w:t xml:space="preserve"> contrary to norm hierarchy</w:t>
      </w:r>
      <w:r w:rsidR="0000626C" w:rsidRPr="0033706D">
        <w:rPr>
          <w:rFonts w:cs="Times New Roman"/>
          <w:sz w:val="20"/>
          <w:szCs w:val="20"/>
        </w:rPr>
        <w:t xml:space="preserve"> and </w:t>
      </w:r>
      <w:r w:rsidR="0033706D" w:rsidRPr="0033706D">
        <w:rPr>
          <w:rFonts w:cs="Times New Roman"/>
          <w:sz w:val="20"/>
          <w:szCs w:val="20"/>
        </w:rPr>
        <w:t xml:space="preserve">wrong </w:t>
      </w:r>
      <w:r w:rsidR="0000626C" w:rsidRPr="0033706D">
        <w:rPr>
          <w:rFonts w:cs="Times New Roman"/>
          <w:sz w:val="20"/>
          <w:szCs w:val="20"/>
        </w:rPr>
        <w:t xml:space="preserve">interpretation </w:t>
      </w:r>
      <w:r w:rsidR="0033706D" w:rsidRPr="0033706D">
        <w:rPr>
          <w:rFonts w:cs="Times New Roman"/>
          <w:sz w:val="20"/>
          <w:szCs w:val="20"/>
        </w:rPr>
        <w:t xml:space="preserve">of tax law </w:t>
      </w:r>
      <w:r w:rsidR="0000626C" w:rsidRPr="0033706D">
        <w:rPr>
          <w:rFonts w:cs="Times New Roman"/>
          <w:sz w:val="20"/>
          <w:szCs w:val="20"/>
        </w:rPr>
        <w:t>in practice.</w:t>
      </w:r>
    </w:p>
    <w:p w:rsidR="0033706D" w:rsidRDefault="0033706D" w:rsidP="007D6AF2">
      <w:pPr>
        <w:spacing w:before="120" w:after="0" w:line="240" w:lineRule="auto"/>
        <w:ind w:firstLine="708"/>
        <w:outlineLvl w:val="0"/>
        <w:rPr>
          <w:rFonts w:cs="Times New Roman"/>
          <w:sz w:val="20"/>
          <w:szCs w:val="20"/>
        </w:rPr>
      </w:pPr>
      <w:r w:rsidRPr="0033706D">
        <w:rPr>
          <w:rFonts w:cs="Times New Roman"/>
          <w:b/>
          <w:sz w:val="20"/>
          <w:szCs w:val="20"/>
        </w:rPr>
        <w:t xml:space="preserve">Keywords: </w:t>
      </w:r>
      <w:r w:rsidRPr="0033706D">
        <w:rPr>
          <w:rFonts w:cs="Times New Roman"/>
          <w:sz w:val="20"/>
          <w:szCs w:val="20"/>
        </w:rPr>
        <w:t>Tax Law, Interpretation, Civil Aviation, Flight Compensation, Dispute</w:t>
      </w:r>
    </w:p>
    <w:p w:rsidR="00A448A8" w:rsidRDefault="00A448A8" w:rsidP="007D6AF2">
      <w:pPr>
        <w:spacing w:before="120" w:after="0" w:line="240" w:lineRule="auto"/>
        <w:ind w:firstLine="708"/>
        <w:outlineLvl w:val="0"/>
        <w:rPr>
          <w:rFonts w:cs="Times New Roman"/>
          <w:sz w:val="20"/>
          <w:szCs w:val="20"/>
        </w:rPr>
      </w:pPr>
    </w:p>
    <w:p w:rsidR="00A448A8" w:rsidRPr="0033706D" w:rsidRDefault="00A448A8" w:rsidP="007D6AF2">
      <w:pPr>
        <w:spacing w:before="120" w:after="0" w:line="240" w:lineRule="auto"/>
        <w:ind w:firstLine="708"/>
        <w:outlineLvl w:val="0"/>
        <w:rPr>
          <w:rFonts w:cs="Times New Roman"/>
          <w:b/>
          <w:sz w:val="20"/>
          <w:szCs w:val="20"/>
        </w:rPr>
      </w:pPr>
    </w:p>
    <w:p w:rsidR="00E518E1" w:rsidRPr="007C49CA" w:rsidRDefault="00080CED" w:rsidP="007D6AF2">
      <w:pPr>
        <w:spacing w:before="120" w:after="0" w:line="240" w:lineRule="auto"/>
        <w:ind w:firstLine="0"/>
        <w:outlineLvl w:val="0"/>
        <w:rPr>
          <w:rFonts w:cs="Times New Roman"/>
          <w:b/>
          <w:sz w:val="22"/>
          <w:szCs w:val="24"/>
        </w:rPr>
      </w:pPr>
      <w:r w:rsidRPr="007C49CA">
        <w:rPr>
          <w:rFonts w:cs="Times New Roman"/>
          <w:b/>
          <w:sz w:val="22"/>
          <w:szCs w:val="24"/>
        </w:rPr>
        <w:t>GİRİŞ</w:t>
      </w:r>
    </w:p>
    <w:p w:rsidR="00AA2787" w:rsidRPr="0033706D" w:rsidRDefault="002B7787" w:rsidP="007D6AF2">
      <w:pPr>
        <w:spacing w:before="120" w:after="0" w:line="240" w:lineRule="auto"/>
        <w:rPr>
          <w:sz w:val="22"/>
        </w:rPr>
      </w:pPr>
      <w:r w:rsidRPr="0033706D">
        <w:rPr>
          <w:sz w:val="22"/>
        </w:rPr>
        <w:t xml:space="preserve">Ülkemizde turizm sektörü ve bu sektör özelinde </w:t>
      </w:r>
      <w:r w:rsidR="00510D74" w:rsidRPr="0033706D">
        <w:rPr>
          <w:sz w:val="22"/>
        </w:rPr>
        <w:t xml:space="preserve">sivil </w:t>
      </w:r>
      <w:r w:rsidRPr="0033706D">
        <w:rPr>
          <w:sz w:val="22"/>
        </w:rPr>
        <w:t xml:space="preserve">havacılık sektörü öteden beri stratejik bir öneme sahiptir. Her iki sektör için de zaman zaman özel düzenlemeler yapılmakta, devletin stratejik planlarında bu iki sektör daima </w:t>
      </w:r>
      <w:r w:rsidR="00063972" w:rsidRPr="0033706D">
        <w:rPr>
          <w:sz w:val="22"/>
        </w:rPr>
        <w:t>özel</w:t>
      </w:r>
      <w:r w:rsidRPr="0033706D">
        <w:rPr>
          <w:sz w:val="22"/>
        </w:rPr>
        <w:t xml:space="preserve"> olarak değerlendirilmektedir. </w:t>
      </w:r>
      <w:r w:rsidR="00AA2787" w:rsidRPr="0033706D">
        <w:rPr>
          <w:sz w:val="22"/>
        </w:rPr>
        <w:t>Bu iki sektöre bu kadar önem verilmesinin temel nedenlerinden biri şüphesiz, ülkemizin artık kronik hale gelen cari açık sorununa olan olumlu etkisinin yanı sıra, doğrudan ya da dolaylı olarak tüm ülke ekonomisine olumlu etki yaratmalarıdır.</w:t>
      </w:r>
    </w:p>
    <w:p w:rsidR="002B7787" w:rsidRPr="0033706D" w:rsidRDefault="002B7787" w:rsidP="007D6AF2">
      <w:pPr>
        <w:spacing w:before="120" w:after="0" w:line="240" w:lineRule="auto"/>
        <w:rPr>
          <w:sz w:val="22"/>
        </w:rPr>
      </w:pPr>
      <w:r w:rsidRPr="0033706D">
        <w:rPr>
          <w:sz w:val="22"/>
        </w:rPr>
        <w:t>Yapımı devam eden ve cumhuriyet tarihinin en büyük yatırımı olan İstanbul Üçüncü Havalimanı da</w:t>
      </w:r>
      <w:r w:rsidR="0049336E" w:rsidRPr="0033706D">
        <w:rPr>
          <w:sz w:val="22"/>
        </w:rPr>
        <w:t>,</w:t>
      </w:r>
      <w:r w:rsidRPr="0033706D">
        <w:rPr>
          <w:sz w:val="22"/>
        </w:rPr>
        <w:t xml:space="preserve"> bu iki sektöre verilen önemin bir yansıması olarak ele alınmalıdır.</w:t>
      </w:r>
    </w:p>
    <w:p w:rsidR="002B7787" w:rsidRPr="0033706D" w:rsidRDefault="002B7787" w:rsidP="007D6AF2">
      <w:pPr>
        <w:spacing w:before="120" w:after="0" w:line="240" w:lineRule="auto"/>
        <w:rPr>
          <w:sz w:val="22"/>
        </w:rPr>
      </w:pPr>
      <w:r w:rsidRPr="0033706D">
        <w:rPr>
          <w:sz w:val="22"/>
        </w:rPr>
        <w:t xml:space="preserve">Özel öneme sahip bu sektörlere ilişkin son yıllarda ortaya çıkan ve özellikle </w:t>
      </w:r>
      <w:r w:rsidR="00510D74" w:rsidRPr="0033706D">
        <w:rPr>
          <w:sz w:val="22"/>
        </w:rPr>
        <w:t xml:space="preserve">sivil </w:t>
      </w:r>
      <w:r w:rsidRPr="0033706D">
        <w:rPr>
          <w:sz w:val="22"/>
        </w:rPr>
        <w:t>havacılık sektöründeki tüm aktörleri etkileyen bir</w:t>
      </w:r>
      <w:r w:rsidR="00063972" w:rsidRPr="0033706D">
        <w:rPr>
          <w:sz w:val="22"/>
        </w:rPr>
        <w:t xml:space="preserve"> vergi</w:t>
      </w:r>
      <w:r w:rsidRPr="0033706D">
        <w:rPr>
          <w:sz w:val="22"/>
        </w:rPr>
        <w:t xml:space="preserve"> uyuşmazlı</w:t>
      </w:r>
      <w:r w:rsidR="00063972" w:rsidRPr="0033706D">
        <w:rPr>
          <w:sz w:val="22"/>
        </w:rPr>
        <w:t>ğı</w:t>
      </w:r>
      <w:r w:rsidRPr="0033706D">
        <w:rPr>
          <w:sz w:val="22"/>
        </w:rPr>
        <w:t xml:space="preserve"> ise, deyim yerindeyse, hem </w:t>
      </w:r>
      <w:r w:rsidR="00510D74" w:rsidRPr="0033706D">
        <w:rPr>
          <w:sz w:val="22"/>
        </w:rPr>
        <w:t xml:space="preserve">sivil </w:t>
      </w:r>
      <w:r w:rsidRPr="0033706D">
        <w:rPr>
          <w:sz w:val="22"/>
        </w:rPr>
        <w:t xml:space="preserve">havacılık hem de turizm sektörü için büyük risk barındırmaktadır. </w:t>
      </w:r>
    </w:p>
    <w:p w:rsidR="002B7787" w:rsidRPr="0033706D" w:rsidRDefault="002B7787" w:rsidP="007D6AF2">
      <w:pPr>
        <w:spacing w:before="120" w:after="0" w:line="240" w:lineRule="auto"/>
        <w:rPr>
          <w:sz w:val="22"/>
        </w:rPr>
      </w:pPr>
      <w:r w:rsidRPr="0033706D">
        <w:rPr>
          <w:sz w:val="22"/>
        </w:rPr>
        <w:t>Pilot ve kabin ekiplerinin vergilendirilmesine ilişkin olarak ortaya çıkan bu uyuşmazlık, büyük bir rekabetin olduğu ve büyük firmaların uçuş ekibi transferine önem verdiği bu sektörde ülkemizi diğer ülkelere kıyasla bir adım geriye düşürme riski barındırmaktadır.</w:t>
      </w:r>
    </w:p>
    <w:p w:rsidR="007D6AF2" w:rsidRDefault="002B7787" w:rsidP="007D6AF2">
      <w:pPr>
        <w:spacing w:before="120" w:after="0" w:line="240" w:lineRule="auto"/>
        <w:rPr>
          <w:sz w:val="22"/>
        </w:rPr>
      </w:pPr>
      <w:r w:rsidRPr="0033706D">
        <w:rPr>
          <w:sz w:val="22"/>
        </w:rPr>
        <w:t>Çalışmada, bu vergi uyuşmazlığı, mümkün olan tüm açılardan ele alınacak</w:t>
      </w:r>
      <w:r w:rsidR="00063972" w:rsidRPr="0033706D">
        <w:rPr>
          <w:sz w:val="22"/>
        </w:rPr>
        <w:t xml:space="preserve"> ve çözüm önerisinde bulunulacaktır</w:t>
      </w:r>
      <w:r w:rsidRPr="0033706D">
        <w:rPr>
          <w:sz w:val="22"/>
        </w:rPr>
        <w:t>.</w:t>
      </w:r>
    </w:p>
    <w:p w:rsidR="00080CED" w:rsidRPr="007C49CA" w:rsidRDefault="007C49CA" w:rsidP="007D6AF2">
      <w:pPr>
        <w:spacing w:before="120" w:after="0" w:line="240" w:lineRule="auto"/>
        <w:rPr>
          <w:rFonts w:cs="Times New Roman"/>
          <w:b/>
          <w:sz w:val="22"/>
        </w:rPr>
      </w:pPr>
      <w:r>
        <w:rPr>
          <w:rFonts w:cs="Times New Roman"/>
          <w:b/>
          <w:sz w:val="22"/>
        </w:rPr>
        <w:t xml:space="preserve">1. </w:t>
      </w:r>
      <w:r w:rsidRPr="007C49CA">
        <w:rPr>
          <w:rFonts w:cs="Times New Roman"/>
          <w:b/>
          <w:sz w:val="22"/>
        </w:rPr>
        <w:t>Vergi Hukukunda Yorum</w:t>
      </w:r>
    </w:p>
    <w:p w:rsidR="00CA4AE3" w:rsidRPr="0033706D" w:rsidRDefault="00510D74" w:rsidP="007D6AF2">
      <w:pPr>
        <w:spacing w:before="120" w:after="0" w:line="240" w:lineRule="auto"/>
        <w:rPr>
          <w:sz w:val="22"/>
        </w:rPr>
      </w:pPr>
      <w:r w:rsidRPr="0033706D">
        <w:rPr>
          <w:sz w:val="22"/>
        </w:rPr>
        <w:t>Pozitif hukuk kuralları belirli bir dönemdeki insan iradesini ürünü olduklarından eksiklikleri ve boşlukları ortaya çıkabilmektedir. Herkesin kabul edebileceği, toplumsal ihtiyaçları adalete en uygun bir şekilde düzenleyen kanunlar yapabilmek oldukça zordur. Bu bakımdan yürürlükte olan kuralların yorumu zorunlu hale gelmektedir</w:t>
      </w:r>
      <w:r w:rsidR="001B34B2">
        <w:rPr>
          <w:sz w:val="22"/>
        </w:rPr>
        <w:t xml:space="preserve"> (Kırbaş, 2006:51)</w:t>
      </w:r>
      <w:r w:rsidRPr="0033706D">
        <w:rPr>
          <w:sz w:val="22"/>
        </w:rPr>
        <w:t>.</w:t>
      </w:r>
    </w:p>
    <w:p w:rsidR="007841BA" w:rsidRPr="0033706D" w:rsidRDefault="007841BA" w:rsidP="007D6AF2">
      <w:pPr>
        <w:spacing w:before="120" w:after="0" w:line="240" w:lineRule="auto"/>
        <w:rPr>
          <w:sz w:val="22"/>
        </w:rPr>
      </w:pPr>
      <w:r w:rsidRPr="0033706D">
        <w:rPr>
          <w:sz w:val="22"/>
        </w:rPr>
        <w:lastRenderedPageBreak/>
        <w:t>Vergi hukukunda yorumun önemli bir yeri vardır. Vergi idaresi, vergi yasalarını uygularken ve vergi yargısı organları, önlerine gelen uyuşmazlıklarını çözümlerken</w:t>
      </w:r>
      <w:r w:rsidR="000D6E31" w:rsidRPr="0033706D">
        <w:rPr>
          <w:sz w:val="22"/>
        </w:rPr>
        <w:t xml:space="preserve"> zorunlu olarak yorum yaparlar</w:t>
      </w:r>
      <w:r w:rsidR="001B34B2">
        <w:rPr>
          <w:sz w:val="22"/>
        </w:rPr>
        <w:t>(Öncel, Kumrulu ve Çağan, 2012:17)</w:t>
      </w:r>
      <w:r w:rsidR="000D6E31" w:rsidRPr="0033706D">
        <w:rPr>
          <w:sz w:val="22"/>
        </w:rPr>
        <w:t>.</w:t>
      </w:r>
    </w:p>
    <w:p w:rsidR="00BD1412" w:rsidRPr="0033706D" w:rsidRDefault="00BD1412" w:rsidP="007D6AF2">
      <w:pPr>
        <w:spacing w:before="120" w:after="0" w:line="240" w:lineRule="auto"/>
        <w:rPr>
          <w:sz w:val="22"/>
        </w:rPr>
      </w:pPr>
      <w:r w:rsidRPr="0033706D">
        <w:rPr>
          <w:sz w:val="22"/>
        </w:rPr>
        <w:t>Vergi hukukunda youm, hukuk kuralının kanun maddesinin metnine ve ruhuna göre anlamlandırılmasıdır. Dört ayrı yorum türü bulunmaktadır</w:t>
      </w:r>
      <w:r w:rsidR="001B34B2">
        <w:rPr>
          <w:sz w:val="22"/>
        </w:rPr>
        <w:t xml:space="preserve"> (Bülbül, 2018:286)</w:t>
      </w:r>
      <w:r w:rsidRPr="0033706D">
        <w:rPr>
          <w:sz w:val="22"/>
        </w:rPr>
        <w:t>:</w:t>
      </w:r>
    </w:p>
    <w:p w:rsidR="00BD1412" w:rsidRPr="0033706D" w:rsidRDefault="00BD1412" w:rsidP="007D6AF2">
      <w:pPr>
        <w:numPr>
          <w:ilvl w:val="1"/>
          <w:numId w:val="5"/>
        </w:numPr>
        <w:tabs>
          <w:tab w:val="clear" w:pos="1440"/>
          <w:tab w:val="num" w:pos="851"/>
        </w:tabs>
        <w:spacing w:before="120" w:after="0" w:line="240" w:lineRule="auto"/>
        <w:rPr>
          <w:sz w:val="22"/>
          <w:lang w:val="en-US"/>
        </w:rPr>
      </w:pPr>
      <w:r w:rsidRPr="0033706D">
        <w:rPr>
          <w:b/>
          <w:iCs/>
          <w:sz w:val="22"/>
          <w:lang w:val="en-US"/>
        </w:rPr>
        <w:t>Yasama Yorumu</w:t>
      </w:r>
      <w:r w:rsidRPr="0033706D">
        <w:rPr>
          <w:b/>
          <w:sz w:val="22"/>
          <w:lang w:val="en-US"/>
        </w:rPr>
        <w:t>:</w:t>
      </w:r>
      <w:r w:rsidRPr="0033706D">
        <w:rPr>
          <w:sz w:val="22"/>
          <w:lang w:val="en-US"/>
        </w:rPr>
        <w:t xml:space="preserve"> Yasama organının yaptığı yorumdur. Bir kanunun yorumunda güçlük çıktığında yasama organı o hükmün ne anlama geldiği hakkında karar verir. Yasama yorumu 1961 Anayasasıyla kaldırılmıştır.</w:t>
      </w:r>
    </w:p>
    <w:p w:rsidR="00BD1412" w:rsidRPr="0033706D" w:rsidRDefault="00BD1412" w:rsidP="007D6AF2">
      <w:pPr>
        <w:numPr>
          <w:ilvl w:val="1"/>
          <w:numId w:val="5"/>
        </w:numPr>
        <w:tabs>
          <w:tab w:val="clear" w:pos="1440"/>
          <w:tab w:val="num" w:pos="851"/>
        </w:tabs>
        <w:spacing w:before="120" w:after="0" w:line="240" w:lineRule="auto"/>
        <w:rPr>
          <w:sz w:val="22"/>
          <w:lang w:val="en-US"/>
        </w:rPr>
      </w:pPr>
      <w:r w:rsidRPr="0033706D">
        <w:rPr>
          <w:b/>
          <w:iCs/>
          <w:sz w:val="22"/>
          <w:lang w:val="en-US"/>
        </w:rPr>
        <w:t>Yönetsel Yorum</w:t>
      </w:r>
      <w:r w:rsidRPr="0033706D">
        <w:rPr>
          <w:b/>
          <w:sz w:val="22"/>
          <w:lang w:val="en-US"/>
        </w:rPr>
        <w:t>:</w:t>
      </w:r>
      <w:r w:rsidRPr="0033706D">
        <w:rPr>
          <w:sz w:val="22"/>
          <w:lang w:val="en-US"/>
        </w:rPr>
        <w:t xml:space="preserve"> Vergi idaresince yapılan yorumdur. Genel tebliğ, sirküler, muktezalarla yapılabilmektedir.</w:t>
      </w:r>
    </w:p>
    <w:p w:rsidR="00BD1412" w:rsidRPr="0033706D" w:rsidRDefault="00BD1412" w:rsidP="007D6AF2">
      <w:pPr>
        <w:numPr>
          <w:ilvl w:val="1"/>
          <w:numId w:val="5"/>
        </w:numPr>
        <w:tabs>
          <w:tab w:val="clear" w:pos="1440"/>
          <w:tab w:val="num" w:pos="851"/>
        </w:tabs>
        <w:spacing w:before="120" w:after="0" w:line="240" w:lineRule="auto"/>
        <w:rPr>
          <w:sz w:val="22"/>
          <w:lang w:val="en-US"/>
        </w:rPr>
      </w:pPr>
      <w:r w:rsidRPr="0033706D">
        <w:rPr>
          <w:b/>
          <w:iCs/>
          <w:sz w:val="22"/>
          <w:lang w:val="en-US"/>
        </w:rPr>
        <w:t>Yargısal Yorum</w:t>
      </w:r>
      <w:r w:rsidRPr="0033706D">
        <w:rPr>
          <w:b/>
          <w:sz w:val="22"/>
          <w:lang w:val="en-US"/>
        </w:rPr>
        <w:t>:</w:t>
      </w:r>
      <w:r w:rsidRPr="0033706D">
        <w:rPr>
          <w:sz w:val="22"/>
          <w:lang w:val="en-US"/>
        </w:rPr>
        <w:t xml:space="preserve"> Yargı organının yaptığı yorumdur. Anayasa Mahkemesi kararları ve İçtihadı birleştirme kararları bağlayıcı niteliktedir.</w:t>
      </w:r>
    </w:p>
    <w:p w:rsidR="00BD1412" w:rsidRPr="0033706D" w:rsidRDefault="00BD1412" w:rsidP="007D6AF2">
      <w:pPr>
        <w:numPr>
          <w:ilvl w:val="1"/>
          <w:numId w:val="6"/>
        </w:numPr>
        <w:spacing w:before="120" w:after="0" w:line="240" w:lineRule="auto"/>
        <w:rPr>
          <w:sz w:val="22"/>
          <w:lang w:val="en-US"/>
        </w:rPr>
      </w:pPr>
      <w:r w:rsidRPr="0033706D">
        <w:rPr>
          <w:b/>
          <w:iCs/>
          <w:sz w:val="22"/>
          <w:lang w:val="en-US"/>
        </w:rPr>
        <w:t>Bilimsel Yorum</w:t>
      </w:r>
      <w:r w:rsidRPr="0033706D">
        <w:rPr>
          <w:b/>
          <w:sz w:val="22"/>
          <w:lang w:val="en-US"/>
        </w:rPr>
        <w:t>:</w:t>
      </w:r>
      <w:r w:rsidRPr="0033706D">
        <w:rPr>
          <w:sz w:val="22"/>
          <w:lang w:val="en-US"/>
        </w:rPr>
        <w:t xml:space="preserve"> Bilim adamlarınca yapılan yorumdur. Yol gösterici niteliktedir.</w:t>
      </w:r>
    </w:p>
    <w:p w:rsidR="00BD1412" w:rsidRPr="0033706D" w:rsidRDefault="00BD1412" w:rsidP="007D6AF2">
      <w:pPr>
        <w:numPr>
          <w:ilvl w:val="0"/>
          <w:numId w:val="4"/>
        </w:numPr>
        <w:spacing w:before="120" w:after="0" w:line="240" w:lineRule="auto"/>
        <w:rPr>
          <w:b/>
          <w:bCs/>
          <w:sz w:val="22"/>
          <w:lang w:val="en-US"/>
        </w:rPr>
      </w:pPr>
      <w:r w:rsidRPr="0033706D">
        <w:rPr>
          <w:b/>
          <w:bCs/>
          <w:sz w:val="22"/>
          <w:lang w:val="en-US"/>
        </w:rPr>
        <w:t>Yorum Yöntemleri</w:t>
      </w:r>
    </w:p>
    <w:p w:rsidR="00BD1412" w:rsidRPr="0033706D" w:rsidRDefault="00BD1412" w:rsidP="007D6AF2">
      <w:pPr>
        <w:numPr>
          <w:ilvl w:val="0"/>
          <w:numId w:val="7"/>
        </w:numPr>
        <w:spacing w:before="120" w:after="0" w:line="240" w:lineRule="auto"/>
        <w:rPr>
          <w:sz w:val="22"/>
          <w:lang w:val="en-US"/>
        </w:rPr>
      </w:pPr>
      <w:r w:rsidRPr="0033706D">
        <w:rPr>
          <w:b/>
          <w:iCs/>
          <w:sz w:val="22"/>
          <w:lang w:val="en-US"/>
        </w:rPr>
        <w:t>Deyimsel (</w:t>
      </w:r>
      <w:r w:rsidRPr="0033706D">
        <w:rPr>
          <w:b/>
          <w:sz w:val="22"/>
          <w:lang w:val="en-US"/>
        </w:rPr>
        <w:t>Lafzı )</w:t>
      </w:r>
      <w:r w:rsidRPr="0033706D">
        <w:rPr>
          <w:b/>
          <w:iCs/>
          <w:sz w:val="22"/>
          <w:lang w:val="en-US"/>
        </w:rPr>
        <w:t>Yorum</w:t>
      </w:r>
      <w:r w:rsidRPr="0033706D">
        <w:rPr>
          <w:b/>
          <w:sz w:val="22"/>
          <w:lang w:val="en-US"/>
        </w:rPr>
        <w:t>:</w:t>
      </w:r>
      <w:r w:rsidRPr="0033706D">
        <w:rPr>
          <w:sz w:val="22"/>
          <w:lang w:val="en-US"/>
        </w:rPr>
        <w:t xml:space="preserve"> Kanun hükümleri, maddeler, fıkralar, bentler dış görünüşleri ile yorumlanırlar.</w:t>
      </w:r>
    </w:p>
    <w:p w:rsidR="00BD1412" w:rsidRPr="0033706D" w:rsidRDefault="00BD1412" w:rsidP="007D6AF2">
      <w:pPr>
        <w:numPr>
          <w:ilvl w:val="0"/>
          <w:numId w:val="7"/>
        </w:numPr>
        <w:spacing w:before="120" w:after="0" w:line="240" w:lineRule="auto"/>
        <w:rPr>
          <w:sz w:val="22"/>
          <w:lang w:val="en-US"/>
        </w:rPr>
      </w:pPr>
      <w:r w:rsidRPr="0033706D">
        <w:rPr>
          <w:b/>
          <w:sz w:val="22"/>
          <w:lang w:val="en-US"/>
        </w:rPr>
        <w:t>Sistematik Yorum:</w:t>
      </w:r>
      <w:r w:rsidRPr="0033706D">
        <w:rPr>
          <w:sz w:val="22"/>
          <w:lang w:val="en-US"/>
        </w:rPr>
        <w:t xml:space="preserve"> Bir yasa hükmünün anlamı belirlenirken bu hükmün yasanın yapısı içindeki yeri ve diğer mevzuat hükümleri ile olan bağlantısı ve ilişkisi araştırılır.</w:t>
      </w:r>
    </w:p>
    <w:p w:rsidR="00BD1412" w:rsidRPr="0033706D" w:rsidRDefault="00BD1412" w:rsidP="007D6AF2">
      <w:pPr>
        <w:numPr>
          <w:ilvl w:val="0"/>
          <w:numId w:val="7"/>
        </w:numPr>
        <w:spacing w:before="120" w:after="0" w:line="240" w:lineRule="auto"/>
        <w:rPr>
          <w:sz w:val="22"/>
          <w:lang w:val="en-US"/>
        </w:rPr>
      </w:pPr>
      <w:r w:rsidRPr="0033706D">
        <w:rPr>
          <w:b/>
          <w:sz w:val="22"/>
          <w:lang w:val="en-US"/>
        </w:rPr>
        <w:t>Tarihi Yorum:</w:t>
      </w:r>
      <w:r w:rsidRPr="0033706D">
        <w:rPr>
          <w:sz w:val="22"/>
          <w:lang w:val="en-US"/>
        </w:rPr>
        <w:t xml:space="preserve"> Tarihi yorum yönteminde bir yasa hükmü yorumlanırken yasa koyucunun yasanın yapıldığı andaki iradesi ve amacı araştırılır.</w:t>
      </w:r>
    </w:p>
    <w:p w:rsidR="00BD1412" w:rsidRPr="0033706D" w:rsidRDefault="00BD1412" w:rsidP="007D6AF2">
      <w:pPr>
        <w:numPr>
          <w:ilvl w:val="0"/>
          <w:numId w:val="7"/>
        </w:numPr>
        <w:spacing w:before="120" w:after="0" w:line="240" w:lineRule="auto"/>
        <w:ind w:hanging="294"/>
        <w:rPr>
          <w:rFonts w:cs="Times New Roman"/>
          <w:color w:val="000000"/>
          <w:sz w:val="22"/>
        </w:rPr>
      </w:pPr>
      <w:r w:rsidRPr="0033706D">
        <w:rPr>
          <w:rFonts w:cs="Times New Roman"/>
          <w:b/>
          <w:iCs/>
          <w:color w:val="000000"/>
          <w:sz w:val="22"/>
        </w:rPr>
        <w:t>Amaçsal Yorum</w:t>
      </w:r>
      <w:r w:rsidRPr="0033706D">
        <w:rPr>
          <w:rFonts w:cs="Times New Roman"/>
          <w:b/>
          <w:color w:val="000000"/>
          <w:sz w:val="22"/>
        </w:rPr>
        <w:t>:</w:t>
      </w:r>
      <w:r w:rsidRPr="0033706D">
        <w:rPr>
          <w:rFonts w:cs="Times New Roman"/>
          <w:color w:val="000000"/>
          <w:sz w:val="22"/>
        </w:rPr>
        <w:t xml:space="preserve"> Kanunların zamanın gereksinimlerine göre yorumlanması esastır. V</w:t>
      </w:r>
      <w:r w:rsidR="00D63824" w:rsidRPr="0033706D">
        <w:rPr>
          <w:rFonts w:cs="Times New Roman"/>
          <w:color w:val="000000"/>
          <w:sz w:val="22"/>
        </w:rPr>
        <w:t>ergi Usul Kanunu</w:t>
      </w:r>
      <w:r w:rsidRPr="0033706D">
        <w:rPr>
          <w:rFonts w:cs="Times New Roman"/>
          <w:color w:val="000000"/>
          <w:sz w:val="22"/>
        </w:rPr>
        <w:t>, hem deyimsel hem de amaçsal yoruma yer vermektedir.</w:t>
      </w:r>
    </w:p>
    <w:p w:rsidR="001E4F66" w:rsidRPr="0033706D" w:rsidRDefault="001E4F66" w:rsidP="007D6AF2">
      <w:pPr>
        <w:spacing w:before="120" w:after="0" w:line="240" w:lineRule="auto"/>
        <w:rPr>
          <w:noProof/>
          <w:sz w:val="22"/>
        </w:rPr>
      </w:pPr>
      <w:r w:rsidRPr="0033706D">
        <w:rPr>
          <w:sz w:val="22"/>
        </w:rPr>
        <w:t>213 sayılı Vergi Usul Kanununun “Vergi Kanunlarının Uygulanması ve İspat” başlıklı 3’üncü maddesinde vergi kanunlarının yorumlanması ile ilgili olarak “</w:t>
      </w:r>
      <w:r w:rsidR="00063972" w:rsidRPr="0033706D">
        <w:rPr>
          <w:noProof/>
          <w:sz w:val="22"/>
        </w:rPr>
        <w:t>v</w:t>
      </w:r>
      <w:r w:rsidRPr="0033706D">
        <w:rPr>
          <w:noProof/>
          <w:sz w:val="22"/>
        </w:rPr>
        <w:t>ergi kanunları lafzı ve ruhu ile hüküm ifade eder. Lafzın açık olmadığı hallerde vergi kanunlarının hükümleri, konuluşundaki maksat, hükümlerin kanunun yapısındaki yeri ve diğer maddelerle olan bağlantısı gözönünde tutularak uygulanır” hükmüne yer verilmiştir.</w:t>
      </w:r>
    </w:p>
    <w:p w:rsidR="001E4F66" w:rsidRPr="0033706D" w:rsidRDefault="001E4F66" w:rsidP="007D6AF2">
      <w:pPr>
        <w:spacing w:before="120" w:after="0" w:line="240" w:lineRule="auto"/>
        <w:rPr>
          <w:noProof/>
          <w:sz w:val="22"/>
        </w:rPr>
      </w:pPr>
      <w:r w:rsidRPr="0033706D">
        <w:rPr>
          <w:noProof/>
          <w:sz w:val="22"/>
        </w:rPr>
        <w:t>Yukarıda yer verilen maddede dikkat çeken husus vergi kanunlarının yorumlanmasına ilişkin olarak idarenin veya başka bir organın yetkili olarak kılınmamasıdır. Bu nedenle, vergi işlemlerine taraf olan herkesi</w:t>
      </w:r>
      <w:r w:rsidR="00063972" w:rsidRPr="0033706D">
        <w:rPr>
          <w:noProof/>
          <w:sz w:val="22"/>
        </w:rPr>
        <w:t xml:space="preserve">n vergi kanunlarını yorumlama imkânı </w:t>
      </w:r>
      <w:r w:rsidRPr="0033706D">
        <w:rPr>
          <w:noProof/>
          <w:sz w:val="22"/>
        </w:rPr>
        <w:t>bulunmakta, yapılan bu yorumlar arasında is</w:t>
      </w:r>
      <w:r w:rsidR="00063972" w:rsidRPr="0033706D">
        <w:rPr>
          <w:noProof/>
          <w:sz w:val="22"/>
        </w:rPr>
        <w:t>e</w:t>
      </w:r>
      <w:r w:rsidRPr="0033706D">
        <w:rPr>
          <w:noProof/>
          <w:sz w:val="22"/>
        </w:rPr>
        <w:t xml:space="preserve"> herhangi bir hiyerarşi bulunmamaktadır.</w:t>
      </w:r>
    </w:p>
    <w:p w:rsidR="00437F26" w:rsidRPr="0033706D" w:rsidRDefault="00437F26" w:rsidP="007D6AF2">
      <w:pPr>
        <w:spacing w:before="120" w:after="0" w:line="240" w:lineRule="auto"/>
        <w:rPr>
          <w:noProof/>
          <w:sz w:val="22"/>
        </w:rPr>
      </w:pPr>
      <w:r w:rsidRPr="0033706D">
        <w:rPr>
          <w:noProof/>
          <w:sz w:val="22"/>
        </w:rPr>
        <w:t>Şunu da unutmamak gerekir ki, deyimsel yorum dışındaki yöntemler, yasa metninin açık olmadığı durumlarda ve vergilerin yasallığı ilkesinin sınırları içinde geçerli olacaktır</w:t>
      </w:r>
      <w:r w:rsidR="001B34B2">
        <w:rPr>
          <w:noProof/>
          <w:sz w:val="22"/>
        </w:rPr>
        <w:t xml:space="preserve"> </w:t>
      </w:r>
      <w:r w:rsidR="001B34B2">
        <w:rPr>
          <w:sz w:val="22"/>
        </w:rPr>
        <w:t>(Öncel, Kumrulu ve Çağan, 2012:23)</w:t>
      </w:r>
      <w:r w:rsidRPr="0033706D">
        <w:rPr>
          <w:noProof/>
          <w:sz w:val="22"/>
        </w:rPr>
        <w:t>. Dolayısıyla gerek idare ve gerekse de v</w:t>
      </w:r>
      <w:r w:rsidR="00063972" w:rsidRPr="0033706D">
        <w:rPr>
          <w:noProof/>
          <w:sz w:val="22"/>
        </w:rPr>
        <w:t xml:space="preserve">ergisel işlemin diğer taraflarınca </w:t>
      </w:r>
      <w:r w:rsidRPr="0033706D">
        <w:rPr>
          <w:noProof/>
          <w:sz w:val="22"/>
        </w:rPr>
        <w:t>yapılacak yorumlar</w:t>
      </w:r>
      <w:r w:rsidR="00063972" w:rsidRPr="0033706D">
        <w:rPr>
          <w:noProof/>
          <w:sz w:val="22"/>
        </w:rPr>
        <w:t>,</w:t>
      </w:r>
      <w:r w:rsidRPr="0033706D">
        <w:rPr>
          <w:noProof/>
          <w:sz w:val="22"/>
        </w:rPr>
        <w:t xml:space="preserve"> ancak kanun ile izin verilen çerçeve içinde geçerli olacaktır. Bu çerçevenin aşılması halinde ise yapılan yorumun kanuna aykırı olacağı son derece açıktır.</w:t>
      </w:r>
      <w:r w:rsidR="00D63824" w:rsidRPr="0033706D">
        <w:rPr>
          <w:noProof/>
          <w:sz w:val="22"/>
        </w:rPr>
        <w:t xml:space="preserve"> Bu açıklamalardan hareketle şu sonuca ulaşılmaktadır ki, denetim elemanını yorum yaparken kanunlarla kendisine verilen sınırı aşmamalı, yasa koyucu gibi davranmamalı, yani TBMM’nin yetki alanına girmemelidir.</w:t>
      </w:r>
    </w:p>
    <w:p w:rsidR="008665A7" w:rsidRPr="0033706D" w:rsidRDefault="008665A7" w:rsidP="007D6AF2">
      <w:pPr>
        <w:spacing w:before="120" w:after="0" w:line="240" w:lineRule="auto"/>
        <w:rPr>
          <w:noProof/>
          <w:sz w:val="22"/>
        </w:rPr>
      </w:pPr>
      <w:r w:rsidRPr="0033706D">
        <w:rPr>
          <w:noProof/>
          <w:sz w:val="22"/>
        </w:rPr>
        <w:t>Vergide yorumun tamamlayıcı unsuru ise ispattır</w:t>
      </w:r>
      <w:r w:rsidR="00063972" w:rsidRPr="0033706D">
        <w:rPr>
          <w:noProof/>
          <w:sz w:val="22"/>
        </w:rPr>
        <w:t>.</w:t>
      </w:r>
      <w:r w:rsidRPr="0033706D">
        <w:rPr>
          <w:noProof/>
          <w:sz w:val="22"/>
        </w:rPr>
        <w:t xml:space="preserve"> </w:t>
      </w:r>
      <w:r w:rsidR="00063972" w:rsidRPr="0033706D">
        <w:rPr>
          <w:noProof/>
          <w:sz w:val="22"/>
        </w:rPr>
        <w:t>Z</w:t>
      </w:r>
      <w:r w:rsidRPr="0033706D">
        <w:rPr>
          <w:noProof/>
          <w:sz w:val="22"/>
        </w:rPr>
        <w:t xml:space="preserve">ira kanun hükmünün yorumlanabilmesi için öncelikle somut olayın doğru bir şekilde ortaya konulması zaruridir. Vergi Usul Kanununun </w:t>
      </w:r>
      <w:r w:rsidR="00063972" w:rsidRPr="0033706D">
        <w:rPr>
          <w:noProof/>
          <w:sz w:val="22"/>
        </w:rPr>
        <w:t>yukarıda zikredilen</w:t>
      </w:r>
      <w:r w:rsidRPr="0033706D">
        <w:rPr>
          <w:noProof/>
          <w:sz w:val="22"/>
        </w:rPr>
        <w:t xml:space="preserve"> hük</w:t>
      </w:r>
      <w:r w:rsidR="00063972" w:rsidRPr="0033706D">
        <w:rPr>
          <w:noProof/>
          <w:sz w:val="22"/>
        </w:rPr>
        <w:t>münde ispat ile ilgili olarak “v</w:t>
      </w:r>
      <w:r w:rsidRPr="0033706D">
        <w:rPr>
          <w:noProof/>
          <w:sz w:val="22"/>
        </w:rPr>
        <w:t>ergilendirmede vergiyi doğuran olay ve bu olaya, ilişkin muamelelerin gerçek mahiyeti esastır. Vergiyi doğuran olay</w:t>
      </w:r>
      <w:r w:rsidR="00D63824" w:rsidRPr="0033706D">
        <w:rPr>
          <w:rStyle w:val="DipnotBavurusu"/>
          <w:noProof/>
          <w:sz w:val="22"/>
        </w:rPr>
        <w:footnoteReference w:id="2"/>
      </w:r>
      <w:r w:rsidRPr="0033706D">
        <w:rPr>
          <w:noProof/>
          <w:sz w:val="22"/>
        </w:rPr>
        <w:t xml:space="preserve"> ve bu olaya ilişkin muamelelerin gerçek mahiyeti yemin hariç her türlü delille ispatlanabilir. Şu kadar ki, vergiyi doğuran olayla ilgisi tabii ve açık bulunmayan şahit ifadesi ispatlama</w:t>
      </w:r>
      <w:r w:rsidR="00063972" w:rsidRPr="0033706D">
        <w:rPr>
          <w:noProof/>
          <w:sz w:val="22"/>
        </w:rPr>
        <w:t xml:space="preserve"> vasıtası olarak kullanılamaz. </w:t>
      </w:r>
      <w:r w:rsidRPr="0033706D">
        <w:rPr>
          <w:noProof/>
          <w:sz w:val="22"/>
        </w:rPr>
        <w:t>İktisadi, ticari ve teknik icaplara uymayan veya olayın özelliğine göre normal ve mutad olmayan bir durumun iddia olunması halinde ispat külfeti bunu iddia eden tarafa aittir” hükümleri yer almaktadır.</w:t>
      </w:r>
    </w:p>
    <w:p w:rsidR="008665A7" w:rsidRPr="0033706D" w:rsidRDefault="008665A7" w:rsidP="007D6AF2">
      <w:pPr>
        <w:spacing w:before="120" w:after="0" w:line="240" w:lineRule="auto"/>
        <w:rPr>
          <w:noProof/>
          <w:sz w:val="22"/>
        </w:rPr>
      </w:pPr>
      <w:r w:rsidRPr="0033706D">
        <w:rPr>
          <w:noProof/>
          <w:sz w:val="22"/>
        </w:rPr>
        <w:lastRenderedPageBreak/>
        <w:t xml:space="preserve">Vergi kanunlarının yorumu ve aynı kanun maddesi içinde yer verilen ispat ile ilgili hükümler beraber ele alındığında, </w:t>
      </w:r>
      <w:r w:rsidR="00357323" w:rsidRPr="0033706D">
        <w:rPr>
          <w:noProof/>
          <w:sz w:val="22"/>
        </w:rPr>
        <w:t>kanun koyucunun “hukukî pozitivizmin deyimsel, tarihi ve sistematik</w:t>
      </w:r>
      <w:r w:rsidR="009F6E31" w:rsidRPr="0033706D">
        <w:rPr>
          <w:noProof/>
          <w:sz w:val="22"/>
        </w:rPr>
        <w:t>yorum yönemlerinin yanı sıra sosyolojik hukuk okulunun amaçsal yorum yöntemini de kabul ettiği</w:t>
      </w:r>
      <w:r w:rsidR="001B34B2">
        <w:rPr>
          <w:noProof/>
          <w:sz w:val="22"/>
        </w:rPr>
        <w:t xml:space="preserve"> </w:t>
      </w:r>
      <w:r w:rsidR="001B34B2">
        <w:rPr>
          <w:sz w:val="22"/>
        </w:rPr>
        <w:t>(Öncel, Kumrulu ve Çağan, 2012:17)</w:t>
      </w:r>
      <w:r w:rsidR="009F6E31" w:rsidRPr="0033706D">
        <w:rPr>
          <w:noProof/>
          <w:sz w:val="22"/>
        </w:rPr>
        <w:t>” anlaşılmaktadır.</w:t>
      </w:r>
    </w:p>
    <w:p w:rsidR="00437F26" w:rsidRPr="0033706D" w:rsidRDefault="002351CB" w:rsidP="007D6AF2">
      <w:pPr>
        <w:spacing w:before="120" w:after="0" w:line="240" w:lineRule="auto"/>
        <w:rPr>
          <w:noProof/>
          <w:sz w:val="22"/>
        </w:rPr>
      </w:pPr>
      <w:r w:rsidRPr="0033706D">
        <w:rPr>
          <w:noProof/>
          <w:sz w:val="22"/>
        </w:rPr>
        <w:t>Vergi hukukunda yoruma ilişkin olarak yapılan bütün bu açıklamalardan yola çıkarak,</w:t>
      </w:r>
      <w:r w:rsidR="00063972" w:rsidRPr="0033706D">
        <w:rPr>
          <w:noProof/>
          <w:sz w:val="22"/>
        </w:rPr>
        <w:t xml:space="preserve"> konumuz açısından </w:t>
      </w:r>
      <w:r w:rsidR="00437F26" w:rsidRPr="0033706D">
        <w:rPr>
          <w:noProof/>
          <w:sz w:val="22"/>
        </w:rPr>
        <w:t xml:space="preserve">şunu belirtmek gerekir ki, </w:t>
      </w:r>
      <w:r w:rsidR="00063972" w:rsidRPr="0033706D">
        <w:rPr>
          <w:noProof/>
          <w:sz w:val="22"/>
        </w:rPr>
        <w:t xml:space="preserve">yukarıda bahsedilen hükümler çerçevesinde, </w:t>
      </w:r>
      <w:r w:rsidR="00AA1D1A" w:rsidRPr="0033706D">
        <w:rPr>
          <w:noProof/>
          <w:sz w:val="22"/>
        </w:rPr>
        <w:t xml:space="preserve"> vergi kanunlarını yorumla</w:t>
      </w:r>
      <w:r w:rsidR="00437F26" w:rsidRPr="0033706D">
        <w:rPr>
          <w:noProof/>
          <w:sz w:val="22"/>
        </w:rPr>
        <w:t xml:space="preserve">rken yasal çerçeveden çıkılmaması </w:t>
      </w:r>
      <w:r w:rsidR="00063972" w:rsidRPr="0033706D">
        <w:rPr>
          <w:noProof/>
          <w:sz w:val="22"/>
        </w:rPr>
        <w:t>gerekir: ayrıca, iktisadi, ticari ve teknik icaplara uymayan veya olayın özelliğine göre normal ve mutad olmayan</w:t>
      </w:r>
      <w:r w:rsidR="00437F26" w:rsidRPr="0033706D">
        <w:rPr>
          <w:noProof/>
          <w:sz w:val="22"/>
        </w:rPr>
        <w:t xml:space="preserve"> </w:t>
      </w:r>
      <w:r w:rsidR="00AA1D1A" w:rsidRPr="0033706D">
        <w:rPr>
          <w:noProof/>
          <w:sz w:val="22"/>
        </w:rPr>
        <w:t>bir durumun ispat yükümlülüğü</w:t>
      </w:r>
      <w:r w:rsidR="00437F26" w:rsidRPr="0033706D">
        <w:rPr>
          <w:noProof/>
          <w:sz w:val="22"/>
        </w:rPr>
        <w:t>, iddiaya sahip olana ait</w:t>
      </w:r>
      <w:r w:rsidR="00AA1D1A" w:rsidRPr="0033706D">
        <w:rPr>
          <w:noProof/>
          <w:sz w:val="22"/>
        </w:rPr>
        <w:t>tir.</w:t>
      </w:r>
      <w:r w:rsidRPr="0033706D">
        <w:rPr>
          <w:noProof/>
          <w:sz w:val="22"/>
        </w:rPr>
        <w:t xml:space="preserve"> Ayrıca, yorum yaparken kanunun verdiği yetki sınırları içerisinde kalınmalı; yasa koyucuya ait olan alan ihlal edilmemelidir.</w:t>
      </w:r>
    </w:p>
    <w:p w:rsidR="00080CED" w:rsidRPr="007C49CA" w:rsidRDefault="007C49CA" w:rsidP="007D6AF2">
      <w:pPr>
        <w:spacing w:before="120" w:after="0" w:line="240" w:lineRule="auto"/>
        <w:ind w:firstLine="0"/>
        <w:outlineLvl w:val="0"/>
        <w:rPr>
          <w:rFonts w:cs="Times New Roman"/>
          <w:b/>
          <w:sz w:val="22"/>
        </w:rPr>
      </w:pPr>
      <w:r>
        <w:rPr>
          <w:rFonts w:cs="Times New Roman"/>
          <w:b/>
          <w:sz w:val="22"/>
        </w:rPr>
        <w:t xml:space="preserve">2. </w:t>
      </w:r>
      <w:r w:rsidRPr="007C49CA">
        <w:rPr>
          <w:rFonts w:cs="Times New Roman"/>
          <w:b/>
          <w:sz w:val="22"/>
        </w:rPr>
        <w:t>Genel Tebliğlerin Vergi Hukukundaki Yeri</w:t>
      </w:r>
    </w:p>
    <w:p w:rsidR="00A90A2E" w:rsidRPr="0033706D" w:rsidRDefault="00C53198" w:rsidP="007D6AF2">
      <w:pPr>
        <w:spacing w:before="120" w:after="0" w:line="240" w:lineRule="auto"/>
        <w:rPr>
          <w:sz w:val="22"/>
        </w:rPr>
      </w:pPr>
      <w:r w:rsidRPr="0033706D">
        <w:rPr>
          <w:sz w:val="22"/>
        </w:rPr>
        <w:t>Vergi hukukunun kaynaklarından biri olan genel tebliğler Maliye Bakanlığı tarafından düzenlenir ve Resmi Gazete’de yayımlanarak yürürlüğe girer.</w:t>
      </w:r>
    </w:p>
    <w:p w:rsidR="002351CB" w:rsidRPr="0033706D" w:rsidRDefault="002351CB" w:rsidP="007D6AF2">
      <w:pPr>
        <w:spacing w:before="120" w:after="0" w:line="240" w:lineRule="auto"/>
        <w:rPr>
          <w:sz w:val="22"/>
          <w:lang w:val="en-US"/>
        </w:rPr>
      </w:pPr>
      <w:r w:rsidRPr="0033706D">
        <w:rPr>
          <w:sz w:val="22"/>
          <w:lang w:val="en-US"/>
        </w:rPr>
        <w:t>Maliye Bakanlığı, vergi kanunlarının uygulanmasını kolaylaştırmak üzere tebliğler çıkarmaktadır. Bunlar sıra numarası ile Resmi Gazete’de yayımlanırlar. İki grupta toplanırlar</w:t>
      </w:r>
      <w:r w:rsidR="001B34B2">
        <w:rPr>
          <w:sz w:val="22"/>
          <w:lang w:val="en-US"/>
        </w:rPr>
        <w:t xml:space="preserve"> (Bülbül, 2018:283):</w:t>
      </w:r>
    </w:p>
    <w:p w:rsidR="002351CB" w:rsidRPr="0033706D" w:rsidRDefault="002351CB" w:rsidP="007D6AF2">
      <w:pPr>
        <w:spacing w:before="120" w:after="0" w:line="240" w:lineRule="auto"/>
        <w:rPr>
          <w:sz w:val="22"/>
        </w:rPr>
      </w:pPr>
      <w:r w:rsidRPr="0033706D">
        <w:rPr>
          <w:iCs/>
          <w:sz w:val="22"/>
        </w:rPr>
        <w:t>1. grup genel tebliğler</w:t>
      </w:r>
      <w:r w:rsidRPr="0033706D">
        <w:rPr>
          <w:sz w:val="22"/>
        </w:rPr>
        <w:t>: Vergi kanunlarının Maliye Bakanlığına tanıdığı düzenleme yetkisine dayanılarak çıkarılmaktadır.</w:t>
      </w:r>
    </w:p>
    <w:p w:rsidR="002351CB" w:rsidRPr="0033706D" w:rsidRDefault="002351CB" w:rsidP="007D6AF2">
      <w:pPr>
        <w:spacing w:before="120" w:after="0" w:line="240" w:lineRule="auto"/>
        <w:rPr>
          <w:sz w:val="22"/>
        </w:rPr>
      </w:pPr>
      <w:r w:rsidRPr="0033706D">
        <w:rPr>
          <w:iCs/>
          <w:sz w:val="22"/>
        </w:rPr>
        <w:t>2. grup genel tebliğler</w:t>
      </w:r>
      <w:r w:rsidRPr="0033706D">
        <w:rPr>
          <w:sz w:val="22"/>
        </w:rPr>
        <w:t xml:space="preserve">: Maliye Bakanlığı’nın bakanlık örgütüne yönelik olarak yayımladığı vergi kanunlarını açıklayıcı ve yorumlayıcı nitelikte metinlerdir. İkinci grup tebliğlerin vergi hukuku yönünden temel kaynak niteliği yoktur. </w:t>
      </w:r>
    </w:p>
    <w:p w:rsidR="00C91C9D" w:rsidRPr="0033706D" w:rsidRDefault="00C53198" w:rsidP="007D6AF2">
      <w:pPr>
        <w:spacing w:before="120" w:after="0" w:line="240" w:lineRule="auto"/>
        <w:rPr>
          <w:sz w:val="22"/>
        </w:rPr>
      </w:pPr>
      <w:r w:rsidRPr="0033706D">
        <w:rPr>
          <w:sz w:val="22"/>
        </w:rPr>
        <w:t>İki tür genel tebliğden bahsetmek mümkündür. Bunlar ilki düzenleyici genel tebliğlerdir. B</w:t>
      </w:r>
      <w:r w:rsidR="004C3E8F" w:rsidRPr="0033706D">
        <w:rPr>
          <w:sz w:val="22"/>
        </w:rPr>
        <w:t xml:space="preserve">azı vergi kanunları, belli konularda, Maliye Bakanlığına mükellef ve vergi idaresini bağlayıcı hükümler koyma </w:t>
      </w:r>
      <w:r w:rsidR="00C91C9D" w:rsidRPr="0033706D">
        <w:rPr>
          <w:sz w:val="22"/>
        </w:rPr>
        <w:t>imkânını</w:t>
      </w:r>
      <w:r w:rsidR="004C3E8F" w:rsidRPr="0033706D">
        <w:rPr>
          <w:sz w:val="22"/>
        </w:rPr>
        <w:t xml:space="preserve"> ya da görevini vermektedir. Kanunların açıkça verdiği yetkiye/göreve dayanarak çıkarılan bu tür</w:t>
      </w:r>
      <w:r w:rsidR="00C91C9D" w:rsidRPr="0033706D">
        <w:rPr>
          <w:sz w:val="22"/>
        </w:rPr>
        <w:t xml:space="preserve"> genel</w:t>
      </w:r>
      <w:r w:rsidR="004C3E8F" w:rsidRPr="0033706D">
        <w:rPr>
          <w:sz w:val="22"/>
        </w:rPr>
        <w:t xml:space="preserve"> tebliğler vergi hukukunun asli kaynakları arasında yer alırlar. </w:t>
      </w:r>
      <w:r w:rsidR="00C91C9D" w:rsidRPr="0033706D">
        <w:rPr>
          <w:sz w:val="22"/>
        </w:rPr>
        <w:t>Bunların örnekleri arasında Vergi Usul Kanunu hükümleri uyarınca yeniden değerleme oranının ve amortisman oranlarının belirlenmesine yönelik olarak çıkarılan genel tebliğler sayılabilir. Bu tür genel tebliğlerin iptali için da</w:t>
      </w:r>
      <w:r w:rsidR="001B34B2">
        <w:rPr>
          <w:sz w:val="22"/>
        </w:rPr>
        <w:t>va açılabilir (Uluatam ve Mehtibay, 2001:42)</w:t>
      </w:r>
      <w:r w:rsidR="00C91C9D" w:rsidRPr="0033706D">
        <w:rPr>
          <w:sz w:val="22"/>
        </w:rPr>
        <w:t>.</w:t>
      </w:r>
    </w:p>
    <w:p w:rsidR="00437F26" w:rsidRPr="0033706D" w:rsidRDefault="00C53198" w:rsidP="007D6AF2">
      <w:pPr>
        <w:spacing w:before="120" w:after="0" w:line="240" w:lineRule="auto"/>
        <w:rPr>
          <w:sz w:val="22"/>
        </w:rPr>
      </w:pPr>
      <w:r w:rsidRPr="0033706D">
        <w:rPr>
          <w:sz w:val="22"/>
        </w:rPr>
        <w:t xml:space="preserve">İkinci tür genel tebliğler ise, </w:t>
      </w:r>
      <w:r w:rsidR="00C91C9D" w:rsidRPr="0033706D">
        <w:rPr>
          <w:sz w:val="22"/>
        </w:rPr>
        <w:t>Maliye Bakanlığının yorum niteliğindeki genel tebliğleri, Maliye Bakanlığının iç işlemi niteliğinde olup, kesin ve yürütülmesi zorunlu idari işlem sayılmazlar. Bu tür genel tebliğler normalde iptal davasına konu olmazlar</w:t>
      </w:r>
      <w:r w:rsidR="001B34B2">
        <w:rPr>
          <w:sz w:val="22"/>
        </w:rPr>
        <w:t xml:space="preserve"> (Uluatam ve Mehtibay, 2001:43)</w:t>
      </w:r>
      <w:r w:rsidR="001B34B2" w:rsidRPr="0033706D">
        <w:rPr>
          <w:sz w:val="22"/>
        </w:rPr>
        <w:t>.</w:t>
      </w:r>
    </w:p>
    <w:p w:rsidR="00FF2314" w:rsidRPr="0033706D" w:rsidRDefault="00FF2314" w:rsidP="007D6AF2">
      <w:pPr>
        <w:spacing w:before="120" w:after="0" w:line="240" w:lineRule="auto"/>
        <w:rPr>
          <w:sz w:val="22"/>
        </w:rPr>
      </w:pPr>
      <w:r w:rsidRPr="0033706D">
        <w:rPr>
          <w:sz w:val="22"/>
        </w:rPr>
        <w:t xml:space="preserve">Genel Tebliğlerden bahsederken idarenin takdir yetkisinden de bahsetmek uygun olacaktır. </w:t>
      </w:r>
    </w:p>
    <w:p w:rsidR="00FF2314" w:rsidRPr="0033706D" w:rsidRDefault="00FF2314" w:rsidP="007D6AF2">
      <w:pPr>
        <w:spacing w:before="120" w:after="0" w:line="240" w:lineRule="auto"/>
        <w:rPr>
          <w:sz w:val="22"/>
        </w:rPr>
      </w:pPr>
      <w:r w:rsidRPr="0033706D">
        <w:rPr>
          <w:sz w:val="22"/>
        </w:rPr>
        <w:t>Vergi idaresinin takdir yetkisi, ancak sınırlı hallerde söz</w:t>
      </w:r>
      <w:r w:rsidR="0010669C" w:rsidRPr="0033706D">
        <w:rPr>
          <w:sz w:val="22"/>
        </w:rPr>
        <w:t xml:space="preserve"> </w:t>
      </w:r>
      <w:r w:rsidRPr="0033706D">
        <w:rPr>
          <w:sz w:val="22"/>
        </w:rPr>
        <w:t>konusu olabil</w:t>
      </w:r>
      <w:r w:rsidR="0010669C" w:rsidRPr="0033706D">
        <w:rPr>
          <w:sz w:val="22"/>
        </w:rPr>
        <w:t>mektedir.</w:t>
      </w:r>
      <w:r w:rsidR="003E1406" w:rsidRPr="0033706D">
        <w:rPr>
          <w:sz w:val="22"/>
        </w:rPr>
        <w:t xml:space="preserve"> Vergilerin kanuniliği ilkesinin gereği olarak, idarenin vergilemeye ilişkin işlemlerinin kanunlarda belirtilmesi gerekmektedir. Ancak, özel bazı durumlarda ve konularda vergi kanunları idareye takdir yetkisi vermektedir. Bunun belli başlı örneklerini; tarhiyat öncesi ve sonrası uzlaşma, vergi matrahının re’sen belirlenmesi, sürelere ilişkin bazı Vergi Usul Kanunu hükümleri ve vergi ödeme süresinin uzatılmasına ilişkin hükümlerde bulmak mümkündür. Bütün bu hükümlerdeki temel amacın, yeni bir yükümlülük getirme ya da mevcut bir yükümlülüğü kaldırma boyutlarına ulaştırmadan, yükümlülere bazı kolaylıklar sağlama olduğu söylenebilir</w:t>
      </w:r>
      <w:r w:rsidR="001B34B2">
        <w:rPr>
          <w:sz w:val="22"/>
        </w:rPr>
        <w:t xml:space="preserve"> (Uluatam ve Mehtibay, 2001:79)</w:t>
      </w:r>
      <w:r w:rsidR="001B34B2" w:rsidRPr="0033706D">
        <w:rPr>
          <w:sz w:val="22"/>
        </w:rPr>
        <w:t>.</w:t>
      </w:r>
    </w:p>
    <w:p w:rsidR="00437F26" w:rsidRPr="0033706D" w:rsidRDefault="00437F26" w:rsidP="007D6AF2">
      <w:pPr>
        <w:spacing w:before="120" w:after="0" w:line="240" w:lineRule="auto"/>
        <w:rPr>
          <w:sz w:val="22"/>
        </w:rPr>
      </w:pPr>
      <w:r w:rsidRPr="0033706D">
        <w:rPr>
          <w:sz w:val="22"/>
        </w:rPr>
        <w:t>Sonuç olarak, kanunun verdiği bir yetkiye dayanılarak yayımlanan genel tebliğler bağlayıcılığa sahipken, kanun yetki vermediği durumlarda, vergi idaresinin kanunları yorumlamak amacıyla yayımladığı genel tebliğlerin ise herhangi bir bağlayıcılığı bulunmamaktadır.</w:t>
      </w:r>
    </w:p>
    <w:p w:rsidR="0033706D" w:rsidRPr="007C49CA" w:rsidRDefault="007C49CA" w:rsidP="007D6AF2">
      <w:pPr>
        <w:spacing w:before="120" w:after="0" w:line="240" w:lineRule="auto"/>
        <w:ind w:firstLine="0"/>
        <w:outlineLvl w:val="0"/>
        <w:rPr>
          <w:rFonts w:cs="Times New Roman"/>
          <w:b/>
          <w:sz w:val="22"/>
        </w:rPr>
      </w:pPr>
      <w:r>
        <w:rPr>
          <w:rFonts w:cs="Times New Roman"/>
          <w:b/>
          <w:sz w:val="22"/>
        </w:rPr>
        <w:t xml:space="preserve">3. </w:t>
      </w:r>
      <w:r w:rsidRPr="007C49CA">
        <w:rPr>
          <w:rFonts w:cs="Times New Roman"/>
          <w:b/>
          <w:sz w:val="22"/>
        </w:rPr>
        <w:t>Uçuş Tazminatına İlişkin Kanuni Düzenlemeler</w:t>
      </w:r>
    </w:p>
    <w:p w:rsidR="00B93229" w:rsidRPr="007C49CA" w:rsidRDefault="00B93229" w:rsidP="007D6AF2">
      <w:pPr>
        <w:pStyle w:val="ListeParagraf"/>
        <w:numPr>
          <w:ilvl w:val="1"/>
          <w:numId w:val="11"/>
        </w:numPr>
        <w:spacing w:before="120" w:after="0" w:line="240" w:lineRule="auto"/>
        <w:rPr>
          <w:b/>
          <w:sz w:val="22"/>
        </w:rPr>
      </w:pPr>
      <w:r w:rsidRPr="007C49CA">
        <w:rPr>
          <w:b/>
          <w:sz w:val="22"/>
        </w:rPr>
        <w:t>Devlet Personeli İle İlgili Düzenlemeler</w:t>
      </w:r>
    </w:p>
    <w:p w:rsidR="002B7787" w:rsidRPr="0033706D" w:rsidRDefault="002B7787" w:rsidP="007D6AF2">
      <w:pPr>
        <w:spacing w:before="120" w:after="0" w:line="240" w:lineRule="auto"/>
        <w:rPr>
          <w:sz w:val="22"/>
        </w:rPr>
      </w:pPr>
      <w:r w:rsidRPr="0033706D">
        <w:rPr>
          <w:sz w:val="22"/>
        </w:rPr>
        <w:t>Ülkemizde uçuş tazminatı ifadesi hem sivil havacılıkta hem de devlet personeli tarafından gerçekleştirilen havacılık faaliyetlerinde kullanılmaktadır.</w:t>
      </w:r>
    </w:p>
    <w:p w:rsidR="00DE781A" w:rsidRPr="0033706D" w:rsidRDefault="00DE781A" w:rsidP="007D6AF2">
      <w:pPr>
        <w:spacing w:before="120" w:after="0" w:line="240" w:lineRule="auto"/>
        <w:rPr>
          <w:sz w:val="22"/>
        </w:rPr>
      </w:pPr>
      <w:r w:rsidRPr="0033706D">
        <w:rPr>
          <w:sz w:val="22"/>
        </w:rPr>
        <w:lastRenderedPageBreak/>
        <w:t xml:space="preserve">Devlet </w:t>
      </w:r>
      <w:r w:rsidR="00B27A6F" w:rsidRPr="0033706D">
        <w:rPr>
          <w:sz w:val="22"/>
        </w:rPr>
        <w:t>personelinden Türk Silahlı Kuvvetleri personeline</w:t>
      </w:r>
      <w:r w:rsidRPr="0033706D">
        <w:rPr>
          <w:sz w:val="22"/>
        </w:rPr>
        <w:t xml:space="preserve"> ilişkin uçuş t</w:t>
      </w:r>
      <w:r w:rsidR="00A3631B" w:rsidRPr="0033706D">
        <w:rPr>
          <w:sz w:val="22"/>
        </w:rPr>
        <w:t xml:space="preserve">azminatları </w:t>
      </w:r>
      <w:r w:rsidRPr="0033706D">
        <w:rPr>
          <w:sz w:val="22"/>
        </w:rPr>
        <w:t>2629 sayılı Uç</w:t>
      </w:r>
      <w:r w:rsidR="00B27A6F" w:rsidRPr="0033706D">
        <w:rPr>
          <w:sz w:val="22"/>
        </w:rPr>
        <w:t>uş, Paraşüt, Denizaltı, Dalgıç v</w:t>
      </w:r>
      <w:r w:rsidRPr="0033706D">
        <w:rPr>
          <w:sz w:val="22"/>
        </w:rPr>
        <w:t>e Kurbağa Adam Hizmetleri Tazminat Kanunu</w:t>
      </w:r>
      <w:r w:rsidR="00B27A6F" w:rsidRPr="0033706D">
        <w:rPr>
          <w:sz w:val="22"/>
        </w:rPr>
        <w:t>nda düzenlenmiştir. Bu Kanun’un “Tazminatın Ödenme Şartları ve Kesilmesi” başlıklı 7’inci maddesinde bu tazminata hak kazanılabilmesi için personelin hizmet süresine göre asgari uçuş saati şartı getirilmiştir. Yani uçuş tazminatı alabilmek asgari uçuş süresinin doldurulması şartına bağlanmıştır.</w:t>
      </w:r>
    </w:p>
    <w:p w:rsidR="00B27A6F" w:rsidRPr="0033706D" w:rsidRDefault="00B27A6F" w:rsidP="007D6AF2">
      <w:pPr>
        <w:spacing w:before="120" w:after="0" w:line="240" w:lineRule="auto"/>
        <w:rPr>
          <w:sz w:val="22"/>
        </w:rPr>
      </w:pPr>
      <w:r w:rsidRPr="0033706D">
        <w:rPr>
          <w:sz w:val="22"/>
        </w:rPr>
        <w:t>Devlet personelinden Emniyet Genel Müdürlüğü personeline ilişkin uçuş tazminatları ise 3160 sayılı Emniyet Teşkilatı Uçuş Ve Dalış Hizmetleri Tazminat Kanununda</w:t>
      </w:r>
      <w:r w:rsidR="001B34B2">
        <w:rPr>
          <w:sz w:val="22"/>
        </w:rPr>
        <w:t xml:space="preserve"> </w:t>
      </w:r>
      <w:r w:rsidRPr="0033706D">
        <w:rPr>
          <w:sz w:val="22"/>
        </w:rPr>
        <w:t xml:space="preserve">düzenlenmiştir. Söz konusu Kanun’un “Tazminatın Ödenme Şartları ve Kesilmesi” başlıklı 6’ncı maddesinde </w:t>
      </w:r>
      <w:r w:rsidR="00B93229" w:rsidRPr="0033706D">
        <w:rPr>
          <w:sz w:val="22"/>
        </w:rPr>
        <w:t>bu tazminata hak kazanılabilmesi için personelin hizmet süresine göre asgari uçuş saati şartı getirilmiştir. Yani uçuş tazminatı alabilmek, Türk Silahlı Kuvvetlerindeki düzenlemeye paralel olarak, asgari uçuş süresinin doldurulması şartına bağlanmıştır.</w:t>
      </w:r>
    </w:p>
    <w:p w:rsidR="00B93229" w:rsidRPr="0033706D" w:rsidRDefault="00B93229" w:rsidP="007D6AF2">
      <w:pPr>
        <w:spacing w:before="120" w:after="0" w:line="240" w:lineRule="auto"/>
        <w:rPr>
          <w:sz w:val="22"/>
        </w:rPr>
      </w:pPr>
      <w:r w:rsidRPr="0033706D">
        <w:rPr>
          <w:sz w:val="22"/>
        </w:rPr>
        <w:t>Görüldüğü üzere, devlet personelinin uçuş tazminatı alması için temel şart asgari uçuş süresinin doldurulmasıdır. Bu asgari süre doldurulduktan sonra herhangi karşılaştırma, kıyas</w:t>
      </w:r>
      <w:r w:rsidR="00AA1D1A" w:rsidRPr="0033706D">
        <w:rPr>
          <w:sz w:val="22"/>
        </w:rPr>
        <w:t>, orantılama</w:t>
      </w:r>
      <w:r w:rsidRPr="0033706D">
        <w:rPr>
          <w:sz w:val="22"/>
        </w:rPr>
        <w:t xml:space="preserve"> veya başka bir şart aranmaksızın hak sahibi personele ödeme yapılmaktadır.</w:t>
      </w:r>
    </w:p>
    <w:p w:rsidR="00F71ED6" w:rsidRPr="0033706D" w:rsidRDefault="00F71ED6" w:rsidP="007D6AF2">
      <w:pPr>
        <w:spacing w:before="120" w:after="0" w:line="240" w:lineRule="auto"/>
        <w:rPr>
          <w:sz w:val="22"/>
        </w:rPr>
      </w:pPr>
      <w:r w:rsidRPr="0033706D">
        <w:rPr>
          <w:sz w:val="22"/>
        </w:rPr>
        <w:t>Özel sektör personeline yapılacak uçuş tazminatı ödemelerinin şartlarına ilişkin olarak ise herhangi bir mevzuat hükmü bulunmamaktadır.</w:t>
      </w:r>
    </w:p>
    <w:p w:rsidR="00B93229" w:rsidRPr="007C49CA" w:rsidRDefault="00B93229" w:rsidP="007D6AF2">
      <w:pPr>
        <w:pStyle w:val="ListeParagraf"/>
        <w:numPr>
          <w:ilvl w:val="1"/>
          <w:numId w:val="11"/>
        </w:numPr>
        <w:spacing w:before="120" w:after="0" w:line="240" w:lineRule="auto"/>
        <w:rPr>
          <w:b/>
          <w:sz w:val="22"/>
        </w:rPr>
      </w:pPr>
      <w:r w:rsidRPr="007C49CA">
        <w:rPr>
          <w:b/>
          <w:sz w:val="22"/>
        </w:rPr>
        <w:t>Vergi Kanunlarındaki Düzenlemeler</w:t>
      </w:r>
    </w:p>
    <w:p w:rsidR="000C4F14" w:rsidRPr="0033706D" w:rsidRDefault="00F71ED6" w:rsidP="007D6AF2">
      <w:pPr>
        <w:spacing w:before="120" w:after="0" w:line="240" w:lineRule="auto"/>
        <w:rPr>
          <w:sz w:val="22"/>
        </w:rPr>
      </w:pPr>
      <w:r w:rsidRPr="0033706D">
        <w:rPr>
          <w:sz w:val="22"/>
        </w:rPr>
        <w:t xml:space="preserve">193 sayılı Gelir Vergisi Kanununun “Muaflık ve İstisnalar” başlıklı İkinci Kısmının “Müteferrik İstisnalar” başlıklı </w:t>
      </w:r>
      <w:r w:rsidR="00616F19" w:rsidRPr="0033706D">
        <w:rPr>
          <w:sz w:val="22"/>
        </w:rPr>
        <w:t>Altıncı Bölümünde yer alan “Teşvik İkramiye ve Mükafatları” başlıklı 29’</w:t>
      </w:r>
      <w:r w:rsidR="006A147F" w:rsidRPr="0033706D">
        <w:rPr>
          <w:sz w:val="22"/>
        </w:rPr>
        <w:t>uncu maddesinin birinci fıkrasının (2) bendinde</w:t>
      </w:r>
      <w:r w:rsidR="00616F19" w:rsidRPr="0033706D">
        <w:rPr>
          <w:sz w:val="22"/>
        </w:rPr>
        <w:t xml:space="preserve"> uçuş tazminatlarına ilişkin Gelir Vergisi istisnası düzenlenmiştir.</w:t>
      </w:r>
      <w:r w:rsidR="006A147F" w:rsidRPr="0033706D">
        <w:rPr>
          <w:sz w:val="22"/>
        </w:rPr>
        <w:t xml:space="preserve"> </w:t>
      </w:r>
      <w:r w:rsidR="000C4F14" w:rsidRPr="0033706D">
        <w:rPr>
          <w:sz w:val="22"/>
        </w:rPr>
        <w:t>Bu madde 6 Haziran 2008 tarihinde yayımlanan 5766 sayılı Kanun yürürlüğe girmeden önce aşağıdaki şekildeydi:</w:t>
      </w:r>
    </w:p>
    <w:p w:rsidR="000C4F14" w:rsidRPr="0033706D" w:rsidRDefault="000C4F14" w:rsidP="007D6AF2">
      <w:pPr>
        <w:spacing w:before="120" w:after="0" w:line="240" w:lineRule="auto"/>
        <w:rPr>
          <w:i/>
          <w:sz w:val="22"/>
        </w:rPr>
      </w:pPr>
      <w:r w:rsidRPr="0033706D">
        <w:rPr>
          <w:i/>
          <w:sz w:val="22"/>
        </w:rPr>
        <w:t>“Subay,</w:t>
      </w:r>
      <w:r w:rsidR="00E3366D" w:rsidRPr="0033706D">
        <w:rPr>
          <w:i/>
          <w:sz w:val="22"/>
        </w:rPr>
        <w:t xml:space="preserve"> </w:t>
      </w:r>
      <w:r w:rsidRPr="0033706D">
        <w:rPr>
          <w:i/>
          <w:sz w:val="22"/>
        </w:rPr>
        <w:t>astsubay, erbaş ve erlere ve Ordu hizmetinde bulunan sivil makinistlere, uçuş, dalış gibi hizmetleri dolayısıyla verilen tazminatlar, gündelikler, ikramiyeler, zamlar ile Türk Hava Kurumu veya kanuni ve iş merkezi Türkiye`de bulunan müesseselerde uçuş maksadiyle görevlendirilenlere; uçuş hizmetleri, denizaltına dalış yapanlara dalış hizmetleri dolayısıyla ya</w:t>
      </w:r>
      <w:r w:rsidR="00E3366D" w:rsidRPr="0033706D">
        <w:rPr>
          <w:i/>
          <w:sz w:val="22"/>
        </w:rPr>
        <w:t>pılan aynı mahiyetteki ödemeler”</w:t>
      </w:r>
    </w:p>
    <w:p w:rsidR="00B93229" w:rsidRPr="0033706D" w:rsidRDefault="00E3366D" w:rsidP="007D6AF2">
      <w:pPr>
        <w:spacing w:before="120" w:after="0" w:line="240" w:lineRule="auto"/>
        <w:rPr>
          <w:sz w:val="22"/>
        </w:rPr>
      </w:pPr>
      <w:r w:rsidRPr="0033706D">
        <w:rPr>
          <w:sz w:val="22"/>
        </w:rPr>
        <w:t>5766 sayılı Kanun ile yapılan değişiklik sonrasında ise s</w:t>
      </w:r>
      <w:r w:rsidR="006A147F" w:rsidRPr="0033706D">
        <w:rPr>
          <w:sz w:val="22"/>
        </w:rPr>
        <w:t>öz konusu bent hükmü aşağıdaki şekilde</w:t>
      </w:r>
      <w:r w:rsidRPr="0033706D">
        <w:rPr>
          <w:sz w:val="22"/>
        </w:rPr>
        <w:t xml:space="preserve"> değiştirilmişt</w:t>
      </w:r>
      <w:r w:rsidR="006A147F" w:rsidRPr="0033706D">
        <w:rPr>
          <w:sz w:val="22"/>
        </w:rPr>
        <w:t>ir:</w:t>
      </w:r>
    </w:p>
    <w:p w:rsidR="006A147F" w:rsidRPr="0033706D" w:rsidRDefault="006A147F" w:rsidP="007D6AF2">
      <w:pPr>
        <w:spacing w:before="120" w:after="0" w:line="240" w:lineRule="auto"/>
        <w:rPr>
          <w:i/>
          <w:sz w:val="22"/>
        </w:rPr>
      </w:pPr>
      <w:r w:rsidRPr="0033706D">
        <w:rPr>
          <w:i/>
          <w:sz w:val="22"/>
        </w:rPr>
        <w:t>“Subay, astsubay, erbaş ve erlere ve Ordu hizmetinde bulunan sivil makinistlere, uçuş, dalış gibi hizmetleri dolayısıyla verilen tazminatlar, gündelikler, ikramiyeler, zamlar ile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personele; fiilen uçuş hizmeti, denizaltına dalış yapanlara fiilen dalış hizmetleri dolayısıyla yapılan aynı mahiyetteki ödemeler”</w:t>
      </w:r>
    </w:p>
    <w:p w:rsidR="001B34B2" w:rsidRPr="0033706D" w:rsidRDefault="006A147F" w:rsidP="007D6AF2">
      <w:pPr>
        <w:spacing w:before="120" w:after="0" w:line="240" w:lineRule="auto"/>
        <w:rPr>
          <w:sz w:val="22"/>
        </w:rPr>
      </w:pPr>
      <w:r w:rsidRPr="0033706D">
        <w:rPr>
          <w:sz w:val="22"/>
        </w:rPr>
        <w:t xml:space="preserve">Bent hükmüne konumuz açısından bakıldığında, </w:t>
      </w:r>
      <w:r w:rsidR="000C4F14" w:rsidRPr="0033706D">
        <w:rPr>
          <w:sz w:val="22"/>
        </w:rPr>
        <w:t>kanuni veya iş merkezi Türkiye’de bulunan müesseselerde uçuş maksadıyla görevlendirilen, hava aracının sevk ve idaresiyle görevli pilotlar ile uçuş esnasında uçak içinde hizmet veren yetkili sivil havacılık otoritesince sertifikalandırılmış personele; fiilen uçuş hizmeti dolayısıyla yapılan aynı mahiyetteki ödemelerin Gelir Vergisinden istisna tutulduğu açık bir şekilde anlaşılmaktadır.</w:t>
      </w:r>
      <w:r w:rsidR="00E3366D" w:rsidRPr="0033706D">
        <w:rPr>
          <w:sz w:val="22"/>
        </w:rPr>
        <w:t xml:space="preserve"> </w:t>
      </w:r>
    </w:p>
    <w:p w:rsidR="00080CED" w:rsidRPr="007C49CA" w:rsidRDefault="007C49CA" w:rsidP="007D6AF2">
      <w:pPr>
        <w:pStyle w:val="ListeParagraf"/>
        <w:numPr>
          <w:ilvl w:val="0"/>
          <w:numId w:val="11"/>
        </w:numPr>
        <w:spacing w:before="120" w:after="0" w:line="240" w:lineRule="auto"/>
        <w:outlineLvl w:val="0"/>
        <w:rPr>
          <w:rFonts w:cs="Times New Roman"/>
          <w:b/>
          <w:sz w:val="22"/>
        </w:rPr>
      </w:pPr>
      <w:r w:rsidRPr="007C49CA">
        <w:rPr>
          <w:rFonts w:cs="Times New Roman"/>
          <w:b/>
          <w:sz w:val="22"/>
        </w:rPr>
        <w:t>Uçuş Tazminatı İle İlgili Tebliğlerde Yer Alan Düzenlemeler</w:t>
      </w:r>
    </w:p>
    <w:p w:rsidR="00E00EB9" w:rsidRPr="0033706D" w:rsidRDefault="00E00EB9" w:rsidP="007D6AF2">
      <w:pPr>
        <w:spacing w:before="120" w:after="0" w:line="240" w:lineRule="auto"/>
        <w:rPr>
          <w:sz w:val="22"/>
        </w:rPr>
      </w:pPr>
      <w:r w:rsidRPr="0033706D">
        <w:rPr>
          <w:sz w:val="22"/>
        </w:rPr>
        <w:t>Uçuş tazminatına ilişkin Gelir Vergisi Kanunu maddesinin 5766 sayılı Kanun ile değişmeden önceki halini yorumlayan 128 seri No’lu Gelir Vergisi Genel Tebliğinin I/k-1 maddesi aşağıdaki şekildeydi:</w:t>
      </w:r>
    </w:p>
    <w:p w:rsidR="00E00EB9" w:rsidRPr="0033706D" w:rsidRDefault="00E00EB9" w:rsidP="007D6AF2">
      <w:pPr>
        <w:spacing w:before="120" w:after="0" w:line="240" w:lineRule="auto"/>
        <w:rPr>
          <w:i/>
          <w:sz w:val="22"/>
        </w:rPr>
      </w:pPr>
      <w:r w:rsidRPr="0033706D">
        <w:rPr>
          <w:i/>
          <w:sz w:val="22"/>
        </w:rPr>
        <w:t>“Aynı Kanunun 29 ncu maddesinin 2 numaralı bendinde yapılan değişiklikle, uçuş ve dalış hizmetleri karşılığında yapılan ödemelere ilişkin istisnanın kapsamı genişletilmiş, daha önce Türk Silahlı Kuvvetleri dışında yalnızca Türk Hava Yollarında uçuş maksadiyle görevlendirilenler için öngörülen istisna, Türk Hava Kurumu ile kanuni ve iş merkezi Türkiye'de bulunan müesseseler tarafından uçuş maksadıyla görevlendirilenlere uçuş hizmetleri; deniz altında dalış yapanlara dalış hizmetleri dolayısıyla yapılan ödemelere de teşmil edilmiştir.</w:t>
      </w:r>
    </w:p>
    <w:p w:rsidR="00E00EB9" w:rsidRPr="0033706D" w:rsidRDefault="00E00EB9" w:rsidP="007D6AF2">
      <w:pPr>
        <w:spacing w:before="120" w:after="0" w:line="240" w:lineRule="auto"/>
        <w:rPr>
          <w:i/>
          <w:sz w:val="22"/>
        </w:rPr>
      </w:pPr>
      <w:r w:rsidRPr="0033706D">
        <w:rPr>
          <w:i/>
          <w:sz w:val="22"/>
        </w:rPr>
        <w:lastRenderedPageBreak/>
        <w:t>Sözkonusu istisna fiili uçuş ve dalış hizmetleri karşılığında yapılacak tazminat, gündelik, ikramiye ve zam ödemelerine münhasır bulunmaktadır.”</w:t>
      </w:r>
    </w:p>
    <w:p w:rsidR="00D97F77" w:rsidRPr="0033706D" w:rsidRDefault="00E00EB9" w:rsidP="007D6AF2">
      <w:pPr>
        <w:spacing w:before="120" w:after="0" w:line="240" w:lineRule="auto"/>
        <w:rPr>
          <w:sz w:val="22"/>
        </w:rPr>
      </w:pPr>
      <w:r w:rsidRPr="0033706D">
        <w:rPr>
          <w:sz w:val="22"/>
        </w:rPr>
        <w:t xml:space="preserve">5766 sayılı Kanunla ilgili madde hükmü değiştikten sonra, bu maddenin yorumu 128 seri No’lu Tebliğden 267 seri No’lu Gelir Vergisi Genel Tebliğine aktarılmıştır. Bu Tebliğ’in </w:t>
      </w:r>
      <w:r w:rsidR="00D97F77" w:rsidRPr="0033706D">
        <w:rPr>
          <w:sz w:val="22"/>
        </w:rPr>
        <w:t>üçüncü maddesinde uçuş tazminatının Gelir Vergisinden istisna tutulmasına ilişkin</w:t>
      </w:r>
      <w:r w:rsidR="00AA1D1A" w:rsidRPr="0033706D">
        <w:rPr>
          <w:sz w:val="22"/>
        </w:rPr>
        <w:t xml:space="preserve"> uzun</w:t>
      </w:r>
      <w:r w:rsidR="00D97F77" w:rsidRPr="0033706D">
        <w:rPr>
          <w:sz w:val="22"/>
        </w:rPr>
        <w:t xml:space="preserve"> açıklamalar yapılmıştır. </w:t>
      </w:r>
      <w:r w:rsidR="0074361B" w:rsidRPr="0033706D">
        <w:rPr>
          <w:sz w:val="22"/>
        </w:rPr>
        <w:t>Söz konusu Genel Tebliğ’in konumuz açısından önemli kısmı aşağıdaki gibidir:</w:t>
      </w:r>
    </w:p>
    <w:p w:rsidR="0074361B" w:rsidRPr="0033706D" w:rsidRDefault="0074361B" w:rsidP="007D6AF2">
      <w:pPr>
        <w:spacing w:before="120" w:after="0" w:line="240" w:lineRule="auto"/>
        <w:rPr>
          <w:i/>
          <w:sz w:val="22"/>
        </w:rPr>
      </w:pPr>
      <w:r w:rsidRPr="0033706D">
        <w:rPr>
          <w:i/>
          <w:sz w:val="22"/>
        </w:rPr>
        <w:t>“(…)</w:t>
      </w:r>
    </w:p>
    <w:p w:rsidR="0074361B" w:rsidRPr="0033706D" w:rsidRDefault="0074361B" w:rsidP="007D6AF2">
      <w:pPr>
        <w:spacing w:before="120" w:after="0" w:line="240" w:lineRule="auto"/>
        <w:rPr>
          <w:i/>
          <w:sz w:val="22"/>
        </w:rPr>
      </w:pPr>
      <w:r w:rsidRPr="0033706D">
        <w:rPr>
          <w:i/>
          <w:sz w:val="22"/>
        </w:rPr>
        <w:t>Söz konusu bentte yer alan ikinci cümlecikte yapılan düzenlemeye göre, uçuş maksadıyla görevlendirilenlere uçuş hizmetleri, deniz altına dalış yapanlara dalış hizmetleri dolayısıyla verilen tazminatlar, gündelikler, ikramiyeler ve zamlar aşağıdaki koşulları taşıması kaydıyla gelir vergisinden müstesna tutulmuştur:</w:t>
      </w:r>
    </w:p>
    <w:p w:rsidR="0074361B" w:rsidRPr="0033706D" w:rsidRDefault="0074361B" w:rsidP="007D6AF2">
      <w:pPr>
        <w:spacing w:before="120" w:after="0" w:line="240" w:lineRule="auto"/>
        <w:rPr>
          <w:i/>
          <w:sz w:val="22"/>
        </w:rPr>
      </w:pPr>
      <w:r w:rsidRPr="0033706D">
        <w:rPr>
          <w:i/>
          <w:sz w:val="22"/>
        </w:rPr>
        <w:t>• Ödemeyi yapanın Türk Hava Kurumu ya da kanuni veya iş merkezi Türkiye'de bulunan müesseselerden olması,</w:t>
      </w:r>
    </w:p>
    <w:p w:rsidR="0074361B" w:rsidRPr="0033706D" w:rsidRDefault="0074361B" w:rsidP="007D6AF2">
      <w:pPr>
        <w:spacing w:before="120" w:after="0" w:line="240" w:lineRule="auto"/>
        <w:rPr>
          <w:i/>
          <w:sz w:val="22"/>
        </w:rPr>
      </w:pPr>
      <w:r w:rsidRPr="0033706D">
        <w:rPr>
          <w:i/>
          <w:sz w:val="22"/>
        </w:rPr>
        <w:t>• Ödeme yapılanın uçuş maksadıyla görevlendirilen, hava aracının sevk ve idaresiyle görevli pilotlar ile uçuş esnasında uçak içinde hizmet veren yetkili sivil havacılık otoritesince sertifikalandırılmış personel olması,</w:t>
      </w:r>
    </w:p>
    <w:p w:rsidR="0074361B" w:rsidRPr="0033706D" w:rsidRDefault="0074361B" w:rsidP="007D6AF2">
      <w:pPr>
        <w:spacing w:before="120" w:after="0" w:line="240" w:lineRule="auto"/>
        <w:rPr>
          <w:i/>
          <w:sz w:val="22"/>
        </w:rPr>
      </w:pPr>
      <w:r w:rsidRPr="0033706D">
        <w:rPr>
          <w:i/>
          <w:sz w:val="22"/>
        </w:rPr>
        <w:t xml:space="preserve">• Ödemenin, uçuş ve dalış gibi hizmetler dolayısıyla fiilen gerçekleştirilen uçuş ve dalış süreleri ile </w:t>
      </w:r>
      <w:r w:rsidRPr="0033706D">
        <w:rPr>
          <w:b/>
          <w:i/>
          <w:sz w:val="22"/>
        </w:rPr>
        <w:t xml:space="preserve">sınırlı </w:t>
      </w:r>
      <w:r w:rsidRPr="0033706D">
        <w:rPr>
          <w:i/>
          <w:sz w:val="22"/>
        </w:rPr>
        <w:t>bulunması.</w:t>
      </w:r>
    </w:p>
    <w:p w:rsidR="0074361B" w:rsidRPr="0033706D" w:rsidRDefault="0074361B" w:rsidP="007D6AF2">
      <w:pPr>
        <w:spacing w:before="120" w:after="0" w:line="240" w:lineRule="auto"/>
        <w:rPr>
          <w:i/>
          <w:sz w:val="22"/>
        </w:rPr>
      </w:pPr>
      <w:r w:rsidRPr="0033706D">
        <w:rPr>
          <w:i/>
          <w:sz w:val="22"/>
        </w:rPr>
        <w:t>(…)”</w:t>
      </w:r>
    </w:p>
    <w:p w:rsidR="00DD39E9" w:rsidRPr="0033706D" w:rsidRDefault="00D97F77" w:rsidP="007D6AF2">
      <w:pPr>
        <w:spacing w:before="120" w:after="0" w:line="240" w:lineRule="auto"/>
        <w:rPr>
          <w:sz w:val="22"/>
        </w:rPr>
      </w:pPr>
      <w:r w:rsidRPr="0033706D">
        <w:rPr>
          <w:sz w:val="22"/>
        </w:rPr>
        <w:t xml:space="preserve">128 seri No’lu Tebliğ’in aksine 267 seri No’lu Tebliğ’de idare son derece uzun ve detaylı yorumlamalar yapmakla birlikte bu yorumların bir kısmının idarenin yetkisini aştığını söylemek kaçınılmazdır. </w:t>
      </w:r>
      <w:r w:rsidR="00DD39E9" w:rsidRPr="0033706D">
        <w:rPr>
          <w:sz w:val="22"/>
        </w:rPr>
        <w:t>Burada dikkat edilmesi gereken bir diğer husus ise Kanun’da fiili uçuş hizmetinden bahsedilirken, Tebliğ’de uçuş süresi</w:t>
      </w:r>
      <w:r w:rsidR="00E81514" w:rsidRPr="0033706D">
        <w:rPr>
          <w:sz w:val="22"/>
        </w:rPr>
        <w:t xml:space="preserve"> ile sınırlı</w:t>
      </w:r>
      <w:r w:rsidR="00DD39E9" w:rsidRPr="0033706D">
        <w:rPr>
          <w:sz w:val="22"/>
        </w:rPr>
        <w:t xml:space="preserve"> </w:t>
      </w:r>
      <w:r w:rsidR="00E81514" w:rsidRPr="0033706D">
        <w:rPr>
          <w:sz w:val="22"/>
        </w:rPr>
        <w:t>ifadesinin</w:t>
      </w:r>
      <w:r w:rsidR="00DD39E9" w:rsidRPr="0033706D">
        <w:rPr>
          <w:sz w:val="22"/>
        </w:rPr>
        <w:t xml:space="preserve"> kullanılmasıdır. Kanun’daki kavram hizmetin yerine getirilmesi ile sınırlı iken Tebliğ’de hizmetin yerine getirilmesinin yanı sıra ayrıca </w:t>
      </w:r>
      <w:r w:rsidR="00E81514" w:rsidRPr="0033706D">
        <w:rPr>
          <w:sz w:val="22"/>
        </w:rPr>
        <w:t>uçuş süresi ile sınırlılık şartı getirilmiştir.</w:t>
      </w:r>
    </w:p>
    <w:p w:rsidR="0074361B" w:rsidRPr="0033706D" w:rsidRDefault="0074361B" w:rsidP="007D6AF2">
      <w:pPr>
        <w:spacing w:before="120" w:after="0" w:line="240" w:lineRule="auto"/>
        <w:rPr>
          <w:sz w:val="22"/>
        </w:rPr>
      </w:pPr>
      <w:r w:rsidRPr="0033706D">
        <w:rPr>
          <w:sz w:val="22"/>
        </w:rPr>
        <w:t>Yukarıda Tebliğlerin vergi hukukundaki yeri incelenirken bahsedildiği üzere, kanunda açıkça verilmiş bir yetkiye dayanmayan Tebliğler yalnızca vergi idaresinin konu ile ilgili kanaatini yansıtmaktadır. Bu nedenle de herhangi bir bağlayıcılığı bulunmamaktadır. Dolayısıyla, 267 seri No’lu Genel Tebliğin</w:t>
      </w:r>
      <w:r w:rsidR="00DF749E" w:rsidRPr="0033706D">
        <w:rPr>
          <w:sz w:val="22"/>
        </w:rPr>
        <w:t xml:space="preserve"> konumuz ile ilgili hükümlerinin</w:t>
      </w:r>
      <w:r w:rsidRPr="0033706D">
        <w:rPr>
          <w:sz w:val="22"/>
        </w:rPr>
        <w:t xml:space="preserve"> üst hukuk normuna ayk</w:t>
      </w:r>
      <w:r w:rsidR="00DF749E" w:rsidRPr="0033706D">
        <w:rPr>
          <w:sz w:val="22"/>
        </w:rPr>
        <w:t>ırı olduğu, Kanun hükmünde öngörülmeyen</w:t>
      </w:r>
      <w:r w:rsidRPr="0033706D">
        <w:rPr>
          <w:sz w:val="22"/>
        </w:rPr>
        <w:t xml:space="preserve"> yeni </w:t>
      </w:r>
      <w:r w:rsidR="00DF749E" w:rsidRPr="0033706D">
        <w:rPr>
          <w:sz w:val="22"/>
        </w:rPr>
        <w:t xml:space="preserve">bir </w:t>
      </w:r>
      <w:r w:rsidRPr="0033706D">
        <w:rPr>
          <w:sz w:val="22"/>
        </w:rPr>
        <w:t xml:space="preserve">kural getirdiği dikkate alındığında, </w:t>
      </w:r>
      <w:r w:rsidR="00DF749E" w:rsidRPr="0033706D">
        <w:rPr>
          <w:sz w:val="22"/>
        </w:rPr>
        <w:t xml:space="preserve">bu hükümlerin </w:t>
      </w:r>
      <w:r w:rsidRPr="0033706D">
        <w:rPr>
          <w:sz w:val="22"/>
        </w:rPr>
        <w:t>herhangi bir geçerliliği olduğundan bahsetmek mümkün olmayacaktır.</w:t>
      </w:r>
    </w:p>
    <w:p w:rsidR="0033706D" w:rsidRPr="00AD5DFF" w:rsidRDefault="007C49CA" w:rsidP="007D6AF2">
      <w:pPr>
        <w:pStyle w:val="ListeParagraf"/>
        <w:numPr>
          <w:ilvl w:val="0"/>
          <w:numId w:val="11"/>
        </w:numPr>
        <w:spacing w:before="120" w:after="0" w:line="240" w:lineRule="auto"/>
        <w:ind w:left="357" w:hanging="357"/>
        <w:outlineLvl w:val="0"/>
        <w:rPr>
          <w:rFonts w:cs="Times New Roman"/>
          <w:b/>
          <w:sz w:val="22"/>
        </w:rPr>
      </w:pPr>
      <w:r w:rsidRPr="007C49CA">
        <w:rPr>
          <w:rFonts w:cs="Times New Roman"/>
          <w:b/>
          <w:sz w:val="22"/>
        </w:rPr>
        <w:t>Uçuş Personeli Sözleşme Ve Bordrolarına Göre Ücret Unsurları</w:t>
      </w:r>
    </w:p>
    <w:p w:rsidR="004A11F1" w:rsidRPr="0033706D" w:rsidRDefault="004A11F1" w:rsidP="007D6AF2">
      <w:pPr>
        <w:pStyle w:val="ListeParagraf"/>
        <w:numPr>
          <w:ilvl w:val="1"/>
          <w:numId w:val="11"/>
        </w:numPr>
        <w:spacing w:before="120" w:after="0" w:line="240" w:lineRule="auto"/>
        <w:ind w:left="357" w:hanging="357"/>
        <w:rPr>
          <w:b/>
          <w:sz w:val="22"/>
        </w:rPr>
      </w:pPr>
      <w:r w:rsidRPr="0033706D">
        <w:rPr>
          <w:b/>
          <w:sz w:val="22"/>
        </w:rPr>
        <w:t xml:space="preserve"> Vergi İnceleme Raporunda Yer Alan Ücret Unsurları</w:t>
      </w:r>
    </w:p>
    <w:p w:rsidR="00C95F85" w:rsidRPr="0033706D" w:rsidRDefault="00C95F85" w:rsidP="007D6AF2">
      <w:pPr>
        <w:spacing w:before="120" w:after="0" w:line="240" w:lineRule="auto"/>
        <w:rPr>
          <w:sz w:val="22"/>
        </w:rPr>
      </w:pPr>
      <w:r w:rsidRPr="0033706D">
        <w:rPr>
          <w:sz w:val="22"/>
        </w:rPr>
        <w:t xml:space="preserve">Vergi İnceleme Raporlarında personel bordrolarında yer alan </w:t>
      </w:r>
      <w:r w:rsidR="00AA1D1A" w:rsidRPr="0033706D">
        <w:rPr>
          <w:sz w:val="22"/>
        </w:rPr>
        <w:t>ücret unsurları sayılmış ve açıklanmıştır</w:t>
      </w:r>
      <w:r w:rsidRPr="0033706D">
        <w:rPr>
          <w:sz w:val="22"/>
        </w:rPr>
        <w:t>. Bunlardan önemli olanlar aşağıdaki şekilde sayılmıştır.</w:t>
      </w:r>
    </w:p>
    <w:p w:rsidR="00C95F85" w:rsidRPr="0033706D" w:rsidRDefault="00C95F85" w:rsidP="007D6AF2">
      <w:pPr>
        <w:pStyle w:val="ListeParagraf"/>
        <w:numPr>
          <w:ilvl w:val="0"/>
          <w:numId w:val="2"/>
        </w:numPr>
        <w:spacing w:before="120" w:after="0" w:line="240" w:lineRule="auto"/>
        <w:rPr>
          <w:sz w:val="22"/>
        </w:rPr>
      </w:pPr>
      <w:r w:rsidRPr="0033706D">
        <w:rPr>
          <w:sz w:val="22"/>
        </w:rPr>
        <w:t>Kök ücret: Uçuş personeli ile yapılan anlaşma gereği personele ödenen net tutar.</w:t>
      </w:r>
    </w:p>
    <w:p w:rsidR="00C95F85" w:rsidRPr="0033706D" w:rsidRDefault="00C95F85" w:rsidP="007D6AF2">
      <w:pPr>
        <w:pStyle w:val="ListeParagraf"/>
        <w:numPr>
          <w:ilvl w:val="0"/>
          <w:numId w:val="2"/>
        </w:numPr>
        <w:spacing w:before="120" w:after="0" w:line="240" w:lineRule="auto"/>
        <w:rPr>
          <w:sz w:val="22"/>
        </w:rPr>
      </w:pPr>
      <w:r w:rsidRPr="0033706D">
        <w:rPr>
          <w:sz w:val="22"/>
        </w:rPr>
        <w:t>Uçuş tazminatı: Her bir uçuş personeli için sabit bir miktar olarak belirlenen tutar (Pilotlar ile havacılık şirketi arasında yapılan sözleşmedeki tanımına çalışmamızın aşağıdaki kısmında yer verilmiştir).</w:t>
      </w:r>
    </w:p>
    <w:p w:rsidR="00C95F85" w:rsidRPr="0033706D" w:rsidRDefault="00C95F85" w:rsidP="007D6AF2">
      <w:pPr>
        <w:pStyle w:val="ListeParagraf"/>
        <w:numPr>
          <w:ilvl w:val="0"/>
          <w:numId w:val="2"/>
        </w:numPr>
        <w:spacing w:before="120" w:after="0" w:line="240" w:lineRule="auto"/>
        <w:rPr>
          <w:sz w:val="22"/>
        </w:rPr>
      </w:pPr>
      <w:r w:rsidRPr="0033706D">
        <w:rPr>
          <w:sz w:val="22"/>
        </w:rPr>
        <w:t>Ek uçuş tazminatı 2: Uçuş personelinin ilgili ay içinde yapmış olduğu temizlik hizmeti sayısının birim hizmet bedeli ile çarpımı yoluyla bulunan tutar.</w:t>
      </w:r>
    </w:p>
    <w:p w:rsidR="00C95F85" w:rsidRPr="0033706D" w:rsidRDefault="00C95F85" w:rsidP="007D6AF2">
      <w:pPr>
        <w:pStyle w:val="ListeParagraf"/>
        <w:numPr>
          <w:ilvl w:val="0"/>
          <w:numId w:val="2"/>
        </w:numPr>
        <w:spacing w:before="120" w:after="0" w:line="240" w:lineRule="auto"/>
        <w:rPr>
          <w:sz w:val="22"/>
        </w:rPr>
      </w:pPr>
      <w:r w:rsidRPr="0033706D">
        <w:rPr>
          <w:sz w:val="22"/>
        </w:rPr>
        <w:t>Ek uçuş tazminatı 3: Uçuş personeline uçuş süresi ile orantılı olarak yapılan ödemeler.</w:t>
      </w:r>
    </w:p>
    <w:p w:rsidR="00C95F85" w:rsidRDefault="00C95F85" w:rsidP="007D6AF2">
      <w:pPr>
        <w:pStyle w:val="ListeParagraf"/>
        <w:numPr>
          <w:ilvl w:val="0"/>
          <w:numId w:val="2"/>
        </w:numPr>
        <w:spacing w:before="120" w:after="0" w:line="240" w:lineRule="auto"/>
        <w:rPr>
          <w:sz w:val="22"/>
        </w:rPr>
      </w:pPr>
      <w:r w:rsidRPr="0033706D">
        <w:rPr>
          <w:sz w:val="22"/>
        </w:rPr>
        <w:t>Prim: Uçuş personeline, her yıl için bir defa yapılan ikramiye ödemesidir. Kök ücret net tutarı ile uçuş tazminatının net tutarının toplamının yarısı olarak belirlenmektedir.</w:t>
      </w:r>
    </w:p>
    <w:p w:rsidR="00A448A8" w:rsidRDefault="00A448A8" w:rsidP="00A448A8">
      <w:pPr>
        <w:spacing w:before="120" w:after="0" w:line="240" w:lineRule="auto"/>
        <w:rPr>
          <w:sz w:val="22"/>
        </w:rPr>
      </w:pPr>
    </w:p>
    <w:p w:rsidR="00A448A8" w:rsidRPr="00A448A8" w:rsidRDefault="00A448A8" w:rsidP="00A448A8">
      <w:pPr>
        <w:spacing w:before="120" w:after="0" w:line="240" w:lineRule="auto"/>
        <w:rPr>
          <w:sz w:val="22"/>
        </w:rPr>
      </w:pPr>
    </w:p>
    <w:p w:rsidR="0033706D" w:rsidRPr="0033706D" w:rsidRDefault="0033706D" w:rsidP="007D6AF2">
      <w:pPr>
        <w:pStyle w:val="ListeParagraf"/>
        <w:spacing w:before="120" w:after="0" w:line="240" w:lineRule="auto"/>
        <w:ind w:left="1429" w:firstLine="0"/>
        <w:rPr>
          <w:sz w:val="22"/>
        </w:rPr>
      </w:pPr>
    </w:p>
    <w:p w:rsidR="004A11F1" w:rsidRPr="0033706D" w:rsidRDefault="004A11F1" w:rsidP="007D6AF2">
      <w:pPr>
        <w:pStyle w:val="ListeParagraf"/>
        <w:numPr>
          <w:ilvl w:val="1"/>
          <w:numId w:val="11"/>
        </w:numPr>
        <w:spacing w:before="120" w:after="0" w:line="240" w:lineRule="auto"/>
        <w:rPr>
          <w:b/>
          <w:sz w:val="22"/>
        </w:rPr>
      </w:pPr>
      <w:r w:rsidRPr="0033706D">
        <w:rPr>
          <w:b/>
          <w:sz w:val="22"/>
        </w:rPr>
        <w:lastRenderedPageBreak/>
        <w:t xml:space="preserve"> Personel Sözleşmelerinde Yer Alan Ücret Kalemleri</w:t>
      </w:r>
    </w:p>
    <w:p w:rsidR="00C95F85" w:rsidRPr="0033706D" w:rsidRDefault="00AA1D1A" w:rsidP="007D6AF2">
      <w:pPr>
        <w:spacing w:before="120" w:after="0" w:line="240" w:lineRule="auto"/>
        <w:rPr>
          <w:sz w:val="22"/>
        </w:rPr>
      </w:pPr>
      <w:r w:rsidRPr="0033706D">
        <w:rPr>
          <w:sz w:val="22"/>
        </w:rPr>
        <w:t xml:space="preserve">Yukarıda Vergi Müfettişince yapılan tanımların yanı sıra, </w:t>
      </w:r>
      <w:r w:rsidR="00C95F85" w:rsidRPr="0033706D">
        <w:rPr>
          <w:sz w:val="22"/>
        </w:rPr>
        <w:t>gerek yapılan uçuş tazminatı ödemelerinin niteliğinin anlaşılması ve gerekse de Kanun hükmü karşısındaki durumunun anlaşılması açısından personel sözleşmelerindeki bazı hükümleri açıklamakta fayda bulunmaktadır.</w:t>
      </w:r>
    </w:p>
    <w:p w:rsidR="00C95F85" w:rsidRPr="0033706D" w:rsidRDefault="00C95F85" w:rsidP="007D6AF2">
      <w:pPr>
        <w:spacing w:before="120" w:after="0" w:line="240" w:lineRule="auto"/>
        <w:rPr>
          <w:sz w:val="22"/>
        </w:rPr>
      </w:pPr>
      <w:r w:rsidRPr="0033706D">
        <w:rPr>
          <w:sz w:val="22"/>
        </w:rPr>
        <w:t>Sözleşmelerde kök ücret aylık ödenen sabit ödeme olarak tanımlanmıştır.</w:t>
      </w:r>
    </w:p>
    <w:p w:rsidR="00C95F85" w:rsidRPr="0033706D" w:rsidRDefault="00C95F85" w:rsidP="007D6AF2">
      <w:pPr>
        <w:spacing w:before="120" w:after="0" w:line="240" w:lineRule="auto"/>
        <w:rPr>
          <w:sz w:val="22"/>
        </w:rPr>
      </w:pPr>
      <w:r w:rsidRPr="0033706D">
        <w:rPr>
          <w:sz w:val="22"/>
        </w:rPr>
        <w:t>Uçuş tazminatı ise, sözleşmelerde belirtilen ve aylık asgari uçuş saati karşılığı olarak ödenen tutar şeklinde belirlenmiştir. Burada dikkat çeken husus, sözleşmelerde aylık asgari uçuş süresinin tespit edilmesidir. Aylık olarak asgari uçuş süresini doldurmayan pilot uçuş tazminatına hak kazanamamaktadır. Pilotun aylık asgari uçuş süresini aşması halinde ise,  Sivil Havacılık Genel Müdürlüğünce belirlenen aylık azami 110 saati aşmamak üzere, ilave uçuş tazminatı verileceği belirtilmiştir.</w:t>
      </w:r>
    </w:p>
    <w:p w:rsidR="00AD5DFF" w:rsidRPr="0033706D" w:rsidRDefault="004A11F1" w:rsidP="007D6AF2">
      <w:pPr>
        <w:spacing w:before="120" w:after="0" w:line="240" w:lineRule="auto"/>
        <w:rPr>
          <w:sz w:val="22"/>
        </w:rPr>
      </w:pPr>
      <w:r w:rsidRPr="0033706D">
        <w:rPr>
          <w:sz w:val="22"/>
        </w:rPr>
        <w:t>Bu başlık altında incelenen ücret kalemleri tanımları incelendiğinde</w:t>
      </w:r>
      <w:r w:rsidR="00DF749E" w:rsidRPr="0033706D">
        <w:rPr>
          <w:sz w:val="22"/>
        </w:rPr>
        <w:t xml:space="preserve"> vergi uyuşmazlığına neden olan</w:t>
      </w:r>
      <w:r w:rsidRPr="0033706D">
        <w:rPr>
          <w:sz w:val="22"/>
        </w:rPr>
        <w:t xml:space="preserve"> temel</w:t>
      </w:r>
      <w:r w:rsidR="00DF749E" w:rsidRPr="0033706D">
        <w:rPr>
          <w:sz w:val="22"/>
        </w:rPr>
        <w:t xml:space="preserve"> yorum</w:t>
      </w:r>
      <w:r w:rsidRPr="0033706D">
        <w:rPr>
          <w:sz w:val="22"/>
        </w:rPr>
        <w:t xml:space="preserve"> farklılığın</w:t>
      </w:r>
      <w:r w:rsidR="00DF749E" w:rsidRPr="0033706D">
        <w:rPr>
          <w:sz w:val="22"/>
        </w:rPr>
        <w:t>ın Vergi Müfettişinin, sözleşmede yer alan Uçuş Tazminatı unsuruna temayüz edememesinden kaynaklandığı düşünülmektedir. Zira sözleşmede açık bir şekilde, fiilen yapılan uçuşların toplamda belli bir saati aşması halinde bu tazminata hak kazanılacağı belirtilmiştir.</w:t>
      </w:r>
    </w:p>
    <w:p w:rsidR="00080CED" w:rsidRPr="007C49CA" w:rsidRDefault="007C49CA" w:rsidP="007D6AF2">
      <w:pPr>
        <w:pStyle w:val="ListeParagraf"/>
        <w:numPr>
          <w:ilvl w:val="0"/>
          <w:numId w:val="11"/>
        </w:numPr>
        <w:spacing w:before="120" w:after="0" w:line="240" w:lineRule="auto"/>
        <w:outlineLvl w:val="0"/>
        <w:rPr>
          <w:rFonts w:cs="Times New Roman"/>
          <w:b/>
          <w:sz w:val="22"/>
        </w:rPr>
      </w:pPr>
      <w:r w:rsidRPr="007C49CA">
        <w:rPr>
          <w:rFonts w:cs="Times New Roman"/>
          <w:b/>
          <w:sz w:val="22"/>
        </w:rPr>
        <w:t>Vergi İdaresinin Uygulaması</w:t>
      </w:r>
    </w:p>
    <w:p w:rsidR="004F610B" w:rsidRPr="0033706D" w:rsidRDefault="00611090" w:rsidP="007D6AF2">
      <w:pPr>
        <w:spacing w:before="120" w:after="0" w:line="240" w:lineRule="auto"/>
        <w:rPr>
          <w:sz w:val="22"/>
        </w:rPr>
      </w:pPr>
      <w:r w:rsidRPr="0033706D">
        <w:rPr>
          <w:sz w:val="22"/>
        </w:rPr>
        <w:t xml:space="preserve">Yukarıda bahsedilen hususlara ilişkin olarak son yıllarda vergi müfettişlerince tespitler yapılmaktadır. </w:t>
      </w:r>
      <w:r w:rsidR="00510D74" w:rsidRPr="0033706D">
        <w:rPr>
          <w:sz w:val="22"/>
        </w:rPr>
        <w:t>Sivil h</w:t>
      </w:r>
      <w:r w:rsidRPr="0033706D">
        <w:rPr>
          <w:sz w:val="22"/>
        </w:rPr>
        <w:t xml:space="preserve">avacılık sektöründeki firmaların personel ödemelerinin incelenmesi neticesinde, bunlara yapılan ödemeleri oluşturan bazı unsurların vergi istisnası kapsamına girmediği iddia edilmektedir. </w:t>
      </w:r>
    </w:p>
    <w:p w:rsidR="00611090" w:rsidRPr="0033706D" w:rsidRDefault="00611090" w:rsidP="007D6AF2">
      <w:pPr>
        <w:spacing w:before="120" w:after="0" w:line="240" w:lineRule="auto"/>
        <w:rPr>
          <w:sz w:val="22"/>
        </w:rPr>
      </w:pPr>
      <w:r w:rsidRPr="0033706D">
        <w:rPr>
          <w:sz w:val="22"/>
        </w:rPr>
        <w:t>Vergi müfettişlerinin düzenledikleri raporlarda, uçuş tazminatlarından</w:t>
      </w:r>
      <w:r w:rsidR="00C95F85" w:rsidRPr="0033706D">
        <w:rPr>
          <w:sz w:val="22"/>
        </w:rPr>
        <w:t xml:space="preserve"> sadece Ek Uçuş Tazminatı 3’ün uçuş süresi ile ilgili olduğu iddia edilerek bu kalemin Gelir Vergisinden istisna tutulması, diğer ücret kalemlerinin ise tamamının Gelir Vergisine tabi tutulması yönünde rapor hazırladığı anlaşılmaktadır.</w:t>
      </w:r>
    </w:p>
    <w:p w:rsidR="00AB45CE" w:rsidRPr="0033706D" w:rsidRDefault="00694E24" w:rsidP="007D6AF2">
      <w:pPr>
        <w:spacing w:before="120" w:after="0" w:line="240" w:lineRule="auto"/>
        <w:rPr>
          <w:sz w:val="22"/>
        </w:rPr>
      </w:pPr>
      <w:r w:rsidRPr="0033706D">
        <w:rPr>
          <w:sz w:val="22"/>
        </w:rPr>
        <w:t>Konu ile ilgili bir Vergi İnceleme Raporu incelendiğinde, raporun temel dayanağının söz konusu uçuş tazminatlarının net sabit tutar olduğu ve uçuş süresi ile orantılı olmadığı iddiası olduğu anlaşılmaktadır.</w:t>
      </w:r>
      <w:r w:rsidR="00DD39E9" w:rsidRPr="0033706D">
        <w:rPr>
          <w:sz w:val="22"/>
        </w:rPr>
        <w:t xml:space="preserve"> Raporlarda yer alan orantı kavramı ile neyin kast edildiği, bu orantılılık ilişkisinin hangi somut verilere dayandığı konusunda raporlarda bir bilgi yer almadığı gibi yargı aşamasında da herhangi bir açıklama yapılmamıştır.</w:t>
      </w:r>
    </w:p>
    <w:p w:rsidR="00E81514" w:rsidRPr="0033706D" w:rsidRDefault="00E81514" w:rsidP="007D6AF2">
      <w:pPr>
        <w:spacing w:before="120" w:after="0" w:line="240" w:lineRule="auto"/>
        <w:rPr>
          <w:sz w:val="22"/>
        </w:rPr>
      </w:pPr>
      <w:r w:rsidRPr="0033706D">
        <w:rPr>
          <w:sz w:val="22"/>
        </w:rPr>
        <w:t>Raporda kullanılan orantılılık kavramının niteliğinin belirtilmemesi, Vergi Müfettişinin hukuk yaratması ihtimalini ortaya çıkarmaktadır zira bu kavram ne Kanun’da ne de Genel Tebliğ’de geçmektedir. Eğer rapor Tebliğ’de kullanılan “uçuş süresi ile sınırlı” ifadesine dayanılarak hazırlansaydı, pilotlar ve kabin ekibinin uçuş bilgilerinin alınarak objektif bir tespit yapılması gerekecek ve somut bir tespit yapılması mümkün hale gelecekti. Ancak orantılılık gibi sübjektif bir kavram kullanılması Vergi Müfettişini somut tespit yapma zorunluluğundan kurtarmıştır.</w:t>
      </w:r>
    </w:p>
    <w:p w:rsidR="00E81514" w:rsidRPr="0033706D" w:rsidRDefault="00E81514" w:rsidP="007D6AF2">
      <w:pPr>
        <w:spacing w:before="120" w:after="0" w:line="240" w:lineRule="auto"/>
        <w:rPr>
          <w:sz w:val="22"/>
        </w:rPr>
      </w:pPr>
      <w:r w:rsidRPr="0033706D">
        <w:rPr>
          <w:sz w:val="22"/>
        </w:rPr>
        <w:t>Hal böyle olunca, pilotlar ve kabin ekipleri, asgari uçuş süresinin doldurmamışlar gibi uçuş tazminatlarının tamamı Gelir Vergisine tabi t</w:t>
      </w:r>
      <w:r w:rsidR="00824EEB" w:rsidRPr="0033706D">
        <w:rPr>
          <w:sz w:val="22"/>
        </w:rPr>
        <w:t>utulmuştur. Hâlbuki bu kişilere hiç uçuş yapmadan sürekli olarak ücret ödenmesi, açıktır ki, hayatın normal akışına aykırıdır ve böyle bir durumun gerçekleşmesi beklenemez. Dolayısıyla, bu durumu iddia eden Vergi Müfettişinin iddiasını ispatla yükümlü olduğu 213 sayılı Kanun hükmü ile sabitken bu yükümlülüğün yerine getirilmediği raporlardan anlaşılmaktadır.</w:t>
      </w:r>
    </w:p>
    <w:p w:rsidR="00611090" w:rsidRPr="0033706D" w:rsidRDefault="00824EEB" w:rsidP="007D6AF2">
      <w:pPr>
        <w:spacing w:before="120" w:after="0" w:line="240" w:lineRule="auto"/>
        <w:rPr>
          <w:sz w:val="22"/>
        </w:rPr>
      </w:pPr>
      <w:r w:rsidRPr="0033706D">
        <w:rPr>
          <w:sz w:val="22"/>
        </w:rPr>
        <w:t>Bunun yanı sıra</w:t>
      </w:r>
      <w:r w:rsidR="00AB45CE" w:rsidRPr="0033706D">
        <w:rPr>
          <w:sz w:val="22"/>
        </w:rPr>
        <w:t xml:space="preserve"> raporlarda</w:t>
      </w:r>
      <w:r w:rsidR="00AA1D1A" w:rsidRPr="0033706D">
        <w:rPr>
          <w:sz w:val="22"/>
        </w:rPr>
        <w:t>,</w:t>
      </w:r>
      <w:r w:rsidR="00AB45CE" w:rsidRPr="0033706D">
        <w:rPr>
          <w:sz w:val="22"/>
        </w:rPr>
        <w:t xml:space="preserve"> bu pilot veya kabin ekiplerinin idarî görevde bulunm</w:t>
      </w:r>
      <w:r w:rsidR="00E81514" w:rsidRPr="0033706D">
        <w:rPr>
          <w:sz w:val="22"/>
        </w:rPr>
        <w:t>alarına bir atıf yapılmamaktadır</w:t>
      </w:r>
      <w:r w:rsidR="00AB45CE" w:rsidRPr="0033706D">
        <w:rPr>
          <w:sz w:val="22"/>
        </w:rPr>
        <w:t xml:space="preserve">. Böyle bir iddianın bulunması halinde, </w:t>
      </w:r>
      <w:r w:rsidR="00694E24" w:rsidRPr="0033706D">
        <w:rPr>
          <w:sz w:val="22"/>
        </w:rPr>
        <w:t xml:space="preserve">fiilen uçuş hizmeti sunulmadığı için, </w:t>
      </w:r>
      <w:r w:rsidR="00AB45CE" w:rsidRPr="0033706D">
        <w:rPr>
          <w:sz w:val="22"/>
        </w:rPr>
        <w:t>doğaldır ki herhangi bir istisna hükmünden bahsetme imkânı ortadan kalkacaktır zira bu defa verilen ücret kaleminin uç</w:t>
      </w:r>
      <w:r w:rsidR="003A47EB" w:rsidRPr="0033706D">
        <w:rPr>
          <w:sz w:val="22"/>
        </w:rPr>
        <w:t>uş ile bir illiyeti bulunmayacakt</w:t>
      </w:r>
      <w:r w:rsidR="00AB45CE" w:rsidRPr="0033706D">
        <w:rPr>
          <w:sz w:val="22"/>
        </w:rPr>
        <w:t>ır. Ancak, Raporlarda böyle bir iddiaya yer verilmeyerek, yapılan ödemelerin</w:t>
      </w:r>
      <w:r w:rsidR="00AA1D1A" w:rsidRPr="0033706D">
        <w:rPr>
          <w:sz w:val="22"/>
        </w:rPr>
        <w:t xml:space="preserve"> fiilen yerine getirilen</w:t>
      </w:r>
      <w:r w:rsidR="00AB45CE" w:rsidRPr="0033706D">
        <w:rPr>
          <w:sz w:val="22"/>
        </w:rPr>
        <w:t xml:space="preserve"> uçuş görevi ile ilgili olduğu</w:t>
      </w:r>
      <w:r w:rsidR="00694E24" w:rsidRPr="0033706D">
        <w:rPr>
          <w:sz w:val="22"/>
        </w:rPr>
        <w:t xml:space="preserve"> zımnen</w:t>
      </w:r>
      <w:r w:rsidR="00AB45CE" w:rsidRPr="0033706D">
        <w:rPr>
          <w:sz w:val="22"/>
        </w:rPr>
        <w:t xml:space="preserve"> kabul edilmiştir.</w:t>
      </w:r>
    </w:p>
    <w:p w:rsidR="00694E24" w:rsidRPr="0033706D" w:rsidRDefault="00AB45CE" w:rsidP="007D6AF2">
      <w:pPr>
        <w:spacing w:before="120" w:after="0" w:line="240" w:lineRule="auto"/>
        <w:rPr>
          <w:sz w:val="22"/>
        </w:rPr>
      </w:pPr>
      <w:r w:rsidRPr="0033706D">
        <w:rPr>
          <w:sz w:val="22"/>
        </w:rPr>
        <w:t>Bahsedilen sorunun temelinde ise, bize göre, pilot ve kabin ekibi ile yapılan sözleşmelere tam olarak temayüz edilememesi yatmaktadır zira bu sözleşmelere detaylı bir şekilde incelendiğinde kök ücret dışında ödenen neredeyse tüm ücret kalemlerinin uçuş saat veya sayısına bağlandığı anlaşılmaktadır.</w:t>
      </w:r>
      <w:r w:rsidR="003A47EB" w:rsidRPr="0033706D">
        <w:rPr>
          <w:sz w:val="22"/>
        </w:rPr>
        <w:t xml:space="preserve"> </w:t>
      </w:r>
      <w:r w:rsidR="00C95F85" w:rsidRPr="0033706D">
        <w:rPr>
          <w:sz w:val="22"/>
        </w:rPr>
        <w:t xml:space="preserve">Özellikle istisna kapsamındaki personel ücretlerinin büyük kısmını oluşturan </w:t>
      </w:r>
      <w:r w:rsidR="004A11F1" w:rsidRPr="0033706D">
        <w:rPr>
          <w:sz w:val="22"/>
        </w:rPr>
        <w:t xml:space="preserve">uçuş </w:t>
      </w:r>
      <w:r w:rsidR="004A11F1" w:rsidRPr="0033706D">
        <w:rPr>
          <w:sz w:val="22"/>
        </w:rPr>
        <w:lastRenderedPageBreak/>
        <w:t xml:space="preserve">tazminatı kaleminin, yukarıda bahsedildiği üzere, asgari uçuş saati şartına bağlandığı görülmektedir. </w:t>
      </w:r>
      <w:r w:rsidR="00DD39E9" w:rsidRPr="0033706D">
        <w:rPr>
          <w:sz w:val="22"/>
        </w:rPr>
        <w:t>Bu durumda, bir pilot ya da kabin ekibi üyesinin uçuş tazminatına hak kazanması için sözleşmesindeki asgari uçuş saati kadar uçuş yapması gerekmektedir. Doğaldır ki, bu sözleşmeler kapsamında çalışan personel, anlamlı bir gelir elde etme çabasıyla, bu asgari süreyi doldurarak sözleşmede belirtilen tutara hak kazanmaya gayret edecektir.</w:t>
      </w:r>
    </w:p>
    <w:p w:rsidR="00AB45CE" w:rsidRPr="0033706D" w:rsidRDefault="00DD39E9" w:rsidP="007D6AF2">
      <w:pPr>
        <w:spacing w:before="120" w:after="0" w:line="240" w:lineRule="auto"/>
        <w:rPr>
          <w:sz w:val="22"/>
        </w:rPr>
      </w:pPr>
      <w:r w:rsidRPr="0033706D">
        <w:rPr>
          <w:sz w:val="22"/>
        </w:rPr>
        <w:t>Aksi durumda ise</w:t>
      </w:r>
      <w:r w:rsidR="004A11F1" w:rsidRPr="0033706D">
        <w:rPr>
          <w:sz w:val="22"/>
        </w:rPr>
        <w:t>, bir aylık ücret dönemi içinde hiç uçuş yapmayan bir person</w:t>
      </w:r>
      <w:r w:rsidRPr="0033706D">
        <w:rPr>
          <w:sz w:val="22"/>
        </w:rPr>
        <w:t>el sadece kök ücret alacaktır. Uçuş yapan ancak a</w:t>
      </w:r>
      <w:r w:rsidR="004A11F1" w:rsidRPr="0033706D">
        <w:rPr>
          <w:sz w:val="22"/>
        </w:rPr>
        <w:t>sgari uçuş süresini doldurama</w:t>
      </w:r>
      <w:r w:rsidRPr="0033706D">
        <w:rPr>
          <w:sz w:val="22"/>
        </w:rPr>
        <w:t>yan bir personel</w:t>
      </w:r>
      <w:r w:rsidR="004A11F1" w:rsidRPr="0033706D">
        <w:rPr>
          <w:sz w:val="22"/>
        </w:rPr>
        <w:t xml:space="preserve"> ise, uçuş tazminatına hak kazanamayacak ancak Uçuş Tazminatı 2 ve 3 ile prime hak kazanacaktır.</w:t>
      </w:r>
    </w:p>
    <w:p w:rsidR="00DD39E9" w:rsidRPr="0033706D" w:rsidRDefault="00DD39E9" w:rsidP="007D6AF2">
      <w:pPr>
        <w:spacing w:before="120" w:after="0" w:line="240" w:lineRule="auto"/>
        <w:rPr>
          <w:sz w:val="22"/>
        </w:rPr>
      </w:pPr>
      <w:r w:rsidRPr="0033706D">
        <w:rPr>
          <w:sz w:val="22"/>
        </w:rPr>
        <w:t>Yapılan açıklamalardan anlaşılacağı üzere, pilot ve uçuş ekibi üyelerinin almaya hak kazandıkları uçuş tazminatları, fiili uçuş hizmetleri karşılığı olarak verilmektedir. Zaten bu durumun aksini düşünmek de mümkün değildir zira hiçbir şirket kendisine katkı sağlamayan personeline yüksek tutarda ödeme yapmayacaktır.</w:t>
      </w:r>
    </w:p>
    <w:p w:rsidR="001B34B2" w:rsidRPr="0033706D" w:rsidRDefault="00724C50" w:rsidP="007D6AF2">
      <w:pPr>
        <w:spacing w:before="120" w:after="0" w:line="240" w:lineRule="auto"/>
        <w:rPr>
          <w:sz w:val="22"/>
        </w:rPr>
      </w:pPr>
      <w:r w:rsidRPr="0033706D">
        <w:rPr>
          <w:sz w:val="22"/>
        </w:rPr>
        <w:t xml:space="preserve">Şunu </w:t>
      </w:r>
      <w:r w:rsidR="00DD39E9" w:rsidRPr="0033706D">
        <w:rPr>
          <w:sz w:val="22"/>
        </w:rPr>
        <w:t xml:space="preserve">da </w:t>
      </w:r>
      <w:r w:rsidRPr="0033706D">
        <w:rPr>
          <w:sz w:val="22"/>
        </w:rPr>
        <w:t>belirtmek gerekir ki, çalışmamızda ele alınan vergi uyuşmazlığı iddiasını tespit eden Vergi Müfettişi İsmail Onay</w:t>
      </w:r>
      <w:r w:rsidR="0053292D" w:rsidRPr="0033706D">
        <w:rPr>
          <w:sz w:val="22"/>
        </w:rPr>
        <w:t>,</w:t>
      </w:r>
      <w:r w:rsidRPr="0033706D">
        <w:rPr>
          <w:sz w:val="22"/>
        </w:rPr>
        <w:t xml:space="preserve"> 2014 yılında yayımlanan bir çalışmasını “GVK’nun 29/2’nci maddesi ile amaçlandığını düşündüğümüz uygulamanın, daha açık ve net bir yasal düzenlemeye bağlanmasının faydalı olacağını düşünüyoruz</w:t>
      </w:r>
      <w:r w:rsidR="001B34B2">
        <w:rPr>
          <w:sz w:val="22"/>
        </w:rPr>
        <w:t xml:space="preserve"> (Onay, 2014:49)</w:t>
      </w:r>
      <w:r w:rsidRPr="0033706D">
        <w:rPr>
          <w:sz w:val="22"/>
        </w:rPr>
        <w:t>” ifadesi ile bitirmek suretiyle, Vergi İnceleme Raporunda yer alan iddiaların açık ve net yasal temele dayanmadığını kabul etmiştir.</w:t>
      </w:r>
      <w:r w:rsidR="005814C1" w:rsidRPr="0033706D">
        <w:rPr>
          <w:sz w:val="22"/>
        </w:rPr>
        <w:t xml:space="preserve"> Son yıllarda mükellef hakları konusunda pek çok çalışmanın yapıldığı Vergi Denetim Kurulunda görevli bir Vergi Müfettişinin, kendisinin dahi açık ve net bulmadığı bir mevzuat hükmüne dayanarak Vergi İnceleme Raporu düzenlemesini ise endişe verici bulmaktayız.</w:t>
      </w:r>
    </w:p>
    <w:p w:rsidR="0033706D" w:rsidRPr="00AD5DFF" w:rsidRDefault="00A448A8" w:rsidP="007D6AF2">
      <w:pPr>
        <w:pStyle w:val="ListeParagraf"/>
        <w:numPr>
          <w:ilvl w:val="0"/>
          <w:numId w:val="11"/>
        </w:numPr>
        <w:spacing w:before="120" w:after="0" w:line="240" w:lineRule="auto"/>
        <w:outlineLvl w:val="0"/>
        <w:rPr>
          <w:rFonts w:cs="Times New Roman"/>
          <w:b/>
          <w:sz w:val="22"/>
        </w:rPr>
      </w:pPr>
      <w:r>
        <w:rPr>
          <w:rFonts w:cs="Times New Roman"/>
          <w:b/>
          <w:sz w:val="22"/>
        </w:rPr>
        <w:t>Mahkeme v</w:t>
      </w:r>
      <w:r w:rsidR="007C49CA" w:rsidRPr="007C49CA">
        <w:rPr>
          <w:rFonts w:cs="Times New Roman"/>
          <w:b/>
          <w:sz w:val="22"/>
        </w:rPr>
        <w:t>e Danıştay Kararları</w:t>
      </w:r>
    </w:p>
    <w:p w:rsidR="00952733" w:rsidRPr="0033706D" w:rsidRDefault="00952733" w:rsidP="007D6AF2">
      <w:pPr>
        <w:pStyle w:val="ListeParagraf"/>
        <w:numPr>
          <w:ilvl w:val="1"/>
          <w:numId w:val="11"/>
        </w:numPr>
        <w:spacing w:before="120" w:after="0" w:line="240" w:lineRule="auto"/>
        <w:rPr>
          <w:b/>
          <w:sz w:val="22"/>
        </w:rPr>
      </w:pPr>
      <w:r w:rsidRPr="0033706D">
        <w:rPr>
          <w:b/>
          <w:sz w:val="22"/>
        </w:rPr>
        <w:t xml:space="preserve"> İlk Derece Mahkemesi</w:t>
      </w:r>
    </w:p>
    <w:p w:rsidR="00AC64B4" w:rsidRPr="0033706D" w:rsidRDefault="007348F9" w:rsidP="007D6AF2">
      <w:pPr>
        <w:spacing w:before="120" w:after="0" w:line="240" w:lineRule="auto"/>
        <w:rPr>
          <w:sz w:val="22"/>
        </w:rPr>
      </w:pPr>
      <w:r w:rsidRPr="0033706D">
        <w:rPr>
          <w:sz w:val="22"/>
        </w:rPr>
        <w:t>Vergi müfettişi tarafından düzenlenen tutanak sonrasında ilgili şirket</w:t>
      </w:r>
      <w:r w:rsidR="002D0857" w:rsidRPr="0033706D">
        <w:rPr>
          <w:sz w:val="22"/>
        </w:rPr>
        <w:t xml:space="preserve"> iki ayrı</w:t>
      </w:r>
      <w:r w:rsidRPr="0033706D">
        <w:rPr>
          <w:sz w:val="22"/>
        </w:rPr>
        <w:t xml:space="preserve"> vergi mahkemesinde dava açmıştır.</w:t>
      </w:r>
      <w:r w:rsidR="00AC64B4" w:rsidRPr="0033706D">
        <w:rPr>
          <w:sz w:val="22"/>
        </w:rPr>
        <w:t xml:space="preserve"> </w:t>
      </w:r>
    </w:p>
    <w:p w:rsidR="00307927" w:rsidRPr="0033706D" w:rsidRDefault="002D0857" w:rsidP="007D6AF2">
      <w:pPr>
        <w:spacing w:before="120" w:after="0" w:line="240" w:lineRule="auto"/>
        <w:rPr>
          <w:sz w:val="22"/>
        </w:rPr>
      </w:pPr>
      <w:r w:rsidRPr="0033706D">
        <w:rPr>
          <w:sz w:val="22"/>
        </w:rPr>
        <w:t>Her iki v</w:t>
      </w:r>
      <w:r w:rsidR="00AC64B4" w:rsidRPr="0033706D">
        <w:rPr>
          <w:sz w:val="22"/>
        </w:rPr>
        <w:t>ergi mahkemesi kararında, 5766 sayılı Kanunla 193 sayılı Gelir Vergisi Kanununun 29’uncu maddesinin ikinci fıkrasında yapılan değişiklik ile pilotlar ile uçuş esnasında uçak içinde hizmet veren, yetkili sivil havacılık otoritesince sertifikalandırılmış personele; fiilen uçuş hizmeti dolayısıyla yapılan aynı mahiyetteki ödemelerin gelir vergisinden müstesna olduğunun belirtildiği, değişikliğin amacının daha önce uçuş tazminatı alan ancak fiilen uçuş hizmeti gerçekleştirmeyen personele yönelik olarak tereddütleri gidermek olduğunun anlaşıldığı</w:t>
      </w:r>
      <w:r w:rsidR="00DD39E9" w:rsidRPr="0033706D">
        <w:rPr>
          <w:sz w:val="22"/>
        </w:rPr>
        <w:t>,</w:t>
      </w:r>
      <w:r w:rsidR="00AC64B4" w:rsidRPr="0033706D">
        <w:rPr>
          <w:sz w:val="22"/>
        </w:rPr>
        <w:t xml:space="preserve"> 267 seri numaralı Genel Tebliğle ise Kanunda fiili uçuş hizmeti şartı belirtilmiş iken</w:t>
      </w:r>
      <w:r w:rsidR="00AA1D1A" w:rsidRPr="0033706D">
        <w:rPr>
          <w:sz w:val="22"/>
        </w:rPr>
        <w:t>,</w:t>
      </w:r>
      <w:r w:rsidR="00AC64B4" w:rsidRPr="0033706D">
        <w:rPr>
          <w:sz w:val="22"/>
        </w:rPr>
        <w:t xml:space="preserve"> Kanundan farklı olarak fiili uçuş süresi gibi ek bir şart getirildiği görülmekle kanun hükmünü aşarak uçuş tazminatı adı altında yapılan ödemelerden Gelir Vergisi tevkifatı</w:t>
      </w:r>
      <w:r w:rsidR="00AE20A9" w:rsidRPr="0033706D">
        <w:rPr>
          <w:sz w:val="22"/>
        </w:rPr>
        <w:t xml:space="preserve"> </w:t>
      </w:r>
      <w:r w:rsidR="00AC64B4" w:rsidRPr="0033706D">
        <w:rPr>
          <w:sz w:val="22"/>
        </w:rPr>
        <w:t>yapılması gerektiği görüşüyl</w:t>
      </w:r>
      <w:r w:rsidR="00AE20A9" w:rsidRPr="0033706D">
        <w:rPr>
          <w:sz w:val="22"/>
        </w:rPr>
        <w:t xml:space="preserve">e yapılan dava konusu cezalı tarhiyatta hukuka </w:t>
      </w:r>
      <w:r w:rsidRPr="0033706D">
        <w:rPr>
          <w:sz w:val="22"/>
        </w:rPr>
        <w:t>uyarlık bulunmadığını ifade edil</w:t>
      </w:r>
      <w:r w:rsidR="00AE20A9" w:rsidRPr="0033706D">
        <w:rPr>
          <w:sz w:val="22"/>
        </w:rPr>
        <w:t xml:space="preserve">miştir. </w:t>
      </w:r>
      <w:r w:rsidRPr="0033706D">
        <w:rPr>
          <w:sz w:val="22"/>
        </w:rPr>
        <w:t>Her iki m</w:t>
      </w:r>
      <w:r w:rsidR="00AE20A9" w:rsidRPr="0033706D">
        <w:rPr>
          <w:sz w:val="22"/>
        </w:rPr>
        <w:t>ahkeme heyetinden</w:t>
      </w:r>
      <w:r w:rsidRPr="0033706D">
        <w:rPr>
          <w:sz w:val="22"/>
        </w:rPr>
        <w:t xml:space="preserve"> de</w:t>
      </w:r>
      <w:r w:rsidR="00AE20A9" w:rsidRPr="0033706D">
        <w:rPr>
          <w:sz w:val="22"/>
        </w:rPr>
        <w:t xml:space="preserve"> bir</w:t>
      </w:r>
      <w:r w:rsidRPr="0033706D">
        <w:rPr>
          <w:sz w:val="22"/>
        </w:rPr>
        <w:t>er üye</w:t>
      </w:r>
      <w:r w:rsidR="00AE20A9" w:rsidRPr="0033706D">
        <w:rPr>
          <w:sz w:val="22"/>
        </w:rPr>
        <w:t xml:space="preserve"> bu karara, yapılan tazminat ödemelerinin ”fiili uçuş hizmetinden bağımsız” olarak ödendiği gerekçesiy</w:t>
      </w:r>
      <w:r w:rsidRPr="0033706D">
        <w:rPr>
          <w:sz w:val="22"/>
        </w:rPr>
        <w:t>le muhalefet şerhi koymuşlardır.</w:t>
      </w:r>
    </w:p>
    <w:p w:rsidR="00AE20A9" w:rsidRPr="0033706D" w:rsidRDefault="00AE20A9" w:rsidP="007D6AF2">
      <w:pPr>
        <w:spacing w:before="120" w:after="0" w:line="240" w:lineRule="auto"/>
        <w:rPr>
          <w:sz w:val="22"/>
        </w:rPr>
      </w:pPr>
      <w:r w:rsidRPr="0033706D">
        <w:rPr>
          <w:sz w:val="22"/>
        </w:rPr>
        <w:t>Mahkeme karar</w:t>
      </w:r>
      <w:r w:rsidR="002D0857" w:rsidRPr="0033706D">
        <w:rPr>
          <w:sz w:val="22"/>
        </w:rPr>
        <w:t>lar</w:t>
      </w:r>
      <w:r w:rsidRPr="0033706D">
        <w:rPr>
          <w:sz w:val="22"/>
        </w:rPr>
        <w:t>ından da görüleceği üzere, tazminat ödemesi yapılan personelin fiilen uçuş hizmetinde bulunması</w:t>
      </w:r>
      <w:r w:rsidR="002D0857" w:rsidRPr="0033706D">
        <w:rPr>
          <w:sz w:val="22"/>
        </w:rPr>
        <w:t>, Gelir Vergisi istisnasından yararlanmak için</w:t>
      </w:r>
      <w:r w:rsidRPr="0033706D">
        <w:rPr>
          <w:sz w:val="22"/>
        </w:rPr>
        <w:t xml:space="preserve"> yeterli görülmüş</w:t>
      </w:r>
      <w:r w:rsidR="002D0857" w:rsidRPr="0033706D">
        <w:rPr>
          <w:sz w:val="22"/>
        </w:rPr>
        <w:t xml:space="preserve">tür. Muhalefet şerhi koyan üyeler ise, İnceleme Raporunda kullanılan “orantılılık” kavramına değinmemiş ve tazminat ödemelerinin uçuş hizmetinden </w:t>
      </w:r>
      <w:r w:rsidR="00AA1D1A" w:rsidRPr="0033706D">
        <w:rPr>
          <w:sz w:val="22"/>
        </w:rPr>
        <w:t>“</w:t>
      </w:r>
      <w:r w:rsidR="002D0857" w:rsidRPr="0033706D">
        <w:rPr>
          <w:sz w:val="22"/>
        </w:rPr>
        <w:t>bağımsız</w:t>
      </w:r>
      <w:r w:rsidR="00AA1D1A" w:rsidRPr="0033706D">
        <w:rPr>
          <w:sz w:val="22"/>
        </w:rPr>
        <w:t>”</w:t>
      </w:r>
      <w:r w:rsidR="002D0857" w:rsidRPr="0033706D">
        <w:rPr>
          <w:sz w:val="22"/>
        </w:rPr>
        <w:t xml:space="preserve"> olduğuna değinmiş</w:t>
      </w:r>
      <w:r w:rsidR="00AA1D1A" w:rsidRPr="0033706D">
        <w:rPr>
          <w:sz w:val="22"/>
        </w:rPr>
        <w:t>lerd</w:t>
      </w:r>
      <w:r w:rsidR="002D0857" w:rsidRPr="0033706D">
        <w:rPr>
          <w:sz w:val="22"/>
        </w:rPr>
        <w:t>ir.</w:t>
      </w:r>
    </w:p>
    <w:p w:rsidR="00952733" w:rsidRPr="0033706D" w:rsidRDefault="00952733" w:rsidP="007D6AF2">
      <w:pPr>
        <w:pStyle w:val="ListeParagraf"/>
        <w:numPr>
          <w:ilvl w:val="1"/>
          <w:numId w:val="11"/>
        </w:numPr>
        <w:spacing w:before="120" w:after="0" w:line="240" w:lineRule="auto"/>
        <w:rPr>
          <w:b/>
          <w:sz w:val="22"/>
        </w:rPr>
      </w:pPr>
      <w:r w:rsidRPr="0033706D">
        <w:rPr>
          <w:b/>
          <w:sz w:val="22"/>
        </w:rPr>
        <w:t xml:space="preserve"> Danıştay</w:t>
      </w:r>
    </w:p>
    <w:p w:rsidR="00952733" w:rsidRPr="0033706D" w:rsidRDefault="00952733" w:rsidP="007D6AF2">
      <w:pPr>
        <w:spacing w:before="120" w:after="0" w:line="240" w:lineRule="auto"/>
        <w:rPr>
          <w:sz w:val="22"/>
        </w:rPr>
      </w:pPr>
      <w:r w:rsidRPr="0033706D">
        <w:rPr>
          <w:sz w:val="22"/>
        </w:rPr>
        <w:t>Vergi mahkemelerinin şirket lehine aldığı bu kararın ardından ilgili vergi dairesi başkanlığı her iki kararı da temyize götürmüştür.</w:t>
      </w:r>
    </w:p>
    <w:p w:rsidR="00952733" w:rsidRPr="0033706D" w:rsidRDefault="004A11F1" w:rsidP="007D6AF2">
      <w:pPr>
        <w:spacing w:before="120" w:after="0" w:line="240" w:lineRule="auto"/>
        <w:rPr>
          <w:sz w:val="22"/>
        </w:rPr>
      </w:pPr>
      <w:r w:rsidRPr="0033706D">
        <w:rPr>
          <w:sz w:val="22"/>
        </w:rPr>
        <w:t>Danıştay 4’üncü Dairesinde görülen dava</w:t>
      </w:r>
      <w:r w:rsidR="00694E24" w:rsidRPr="0033706D">
        <w:rPr>
          <w:sz w:val="22"/>
        </w:rPr>
        <w:t>lar</w:t>
      </w:r>
      <w:r w:rsidRPr="0033706D">
        <w:rPr>
          <w:sz w:val="22"/>
        </w:rPr>
        <w:t>da, personel sözleşmelerinde yer alan hükümleri ve Vergi Mahkemesinin gerekçesi ile ilgili bir tespitte bulunmaksızın doğrudan doğruya Vergi İnceleme Raporunda yer alan hükümleri doğru kabul ederek Vergi Mahkemesinin kararının bozulmasına karar vermiştir. Bu kararı verirken dayandığı tek veri, Vergi İnceleme Raporunda yer alan ve Ek Uçuş Tazminatı 3 dışındaki tüm ücret kalemlerinin uçuş saatinden bağımsız olduğu iddiasıdır. Yukarıda da incelendiği üzere, bu iddianın personel sözleşmelerinde bir karşılığı bulunmamaktadır.</w:t>
      </w:r>
      <w:r w:rsidR="00360AE8" w:rsidRPr="0033706D">
        <w:rPr>
          <w:sz w:val="22"/>
        </w:rPr>
        <w:t xml:space="preserve"> Ayrıca, yine </w:t>
      </w:r>
      <w:r w:rsidR="00360AE8" w:rsidRPr="0033706D">
        <w:rPr>
          <w:sz w:val="22"/>
        </w:rPr>
        <w:lastRenderedPageBreak/>
        <w:t>kararda prim ödemelerinin uçuş saati ile orantılı olmadığı ifadesine yer verilmek suretiyle kararın</w:t>
      </w:r>
      <w:r w:rsidR="00DE6093" w:rsidRPr="0033706D">
        <w:rPr>
          <w:sz w:val="22"/>
        </w:rPr>
        <w:t>,</w:t>
      </w:r>
      <w:r w:rsidR="00360AE8" w:rsidRPr="0033706D">
        <w:rPr>
          <w:sz w:val="22"/>
        </w:rPr>
        <w:t xml:space="preserve"> kanunda olmayan bir ifadeye dayanmasına neden olunmuştur.</w:t>
      </w:r>
    </w:p>
    <w:p w:rsidR="00080CED" w:rsidRPr="007C49CA" w:rsidRDefault="00080CED" w:rsidP="007D6AF2">
      <w:pPr>
        <w:spacing w:before="120" w:after="0" w:line="240" w:lineRule="auto"/>
        <w:ind w:firstLine="0"/>
        <w:outlineLvl w:val="0"/>
        <w:rPr>
          <w:rFonts w:cs="Times New Roman"/>
          <w:b/>
          <w:sz w:val="22"/>
        </w:rPr>
      </w:pPr>
      <w:r w:rsidRPr="007C49CA">
        <w:rPr>
          <w:rFonts w:cs="Times New Roman"/>
          <w:b/>
          <w:sz w:val="22"/>
        </w:rPr>
        <w:t>SONUÇ</w:t>
      </w:r>
    </w:p>
    <w:p w:rsidR="00170296" w:rsidRPr="0033706D" w:rsidRDefault="00170296" w:rsidP="007D6AF2">
      <w:pPr>
        <w:spacing w:before="120" w:after="0" w:line="240" w:lineRule="auto"/>
        <w:rPr>
          <w:sz w:val="22"/>
        </w:rPr>
      </w:pPr>
      <w:r w:rsidRPr="0033706D">
        <w:rPr>
          <w:sz w:val="22"/>
        </w:rPr>
        <w:t>Havacılık sektörü ülkemiz için son derece önemli ve stratejik bir sektördür. 2016 yılı rakamları ile bakıldığında, 191.706 kişinin istihdam edildiği, 20 Milyar ABD Doları cironun gerçekleştiği, 2017 yılı itibariyle ise 310 işletme ve 55 havalimanının faaliyet gösterdiği, 1.403 hava aracının kullanıldığı sektörde 732’si yabancı olmak üzere 9.988 pilot çalışmaktadır</w:t>
      </w:r>
      <w:r w:rsidR="001B34B2">
        <w:rPr>
          <w:sz w:val="22"/>
        </w:rPr>
        <w:t xml:space="preserve"> (Sivil Havacılık Genel Müdürlüğü, 2018:30-32)</w:t>
      </w:r>
      <w:r w:rsidRPr="0033706D">
        <w:rPr>
          <w:sz w:val="22"/>
        </w:rPr>
        <w:t>.</w:t>
      </w:r>
    </w:p>
    <w:p w:rsidR="00170296" w:rsidRPr="0033706D" w:rsidRDefault="00360AE8" w:rsidP="007D6AF2">
      <w:pPr>
        <w:spacing w:before="120" w:after="0" w:line="240" w:lineRule="auto"/>
        <w:rPr>
          <w:sz w:val="22"/>
        </w:rPr>
      </w:pPr>
      <w:r w:rsidRPr="0033706D">
        <w:rPr>
          <w:sz w:val="22"/>
        </w:rPr>
        <w:t>Daha önce de bahsedildiği üzere, bu sektörde rekabet her alan</w:t>
      </w:r>
      <w:r w:rsidR="00DE6093" w:rsidRPr="0033706D">
        <w:rPr>
          <w:sz w:val="22"/>
        </w:rPr>
        <w:t>da</w:t>
      </w:r>
      <w:r w:rsidRPr="0033706D">
        <w:rPr>
          <w:sz w:val="22"/>
        </w:rPr>
        <w:t xml:space="preserve"> çok yüksektir. Bu rekabet yolcu sayısı ve ciro alanlarında olduğu kadar insan kaynakları alanında da yaşanmaktadır. Özellikle pilot transferi sektörde artık normal kabul edilen bir durum halini almış, belli sürelerle sözleşme imzalayan pilotlar, kendilerine daha iyi teklif sunulması halinde, sözleşmeleri sona erdikten sonra başka şirketlere geçmektedirler. Devletler de, daha nitelikli pilot ve kabin ekiplerinin kendi ülkelerinde çalışmalarını sağlamak amacıyla, bunlara verilen tazminat gibi bazı ücret unsurlarını vergiden istisna tutma yönünde bir tavır belirlemişlerdir.</w:t>
      </w:r>
    </w:p>
    <w:p w:rsidR="00360AE8" w:rsidRPr="0033706D" w:rsidRDefault="00360AE8" w:rsidP="007D6AF2">
      <w:pPr>
        <w:spacing w:before="120" w:after="0" w:line="240" w:lineRule="auto"/>
        <w:rPr>
          <w:sz w:val="22"/>
        </w:rPr>
      </w:pPr>
      <w:r w:rsidRPr="0033706D">
        <w:rPr>
          <w:sz w:val="22"/>
        </w:rPr>
        <w:t>Ülkemizde de uygulanmakta olan uçuş tazminatının Gelir Vergisinden istisna tutulması uygulamasının, örnek olayda olduğu gibi, objektif olmayan bir tespite dayanarak fiilen uygulama imkânının ortadan kaldırılması ülkemizin nitelikli uçuş personel istihdamı yarışında geride kalmasına neden olacaktır.</w:t>
      </w:r>
    </w:p>
    <w:p w:rsidR="0053292D" w:rsidRPr="0033706D" w:rsidRDefault="0053292D" w:rsidP="007D6AF2">
      <w:pPr>
        <w:spacing w:before="120" w:after="0" w:line="240" w:lineRule="auto"/>
        <w:rPr>
          <w:sz w:val="22"/>
        </w:rPr>
      </w:pPr>
      <w:r w:rsidRPr="0033706D">
        <w:rPr>
          <w:sz w:val="22"/>
        </w:rPr>
        <w:t>Çalışmamız boyunca ele alınan sorunların iki temele dayandığını söylemek mümkündür:</w:t>
      </w:r>
    </w:p>
    <w:p w:rsidR="0053292D" w:rsidRPr="0033706D" w:rsidRDefault="0053292D" w:rsidP="007D6AF2">
      <w:pPr>
        <w:pStyle w:val="ListeParagraf"/>
        <w:numPr>
          <w:ilvl w:val="0"/>
          <w:numId w:val="3"/>
        </w:numPr>
        <w:spacing w:before="120" w:after="0" w:line="240" w:lineRule="auto"/>
        <w:rPr>
          <w:sz w:val="22"/>
        </w:rPr>
      </w:pPr>
      <w:r w:rsidRPr="0033706D">
        <w:rPr>
          <w:sz w:val="22"/>
        </w:rPr>
        <w:t xml:space="preserve">Vergi idaresi tarafından yayımlanan Genel Tebliğ’de 193 sayılı Gelir Vergisi Kanununa aykırı hüküm bulunmasına rağmen bu </w:t>
      </w:r>
      <w:r w:rsidR="00571DC8" w:rsidRPr="0033706D">
        <w:rPr>
          <w:sz w:val="22"/>
        </w:rPr>
        <w:t xml:space="preserve">Genel </w:t>
      </w:r>
      <w:r w:rsidRPr="0033706D">
        <w:rPr>
          <w:sz w:val="22"/>
        </w:rPr>
        <w:t>Tebliğin yaklaşık 10 yıldır Kanun’a uygun hale getirilmemesi,</w:t>
      </w:r>
    </w:p>
    <w:p w:rsidR="0053292D" w:rsidRPr="0033706D" w:rsidRDefault="0053292D" w:rsidP="007D6AF2">
      <w:pPr>
        <w:pStyle w:val="ListeParagraf"/>
        <w:numPr>
          <w:ilvl w:val="0"/>
          <w:numId w:val="3"/>
        </w:numPr>
        <w:spacing w:before="120" w:after="0" w:line="240" w:lineRule="auto"/>
        <w:rPr>
          <w:sz w:val="22"/>
        </w:rPr>
      </w:pPr>
      <w:r w:rsidRPr="0033706D">
        <w:rPr>
          <w:sz w:val="22"/>
        </w:rPr>
        <w:t>Vergi Müfettişinin, Vergi Usul</w:t>
      </w:r>
      <w:r w:rsidR="00571DC8" w:rsidRPr="0033706D">
        <w:rPr>
          <w:sz w:val="22"/>
        </w:rPr>
        <w:t xml:space="preserve"> Kanununun </w:t>
      </w:r>
      <w:r w:rsidR="00571DC8" w:rsidRPr="0033706D">
        <w:rPr>
          <w:i/>
          <w:sz w:val="22"/>
        </w:rPr>
        <w:t xml:space="preserve">“iktisadi, ticari ve teknik icaplara uymayan veya olayın özelliğine göre normal ve mutad olmayan bir durumun iddia olunması halinde ispat külfeti bunu iddia eden tarafa aittir” </w:t>
      </w:r>
      <w:r w:rsidR="00571DC8" w:rsidRPr="0033706D">
        <w:rPr>
          <w:sz w:val="22"/>
        </w:rPr>
        <w:t>hükmüne rağmen, tek işi uçuş yapmak olan pilotların uçuş yapmadan maaş aldığı iddiasını ispatlamak için en ufak bir delile dahi dayanmadan Vergi İnceleme Raporu düzenlemesi.</w:t>
      </w:r>
    </w:p>
    <w:p w:rsidR="00571DC8" w:rsidRPr="0033706D" w:rsidRDefault="00571DC8" w:rsidP="007D6AF2">
      <w:pPr>
        <w:spacing w:before="120" w:after="0" w:line="240" w:lineRule="auto"/>
        <w:rPr>
          <w:sz w:val="22"/>
        </w:rPr>
      </w:pPr>
      <w:r w:rsidRPr="0033706D">
        <w:rPr>
          <w:sz w:val="22"/>
        </w:rPr>
        <w:t xml:space="preserve">Bu iki temel soruna rağmen Vergi Mahkemesinin konuya temayüz ederek vergi idaresince yapılan tarhiyatı iptal </w:t>
      </w:r>
      <w:r w:rsidR="002B6FEC" w:rsidRPr="0033706D">
        <w:rPr>
          <w:sz w:val="22"/>
        </w:rPr>
        <w:t>etmiştir. Ancak,</w:t>
      </w:r>
      <w:r w:rsidRPr="0033706D">
        <w:rPr>
          <w:sz w:val="22"/>
        </w:rPr>
        <w:t xml:space="preserve"> temyiz aşamasında, Danıştay 4’üncü Dairesinin, savunma </w:t>
      </w:r>
      <w:r w:rsidR="00DE6093" w:rsidRPr="0033706D">
        <w:rPr>
          <w:sz w:val="22"/>
        </w:rPr>
        <w:t>ifadelerini</w:t>
      </w:r>
      <w:r w:rsidRPr="0033706D">
        <w:rPr>
          <w:sz w:val="22"/>
        </w:rPr>
        <w:t xml:space="preserve"> ve somut delilleri dikkate almaksızın</w:t>
      </w:r>
      <w:r w:rsidR="00DE6093" w:rsidRPr="0033706D">
        <w:rPr>
          <w:sz w:val="22"/>
        </w:rPr>
        <w:t>,</w:t>
      </w:r>
      <w:r w:rsidRPr="0033706D">
        <w:rPr>
          <w:sz w:val="22"/>
        </w:rPr>
        <w:t xml:space="preserve"> sadece Vergi İnceleme Raporunda yer alan ve Kanun’a aykırı nitelikteki orantılılık kavramına dayanarak, tarhiyatın iptaline ilişkin ilk derece mahkemesi kararını bozması ise tarafımızca anlamlandırılamamaktadır.</w:t>
      </w:r>
    </w:p>
    <w:p w:rsidR="005814C1" w:rsidRPr="0033706D" w:rsidRDefault="005814C1" w:rsidP="007D6AF2">
      <w:pPr>
        <w:spacing w:before="120" w:after="0" w:line="240" w:lineRule="auto"/>
        <w:rPr>
          <w:sz w:val="22"/>
        </w:rPr>
      </w:pPr>
      <w:r w:rsidRPr="0033706D">
        <w:rPr>
          <w:sz w:val="22"/>
        </w:rPr>
        <w:t xml:space="preserve">Çalışmamızda da ısrarla belirtildiği üzere, vergi idaresinin normlar hiyerarşisine aykırı olarak yaptığı bir yorum bu tüm hatalı işlemler silsilesini başlatan aşama olmuştur. Bu hatalı yoruma dayanarak yapılan ve ne Kanun’a ne de hatalı Genel Tebliğ’deki hükümlere dayanarak düzenlenen Vergi İnceleme Raporunda bambaşka bir kavram olan “orantılılık” kavramı ise </w:t>
      </w:r>
      <w:r w:rsidR="00AA2787" w:rsidRPr="0033706D">
        <w:rPr>
          <w:sz w:val="22"/>
        </w:rPr>
        <w:t>bu silsileyi başka bir boyuta taşıyarak, Danıştay’ın hiçbir mevzuatta olmayan ve somut olarak tespit edilmemiş bir kavrama dayanarak karar vermesine neden olmuştur.</w:t>
      </w:r>
      <w:r w:rsidRPr="0033706D">
        <w:rPr>
          <w:sz w:val="22"/>
        </w:rPr>
        <w:t xml:space="preserve">  </w:t>
      </w:r>
    </w:p>
    <w:p w:rsidR="00360AE8" w:rsidRPr="0033706D" w:rsidRDefault="00360AE8" w:rsidP="007D6AF2">
      <w:pPr>
        <w:spacing w:before="120" w:after="0" w:line="240" w:lineRule="auto"/>
        <w:rPr>
          <w:sz w:val="22"/>
        </w:rPr>
      </w:pPr>
      <w:r w:rsidRPr="0033706D">
        <w:rPr>
          <w:sz w:val="22"/>
        </w:rPr>
        <w:t xml:space="preserve">Bu nedenlerle, uçuş tazminatı ile ilgili </w:t>
      </w:r>
      <w:r w:rsidR="00C07983" w:rsidRPr="0033706D">
        <w:rPr>
          <w:sz w:val="22"/>
        </w:rPr>
        <w:t>267 seri No’lu Gelir Vergisi Genel Tebliği hükmünün acil olarak değiştirilmesi gerekmektedir. Bu kapsamda 267 No’lu Genel Tebliğ’e aşağıdaki hükmün eklenmesinin zaruri olduğu düşünülmektedir.</w:t>
      </w:r>
    </w:p>
    <w:p w:rsidR="00C07983" w:rsidRPr="0033706D" w:rsidRDefault="003729A3" w:rsidP="007D6AF2">
      <w:pPr>
        <w:spacing w:before="120" w:after="0" w:line="240" w:lineRule="auto"/>
        <w:rPr>
          <w:i/>
          <w:sz w:val="22"/>
        </w:rPr>
      </w:pPr>
      <w:r w:rsidRPr="0033706D">
        <w:rPr>
          <w:i/>
          <w:sz w:val="22"/>
        </w:rPr>
        <w:t>“Gelir Vergisi Kanununun 5766 sayılı Kanun ile değiştirilen 29/2 maddesinin uygulanmasında,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personele uçuş hizmeti karşılığında ve uçuş tazminatı adı altında yapılan ödemeler, herhangi bir uçuş saatine bağlı ve sınırlı olmaksızın Gelir Vergisinden istisnadır”</w:t>
      </w:r>
    </w:p>
    <w:p w:rsidR="003729A3" w:rsidRPr="0033706D" w:rsidRDefault="008E0387" w:rsidP="007D6AF2">
      <w:pPr>
        <w:spacing w:before="120" w:after="0" w:line="240" w:lineRule="auto"/>
        <w:rPr>
          <w:sz w:val="22"/>
        </w:rPr>
      </w:pPr>
      <w:r w:rsidRPr="0033706D">
        <w:rPr>
          <w:sz w:val="22"/>
        </w:rPr>
        <w:t>Sonuç olarak, çalışmamız boyunca ele alınan vergi uyuşmazlığının temelinde vergi idaresi tarafından yayımlanan Genel Tebliğ bulunmaktadır. Bu Genel Tebliğin kanuna aykırı olma</w:t>
      </w:r>
      <w:r w:rsidR="00824EEB" w:rsidRPr="0033706D">
        <w:rPr>
          <w:sz w:val="22"/>
        </w:rPr>
        <w:t xml:space="preserve">sının yanı </w:t>
      </w:r>
      <w:r w:rsidR="00824EEB" w:rsidRPr="0033706D">
        <w:rPr>
          <w:sz w:val="22"/>
        </w:rPr>
        <w:lastRenderedPageBreak/>
        <w:t>sıra, açık ve net ol</w:t>
      </w:r>
      <w:r w:rsidRPr="0033706D">
        <w:rPr>
          <w:sz w:val="22"/>
        </w:rPr>
        <w:t xml:space="preserve">maması; farklı şekilde yorumlanmaya müsait olması idarenin kendi inceleme elemanları tarafından, mükellefler tarafından ve hatta yargı organları tarafından farklı yorumlarda bulunulmasına sebep olmuştur. </w:t>
      </w:r>
    </w:p>
    <w:p w:rsidR="003729A3" w:rsidRPr="0033706D" w:rsidRDefault="008E0387" w:rsidP="007D6AF2">
      <w:pPr>
        <w:spacing w:before="120" w:after="0" w:line="240" w:lineRule="auto"/>
        <w:rPr>
          <w:sz w:val="22"/>
        </w:rPr>
      </w:pPr>
      <w:r w:rsidRPr="0033706D">
        <w:rPr>
          <w:sz w:val="22"/>
        </w:rPr>
        <w:t xml:space="preserve">Kronolojik olarak devam etmek gerekirse, uyuşmazlığın ikinci sebebi </w:t>
      </w:r>
      <w:r w:rsidR="00824EEB" w:rsidRPr="0033706D">
        <w:rPr>
          <w:sz w:val="22"/>
        </w:rPr>
        <w:t xml:space="preserve">ise </w:t>
      </w:r>
      <w:r w:rsidRPr="0033706D">
        <w:rPr>
          <w:sz w:val="22"/>
        </w:rPr>
        <w:t>Vergi Müfettişinin kendi yorumunu merke</w:t>
      </w:r>
      <w:r w:rsidR="00824EEB" w:rsidRPr="0033706D">
        <w:rPr>
          <w:sz w:val="22"/>
        </w:rPr>
        <w:t>ze alan tavrıdır</w:t>
      </w:r>
      <w:r w:rsidRPr="0033706D">
        <w:rPr>
          <w:sz w:val="22"/>
        </w:rPr>
        <w:t xml:space="preserve">. Personel sözleşmelerinde yer alan asgari uçuş şartına ilişkin hükümler, pilotların uçuş kayıtlar, Sivil Havacılık Genel Müdürlüğünden temin edilebilecek uçuş bilgileri incelenmeksizin, </w:t>
      </w:r>
      <w:r w:rsidR="00824EEB" w:rsidRPr="0033706D">
        <w:rPr>
          <w:sz w:val="22"/>
        </w:rPr>
        <w:t>uçuş personeli</w:t>
      </w:r>
      <w:r w:rsidRPr="0033706D">
        <w:rPr>
          <w:sz w:val="22"/>
        </w:rPr>
        <w:t xml:space="preserve"> hiç uçuş yapmamışçasına uçuş tazminatlarının tamamının Gelir Vergisine tabi tutulması ve bu işlem yapılırken gerek Kanunda gerekse de Genel Tebliğde geçmeyen “orantılılık” ifadesine yaslanılması uyuşmazlığın temel noktasını oluşturmaktadır. </w:t>
      </w:r>
    </w:p>
    <w:p w:rsidR="0010669C" w:rsidRPr="0033706D" w:rsidRDefault="003729A3" w:rsidP="007D6AF2">
      <w:pPr>
        <w:spacing w:before="120" w:after="0" w:line="240" w:lineRule="auto"/>
        <w:rPr>
          <w:sz w:val="22"/>
        </w:rPr>
      </w:pPr>
      <w:r w:rsidRPr="0033706D">
        <w:rPr>
          <w:sz w:val="22"/>
        </w:rPr>
        <w:t>Kronolojik olarak ü</w:t>
      </w:r>
      <w:r w:rsidR="008E0387" w:rsidRPr="0033706D">
        <w:rPr>
          <w:sz w:val="22"/>
        </w:rPr>
        <w:t>çüncü aşamada ise yargı organları arasındaki yorum farkı gelmektedir. İlk derece mahkemesi Kanun hükmüne dayanarak fiilen uçuş hizmeti karşılığı ödenen tazminatın Gelir Vergisinden istisna olduğuna hükmederken temyiz mercii olan Danıştay 4’üncü Dairesi, yine Kanunda ve Tebliğ’de yer almayan orantılılık ifadesine dayanarak ve somut delil niteliğindeki uçuş bilgilerini incelemeksizin</w:t>
      </w:r>
      <w:r w:rsidR="00824EEB" w:rsidRPr="0033706D">
        <w:rPr>
          <w:sz w:val="22"/>
        </w:rPr>
        <w:t>,</w:t>
      </w:r>
      <w:r w:rsidR="008E0387" w:rsidRPr="0033706D">
        <w:rPr>
          <w:sz w:val="22"/>
        </w:rPr>
        <w:t xml:space="preserve"> uçuş tazminatlarının Gelir Vergisine tabi olduğu kararıyla ilk derece mahkemesinin kararını bozmuştur.</w:t>
      </w:r>
    </w:p>
    <w:p w:rsidR="003729A3" w:rsidRPr="0033706D" w:rsidRDefault="003729A3" w:rsidP="007D6AF2">
      <w:pPr>
        <w:spacing w:before="120" w:after="0" w:line="240" w:lineRule="auto"/>
        <w:rPr>
          <w:sz w:val="22"/>
        </w:rPr>
      </w:pPr>
      <w:r w:rsidRPr="0033706D">
        <w:rPr>
          <w:sz w:val="22"/>
        </w:rPr>
        <w:t>Çalışmamızda ele alınan vergi uyuşmazlığı sıradan bir vergi istisnasından yararlanma veya yararlanmama konusu</w:t>
      </w:r>
      <w:r w:rsidR="00824EEB" w:rsidRPr="0033706D">
        <w:rPr>
          <w:sz w:val="22"/>
        </w:rPr>
        <w:t>na</w:t>
      </w:r>
      <w:r w:rsidRPr="0033706D">
        <w:rPr>
          <w:sz w:val="22"/>
        </w:rPr>
        <w:t xml:space="preserve"> ilişkin değildir. Sivil havacılık sektörünü ilgilendirmesi nedeniyle, sadece pilot ve kabin ekiplerini değil, yer bakım hizmetlerinden, havalimanı işletmecilerine, büyük veya küçük havayolu şirketlerine ve sonuç olarak da tüm turizm sektörüne etki edecek nitelikte bir uyuşmazlıktır.</w:t>
      </w:r>
      <w:r w:rsidR="00824EEB" w:rsidRPr="0033706D">
        <w:rPr>
          <w:sz w:val="22"/>
        </w:rPr>
        <w:t xml:space="preserve"> Bu yönüyle, sivil havacılık sektöründe yaşanan rekabette ülkemizin geriye düşmesine neden olabilecek böyle bir uyuşmazlık öngörülemeyecek sonuçlara neden olma potansiyelini içinde barındırmaktadır.</w:t>
      </w:r>
    </w:p>
    <w:p w:rsidR="003729A3" w:rsidRPr="0033706D" w:rsidRDefault="003729A3" w:rsidP="007D6AF2">
      <w:pPr>
        <w:spacing w:before="120" w:after="0" w:line="240" w:lineRule="auto"/>
        <w:rPr>
          <w:sz w:val="22"/>
        </w:rPr>
      </w:pPr>
      <w:r w:rsidRPr="0033706D">
        <w:rPr>
          <w:sz w:val="22"/>
        </w:rPr>
        <w:t>Bu nedenle, ivedilikle, yukarıda önerdiğimiz şekilde vey</w:t>
      </w:r>
      <w:r w:rsidR="00824EEB" w:rsidRPr="0033706D">
        <w:rPr>
          <w:sz w:val="22"/>
        </w:rPr>
        <w:t xml:space="preserve">a başka bir şekilde uyuşmazlığa </w:t>
      </w:r>
      <w:r w:rsidRPr="0033706D">
        <w:rPr>
          <w:sz w:val="22"/>
        </w:rPr>
        <w:t>konu Genel Tebliğ hükmünün değiştirilerek, bu uyuşmazlığın ileride yol aça</w:t>
      </w:r>
      <w:r w:rsidR="00824EEB" w:rsidRPr="0033706D">
        <w:rPr>
          <w:sz w:val="22"/>
        </w:rPr>
        <w:t>cağı zararın önüne geçilmesi gereklidir.</w:t>
      </w:r>
    </w:p>
    <w:p w:rsidR="00A3631B" w:rsidRPr="001B34B2" w:rsidRDefault="00A3631B" w:rsidP="007D6AF2">
      <w:pPr>
        <w:spacing w:before="120" w:after="0" w:line="240" w:lineRule="auto"/>
        <w:ind w:firstLine="0"/>
        <w:jc w:val="left"/>
        <w:rPr>
          <w:b/>
          <w:sz w:val="22"/>
        </w:rPr>
      </w:pPr>
      <w:r w:rsidRPr="001B34B2">
        <w:rPr>
          <w:b/>
          <w:sz w:val="22"/>
        </w:rPr>
        <w:t>KAYNAKÇA</w:t>
      </w:r>
    </w:p>
    <w:p w:rsidR="00D63824" w:rsidRPr="001B34B2" w:rsidRDefault="007D6AF2" w:rsidP="007D6AF2">
      <w:pPr>
        <w:spacing w:before="120" w:after="0" w:line="240" w:lineRule="auto"/>
        <w:ind w:left="284" w:hanging="284"/>
        <w:rPr>
          <w:sz w:val="18"/>
        </w:rPr>
      </w:pPr>
      <w:r w:rsidRPr="001B34B2">
        <w:rPr>
          <w:sz w:val="18"/>
        </w:rPr>
        <w:t>Bülbül</w:t>
      </w:r>
      <w:r w:rsidR="00D63824" w:rsidRPr="001B34B2">
        <w:rPr>
          <w:sz w:val="18"/>
        </w:rPr>
        <w:t>, Duran; “Devlet Maliyesi”, Gazi Kitabevi, 2018, Ankara</w:t>
      </w:r>
    </w:p>
    <w:p w:rsidR="00A3631B" w:rsidRPr="001B34B2" w:rsidRDefault="007D6AF2" w:rsidP="007D6AF2">
      <w:pPr>
        <w:spacing w:before="120" w:after="0" w:line="240" w:lineRule="auto"/>
        <w:ind w:left="284" w:hanging="284"/>
        <w:rPr>
          <w:sz w:val="18"/>
        </w:rPr>
      </w:pPr>
      <w:r w:rsidRPr="001B34B2">
        <w:rPr>
          <w:sz w:val="18"/>
        </w:rPr>
        <w:t>Kırbaş</w:t>
      </w:r>
      <w:r w:rsidR="00A3631B" w:rsidRPr="001B34B2">
        <w:rPr>
          <w:sz w:val="18"/>
        </w:rPr>
        <w:t>, Sadık; “Vergi Hukuku”, Siyasal Kitabevi, 17. Baskı, 2006, Ankara.</w:t>
      </w:r>
    </w:p>
    <w:p w:rsidR="00A3631B" w:rsidRPr="001B34B2" w:rsidRDefault="007D6AF2" w:rsidP="007D6AF2">
      <w:pPr>
        <w:spacing w:before="120" w:after="0" w:line="240" w:lineRule="auto"/>
        <w:ind w:left="284" w:hanging="284"/>
        <w:rPr>
          <w:sz w:val="18"/>
        </w:rPr>
      </w:pPr>
      <w:r w:rsidRPr="001B34B2">
        <w:rPr>
          <w:sz w:val="18"/>
        </w:rPr>
        <w:t>Onay</w:t>
      </w:r>
      <w:r w:rsidR="00A3631B" w:rsidRPr="001B34B2">
        <w:rPr>
          <w:sz w:val="18"/>
        </w:rPr>
        <w:t>, İsmail; Pilot ve Hosteslere Verilen Uçuş Tazminatlarının Gelir Vergisi İstisnası Uygulaması Karşısındaki Durumu, “Vergi Dünyası Dergisi”, Sayı 399, Kasım 2014.</w:t>
      </w:r>
    </w:p>
    <w:p w:rsidR="00A3631B" w:rsidRPr="001B34B2" w:rsidRDefault="007D6AF2" w:rsidP="007D6AF2">
      <w:pPr>
        <w:spacing w:before="120" w:after="0" w:line="240" w:lineRule="auto"/>
        <w:ind w:left="284" w:hanging="284"/>
        <w:rPr>
          <w:sz w:val="18"/>
        </w:rPr>
      </w:pPr>
      <w:r w:rsidRPr="001B34B2">
        <w:rPr>
          <w:sz w:val="18"/>
        </w:rPr>
        <w:t>Öncel</w:t>
      </w:r>
      <w:r w:rsidR="00A3631B" w:rsidRPr="001B34B2">
        <w:rPr>
          <w:sz w:val="18"/>
        </w:rPr>
        <w:t>, Mualla, KUMRULU, Ahmet, ÇAĞAN, Nami; “Vergi Hukuku”, Turhan Kitabevi, 21. Bası, 2012, Ankara.</w:t>
      </w:r>
    </w:p>
    <w:p w:rsidR="00CD3EC3" w:rsidRPr="001B34B2" w:rsidRDefault="00CD3EC3" w:rsidP="007D6AF2">
      <w:pPr>
        <w:spacing w:before="120" w:after="0" w:line="240" w:lineRule="auto"/>
        <w:ind w:left="284" w:hanging="284"/>
        <w:rPr>
          <w:sz w:val="18"/>
        </w:rPr>
      </w:pPr>
      <w:r w:rsidRPr="001B34B2">
        <w:rPr>
          <w:sz w:val="18"/>
        </w:rPr>
        <w:t>Sivil Havacılık Genel Müdürlüğü; Faaliyet Raporu – 2017, Ankara, 2018.</w:t>
      </w:r>
    </w:p>
    <w:p w:rsidR="00A3631B" w:rsidRPr="001B34B2" w:rsidRDefault="007D6AF2" w:rsidP="007D6AF2">
      <w:pPr>
        <w:spacing w:before="120" w:after="0" w:line="240" w:lineRule="auto"/>
        <w:ind w:left="284" w:hanging="284"/>
        <w:rPr>
          <w:sz w:val="18"/>
        </w:rPr>
      </w:pPr>
      <w:r w:rsidRPr="001B34B2">
        <w:rPr>
          <w:sz w:val="18"/>
        </w:rPr>
        <w:t>Uluatam</w:t>
      </w:r>
      <w:r w:rsidR="00A3631B" w:rsidRPr="001B34B2">
        <w:rPr>
          <w:sz w:val="18"/>
        </w:rPr>
        <w:t>, Özhan, METHİBAY, Yaşar; “Vergi Hukuku”, İmaj Yayıncılık, Ankara, 5. Baskı, 2001.</w:t>
      </w:r>
    </w:p>
    <w:p w:rsidR="00CD3EC3" w:rsidRPr="001B34B2" w:rsidRDefault="00CD3EC3" w:rsidP="007D6AF2">
      <w:pPr>
        <w:spacing w:before="120" w:after="0" w:line="240" w:lineRule="auto"/>
        <w:ind w:left="284" w:hanging="284"/>
        <w:rPr>
          <w:sz w:val="18"/>
        </w:rPr>
      </w:pPr>
      <w:r w:rsidRPr="001B34B2">
        <w:rPr>
          <w:sz w:val="18"/>
        </w:rPr>
        <w:t>193 sayılı Gelir Vergisi Kanunu, 06.01.1961 tarih ve 10700 sayılı Resmi Gazete.</w:t>
      </w:r>
    </w:p>
    <w:p w:rsidR="00A3631B" w:rsidRPr="001B34B2" w:rsidRDefault="00CD3EC3" w:rsidP="007D6AF2">
      <w:pPr>
        <w:spacing w:before="120" w:after="0" w:line="240" w:lineRule="auto"/>
        <w:ind w:left="284" w:hanging="284"/>
        <w:rPr>
          <w:sz w:val="18"/>
        </w:rPr>
      </w:pPr>
      <w:r w:rsidRPr="001B34B2">
        <w:rPr>
          <w:sz w:val="18"/>
        </w:rPr>
        <w:t>213 sayılı Vergi Usul Kanunu, 10.01.1961 tarih ve 10705 sayılı Resmi Gazete.</w:t>
      </w:r>
    </w:p>
    <w:p w:rsidR="00CD3EC3" w:rsidRPr="001B34B2" w:rsidRDefault="00CD3EC3" w:rsidP="007D6AF2">
      <w:pPr>
        <w:spacing w:before="120" w:after="0" w:line="240" w:lineRule="auto"/>
        <w:ind w:left="284" w:hanging="284"/>
        <w:rPr>
          <w:sz w:val="18"/>
        </w:rPr>
      </w:pPr>
      <w:r w:rsidRPr="001B34B2">
        <w:rPr>
          <w:sz w:val="18"/>
        </w:rPr>
        <w:t>2629 sayılı Uçuş, Paraşüt, Denizaltı, Dalgıç ve Kurbağa Adam Hizmetleri Tazminat Kanunu, 28.02.1982 tarih ve 17619 sayılı Resmi Gazete.</w:t>
      </w:r>
    </w:p>
    <w:p w:rsidR="00CD3EC3" w:rsidRPr="001B34B2" w:rsidRDefault="00CD3EC3" w:rsidP="007D6AF2">
      <w:pPr>
        <w:spacing w:before="120" w:after="0" w:line="240" w:lineRule="auto"/>
        <w:ind w:left="284" w:hanging="284"/>
        <w:rPr>
          <w:sz w:val="18"/>
        </w:rPr>
      </w:pPr>
      <w:r w:rsidRPr="001B34B2">
        <w:rPr>
          <w:sz w:val="18"/>
        </w:rPr>
        <w:t>3160 sayılı Emniyet Teşkilatı Uçuş Ve Dalış Hizmetleri Tazminat Kanunu, 5.03.1985 tarih ve 18685 sayılı Resmi Gazete.</w:t>
      </w:r>
    </w:p>
    <w:p w:rsidR="00CD3EC3" w:rsidRPr="001B34B2" w:rsidRDefault="00CD3EC3" w:rsidP="007D6AF2">
      <w:pPr>
        <w:spacing w:before="120" w:after="0" w:line="240" w:lineRule="auto"/>
        <w:ind w:left="284" w:hanging="284"/>
        <w:rPr>
          <w:sz w:val="18"/>
        </w:rPr>
      </w:pPr>
      <w:r w:rsidRPr="001B34B2">
        <w:rPr>
          <w:sz w:val="18"/>
        </w:rPr>
        <w:t>5766 sayılı Amme Alacaklarının Tahsil Usulü Hakkında Kanunda ve Bazı Kanunlarda Değişiklik Yapılması Hakkında Kanun,  06.06.2008 tarih ve 26898 sayılı Resmi Gazete.</w:t>
      </w:r>
    </w:p>
    <w:p w:rsidR="00061C05" w:rsidRPr="001B34B2" w:rsidRDefault="00061C05" w:rsidP="007D6AF2">
      <w:pPr>
        <w:spacing w:before="120" w:after="0" w:line="240" w:lineRule="auto"/>
        <w:ind w:left="284" w:hanging="284"/>
        <w:rPr>
          <w:sz w:val="18"/>
        </w:rPr>
      </w:pPr>
      <w:r w:rsidRPr="001B34B2">
        <w:rPr>
          <w:sz w:val="18"/>
        </w:rPr>
        <w:t>128 seri No’lu Gelir Vergisi Genel Tebliği, 31.01.1981 tarih ve 17237 sayılı mükerrer Resmi Gazete.</w:t>
      </w:r>
    </w:p>
    <w:p w:rsidR="00CD3EC3" w:rsidRPr="001B34B2" w:rsidRDefault="00061C05" w:rsidP="007D6AF2">
      <w:pPr>
        <w:spacing w:before="120" w:after="0" w:line="240" w:lineRule="auto"/>
        <w:ind w:left="284" w:hanging="284"/>
        <w:rPr>
          <w:sz w:val="18"/>
        </w:rPr>
      </w:pPr>
      <w:r w:rsidRPr="001B34B2">
        <w:rPr>
          <w:sz w:val="18"/>
        </w:rPr>
        <w:t>267 seri No’lu Gelir Vergisi Genel Tebliği, 24.06.2008 tarih ve 26916 sayılı Resmi Gazete.</w:t>
      </w:r>
      <w:bookmarkStart w:id="0" w:name="_GoBack"/>
      <w:bookmarkEnd w:id="0"/>
    </w:p>
    <w:sectPr w:rsidR="00CD3EC3" w:rsidRPr="001B34B2" w:rsidSect="00783788">
      <w:footerReference w:type="default" r:id="rId8"/>
      <w:pgSz w:w="11906" w:h="16838"/>
      <w:pgMar w:top="1417" w:right="1417" w:bottom="1417" w:left="1417" w:header="708" w:footer="708" w:gutter="0"/>
      <w:pgNumType w:start="41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CE" w:rsidRDefault="006F3ACE" w:rsidP="00E3366D">
      <w:pPr>
        <w:spacing w:before="0" w:after="0" w:line="240" w:lineRule="auto"/>
      </w:pPr>
      <w:r>
        <w:separator/>
      </w:r>
    </w:p>
  </w:endnote>
  <w:endnote w:type="continuationSeparator" w:id="0">
    <w:p w:rsidR="006F3ACE" w:rsidRDefault="006F3ACE" w:rsidP="00E336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042278"/>
      <w:docPartObj>
        <w:docPartGallery w:val="Page Numbers (Bottom of Page)"/>
        <w:docPartUnique/>
      </w:docPartObj>
    </w:sdtPr>
    <w:sdtEndPr/>
    <w:sdtContent>
      <w:p w:rsidR="00A75C2E" w:rsidRDefault="00A75C2E">
        <w:pPr>
          <w:pStyle w:val="AltBilgi"/>
          <w:jc w:val="center"/>
        </w:pPr>
        <w:r>
          <w:fldChar w:fldCharType="begin"/>
        </w:r>
        <w:r>
          <w:instrText>PAGE   \* MERGEFORMAT</w:instrText>
        </w:r>
        <w:r>
          <w:fldChar w:fldCharType="separate"/>
        </w:r>
        <w:r w:rsidR="00783788">
          <w:rPr>
            <w:noProof/>
          </w:rPr>
          <w:t>425</w:t>
        </w:r>
        <w:r>
          <w:fldChar w:fldCharType="end"/>
        </w:r>
      </w:p>
    </w:sdtContent>
  </w:sdt>
  <w:p w:rsidR="00A75C2E" w:rsidRDefault="00A75C2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CE" w:rsidRDefault="006F3ACE" w:rsidP="00E3366D">
      <w:pPr>
        <w:spacing w:before="0" w:after="0" w:line="240" w:lineRule="auto"/>
      </w:pPr>
      <w:r>
        <w:separator/>
      </w:r>
    </w:p>
  </w:footnote>
  <w:footnote w:type="continuationSeparator" w:id="0">
    <w:p w:rsidR="006F3ACE" w:rsidRDefault="006F3ACE" w:rsidP="00E3366D">
      <w:pPr>
        <w:spacing w:before="0" w:after="0" w:line="240" w:lineRule="auto"/>
      </w:pPr>
      <w:r>
        <w:continuationSeparator/>
      </w:r>
    </w:p>
  </w:footnote>
  <w:footnote w:id="1">
    <w:p w:rsidR="00AD5DFF" w:rsidRPr="00AD5DFF" w:rsidRDefault="00AD5DFF" w:rsidP="00AD5DFF">
      <w:pPr>
        <w:pStyle w:val="DipnotMetni"/>
        <w:ind w:firstLine="0"/>
        <w:rPr>
          <w:sz w:val="16"/>
        </w:rPr>
      </w:pPr>
      <w:r w:rsidRPr="00AD5DFF">
        <w:rPr>
          <w:rStyle w:val="DipnotBavurusu"/>
          <w:sz w:val="16"/>
        </w:rPr>
        <w:footnoteRef/>
      </w:r>
      <w:r w:rsidRPr="00AD5DFF">
        <w:rPr>
          <w:sz w:val="16"/>
        </w:rPr>
        <w:t xml:space="preserve"> Doç. Dr., Hacı Bayram Veli Üniversitesi, İİBF, Maliye Bölümü, (duranbulbul@gazi.edu.tr)</w:t>
      </w:r>
    </w:p>
  </w:footnote>
  <w:footnote w:id="2">
    <w:p w:rsidR="00D63824" w:rsidRDefault="00D63824" w:rsidP="00AD5DFF">
      <w:pPr>
        <w:pStyle w:val="DipnotMetni"/>
        <w:ind w:firstLine="0"/>
      </w:pPr>
      <w:r w:rsidRPr="00AD5DFF">
        <w:rPr>
          <w:rStyle w:val="DipnotBavurusu"/>
          <w:sz w:val="16"/>
        </w:rPr>
        <w:footnoteRef/>
      </w:r>
      <w:r w:rsidRPr="00AD5DFF">
        <w:rPr>
          <w:sz w:val="16"/>
        </w:rPr>
        <w:t xml:space="preserve"> Konu ile ilgili ayrıntılı bilgi için bkz</w:t>
      </w:r>
      <w:r w:rsidR="002351CB" w:rsidRPr="00AD5DFF">
        <w:rPr>
          <w:sz w:val="16"/>
        </w:rPr>
        <w:t>; BÜLBÜL; a.g.e., s.287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72"/>
    <w:multiLevelType w:val="hybridMultilevel"/>
    <w:tmpl w:val="68E8F42E"/>
    <w:lvl w:ilvl="0" w:tplc="13B2F11C">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35FC4"/>
    <w:multiLevelType w:val="hybridMultilevel"/>
    <w:tmpl w:val="3EAA55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877E23"/>
    <w:multiLevelType w:val="multilevel"/>
    <w:tmpl w:val="4510E2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6BA1E77"/>
    <w:multiLevelType w:val="hybridMultilevel"/>
    <w:tmpl w:val="F9BAE586"/>
    <w:lvl w:ilvl="0" w:tplc="041F0001">
      <w:start w:val="1"/>
      <w:numFmt w:val="bullet"/>
      <w:lvlText w:val=""/>
      <w:lvlJc w:val="left"/>
      <w:pPr>
        <w:tabs>
          <w:tab w:val="num" w:pos="720"/>
        </w:tabs>
        <w:ind w:left="720" w:hanging="360"/>
      </w:pPr>
      <w:rPr>
        <w:rFonts w:ascii="Symbol" w:hAnsi="Symbol" w:hint="default"/>
      </w:rPr>
    </w:lvl>
    <w:lvl w:ilvl="1" w:tplc="D098EED4">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A3BE3"/>
    <w:multiLevelType w:val="hybridMultilevel"/>
    <w:tmpl w:val="49EE959A"/>
    <w:lvl w:ilvl="0" w:tplc="D098EED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014C1"/>
    <w:multiLevelType w:val="hybridMultilevel"/>
    <w:tmpl w:val="D1228E0E"/>
    <w:lvl w:ilvl="0" w:tplc="041F0001">
      <w:start w:val="1"/>
      <w:numFmt w:val="bullet"/>
      <w:lvlText w:val=""/>
      <w:lvlJc w:val="left"/>
      <w:pPr>
        <w:tabs>
          <w:tab w:val="num" w:pos="720"/>
        </w:tabs>
        <w:ind w:left="720" w:hanging="360"/>
      </w:pPr>
      <w:rPr>
        <w:rFonts w:ascii="Symbol" w:hAnsi="Symbol" w:hint="default"/>
      </w:rPr>
    </w:lvl>
    <w:lvl w:ilvl="1" w:tplc="041F0009">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6736A6"/>
    <w:multiLevelType w:val="hybridMultilevel"/>
    <w:tmpl w:val="666011A8"/>
    <w:lvl w:ilvl="0" w:tplc="D098EED4">
      <w:start w:val="2"/>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B46820"/>
    <w:multiLevelType w:val="multilevel"/>
    <w:tmpl w:val="B04E3D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AD6BF5"/>
    <w:multiLevelType w:val="hybridMultilevel"/>
    <w:tmpl w:val="C99045C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6A202557"/>
    <w:multiLevelType w:val="hybridMultilevel"/>
    <w:tmpl w:val="8DBE1D2A"/>
    <w:lvl w:ilvl="0" w:tplc="041F0001">
      <w:start w:val="1"/>
      <w:numFmt w:val="bullet"/>
      <w:lvlText w:val=""/>
      <w:lvlJc w:val="left"/>
      <w:pPr>
        <w:tabs>
          <w:tab w:val="num" w:pos="720"/>
        </w:tabs>
        <w:ind w:left="720" w:hanging="360"/>
      </w:pPr>
      <w:rPr>
        <w:rFonts w:ascii="Symbol" w:hAnsi="Symbol" w:hint="default"/>
      </w:rPr>
    </w:lvl>
    <w:lvl w:ilvl="1" w:tplc="D098EED4">
      <w:start w:val="2"/>
      <w:numFmt w:val="bullet"/>
      <w:lvlText w:val="-"/>
      <w:lvlJc w:val="left"/>
      <w:pPr>
        <w:tabs>
          <w:tab w:val="num" w:pos="1440"/>
        </w:tabs>
        <w:ind w:left="1440" w:hanging="360"/>
      </w:pPr>
      <w:rPr>
        <w:rFonts w:ascii="Times New Roman" w:eastAsia="Times New Roman" w:hAnsi="Times New Roman"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82D12"/>
    <w:multiLevelType w:val="hybridMultilevel"/>
    <w:tmpl w:val="97201A2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10"/>
  </w:num>
  <w:num w:numId="3">
    <w:abstractNumId w:val="8"/>
  </w:num>
  <w:num w:numId="4">
    <w:abstractNumId w:val="5"/>
  </w:num>
  <w:num w:numId="5">
    <w:abstractNumId w:val="9"/>
  </w:num>
  <w:num w:numId="6">
    <w:abstractNumId w:val="3"/>
  </w:num>
  <w:num w:numId="7">
    <w:abstractNumId w:val="6"/>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ED"/>
    <w:rsid w:val="0000626C"/>
    <w:rsid w:val="00022F22"/>
    <w:rsid w:val="00061C05"/>
    <w:rsid w:val="00063972"/>
    <w:rsid w:val="00080CED"/>
    <w:rsid w:val="000C4F14"/>
    <w:rsid w:val="000D6E31"/>
    <w:rsid w:val="00100E98"/>
    <w:rsid w:val="0010669C"/>
    <w:rsid w:val="00145AB4"/>
    <w:rsid w:val="00157B40"/>
    <w:rsid w:val="00170296"/>
    <w:rsid w:val="00197BFB"/>
    <w:rsid w:val="001B34B2"/>
    <w:rsid w:val="001E4F66"/>
    <w:rsid w:val="002351CB"/>
    <w:rsid w:val="002B0B4C"/>
    <w:rsid w:val="002B6FEC"/>
    <w:rsid w:val="002B7787"/>
    <w:rsid w:val="002D0857"/>
    <w:rsid w:val="002D3D1C"/>
    <w:rsid w:val="00306101"/>
    <w:rsid w:val="00307927"/>
    <w:rsid w:val="0033706D"/>
    <w:rsid w:val="00357323"/>
    <w:rsid w:val="00360AE8"/>
    <w:rsid w:val="003729A3"/>
    <w:rsid w:val="0039738E"/>
    <w:rsid w:val="003A47EB"/>
    <w:rsid w:val="003B30B6"/>
    <w:rsid w:val="003E1406"/>
    <w:rsid w:val="00437F26"/>
    <w:rsid w:val="00476626"/>
    <w:rsid w:val="00483A8C"/>
    <w:rsid w:val="0049336E"/>
    <w:rsid w:val="004A11F1"/>
    <w:rsid w:val="004B5760"/>
    <w:rsid w:val="004C3E8F"/>
    <w:rsid w:val="004F610B"/>
    <w:rsid w:val="00504680"/>
    <w:rsid w:val="00510D74"/>
    <w:rsid w:val="0053292D"/>
    <w:rsid w:val="00571DC8"/>
    <w:rsid w:val="005814C1"/>
    <w:rsid w:val="005B7F3E"/>
    <w:rsid w:val="00611090"/>
    <w:rsid w:val="00616F19"/>
    <w:rsid w:val="00694E24"/>
    <w:rsid w:val="006A147F"/>
    <w:rsid w:val="006B01B7"/>
    <w:rsid w:val="006B5CE1"/>
    <w:rsid w:val="006F3ACE"/>
    <w:rsid w:val="00705052"/>
    <w:rsid w:val="007208F6"/>
    <w:rsid w:val="00724C50"/>
    <w:rsid w:val="007348F9"/>
    <w:rsid w:val="0074361B"/>
    <w:rsid w:val="00783788"/>
    <w:rsid w:val="007841BA"/>
    <w:rsid w:val="007A69B7"/>
    <w:rsid w:val="007C49CA"/>
    <w:rsid w:val="007D6AF2"/>
    <w:rsid w:val="007E326B"/>
    <w:rsid w:val="007F67F2"/>
    <w:rsid w:val="00824EEB"/>
    <w:rsid w:val="008665A7"/>
    <w:rsid w:val="008B6FA2"/>
    <w:rsid w:val="008E0387"/>
    <w:rsid w:val="00952733"/>
    <w:rsid w:val="009F6E31"/>
    <w:rsid w:val="00A3631B"/>
    <w:rsid w:val="00A448A8"/>
    <w:rsid w:val="00A5052C"/>
    <w:rsid w:val="00A75C2E"/>
    <w:rsid w:val="00A82B0F"/>
    <w:rsid w:val="00A90A2E"/>
    <w:rsid w:val="00AA1D1A"/>
    <w:rsid w:val="00AA2787"/>
    <w:rsid w:val="00AB45CE"/>
    <w:rsid w:val="00AC64B4"/>
    <w:rsid w:val="00AD5DFF"/>
    <w:rsid w:val="00AE20A9"/>
    <w:rsid w:val="00B27A6F"/>
    <w:rsid w:val="00B67DD4"/>
    <w:rsid w:val="00B93229"/>
    <w:rsid w:val="00BD1412"/>
    <w:rsid w:val="00C07983"/>
    <w:rsid w:val="00C53198"/>
    <w:rsid w:val="00C84197"/>
    <w:rsid w:val="00C91C9D"/>
    <w:rsid w:val="00C95F85"/>
    <w:rsid w:val="00CA4AE3"/>
    <w:rsid w:val="00CD3EC3"/>
    <w:rsid w:val="00D274E6"/>
    <w:rsid w:val="00D63824"/>
    <w:rsid w:val="00D87A2C"/>
    <w:rsid w:val="00D97F77"/>
    <w:rsid w:val="00DB447F"/>
    <w:rsid w:val="00DC030E"/>
    <w:rsid w:val="00DC0991"/>
    <w:rsid w:val="00DD39E9"/>
    <w:rsid w:val="00DE6093"/>
    <w:rsid w:val="00DE781A"/>
    <w:rsid w:val="00DF2B35"/>
    <w:rsid w:val="00DF749E"/>
    <w:rsid w:val="00E00EB9"/>
    <w:rsid w:val="00E3366D"/>
    <w:rsid w:val="00E518E1"/>
    <w:rsid w:val="00E81514"/>
    <w:rsid w:val="00EB4A32"/>
    <w:rsid w:val="00EF6E23"/>
    <w:rsid w:val="00F6436D"/>
    <w:rsid w:val="00F71ED6"/>
    <w:rsid w:val="00F9524B"/>
    <w:rsid w:val="00FF2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BAB36-68C7-496A-A41F-A0A33D43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787"/>
    <w:pPr>
      <w:spacing w:before="240" w:after="240"/>
      <w:ind w:firstLine="709"/>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0CED"/>
    <w:pPr>
      <w:ind w:left="720"/>
      <w:contextualSpacing/>
    </w:pPr>
  </w:style>
  <w:style w:type="paragraph" w:styleId="DipnotMetni">
    <w:name w:val="footnote text"/>
    <w:basedOn w:val="Normal"/>
    <w:link w:val="DipnotMetniChar"/>
    <w:uiPriority w:val="99"/>
    <w:semiHidden/>
    <w:unhideWhenUsed/>
    <w:rsid w:val="00E3366D"/>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E3366D"/>
    <w:rPr>
      <w:rFonts w:ascii="Times New Roman" w:hAnsi="Times New Roman"/>
      <w:sz w:val="20"/>
      <w:szCs w:val="20"/>
    </w:rPr>
  </w:style>
  <w:style w:type="character" w:styleId="DipnotBavurusu">
    <w:name w:val="footnote reference"/>
    <w:basedOn w:val="VarsaylanParagrafYazTipi"/>
    <w:uiPriority w:val="99"/>
    <w:semiHidden/>
    <w:unhideWhenUsed/>
    <w:rsid w:val="00E3366D"/>
    <w:rPr>
      <w:vertAlign w:val="superscript"/>
    </w:rPr>
  </w:style>
  <w:style w:type="character" w:styleId="Kpr">
    <w:name w:val="Hyperlink"/>
    <w:basedOn w:val="VarsaylanParagrafYazTipi"/>
    <w:uiPriority w:val="99"/>
    <w:unhideWhenUsed/>
    <w:rsid w:val="00E3366D"/>
    <w:rPr>
      <w:color w:val="0563C1" w:themeColor="hyperlink"/>
      <w:u w:val="single"/>
    </w:rPr>
  </w:style>
  <w:style w:type="paragraph" w:styleId="SonnotMetni">
    <w:name w:val="endnote text"/>
    <w:basedOn w:val="Normal"/>
    <w:link w:val="SonnotMetniChar"/>
    <w:uiPriority w:val="99"/>
    <w:semiHidden/>
    <w:unhideWhenUsed/>
    <w:rsid w:val="006B5CE1"/>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rsid w:val="006B5CE1"/>
    <w:rPr>
      <w:rFonts w:ascii="Times New Roman" w:hAnsi="Times New Roman"/>
      <w:sz w:val="20"/>
      <w:szCs w:val="20"/>
    </w:rPr>
  </w:style>
  <w:style w:type="character" w:styleId="SonnotBavurusu">
    <w:name w:val="endnote reference"/>
    <w:basedOn w:val="VarsaylanParagrafYazTipi"/>
    <w:uiPriority w:val="99"/>
    <w:semiHidden/>
    <w:unhideWhenUsed/>
    <w:rsid w:val="006B5CE1"/>
    <w:rPr>
      <w:vertAlign w:val="superscript"/>
    </w:rPr>
  </w:style>
  <w:style w:type="paragraph" w:styleId="stBilgi">
    <w:name w:val="header"/>
    <w:basedOn w:val="Normal"/>
    <w:link w:val="stBilgiChar"/>
    <w:uiPriority w:val="99"/>
    <w:unhideWhenUsed/>
    <w:rsid w:val="00AD5DF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AD5DFF"/>
    <w:rPr>
      <w:rFonts w:ascii="Times New Roman" w:hAnsi="Times New Roman"/>
      <w:sz w:val="24"/>
    </w:rPr>
  </w:style>
  <w:style w:type="paragraph" w:styleId="AltBilgi">
    <w:name w:val="footer"/>
    <w:basedOn w:val="Normal"/>
    <w:link w:val="AltBilgiChar"/>
    <w:uiPriority w:val="99"/>
    <w:unhideWhenUsed/>
    <w:rsid w:val="00AD5DF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AD5DF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5293">
      <w:bodyDiv w:val="1"/>
      <w:marLeft w:val="0"/>
      <w:marRight w:val="0"/>
      <w:marTop w:val="0"/>
      <w:marBottom w:val="0"/>
      <w:divBdr>
        <w:top w:val="none" w:sz="0" w:space="0" w:color="auto"/>
        <w:left w:val="none" w:sz="0" w:space="0" w:color="auto"/>
        <w:bottom w:val="none" w:sz="0" w:space="0" w:color="auto"/>
        <w:right w:val="none" w:sz="0" w:space="0" w:color="auto"/>
      </w:divBdr>
    </w:div>
    <w:div w:id="1399672110">
      <w:bodyDiv w:val="1"/>
      <w:marLeft w:val="0"/>
      <w:marRight w:val="0"/>
      <w:marTop w:val="0"/>
      <w:marBottom w:val="0"/>
      <w:divBdr>
        <w:top w:val="none" w:sz="0" w:space="0" w:color="auto"/>
        <w:left w:val="none" w:sz="0" w:space="0" w:color="auto"/>
        <w:bottom w:val="none" w:sz="0" w:space="0" w:color="auto"/>
        <w:right w:val="none" w:sz="0" w:space="0" w:color="auto"/>
      </w:divBdr>
    </w:div>
    <w:div w:id="1499417617">
      <w:bodyDiv w:val="1"/>
      <w:marLeft w:val="0"/>
      <w:marRight w:val="0"/>
      <w:marTop w:val="0"/>
      <w:marBottom w:val="0"/>
      <w:divBdr>
        <w:top w:val="none" w:sz="0" w:space="0" w:color="auto"/>
        <w:left w:val="none" w:sz="0" w:space="0" w:color="auto"/>
        <w:bottom w:val="none" w:sz="0" w:space="0" w:color="auto"/>
        <w:right w:val="none" w:sz="0" w:space="0" w:color="auto"/>
      </w:divBdr>
    </w:div>
    <w:div w:id="1728258994">
      <w:bodyDiv w:val="1"/>
      <w:marLeft w:val="0"/>
      <w:marRight w:val="0"/>
      <w:marTop w:val="0"/>
      <w:marBottom w:val="0"/>
      <w:divBdr>
        <w:top w:val="none" w:sz="0" w:space="0" w:color="auto"/>
        <w:left w:val="none" w:sz="0" w:space="0" w:color="auto"/>
        <w:bottom w:val="none" w:sz="0" w:space="0" w:color="auto"/>
        <w:right w:val="none" w:sz="0" w:space="0" w:color="auto"/>
      </w:divBdr>
    </w:div>
    <w:div w:id="20248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627E9-4365-483D-9077-FD0BE099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5124</Words>
  <Characters>29210</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KUŞGÖZOĞLU</dc:creator>
  <cp:keywords/>
  <dc:description/>
  <cp:lastModifiedBy>yarogullarininzeynep</cp:lastModifiedBy>
  <cp:revision>11</cp:revision>
  <dcterms:created xsi:type="dcterms:W3CDTF">2018-09-03T13:49:00Z</dcterms:created>
  <dcterms:modified xsi:type="dcterms:W3CDTF">2018-09-17T13:42:00Z</dcterms:modified>
</cp:coreProperties>
</file>