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CF6FF" w14:textId="07601558" w:rsidR="00AD4D72" w:rsidRPr="00533264" w:rsidRDefault="007020A3" w:rsidP="00477674">
      <w:pPr>
        <w:jc w:val="center"/>
        <w:rPr>
          <w:rFonts w:eastAsia="Times New Roman"/>
          <w:b/>
          <w:bCs/>
          <w:sz w:val="22"/>
          <w:szCs w:val="22"/>
        </w:rPr>
      </w:pPr>
      <w:r w:rsidRPr="00533264">
        <w:rPr>
          <w:rFonts w:eastAsia="Times New Roman"/>
          <w:b/>
          <w:bCs/>
          <w:sz w:val="22"/>
          <w:szCs w:val="22"/>
        </w:rPr>
        <w:t>TÜRK</w:t>
      </w:r>
      <w:r w:rsidR="00B40C94" w:rsidRPr="00533264">
        <w:rPr>
          <w:rFonts w:eastAsia="Times New Roman"/>
          <w:b/>
          <w:bCs/>
          <w:sz w:val="22"/>
          <w:szCs w:val="22"/>
        </w:rPr>
        <w:t xml:space="preserve">İYE’DEKİ </w:t>
      </w:r>
      <w:r w:rsidR="004C739F" w:rsidRPr="00533264">
        <w:rPr>
          <w:rFonts w:eastAsia="Times New Roman"/>
          <w:b/>
          <w:bCs/>
          <w:sz w:val="22"/>
          <w:szCs w:val="22"/>
        </w:rPr>
        <w:t>MUHALEFET</w:t>
      </w:r>
      <w:r w:rsidR="00B40C94" w:rsidRPr="00533264">
        <w:rPr>
          <w:rFonts w:eastAsia="Times New Roman"/>
          <w:b/>
          <w:bCs/>
          <w:sz w:val="22"/>
          <w:szCs w:val="22"/>
        </w:rPr>
        <w:t xml:space="preserve"> PARTİLER</w:t>
      </w:r>
      <w:r w:rsidR="004C739F" w:rsidRPr="00533264">
        <w:rPr>
          <w:rFonts w:eastAsia="Times New Roman"/>
          <w:b/>
          <w:bCs/>
          <w:sz w:val="22"/>
          <w:szCs w:val="22"/>
        </w:rPr>
        <w:t>İ</w:t>
      </w:r>
      <w:r w:rsidR="004F515D" w:rsidRPr="00533264">
        <w:rPr>
          <w:rFonts w:eastAsia="Times New Roman"/>
          <w:b/>
          <w:bCs/>
          <w:sz w:val="22"/>
          <w:szCs w:val="22"/>
        </w:rPr>
        <w:t>NİN</w:t>
      </w:r>
      <w:r w:rsidR="00173434" w:rsidRPr="00533264">
        <w:rPr>
          <w:rFonts w:eastAsia="Times New Roman"/>
          <w:b/>
          <w:bCs/>
          <w:sz w:val="22"/>
          <w:szCs w:val="22"/>
        </w:rPr>
        <w:t xml:space="preserve"> GÖÇ SORUNUNA YAKLAŞIMLARINA YÖNELİK İÇERİK ANALİZİ</w:t>
      </w:r>
      <w:r w:rsidR="00D3080F" w:rsidRPr="00533264">
        <w:rPr>
          <w:rStyle w:val="DipnotBavurusu"/>
          <w:rFonts w:eastAsia="Times New Roman"/>
          <w:b/>
          <w:bCs/>
          <w:sz w:val="22"/>
          <w:szCs w:val="22"/>
        </w:rPr>
        <w:footnoteReference w:id="2"/>
      </w:r>
    </w:p>
    <w:p w14:paraId="07851425" w14:textId="2600F4E0" w:rsidR="00620383" w:rsidRDefault="00DA565E" w:rsidP="00477674">
      <w:pPr>
        <w:jc w:val="both"/>
        <w:rPr>
          <w:rFonts w:eastAsia="Times New Roman"/>
          <w:bCs/>
          <w:sz w:val="20"/>
          <w:szCs w:val="20"/>
        </w:rPr>
      </w:pPr>
      <w:r w:rsidRPr="00D715BD">
        <w:rPr>
          <w:rFonts w:eastAsia="Calibri"/>
          <w:i/>
          <w:color w:val="000000"/>
          <w:sz w:val="20"/>
          <w:szCs w:val="14"/>
          <w:shd w:val="clear" w:color="auto" w:fill="FFFFFF"/>
        </w:rPr>
        <w:t>Geliş</w:t>
      </w:r>
      <w:r>
        <w:rPr>
          <w:rFonts w:eastAsia="Calibri"/>
          <w:i/>
          <w:color w:val="000000"/>
          <w:sz w:val="20"/>
          <w:szCs w:val="14"/>
          <w:shd w:val="clear" w:color="auto" w:fill="FFFFFF"/>
        </w:rPr>
        <w:t xml:space="preserve"> </w:t>
      </w:r>
      <w:r w:rsidRPr="00D715BD">
        <w:rPr>
          <w:rFonts w:eastAsia="Calibri"/>
          <w:i/>
          <w:color w:val="000000"/>
          <w:sz w:val="20"/>
          <w:szCs w:val="14"/>
          <w:shd w:val="clear" w:color="auto" w:fill="FFFFFF"/>
        </w:rPr>
        <w:t>Tarihi</w:t>
      </w:r>
      <w:r>
        <w:rPr>
          <w:rFonts w:eastAsia="Calibri"/>
          <w:i/>
          <w:color w:val="000000"/>
          <w:sz w:val="20"/>
          <w:szCs w:val="14"/>
          <w:shd w:val="clear" w:color="auto" w:fill="FFFFFF"/>
        </w:rPr>
        <w:t xml:space="preserve"> </w:t>
      </w:r>
      <w:r w:rsidRPr="00D715BD">
        <w:rPr>
          <w:rFonts w:eastAsia="Calibri"/>
          <w:i/>
          <w:color w:val="000000"/>
          <w:sz w:val="20"/>
          <w:szCs w:val="14"/>
          <w:shd w:val="clear" w:color="auto" w:fill="FFFFFF"/>
        </w:rPr>
        <w:t>(ReceievedDate)</w:t>
      </w:r>
      <w:r>
        <w:rPr>
          <w:rFonts w:eastAsia="Calibri"/>
          <w:i/>
          <w:color w:val="000000"/>
          <w:sz w:val="20"/>
          <w:szCs w:val="14"/>
          <w:shd w:val="clear" w:color="auto" w:fill="FFFFFF"/>
        </w:rPr>
        <w:t xml:space="preserve"> </w:t>
      </w:r>
      <w:r w:rsidR="00F22DE7">
        <w:rPr>
          <w:rFonts w:eastAsia="Calibri"/>
          <w:i/>
          <w:color w:val="000000"/>
          <w:sz w:val="20"/>
          <w:szCs w:val="14"/>
          <w:shd w:val="clear" w:color="auto" w:fill="FFFFFF"/>
        </w:rPr>
        <w:t>20</w:t>
      </w:r>
      <w:r w:rsidRPr="00D715BD">
        <w:rPr>
          <w:rFonts w:eastAsia="Calibri"/>
          <w:i/>
          <w:color w:val="000000"/>
          <w:sz w:val="20"/>
          <w:szCs w:val="14"/>
          <w:shd w:val="clear" w:color="auto" w:fill="FFFFFF"/>
        </w:rPr>
        <w:t>.0</w:t>
      </w:r>
      <w:r w:rsidR="00F22DE7">
        <w:rPr>
          <w:rFonts w:eastAsia="Calibri"/>
          <w:i/>
          <w:color w:val="000000"/>
          <w:sz w:val="20"/>
          <w:szCs w:val="14"/>
          <w:shd w:val="clear" w:color="auto" w:fill="FFFFFF"/>
        </w:rPr>
        <w:t>6</w:t>
      </w:r>
      <w:r w:rsidRPr="00D715BD">
        <w:rPr>
          <w:rFonts w:eastAsia="Calibri"/>
          <w:i/>
          <w:color w:val="000000"/>
          <w:sz w:val="20"/>
          <w:szCs w:val="14"/>
          <w:shd w:val="clear" w:color="auto" w:fill="FFFFFF"/>
        </w:rPr>
        <w:t>.2018</w:t>
      </w:r>
      <w:r w:rsidRPr="00D715BD">
        <w:rPr>
          <w:rFonts w:eastAsia="Calibri"/>
          <w:bCs/>
          <w:sz w:val="20"/>
          <w:szCs w:val="20"/>
        </w:rPr>
        <w:t xml:space="preserve">                                 </w:t>
      </w:r>
      <w:r w:rsidRPr="00D715BD">
        <w:rPr>
          <w:rFonts w:eastAsia="Times New Roman"/>
          <w:bCs/>
          <w:color w:val="000000"/>
          <w:sz w:val="20"/>
          <w:szCs w:val="20"/>
        </w:rPr>
        <w:t xml:space="preserve"> </w:t>
      </w:r>
      <w:r w:rsidRPr="003C0F0C">
        <w:rPr>
          <w:b/>
          <w:sz w:val="20"/>
        </w:rPr>
        <w:t xml:space="preserve">           </w:t>
      </w:r>
      <w:r>
        <w:rPr>
          <w:b/>
          <w:sz w:val="20"/>
        </w:rPr>
        <w:t xml:space="preserve">  </w:t>
      </w:r>
      <w:r w:rsidRPr="003C0F0C">
        <w:rPr>
          <w:b/>
          <w:sz w:val="20"/>
        </w:rPr>
        <w:t xml:space="preserve">                       </w:t>
      </w:r>
      <w:r>
        <w:rPr>
          <w:b/>
          <w:sz w:val="20"/>
        </w:rPr>
        <w:t xml:space="preserve">                   </w:t>
      </w:r>
      <w:r w:rsidR="00620383" w:rsidRPr="00533264">
        <w:rPr>
          <w:rFonts w:eastAsia="Times New Roman"/>
          <w:bCs/>
          <w:sz w:val="20"/>
          <w:szCs w:val="20"/>
        </w:rPr>
        <w:t>Tuğba YOLCU</w:t>
      </w:r>
      <w:r w:rsidR="00D3080F" w:rsidRPr="00533264">
        <w:rPr>
          <w:rStyle w:val="DipnotBavurusu"/>
          <w:rFonts w:eastAsia="Times New Roman"/>
          <w:bCs/>
          <w:sz w:val="20"/>
          <w:szCs w:val="20"/>
        </w:rPr>
        <w:footnoteReference w:id="3"/>
      </w:r>
    </w:p>
    <w:p w14:paraId="166B7D6C" w14:textId="09E027DA" w:rsidR="00DA565E" w:rsidRPr="00D715BD" w:rsidRDefault="00DA565E" w:rsidP="00DA565E">
      <w:pPr>
        <w:jc w:val="both"/>
        <w:rPr>
          <w:rFonts w:eastAsia="Calibri"/>
          <w:bCs/>
          <w:sz w:val="20"/>
          <w:szCs w:val="20"/>
        </w:rPr>
      </w:pPr>
      <w:r w:rsidRPr="00D715BD">
        <w:rPr>
          <w:rFonts w:eastAsia="Calibri"/>
          <w:i/>
          <w:sz w:val="20"/>
        </w:rPr>
        <w:t xml:space="preserve">Kabul Tarihi (Accepted </w:t>
      </w:r>
      <w:r w:rsidR="00F22DE7">
        <w:rPr>
          <w:rFonts w:eastAsia="Calibri"/>
          <w:i/>
          <w:sz w:val="20"/>
        </w:rPr>
        <w:t>Date) 17</w:t>
      </w:r>
      <w:r w:rsidRPr="00D715BD">
        <w:rPr>
          <w:rFonts w:eastAsia="Calibri"/>
          <w:i/>
          <w:sz w:val="20"/>
        </w:rPr>
        <w:t>.0</w:t>
      </w:r>
      <w:r w:rsidR="00F22DE7">
        <w:rPr>
          <w:rFonts w:eastAsia="Calibri"/>
          <w:i/>
          <w:sz w:val="20"/>
        </w:rPr>
        <w:t>8</w:t>
      </w:r>
      <w:r w:rsidRPr="00D715BD">
        <w:rPr>
          <w:rFonts w:eastAsia="Calibri"/>
          <w:i/>
          <w:sz w:val="20"/>
        </w:rPr>
        <w:t>.2018</w:t>
      </w:r>
    </w:p>
    <w:p w14:paraId="570BD359" w14:textId="58B751C2" w:rsidR="00AD4D72" w:rsidRPr="00533264" w:rsidRDefault="003D16B9" w:rsidP="7EAA6DFF">
      <w:pPr>
        <w:spacing w:before="120" w:after="120"/>
        <w:jc w:val="center"/>
        <w:rPr>
          <w:rFonts w:eastAsia="Times New Roman"/>
          <w:b/>
          <w:bCs/>
          <w:sz w:val="20"/>
          <w:szCs w:val="20"/>
        </w:rPr>
      </w:pPr>
      <w:r w:rsidRPr="00533264">
        <w:rPr>
          <w:rFonts w:eastAsia="Times New Roman"/>
          <w:b/>
          <w:bCs/>
          <w:sz w:val="20"/>
          <w:szCs w:val="20"/>
        </w:rPr>
        <w:t>Özet</w:t>
      </w:r>
    </w:p>
    <w:p w14:paraId="6D011B24" w14:textId="65BB331A" w:rsidR="000E030A" w:rsidRPr="00533264" w:rsidRDefault="7EAA6DFF" w:rsidP="7EAA6DFF">
      <w:pPr>
        <w:spacing w:before="120" w:after="120"/>
        <w:ind w:firstLine="708"/>
        <w:jc w:val="both"/>
        <w:rPr>
          <w:rFonts w:eastAsia="Times New Roman"/>
          <w:sz w:val="20"/>
          <w:szCs w:val="20"/>
        </w:rPr>
      </w:pPr>
      <w:r w:rsidRPr="00533264">
        <w:rPr>
          <w:rFonts w:eastAsia="Times New Roman"/>
          <w:sz w:val="20"/>
          <w:szCs w:val="20"/>
        </w:rPr>
        <w:t>Suriye’de 2011 yılı Mart ayında</w:t>
      </w:r>
      <w:r w:rsidR="006B691F">
        <w:rPr>
          <w:rFonts w:eastAsia="Times New Roman"/>
          <w:sz w:val="20"/>
          <w:szCs w:val="20"/>
        </w:rPr>
        <w:t xml:space="preserve"> başlayıp günümüzde de hala </w:t>
      </w:r>
      <w:r w:rsidRPr="00533264">
        <w:rPr>
          <w:rFonts w:eastAsia="Times New Roman"/>
          <w:sz w:val="20"/>
          <w:szCs w:val="20"/>
        </w:rPr>
        <w:t xml:space="preserve">devam eden Suriye İç Savaşı ve beraberinde gelen kitlesel göç, Türkiye ve bölge ülkelerin ekonomik, siyasi ve sosyal unsurlarını etkilemiştir. Bu süreçte siyasal karar vericilerin bu etkileşim süreçlerindeki uygulamaları farklı kesimlerce farklı şekillerde yorumlanmıştır. Halkı temsilen mecliste bulunan siyasi partilerin konuya yaklaşımları temsil ettikleri kesimlerin görüşünü yansıtması açısından önemlidir. Bu çalışmada da 26. Dönem 1. Yasama yılında TBMM’de grubu bulunan muhalefet partilerinin uluslararası göç sorununa yaklaşımları incelenmiş ve bu yaklaşımların partilerin temsil ettikleri kitlelerin konuya bakış açısını da yansıttığı varsayımından hareket edilmiştir. </w:t>
      </w:r>
    </w:p>
    <w:p w14:paraId="64634BE3" w14:textId="004DEFE8" w:rsidR="00BB753F" w:rsidRPr="00533264" w:rsidRDefault="00A873B8" w:rsidP="7EAA6DFF">
      <w:pPr>
        <w:spacing w:before="120" w:after="120"/>
        <w:jc w:val="both"/>
        <w:rPr>
          <w:rFonts w:eastAsia="Times New Roman"/>
          <w:sz w:val="20"/>
          <w:szCs w:val="20"/>
        </w:rPr>
      </w:pPr>
      <w:r w:rsidRPr="00533264">
        <w:rPr>
          <w:rFonts w:eastAsia="Times New Roman"/>
          <w:sz w:val="20"/>
          <w:szCs w:val="20"/>
        </w:rPr>
        <w:t xml:space="preserve"> </w:t>
      </w:r>
      <w:r w:rsidR="0000358F" w:rsidRPr="00533264">
        <w:rPr>
          <w:sz w:val="20"/>
          <w:szCs w:val="20"/>
        </w:rPr>
        <w:tab/>
      </w:r>
      <w:r w:rsidR="00E7055A" w:rsidRPr="00533264">
        <w:rPr>
          <w:rFonts w:eastAsia="Times New Roman"/>
          <w:sz w:val="20"/>
          <w:szCs w:val="20"/>
        </w:rPr>
        <w:t>Çalışmada,</w:t>
      </w:r>
      <w:r w:rsidRPr="00533264">
        <w:rPr>
          <w:rFonts w:eastAsia="Times New Roman"/>
          <w:sz w:val="20"/>
          <w:szCs w:val="20"/>
        </w:rPr>
        <w:t xml:space="preserve"> 26. Dön</w:t>
      </w:r>
      <w:r w:rsidR="00234B4F" w:rsidRPr="00533264">
        <w:rPr>
          <w:rFonts w:eastAsia="Times New Roman"/>
          <w:sz w:val="20"/>
          <w:szCs w:val="20"/>
        </w:rPr>
        <w:t xml:space="preserve">em 1. Yasama yılı içinde TBMM’de </w:t>
      </w:r>
      <w:r w:rsidRPr="00533264">
        <w:rPr>
          <w:rFonts w:eastAsia="Times New Roman"/>
          <w:sz w:val="20"/>
          <w:szCs w:val="20"/>
        </w:rPr>
        <w:t xml:space="preserve">grubu bulunan </w:t>
      </w:r>
      <w:r w:rsidR="008617C7" w:rsidRPr="00533264">
        <w:rPr>
          <w:rFonts w:eastAsia="Times New Roman"/>
          <w:sz w:val="20"/>
          <w:szCs w:val="20"/>
        </w:rPr>
        <w:t>muhalefet</w:t>
      </w:r>
      <w:r w:rsidRPr="00533264">
        <w:rPr>
          <w:rFonts w:eastAsia="Times New Roman"/>
          <w:sz w:val="20"/>
          <w:szCs w:val="20"/>
        </w:rPr>
        <w:t xml:space="preserve"> partilerin</w:t>
      </w:r>
      <w:r w:rsidR="008617C7" w:rsidRPr="00533264">
        <w:rPr>
          <w:rFonts w:eastAsia="Times New Roman"/>
          <w:sz w:val="20"/>
          <w:szCs w:val="20"/>
        </w:rPr>
        <w:t>in</w:t>
      </w:r>
      <w:r w:rsidRPr="00533264">
        <w:rPr>
          <w:rFonts w:eastAsia="Times New Roman"/>
          <w:sz w:val="20"/>
          <w:szCs w:val="20"/>
        </w:rPr>
        <w:t xml:space="preserve"> </w:t>
      </w:r>
      <w:r w:rsidR="00234B4F" w:rsidRPr="00533264">
        <w:rPr>
          <w:rFonts w:eastAsia="Times New Roman"/>
          <w:sz w:val="20"/>
          <w:szCs w:val="20"/>
        </w:rPr>
        <w:t xml:space="preserve">Suriye İç Savaşı ve ardından yaşanan göç </w:t>
      </w:r>
      <w:r w:rsidRPr="00533264">
        <w:rPr>
          <w:rFonts w:eastAsia="Times New Roman"/>
          <w:sz w:val="20"/>
          <w:szCs w:val="20"/>
        </w:rPr>
        <w:t>sorunun</w:t>
      </w:r>
      <w:r w:rsidR="00234B4F" w:rsidRPr="00533264">
        <w:rPr>
          <w:rFonts w:eastAsia="Times New Roman"/>
          <w:sz w:val="20"/>
          <w:szCs w:val="20"/>
        </w:rPr>
        <w:t xml:space="preserve">a </w:t>
      </w:r>
      <w:r w:rsidRPr="00533264">
        <w:rPr>
          <w:rFonts w:eastAsia="Times New Roman"/>
          <w:sz w:val="20"/>
          <w:szCs w:val="20"/>
        </w:rPr>
        <w:t xml:space="preserve">yaklaşımları </w:t>
      </w:r>
      <w:r w:rsidR="00E7055A" w:rsidRPr="00533264">
        <w:rPr>
          <w:rFonts w:eastAsia="Times New Roman"/>
          <w:sz w:val="20"/>
          <w:szCs w:val="20"/>
        </w:rPr>
        <w:t>değerlendirilirken,</w:t>
      </w:r>
      <w:r w:rsidR="00234B4F" w:rsidRPr="00533264">
        <w:rPr>
          <w:rFonts w:eastAsia="Times New Roman"/>
          <w:sz w:val="20"/>
          <w:szCs w:val="20"/>
        </w:rPr>
        <w:t xml:space="preserve"> Suriye İç Savaşı sonrası yaşanan göç </w:t>
      </w:r>
      <w:r w:rsidRPr="00533264">
        <w:rPr>
          <w:rFonts w:eastAsia="Times New Roman"/>
          <w:sz w:val="20"/>
          <w:szCs w:val="20"/>
        </w:rPr>
        <w:t xml:space="preserve">konusunda sunulan </w:t>
      </w:r>
      <w:r w:rsidR="008617C7" w:rsidRPr="00533264">
        <w:rPr>
          <w:rFonts w:eastAsia="Times New Roman"/>
          <w:sz w:val="20"/>
          <w:szCs w:val="20"/>
        </w:rPr>
        <w:t>yazılı ve sözlü soru ö</w:t>
      </w:r>
      <w:r w:rsidR="00E7055A" w:rsidRPr="00533264">
        <w:rPr>
          <w:rFonts w:eastAsia="Times New Roman"/>
          <w:sz w:val="20"/>
          <w:szCs w:val="20"/>
        </w:rPr>
        <w:t>nergelerinden yararlanılmıştır.</w:t>
      </w:r>
      <w:r w:rsidR="00F130E5" w:rsidRPr="00533264">
        <w:rPr>
          <w:rFonts w:eastAsia="Times New Roman"/>
          <w:sz w:val="20"/>
          <w:szCs w:val="20"/>
        </w:rPr>
        <w:t xml:space="preserve"> Çalışmada yöntem olarak yazılı ve sözlü soru önerge metinlerine yönelik içerik </w:t>
      </w:r>
      <w:r w:rsidR="00E7055A" w:rsidRPr="00533264">
        <w:rPr>
          <w:rFonts w:eastAsia="Times New Roman"/>
          <w:sz w:val="20"/>
          <w:szCs w:val="20"/>
        </w:rPr>
        <w:t>analizi yöntemi kullanılmıştır.</w:t>
      </w:r>
    </w:p>
    <w:p w14:paraId="36C56903" w14:textId="10EF360F" w:rsidR="00C52692" w:rsidRPr="00533264" w:rsidRDefault="7EAA6DFF" w:rsidP="7EAA6DFF">
      <w:pPr>
        <w:spacing w:before="120" w:after="120"/>
        <w:ind w:firstLine="708"/>
        <w:jc w:val="both"/>
        <w:rPr>
          <w:rFonts w:eastAsia="Times New Roman"/>
          <w:sz w:val="20"/>
          <w:szCs w:val="20"/>
        </w:rPr>
      </w:pPr>
      <w:r w:rsidRPr="00533264">
        <w:rPr>
          <w:rFonts w:eastAsia="Times New Roman"/>
          <w:sz w:val="20"/>
          <w:szCs w:val="20"/>
        </w:rPr>
        <w:t xml:space="preserve">Çalışmanın sonucunda, siyasi partilerin temsil ettikleri toplumsal kesimlerin göç konusuna bakış açılarını da yansıttığı varsayılan, Suriye İç Savaşı sonrasında yaşanan göç olayları neticesinde aldıkları konum, partilerin olaya ilişkin TBMM faaliyetleri çerçevesinde değerlendirilmiştir. Çalışma, toplumsal yaşamın siyasal, ekonomik ve sosyal dinamiklerini önemli ölçüde etkileyen </w:t>
      </w:r>
      <w:r w:rsidRPr="00533264">
        <w:rPr>
          <w:rFonts w:eastAsia="Times New Roman"/>
          <w:i/>
          <w:iCs/>
          <w:sz w:val="20"/>
          <w:szCs w:val="20"/>
        </w:rPr>
        <w:t>uluslararası göç</w:t>
      </w:r>
      <w:r w:rsidRPr="00533264">
        <w:rPr>
          <w:rFonts w:eastAsia="Times New Roman"/>
          <w:sz w:val="20"/>
          <w:szCs w:val="20"/>
        </w:rPr>
        <w:t xml:space="preserve"> ve beraberinde yaşanan sorunlara karşı beklentilerin belirlenmesi açısından önemlidir.</w:t>
      </w:r>
    </w:p>
    <w:p w14:paraId="4E5A632B" w14:textId="2B395874" w:rsidR="0000358F" w:rsidRDefault="7EAA6DFF" w:rsidP="003D16B9">
      <w:pPr>
        <w:spacing w:before="120" w:after="120"/>
        <w:ind w:firstLine="708"/>
        <w:jc w:val="both"/>
        <w:rPr>
          <w:rFonts w:eastAsia="Times New Roman"/>
          <w:sz w:val="20"/>
          <w:szCs w:val="20"/>
        </w:rPr>
      </w:pPr>
      <w:r w:rsidRPr="00533264">
        <w:rPr>
          <w:rFonts w:eastAsia="Times New Roman"/>
          <w:b/>
          <w:bCs/>
          <w:sz w:val="20"/>
          <w:szCs w:val="20"/>
        </w:rPr>
        <w:t xml:space="preserve">Anahtar Kelimeler: </w:t>
      </w:r>
      <w:r w:rsidRPr="00533264">
        <w:rPr>
          <w:rFonts w:eastAsia="Times New Roman"/>
          <w:sz w:val="20"/>
          <w:szCs w:val="20"/>
        </w:rPr>
        <w:t>Göç, Uluslararası Göç, Suriye İç Savaşı, Siyasi Partiler</w:t>
      </w:r>
    </w:p>
    <w:p w14:paraId="52032478" w14:textId="34AFD7DC" w:rsidR="0019378A" w:rsidRPr="00351E6B" w:rsidRDefault="00351E6B" w:rsidP="00351E6B">
      <w:pPr>
        <w:spacing w:before="120" w:after="120"/>
        <w:jc w:val="center"/>
        <w:rPr>
          <w:rFonts w:eastAsia="Times New Roman"/>
          <w:b/>
          <w:sz w:val="22"/>
          <w:szCs w:val="22"/>
        </w:rPr>
      </w:pPr>
      <w:r w:rsidRPr="00351E6B">
        <w:rPr>
          <w:rFonts w:eastAsia="Times New Roman"/>
          <w:b/>
          <w:sz w:val="22"/>
          <w:szCs w:val="22"/>
        </w:rPr>
        <w:t>CONTENT ANALYS</w:t>
      </w:r>
      <w:r>
        <w:rPr>
          <w:rFonts w:eastAsia="Times New Roman"/>
          <w:b/>
          <w:sz w:val="22"/>
          <w:szCs w:val="22"/>
        </w:rPr>
        <w:t>I</w:t>
      </w:r>
      <w:r w:rsidRPr="00351E6B">
        <w:rPr>
          <w:rFonts w:eastAsia="Times New Roman"/>
          <w:b/>
          <w:sz w:val="22"/>
          <w:szCs w:val="22"/>
        </w:rPr>
        <w:t>S OF OPPOS</w:t>
      </w:r>
      <w:r>
        <w:rPr>
          <w:rFonts w:eastAsia="Times New Roman"/>
          <w:b/>
          <w:sz w:val="22"/>
          <w:szCs w:val="22"/>
        </w:rPr>
        <w:t>I</w:t>
      </w:r>
      <w:r w:rsidRPr="00351E6B">
        <w:rPr>
          <w:rFonts w:eastAsia="Times New Roman"/>
          <w:b/>
          <w:sz w:val="22"/>
          <w:szCs w:val="22"/>
        </w:rPr>
        <w:t>T</w:t>
      </w:r>
      <w:r>
        <w:rPr>
          <w:rFonts w:eastAsia="Times New Roman"/>
          <w:b/>
          <w:sz w:val="22"/>
          <w:szCs w:val="22"/>
        </w:rPr>
        <w:t>I</w:t>
      </w:r>
      <w:r w:rsidRPr="00351E6B">
        <w:rPr>
          <w:rFonts w:eastAsia="Times New Roman"/>
          <w:b/>
          <w:sz w:val="22"/>
          <w:szCs w:val="22"/>
        </w:rPr>
        <w:t>ON PART</w:t>
      </w:r>
      <w:r>
        <w:rPr>
          <w:rFonts w:eastAsia="Times New Roman"/>
          <w:b/>
          <w:sz w:val="22"/>
          <w:szCs w:val="22"/>
        </w:rPr>
        <w:t>I</w:t>
      </w:r>
      <w:r w:rsidRPr="00351E6B">
        <w:rPr>
          <w:rFonts w:eastAsia="Times New Roman"/>
          <w:b/>
          <w:sz w:val="22"/>
          <w:szCs w:val="22"/>
        </w:rPr>
        <w:t xml:space="preserve">ES </w:t>
      </w:r>
      <w:r>
        <w:rPr>
          <w:rFonts w:eastAsia="Times New Roman"/>
          <w:b/>
          <w:sz w:val="22"/>
          <w:szCs w:val="22"/>
        </w:rPr>
        <w:t>I</w:t>
      </w:r>
      <w:r w:rsidRPr="00351E6B">
        <w:rPr>
          <w:rFonts w:eastAsia="Times New Roman"/>
          <w:b/>
          <w:sz w:val="22"/>
          <w:szCs w:val="22"/>
        </w:rPr>
        <w:t>N TURKEY APPROACH ABOUT IMM</w:t>
      </w:r>
      <w:r>
        <w:rPr>
          <w:rFonts w:eastAsia="Times New Roman"/>
          <w:b/>
          <w:sz w:val="22"/>
          <w:szCs w:val="22"/>
        </w:rPr>
        <w:t>I</w:t>
      </w:r>
      <w:r w:rsidRPr="00351E6B">
        <w:rPr>
          <w:rFonts w:eastAsia="Times New Roman"/>
          <w:b/>
          <w:sz w:val="22"/>
          <w:szCs w:val="22"/>
        </w:rPr>
        <w:t>GRAT</w:t>
      </w:r>
      <w:r>
        <w:rPr>
          <w:rFonts w:eastAsia="Times New Roman"/>
          <w:b/>
          <w:sz w:val="22"/>
          <w:szCs w:val="22"/>
        </w:rPr>
        <w:t>I</w:t>
      </w:r>
      <w:r w:rsidRPr="00351E6B">
        <w:rPr>
          <w:rFonts w:eastAsia="Times New Roman"/>
          <w:b/>
          <w:sz w:val="22"/>
          <w:szCs w:val="22"/>
        </w:rPr>
        <w:t>ON PROBLEM</w:t>
      </w:r>
    </w:p>
    <w:p w14:paraId="506324DF" w14:textId="20F78003" w:rsidR="00BB753F" w:rsidRPr="00533264" w:rsidRDefault="003D16B9" w:rsidP="7EAA6DFF">
      <w:pPr>
        <w:spacing w:before="120" w:after="120"/>
        <w:jc w:val="center"/>
        <w:rPr>
          <w:rFonts w:eastAsia="Times New Roman"/>
          <w:b/>
          <w:bCs/>
          <w:sz w:val="20"/>
          <w:szCs w:val="20"/>
        </w:rPr>
      </w:pPr>
      <w:r w:rsidRPr="00533264">
        <w:rPr>
          <w:rFonts w:eastAsia="Times New Roman"/>
          <w:b/>
          <w:bCs/>
          <w:sz w:val="20"/>
          <w:szCs w:val="20"/>
        </w:rPr>
        <w:t>Abstract</w:t>
      </w:r>
    </w:p>
    <w:p w14:paraId="1DC7090D" w14:textId="77777777" w:rsidR="005502E8" w:rsidRPr="00533264" w:rsidRDefault="005502E8" w:rsidP="7EAA6DF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8"/>
        <w:jc w:val="both"/>
        <w:rPr>
          <w:rFonts w:eastAsia="Times New Roman"/>
          <w:sz w:val="20"/>
          <w:szCs w:val="20"/>
        </w:rPr>
      </w:pPr>
      <w:r w:rsidRPr="00533264">
        <w:rPr>
          <w:rFonts w:eastAsia="Times New Roman"/>
          <w:sz w:val="20"/>
          <w:szCs w:val="20"/>
          <w:bdr w:val="none" w:sz="0" w:space="0" w:color="auto"/>
        </w:rPr>
        <w:t>The Syrian Civil War and mass migration movements since March 2011 have affected the domestic political, economic and social dynamics of all the countries in the region, especially Turkey. The applications of political decision makers in these interaction processes have been interpreted differently by different groups in this period. The approach of the political parties which represent the people in the parliament is important in terms of reflecting the views of the segments they represent. In the study, the approach of the opposition parties  in the Turkish Grand National Assembly (TBMM) in the 26th Term 1st Legislative Year for the problem of international migration has been examined. The study has been based on the assumption that these approaches also reflect the perspective of the social segments represented by the parties.</w:t>
      </w:r>
    </w:p>
    <w:p w14:paraId="77B2EF9E" w14:textId="77777777" w:rsidR="005502E8" w:rsidRPr="00533264" w:rsidRDefault="005502E8" w:rsidP="7EAA6DF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8"/>
        <w:jc w:val="both"/>
        <w:rPr>
          <w:rFonts w:eastAsia="Times New Roman"/>
          <w:sz w:val="20"/>
          <w:szCs w:val="20"/>
        </w:rPr>
      </w:pPr>
      <w:r w:rsidRPr="00533264">
        <w:rPr>
          <w:rFonts w:eastAsia="Times New Roman"/>
          <w:sz w:val="20"/>
          <w:szCs w:val="20"/>
          <w:bdr w:val="none" w:sz="0" w:space="0" w:color="auto"/>
        </w:rPr>
        <w:t>In the study, the approach of the opposition parties in the Turkish Parliament in the 26th Term 1st Legislative Year, for the problem of international migration after the civil war in Syria has been assessed by considering the parliamentary questions either in writing or verbal submitted during the problem of immigration faced after the civil war in Syria.  The written and verbal questions were examined by using content analysis method in the study.</w:t>
      </w:r>
    </w:p>
    <w:p w14:paraId="269F6D92" w14:textId="77777777" w:rsidR="005502E8" w:rsidRPr="00533264" w:rsidRDefault="005502E8" w:rsidP="7EAA6DF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08"/>
        <w:jc w:val="both"/>
        <w:rPr>
          <w:rFonts w:eastAsia="Times New Roman"/>
          <w:sz w:val="20"/>
          <w:szCs w:val="20"/>
        </w:rPr>
      </w:pPr>
      <w:r w:rsidRPr="00533264">
        <w:rPr>
          <w:rFonts w:eastAsia="Times New Roman"/>
          <w:sz w:val="20"/>
          <w:szCs w:val="20"/>
          <w:bdr w:val="none" w:sz="0" w:space="0" w:color="auto"/>
        </w:rPr>
        <w:t>Finally, the positions of the political parties, which were assumed to reflect the views of the people they represent on the immigration, as a result of the migration movements after the Syrian Civil War, have been examined by considering their parliamentary activities on the issue. The study is important in terms of determining the expectations of international migration and the problems that accompany it, which significantly affect the political, economic and social dynamics of social life.</w:t>
      </w:r>
    </w:p>
    <w:p w14:paraId="6EA3E13F" w14:textId="51F6BDF1" w:rsidR="005502E8" w:rsidRDefault="003D16B9" w:rsidP="7EAA6DFF">
      <w:pPr>
        <w:pStyle w:val="HTMLncedenBiimlendirilmi"/>
        <w:shd w:val="clear" w:color="auto" w:fill="FFFFFF" w:themeFill="background1"/>
        <w:spacing w:before="120" w:after="120"/>
        <w:rPr>
          <w:rFonts w:ascii="Times New Roman" w:hAnsi="Times New Roman" w:cs="Times New Roman"/>
          <w:color w:val="212121"/>
          <w:lang w:val="en"/>
        </w:rPr>
      </w:pPr>
      <w:r>
        <w:rPr>
          <w:rFonts w:ascii="Times New Roman" w:hAnsi="Times New Roman" w:cs="Times New Roman"/>
          <w:b/>
          <w:bCs/>
        </w:rPr>
        <w:tab/>
      </w:r>
      <w:r w:rsidR="7EAA6DFF" w:rsidRPr="00533264">
        <w:rPr>
          <w:rFonts w:ascii="Times New Roman" w:hAnsi="Times New Roman" w:cs="Times New Roman"/>
          <w:b/>
          <w:bCs/>
        </w:rPr>
        <w:t xml:space="preserve">Key Words: </w:t>
      </w:r>
      <w:r w:rsidR="7EAA6DFF" w:rsidRPr="00533264">
        <w:rPr>
          <w:rFonts w:ascii="Times New Roman" w:hAnsi="Times New Roman" w:cs="Times New Roman"/>
          <w:color w:val="212121"/>
          <w:lang w:val="en"/>
        </w:rPr>
        <w:t>Migration, International Migration, Syrian’s Civil War, Political Party</w:t>
      </w:r>
    </w:p>
    <w:p w14:paraId="337791C4" w14:textId="58F8D921" w:rsidR="0019378A" w:rsidRDefault="0019378A" w:rsidP="7EAA6DFF">
      <w:pPr>
        <w:pStyle w:val="HTMLncedenBiimlendirilmi"/>
        <w:shd w:val="clear" w:color="auto" w:fill="FFFFFF" w:themeFill="background1"/>
        <w:spacing w:before="120" w:after="120"/>
        <w:rPr>
          <w:rFonts w:ascii="Times New Roman" w:hAnsi="Times New Roman" w:cs="Times New Roman"/>
          <w:color w:val="212121"/>
          <w:lang w:val="en"/>
        </w:rPr>
      </w:pPr>
    </w:p>
    <w:p w14:paraId="5DAEA865" w14:textId="77777777" w:rsidR="00351E6B" w:rsidRDefault="00351E6B" w:rsidP="7EAA6DFF">
      <w:pPr>
        <w:pStyle w:val="HTMLncedenBiimlendirilmi"/>
        <w:shd w:val="clear" w:color="auto" w:fill="FFFFFF" w:themeFill="background1"/>
        <w:spacing w:before="120" w:after="120"/>
        <w:rPr>
          <w:rFonts w:ascii="Times New Roman" w:hAnsi="Times New Roman" w:cs="Times New Roman"/>
          <w:color w:val="212121"/>
          <w:lang w:val="en"/>
        </w:rPr>
      </w:pPr>
    </w:p>
    <w:p w14:paraId="1CD179C6" w14:textId="77777777" w:rsidR="0019378A" w:rsidRPr="00533264" w:rsidRDefault="0019378A" w:rsidP="7EAA6DFF">
      <w:pPr>
        <w:pStyle w:val="HTMLncedenBiimlendirilmi"/>
        <w:shd w:val="clear" w:color="auto" w:fill="FFFFFF" w:themeFill="background1"/>
        <w:spacing w:before="120" w:after="120"/>
        <w:rPr>
          <w:rFonts w:ascii="Times New Roman" w:hAnsi="Times New Roman" w:cs="Times New Roman"/>
          <w:color w:val="212121"/>
          <w:lang w:val="en"/>
        </w:rPr>
      </w:pPr>
    </w:p>
    <w:p w14:paraId="6D54F528" w14:textId="22E09CB4" w:rsidR="00761C4A" w:rsidRPr="00533264" w:rsidRDefault="7EAA6DFF" w:rsidP="00620383">
      <w:pPr>
        <w:pStyle w:val="HTMLncedenBiimlendirilmi"/>
        <w:numPr>
          <w:ilvl w:val="0"/>
          <w:numId w:val="33"/>
        </w:numPr>
        <w:shd w:val="clear" w:color="auto" w:fill="FFFFFF" w:themeFill="background1"/>
        <w:tabs>
          <w:tab w:val="clear" w:pos="916"/>
          <w:tab w:val="left" w:pos="284"/>
        </w:tabs>
        <w:spacing w:before="120" w:after="120"/>
        <w:ind w:left="0" w:firstLine="0"/>
        <w:rPr>
          <w:rFonts w:ascii="Times New Roman" w:hAnsi="Times New Roman" w:cs="Times New Roman"/>
          <w:b/>
          <w:bCs/>
          <w:color w:val="212121"/>
          <w:sz w:val="22"/>
          <w:szCs w:val="22"/>
        </w:rPr>
      </w:pPr>
      <w:r w:rsidRPr="00533264">
        <w:rPr>
          <w:rFonts w:ascii="Times New Roman" w:hAnsi="Times New Roman" w:cs="Times New Roman"/>
          <w:b/>
          <w:bCs/>
          <w:color w:val="212121"/>
          <w:sz w:val="22"/>
          <w:szCs w:val="22"/>
        </w:rPr>
        <w:lastRenderedPageBreak/>
        <w:t>GİRİŞ</w:t>
      </w:r>
    </w:p>
    <w:p w14:paraId="39771234" w14:textId="77777777" w:rsidR="00C52CFE" w:rsidRPr="00C52CFE" w:rsidRDefault="00C52CFE" w:rsidP="00C52CFE">
      <w:pPr>
        <w:pStyle w:val="HTMLncedenBiimlendirilmi"/>
        <w:shd w:val="clear" w:color="auto" w:fill="FFFFFF" w:themeFill="background1"/>
        <w:spacing w:before="120" w:after="120"/>
        <w:ind w:firstLine="709"/>
        <w:jc w:val="both"/>
        <w:rPr>
          <w:rFonts w:ascii="Times New Roman" w:hAnsi="Times New Roman" w:cs="Times New Roman"/>
          <w:color w:val="212121"/>
          <w:sz w:val="22"/>
          <w:szCs w:val="22"/>
        </w:rPr>
      </w:pPr>
      <w:r w:rsidRPr="00C52CFE">
        <w:rPr>
          <w:rFonts w:ascii="Times New Roman" w:hAnsi="Times New Roman" w:cs="Times New Roman"/>
          <w:color w:val="212121"/>
          <w:sz w:val="22"/>
          <w:szCs w:val="22"/>
        </w:rPr>
        <w:t>Türkiye, sahip olduğu ve stratejik önem taşıyan konumu itibariyle, özellikle son yıllarda Orta Doğu Coğrafyası’nın yeniden şekillenmesi sürecinde, göç yolları üzerinde bulunan önemli bir ülke durumundadır. Özellikle komşu ülkelere göre gelişmişlik düzeyinin yüksek olması Türkiye’yi uluslararası göç konusunda göç edilecek hedef ülke konumuna taşımıştır. Göçe yönelik hedef ülke konumunda olan Türkiye, uluslararası göçün neticesinde sosyo-ekonomik sorunlar, terör olayları ve beraberinde güvenlik sorunları da yaşamaktadır.</w:t>
      </w:r>
    </w:p>
    <w:p w14:paraId="290157AC" w14:textId="5D90E58B" w:rsidR="00173434" w:rsidRPr="00533264" w:rsidRDefault="7EAA6DFF" w:rsidP="7EAA6DFF">
      <w:pPr>
        <w:pStyle w:val="HTMLncedenBiimlendirilmi"/>
        <w:shd w:val="clear" w:color="auto" w:fill="FFFFFF" w:themeFill="background1"/>
        <w:spacing w:before="120" w:after="120"/>
        <w:ind w:firstLine="709"/>
        <w:jc w:val="both"/>
        <w:rPr>
          <w:rFonts w:ascii="Times New Roman" w:hAnsi="Times New Roman" w:cs="Times New Roman"/>
          <w:color w:val="212121"/>
          <w:sz w:val="22"/>
          <w:szCs w:val="22"/>
        </w:rPr>
      </w:pPr>
      <w:r w:rsidRPr="00533264">
        <w:rPr>
          <w:rFonts w:ascii="Times New Roman" w:hAnsi="Times New Roman" w:cs="Times New Roman"/>
          <w:color w:val="212121"/>
          <w:sz w:val="22"/>
          <w:szCs w:val="22"/>
        </w:rPr>
        <w:t>Günümüzde herhangi bir ülkede yaşanan gelişme sonuçları itibari ile yalnızca yaşandığı ülkeyi değil bazen tüm dünyayı bazen de birçok ülkeyi etkilemektedir. Bu durum yakın zamanda Suriye’de yaşanan iç savaşta kendini göstermiştir. Yaşanan iç savaş birçok ülke gibi Türkiye’yi de yakından hatta diğer ülkelerden daha fazla etkilemiştir Türkiye’nin iç savaş sonrası açık kapı politikası izlemesi nedeniyle Suriye’den Türkiye’ye gerçekleşen göç dalgası, Türkiye’nin toplumsal ve ekonomik yapısını etkilemiştir. Bu nedenle göç sadece fiziki bir yer değiştirmenin ötesinde daha fazla olguyu içinde barındıran önemli bir kavramdır.</w:t>
      </w:r>
    </w:p>
    <w:p w14:paraId="1AC2FDAF" w14:textId="7CA8CF70" w:rsidR="00A01D73" w:rsidRPr="00533264" w:rsidRDefault="7EAA6DFF" w:rsidP="7EAA6DFF">
      <w:pPr>
        <w:pStyle w:val="HTMLncedenBiimlendirilmi"/>
        <w:shd w:val="clear" w:color="auto" w:fill="FFFFFF" w:themeFill="background1"/>
        <w:spacing w:before="120" w:after="120"/>
        <w:ind w:firstLine="709"/>
        <w:jc w:val="both"/>
        <w:rPr>
          <w:rFonts w:ascii="Times New Roman" w:hAnsi="Times New Roman" w:cs="Times New Roman"/>
          <w:color w:val="212121"/>
          <w:sz w:val="22"/>
          <w:szCs w:val="22"/>
        </w:rPr>
      </w:pPr>
      <w:r w:rsidRPr="00533264">
        <w:rPr>
          <w:rFonts w:ascii="Times New Roman" w:hAnsi="Times New Roman" w:cs="Times New Roman"/>
          <w:color w:val="212121"/>
          <w:sz w:val="22"/>
          <w:szCs w:val="22"/>
        </w:rPr>
        <w:t xml:space="preserve">Göç farklı ilişkiler ağını içinde barındırdığından siyasi iktidarın bu konudaki politikaları toplumun farklı kesimlerini farklı şekillerde etkilemektedir. Bu nedenle toplumsal alanda göçe yönelik politikalar her kesimce aynı şekilde algılanmamaktadır. Bu algıyı ne düzeyde ve nasıl olduğunu yansıtacak olan ise toplumun farklı kesimlerini temsil eden siyasi partilerdir. </w:t>
      </w:r>
    </w:p>
    <w:p w14:paraId="740FC80B" w14:textId="5838FC25" w:rsidR="00F92C02" w:rsidRDefault="16EC5136" w:rsidP="16EC5136">
      <w:pPr>
        <w:pStyle w:val="HTMLncedenBiimlendirilmi"/>
        <w:shd w:val="clear" w:color="auto" w:fill="FFFFFF" w:themeFill="background1"/>
        <w:spacing w:before="120" w:after="120"/>
        <w:ind w:firstLine="709"/>
        <w:jc w:val="both"/>
        <w:rPr>
          <w:rFonts w:ascii="Times New Roman" w:hAnsi="Times New Roman" w:cs="Times New Roman"/>
          <w:color w:val="212121"/>
          <w:sz w:val="22"/>
          <w:szCs w:val="22"/>
        </w:rPr>
      </w:pPr>
      <w:r w:rsidRPr="00533264">
        <w:rPr>
          <w:rFonts w:ascii="Times New Roman" w:hAnsi="Times New Roman" w:cs="Times New Roman"/>
          <w:color w:val="212121"/>
          <w:sz w:val="22"/>
          <w:szCs w:val="22"/>
        </w:rPr>
        <w:t xml:space="preserve">Siyasi Partiler, farklı toplumsal çıkarlar etrafında toplanarak siyasal iktidarı ele geçirmek amacıyla kurulmuş örgütler olarak toplumsal olaylara bakış açıları  temsil ettikleri toplumsal kesimlerin bakış açılarını ortaya koyacaktır. Bu nedenle göç gibi önemli bir toplumsal olayın toplumun farklı kesimleri tarafından nasıl algılandığının ortaya konması toplumsal beklentilerin belirlenmesi ve politika üretme noktasında siyasal sistemin çıktılarının oluşturulması açısından önemlidir. </w:t>
      </w:r>
    </w:p>
    <w:p w14:paraId="0597FD29" w14:textId="553872A7" w:rsidR="1B146E46" w:rsidRPr="00533264" w:rsidRDefault="16EC5136" w:rsidP="16EC5136">
      <w:pPr>
        <w:pStyle w:val="HTMLncedenBiimlendirilmi"/>
        <w:shd w:val="clear" w:color="auto" w:fill="FFFFFF" w:themeFill="background1"/>
        <w:spacing w:before="120" w:after="120"/>
        <w:ind w:firstLine="709"/>
        <w:jc w:val="both"/>
        <w:rPr>
          <w:rFonts w:ascii="Times New Roman" w:hAnsi="Times New Roman" w:cs="Times New Roman"/>
          <w:color w:val="212121"/>
          <w:sz w:val="22"/>
          <w:szCs w:val="22"/>
        </w:rPr>
      </w:pPr>
      <w:r w:rsidRPr="00533264">
        <w:rPr>
          <w:rFonts w:ascii="Times New Roman" w:hAnsi="Times New Roman" w:cs="Times New Roman"/>
          <w:color w:val="212121"/>
          <w:sz w:val="22"/>
          <w:szCs w:val="22"/>
        </w:rPr>
        <w:t xml:space="preserve">Çalışmamızda 26. Dönem 1. yasama yılında mecliste grubu bulunan muhalefet partileri incelemeye alınmıştır. Muhalefet partileri siyasal sistem içinde siyasal denetimi sağlayan en önemli organlardan biridir. Bu nedenle Türkiye'nin göç politikasının denetlenmesinde konuyu eleştirel bir yaklaşımla ele alan muhalefet partileri açısından konunun değerlendirilmesi sorunların tespitinde önemli bir etkiye sahip olacaktır. Bu tespit yapılırken Anayasanın 98. maddesinde TBMM'nin bilgi ve  denetim yollarından biri olan ve genellikle muhalefetteki siyasi partilerin sıkça başvurduğu yazılı soru önergeleri üzerinden araştırma yapılmıştır. Bunun yanı sıra muhalefet partilerin konuya bakış açılarının daha derinlemesine tespiti amacıyla partilerin mecliste temsilci bulundurdukları seçim dönemi olan 2015 Kasım seçim bildirgeleri de veri olarak kullanılarak soru önergelerinin analizi desteklenmiştir. </w:t>
      </w:r>
    </w:p>
    <w:p w14:paraId="732AFC1D" w14:textId="274AAF20" w:rsidR="00A052A2" w:rsidRPr="00533264" w:rsidRDefault="7EAA6DFF" w:rsidP="7EAA6DFF">
      <w:pPr>
        <w:pStyle w:val="HTMLncedenBiimlendirilmi"/>
        <w:shd w:val="clear" w:color="auto" w:fill="FFFFFF" w:themeFill="background1"/>
        <w:spacing w:before="120" w:after="120"/>
        <w:ind w:firstLine="709"/>
        <w:jc w:val="both"/>
        <w:rPr>
          <w:rFonts w:ascii="Times New Roman" w:hAnsi="Times New Roman" w:cs="Times New Roman"/>
          <w:color w:val="212121"/>
          <w:sz w:val="22"/>
          <w:szCs w:val="22"/>
        </w:rPr>
      </w:pPr>
      <w:r w:rsidRPr="00533264">
        <w:rPr>
          <w:rFonts w:ascii="Times New Roman" w:hAnsi="Times New Roman" w:cs="Times New Roman"/>
          <w:color w:val="212121"/>
          <w:sz w:val="22"/>
          <w:szCs w:val="22"/>
        </w:rPr>
        <w:t xml:space="preserve">Çalışmada ilk olarak kavramsal çerçeveye yer verilmiştir. Göç kavramının sadece fiziki bir yer değiştirme olmadığının ortaya konması açısından göç kavramına ve Türkiye’nin göç konusunda stratejik bir konuma sahip olduğunun belirlenmesi açısından Türkiye’nin konumuna yer vermek siyasi partilerin bakış açılarının belirlenmesi açısından önemlidir. Çalışmanın diğer başlığında ise Suriye iç savaşı sonrası yaşanan göç ele alınmıştır. Göçün sayısal olarak büyüklüğünü ve göç sonrası yaşanan ekonomik ve sosyal değişmelere yer vererek çalışmada ele alınan muhalefet partilerinin yaşanan göç konusundaki eleştirilerinin mahiyetini ortaya koymak amaçlanmıştır. Çalışmanın son başlığı ise yöntem ve bulgular oluşturmaktadır. Bu başlıkta mecliste yer alan ve muhalefette olan siyasi partilerin 26 dönem 1. Yasama yılında yazılı olarak verdikleri ve cevaplanan soru önergelerinde Suriye’den Türkiye’ye gerçekleşen göç konusundaki yaklaşımlarına yönelik içerik analizi yapılarak sonuç kısmında genel bir değerlendirme yapılmıştır. </w:t>
      </w:r>
    </w:p>
    <w:p w14:paraId="6A7C489E" w14:textId="0ABF6A87" w:rsidR="00AB5882" w:rsidRPr="00533264" w:rsidRDefault="00491C8E" w:rsidP="00620383">
      <w:pPr>
        <w:pStyle w:val="ListeParagraf"/>
        <w:numPr>
          <w:ilvl w:val="0"/>
          <w:numId w:val="33"/>
        </w:numPr>
        <w:tabs>
          <w:tab w:val="left" w:pos="284"/>
        </w:tabs>
        <w:spacing w:before="120" w:after="120" w:line="240" w:lineRule="auto"/>
        <w:ind w:left="0" w:firstLine="0"/>
        <w:jc w:val="both"/>
        <w:rPr>
          <w:rFonts w:ascii="Times New Roman" w:eastAsia="Times New Roman" w:hAnsi="Times New Roman" w:cs="Times New Roman"/>
          <w:b/>
          <w:bCs/>
        </w:rPr>
      </w:pPr>
      <w:r>
        <w:rPr>
          <w:rFonts w:ascii="Times New Roman" w:eastAsia="Times New Roman" w:hAnsi="Times New Roman" w:cs="Times New Roman"/>
          <w:b/>
          <w:bCs/>
        </w:rPr>
        <w:t>Göç Kavramı v</w:t>
      </w:r>
      <w:r w:rsidRPr="00533264">
        <w:rPr>
          <w:rFonts w:ascii="Times New Roman" w:eastAsia="Times New Roman" w:hAnsi="Times New Roman" w:cs="Times New Roman"/>
          <w:b/>
          <w:bCs/>
        </w:rPr>
        <w:t>e Türkiye’nin Konumu</w:t>
      </w:r>
    </w:p>
    <w:p w14:paraId="1B511F69" w14:textId="122EC668" w:rsidR="00717746" w:rsidRPr="00533264" w:rsidRDefault="7EAA6DFF" w:rsidP="7EAA6DFF">
      <w:pPr>
        <w:spacing w:before="120" w:after="120"/>
        <w:ind w:firstLine="708"/>
        <w:jc w:val="both"/>
        <w:rPr>
          <w:rFonts w:eastAsia="Times New Roman"/>
          <w:b/>
          <w:bCs/>
          <w:sz w:val="22"/>
          <w:szCs w:val="22"/>
        </w:rPr>
      </w:pPr>
      <w:r w:rsidRPr="00533264">
        <w:rPr>
          <w:rFonts w:eastAsia="Times New Roman"/>
          <w:sz w:val="22"/>
          <w:szCs w:val="22"/>
        </w:rPr>
        <w:t>Göç, genel olarak toplumsal ekonomik ve siyasi olmak üzere birçok alanı ve çıktıları itibari ile de sadece bir ülkeyi değil birçok ülkeyi etkileyen, dinamik bir süreçtir. Bu nedenle farklı araştırma alanlarına konu olan göç, özellikle günümüzde birçok ülke için hem iç hem de dış sorunları beraberinde getirmektedir.</w:t>
      </w:r>
    </w:p>
    <w:p w14:paraId="1B793F5F" w14:textId="480EB1DF" w:rsidR="002A5419" w:rsidRPr="00533264" w:rsidRDefault="7EAA6DFF" w:rsidP="7EAA6DFF">
      <w:pPr>
        <w:spacing w:before="120" w:after="120"/>
        <w:ind w:firstLine="708"/>
        <w:jc w:val="both"/>
        <w:rPr>
          <w:rFonts w:eastAsia="Times New Roman"/>
          <w:sz w:val="22"/>
          <w:szCs w:val="22"/>
        </w:rPr>
      </w:pPr>
      <w:r w:rsidRPr="00533264">
        <w:rPr>
          <w:rFonts w:eastAsia="Times New Roman"/>
          <w:sz w:val="22"/>
          <w:szCs w:val="22"/>
        </w:rPr>
        <w:lastRenderedPageBreak/>
        <w:t>Göç, neden ve sonuç ilişkisine bağlı olarak ekonomik ve toplumsal değişmeler içinde ortaya çıkan bir sonuç ve aynı zamanda bu değişimlere bağlı olarak ortaya çıkan bir nedendir. Göç, bu neden ve sonuç ilişkisine bağlı olduğundan dinamik bir olgu olarak karşımıza çıkar. Göç durağan bir olgu olmamasından dolayı bir süreç olarak çözümlenmesi, ölçülmesi, açıklanması ve yorumlanması açısından karmaşık bir durum</w:t>
      </w:r>
      <w:r w:rsidR="006B691F">
        <w:rPr>
          <w:rFonts w:eastAsia="Times New Roman"/>
          <w:sz w:val="22"/>
          <w:szCs w:val="22"/>
        </w:rPr>
        <w:t xml:space="preserve"> ortaya çıkarmaktadır</w:t>
      </w:r>
      <w:r w:rsidRPr="00533264">
        <w:rPr>
          <w:rFonts w:eastAsia="Times New Roman"/>
          <w:sz w:val="22"/>
          <w:szCs w:val="22"/>
        </w:rPr>
        <w:t xml:space="preserve"> (İçduygu ve Sirkeci, 1999:249-250).</w:t>
      </w:r>
    </w:p>
    <w:p w14:paraId="468DC7A6" w14:textId="74C3CB36" w:rsidR="007D055A" w:rsidRPr="00533264" w:rsidRDefault="7EAA6DFF" w:rsidP="7EAA6DFF">
      <w:pPr>
        <w:spacing w:before="120" w:after="120"/>
        <w:ind w:firstLine="708"/>
        <w:jc w:val="both"/>
        <w:rPr>
          <w:rFonts w:eastAsia="Times New Roman"/>
          <w:sz w:val="22"/>
          <w:szCs w:val="22"/>
        </w:rPr>
      </w:pPr>
      <w:r w:rsidRPr="00533264">
        <w:rPr>
          <w:rFonts w:eastAsia="Times New Roman"/>
          <w:sz w:val="22"/>
          <w:szCs w:val="22"/>
        </w:rPr>
        <w:t>Kentleşme Şurası (2009:8) göçü şöyle tanımlamaktadır: “</w:t>
      </w:r>
      <w:r w:rsidRPr="00533264">
        <w:rPr>
          <w:rFonts w:eastAsia="Times New Roman"/>
          <w:i/>
          <w:iCs/>
          <w:sz w:val="22"/>
          <w:szCs w:val="22"/>
        </w:rPr>
        <w:t>Yurt içinde beş ve daha yukarı yaşlardaki nüfusun, iki genel nüfus sayımı arasındaki dönemde ikametgâhının farklı olması durumunda gerçekleşen göçlerdir. İkametgâhı bilinmeyenler, mevsimlik göçler, ikametgâh değişikliği yurt dışı olanlar ve sayımlar arasında birden fazla ikametgâh değişikliği yapanlar iç göç kapsamına dâhil değildir</w:t>
      </w:r>
      <w:r w:rsidRPr="00533264">
        <w:rPr>
          <w:rFonts w:eastAsia="Times New Roman"/>
          <w:sz w:val="22"/>
          <w:szCs w:val="22"/>
        </w:rPr>
        <w:t>”.</w:t>
      </w:r>
    </w:p>
    <w:p w14:paraId="733E6EC3" w14:textId="7197345A" w:rsidR="003E576A" w:rsidRPr="00533264" w:rsidRDefault="7EAA6DFF" w:rsidP="7EAA6DFF">
      <w:pPr>
        <w:spacing w:before="120" w:after="120"/>
        <w:ind w:firstLine="708"/>
        <w:jc w:val="both"/>
        <w:rPr>
          <w:rFonts w:eastAsia="Times New Roman"/>
          <w:sz w:val="22"/>
          <w:szCs w:val="22"/>
        </w:rPr>
      </w:pPr>
      <w:r w:rsidRPr="00533264">
        <w:rPr>
          <w:rFonts w:eastAsia="Times New Roman"/>
          <w:sz w:val="22"/>
          <w:szCs w:val="22"/>
        </w:rPr>
        <w:t>Günümüzde özellikle dış göç olarak tanımlanan uluslararası göç ekonomik, sosyal, siyasal birçok alanı yakından ilgilendiren bir unsur</w:t>
      </w:r>
      <w:r w:rsidR="006B691F">
        <w:rPr>
          <w:rFonts w:eastAsia="Times New Roman"/>
          <w:sz w:val="22"/>
          <w:szCs w:val="22"/>
        </w:rPr>
        <w:t>u içine almaktadır.</w:t>
      </w:r>
      <w:r w:rsidRPr="00533264">
        <w:rPr>
          <w:rFonts w:eastAsia="Times New Roman"/>
          <w:sz w:val="22"/>
          <w:szCs w:val="22"/>
        </w:rPr>
        <w:t xml:space="preserve"> Özellikle uluslararası alanda düzensiz göç unsuru karşımıza çıkmaktadır. Düzensiz göç ise hedef, transit ve kaynak ülkeler açısından ayrı ayrı değerlendirilmesi gereken bir konudur. 2016 yılı Türkiye Göç Raporunda (2016:56) bu kavram, “</w:t>
      </w:r>
      <w:r w:rsidRPr="00533264">
        <w:rPr>
          <w:rFonts w:eastAsia="Times New Roman"/>
          <w:i/>
          <w:iCs/>
          <w:sz w:val="22"/>
          <w:szCs w:val="22"/>
        </w:rPr>
        <w:t>hedef ülkeler için ülkelerine yasadışı yollardan gelen veya yasal yollarla gelip yasal çıkış süreleri içerisinde çıkmayan kişileri kapsarken; kaynak ülke için ülkesini terk ederken gerekli prosedürlere uymayarak ülke sınırlarını geçen kişileri içermektedir. Transit ülkeler içinse; kaynak ülkelerden hedef ülkeye ulaşmak için yasal ya da yasal olmayan yollarla ülkeye girip bu ülkeyi bir geçiş ülkesi olarak kullanıp ülkeyi terk eden kişileri”</w:t>
      </w:r>
      <w:r w:rsidRPr="00533264">
        <w:rPr>
          <w:rFonts w:eastAsia="Times New Roman"/>
          <w:sz w:val="22"/>
          <w:szCs w:val="22"/>
        </w:rPr>
        <w:t xml:space="preserve"> ifade etmektedir.</w:t>
      </w:r>
    </w:p>
    <w:p w14:paraId="6D488ACD" w14:textId="5ECB2A37" w:rsidR="007036CB" w:rsidRPr="00533264" w:rsidRDefault="7EAA6DFF" w:rsidP="7EAA6DFF">
      <w:pPr>
        <w:spacing w:before="120" w:after="120"/>
        <w:ind w:firstLine="708"/>
        <w:jc w:val="both"/>
        <w:rPr>
          <w:rFonts w:eastAsia="Times New Roman"/>
          <w:sz w:val="22"/>
          <w:szCs w:val="22"/>
        </w:rPr>
      </w:pPr>
      <w:r w:rsidRPr="00533264">
        <w:rPr>
          <w:rFonts w:eastAsia="Times New Roman"/>
          <w:i/>
          <w:iCs/>
          <w:sz w:val="22"/>
          <w:szCs w:val="22"/>
        </w:rPr>
        <w:t>Mülteci</w:t>
      </w:r>
      <w:r w:rsidRPr="00533264">
        <w:rPr>
          <w:rFonts w:eastAsia="Times New Roman"/>
          <w:sz w:val="22"/>
          <w:szCs w:val="22"/>
        </w:rPr>
        <w:t>, 1951 Cenevre Sözleşmesi’ne göre (Göç İdaresi GM, 2016); kendi ülkesi dışında bulunan, ırkı, dini, tabiiyeti, belli bir toplumsal gruba mensubiyeti veya siyasi görüşü sebebiyle zulüm görmekten haklı nedenlerle korku duyan ve ülkesinin korumasından yararlanamayan ya da yararlanmak istemeyen veya zulüm korkusu nedeniyle oraya dönmek istemeyen kişi olarak tanımlanıyor. Bu nedenle mülteciler, “</w:t>
      </w:r>
      <w:r w:rsidRPr="006B691F">
        <w:rPr>
          <w:rFonts w:eastAsia="Times New Roman"/>
          <w:i/>
          <w:sz w:val="22"/>
          <w:szCs w:val="22"/>
        </w:rPr>
        <w:t>insanlığın kıyısında yaşamaya mahkûm edilmiş ya da edilmek istenen geniş bir insan grubu</w:t>
      </w:r>
      <w:r w:rsidRPr="00533264">
        <w:rPr>
          <w:rFonts w:eastAsia="Times New Roman"/>
          <w:sz w:val="22"/>
          <w:szCs w:val="22"/>
        </w:rPr>
        <w:t>” (Peker ve Sancar, 2005:6) şeklinde ifade edilebilir.</w:t>
      </w:r>
    </w:p>
    <w:p w14:paraId="12B8DFE0" w14:textId="59A45CFD" w:rsidR="003A426D" w:rsidRPr="00533264" w:rsidRDefault="7EAA6DFF" w:rsidP="7EAA6DFF">
      <w:pPr>
        <w:spacing w:before="120" w:after="120"/>
        <w:ind w:firstLine="708"/>
        <w:jc w:val="both"/>
        <w:rPr>
          <w:rFonts w:eastAsia="Times New Roman"/>
          <w:sz w:val="22"/>
          <w:szCs w:val="22"/>
        </w:rPr>
      </w:pPr>
      <w:r w:rsidRPr="00533264">
        <w:rPr>
          <w:rFonts w:eastAsia="Times New Roman"/>
          <w:sz w:val="22"/>
          <w:szCs w:val="22"/>
        </w:rPr>
        <w:t xml:space="preserve">Türkiye, yukarıdaki mülteci tanımına esas teşkil eden Mültecilerin Hukuki Durumuna Dair 1951 Cenevre Protokolüne taraf olmuştur. Ancak sözleşmeye 1961 tarihindeki düzenlemeyle </w:t>
      </w:r>
      <w:r w:rsidRPr="00533264">
        <w:rPr>
          <w:rFonts w:eastAsia="Times New Roman"/>
          <w:i/>
          <w:iCs/>
          <w:sz w:val="22"/>
          <w:szCs w:val="22"/>
        </w:rPr>
        <w:t>coğrafi çekince</w:t>
      </w:r>
      <w:r w:rsidRPr="00533264">
        <w:rPr>
          <w:rFonts w:eastAsia="Times New Roman"/>
          <w:sz w:val="22"/>
          <w:szCs w:val="22"/>
        </w:rPr>
        <w:t xml:space="preserve"> koymuştur. Buna göre Türkiye, sadece Batı Avrupa’dan gelenleri mülteci olarak kabul etmekte ve mültecinin tanımına “Avrupa’da meydana gelen olaylar sebebiyle” ifadesini eklemektedir (Göç İdaresi GM, 2016)</w:t>
      </w:r>
    </w:p>
    <w:p w14:paraId="34BF09FB" w14:textId="1FE2AF87" w:rsidR="003A426D" w:rsidRPr="00533264" w:rsidRDefault="7EAA6DFF" w:rsidP="7EAA6DFF">
      <w:pPr>
        <w:spacing w:before="120" w:after="120"/>
        <w:ind w:firstLine="708"/>
        <w:jc w:val="both"/>
        <w:rPr>
          <w:rFonts w:eastAsia="Times New Roman"/>
          <w:sz w:val="22"/>
          <w:szCs w:val="22"/>
        </w:rPr>
      </w:pPr>
      <w:r w:rsidRPr="00533264">
        <w:rPr>
          <w:rFonts w:eastAsia="Times New Roman"/>
          <w:sz w:val="22"/>
          <w:szCs w:val="22"/>
        </w:rPr>
        <w:t xml:space="preserve">Küreselleşme süreci ile birlikte 1980’lerden sonra Türkiye, rağbet gören bir sığınma ülkesi </w:t>
      </w:r>
      <w:r w:rsidR="00D753A0">
        <w:rPr>
          <w:rFonts w:eastAsia="Times New Roman"/>
          <w:sz w:val="22"/>
          <w:szCs w:val="22"/>
        </w:rPr>
        <w:t>konumunda</w:t>
      </w:r>
      <w:r w:rsidRPr="00533264">
        <w:rPr>
          <w:rFonts w:eastAsia="Times New Roman"/>
          <w:sz w:val="22"/>
          <w:szCs w:val="22"/>
        </w:rPr>
        <w:t>, özellikle</w:t>
      </w:r>
      <w:r w:rsidR="00D753A0">
        <w:rPr>
          <w:rFonts w:eastAsia="Times New Roman"/>
          <w:sz w:val="22"/>
          <w:szCs w:val="22"/>
        </w:rPr>
        <w:t xml:space="preserve"> baskıcı rejimlerden kaçan </w:t>
      </w:r>
      <w:r w:rsidRPr="00533264">
        <w:rPr>
          <w:rFonts w:eastAsia="Times New Roman"/>
          <w:sz w:val="22"/>
          <w:szCs w:val="22"/>
        </w:rPr>
        <w:t xml:space="preserve">Ortadoğu ve komşu ülkelerin </w:t>
      </w:r>
      <w:r w:rsidR="00D753A0">
        <w:rPr>
          <w:rFonts w:eastAsia="Times New Roman"/>
          <w:sz w:val="22"/>
          <w:szCs w:val="22"/>
        </w:rPr>
        <w:t xml:space="preserve">vatandaşları ilk mülteci grbunu oluşturmuştur. Ülkeye gelen </w:t>
      </w:r>
      <w:r w:rsidRPr="00533264">
        <w:rPr>
          <w:rFonts w:eastAsia="Times New Roman"/>
          <w:sz w:val="22"/>
          <w:szCs w:val="22"/>
        </w:rPr>
        <w:t>ilk kitlesel mülteci grubu ise 1979 İran Devrimi</w:t>
      </w:r>
      <w:r w:rsidR="00D753A0">
        <w:rPr>
          <w:rFonts w:eastAsia="Times New Roman"/>
          <w:sz w:val="22"/>
          <w:szCs w:val="22"/>
        </w:rPr>
        <w:t xml:space="preserve"> sonrasında yaşanmıştır.</w:t>
      </w:r>
      <w:r w:rsidRPr="00533264">
        <w:rPr>
          <w:rFonts w:eastAsia="Times New Roman"/>
          <w:sz w:val="22"/>
          <w:szCs w:val="22"/>
        </w:rPr>
        <w:t xml:space="preserve"> 2000’li yıllara </w:t>
      </w:r>
      <w:r w:rsidR="00D753A0">
        <w:rPr>
          <w:rFonts w:eastAsia="Times New Roman"/>
          <w:sz w:val="22"/>
          <w:szCs w:val="22"/>
        </w:rPr>
        <w:t>kadar</w:t>
      </w:r>
      <w:r w:rsidRPr="00533264">
        <w:rPr>
          <w:rFonts w:eastAsia="Times New Roman"/>
          <w:sz w:val="22"/>
          <w:szCs w:val="22"/>
        </w:rPr>
        <w:t xml:space="preserve"> Türkiye’ye gelen mültecilerin büyük kısmını Ortadoğu ülkelerinde</w:t>
      </w:r>
      <w:r w:rsidR="00D753A0">
        <w:rPr>
          <w:rFonts w:eastAsia="Times New Roman"/>
          <w:sz w:val="22"/>
          <w:szCs w:val="22"/>
        </w:rPr>
        <w:t>n iken</w:t>
      </w:r>
      <w:r w:rsidRPr="00533264">
        <w:rPr>
          <w:rFonts w:eastAsia="Times New Roman"/>
          <w:sz w:val="22"/>
          <w:szCs w:val="22"/>
        </w:rPr>
        <w:t xml:space="preserve"> bu yıllardan sonra Asya ve Afrikalılar</w:t>
      </w:r>
      <w:r w:rsidR="00D753A0">
        <w:rPr>
          <w:rFonts w:eastAsia="Times New Roman"/>
          <w:sz w:val="22"/>
          <w:szCs w:val="22"/>
        </w:rPr>
        <w:t>dan da yoğunlaşmaya başlamıştır</w:t>
      </w:r>
      <w:r w:rsidRPr="00533264">
        <w:rPr>
          <w:rFonts w:eastAsia="Times New Roman"/>
          <w:sz w:val="22"/>
          <w:szCs w:val="22"/>
        </w:rPr>
        <w:t xml:space="preserve"> (</w:t>
      </w:r>
      <w:r w:rsidR="00E802D2">
        <w:t xml:space="preserve">İçduygu, Biehl, </w:t>
      </w:r>
      <w:r w:rsidRPr="00533264">
        <w:rPr>
          <w:rFonts w:eastAsia="Times New Roman"/>
          <w:sz w:val="22"/>
          <w:szCs w:val="22"/>
        </w:rPr>
        <w:t>2009: 4).</w:t>
      </w:r>
    </w:p>
    <w:p w14:paraId="5B40BD9D" w14:textId="46E24952" w:rsidR="00113508" w:rsidRPr="00533264" w:rsidRDefault="00491C8E" w:rsidP="00D3080F">
      <w:pPr>
        <w:pStyle w:val="ListeParagraf"/>
        <w:numPr>
          <w:ilvl w:val="0"/>
          <w:numId w:val="33"/>
        </w:numPr>
        <w:tabs>
          <w:tab w:val="left" w:pos="284"/>
        </w:tabs>
        <w:spacing w:before="120" w:after="120" w:line="240" w:lineRule="auto"/>
        <w:ind w:left="0" w:firstLine="0"/>
        <w:jc w:val="both"/>
        <w:rPr>
          <w:rFonts w:ascii="Times New Roman" w:eastAsia="Times New Roman" w:hAnsi="Times New Roman" w:cs="Times New Roman"/>
          <w:b/>
          <w:bCs/>
        </w:rPr>
      </w:pPr>
      <w:r w:rsidRPr="00533264">
        <w:rPr>
          <w:rFonts w:ascii="Times New Roman" w:eastAsia="Times New Roman" w:hAnsi="Times New Roman" w:cs="Times New Roman"/>
          <w:b/>
          <w:bCs/>
        </w:rPr>
        <w:t>Suriye İç</w:t>
      </w:r>
      <w:r>
        <w:rPr>
          <w:rFonts w:ascii="Times New Roman" w:eastAsia="Times New Roman" w:hAnsi="Times New Roman" w:cs="Times New Roman"/>
          <w:b/>
          <w:bCs/>
        </w:rPr>
        <w:t xml:space="preserve"> Savaşı Sonrası Türkiye’ye Göç v</w:t>
      </w:r>
      <w:r w:rsidRPr="00533264">
        <w:rPr>
          <w:rFonts w:ascii="Times New Roman" w:eastAsia="Times New Roman" w:hAnsi="Times New Roman" w:cs="Times New Roman"/>
          <w:b/>
          <w:bCs/>
        </w:rPr>
        <w:t>e Türkiye'nin Suriye Göç Politikası</w:t>
      </w:r>
    </w:p>
    <w:p w14:paraId="33432F5C" w14:textId="50C06312" w:rsidR="0079277A" w:rsidRPr="00533264" w:rsidRDefault="1B146E46" w:rsidP="16EC5136">
      <w:pPr>
        <w:spacing w:before="120" w:after="120"/>
        <w:ind w:firstLine="709"/>
        <w:jc w:val="both"/>
        <w:rPr>
          <w:rFonts w:eastAsia="Times New Roman"/>
          <w:sz w:val="22"/>
          <w:szCs w:val="22"/>
        </w:rPr>
      </w:pPr>
      <w:r w:rsidRPr="00533264">
        <w:rPr>
          <w:sz w:val="22"/>
          <w:szCs w:val="22"/>
        </w:rPr>
        <w:t>Suriye’de 2011 yılında başlayan iç savaşla birlikte savaş mağdurlarına Türkiye</w:t>
      </w:r>
      <w:r w:rsidR="006B691F">
        <w:rPr>
          <w:sz w:val="22"/>
          <w:szCs w:val="22"/>
        </w:rPr>
        <w:t>,</w:t>
      </w:r>
      <w:r w:rsidRPr="00533264">
        <w:rPr>
          <w:sz w:val="22"/>
          <w:szCs w:val="22"/>
        </w:rPr>
        <w:t xml:space="preserve"> </w:t>
      </w:r>
      <w:r w:rsidRPr="00533264">
        <w:rPr>
          <w:i/>
          <w:iCs/>
          <w:sz w:val="22"/>
          <w:szCs w:val="22"/>
        </w:rPr>
        <w:t xml:space="preserve">açık kapı politikası </w:t>
      </w:r>
      <w:r w:rsidRPr="00533264">
        <w:rPr>
          <w:sz w:val="22"/>
          <w:szCs w:val="22"/>
        </w:rPr>
        <w:t>izlemiş ve Suriyelileri Geçici Koruma Statüsü altında misafir etmiştir. Birçok Avrupa ülkesi</w:t>
      </w:r>
      <w:r w:rsidR="00554A9F" w:rsidRPr="00533264">
        <w:rPr>
          <w:rStyle w:val="DipnotBavurusu"/>
          <w:rFonts w:eastAsia="Times New Roman"/>
          <w:sz w:val="22"/>
          <w:szCs w:val="22"/>
        </w:rPr>
        <w:footnoteReference w:id="4"/>
      </w:r>
      <w:r w:rsidRPr="00533264">
        <w:rPr>
          <w:sz w:val="22"/>
          <w:szCs w:val="22"/>
        </w:rPr>
        <w:t xml:space="preserve"> yaşanan krize duyarsız kalırken, Suriye’deki savaş mağdurlarının en çok sığındığı ülke Türkiye olmuştur.</w:t>
      </w:r>
      <w:r w:rsidR="002D05E4" w:rsidRPr="00533264">
        <w:rPr>
          <w:sz w:val="22"/>
          <w:szCs w:val="22"/>
        </w:rPr>
        <w:t xml:space="preserve"> Kendi ülkelerinde</w:t>
      </w:r>
      <w:r w:rsidR="00B86A39" w:rsidRPr="00533264">
        <w:rPr>
          <w:sz w:val="22"/>
          <w:szCs w:val="22"/>
        </w:rPr>
        <w:t>n zulüm ve tehlikeden dolayı kaçan ve bu nedenle korunmaya muhtaç olan kişilere</w:t>
      </w:r>
      <w:r w:rsidRPr="00533264">
        <w:rPr>
          <w:rFonts w:eastAsia="Times New Roman"/>
          <w:sz w:val="22"/>
          <w:szCs w:val="22"/>
        </w:rPr>
        <w:t xml:space="preserve"> </w:t>
      </w:r>
      <w:r w:rsidR="009F4D50" w:rsidRPr="00533264">
        <w:rPr>
          <w:sz w:val="22"/>
          <w:szCs w:val="22"/>
        </w:rPr>
        <w:t xml:space="preserve">1951 Cenevre Mülteci Sözleşmesi uyarınca </w:t>
      </w:r>
      <w:r w:rsidR="00B86A39" w:rsidRPr="00533264">
        <w:rPr>
          <w:sz w:val="22"/>
          <w:szCs w:val="22"/>
        </w:rPr>
        <w:t xml:space="preserve">sığınma (iltica) verilmesi hem bir hak hem de </w:t>
      </w:r>
      <w:r w:rsidR="009F4D50" w:rsidRPr="00533264">
        <w:rPr>
          <w:sz w:val="22"/>
          <w:szCs w:val="22"/>
        </w:rPr>
        <w:t>uluslararası bir yükümlülüktür.</w:t>
      </w:r>
      <w:r w:rsidR="00B86A39" w:rsidRPr="00533264">
        <w:rPr>
          <w:sz w:val="22"/>
          <w:szCs w:val="22"/>
        </w:rPr>
        <w:t xml:space="preserve"> Ancak Avrupa Birliği ülkelerinin mülteciler konusundaki düzenlemeleri bir bütünlük sağlamamakla birlikte düzenlemeye ilişkin süreç halen devam etmektedir. </w:t>
      </w:r>
      <w:r w:rsidR="00382A3C" w:rsidRPr="00533264">
        <w:rPr>
          <w:sz w:val="22"/>
          <w:szCs w:val="22"/>
        </w:rPr>
        <w:t>Genel olarak Avrupa devletlerinin sığınmacılara yönelik politikaları sınırdan içeri almama ve gelenleri de etkin bir şekilde geri gönderme süreçleri üzerine şekillenmektedir (Yücel, 2017).</w:t>
      </w:r>
    </w:p>
    <w:p w14:paraId="0EB3EEE3" w14:textId="1CE6719E" w:rsidR="0024373E" w:rsidRPr="00533264" w:rsidRDefault="7EAA6DFF" w:rsidP="7EAA6DFF">
      <w:pPr>
        <w:spacing w:before="120" w:after="120"/>
        <w:ind w:firstLine="709"/>
        <w:jc w:val="both"/>
        <w:rPr>
          <w:rFonts w:eastAsia="Times New Roman"/>
          <w:sz w:val="22"/>
          <w:szCs w:val="22"/>
        </w:rPr>
      </w:pPr>
      <w:r w:rsidRPr="00533264">
        <w:rPr>
          <w:rFonts w:eastAsia="Times New Roman"/>
          <w:sz w:val="22"/>
          <w:szCs w:val="22"/>
        </w:rPr>
        <w:lastRenderedPageBreak/>
        <w:t>Türkiye ise 1951 tarihli Cenevre sözleşmesine coğrafi çekince ile taraf ol</w:t>
      </w:r>
      <w:r w:rsidR="00D753A0">
        <w:rPr>
          <w:rFonts w:eastAsia="Times New Roman"/>
          <w:sz w:val="22"/>
          <w:szCs w:val="22"/>
        </w:rPr>
        <w:t>duğundan</w:t>
      </w:r>
      <w:r w:rsidRPr="00533264">
        <w:rPr>
          <w:rFonts w:eastAsia="Times New Roman"/>
          <w:sz w:val="22"/>
          <w:szCs w:val="22"/>
        </w:rPr>
        <w:t xml:space="preserve"> sadece Avrupa’dan gelenlere mülteci statüsü verilmektedir. Avrupa dışından gelenler ise geçici koruma statüsüne alınmıştır. 30 Mart 2012 tarihli, 62 sayılı “Türkiye’ye Toplu Halde Gelen Suriye Vatandaşlarının Kabulüne ve Barındırılmalarına İlişkin Yönerge” ile Suriye vatandaşları geçici koruma altına alınmıştır (Oytun vd., 2014: 11). </w:t>
      </w:r>
    </w:p>
    <w:p w14:paraId="0DE37F13" w14:textId="302AA85C" w:rsidR="00102479" w:rsidRPr="00533264" w:rsidRDefault="7EAA6DFF" w:rsidP="7EAA6DFF">
      <w:pPr>
        <w:spacing w:before="120" w:after="120"/>
        <w:ind w:firstLine="709"/>
        <w:jc w:val="both"/>
        <w:rPr>
          <w:rFonts w:eastAsia="Times New Roman"/>
          <w:sz w:val="22"/>
          <w:szCs w:val="22"/>
        </w:rPr>
      </w:pPr>
      <w:r w:rsidRPr="00533264">
        <w:rPr>
          <w:rFonts w:eastAsia="Times New Roman"/>
          <w:sz w:val="22"/>
          <w:szCs w:val="22"/>
        </w:rPr>
        <w:t>Suriye’de yaşanan insani krizin büyümesi</w:t>
      </w:r>
      <w:r w:rsidR="00D753A0">
        <w:rPr>
          <w:rFonts w:eastAsia="Times New Roman"/>
          <w:sz w:val="22"/>
          <w:szCs w:val="22"/>
        </w:rPr>
        <w:t xml:space="preserve"> ile birlikte sınır bölgelerinde</w:t>
      </w:r>
      <w:r w:rsidRPr="00533264">
        <w:rPr>
          <w:rFonts w:eastAsia="Times New Roman"/>
          <w:sz w:val="22"/>
          <w:szCs w:val="22"/>
        </w:rPr>
        <w:t xml:space="preserve"> meydana gelen toplu nüfus hareketleri sonucunda sığınmacıların ülke</w:t>
      </w:r>
      <w:r w:rsidR="00D753A0">
        <w:rPr>
          <w:rFonts w:eastAsia="Times New Roman"/>
          <w:sz w:val="22"/>
          <w:szCs w:val="22"/>
        </w:rPr>
        <w:t>ye girişlerine</w:t>
      </w:r>
      <w:r w:rsidRPr="00533264">
        <w:rPr>
          <w:rFonts w:eastAsia="Times New Roman"/>
          <w:sz w:val="22"/>
          <w:szCs w:val="22"/>
        </w:rPr>
        <w:t xml:space="preserve"> izin verilmiştir. 2017 yılı Göç İdaresi’nin İdari Faaliyet Raporuna göre geçici koruma altına alınan Suriye vatandaşların biometrik kayıt sayıları 3.426.786 olmuştur. Bunlardan % 54,10 ‘un erkek % 49,90’ı kadınlar oluşturmaktadır.  İllere göre dağılımları incelendiğinde; ilk sırayı 538.001 ile İstanbul ili, ikinci sırayı 463.149  ile Şanlıurfa ili ve üçüncü sırayı 457.191ile Hatay ili almaktadır. Kayıt altına alınan Suriyelilerin il nüfuslarına göre oranları incelendiğinde; 100.81% ile ilk sırayı Kilis ili, 29.40%ile ikinci sırayı Hatay ili ve 23.87%ile üçüncü sırayı Şanlıurfa ili almaktadır. 10 şehirde (Hatay, Gaziantep, Şanlıurfa, Kilis, Mardin, Kahramanmaraş, Osmaniye, Adıyaman, Adana, Malatya) kurulan geçici barınma merkezlerinde 228.488 Suriyeli yabancının olduğu belirtilmektedir (Göç İdaresi, 2017).</w:t>
      </w:r>
    </w:p>
    <w:p w14:paraId="1B1EC7E8" w14:textId="473ECA56" w:rsidR="00A114D1" w:rsidRPr="00533264" w:rsidRDefault="7EAA6DFF" w:rsidP="7EAA6DFF">
      <w:pPr>
        <w:spacing w:before="120" w:after="120"/>
        <w:ind w:firstLine="709"/>
        <w:jc w:val="both"/>
        <w:rPr>
          <w:rFonts w:eastAsia="Times New Roman"/>
          <w:sz w:val="22"/>
          <w:szCs w:val="22"/>
        </w:rPr>
      </w:pPr>
      <w:r w:rsidRPr="00533264">
        <w:rPr>
          <w:rFonts w:eastAsia="Times New Roman"/>
          <w:sz w:val="22"/>
          <w:szCs w:val="22"/>
        </w:rPr>
        <w:t xml:space="preserve">Suriye’den gelen sığınmacılara yönelik olarak eğitim sağlık barınma gibi birçok alanda hizmet verilmiştir. Türkiye Göç Raporuna göre 2016 yılında Türkiye’de öğrenci ikamet izni ile bulunan 61.116 yabancıdan 3803 kişi Suriye vatandaşıdır. 2016-2017 eğitim-öğretim yılında Üniversitede öğrenim gören toplam 103.727 yabancı uyruklu </w:t>
      </w:r>
      <w:r w:rsidR="00F7025C" w:rsidRPr="00533264">
        <w:rPr>
          <w:rFonts w:eastAsia="Times New Roman"/>
          <w:sz w:val="22"/>
          <w:szCs w:val="22"/>
        </w:rPr>
        <w:t>öğrenciden 14.765</w:t>
      </w:r>
      <w:r w:rsidRPr="00533264">
        <w:rPr>
          <w:rFonts w:eastAsia="Times New Roman"/>
          <w:sz w:val="22"/>
          <w:szCs w:val="22"/>
        </w:rPr>
        <w:t xml:space="preserve"> kişi Suriye uyruklu öğrencidir. İlköğretim düzeyinde ise 2016-2017 eğitim-öğretim yılında toplam 232.714 yabancı öğrenciden 166.482 Suriyeli öğrencilerden oluşmaktadır. Ülkemizde kamp içi 31, kamp dışı 401 olmak üzere 432 geçici eğitim merkezi bulunmaktadır. Bu kampların illere göre dağılımı incelendiğinde Geçici Eğitim Merkezlerini en yoğun olduğu iller sırasıyla; Hatay (120), İstanbul (66), Gaziantep (52) ve Şanlıurfa (43)’dır (Göç İdaresi, 2016).</w:t>
      </w:r>
    </w:p>
    <w:p w14:paraId="2104695F" w14:textId="2A0311E2" w:rsidR="00A114D1" w:rsidRPr="00533264" w:rsidRDefault="7EAA6DFF" w:rsidP="7EAA6DFF">
      <w:pPr>
        <w:spacing w:before="120" w:after="120"/>
        <w:ind w:firstLine="709"/>
        <w:jc w:val="both"/>
        <w:rPr>
          <w:rFonts w:eastAsia="Times New Roman"/>
          <w:sz w:val="22"/>
          <w:szCs w:val="22"/>
        </w:rPr>
      </w:pPr>
      <w:r w:rsidRPr="00533264">
        <w:rPr>
          <w:rFonts w:eastAsia="Times New Roman"/>
          <w:sz w:val="22"/>
          <w:szCs w:val="22"/>
        </w:rPr>
        <w:t>İstihdam konusunda ise 2017 yılında Türkiye’de çalışma izni verilen Suriyeli sayısı ise 20.970 oldu. Buna göre çalışma izni alan yabancıların %24’ü Suriyelilerden oluşuyor (</w:t>
      </w:r>
      <w:hyperlink r:id="rId8">
        <w:r w:rsidRPr="00533264">
          <w:rPr>
            <w:rFonts w:eastAsia="Times New Roman"/>
          </w:rPr>
          <w:t>multeciler.org.tr</w:t>
        </w:r>
      </w:hyperlink>
      <w:r w:rsidRPr="00533264">
        <w:rPr>
          <w:rFonts w:eastAsia="Times New Roman"/>
          <w:sz w:val="22"/>
          <w:szCs w:val="22"/>
        </w:rPr>
        <w:t>,)  Sağlık konusunda ise 2016 yılı verilerine göre poliklinik hizmeti sayısı 20 milyonu aşmakta olup 31 Aralık 2016 tarihine kadar 184.390 doğum gerçekleşmiştir (Göç İdaresi, 2017).</w:t>
      </w:r>
    </w:p>
    <w:p w14:paraId="50ED2B87" w14:textId="51B20ADA" w:rsidR="00E8490B" w:rsidRPr="00533264" w:rsidRDefault="7EAA6DFF" w:rsidP="7EAA6DFF">
      <w:pPr>
        <w:spacing w:before="120" w:after="120"/>
        <w:ind w:firstLine="709"/>
        <w:jc w:val="both"/>
        <w:rPr>
          <w:rFonts w:eastAsia="Times New Roman"/>
          <w:sz w:val="22"/>
          <w:szCs w:val="22"/>
        </w:rPr>
      </w:pPr>
      <w:r w:rsidRPr="00533264">
        <w:rPr>
          <w:rFonts w:eastAsia="Times New Roman"/>
          <w:sz w:val="22"/>
          <w:szCs w:val="22"/>
        </w:rPr>
        <w:t>Suriye’deki savaşın devam etmesi, uluslararası koruma başvurusunu da arttırmıştır. 2016 yılında uluslararası koruma başvuru sayısı 66.167 iken 2017 yılında ise 112.415’ye yükselmiştir.  Avrupa ülkelerinin açık kapı politikası izlememesi ve Suriyeli savaş mağdurlarına duyarsız kalması bu ülkelere yapılan kaçak göçün artmasına neden olmuş ve bu ülkelere geçiş için Türkiye transit olarak kullanılmıştır. 2017 yılında tespit edilen insan ticareti mağduru sayısı 175.752’dir. bunların 50.217 kişi Suriye uyruklu yabancılardır (Göç İdaresi, 2017).</w:t>
      </w:r>
    </w:p>
    <w:p w14:paraId="3DDD8DAA" w14:textId="77777777" w:rsidR="004D08F5" w:rsidRPr="00533264" w:rsidRDefault="7EAA6DFF" w:rsidP="7EAA6DFF">
      <w:pPr>
        <w:spacing w:before="120" w:after="120"/>
        <w:ind w:firstLine="709"/>
        <w:jc w:val="both"/>
        <w:rPr>
          <w:rFonts w:eastAsia="Times New Roman"/>
          <w:sz w:val="22"/>
          <w:szCs w:val="22"/>
        </w:rPr>
      </w:pPr>
      <w:r w:rsidRPr="00533264">
        <w:rPr>
          <w:rFonts w:eastAsia="Times New Roman"/>
          <w:sz w:val="22"/>
          <w:szCs w:val="22"/>
        </w:rPr>
        <w:t xml:space="preserve">Tüm bu veriler değerlendirildiğinde Suriye’den Türkiye’ye göçün ekonomik ve sosyal alanlarda değişim yarattığı görülmektedir. Özellikle sınır illerinde Kilis örneğinde olduğu gibi kent nüfusundan fazla Suriye vatandaşının olduğu görülmektedir. Bu durum kentin ve kentte yaşayan Türk vatandaşlarının ekonomik ve sosyal açıdan dönüşüm yaşadığını göstermektedir. Bu dönüşüm farklı sorunları da beraberinde getirmektedir. </w:t>
      </w:r>
    </w:p>
    <w:p w14:paraId="7C6C3DE9" w14:textId="5A2FEBFB" w:rsidR="004D08F5" w:rsidRPr="00533264" w:rsidRDefault="7EAA6DFF" w:rsidP="7EAA6DFF">
      <w:pPr>
        <w:spacing w:before="120" w:after="120"/>
        <w:ind w:firstLine="709"/>
        <w:jc w:val="both"/>
        <w:rPr>
          <w:rFonts w:eastAsia="Times New Roman"/>
        </w:rPr>
      </w:pPr>
      <w:r w:rsidRPr="00533264">
        <w:rPr>
          <w:rFonts w:eastAsia="Times New Roman"/>
          <w:sz w:val="22"/>
          <w:szCs w:val="22"/>
        </w:rPr>
        <w:t xml:space="preserve">Bu sorunlardan en önemlisi uyum sorunudur. Yaklaşık 3 milyon Suriye vatandaşının eğitim profiline bakıldığında </w:t>
      </w:r>
      <w:r w:rsidRPr="00533264">
        <w:rPr>
          <w:rFonts w:eastAsia="Times New Roman"/>
        </w:rPr>
        <w:t xml:space="preserve">okuma yazma bilmeyenlerin oranı %33,3 okur-yazar olup da herhangi bir okul bitirmeyenlerin oranı %13’tür. %25,6’sı eğitim durumları ile ilgili bir beyanda bulunmazken, ilkokul seviyesinde olanların oranı %16,5, ortaokul seviyesinde olanların oranı % 6,5, lise ve üstü eğitim seviyesinde olanların oranı ise %5,6’dır (Erdoğan vd., 2017: 12).  Bu tablo göz önüne alındığında sosyal uyumu gerçekleştirmede önemli bir etkiye sahip olan eğitim konusunda Suriyeli vatandaşların olumsuz bir tablo oluşturduğu görülmektedir. </w:t>
      </w:r>
    </w:p>
    <w:p w14:paraId="7B7CD977" w14:textId="192A2769" w:rsidR="00EA7139" w:rsidRPr="00533264" w:rsidRDefault="16EC5136" w:rsidP="16EC5136">
      <w:pPr>
        <w:spacing w:before="120" w:after="120"/>
        <w:ind w:firstLine="709"/>
        <w:jc w:val="both"/>
        <w:rPr>
          <w:rFonts w:eastAsia="Times New Roman"/>
          <w:sz w:val="22"/>
          <w:szCs w:val="22"/>
        </w:rPr>
      </w:pPr>
      <w:r w:rsidRPr="00533264">
        <w:rPr>
          <w:sz w:val="22"/>
          <w:szCs w:val="22"/>
        </w:rPr>
        <w:t xml:space="preserve">Göçün bir diğer önemli sonucu da ekonomiye etkisidir. Ekonomiye etki iki yönden değerlendirilebilir. Birincisi ekonomide önemli riskler, diğeri ise fırsatlardır. Bu durum aslında iç içe geçmiş bir yapıyı oluşturmuştur. Bir yandan kiralarda artış yaşanırken diğer yandan ev bulmak sıkıntılı bir hal almış; sınır illerde enflasyon artış gösterirken kaçak işçilik yaygınlık kazanarak haksız rekabeti oluşturmuştur. Bunun yanı sıra istihdam konusunda özellikle fırsatları da beraberinde getirmiştir. </w:t>
      </w:r>
      <w:r w:rsidR="00F7025C" w:rsidRPr="00533264">
        <w:rPr>
          <w:sz w:val="22"/>
          <w:szCs w:val="22"/>
        </w:rPr>
        <w:lastRenderedPageBreak/>
        <w:t>Suriye’den</w:t>
      </w:r>
      <w:r w:rsidRPr="00533264">
        <w:rPr>
          <w:sz w:val="22"/>
          <w:szCs w:val="22"/>
        </w:rPr>
        <w:t xml:space="preserve"> gelenlerin çoğunluğunun eğitimsiz olması vasıfsız işgücü açığının kapanmasını sağlamıştır. Bu durum bölgelerdeki yatırımların artmasını sağlarken diğer yandan da ücretlerin düşmesine sebep olmuştur (Öztürk ve Çoltu: 2018: 197).</w:t>
      </w:r>
    </w:p>
    <w:p w14:paraId="2826DB8E" w14:textId="28C50131" w:rsidR="00CA7646" w:rsidRPr="00533264" w:rsidRDefault="16EC5136" w:rsidP="16EC5136">
      <w:pPr>
        <w:spacing w:before="120" w:after="120"/>
        <w:ind w:firstLine="709"/>
        <w:jc w:val="both"/>
        <w:rPr>
          <w:rFonts w:eastAsia="Times New Roman"/>
          <w:color w:val="000000" w:themeColor="text1"/>
          <w:sz w:val="22"/>
          <w:szCs w:val="22"/>
        </w:rPr>
      </w:pPr>
      <w:r w:rsidRPr="00533264">
        <w:rPr>
          <w:sz w:val="22"/>
          <w:szCs w:val="22"/>
        </w:rPr>
        <w:t xml:space="preserve">Bir diğer önemli sorun ise güvenlik ve asayiş ile ilgilidir. Nüfusun dengesiz bir şekilde artması ve özellikle Suriye’den gelenlerin </w:t>
      </w:r>
      <w:r w:rsidR="00F7025C" w:rsidRPr="00533264">
        <w:rPr>
          <w:sz w:val="22"/>
          <w:szCs w:val="22"/>
        </w:rPr>
        <w:t>birçoğunun</w:t>
      </w:r>
      <w:r w:rsidRPr="00533264">
        <w:rPr>
          <w:sz w:val="22"/>
          <w:szCs w:val="22"/>
        </w:rPr>
        <w:t xml:space="preserve"> işsiz olması suç oranını da etkilemektedir.  2017 yılında Suriye’den </w:t>
      </w:r>
      <w:r w:rsidR="00F54DA3" w:rsidRPr="00533264">
        <w:rPr>
          <w:sz w:val="22"/>
          <w:szCs w:val="22"/>
        </w:rPr>
        <w:t>gelenlerin ‘</w:t>
      </w:r>
      <w:r w:rsidRPr="00533264">
        <w:rPr>
          <w:sz w:val="22"/>
          <w:szCs w:val="22"/>
        </w:rPr>
        <w:t xml:space="preserve">kasten yaralama’ ve ‘hırsızlık’ gibi suçlara karışması asayiş ile ilgili istatistiklerde ön sıralarda yer almaktadır. Örneğin Suriyelilerin yoğun olarak yaşadığı Kilis’te ’te Suriyelilerin karıştığı suç oranı %30 olarak belirlenmiştir </w:t>
      </w:r>
      <w:r w:rsidRPr="00533264">
        <w:rPr>
          <w:color w:val="000000" w:themeColor="text1"/>
          <w:sz w:val="22"/>
          <w:szCs w:val="22"/>
        </w:rPr>
        <w:t>(Ertürk, 2016). Özellikle toplu olarak yaşadıkları bölgelerde gerginliklerin artmasına sosyal uyumun zayıflamasına ve dolayısı ile yasal olmayan sektörler yaratılması sonucuna varan birçok olumsuzluğu beraberinde getirmektedir (Akkoyunlu Ertan ve Ertan,2017: 29-30)</w:t>
      </w:r>
    </w:p>
    <w:p w14:paraId="090F784D" w14:textId="7B21AA6C" w:rsidR="001005A0" w:rsidRPr="00533264" w:rsidRDefault="7EAA6DFF" w:rsidP="7EAA6DFF">
      <w:pPr>
        <w:spacing w:before="120" w:after="120"/>
        <w:ind w:firstLine="709"/>
        <w:jc w:val="both"/>
        <w:rPr>
          <w:rFonts w:eastAsia="Times New Roman"/>
          <w:sz w:val="22"/>
          <w:szCs w:val="22"/>
        </w:rPr>
      </w:pPr>
      <w:r w:rsidRPr="00533264">
        <w:rPr>
          <w:rFonts w:eastAsia="Times New Roman"/>
          <w:sz w:val="22"/>
          <w:szCs w:val="22"/>
        </w:rPr>
        <w:t xml:space="preserve">Bir diğer önemli sorun ise sağlık alanında görülmektedir. Özellikle bulaşıcı hastalıklar, sağlık hizmetlerinin yetersizliği önemli sağlık problemlerini de beraberinde getirmektedir. Örneğin Türkiye genelinde </w:t>
      </w:r>
      <w:r w:rsidRPr="00533264">
        <w:rPr>
          <w:rFonts w:eastAsia="Times New Roman"/>
          <w:color w:val="000000" w:themeColor="text1"/>
          <w:sz w:val="22"/>
          <w:szCs w:val="22"/>
        </w:rPr>
        <w:t xml:space="preserve">2012 yılında 349 kızamık hastalığı yaşanmışken, 2013 yılında bu sayı 4.172’ye yükselmiştir. Tüm bu sorunlarla başa çıkabilmek için “sürdürülebilir göç politikasına” ihtiyaç olduğu ortadadır (Akkoyunlu Ertan ve Ertan, 2017: 30).  Ancak 2011 yılında başlayan kitlesel göç hareketine karşı Türkiye’nin uyguladığı açık kapı politikası kısa vadeli bir planlama sonucu sorunları da beraberinde getirmiştir. Bu nedenle etkili bir göç politikası yürütülmesi planlama ve kaynak yetersizliği sebepleri ile mümkün olamamıştır. </w:t>
      </w:r>
      <w:r w:rsidRPr="00533264">
        <w:rPr>
          <w:rFonts w:eastAsia="Times New Roman"/>
          <w:sz w:val="22"/>
          <w:szCs w:val="22"/>
        </w:rPr>
        <w:t>Bu sorunlara bakış açısı toplumun farklı kesimlerince farklı şekillerde algılanmaktadır. Bu bakış açısını ortaya koymanın bir yolu da mecliste temsil edildikleri siyasi partilerin bakış açılarını tespit etmektir.</w:t>
      </w:r>
    </w:p>
    <w:p w14:paraId="54168720" w14:textId="1D0F7393" w:rsidR="00113508" w:rsidRPr="00533264" w:rsidRDefault="00491C8E" w:rsidP="00D3080F">
      <w:pPr>
        <w:pStyle w:val="ListeParagraf"/>
        <w:numPr>
          <w:ilvl w:val="0"/>
          <w:numId w:val="33"/>
        </w:numPr>
        <w:tabs>
          <w:tab w:val="left" w:pos="284"/>
        </w:tabs>
        <w:spacing w:before="120" w:after="120" w:line="240" w:lineRule="auto"/>
        <w:ind w:left="0" w:firstLine="0"/>
        <w:jc w:val="both"/>
        <w:rPr>
          <w:rFonts w:ascii="Times New Roman" w:eastAsia="Times New Roman" w:hAnsi="Times New Roman" w:cs="Times New Roman"/>
          <w:b/>
          <w:bCs/>
        </w:rPr>
      </w:pPr>
      <w:r>
        <w:rPr>
          <w:rFonts w:ascii="Times New Roman" w:eastAsia="Times New Roman" w:hAnsi="Times New Roman" w:cs="Times New Roman"/>
          <w:b/>
          <w:bCs/>
        </w:rPr>
        <w:t>Yöntem v</w:t>
      </w:r>
      <w:r w:rsidRPr="00533264">
        <w:rPr>
          <w:rFonts w:ascii="Times New Roman" w:eastAsia="Times New Roman" w:hAnsi="Times New Roman" w:cs="Times New Roman"/>
          <w:b/>
          <w:bCs/>
        </w:rPr>
        <w:t>e Bulgular</w:t>
      </w:r>
    </w:p>
    <w:p w14:paraId="4ED9EA4A" w14:textId="60C5ADE5" w:rsidR="000C7609" w:rsidRPr="00533264" w:rsidRDefault="16EC5136" w:rsidP="16EC5136">
      <w:pPr>
        <w:spacing w:before="120" w:after="120"/>
        <w:ind w:firstLine="708"/>
        <w:jc w:val="both"/>
        <w:rPr>
          <w:rFonts w:eastAsia="Times New Roman"/>
          <w:b/>
          <w:bCs/>
          <w:sz w:val="22"/>
          <w:szCs w:val="22"/>
        </w:rPr>
      </w:pPr>
      <w:r w:rsidRPr="00533264">
        <w:rPr>
          <w:sz w:val="22"/>
          <w:szCs w:val="22"/>
        </w:rPr>
        <w:t>Çalışmada siyasi partilerin uluslararası göç sorununa yaklaşımını belirlemek amacı ile mecliste üyesi bulunan ve muhalefette olan üç siyasi partinin meclis faaliyetleri olan yazılı ve sözlü soru önergelerine yönelik olarak içerik analizi yapılmıştır.</w:t>
      </w:r>
      <w:r w:rsidRPr="00533264">
        <w:rPr>
          <w:rFonts w:eastAsia="Times New Roman"/>
          <w:b/>
          <w:bCs/>
          <w:sz w:val="22"/>
          <w:szCs w:val="22"/>
        </w:rPr>
        <w:t xml:space="preserve"> </w:t>
      </w:r>
      <w:r w:rsidRPr="00533264">
        <w:rPr>
          <w:rFonts w:eastAsia="Times New Roman"/>
          <w:sz w:val="22"/>
          <w:szCs w:val="22"/>
        </w:rPr>
        <w:t xml:space="preserve">Analizler yapılırken seçilen siyasi partilerin 2015 yılı seçim bildirgelerinden de faydalanılmıştır. </w:t>
      </w:r>
      <w:r w:rsidRPr="00533264">
        <w:rPr>
          <w:sz w:val="22"/>
          <w:szCs w:val="22"/>
        </w:rPr>
        <w:t xml:space="preserve">Çalışmanın kapsam ve sınırlarını belirlemek amacıyla, 26. Dönem 1. Yasama yılı çalışmaları kapsamında, mecliste üyesi bulunan muhalefet partilerinden 3 siyasi parti incelenmek üzere seçilmiştir.  Bunlar MHP, CHP ve HDP olarak belirlenmiş ve söz konusu partilerin meclis çalışmaları içerisinden yazılı ve sözlü soru önergeleri incelenmek için seçilmiştir. </w:t>
      </w:r>
    </w:p>
    <w:p w14:paraId="080FACB8" w14:textId="0A22D4B0" w:rsidR="000C7609" w:rsidRPr="00533264" w:rsidRDefault="7EAA6DFF" w:rsidP="7EAA6DFF">
      <w:pPr>
        <w:spacing w:before="120" w:after="120"/>
        <w:ind w:firstLine="708"/>
        <w:jc w:val="both"/>
        <w:rPr>
          <w:rFonts w:eastAsia="Times New Roman"/>
          <w:sz w:val="22"/>
          <w:szCs w:val="22"/>
        </w:rPr>
      </w:pPr>
      <w:r w:rsidRPr="00533264">
        <w:rPr>
          <w:rFonts w:eastAsia="Times New Roman"/>
          <w:sz w:val="22"/>
          <w:szCs w:val="22"/>
        </w:rPr>
        <w:t>Uluslararası göç sorununa bakış açılarının belirlenmesi için farklı yöntemler kullanılmakla birlikte konunun meclis çalışmaları dahilinde değerlendirilmesini sağlayacak ve bu noktada sonuca götürecek olan en uygun yöntem olarak içerik analizi yöntemi belirlenmiştir.</w:t>
      </w:r>
    </w:p>
    <w:p w14:paraId="70C75F1C" w14:textId="7DD84DD6" w:rsidR="00C76827" w:rsidRPr="00533264" w:rsidRDefault="7EAA6DFF" w:rsidP="7EAA6DFF">
      <w:pPr>
        <w:spacing w:before="120" w:after="120"/>
        <w:ind w:firstLine="708"/>
        <w:jc w:val="both"/>
        <w:rPr>
          <w:rFonts w:eastAsia="Times New Roman"/>
          <w:sz w:val="22"/>
          <w:szCs w:val="22"/>
        </w:rPr>
      </w:pPr>
      <w:r w:rsidRPr="00533264">
        <w:rPr>
          <w:rFonts w:eastAsia="Times New Roman"/>
          <w:sz w:val="22"/>
          <w:szCs w:val="22"/>
        </w:rPr>
        <w:t xml:space="preserve">İçerik analizi sosyal bilimler alanında edebiyat, tarih, psikoloji, gazetecilik, siyaset bilimi gibi birçok alanda kullanılan bir yöntemdir. Bu yöntem, davranışları doğrudan doğruya gözlemlemek yerine, bireylerin sembolik davranışlarını ve iletişim materyallerini analiz etmeyi amaçlamaktadır. İçerik analizi siyasal tartışmaların istatistiksel anlamları olarak da tanımlanmaktadır (Öğülmüş, 1991). </w:t>
      </w:r>
    </w:p>
    <w:p w14:paraId="2E618D14" w14:textId="26BFCB23" w:rsidR="0041258D" w:rsidRPr="00533264" w:rsidRDefault="7EAA6DFF" w:rsidP="7EAA6DFF">
      <w:pPr>
        <w:spacing w:before="120" w:after="120"/>
        <w:ind w:firstLine="708"/>
        <w:jc w:val="both"/>
        <w:rPr>
          <w:rFonts w:eastAsia="Times New Roman"/>
          <w:sz w:val="22"/>
          <w:szCs w:val="22"/>
        </w:rPr>
      </w:pPr>
      <w:r w:rsidRPr="00533264">
        <w:rPr>
          <w:rFonts w:eastAsia="Times New Roman"/>
          <w:sz w:val="22"/>
          <w:szCs w:val="22"/>
        </w:rPr>
        <w:t>Niteliksel ve niceliksel olmak üzere iki farklı aşamada gerçekleştirilen içerik analizinde, nicel analiz aşamasında açık içeriğe odaklanılırken, niteliksel analiz bölümünde ise ne kastedildiğini araştıran örtük içeriğe odaklanılır. Son yıllarda, internet ortamındaki verilerin incelenmesi ihtiyacına bağlı olarak uygulanan içerik analizi araştırmalarında hem nitel hem de nicel analizin yapıldığı karma bir yöntem uygulanmaya başlamıştır (Çomu ve Halaiqa, 2015).</w:t>
      </w:r>
    </w:p>
    <w:p w14:paraId="26E0B3F7" w14:textId="1564D1B1" w:rsidR="00A761B0" w:rsidRPr="00533264" w:rsidRDefault="7EAA6DFF" w:rsidP="7EAA6DFF">
      <w:pPr>
        <w:spacing w:before="120" w:after="120"/>
        <w:ind w:firstLine="708"/>
        <w:jc w:val="both"/>
        <w:rPr>
          <w:rFonts w:eastAsia="Times New Roman"/>
          <w:sz w:val="22"/>
          <w:szCs w:val="22"/>
        </w:rPr>
      </w:pPr>
      <w:r w:rsidRPr="00533264">
        <w:rPr>
          <w:rFonts w:eastAsia="Times New Roman"/>
          <w:sz w:val="22"/>
          <w:szCs w:val="22"/>
        </w:rPr>
        <w:t>Bu yöntemde zamanı doğru kullanabilmek amacıyla ilk aşamada araştırmanın hedefleri tespit edilmeye çalışılır. Hedefe uygun bir örneklem kümesinin belirlenmesinden sonraki bölümde kayıt birimleri ve kategoriler tespit edilir. Nicel olarak tespit edilen kategoriler, gerekli görüldüğü takdirde birbirleriyle ilişkileri kapsamında da incelenir. Bu ilişkilerin belirlenmesi noktasında yorumlama, betimleme ve çıkarsama ile kodların açılımı gerçekleştirilir (Bilgin, 2006).</w:t>
      </w:r>
    </w:p>
    <w:p w14:paraId="0C3EC52F" w14:textId="7BC75E04" w:rsidR="000C7609" w:rsidRPr="00533264" w:rsidRDefault="7EAA6DFF" w:rsidP="7EAA6DFF">
      <w:pPr>
        <w:spacing w:before="120" w:after="120"/>
        <w:ind w:firstLine="708"/>
        <w:jc w:val="both"/>
        <w:rPr>
          <w:rFonts w:eastAsia="Times New Roman"/>
          <w:sz w:val="22"/>
          <w:szCs w:val="22"/>
        </w:rPr>
      </w:pPr>
      <w:r w:rsidRPr="00533264">
        <w:rPr>
          <w:rFonts w:eastAsia="Times New Roman"/>
          <w:sz w:val="22"/>
          <w:szCs w:val="22"/>
        </w:rPr>
        <w:t>Bu çalışmanın içerik analizi uygulamasında ilk aşama olan hedeflerin belirlenmesinde, çalışmanın amaç ve önemini vurgulamak için iki ana varsayım belirlenmiştir:</w:t>
      </w:r>
    </w:p>
    <w:p w14:paraId="6EAE5EEB" w14:textId="61293B2D" w:rsidR="00113508" w:rsidRPr="00533264" w:rsidRDefault="7EAA6DFF" w:rsidP="7EAA6DFF">
      <w:pPr>
        <w:pStyle w:val="ListeParagraf"/>
        <w:numPr>
          <w:ilvl w:val="0"/>
          <w:numId w:val="5"/>
        </w:numPr>
        <w:spacing w:before="120" w:after="120" w:line="240" w:lineRule="auto"/>
        <w:ind w:left="426"/>
        <w:jc w:val="both"/>
        <w:rPr>
          <w:rFonts w:ascii="Times New Roman" w:eastAsia="Times New Roman" w:hAnsi="Times New Roman" w:cs="Times New Roman"/>
        </w:rPr>
      </w:pPr>
      <w:r w:rsidRPr="00533264">
        <w:rPr>
          <w:rFonts w:ascii="Times New Roman" w:eastAsia="Times New Roman" w:hAnsi="Times New Roman" w:cs="Times New Roman"/>
          <w:b/>
          <w:bCs/>
        </w:rPr>
        <w:lastRenderedPageBreak/>
        <w:t>Varsayım:</w:t>
      </w:r>
      <w:r w:rsidRPr="00533264">
        <w:rPr>
          <w:rFonts w:ascii="Times New Roman" w:eastAsia="Times New Roman" w:hAnsi="Times New Roman" w:cs="Times New Roman"/>
        </w:rPr>
        <w:t xml:space="preserve"> </w:t>
      </w:r>
      <w:bookmarkStart w:id="0" w:name="_Hlk522278566"/>
      <w:r w:rsidRPr="00533264">
        <w:rPr>
          <w:rFonts w:ascii="Times New Roman" w:eastAsia="Times New Roman" w:hAnsi="Times New Roman" w:cs="Times New Roman"/>
        </w:rPr>
        <w:t xml:space="preserve">Siyasi partilerin göç konusuna </w:t>
      </w:r>
      <w:r w:rsidR="006C7210">
        <w:rPr>
          <w:rFonts w:ascii="Times New Roman" w:eastAsia="Times New Roman" w:hAnsi="Times New Roman" w:cs="Times New Roman"/>
        </w:rPr>
        <w:t>yaklaşımları</w:t>
      </w:r>
      <w:r w:rsidRPr="00533264">
        <w:rPr>
          <w:rFonts w:ascii="Times New Roman" w:eastAsia="Times New Roman" w:hAnsi="Times New Roman" w:cs="Times New Roman"/>
        </w:rPr>
        <w:t xml:space="preserve"> bu partilerin temsil ettikleri toplumsal kesimlerin </w:t>
      </w:r>
      <w:r w:rsidR="00B06CE4" w:rsidRPr="00533264">
        <w:rPr>
          <w:rFonts w:ascii="Times New Roman" w:eastAsia="Times New Roman" w:hAnsi="Times New Roman" w:cs="Times New Roman"/>
        </w:rPr>
        <w:t xml:space="preserve">göç konusuna </w:t>
      </w:r>
      <w:r w:rsidRPr="00533264">
        <w:rPr>
          <w:rFonts w:ascii="Times New Roman" w:eastAsia="Times New Roman" w:hAnsi="Times New Roman" w:cs="Times New Roman"/>
        </w:rPr>
        <w:t>bakış açıları</w:t>
      </w:r>
      <w:r w:rsidR="00F54DA3">
        <w:rPr>
          <w:rFonts w:ascii="Times New Roman" w:eastAsia="Times New Roman" w:hAnsi="Times New Roman" w:cs="Times New Roman"/>
        </w:rPr>
        <w:t xml:space="preserve">nı yansıtacağından toplumun farklı kesimlerinin </w:t>
      </w:r>
      <w:r w:rsidR="006C7210">
        <w:rPr>
          <w:rFonts w:ascii="Times New Roman" w:eastAsia="Times New Roman" w:hAnsi="Times New Roman" w:cs="Times New Roman"/>
        </w:rPr>
        <w:t>göç algısı ortaya konulacaktır</w:t>
      </w:r>
      <w:bookmarkEnd w:id="0"/>
      <w:r w:rsidR="006C7210">
        <w:rPr>
          <w:rFonts w:ascii="Times New Roman" w:eastAsia="Times New Roman" w:hAnsi="Times New Roman" w:cs="Times New Roman"/>
        </w:rPr>
        <w:t>.</w:t>
      </w:r>
    </w:p>
    <w:p w14:paraId="1AE1CDCC" w14:textId="4D790C50" w:rsidR="00A761B0" w:rsidRPr="00533264" w:rsidRDefault="7EAA6DFF" w:rsidP="7EAA6DFF">
      <w:pPr>
        <w:pStyle w:val="ListeParagraf"/>
        <w:numPr>
          <w:ilvl w:val="0"/>
          <w:numId w:val="5"/>
        </w:numPr>
        <w:spacing w:before="120" w:after="120" w:line="240" w:lineRule="auto"/>
        <w:ind w:left="426"/>
        <w:jc w:val="both"/>
        <w:rPr>
          <w:rFonts w:ascii="Times New Roman" w:eastAsia="Times New Roman" w:hAnsi="Times New Roman" w:cs="Times New Roman"/>
        </w:rPr>
      </w:pPr>
      <w:r w:rsidRPr="00533264">
        <w:rPr>
          <w:rFonts w:ascii="Times New Roman" w:eastAsia="Times New Roman" w:hAnsi="Times New Roman" w:cs="Times New Roman"/>
          <w:b/>
          <w:bCs/>
        </w:rPr>
        <w:t>Varsayım:</w:t>
      </w:r>
      <w:r w:rsidRPr="00533264">
        <w:rPr>
          <w:rFonts w:ascii="Times New Roman" w:eastAsia="Times New Roman" w:hAnsi="Times New Roman" w:cs="Times New Roman"/>
        </w:rPr>
        <w:t xml:space="preserve"> Muhalefet partilerinin uluslararası göç </w:t>
      </w:r>
      <w:r w:rsidR="00F54DA3">
        <w:rPr>
          <w:rFonts w:ascii="Times New Roman" w:eastAsia="Times New Roman" w:hAnsi="Times New Roman" w:cs="Times New Roman"/>
        </w:rPr>
        <w:t>harketine</w:t>
      </w:r>
      <w:r w:rsidRPr="00533264">
        <w:rPr>
          <w:rFonts w:ascii="Times New Roman" w:eastAsia="Times New Roman" w:hAnsi="Times New Roman" w:cs="Times New Roman"/>
        </w:rPr>
        <w:t xml:space="preserve"> eleştirilerinin temelinde, muhalif duruşun da gereği olarak, Türkiye’nin Suriye göç politikası (yaşamsal ihtiyaçların karşılanması, istihdam, vb.) konusundaki uygulamalarda yaşanan sorunlar bulunmaktadır. </w:t>
      </w:r>
    </w:p>
    <w:p w14:paraId="1B7AD2F3" w14:textId="7A0636FC" w:rsidR="004F6015" w:rsidRPr="00533264" w:rsidRDefault="7EAA6DFF" w:rsidP="7EAA6DFF">
      <w:pPr>
        <w:spacing w:before="120" w:after="120"/>
        <w:ind w:left="66" w:firstLine="642"/>
        <w:jc w:val="both"/>
        <w:rPr>
          <w:rFonts w:eastAsia="Times New Roman"/>
          <w:sz w:val="22"/>
          <w:szCs w:val="22"/>
        </w:rPr>
      </w:pPr>
      <w:r w:rsidRPr="00533264">
        <w:rPr>
          <w:rFonts w:eastAsia="Times New Roman"/>
          <w:sz w:val="22"/>
          <w:szCs w:val="22"/>
        </w:rPr>
        <w:t xml:space="preserve">İkinci aşama olan örneklem kümesinin belirlenmesinde TBMM web sayfasından alınan veriler doğrultusunda, cevaplanmış yazılı ve sözlü soru önergelerini içeren, üç siyasi partiye ait önergeler, 2 Kasım 2015 ve 30 Eylül 2016 tarihlerini kapsayan 26. Dönem 1. Yasama Yılı faaliyetleri içerisinden seçilmiştir. Konu ile alakalı cevaplanan toplam 47 soru önergesine ulaşılmıştır. Bu soru önergeleri incelendiğinde 19 önergenin CHP tarafından, 9 önergenin MHP tarafından ve 19 önergenin de HDP tarafından verilmiş olduğu tespit edilmiştir. </w:t>
      </w:r>
    </w:p>
    <w:p w14:paraId="78F11CA4" w14:textId="155D9F1D" w:rsidR="00AB0BF2" w:rsidRPr="00533264" w:rsidRDefault="7EAA6DFF" w:rsidP="7EAA6DFF">
      <w:pPr>
        <w:spacing w:before="120" w:after="120"/>
        <w:ind w:left="66" w:firstLine="642"/>
        <w:jc w:val="both"/>
        <w:rPr>
          <w:rFonts w:eastAsia="Times New Roman"/>
          <w:sz w:val="22"/>
          <w:szCs w:val="22"/>
        </w:rPr>
      </w:pPr>
      <w:r w:rsidRPr="00533264">
        <w:rPr>
          <w:rFonts w:eastAsia="Times New Roman"/>
          <w:sz w:val="22"/>
          <w:szCs w:val="22"/>
        </w:rPr>
        <w:t>Çalışmada uygulanan içerik analizi yönteminin üçüncü aşamasında kategorilerin belirlenmesi yapılmış ve bu kategoriler için uygun ölçütler aşağıdaki gibi maddeler hallinde belirtilmiştir. Bu aşamada örnek olarak Hofmann (2013:386) tarafından tasarlanan ancak bu çalışmanın konu, kapsam ve sınırlılıklarına göre yeniden biçimlenen kategori ve ölçütlerle belirlenmiştir.</w:t>
      </w:r>
    </w:p>
    <w:p w14:paraId="43ADCA24" w14:textId="7D30A02A" w:rsidR="00D3080F" w:rsidRPr="00533264" w:rsidRDefault="00D3080F" w:rsidP="7EAA6DFF">
      <w:pPr>
        <w:spacing w:before="120" w:after="120"/>
        <w:ind w:left="66" w:firstLine="642"/>
        <w:jc w:val="both"/>
        <w:rPr>
          <w:rFonts w:eastAsia="Times New Roman"/>
          <w:sz w:val="22"/>
          <w:szCs w:val="22"/>
        </w:rPr>
      </w:pPr>
    </w:p>
    <w:p w14:paraId="4D7D6A56" w14:textId="1EB0C9FE" w:rsidR="00D3080F" w:rsidRPr="00533264" w:rsidRDefault="00D3080F" w:rsidP="001D5305">
      <w:pPr>
        <w:spacing w:before="120" w:after="120"/>
        <w:ind w:left="66" w:firstLine="76"/>
        <w:jc w:val="both"/>
        <w:rPr>
          <w:rFonts w:eastAsia="Times New Roman"/>
          <w:sz w:val="20"/>
          <w:szCs w:val="20"/>
        </w:rPr>
      </w:pPr>
      <w:r w:rsidRPr="00533264">
        <w:rPr>
          <w:rFonts w:eastAsia="Times New Roman"/>
          <w:b/>
          <w:sz w:val="20"/>
          <w:szCs w:val="20"/>
        </w:rPr>
        <w:t>Tablo 1:</w:t>
      </w:r>
      <w:r w:rsidRPr="00533264">
        <w:rPr>
          <w:rFonts w:eastAsia="Times New Roman"/>
          <w:sz w:val="20"/>
          <w:szCs w:val="20"/>
        </w:rPr>
        <w:t xml:space="preserve"> Kategori ve Ölçütler</w:t>
      </w:r>
    </w:p>
    <w:tbl>
      <w:tblPr>
        <w:tblStyle w:val="TabloKlavuzu"/>
        <w:tblW w:w="10065" w:type="dxa"/>
        <w:tblInd w:w="-426" w:type="dxa"/>
        <w:tblLayout w:type="fixed"/>
        <w:tblLook w:val="04A0" w:firstRow="1" w:lastRow="0" w:firstColumn="1" w:lastColumn="0" w:noHBand="0" w:noVBand="1"/>
      </w:tblPr>
      <w:tblGrid>
        <w:gridCol w:w="326"/>
        <w:gridCol w:w="1194"/>
        <w:gridCol w:w="1033"/>
        <w:gridCol w:w="992"/>
        <w:gridCol w:w="992"/>
        <w:gridCol w:w="992"/>
        <w:gridCol w:w="1134"/>
        <w:gridCol w:w="840"/>
        <w:gridCol w:w="861"/>
        <w:gridCol w:w="851"/>
        <w:gridCol w:w="850"/>
      </w:tblGrid>
      <w:tr w:rsidR="005E06B9" w:rsidRPr="00533264" w14:paraId="403B7DEC" w14:textId="6B97F405" w:rsidTr="00D3080F">
        <w:tc>
          <w:tcPr>
            <w:tcW w:w="326" w:type="dxa"/>
            <w:tcBorders>
              <w:top w:val="nil"/>
              <w:left w:val="nil"/>
              <w:bottom w:val="single" w:sz="4" w:space="0" w:color="auto"/>
              <w:right w:val="nil"/>
            </w:tcBorders>
          </w:tcPr>
          <w:p w14:paraId="2C63E13F" w14:textId="77777777" w:rsidR="00B010F3" w:rsidRPr="00533264" w:rsidRDefault="00B010F3"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p>
        </w:tc>
        <w:tc>
          <w:tcPr>
            <w:tcW w:w="1194" w:type="dxa"/>
            <w:tcBorders>
              <w:top w:val="nil"/>
              <w:left w:val="nil"/>
              <w:bottom w:val="single" w:sz="4" w:space="0" w:color="auto"/>
              <w:right w:val="single" w:sz="4" w:space="0" w:color="auto"/>
            </w:tcBorders>
          </w:tcPr>
          <w:p w14:paraId="0EC4FED0" w14:textId="56D8F458" w:rsidR="00B010F3" w:rsidRPr="00533264" w:rsidRDefault="00B010F3"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p>
        </w:tc>
        <w:tc>
          <w:tcPr>
            <w:tcW w:w="1033" w:type="dxa"/>
            <w:tcBorders>
              <w:left w:val="single" w:sz="4" w:space="0" w:color="auto"/>
            </w:tcBorders>
            <w:shd w:val="clear" w:color="auto" w:fill="BFBFBF" w:themeFill="background1" w:themeFillShade="BF"/>
          </w:tcPr>
          <w:p w14:paraId="36702BA2" w14:textId="29332F94" w:rsidR="00B010F3" w:rsidRPr="00533264" w:rsidRDefault="00491C8E"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A</w:t>
            </w:r>
          </w:p>
        </w:tc>
        <w:tc>
          <w:tcPr>
            <w:tcW w:w="992" w:type="dxa"/>
            <w:shd w:val="clear" w:color="auto" w:fill="BFBFBF" w:themeFill="background1" w:themeFillShade="BF"/>
          </w:tcPr>
          <w:p w14:paraId="0846B6ED" w14:textId="15FEF8E5"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b</w:t>
            </w:r>
          </w:p>
        </w:tc>
        <w:tc>
          <w:tcPr>
            <w:tcW w:w="992" w:type="dxa"/>
            <w:shd w:val="clear" w:color="auto" w:fill="BFBFBF" w:themeFill="background1" w:themeFillShade="BF"/>
          </w:tcPr>
          <w:p w14:paraId="1BE46A1B" w14:textId="719F32B2"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c</w:t>
            </w:r>
          </w:p>
        </w:tc>
        <w:tc>
          <w:tcPr>
            <w:tcW w:w="992" w:type="dxa"/>
            <w:shd w:val="clear" w:color="auto" w:fill="BFBFBF" w:themeFill="background1" w:themeFillShade="BF"/>
          </w:tcPr>
          <w:p w14:paraId="24C756A4" w14:textId="0368B7C6"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d</w:t>
            </w:r>
          </w:p>
        </w:tc>
        <w:tc>
          <w:tcPr>
            <w:tcW w:w="1134" w:type="dxa"/>
            <w:shd w:val="clear" w:color="auto" w:fill="BFBFBF" w:themeFill="background1" w:themeFillShade="BF"/>
          </w:tcPr>
          <w:p w14:paraId="0E539A56" w14:textId="7E399920" w:rsidR="00B010F3" w:rsidRPr="00533264" w:rsidRDefault="003D16B9"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E</w:t>
            </w:r>
          </w:p>
        </w:tc>
        <w:tc>
          <w:tcPr>
            <w:tcW w:w="840" w:type="dxa"/>
            <w:shd w:val="clear" w:color="auto" w:fill="BFBFBF" w:themeFill="background1" w:themeFillShade="BF"/>
          </w:tcPr>
          <w:p w14:paraId="38549708" w14:textId="4B437E8E"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f</w:t>
            </w:r>
          </w:p>
        </w:tc>
        <w:tc>
          <w:tcPr>
            <w:tcW w:w="861" w:type="dxa"/>
            <w:shd w:val="clear" w:color="auto" w:fill="BFBFBF" w:themeFill="background1" w:themeFillShade="BF"/>
          </w:tcPr>
          <w:p w14:paraId="2032D3D1" w14:textId="775AD9C9"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g</w:t>
            </w:r>
          </w:p>
        </w:tc>
        <w:tc>
          <w:tcPr>
            <w:tcW w:w="851" w:type="dxa"/>
            <w:shd w:val="clear" w:color="auto" w:fill="BFBFBF" w:themeFill="background1" w:themeFillShade="BF"/>
          </w:tcPr>
          <w:p w14:paraId="58F4BE75" w14:textId="7361E9CE"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h</w:t>
            </w:r>
          </w:p>
        </w:tc>
        <w:tc>
          <w:tcPr>
            <w:tcW w:w="850" w:type="dxa"/>
            <w:shd w:val="clear" w:color="auto" w:fill="BFBFBF" w:themeFill="background1" w:themeFillShade="BF"/>
          </w:tcPr>
          <w:p w14:paraId="3F79509D" w14:textId="0E53725C"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i</w:t>
            </w:r>
          </w:p>
        </w:tc>
      </w:tr>
      <w:tr w:rsidR="005E06B9" w:rsidRPr="00533264" w14:paraId="10BD6B85" w14:textId="2C1666FC" w:rsidTr="00D3080F">
        <w:tc>
          <w:tcPr>
            <w:tcW w:w="326" w:type="dxa"/>
            <w:tcBorders>
              <w:top w:val="single" w:sz="4" w:space="0" w:color="auto"/>
            </w:tcBorders>
            <w:shd w:val="clear" w:color="auto" w:fill="BFBFBF" w:themeFill="background1" w:themeFillShade="BF"/>
          </w:tcPr>
          <w:p w14:paraId="455AA465" w14:textId="304F4464"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1</w:t>
            </w:r>
          </w:p>
        </w:tc>
        <w:tc>
          <w:tcPr>
            <w:tcW w:w="1194" w:type="dxa"/>
            <w:tcBorders>
              <w:top w:val="single" w:sz="4" w:space="0" w:color="auto"/>
            </w:tcBorders>
          </w:tcPr>
          <w:p w14:paraId="4161927B" w14:textId="74244303"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4"/>
              <w:jc w:val="both"/>
              <w:rPr>
                <w:rFonts w:eastAsia="Times New Roman"/>
                <w:b/>
                <w:bCs/>
                <w:sz w:val="20"/>
                <w:szCs w:val="20"/>
              </w:rPr>
            </w:pPr>
            <w:r w:rsidRPr="00533264">
              <w:rPr>
                <w:rFonts w:eastAsia="Times New Roman"/>
                <w:b/>
                <w:bCs/>
                <w:sz w:val="20"/>
                <w:szCs w:val="20"/>
              </w:rPr>
              <w:t>Güvenlik Kategorisi</w:t>
            </w:r>
          </w:p>
        </w:tc>
        <w:tc>
          <w:tcPr>
            <w:tcW w:w="1033" w:type="dxa"/>
          </w:tcPr>
          <w:p w14:paraId="573D3FB7" w14:textId="289D015C"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206" w:firstLine="141"/>
              <w:rPr>
                <w:rFonts w:eastAsia="Times New Roman"/>
                <w:sz w:val="20"/>
                <w:szCs w:val="20"/>
              </w:rPr>
            </w:pPr>
            <w:r w:rsidRPr="00533264">
              <w:rPr>
                <w:rFonts w:eastAsia="Times New Roman"/>
                <w:sz w:val="20"/>
                <w:szCs w:val="20"/>
              </w:rPr>
              <w:t>Silah</w:t>
            </w:r>
          </w:p>
        </w:tc>
        <w:tc>
          <w:tcPr>
            <w:tcW w:w="992" w:type="dxa"/>
          </w:tcPr>
          <w:p w14:paraId="63C230CF" w14:textId="26759372"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Savaş</w:t>
            </w:r>
          </w:p>
        </w:tc>
        <w:tc>
          <w:tcPr>
            <w:tcW w:w="992" w:type="dxa"/>
          </w:tcPr>
          <w:p w14:paraId="2BD77388" w14:textId="6D7B6029"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5"/>
              <w:jc w:val="both"/>
              <w:rPr>
                <w:rFonts w:eastAsia="Times New Roman"/>
                <w:sz w:val="20"/>
                <w:szCs w:val="20"/>
              </w:rPr>
            </w:pPr>
            <w:r w:rsidRPr="00533264">
              <w:rPr>
                <w:rFonts w:eastAsia="Times New Roman"/>
                <w:sz w:val="20"/>
                <w:szCs w:val="20"/>
              </w:rPr>
              <w:t>Barış</w:t>
            </w:r>
          </w:p>
        </w:tc>
        <w:tc>
          <w:tcPr>
            <w:tcW w:w="992" w:type="dxa"/>
          </w:tcPr>
          <w:p w14:paraId="0377E554" w14:textId="173BEC1A"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63" w:firstLine="163"/>
              <w:jc w:val="both"/>
              <w:rPr>
                <w:rFonts w:eastAsia="Times New Roman"/>
                <w:sz w:val="20"/>
                <w:szCs w:val="20"/>
              </w:rPr>
            </w:pPr>
            <w:r w:rsidRPr="00533264">
              <w:rPr>
                <w:rFonts w:eastAsia="Times New Roman"/>
                <w:sz w:val="20"/>
                <w:szCs w:val="20"/>
              </w:rPr>
              <w:t>IŞİD</w:t>
            </w:r>
          </w:p>
        </w:tc>
        <w:tc>
          <w:tcPr>
            <w:tcW w:w="1134" w:type="dxa"/>
          </w:tcPr>
          <w:p w14:paraId="29A56E7B" w14:textId="288D4FDF"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1"/>
              <w:jc w:val="both"/>
              <w:rPr>
                <w:rFonts w:eastAsia="Times New Roman"/>
                <w:sz w:val="20"/>
                <w:szCs w:val="20"/>
              </w:rPr>
            </w:pPr>
            <w:r w:rsidRPr="00533264">
              <w:rPr>
                <w:rFonts w:eastAsia="Times New Roman"/>
                <w:sz w:val="20"/>
                <w:szCs w:val="20"/>
              </w:rPr>
              <w:t>Kamu Güvenliği</w:t>
            </w:r>
          </w:p>
        </w:tc>
        <w:tc>
          <w:tcPr>
            <w:tcW w:w="840" w:type="dxa"/>
          </w:tcPr>
          <w:p w14:paraId="4A8C298B" w14:textId="647E2BC5"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Suç</w:t>
            </w:r>
          </w:p>
        </w:tc>
        <w:tc>
          <w:tcPr>
            <w:tcW w:w="861" w:type="dxa"/>
          </w:tcPr>
          <w:p w14:paraId="7E22908F" w14:textId="7D8B9F71"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r w:rsidRPr="00533264">
              <w:rPr>
                <w:rFonts w:eastAsia="Times New Roman"/>
                <w:sz w:val="20"/>
                <w:szCs w:val="20"/>
              </w:rPr>
              <w:t>Ceza/ Cezaevi</w:t>
            </w:r>
          </w:p>
        </w:tc>
        <w:tc>
          <w:tcPr>
            <w:tcW w:w="851" w:type="dxa"/>
          </w:tcPr>
          <w:p w14:paraId="0F10C0B4" w14:textId="74BC2312"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r w:rsidRPr="00533264">
              <w:rPr>
                <w:rFonts w:eastAsia="Times New Roman"/>
                <w:sz w:val="20"/>
                <w:szCs w:val="20"/>
              </w:rPr>
              <w:t>Terör</w:t>
            </w:r>
          </w:p>
        </w:tc>
        <w:tc>
          <w:tcPr>
            <w:tcW w:w="850" w:type="dxa"/>
          </w:tcPr>
          <w:p w14:paraId="7279A41D" w14:textId="160B1CC0"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r w:rsidRPr="00533264">
              <w:rPr>
                <w:rFonts w:eastAsia="Times New Roman"/>
                <w:sz w:val="20"/>
                <w:szCs w:val="20"/>
              </w:rPr>
              <w:t>Sınır dışı</w:t>
            </w:r>
          </w:p>
        </w:tc>
      </w:tr>
      <w:tr w:rsidR="005E06B9" w:rsidRPr="00533264" w14:paraId="41E9F1BA" w14:textId="3F99F32F" w:rsidTr="00D3080F">
        <w:tc>
          <w:tcPr>
            <w:tcW w:w="326" w:type="dxa"/>
            <w:shd w:val="clear" w:color="auto" w:fill="BFBFBF" w:themeFill="background1" w:themeFillShade="BF"/>
          </w:tcPr>
          <w:p w14:paraId="4DD294A6" w14:textId="6BFF87C4"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2</w:t>
            </w:r>
          </w:p>
        </w:tc>
        <w:tc>
          <w:tcPr>
            <w:tcW w:w="1194" w:type="dxa"/>
          </w:tcPr>
          <w:p w14:paraId="229D7B26" w14:textId="1F8D2771"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4"/>
              <w:jc w:val="both"/>
              <w:rPr>
                <w:rFonts w:eastAsia="Times New Roman"/>
                <w:b/>
                <w:bCs/>
                <w:sz w:val="20"/>
                <w:szCs w:val="20"/>
              </w:rPr>
            </w:pPr>
            <w:r w:rsidRPr="00533264">
              <w:rPr>
                <w:rFonts w:eastAsia="Times New Roman"/>
                <w:b/>
                <w:bCs/>
                <w:sz w:val="20"/>
                <w:szCs w:val="20"/>
              </w:rPr>
              <w:t>Sağlık Kategorisi</w:t>
            </w:r>
          </w:p>
        </w:tc>
        <w:tc>
          <w:tcPr>
            <w:tcW w:w="1033" w:type="dxa"/>
          </w:tcPr>
          <w:p w14:paraId="0E8A284A" w14:textId="02EB6039"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206" w:firstLine="141"/>
              <w:jc w:val="both"/>
              <w:rPr>
                <w:rFonts w:eastAsia="Times New Roman"/>
                <w:sz w:val="20"/>
                <w:szCs w:val="20"/>
              </w:rPr>
            </w:pPr>
            <w:r w:rsidRPr="00533264">
              <w:rPr>
                <w:rFonts w:eastAsia="Times New Roman"/>
                <w:sz w:val="20"/>
                <w:szCs w:val="20"/>
              </w:rPr>
              <w:t xml:space="preserve">Hastane </w:t>
            </w:r>
          </w:p>
        </w:tc>
        <w:tc>
          <w:tcPr>
            <w:tcW w:w="992" w:type="dxa"/>
          </w:tcPr>
          <w:p w14:paraId="65385D4C" w14:textId="7C805B32"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Salgın</w:t>
            </w:r>
          </w:p>
        </w:tc>
        <w:tc>
          <w:tcPr>
            <w:tcW w:w="992" w:type="dxa"/>
          </w:tcPr>
          <w:p w14:paraId="3E601236" w14:textId="133894FB"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5"/>
              <w:jc w:val="both"/>
              <w:rPr>
                <w:rFonts w:eastAsia="Times New Roman"/>
                <w:sz w:val="20"/>
                <w:szCs w:val="20"/>
              </w:rPr>
            </w:pPr>
            <w:r w:rsidRPr="00533264">
              <w:rPr>
                <w:rFonts w:eastAsia="Times New Roman"/>
                <w:sz w:val="20"/>
                <w:szCs w:val="20"/>
              </w:rPr>
              <w:t>Doktor</w:t>
            </w:r>
          </w:p>
        </w:tc>
        <w:tc>
          <w:tcPr>
            <w:tcW w:w="992" w:type="dxa"/>
          </w:tcPr>
          <w:p w14:paraId="06A78726" w14:textId="2BF985BE" w:rsidR="00B010F3" w:rsidRPr="00533264" w:rsidRDefault="00D3080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3"/>
              <w:jc w:val="both"/>
              <w:rPr>
                <w:rFonts w:eastAsia="Times New Roman"/>
                <w:sz w:val="20"/>
                <w:szCs w:val="20"/>
              </w:rPr>
            </w:pPr>
            <w:r w:rsidRPr="00533264">
              <w:rPr>
                <w:rFonts w:eastAsia="Times New Roman"/>
                <w:sz w:val="20"/>
                <w:szCs w:val="20"/>
              </w:rPr>
              <w:t xml:space="preserve"> </w:t>
            </w:r>
            <w:r w:rsidR="7EAA6DFF" w:rsidRPr="00533264">
              <w:rPr>
                <w:rFonts w:eastAsia="Times New Roman"/>
                <w:sz w:val="20"/>
                <w:szCs w:val="20"/>
              </w:rPr>
              <w:t xml:space="preserve">Reçete/ </w:t>
            </w:r>
            <w:r w:rsidRPr="00533264">
              <w:rPr>
                <w:rFonts w:eastAsia="Times New Roman"/>
                <w:sz w:val="20"/>
                <w:szCs w:val="20"/>
              </w:rPr>
              <w:t xml:space="preserve">  </w:t>
            </w:r>
            <w:r w:rsidR="7EAA6DFF" w:rsidRPr="00533264">
              <w:rPr>
                <w:rFonts w:eastAsia="Times New Roman"/>
                <w:sz w:val="20"/>
                <w:szCs w:val="20"/>
              </w:rPr>
              <w:t>Tedavi</w:t>
            </w:r>
          </w:p>
        </w:tc>
        <w:tc>
          <w:tcPr>
            <w:tcW w:w="1134" w:type="dxa"/>
          </w:tcPr>
          <w:p w14:paraId="63F87500" w14:textId="0B4984B7"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1"/>
              <w:jc w:val="both"/>
              <w:rPr>
                <w:rFonts w:eastAsia="Times New Roman"/>
                <w:sz w:val="20"/>
                <w:szCs w:val="20"/>
              </w:rPr>
            </w:pPr>
            <w:r w:rsidRPr="00533264">
              <w:rPr>
                <w:rFonts w:eastAsia="Times New Roman"/>
                <w:sz w:val="20"/>
                <w:szCs w:val="20"/>
              </w:rPr>
              <w:t>Doğum</w:t>
            </w:r>
          </w:p>
        </w:tc>
        <w:tc>
          <w:tcPr>
            <w:tcW w:w="840" w:type="dxa"/>
          </w:tcPr>
          <w:p w14:paraId="4DAD63AE" w14:textId="13D233E7"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Ölüm</w:t>
            </w:r>
          </w:p>
        </w:tc>
        <w:tc>
          <w:tcPr>
            <w:tcW w:w="861" w:type="dxa"/>
          </w:tcPr>
          <w:p w14:paraId="0FD5EC85" w14:textId="06783199"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r w:rsidRPr="00533264">
              <w:rPr>
                <w:rFonts w:eastAsia="Times New Roman"/>
                <w:sz w:val="20"/>
                <w:szCs w:val="20"/>
              </w:rPr>
              <w:t>Hastalık</w:t>
            </w:r>
          </w:p>
        </w:tc>
        <w:tc>
          <w:tcPr>
            <w:tcW w:w="851" w:type="dxa"/>
          </w:tcPr>
          <w:p w14:paraId="1CDF69C8"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p>
        </w:tc>
        <w:tc>
          <w:tcPr>
            <w:tcW w:w="850" w:type="dxa"/>
          </w:tcPr>
          <w:p w14:paraId="1013154A"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p>
        </w:tc>
      </w:tr>
      <w:tr w:rsidR="005E06B9" w:rsidRPr="00533264" w14:paraId="776E1A5E" w14:textId="472468BC" w:rsidTr="00D3080F">
        <w:tc>
          <w:tcPr>
            <w:tcW w:w="326" w:type="dxa"/>
            <w:shd w:val="clear" w:color="auto" w:fill="BFBFBF" w:themeFill="background1" w:themeFillShade="BF"/>
          </w:tcPr>
          <w:p w14:paraId="46EB3EC4" w14:textId="4508696E"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4</w:t>
            </w:r>
          </w:p>
        </w:tc>
        <w:tc>
          <w:tcPr>
            <w:tcW w:w="1194" w:type="dxa"/>
          </w:tcPr>
          <w:p w14:paraId="49D3C902" w14:textId="51EBBC70"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4"/>
              <w:jc w:val="both"/>
              <w:rPr>
                <w:rFonts w:eastAsia="Times New Roman"/>
                <w:b/>
                <w:bCs/>
                <w:sz w:val="20"/>
                <w:szCs w:val="20"/>
              </w:rPr>
            </w:pPr>
            <w:r w:rsidRPr="00533264">
              <w:rPr>
                <w:rFonts w:eastAsia="Times New Roman"/>
                <w:b/>
                <w:bCs/>
                <w:sz w:val="20"/>
                <w:szCs w:val="20"/>
              </w:rPr>
              <w:t>Barınma Kategorisi</w:t>
            </w:r>
          </w:p>
        </w:tc>
        <w:tc>
          <w:tcPr>
            <w:tcW w:w="1033" w:type="dxa"/>
          </w:tcPr>
          <w:p w14:paraId="5CD32977" w14:textId="0D0D47F4"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206" w:firstLine="141"/>
              <w:jc w:val="both"/>
              <w:rPr>
                <w:rFonts w:eastAsia="Times New Roman"/>
                <w:sz w:val="20"/>
                <w:szCs w:val="20"/>
              </w:rPr>
            </w:pPr>
            <w:r w:rsidRPr="00533264">
              <w:rPr>
                <w:rFonts w:eastAsia="Times New Roman"/>
                <w:sz w:val="20"/>
                <w:szCs w:val="20"/>
              </w:rPr>
              <w:t>Konut</w:t>
            </w:r>
          </w:p>
        </w:tc>
        <w:tc>
          <w:tcPr>
            <w:tcW w:w="992" w:type="dxa"/>
          </w:tcPr>
          <w:p w14:paraId="2BEAAEF8" w14:textId="1935C6A6"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TOKİ</w:t>
            </w:r>
          </w:p>
        </w:tc>
        <w:tc>
          <w:tcPr>
            <w:tcW w:w="992" w:type="dxa"/>
          </w:tcPr>
          <w:p w14:paraId="654739C8" w14:textId="46039091"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5"/>
              <w:jc w:val="both"/>
              <w:rPr>
                <w:rFonts w:eastAsia="Times New Roman"/>
                <w:sz w:val="20"/>
                <w:szCs w:val="20"/>
              </w:rPr>
            </w:pPr>
            <w:r w:rsidRPr="00533264">
              <w:rPr>
                <w:rFonts w:eastAsia="Times New Roman"/>
                <w:sz w:val="20"/>
                <w:szCs w:val="20"/>
              </w:rPr>
              <w:t>Çadır, Konteynır Kamp</w:t>
            </w:r>
          </w:p>
        </w:tc>
        <w:tc>
          <w:tcPr>
            <w:tcW w:w="992" w:type="dxa"/>
          </w:tcPr>
          <w:p w14:paraId="788097C0" w14:textId="53BA3DB0"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63" w:firstLine="163"/>
              <w:jc w:val="both"/>
              <w:rPr>
                <w:rFonts w:eastAsia="Times New Roman"/>
                <w:sz w:val="20"/>
                <w:szCs w:val="20"/>
              </w:rPr>
            </w:pPr>
            <w:r w:rsidRPr="00533264">
              <w:rPr>
                <w:rFonts w:eastAsia="Times New Roman"/>
                <w:sz w:val="20"/>
                <w:szCs w:val="20"/>
              </w:rPr>
              <w:t>İnşaat</w:t>
            </w:r>
          </w:p>
        </w:tc>
        <w:tc>
          <w:tcPr>
            <w:tcW w:w="1134" w:type="dxa"/>
          </w:tcPr>
          <w:p w14:paraId="784AA8BE" w14:textId="20B28ACF"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1"/>
              <w:jc w:val="both"/>
              <w:rPr>
                <w:rFonts w:eastAsia="Times New Roman"/>
                <w:sz w:val="20"/>
                <w:szCs w:val="20"/>
              </w:rPr>
            </w:pPr>
            <w:r w:rsidRPr="00533264">
              <w:rPr>
                <w:rFonts w:eastAsia="Times New Roman"/>
                <w:sz w:val="20"/>
                <w:szCs w:val="20"/>
              </w:rPr>
              <w:t>İhtiyaç</w:t>
            </w:r>
          </w:p>
        </w:tc>
        <w:tc>
          <w:tcPr>
            <w:tcW w:w="840" w:type="dxa"/>
          </w:tcPr>
          <w:p w14:paraId="633874F0" w14:textId="08F56B8C"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Yardım Teşvik</w:t>
            </w:r>
          </w:p>
        </w:tc>
        <w:tc>
          <w:tcPr>
            <w:tcW w:w="861" w:type="dxa"/>
          </w:tcPr>
          <w:p w14:paraId="07EAF508"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p>
        </w:tc>
        <w:tc>
          <w:tcPr>
            <w:tcW w:w="851" w:type="dxa"/>
          </w:tcPr>
          <w:p w14:paraId="5BC6DF37"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p>
        </w:tc>
        <w:tc>
          <w:tcPr>
            <w:tcW w:w="850" w:type="dxa"/>
          </w:tcPr>
          <w:p w14:paraId="5AD2DE9E"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p>
        </w:tc>
      </w:tr>
      <w:tr w:rsidR="005E06B9" w:rsidRPr="00533264" w14:paraId="35ED8589" w14:textId="66B349EF" w:rsidTr="00D3080F">
        <w:tc>
          <w:tcPr>
            <w:tcW w:w="326" w:type="dxa"/>
            <w:shd w:val="clear" w:color="auto" w:fill="BFBFBF" w:themeFill="background1" w:themeFillShade="BF"/>
          </w:tcPr>
          <w:p w14:paraId="55F67CBC" w14:textId="4F857774"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5</w:t>
            </w:r>
          </w:p>
        </w:tc>
        <w:tc>
          <w:tcPr>
            <w:tcW w:w="1194" w:type="dxa"/>
          </w:tcPr>
          <w:p w14:paraId="6C1C2A69" w14:textId="4273E74C"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4"/>
              <w:jc w:val="both"/>
              <w:rPr>
                <w:rFonts w:eastAsia="Times New Roman"/>
                <w:b/>
                <w:bCs/>
                <w:sz w:val="20"/>
                <w:szCs w:val="20"/>
              </w:rPr>
            </w:pPr>
            <w:r w:rsidRPr="00533264">
              <w:rPr>
                <w:rFonts w:eastAsia="Times New Roman"/>
                <w:b/>
                <w:bCs/>
                <w:sz w:val="20"/>
                <w:szCs w:val="20"/>
              </w:rPr>
              <w:t>Eğitim Kategorisi</w:t>
            </w:r>
          </w:p>
        </w:tc>
        <w:tc>
          <w:tcPr>
            <w:tcW w:w="1033" w:type="dxa"/>
          </w:tcPr>
          <w:p w14:paraId="0F93F07D" w14:textId="197EF47C"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206" w:firstLine="141"/>
              <w:jc w:val="both"/>
              <w:rPr>
                <w:rFonts w:eastAsia="Times New Roman"/>
                <w:sz w:val="20"/>
                <w:szCs w:val="20"/>
              </w:rPr>
            </w:pPr>
            <w:r w:rsidRPr="00533264">
              <w:rPr>
                <w:rFonts w:eastAsia="Times New Roman"/>
                <w:sz w:val="20"/>
                <w:szCs w:val="20"/>
              </w:rPr>
              <w:t>Üniversite</w:t>
            </w:r>
          </w:p>
        </w:tc>
        <w:tc>
          <w:tcPr>
            <w:tcW w:w="992" w:type="dxa"/>
          </w:tcPr>
          <w:p w14:paraId="397DA614" w14:textId="5B805D2C"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Öğretmen</w:t>
            </w:r>
          </w:p>
        </w:tc>
        <w:tc>
          <w:tcPr>
            <w:tcW w:w="992" w:type="dxa"/>
          </w:tcPr>
          <w:p w14:paraId="24592FB9" w14:textId="1D7951CA"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5"/>
              <w:jc w:val="both"/>
              <w:rPr>
                <w:rFonts w:eastAsia="Times New Roman"/>
                <w:sz w:val="20"/>
                <w:szCs w:val="20"/>
              </w:rPr>
            </w:pPr>
            <w:r w:rsidRPr="00533264">
              <w:rPr>
                <w:rFonts w:eastAsia="Times New Roman"/>
                <w:sz w:val="20"/>
                <w:szCs w:val="20"/>
              </w:rPr>
              <w:t>Kurs</w:t>
            </w:r>
          </w:p>
        </w:tc>
        <w:tc>
          <w:tcPr>
            <w:tcW w:w="992" w:type="dxa"/>
          </w:tcPr>
          <w:p w14:paraId="0C88999D" w14:textId="063A4B3A"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63" w:firstLine="163"/>
              <w:jc w:val="both"/>
              <w:rPr>
                <w:rFonts w:eastAsia="Times New Roman"/>
                <w:sz w:val="20"/>
                <w:szCs w:val="20"/>
              </w:rPr>
            </w:pPr>
            <w:r w:rsidRPr="00533264">
              <w:rPr>
                <w:rFonts w:eastAsia="Times New Roman"/>
                <w:sz w:val="20"/>
                <w:szCs w:val="20"/>
              </w:rPr>
              <w:t>Ders</w:t>
            </w:r>
          </w:p>
        </w:tc>
        <w:tc>
          <w:tcPr>
            <w:tcW w:w="1134" w:type="dxa"/>
          </w:tcPr>
          <w:p w14:paraId="6F79C17F" w14:textId="53FE2762"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1"/>
              <w:jc w:val="both"/>
              <w:rPr>
                <w:rFonts w:eastAsia="Times New Roman"/>
                <w:sz w:val="20"/>
                <w:szCs w:val="20"/>
              </w:rPr>
            </w:pPr>
            <w:r w:rsidRPr="00533264">
              <w:rPr>
                <w:rFonts w:eastAsia="Times New Roman"/>
                <w:sz w:val="20"/>
                <w:szCs w:val="20"/>
              </w:rPr>
              <w:t>Öğrenci</w:t>
            </w:r>
          </w:p>
        </w:tc>
        <w:tc>
          <w:tcPr>
            <w:tcW w:w="840" w:type="dxa"/>
          </w:tcPr>
          <w:p w14:paraId="2D011E72" w14:textId="02757F49"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Okul</w:t>
            </w:r>
          </w:p>
        </w:tc>
        <w:tc>
          <w:tcPr>
            <w:tcW w:w="861" w:type="dxa"/>
          </w:tcPr>
          <w:p w14:paraId="1EF9D841"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p>
        </w:tc>
        <w:tc>
          <w:tcPr>
            <w:tcW w:w="851" w:type="dxa"/>
          </w:tcPr>
          <w:p w14:paraId="71E9EB1C"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p>
        </w:tc>
        <w:tc>
          <w:tcPr>
            <w:tcW w:w="850" w:type="dxa"/>
          </w:tcPr>
          <w:p w14:paraId="07283D4E"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p>
        </w:tc>
      </w:tr>
      <w:tr w:rsidR="005E06B9" w:rsidRPr="00533264" w14:paraId="3EB89F1B" w14:textId="2DC486E5" w:rsidTr="00D3080F">
        <w:tc>
          <w:tcPr>
            <w:tcW w:w="326" w:type="dxa"/>
            <w:shd w:val="clear" w:color="auto" w:fill="BFBFBF" w:themeFill="background1" w:themeFillShade="BF"/>
          </w:tcPr>
          <w:p w14:paraId="7428B60D" w14:textId="4E447136"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6</w:t>
            </w:r>
          </w:p>
        </w:tc>
        <w:tc>
          <w:tcPr>
            <w:tcW w:w="1194" w:type="dxa"/>
          </w:tcPr>
          <w:p w14:paraId="58DD1665" w14:textId="21B6CA46"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4"/>
              <w:jc w:val="both"/>
              <w:rPr>
                <w:rFonts w:eastAsia="Times New Roman"/>
                <w:b/>
                <w:bCs/>
                <w:sz w:val="20"/>
                <w:szCs w:val="20"/>
              </w:rPr>
            </w:pPr>
            <w:r w:rsidRPr="00533264">
              <w:rPr>
                <w:rFonts w:eastAsia="Times New Roman"/>
                <w:b/>
                <w:bCs/>
                <w:sz w:val="20"/>
                <w:szCs w:val="20"/>
              </w:rPr>
              <w:t>Çocuk-Kadın Kategorisi</w:t>
            </w:r>
          </w:p>
        </w:tc>
        <w:tc>
          <w:tcPr>
            <w:tcW w:w="1033" w:type="dxa"/>
          </w:tcPr>
          <w:p w14:paraId="34B0FC54" w14:textId="3B2DD70E"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206" w:firstLine="141"/>
              <w:jc w:val="both"/>
              <w:rPr>
                <w:rFonts w:eastAsia="Times New Roman"/>
                <w:sz w:val="20"/>
                <w:szCs w:val="20"/>
              </w:rPr>
            </w:pPr>
            <w:r w:rsidRPr="00533264">
              <w:rPr>
                <w:rFonts w:eastAsia="Times New Roman"/>
                <w:sz w:val="20"/>
                <w:szCs w:val="20"/>
              </w:rPr>
              <w:t>İstismar</w:t>
            </w:r>
          </w:p>
        </w:tc>
        <w:tc>
          <w:tcPr>
            <w:tcW w:w="992" w:type="dxa"/>
          </w:tcPr>
          <w:p w14:paraId="04CD01FA" w14:textId="7922D9DA"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Evlilik</w:t>
            </w:r>
          </w:p>
        </w:tc>
        <w:tc>
          <w:tcPr>
            <w:tcW w:w="992" w:type="dxa"/>
          </w:tcPr>
          <w:p w14:paraId="47D19708" w14:textId="269BD944"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5"/>
              <w:jc w:val="both"/>
              <w:rPr>
                <w:rFonts w:eastAsia="Times New Roman"/>
                <w:sz w:val="20"/>
                <w:szCs w:val="20"/>
              </w:rPr>
            </w:pPr>
            <w:r w:rsidRPr="00533264">
              <w:rPr>
                <w:rFonts w:eastAsia="Times New Roman"/>
                <w:sz w:val="20"/>
                <w:szCs w:val="20"/>
              </w:rPr>
              <w:t>Çocuk İşçi</w:t>
            </w:r>
          </w:p>
        </w:tc>
        <w:tc>
          <w:tcPr>
            <w:tcW w:w="992" w:type="dxa"/>
          </w:tcPr>
          <w:p w14:paraId="4E9BE51F" w14:textId="32BF3D83" w:rsidR="00B010F3" w:rsidRPr="00533264" w:rsidRDefault="00D3080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63"/>
              <w:jc w:val="both"/>
              <w:rPr>
                <w:rFonts w:eastAsia="Times New Roman"/>
                <w:sz w:val="20"/>
                <w:szCs w:val="20"/>
              </w:rPr>
            </w:pPr>
            <w:r w:rsidRPr="00533264">
              <w:rPr>
                <w:rFonts w:eastAsia="Times New Roman"/>
                <w:sz w:val="20"/>
                <w:szCs w:val="20"/>
              </w:rPr>
              <w:t xml:space="preserve">  </w:t>
            </w:r>
            <w:r w:rsidR="7EAA6DFF" w:rsidRPr="00533264">
              <w:rPr>
                <w:rFonts w:eastAsia="Times New Roman"/>
                <w:sz w:val="20"/>
                <w:szCs w:val="20"/>
              </w:rPr>
              <w:t xml:space="preserve">Boşanma </w:t>
            </w:r>
          </w:p>
        </w:tc>
        <w:tc>
          <w:tcPr>
            <w:tcW w:w="1134" w:type="dxa"/>
          </w:tcPr>
          <w:p w14:paraId="4DB1C096"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1"/>
              <w:jc w:val="both"/>
              <w:rPr>
                <w:rFonts w:eastAsia="Times New Roman"/>
                <w:sz w:val="20"/>
                <w:szCs w:val="20"/>
              </w:rPr>
            </w:pPr>
          </w:p>
        </w:tc>
        <w:tc>
          <w:tcPr>
            <w:tcW w:w="840" w:type="dxa"/>
          </w:tcPr>
          <w:p w14:paraId="37360AAB"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p>
        </w:tc>
        <w:tc>
          <w:tcPr>
            <w:tcW w:w="861" w:type="dxa"/>
          </w:tcPr>
          <w:p w14:paraId="2F44033C"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p>
        </w:tc>
        <w:tc>
          <w:tcPr>
            <w:tcW w:w="851" w:type="dxa"/>
          </w:tcPr>
          <w:p w14:paraId="5F3CE8B7"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p>
        </w:tc>
        <w:tc>
          <w:tcPr>
            <w:tcW w:w="850" w:type="dxa"/>
          </w:tcPr>
          <w:p w14:paraId="6777C373" w14:textId="77777777" w:rsidR="00B010F3" w:rsidRPr="00533264" w:rsidRDefault="00B010F3"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p>
        </w:tc>
      </w:tr>
      <w:tr w:rsidR="005E06B9" w:rsidRPr="00533264" w14:paraId="0AFBEC2A" w14:textId="7891FED2" w:rsidTr="00D3080F">
        <w:tc>
          <w:tcPr>
            <w:tcW w:w="326" w:type="dxa"/>
            <w:shd w:val="clear" w:color="auto" w:fill="BFBFBF" w:themeFill="background1" w:themeFillShade="BF"/>
          </w:tcPr>
          <w:p w14:paraId="4BBC947E" w14:textId="32B7F6D1"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7</w:t>
            </w:r>
          </w:p>
        </w:tc>
        <w:tc>
          <w:tcPr>
            <w:tcW w:w="1194" w:type="dxa"/>
          </w:tcPr>
          <w:p w14:paraId="1C997CC5" w14:textId="17C79112"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4"/>
              <w:jc w:val="both"/>
              <w:rPr>
                <w:rFonts w:eastAsia="Times New Roman"/>
                <w:b/>
                <w:bCs/>
                <w:sz w:val="20"/>
                <w:szCs w:val="20"/>
              </w:rPr>
            </w:pPr>
            <w:r w:rsidRPr="00533264">
              <w:rPr>
                <w:rFonts w:eastAsia="Times New Roman"/>
                <w:b/>
                <w:bCs/>
                <w:sz w:val="20"/>
                <w:szCs w:val="20"/>
              </w:rPr>
              <w:t>Göç Politikası Kategorisi</w:t>
            </w:r>
          </w:p>
        </w:tc>
        <w:tc>
          <w:tcPr>
            <w:tcW w:w="1033" w:type="dxa"/>
          </w:tcPr>
          <w:p w14:paraId="4754409F" w14:textId="35146823"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206" w:firstLine="141"/>
              <w:jc w:val="both"/>
              <w:rPr>
                <w:rFonts w:eastAsia="Times New Roman"/>
                <w:sz w:val="20"/>
                <w:szCs w:val="20"/>
              </w:rPr>
            </w:pPr>
            <w:r w:rsidRPr="00533264">
              <w:rPr>
                <w:rFonts w:eastAsia="Times New Roman"/>
                <w:sz w:val="20"/>
                <w:szCs w:val="20"/>
              </w:rPr>
              <w:t>Suriye P</w:t>
            </w:r>
            <w:r w:rsidR="00F54DA3">
              <w:rPr>
                <w:rFonts w:eastAsia="Times New Roman"/>
                <w:sz w:val="20"/>
                <w:szCs w:val="20"/>
              </w:rPr>
              <w:t>P</w:t>
            </w:r>
            <w:r w:rsidRPr="00533264">
              <w:rPr>
                <w:rFonts w:eastAsia="Times New Roman"/>
                <w:sz w:val="20"/>
                <w:szCs w:val="20"/>
              </w:rPr>
              <w:t>olitikası</w:t>
            </w:r>
          </w:p>
        </w:tc>
        <w:tc>
          <w:tcPr>
            <w:tcW w:w="992" w:type="dxa"/>
          </w:tcPr>
          <w:p w14:paraId="063FF04D" w14:textId="6361FEFF"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Geri Gönderme</w:t>
            </w:r>
          </w:p>
        </w:tc>
        <w:tc>
          <w:tcPr>
            <w:tcW w:w="992" w:type="dxa"/>
          </w:tcPr>
          <w:p w14:paraId="5DF279F6" w14:textId="52AC1BBF"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5"/>
              <w:jc w:val="both"/>
              <w:rPr>
                <w:rFonts w:eastAsia="Times New Roman"/>
                <w:sz w:val="20"/>
                <w:szCs w:val="20"/>
              </w:rPr>
            </w:pPr>
            <w:r w:rsidRPr="00533264">
              <w:rPr>
                <w:rFonts w:eastAsia="Times New Roman"/>
                <w:sz w:val="20"/>
                <w:szCs w:val="20"/>
              </w:rPr>
              <w:t>Dış Politika</w:t>
            </w:r>
          </w:p>
        </w:tc>
        <w:tc>
          <w:tcPr>
            <w:tcW w:w="992" w:type="dxa"/>
          </w:tcPr>
          <w:p w14:paraId="3A3DB0DA" w14:textId="41D30C39"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63" w:firstLine="163"/>
              <w:jc w:val="both"/>
              <w:rPr>
                <w:rFonts w:eastAsia="Times New Roman"/>
                <w:sz w:val="20"/>
                <w:szCs w:val="20"/>
              </w:rPr>
            </w:pPr>
            <w:r w:rsidRPr="00533264">
              <w:rPr>
                <w:rFonts w:eastAsia="Times New Roman"/>
                <w:sz w:val="20"/>
                <w:szCs w:val="20"/>
              </w:rPr>
              <w:t>AB</w:t>
            </w:r>
          </w:p>
        </w:tc>
        <w:tc>
          <w:tcPr>
            <w:tcW w:w="1134" w:type="dxa"/>
          </w:tcPr>
          <w:p w14:paraId="6BB676E8" w14:textId="67535CFC"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1"/>
              <w:jc w:val="both"/>
              <w:rPr>
                <w:rFonts w:eastAsia="Times New Roman"/>
                <w:sz w:val="20"/>
                <w:szCs w:val="20"/>
              </w:rPr>
            </w:pPr>
            <w:r w:rsidRPr="00533264">
              <w:rPr>
                <w:rFonts w:eastAsia="Times New Roman"/>
                <w:sz w:val="20"/>
                <w:szCs w:val="20"/>
              </w:rPr>
              <w:t>Vatandaşlık</w:t>
            </w:r>
          </w:p>
        </w:tc>
        <w:tc>
          <w:tcPr>
            <w:tcW w:w="840" w:type="dxa"/>
          </w:tcPr>
          <w:p w14:paraId="51FC88B5" w14:textId="48A9B27C"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Çözüm</w:t>
            </w:r>
          </w:p>
        </w:tc>
        <w:tc>
          <w:tcPr>
            <w:tcW w:w="861" w:type="dxa"/>
          </w:tcPr>
          <w:p w14:paraId="60156D48" w14:textId="493A926E"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r w:rsidRPr="00533264">
              <w:rPr>
                <w:rFonts w:eastAsia="Times New Roman"/>
                <w:sz w:val="20"/>
                <w:szCs w:val="20"/>
              </w:rPr>
              <w:t>Kaynak</w:t>
            </w:r>
          </w:p>
        </w:tc>
        <w:tc>
          <w:tcPr>
            <w:tcW w:w="851" w:type="dxa"/>
          </w:tcPr>
          <w:p w14:paraId="310E41B8" w14:textId="7D03A4E2"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r w:rsidRPr="00533264">
              <w:rPr>
                <w:rFonts w:eastAsia="Times New Roman"/>
                <w:sz w:val="20"/>
                <w:szCs w:val="20"/>
              </w:rPr>
              <w:t>Harcama</w:t>
            </w:r>
          </w:p>
        </w:tc>
        <w:tc>
          <w:tcPr>
            <w:tcW w:w="850" w:type="dxa"/>
          </w:tcPr>
          <w:p w14:paraId="13E9BBA6" w14:textId="6231CC08"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r w:rsidRPr="00533264">
              <w:rPr>
                <w:rFonts w:eastAsia="Times New Roman"/>
                <w:sz w:val="20"/>
                <w:szCs w:val="20"/>
              </w:rPr>
              <w:t>Sosyal Uyum</w:t>
            </w:r>
          </w:p>
        </w:tc>
      </w:tr>
      <w:tr w:rsidR="005E06B9" w:rsidRPr="00533264" w14:paraId="761E325C" w14:textId="08D07E70" w:rsidTr="00D3080F">
        <w:tc>
          <w:tcPr>
            <w:tcW w:w="326" w:type="dxa"/>
            <w:shd w:val="clear" w:color="auto" w:fill="BFBFBF" w:themeFill="background1" w:themeFillShade="BF"/>
          </w:tcPr>
          <w:p w14:paraId="7D9FC332" w14:textId="56846D5E" w:rsidR="00B010F3"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b/>
                <w:bCs/>
                <w:sz w:val="20"/>
                <w:szCs w:val="20"/>
              </w:rPr>
            </w:pPr>
            <w:r w:rsidRPr="00533264">
              <w:rPr>
                <w:rFonts w:eastAsia="Times New Roman"/>
                <w:b/>
                <w:bCs/>
                <w:sz w:val="20"/>
                <w:szCs w:val="20"/>
              </w:rPr>
              <w:t>8</w:t>
            </w:r>
          </w:p>
        </w:tc>
        <w:tc>
          <w:tcPr>
            <w:tcW w:w="1194" w:type="dxa"/>
          </w:tcPr>
          <w:p w14:paraId="7510615A" w14:textId="2ABA7E21"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4"/>
              <w:jc w:val="both"/>
              <w:rPr>
                <w:rFonts w:eastAsia="Times New Roman"/>
                <w:b/>
                <w:bCs/>
                <w:sz w:val="20"/>
                <w:szCs w:val="20"/>
              </w:rPr>
            </w:pPr>
            <w:r w:rsidRPr="00533264">
              <w:rPr>
                <w:rFonts w:eastAsia="Times New Roman"/>
                <w:b/>
                <w:bCs/>
                <w:sz w:val="20"/>
                <w:szCs w:val="20"/>
              </w:rPr>
              <w:t>İstihdam Kategorisi</w:t>
            </w:r>
          </w:p>
        </w:tc>
        <w:tc>
          <w:tcPr>
            <w:tcW w:w="1033" w:type="dxa"/>
          </w:tcPr>
          <w:p w14:paraId="1073B435" w14:textId="5875A750"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206" w:firstLine="141"/>
              <w:jc w:val="both"/>
              <w:rPr>
                <w:rFonts w:eastAsia="Times New Roman"/>
                <w:sz w:val="20"/>
                <w:szCs w:val="20"/>
              </w:rPr>
            </w:pPr>
            <w:r w:rsidRPr="00533264">
              <w:rPr>
                <w:rFonts w:eastAsia="Times New Roman"/>
                <w:sz w:val="20"/>
                <w:szCs w:val="20"/>
              </w:rPr>
              <w:t xml:space="preserve">Çalışma </w:t>
            </w:r>
          </w:p>
        </w:tc>
        <w:tc>
          <w:tcPr>
            <w:tcW w:w="992" w:type="dxa"/>
          </w:tcPr>
          <w:p w14:paraId="41D50821" w14:textId="4A303770"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 xml:space="preserve">İşçi </w:t>
            </w:r>
          </w:p>
        </w:tc>
        <w:tc>
          <w:tcPr>
            <w:tcW w:w="992" w:type="dxa"/>
          </w:tcPr>
          <w:p w14:paraId="24A5C0A4" w14:textId="48F6995F"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5"/>
              <w:jc w:val="both"/>
              <w:rPr>
                <w:rFonts w:eastAsia="Times New Roman"/>
                <w:sz w:val="20"/>
                <w:szCs w:val="20"/>
              </w:rPr>
            </w:pPr>
            <w:r w:rsidRPr="00533264">
              <w:rPr>
                <w:rFonts w:eastAsia="Times New Roman"/>
                <w:sz w:val="20"/>
                <w:szCs w:val="20"/>
              </w:rPr>
              <w:t>Kayıt dışı</w:t>
            </w:r>
          </w:p>
        </w:tc>
        <w:tc>
          <w:tcPr>
            <w:tcW w:w="992" w:type="dxa"/>
          </w:tcPr>
          <w:p w14:paraId="05DC2794" w14:textId="5DB9788F" w:rsidR="00B010F3" w:rsidRPr="00533264" w:rsidRDefault="00D3080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63"/>
              <w:jc w:val="both"/>
              <w:rPr>
                <w:rFonts w:eastAsia="Times New Roman"/>
                <w:sz w:val="20"/>
                <w:szCs w:val="20"/>
              </w:rPr>
            </w:pPr>
            <w:r w:rsidRPr="00533264">
              <w:rPr>
                <w:rFonts w:eastAsia="Times New Roman"/>
                <w:sz w:val="20"/>
                <w:szCs w:val="20"/>
              </w:rPr>
              <w:t xml:space="preserve">  </w:t>
            </w:r>
            <w:r w:rsidR="7EAA6DFF" w:rsidRPr="00533264">
              <w:rPr>
                <w:rFonts w:eastAsia="Times New Roman"/>
                <w:sz w:val="20"/>
                <w:szCs w:val="20"/>
              </w:rPr>
              <w:t xml:space="preserve">Sosyal </w:t>
            </w:r>
            <w:r w:rsidRPr="00533264">
              <w:rPr>
                <w:rFonts w:eastAsia="Times New Roman"/>
                <w:sz w:val="20"/>
                <w:szCs w:val="20"/>
              </w:rPr>
              <w:t xml:space="preserve">    Gü</w:t>
            </w:r>
            <w:r w:rsidR="7EAA6DFF" w:rsidRPr="00533264">
              <w:rPr>
                <w:rFonts w:eastAsia="Times New Roman"/>
                <w:sz w:val="20"/>
                <w:szCs w:val="20"/>
              </w:rPr>
              <w:t>venlik</w:t>
            </w:r>
          </w:p>
        </w:tc>
        <w:tc>
          <w:tcPr>
            <w:tcW w:w="1134" w:type="dxa"/>
          </w:tcPr>
          <w:p w14:paraId="69E6FDA1" w14:textId="49FB2D63"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1"/>
              <w:jc w:val="both"/>
              <w:rPr>
                <w:rFonts w:eastAsia="Times New Roman"/>
                <w:sz w:val="20"/>
                <w:szCs w:val="20"/>
              </w:rPr>
            </w:pPr>
            <w:r w:rsidRPr="00533264">
              <w:rPr>
                <w:rFonts w:eastAsia="Times New Roman"/>
                <w:sz w:val="20"/>
                <w:szCs w:val="20"/>
              </w:rPr>
              <w:t>Sektör</w:t>
            </w:r>
          </w:p>
        </w:tc>
        <w:tc>
          <w:tcPr>
            <w:tcW w:w="840" w:type="dxa"/>
          </w:tcPr>
          <w:p w14:paraId="5D9CF16A" w14:textId="5BB6E2FA"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107"/>
              <w:jc w:val="both"/>
              <w:rPr>
                <w:rFonts w:eastAsia="Times New Roman"/>
                <w:sz w:val="20"/>
                <w:szCs w:val="20"/>
              </w:rPr>
            </w:pPr>
            <w:r w:rsidRPr="00533264">
              <w:rPr>
                <w:rFonts w:eastAsia="Times New Roman"/>
                <w:sz w:val="20"/>
                <w:szCs w:val="20"/>
              </w:rPr>
              <w:t>İzin</w:t>
            </w:r>
          </w:p>
        </w:tc>
        <w:tc>
          <w:tcPr>
            <w:tcW w:w="861" w:type="dxa"/>
          </w:tcPr>
          <w:p w14:paraId="68E646DF" w14:textId="673EE9AC"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r w:rsidRPr="00533264">
              <w:rPr>
                <w:rFonts w:eastAsia="Times New Roman"/>
                <w:sz w:val="20"/>
                <w:szCs w:val="20"/>
              </w:rPr>
              <w:t>Ticaret</w:t>
            </w:r>
          </w:p>
        </w:tc>
        <w:tc>
          <w:tcPr>
            <w:tcW w:w="851" w:type="dxa"/>
          </w:tcPr>
          <w:p w14:paraId="6539D145" w14:textId="104FCD1C"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r w:rsidRPr="00533264">
              <w:rPr>
                <w:rFonts w:eastAsia="Times New Roman"/>
                <w:sz w:val="20"/>
                <w:szCs w:val="20"/>
              </w:rPr>
              <w:t>Rekabet</w:t>
            </w:r>
          </w:p>
        </w:tc>
        <w:tc>
          <w:tcPr>
            <w:tcW w:w="850" w:type="dxa"/>
          </w:tcPr>
          <w:p w14:paraId="418F4BD4" w14:textId="318B03C8" w:rsidR="00B010F3" w:rsidRPr="00533264" w:rsidRDefault="7EAA6DFF" w:rsidP="00D3080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ind w:left="-96"/>
              <w:jc w:val="both"/>
              <w:rPr>
                <w:rFonts w:eastAsia="Times New Roman"/>
                <w:sz w:val="20"/>
                <w:szCs w:val="20"/>
              </w:rPr>
            </w:pPr>
            <w:r w:rsidRPr="00533264">
              <w:rPr>
                <w:rFonts w:eastAsia="Times New Roman"/>
                <w:sz w:val="20"/>
                <w:szCs w:val="20"/>
              </w:rPr>
              <w:t>Vergi</w:t>
            </w:r>
          </w:p>
        </w:tc>
      </w:tr>
    </w:tbl>
    <w:p w14:paraId="2C7C8905" w14:textId="6B8911B6" w:rsidR="00EE3395" w:rsidRPr="00533264" w:rsidRDefault="00EE3395" w:rsidP="7EAA6DFF">
      <w:pPr>
        <w:tabs>
          <w:tab w:val="left" w:pos="426"/>
        </w:tabs>
        <w:spacing w:before="120" w:after="120"/>
        <w:jc w:val="both"/>
        <w:rPr>
          <w:rFonts w:eastAsia="Times New Roman"/>
          <w:b/>
          <w:bCs/>
          <w:sz w:val="22"/>
          <w:szCs w:val="22"/>
        </w:rPr>
      </w:pPr>
    </w:p>
    <w:p w14:paraId="047957D3" w14:textId="4C4486E7" w:rsidR="003C7F45" w:rsidRPr="00533264" w:rsidRDefault="003C7F45" w:rsidP="7EAA6DFF">
      <w:pPr>
        <w:tabs>
          <w:tab w:val="left" w:pos="426"/>
        </w:tabs>
        <w:spacing w:before="120" w:after="120"/>
        <w:jc w:val="both"/>
        <w:rPr>
          <w:rFonts w:eastAsia="Times New Roman"/>
          <w:b/>
          <w:bCs/>
          <w:sz w:val="22"/>
          <w:szCs w:val="22"/>
        </w:rPr>
      </w:pPr>
    </w:p>
    <w:p w14:paraId="7BF82621" w14:textId="26A42D13" w:rsidR="00DD7B4C" w:rsidRPr="00533264" w:rsidRDefault="00DD7B4C" w:rsidP="7EAA6DFF">
      <w:pPr>
        <w:tabs>
          <w:tab w:val="left" w:pos="426"/>
        </w:tabs>
        <w:spacing w:before="120" w:after="120"/>
        <w:jc w:val="both"/>
        <w:rPr>
          <w:rFonts w:eastAsia="Times New Roman"/>
          <w:b/>
          <w:bCs/>
          <w:sz w:val="22"/>
          <w:szCs w:val="22"/>
        </w:rPr>
      </w:pPr>
    </w:p>
    <w:p w14:paraId="15629B8B" w14:textId="78CDE605" w:rsidR="006E045F" w:rsidRPr="00533264" w:rsidRDefault="006E045F" w:rsidP="7EAA6DFF">
      <w:pPr>
        <w:tabs>
          <w:tab w:val="left" w:pos="426"/>
        </w:tabs>
        <w:spacing w:before="120" w:after="120"/>
        <w:jc w:val="both"/>
        <w:rPr>
          <w:rFonts w:eastAsia="Times New Roman"/>
          <w:b/>
          <w:bCs/>
          <w:sz w:val="22"/>
          <w:szCs w:val="22"/>
        </w:rPr>
      </w:pPr>
    </w:p>
    <w:p w14:paraId="0DFE5524" w14:textId="7114FB59" w:rsidR="00AD08CD" w:rsidRPr="00533264" w:rsidRDefault="00AD08CD" w:rsidP="7EAA6DFF">
      <w:pPr>
        <w:tabs>
          <w:tab w:val="left" w:pos="426"/>
        </w:tabs>
        <w:spacing w:before="120" w:after="120"/>
        <w:jc w:val="both"/>
        <w:rPr>
          <w:rFonts w:eastAsia="Times New Roman"/>
          <w:b/>
          <w:bCs/>
          <w:sz w:val="22"/>
          <w:szCs w:val="22"/>
        </w:rPr>
      </w:pPr>
    </w:p>
    <w:p w14:paraId="4CFB8B27" w14:textId="6AEBC7AD" w:rsidR="00AD08CD" w:rsidRDefault="00AD08CD" w:rsidP="7EAA6DFF">
      <w:pPr>
        <w:tabs>
          <w:tab w:val="left" w:pos="426"/>
        </w:tabs>
        <w:spacing w:before="120" w:after="120"/>
        <w:jc w:val="both"/>
        <w:rPr>
          <w:rFonts w:eastAsia="Times New Roman"/>
          <w:b/>
          <w:bCs/>
          <w:sz w:val="22"/>
          <w:szCs w:val="22"/>
        </w:rPr>
      </w:pPr>
    </w:p>
    <w:p w14:paraId="01E1B201" w14:textId="77777777" w:rsidR="003D16B9" w:rsidRDefault="003D16B9" w:rsidP="7EAA6DFF">
      <w:pPr>
        <w:tabs>
          <w:tab w:val="left" w:pos="426"/>
        </w:tabs>
        <w:spacing w:before="120" w:after="120"/>
        <w:jc w:val="both"/>
        <w:rPr>
          <w:rFonts w:eastAsia="Times New Roman"/>
          <w:b/>
          <w:bCs/>
          <w:sz w:val="20"/>
          <w:szCs w:val="20"/>
        </w:rPr>
      </w:pPr>
    </w:p>
    <w:p w14:paraId="500E0B31" w14:textId="7CB30E01" w:rsidR="003C7F45" w:rsidRPr="00533264" w:rsidRDefault="00533264" w:rsidP="7EAA6DFF">
      <w:pPr>
        <w:tabs>
          <w:tab w:val="left" w:pos="426"/>
        </w:tabs>
        <w:spacing w:before="120" w:after="120"/>
        <w:jc w:val="both"/>
        <w:rPr>
          <w:rFonts w:eastAsia="Times New Roman"/>
          <w:b/>
          <w:bCs/>
          <w:sz w:val="20"/>
          <w:szCs w:val="20"/>
        </w:rPr>
      </w:pPr>
      <w:r w:rsidRPr="00533264">
        <w:rPr>
          <w:rFonts w:eastAsia="Times New Roman"/>
          <w:b/>
          <w:bCs/>
          <w:sz w:val="20"/>
          <w:szCs w:val="20"/>
        </w:rPr>
        <w:lastRenderedPageBreak/>
        <w:t xml:space="preserve">Tablo 2 : </w:t>
      </w:r>
      <w:r w:rsidRPr="00533264">
        <w:rPr>
          <w:rFonts w:eastAsia="Times New Roman"/>
          <w:bCs/>
          <w:sz w:val="20"/>
          <w:szCs w:val="20"/>
        </w:rPr>
        <w:t>Kodlama Cetveli</w:t>
      </w:r>
    </w:p>
    <w:tbl>
      <w:tblPr>
        <w:tblStyle w:val="TabloKlavuzu"/>
        <w:tblW w:w="9209" w:type="dxa"/>
        <w:tblInd w:w="-147" w:type="dxa"/>
        <w:tblLayout w:type="fixed"/>
        <w:tblLook w:val="04A0" w:firstRow="1" w:lastRow="0" w:firstColumn="1" w:lastColumn="0" w:noHBand="0" w:noVBand="1"/>
      </w:tblPr>
      <w:tblGrid>
        <w:gridCol w:w="709"/>
        <w:gridCol w:w="1276"/>
        <w:gridCol w:w="1134"/>
        <w:gridCol w:w="1276"/>
        <w:gridCol w:w="1232"/>
        <w:gridCol w:w="1194"/>
        <w:gridCol w:w="1194"/>
        <w:gridCol w:w="1194"/>
      </w:tblGrid>
      <w:tr w:rsidR="00693DB2" w:rsidRPr="00533264" w14:paraId="4E7CFBB8" w14:textId="77777777" w:rsidTr="001D5305">
        <w:tc>
          <w:tcPr>
            <w:tcW w:w="709" w:type="dxa"/>
            <w:shd w:val="clear" w:color="auto" w:fill="BFBFBF" w:themeFill="background1" w:themeFillShade="BF"/>
          </w:tcPr>
          <w:p w14:paraId="7D70789B" w14:textId="614EF1B3"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120" w:after="120"/>
              <w:jc w:val="both"/>
              <w:rPr>
                <w:rFonts w:eastAsia="Times New Roman"/>
                <w:b/>
                <w:bCs/>
                <w:sz w:val="20"/>
                <w:szCs w:val="20"/>
              </w:rPr>
            </w:pPr>
            <w:r w:rsidRPr="00533264">
              <w:rPr>
                <w:rFonts w:eastAsia="Times New Roman"/>
                <w:b/>
                <w:bCs/>
                <w:sz w:val="20"/>
                <w:szCs w:val="20"/>
              </w:rPr>
              <w:t>KOD</w:t>
            </w:r>
          </w:p>
        </w:tc>
        <w:tc>
          <w:tcPr>
            <w:tcW w:w="1276" w:type="dxa"/>
            <w:shd w:val="clear" w:color="auto" w:fill="BFBFBF" w:themeFill="background1" w:themeFillShade="BF"/>
          </w:tcPr>
          <w:p w14:paraId="3E759A30" w14:textId="2C45A038"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before="120" w:after="120"/>
              <w:rPr>
                <w:rFonts w:eastAsia="Times New Roman"/>
                <w:b/>
                <w:bCs/>
                <w:sz w:val="20"/>
                <w:szCs w:val="20"/>
              </w:rPr>
            </w:pPr>
            <w:r w:rsidRPr="00533264">
              <w:rPr>
                <w:rFonts w:eastAsia="Times New Roman"/>
                <w:b/>
                <w:bCs/>
                <w:sz w:val="20"/>
                <w:szCs w:val="20"/>
              </w:rPr>
              <w:t>1. Güvenlik Kategorisi</w:t>
            </w:r>
          </w:p>
        </w:tc>
        <w:tc>
          <w:tcPr>
            <w:tcW w:w="1134" w:type="dxa"/>
            <w:shd w:val="clear" w:color="auto" w:fill="BFBFBF" w:themeFill="background1" w:themeFillShade="BF"/>
          </w:tcPr>
          <w:p w14:paraId="40A8EFF1" w14:textId="06204E3A"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298"/>
              </w:tabs>
              <w:spacing w:before="120" w:after="120"/>
              <w:rPr>
                <w:rFonts w:eastAsia="Times New Roman"/>
                <w:b/>
                <w:bCs/>
                <w:sz w:val="20"/>
                <w:szCs w:val="20"/>
              </w:rPr>
            </w:pPr>
            <w:r w:rsidRPr="00533264">
              <w:rPr>
                <w:rFonts w:eastAsia="Times New Roman"/>
                <w:b/>
                <w:bCs/>
                <w:sz w:val="20"/>
                <w:szCs w:val="20"/>
              </w:rPr>
              <w:t>2. Sağlık Kategorisi</w:t>
            </w:r>
          </w:p>
        </w:tc>
        <w:tc>
          <w:tcPr>
            <w:tcW w:w="1276" w:type="dxa"/>
            <w:shd w:val="clear" w:color="auto" w:fill="BFBFBF" w:themeFill="background1" w:themeFillShade="BF"/>
          </w:tcPr>
          <w:p w14:paraId="2C09B57D" w14:textId="2065BE4B"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rPr>
                <w:rFonts w:eastAsia="Times New Roman"/>
                <w:b/>
                <w:bCs/>
                <w:sz w:val="20"/>
                <w:szCs w:val="20"/>
              </w:rPr>
            </w:pPr>
            <w:r w:rsidRPr="00533264">
              <w:rPr>
                <w:rFonts w:eastAsia="Times New Roman"/>
                <w:b/>
                <w:bCs/>
                <w:sz w:val="20"/>
                <w:szCs w:val="20"/>
              </w:rPr>
              <w:t>3. Barınma Kategorisi</w:t>
            </w:r>
          </w:p>
        </w:tc>
        <w:tc>
          <w:tcPr>
            <w:tcW w:w="1232" w:type="dxa"/>
            <w:shd w:val="clear" w:color="auto" w:fill="BFBFBF" w:themeFill="background1" w:themeFillShade="BF"/>
          </w:tcPr>
          <w:p w14:paraId="0B843416" w14:textId="7A421810"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rPr>
                <w:rFonts w:eastAsia="Times New Roman"/>
                <w:b/>
                <w:bCs/>
                <w:sz w:val="20"/>
                <w:szCs w:val="20"/>
              </w:rPr>
            </w:pPr>
            <w:r w:rsidRPr="00533264">
              <w:rPr>
                <w:rFonts w:eastAsia="Times New Roman"/>
                <w:b/>
                <w:bCs/>
                <w:sz w:val="20"/>
                <w:szCs w:val="20"/>
              </w:rPr>
              <w:t>4. Eğitim Kategorisi</w:t>
            </w:r>
          </w:p>
        </w:tc>
        <w:tc>
          <w:tcPr>
            <w:tcW w:w="1194" w:type="dxa"/>
            <w:shd w:val="clear" w:color="auto" w:fill="BFBFBF" w:themeFill="background1" w:themeFillShade="BF"/>
          </w:tcPr>
          <w:p w14:paraId="69CEE1E4" w14:textId="54A20F54"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rPr>
                <w:rFonts w:eastAsia="Times New Roman"/>
                <w:b/>
                <w:bCs/>
                <w:sz w:val="20"/>
                <w:szCs w:val="20"/>
              </w:rPr>
            </w:pPr>
            <w:r w:rsidRPr="00533264">
              <w:rPr>
                <w:rFonts w:eastAsia="Times New Roman"/>
                <w:b/>
                <w:bCs/>
                <w:sz w:val="20"/>
                <w:szCs w:val="20"/>
              </w:rPr>
              <w:t>5. Çocuk-Kadın Kategorisi</w:t>
            </w:r>
          </w:p>
        </w:tc>
        <w:tc>
          <w:tcPr>
            <w:tcW w:w="1194" w:type="dxa"/>
            <w:shd w:val="clear" w:color="auto" w:fill="BFBFBF" w:themeFill="background1" w:themeFillShade="BF"/>
          </w:tcPr>
          <w:p w14:paraId="40BCE6FB" w14:textId="6832EA8C"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309"/>
              </w:tabs>
              <w:spacing w:before="120" w:after="120"/>
              <w:rPr>
                <w:rFonts w:eastAsia="Times New Roman"/>
                <w:b/>
                <w:bCs/>
                <w:sz w:val="20"/>
                <w:szCs w:val="20"/>
              </w:rPr>
            </w:pPr>
            <w:r w:rsidRPr="00533264">
              <w:rPr>
                <w:rFonts w:eastAsia="Times New Roman"/>
                <w:b/>
                <w:bCs/>
                <w:sz w:val="20"/>
                <w:szCs w:val="20"/>
              </w:rPr>
              <w:t>6. Göç Politikası Kategorisi</w:t>
            </w:r>
          </w:p>
        </w:tc>
        <w:tc>
          <w:tcPr>
            <w:tcW w:w="1194" w:type="dxa"/>
            <w:shd w:val="clear" w:color="auto" w:fill="BFBFBF" w:themeFill="background1" w:themeFillShade="BF"/>
          </w:tcPr>
          <w:p w14:paraId="29F60E64" w14:textId="045CDF52"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rPr>
                <w:rFonts w:eastAsia="Times New Roman"/>
                <w:b/>
                <w:bCs/>
                <w:sz w:val="20"/>
                <w:szCs w:val="20"/>
              </w:rPr>
            </w:pPr>
            <w:r w:rsidRPr="00533264">
              <w:rPr>
                <w:rFonts w:eastAsia="Times New Roman"/>
                <w:b/>
                <w:bCs/>
                <w:sz w:val="20"/>
                <w:szCs w:val="20"/>
              </w:rPr>
              <w:t>7. İstihdam Kategorisi</w:t>
            </w:r>
          </w:p>
        </w:tc>
      </w:tr>
      <w:tr w:rsidR="00693DB2" w:rsidRPr="00533264" w14:paraId="4715409F" w14:textId="77777777" w:rsidTr="001D5305">
        <w:tc>
          <w:tcPr>
            <w:tcW w:w="709" w:type="dxa"/>
            <w:shd w:val="clear" w:color="auto" w:fill="BFBFBF" w:themeFill="background1" w:themeFillShade="BF"/>
          </w:tcPr>
          <w:p w14:paraId="6370187E" w14:textId="5A9462F7" w:rsidR="008217BE" w:rsidRPr="00533264" w:rsidRDefault="00491C8E"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A</w:t>
            </w:r>
          </w:p>
        </w:tc>
        <w:tc>
          <w:tcPr>
            <w:tcW w:w="1276" w:type="dxa"/>
          </w:tcPr>
          <w:p w14:paraId="2BD1AEDE" w14:textId="2EAA9356"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Silah</w:t>
            </w:r>
          </w:p>
        </w:tc>
        <w:tc>
          <w:tcPr>
            <w:tcW w:w="1134" w:type="dxa"/>
          </w:tcPr>
          <w:p w14:paraId="262E3924" w14:textId="7AC41A7D"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Hastane</w:t>
            </w:r>
          </w:p>
        </w:tc>
        <w:tc>
          <w:tcPr>
            <w:tcW w:w="1276" w:type="dxa"/>
          </w:tcPr>
          <w:p w14:paraId="5652E049" w14:textId="4971230B"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Konut</w:t>
            </w:r>
          </w:p>
        </w:tc>
        <w:tc>
          <w:tcPr>
            <w:tcW w:w="1232" w:type="dxa"/>
          </w:tcPr>
          <w:p w14:paraId="447331ED" w14:textId="54373738"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Üniversite</w:t>
            </w:r>
          </w:p>
        </w:tc>
        <w:tc>
          <w:tcPr>
            <w:tcW w:w="1194" w:type="dxa"/>
          </w:tcPr>
          <w:p w14:paraId="124F3009" w14:textId="7328FF1B"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İstismar</w:t>
            </w:r>
          </w:p>
        </w:tc>
        <w:tc>
          <w:tcPr>
            <w:tcW w:w="1194" w:type="dxa"/>
          </w:tcPr>
          <w:p w14:paraId="02F28212" w14:textId="720D2F0B"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Suriye Politikası</w:t>
            </w:r>
          </w:p>
        </w:tc>
        <w:tc>
          <w:tcPr>
            <w:tcW w:w="1194" w:type="dxa"/>
          </w:tcPr>
          <w:p w14:paraId="2C7493E1" w14:textId="4F4EB061"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Çalışma</w:t>
            </w:r>
          </w:p>
        </w:tc>
      </w:tr>
      <w:tr w:rsidR="00693DB2" w:rsidRPr="00533264" w14:paraId="6EA237C3" w14:textId="77777777" w:rsidTr="001D5305">
        <w:tc>
          <w:tcPr>
            <w:tcW w:w="709" w:type="dxa"/>
            <w:shd w:val="clear" w:color="auto" w:fill="BFBFBF" w:themeFill="background1" w:themeFillShade="BF"/>
          </w:tcPr>
          <w:p w14:paraId="6C584F77" w14:textId="2FFF3EA3" w:rsidR="008217BE" w:rsidRPr="00533264" w:rsidRDefault="00491C8E"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B</w:t>
            </w:r>
          </w:p>
        </w:tc>
        <w:tc>
          <w:tcPr>
            <w:tcW w:w="1276" w:type="dxa"/>
          </w:tcPr>
          <w:p w14:paraId="155CE01E" w14:textId="1E70DE9F"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Savaş</w:t>
            </w:r>
          </w:p>
        </w:tc>
        <w:tc>
          <w:tcPr>
            <w:tcW w:w="1134" w:type="dxa"/>
          </w:tcPr>
          <w:p w14:paraId="270E95E6" w14:textId="17458D1B"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Salgın</w:t>
            </w:r>
          </w:p>
        </w:tc>
        <w:tc>
          <w:tcPr>
            <w:tcW w:w="1276" w:type="dxa"/>
          </w:tcPr>
          <w:p w14:paraId="75995877" w14:textId="145A472C"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TOKİ</w:t>
            </w:r>
          </w:p>
        </w:tc>
        <w:tc>
          <w:tcPr>
            <w:tcW w:w="1232" w:type="dxa"/>
          </w:tcPr>
          <w:p w14:paraId="16E3CB1D" w14:textId="654E5175"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Öğretmen</w:t>
            </w:r>
          </w:p>
        </w:tc>
        <w:tc>
          <w:tcPr>
            <w:tcW w:w="1194" w:type="dxa"/>
          </w:tcPr>
          <w:p w14:paraId="3BF3D101" w14:textId="06CF9145"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Evlilik</w:t>
            </w:r>
          </w:p>
        </w:tc>
        <w:tc>
          <w:tcPr>
            <w:tcW w:w="1194" w:type="dxa"/>
          </w:tcPr>
          <w:p w14:paraId="13A5F96B" w14:textId="7ED2B107"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Geri Gönderme</w:t>
            </w:r>
          </w:p>
        </w:tc>
        <w:tc>
          <w:tcPr>
            <w:tcW w:w="1194" w:type="dxa"/>
          </w:tcPr>
          <w:p w14:paraId="615E407B" w14:textId="18D154BA" w:rsidR="008217BE"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İşçi</w:t>
            </w:r>
          </w:p>
        </w:tc>
      </w:tr>
      <w:tr w:rsidR="00693DB2" w:rsidRPr="00533264" w14:paraId="4B136937" w14:textId="77777777" w:rsidTr="001D5305">
        <w:tc>
          <w:tcPr>
            <w:tcW w:w="709" w:type="dxa"/>
            <w:shd w:val="clear" w:color="auto" w:fill="BFBFBF" w:themeFill="background1" w:themeFillShade="BF"/>
          </w:tcPr>
          <w:p w14:paraId="3D220173" w14:textId="61AAAB42" w:rsidR="00693DB2" w:rsidRPr="00533264" w:rsidRDefault="00491C8E"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C</w:t>
            </w:r>
          </w:p>
        </w:tc>
        <w:tc>
          <w:tcPr>
            <w:tcW w:w="1276" w:type="dxa"/>
          </w:tcPr>
          <w:p w14:paraId="60423564" w14:textId="551A9A82"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Barış</w:t>
            </w:r>
          </w:p>
        </w:tc>
        <w:tc>
          <w:tcPr>
            <w:tcW w:w="1134" w:type="dxa"/>
          </w:tcPr>
          <w:p w14:paraId="6707196A" w14:textId="50DB02EC"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Doktor</w:t>
            </w:r>
          </w:p>
        </w:tc>
        <w:tc>
          <w:tcPr>
            <w:tcW w:w="1276" w:type="dxa"/>
          </w:tcPr>
          <w:p w14:paraId="1666DA6B" w14:textId="1537D0E4"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Çadır, Konteynır Kamp</w:t>
            </w:r>
          </w:p>
        </w:tc>
        <w:tc>
          <w:tcPr>
            <w:tcW w:w="1232" w:type="dxa"/>
          </w:tcPr>
          <w:p w14:paraId="02D5E55C" w14:textId="0897E7D9"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Kurs</w:t>
            </w:r>
          </w:p>
        </w:tc>
        <w:tc>
          <w:tcPr>
            <w:tcW w:w="1194" w:type="dxa"/>
            <w:tcBorders>
              <w:bottom w:val="single" w:sz="4" w:space="0" w:color="auto"/>
            </w:tcBorders>
          </w:tcPr>
          <w:p w14:paraId="62CCAD85" w14:textId="6404AB41"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Çocuk İşçi</w:t>
            </w:r>
          </w:p>
        </w:tc>
        <w:tc>
          <w:tcPr>
            <w:tcW w:w="1194" w:type="dxa"/>
          </w:tcPr>
          <w:p w14:paraId="6129C2E0" w14:textId="73DE5971"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Dış Politika</w:t>
            </w:r>
          </w:p>
        </w:tc>
        <w:tc>
          <w:tcPr>
            <w:tcW w:w="1194" w:type="dxa"/>
          </w:tcPr>
          <w:p w14:paraId="1A25EA03" w14:textId="31AC3518"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Kayıtdışı</w:t>
            </w:r>
          </w:p>
        </w:tc>
      </w:tr>
      <w:tr w:rsidR="00693DB2" w:rsidRPr="00533264" w14:paraId="7063B4BC" w14:textId="77777777" w:rsidTr="001D5305">
        <w:tc>
          <w:tcPr>
            <w:tcW w:w="709" w:type="dxa"/>
            <w:shd w:val="clear" w:color="auto" w:fill="BFBFBF" w:themeFill="background1" w:themeFillShade="BF"/>
          </w:tcPr>
          <w:p w14:paraId="4438993C" w14:textId="17FE011E" w:rsidR="00693DB2" w:rsidRPr="00533264" w:rsidRDefault="00491C8E"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D</w:t>
            </w:r>
          </w:p>
        </w:tc>
        <w:tc>
          <w:tcPr>
            <w:tcW w:w="1276" w:type="dxa"/>
          </w:tcPr>
          <w:p w14:paraId="42B85266" w14:textId="66C800E3"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IŞİD</w:t>
            </w:r>
          </w:p>
        </w:tc>
        <w:tc>
          <w:tcPr>
            <w:tcW w:w="1134" w:type="dxa"/>
          </w:tcPr>
          <w:p w14:paraId="343DF0B7" w14:textId="7D0C055A"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Reçete-Tedavi</w:t>
            </w:r>
          </w:p>
        </w:tc>
        <w:tc>
          <w:tcPr>
            <w:tcW w:w="1276" w:type="dxa"/>
          </w:tcPr>
          <w:p w14:paraId="47487844" w14:textId="6AC5C50F"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İnşaat</w:t>
            </w:r>
          </w:p>
        </w:tc>
        <w:tc>
          <w:tcPr>
            <w:tcW w:w="1232" w:type="dxa"/>
            <w:tcBorders>
              <w:bottom w:val="single" w:sz="4" w:space="0" w:color="auto"/>
            </w:tcBorders>
          </w:tcPr>
          <w:p w14:paraId="423AB619" w14:textId="46A62A5A"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Ders</w:t>
            </w:r>
          </w:p>
        </w:tc>
        <w:tc>
          <w:tcPr>
            <w:tcW w:w="1194" w:type="dxa"/>
            <w:tcBorders>
              <w:bottom w:val="single" w:sz="4" w:space="0" w:color="auto"/>
            </w:tcBorders>
          </w:tcPr>
          <w:p w14:paraId="6168BE6A" w14:textId="222AB661"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Boşanma</w:t>
            </w:r>
          </w:p>
        </w:tc>
        <w:tc>
          <w:tcPr>
            <w:tcW w:w="1194" w:type="dxa"/>
            <w:tcBorders>
              <w:bottom w:val="single" w:sz="4" w:space="0" w:color="auto"/>
            </w:tcBorders>
          </w:tcPr>
          <w:p w14:paraId="0A5DC07A" w14:textId="341A46A7"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AB</w:t>
            </w:r>
          </w:p>
        </w:tc>
        <w:tc>
          <w:tcPr>
            <w:tcW w:w="1194" w:type="dxa"/>
          </w:tcPr>
          <w:p w14:paraId="49ADC53D" w14:textId="367DA52C"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Sosyal Güvenlik</w:t>
            </w:r>
          </w:p>
        </w:tc>
      </w:tr>
      <w:tr w:rsidR="00693DB2" w:rsidRPr="00533264" w14:paraId="623013F3" w14:textId="77777777" w:rsidTr="001D5305">
        <w:tc>
          <w:tcPr>
            <w:tcW w:w="709" w:type="dxa"/>
            <w:shd w:val="clear" w:color="auto" w:fill="BFBFBF" w:themeFill="background1" w:themeFillShade="BF"/>
          </w:tcPr>
          <w:p w14:paraId="32C7BF57" w14:textId="19B2EA65" w:rsidR="00693DB2" w:rsidRPr="00533264" w:rsidRDefault="00491C8E"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E</w:t>
            </w:r>
          </w:p>
        </w:tc>
        <w:tc>
          <w:tcPr>
            <w:tcW w:w="1276" w:type="dxa"/>
          </w:tcPr>
          <w:p w14:paraId="3C198F27" w14:textId="1C913967"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Kamu Güvenliği</w:t>
            </w:r>
          </w:p>
        </w:tc>
        <w:tc>
          <w:tcPr>
            <w:tcW w:w="1134" w:type="dxa"/>
          </w:tcPr>
          <w:p w14:paraId="3B959293" w14:textId="513643EE"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Doğum</w:t>
            </w:r>
          </w:p>
        </w:tc>
        <w:tc>
          <w:tcPr>
            <w:tcW w:w="1276" w:type="dxa"/>
            <w:tcBorders>
              <w:bottom w:val="single" w:sz="4" w:space="0" w:color="auto"/>
            </w:tcBorders>
          </w:tcPr>
          <w:p w14:paraId="7424EF36" w14:textId="4025C9FC"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İhtiyaç</w:t>
            </w:r>
          </w:p>
        </w:tc>
        <w:tc>
          <w:tcPr>
            <w:tcW w:w="1232" w:type="dxa"/>
            <w:tcBorders>
              <w:right w:val="single" w:sz="4" w:space="0" w:color="auto"/>
            </w:tcBorders>
          </w:tcPr>
          <w:p w14:paraId="47F9D457" w14:textId="6FB39336"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Öğrenci</w:t>
            </w:r>
          </w:p>
        </w:tc>
        <w:tc>
          <w:tcPr>
            <w:tcW w:w="1194" w:type="dxa"/>
            <w:tcBorders>
              <w:top w:val="single" w:sz="4" w:space="0" w:color="auto"/>
              <w:left w:val="single" w:sz="4" w:space="0" w:color="auto"/>
              <w:bottom w:val="nil"/>
              <w:right w:val="single" w:sz="4" w:space="0" w:color="auto"/>
            </w:tcBorders>
          </w:tcPr>
          <w:p w14:paraId="5653F2D5" w14:textId="032ADB67"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194" w:type="dxa"/>
            <w:tcBorders>
              <w:left w:val="single" w:sz="4" w:space="0" w:color="auto"/>
            </w:tcBorders>
          </w:tcPr>
          <w:p w14:paraId="6D97BE6D" w14:textId="6F153F38"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Vatandaşlık</w:t>
            </w:r>
          </w:p>
        </w:tc>
        <w:tc>
          <w:tcPr>
            <w:tcW w:w="1194" w:type="dxa"/>
          </w:tcPr>
          <w:p w14:paraId="71714EC2" w14:textId="0D365F74"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Sektör</w:t>
            </w:r>
          </w:p>
        </w:tc>
      </w:tr>
      <w:tr w:rsidR="00693DB2" w:rsidRPr="00533264" w14:paraId="34E3E32F" w14:textId="77777777" w:rsidTr="001D5305">
        <w:tc>
          <w:tcPr>
            <w:tcW w:w="709" w:type="dxa"/>
            <w:shd w:val="clear" w:color="auto" w:fill="BFBFBF" w:themeFill="background1" w:themeFillShade="BF"/>
          </w:tcPr>
          <w:p w14:paraId="23AD6DFA" w14:textId="72352403" w:rsidR="00693DB2" w:rsidRPr="00533264" w:rsidRDefault="00491C8E"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F</w:t>
            </w:r>
          </w:p>
        </w:tc>
        <w:tc>
          <w:tcPr>
            <w:tcW w:w="1276" w:type="dxa"/>
          </w:tcPr>
          <w:p w14:paraId="697A2BA3" w14:textId="0A53F45F"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Suç</w:t>
            </w:r>
          </w:p>
        </w:tc>
        <w:tc>
          <w:tcPr>
            <w:tcW w:w="1134" w:type="dxa"/>
            <w:tcBorders>
              <w:bottom w:val="single" w:sz="4" w:space="0" w:color="auto"/>
            </w:tcBorders>
          </w:tcPr>
          <w:p w14:paraId="0EE90EAB" w14:textId="29D8F394"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Ölüm</w:t>
            </w:r>
          </w:p>
        </w:tc>
        <w:tc>
          <w:tcPr>
            <w:tcW w:w="1276" w:type="dxa"/>
            <w:tcBorders>
              <w:bottom w:val="single" w:sz="4" w:space="0" w:color="auto"/>
            </w:tcBorders>
          </w:tcPr>
          <w:p w14:paraId="1DE472AA" w14:textId="7F0A298C"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Yardım Teşvik</w:t>
            </w:r>
          </w:p>
        </w:tc>
        <w:tc>
          <w:tcPr>
            <w:tcW w:w="1232" w:type="dxa"/>
            <w:tcBorders>
              <w:bottom w:val="single" w:sz="4" w:space="0" w:color="auto"/>
              <w:right w:val="single" w:sz="4" w:space="0" w:color="auto"/>
            </w:tcBorders>
          </w:tcPr>
          <w:p w14:paraId="600FB49B" w14:textId="57237A9F"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Okul</w:t>
            </w:r>
          </w:p>
        </w:tc>
        <w:tc>
          <w:tcPr>
            <w:tcW w:w="1194" w:type="dxa"/>
            <w:tcBorders>
              <w:top w:val="nil"/>
              <w:left w:val="single" w:sz="4" w:space="0" w:color="auto"/>
              <w:bottom w:val="nil"/>
              <w:right w:val="single" w:sz="4" w:space="0" w:color="auto"/>
            </w:tcBorders>
          </w:tcPr>
          <w:p w14:paraId="559077C6" w14:textId="1E2FB6FE"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194" w:type="dxa"/>
            <w:tcBorders>
              <w:left w:val="single" w:sz="4" w:space="0" w:color="auto"/>
            </w:tcBorders>
          </w:tcPr>
          <w:p w14:paraId="224FBC20" w14:textId="1D273D49"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Çözüm</w:t>
            </w:r>
          </w:p>
        </w:tc>
        <w:tc>
          <w:tcPr>
            <w:tcW w:w="1194" w:type="dxa"/>
          </w:tcPr>
          <w:p w14:paraId="67F0DF41" w14:textId="79F8B024"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İzin</w:t>
            </w:r>
          </w:p>
        </w:tc>
      </w:tr>
      <w:tr w:rsidR="00693DB2" w:rsidRPr="00533264" w14:paraId="0018DDE4" w14:textId="77777777" w:rsidTr="001D5305">
        <w:tc>
          <w:tcPr>
            <w:tcW w:w="709" w:type="dxa"/>
            <w:tcBorders>
              <w:bottom w:val="single" w:sz="4" w:space="0" w:color="auto"/>
            </w:tcBorders>
            <w:shd w:val="clear" w:color="auto" w:fill="BFBFBF" w:themeFill="background1" w:themeFillShade="BF"/>
          </w:tcPr>
          <w:p w14:paraId="4EA6E6FA" w14:textId="2F5A7104" w:rsidR="00693DB2" w:rsidRPr="00533264" w:rsidRDefault="00491C8E"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G</w:t>
            </w:r>
          </w:p>
        </w:tc>
        <w:tc>
          <w:tcPr>
            <w:tcW w:w="1276" w:type="dxa"/>
            <w:tcBorders>
              <w:bottom w:val="single" w:sz="4" w:space="0" w:color="auto"/>
            </w:tcBorders>
          </w:tcPr>
          <w:p w14:paraId="03F2276F" w14:textId="7C33867D"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Ceza Cezaevi</w:t>
            </w:r>
          </w:p>
        </w:tc>
        <w:tc>
          <w:tcPr>
            <w:tcW w:w="1134" w:type="dxa"/>
            <w:tcBorders>
              <w:top w:val="single" w:sz="4" w:space="0" w:color="auto"/>
              <w:bottom w:val="single" w:sz="4" w:space="0" w:color="auto"/>
              <w:right w:val="single" w:sz="4" w:space="0" w:color="auto"/>
            </w:tcBorders>
          </w:tcPr>
          <w:p w14:paraId="7BDF8EE2" w14:textId="030540BF"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 xml:space="preserve">Hastalık </w:t>
            </w:r>
          </w:p>
        </w:tc>
        <w:tc>
          <w:tcPr>
            <w:tcW w:w="1276" w:type="dxa"/>
            <w:tcBorders>
              <w:top w:val="single" w:sz="4" w:space="0" w:color="auto"/>
              <w:left w:val="single" w:sz="4" w:space="0" w:color="auto"/>
              <w:bottom w:val="nil"/>
              <w:right w:val="nil"/>
            </w:tcBorders>
          </w:tcPr>
          <w:p w14:paraId="4A7971D5" w14:textId="1FCF2FAD"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232" w:type="dxa"/>
            <w:tcBorders>
              <w:top w:val="single" w:sz="4" w:space="0" w:color="auto"/>
              <w:left w:val="nil"/>
              <w:bottom w:val="nil"/>
              <w:right w:val="nil"/>
            </w:tcBorders>
          </w:tcPr>
          <w:p w14:paraId="3010CA6D" w14:textId="0FB289AF"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194" w:type="dxa"/>
            <w:tcBorders>
              <w:top w:val="nil"/>
              <w:left w:val="nil"/>
              <w:bottom w:val="nil"/>
              <w:right w:val="single" w:sz="4" w:space="0" w:color="auto"/>
            </w:tcBorders>
          </w:tcPr>
          <w:p w14:paraId="0F328D78" w14:textId="278BE713"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194" w:type="dxa"/>
            <w:tcBorders>
              <w:left w:val="single" w:sz="4" w:space="0" w:color="auto"/>
            </w:tcBorders>
          </w:tcPr>
          <w:p w14:paraId="2169EE37" w14:textId="0566C967"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Kaynak</w:t>
            </w:r>
          </w:p>
        </w:tc>
        <w:tc>
          <w:tcPr>
            <w:tcW w:w="1194" w:type="dxa"/>
          </w:tcPr>
          <w:p w14:paraId="77E4819A" w14:textId="548A4E76"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Ticaret</w:t>
            </w:r>
          </w:p>
        </w:tc>
      </w:tr>
      <w:tr w:rsidR="00693DB2" w:rsidRPr="00533264" w14:paraId="5DE1E653" w14:textId="77777777" w:rsidTr="001D5305">
        <w:tc>
          <w:tcPr>
            <w:tcW w:w="709" w:type="dxa"/>
            <w:tcBorders>
              <w:bottom w:val="single" w:sz="4" w:space="0" w:color="auto"/>
              <w:right w:val="single" w:sz="4" w:space="0" w:color="auto"/>
            </w:tcBorders>
            <w:shd w:val="clear" w:color="auto" w:fill="BFBFBF" w:themeFill="background1" w:themeFillShade="BF"/>
          </w:tcPr>
          <w:p w14:paraId="0A814467" w14:textId="2C6BFDBC" w:rsidR="00693DB2" w:rsidRPr="00533264" w:rsidRDefault="00491C8E"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H</w:t>
            </w:r>
          </w:p>
        </w:tc>
        <w:tc>
          <w:tcPr>
            <w:tcW w:w="1276" w:type="dxa"/>
            <w:tcBorders>
              <w:bottom w:val="single" w:sz="4" w:space="0" w:color="auto"/>
              <w:right w:val="single" w:sz="4" w:space="0" w:color="auto"/>
            </w:tcBorders>
          </w:tcPr>
          <w:p w14:paraId="50FC5BDF" w14:textId="156D4F21"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Terör</w:t>
            </w:r>
          </w:p>
        </w:tc>
        <w:tc>
          <w:tcPr>
            <w:tcW w:w="1134" w:type="dxa"/>
            <w:tcBorders>
              <w:top w:val="single" w:sz="4" w:space="0" w:color="auto"/>
              <w:left w:val="single" w:sz="4" w:space="0" w:color="auto"/>
              <w:bottom w:val="nil"/>
              <w:right w:val="nil"/>
            </w:tcBorders>
          </w:tcPr>
          <w:p w14:paraId="7C5D5532" w14:textId="79B5028A"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276" w:type="dxa"/>
            <w:tcBorders>
              <w:top w:val="nil"/>
              <w:left w:val="nil"/>
              <w:bottom w:val="nil"/>
              <w:right w:val="nil"/>
            </w:tcBorders>
          </w:tcPr>
          <w:p w14:paraId="239A618B" w14:textId="6A64D0B1"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232" w:type="dxa"/>
            <w:tcBorders>
              <w:top w:val="nil"/>
              <w:left w:val="nil"/>
              <w:bottom w:val="nil"/>
              <w:right w:val="nil"/>
            </w:tcBorders>
          </w:tcPr>
          <w:p w14:paraId="749CC711" w14:textId="4F58CA07"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194" w:type="dxa"/>
            <w:tcBorders>
              <w:top w:val="nil"/>
              <w:left w:val="nil"/>
              <w:bottom w:val="nil"/>
              <w:right w:val="single" w:sz="4" w:space="0" w:color="auto"/>
            </w:tcBorders>
          </w:tcPr>
          <w:p w14:paraId="3D8DD282" w14:textId="77777777"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194" w:type="dxa"/>
            <w:tcBorders>
              <w:left w:val="single" w:sz="4" w:space="0" w:color="auto"/>
            </w:tcBorders>
          </w:tcPr>
          <w:p w14:paraId="04D19E78" w14:textId="53492A84"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Harcama</w:t>
            </w:r>
          </w:p>
        </w:tc>
        <w:tc>
          <w:tcPr>
            <w:tcW w:w="1194" w:type="dxa"/>
          </w:tcPr>
          <w:p w14:paraId="78B921E1" w14:textId="58F0E898"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Rekabet</w:t>
            </w:r>
          </w:p>
        </w:tc>
      </w:tr>
      <w:tr w:rsidR="00693DB2" w:rsidRPr="00533264" w14:paraId="1966C2C0" w14:textId="77777777" w:rsidTr="001D5305">
        <w:tc>
          <w:tcPr>
            <w:tcW w:w="709" w:type="dxa"/>
            <w:tcBorders>
              <w:right w:val="single" w:sz="4" w:space="0" w:color="auto"/>
            </w:tcBorders>
            <w:shd w:val="clear" w:color="auto" w:fill="BFBFBF" w:themeFill="background1" w:themeFillShade="BF"/>
          </w:tcPr>
          <w:p w14:paraId="0B682967" w14:textId="6CB7EBA9" w:rsidR="00693DB2" w:rsidRPr="00533264" w:rsidRDefault="00491C8E"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İ</w:t>
            </w:r>
          </w:p>
        </w:tc>
        <w:tc>
          <w:tcPr>
            <w:tcW w:w="1276" w:type="dxa"/>
            <w:tcBorders>
              <w:right w:val="single" w:sz="4" w:space="0" w:color="auto"/>
            </w:tcBorders>
          </w:tcPr>
          <w:p w14:paraId="55552212" w14:textId="1D816820"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Sınır dışı</w:t>
            </w:r>
          </w:p>
        </w:tc>
        <w:tc>
          <w:tcPr>
            <w:tcW w:w="1134" w:type="dxa"/>
            <w:tcBorders>
              <w:top w:val="nil"/>
              <w:left w:val="single" w:sz="4" w:space="0" w:color="auto"/>
              <w:bottom w:val="nil"/>
              <w:right w:val="nil"/>
            </w:tcBorders>
          </w:tcPr>
          <w:p w14:paraId="3E08E375" w14:textId="302F5C33"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276" w:type="dxa"/>
            <w:tcBorders>
              <w:top w:val="nil"/>
              <w:left w:val="nil"/>
              <w:bottom w:val="nil"/>
              <w:right w:val="nil"/>
            </w:tcBorders>
          </w:tcPr>
          <w:p w14:paraId="760ACDF3" w14:textId="38A71621"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232" w:type="dxa"/>
            <w:tcBorders>
              <w:top w:val="nil"/>
              <w:left w:val="nil"/>
              <w:bottom w:val="nil"/>
              <w:right w:val="nil"/>
            </w:tcBorders>
          </w:tcPr>
          <w:p w14:paraId="178BEA4D" w14:textId="1C4B4503"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194" w:type="dxa"/>
            <w:tcBorders>
              <w:top w:val="nil"/>
              <w:left w:val="nil"/>
              <w:bottom w:val="nil"/>
              <w:right w:val="single" w:sz="4" w:space="0" w:color="auto"/>
            </w:tcBorders>
          </w:tcPr>
          <w:p w14:paraId="6DA84BBC" w14:textId="77777777" w:rsidR="00693DB2" w:rsidRPr="00533264" w:rsidRDefault="00693DB2"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p>
        </w:tc>
        <w:tc>
          <w:tcPr>
            <w:tcW w:w="1194" w:type="dxa"/>
            <w:tcBorders>
              <w:left w:val="single" w:sz="4" w:space="0" w:color="auto"/>
            </w:tcBorders>
          </w:tcPr>
          <w:p w14:paraId="6C6E5B3D" w14:textId="38F0E956"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Sosyal Uyum</w:t>
            </w:r>
          </w:p>
        </w:tc>
        <w:tc>
          <w:tcPr>
            <w:tcW w:w="1194" w:type="dxa"/>
          </w:tcPr>
          <w:p w14:paraId="60AF1B62" w14:textId="2D18065B" w:rsidR="00693DB2" w:rsidRPr="00533264" w:rsidRDefault="7EAA6DFF" w:rsidP="7EAA6DFF">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eastAsia="Times New Roman"/>
                <w:sz w:val="20"/>
                <w:szCs w:val="20"/>
              </w:rPr>
            </w:pPr>
            <w:r w:rsidRPr="00533264">
              <w:rPr>
                <w:rFonts w:eastAsia="Times New Roman"/>
                <w:sz w:val="20"/>
                <w:szCs w:val="20"/>
              </w:rPr>
              <w:t>Vergi</w:t>
            </w:r>
          </w:p>
        </w:tc>
      </w:tr>
    </w:tbl>
    <w:p w14:paraId="5EFDD437" w14:textId="77777777" w:rsidR="003C7F45" w:rsidRPr="00533264" w:rsidRDefault="003C7F45" w:rsidP="7EAA6DFF">
      <w:pPr>
        <w:tabs>
          <w:tab w:val="left" w:pos="426"/>
        </w:tabs>
        <w:spacing w:before="120" w:after="120"/>
        <w:jc w:val="both"/>
        <w:rPr>
          <w:rFonts w:eastAsia="Times New Roman"/>
          <w:b/>
          <w:bCs/>
          <w:sz w:val="22"/>
          <w:szCs w:val="22"/>
        </w:rPr>
        <w:sectPr w:rsidR="003C7F45" w:rsidRPr="00533264" w:rsidSect="00B0041B">
          <w:footerReference w:type="default" r:id="rId9"/>
          <w:pgSz w:w="11906" w:h="16838"/>
          <w:pgMar w:top="1418" w:right="1418" w:bottom="1418" w:left="1418" w:header="709" w:footer="709" w:gutter="0"/>
          <w:pgNumType w:start="678"/>
          <w:cols w:space="708"/>
          <w:docGrid w:linePitch="360"/>
        </w:sectPr>
      </w:pPr>
    </w:p>
    <w:p w14:paraId="24BC0C09" w14:textId="77777777" w:rsidR="00F500D3" w:rsidRPr="00533264" w:rsidRDefault="00F500D3" w:rsidP="0040770B">
      <w:pPr>
        <w:pStyle w:val="AralkYok"/>
        <w:spacing w:before="120" w:after="120"/>
        <w:jc w:val="center"/>
        <w:rPr>
          <w:b/>
          <w:sz w:val="22"/>
          <w:szCs w:val="22"/>
        </w:rPr>
        <w:sectPr w:rsidR="00F500D3" w:rsidRPr="00533264" w:rsidSect="003D16B9">
          <w:type w:val="continuous"/>
          <w:pgSz w:w="11906" w:h="16838"/>
          <w:pgMar w:top="1418" w:right="1418" w:bottom="1418" w:left="1418" w:header="709" w:footer="709" w:gutter="0"/>
          <w:cols w:num="2" w:space="708"/>
          <w:docGrid w:linePitch="360"/>
        </w:sectPr>
      </w:pPr>
    </w:p>
    <w:p w14:paraId="66FC5862" w14:textId="082AF845" w:rsidR="00C81EB3"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lastRenderedPageBreak/>
        <w:t xml:space="preserve">Bu kategoriler ve ölçütler belirlenirken çalışmanın örneklemine uygun olarak seçilen soru önergelerinden ve bu önergelerde yer alan içerikten yararlanılmıştır. </w:t>
      </w:r>
    </w:p>
    <w:p w14:paraId="6643630D" w14:textId="4AD7A145" w:rsidR="00BA41C8" w:rsidRPr="00533264" w:rsidRDefault="001D5305" w:rsidP="001D5305">
      <w:pPr>
        <w:spacing w:before="120" w:after="120"/>
        <w:ind w:left="708" w:firstLine="708"/>
        <w:rPr>
          <w:rFonts w:eastAsia="Times New Roman"/>
          <w:b/>
          <w:bCs/>
          <w:sz w:val="20"/>
          <w:szCs w:val="20"/>
        </w:rPr>
      </w:pPr>
      <w:r>
        <w:rPr>
          <w:rFonts w:eastAsia="Times New Roman"/>
          <w:b/>
          <w:bCs/>
          <w:sz w:val="20"/>
          <w:szCs w:val="20"/>
        </w:rPr>
        <w:t xml:space="preserve">             </w:t>
      </w:r>
      <w:r w:rsidR="16EC5136" w:rsidRPr="00533264">
        <w:rPr>
          <w:rFonts w:eastAsia="Times New Roman"/>
          <w:b/>
          <w:bCs/>
          <w:sz w:val="20"/>
          <w:szCs w:val="20"/>
        </w:rPr>
        <w:t xml:space="preserve">Tablo </w:t>
      </w:r>
      <w:r w:rsidR="00533264" w:rsidRPr="00533264">
        <w:rPr>
          <w:rFonts w:eastAsia="Times New Roman"/>
          <w:b/>
          <w:bCs/>
          <w:sz w:val="20"/>
          <w:szCs w:val="20"/>
        </w:rPr>
        <w:t>3</w:t>
      </w:r>
      <w:r w:rsidR="16EC5136" w:rsidRPr="00533264">
        <w:rPr>
          <w:rFonts w:eastAsia="Times New Roman"/>
          <w:b/>
          <w:bCs/>
          <w:sz w:val="20"/>
          <w:szCs w:val="20"/>
        </w:rPr>
        <w:t xml:space="preserve">. </w:t>
      </w:r>
      <w:r w:rsidR="16EC5136" w:rsidRPr="00533264">
        <w:rPr>
          <w:rFonts w:eastAsia="Times New Roman"/>
          <w:sz w:val="20"/>
          <w:szCs w:val="20"/>
        </w:rPr>
        <w:t>Güvenlik Kategorisi İçerik Analizi Kodlama Cetveli</w:t>
      </w:r>
    </w:p>
    <w:tbl>
      <w:tblPr>
        <w:tblStyle w:val="TabloKlavuzu"/>
        <w:tblW w:w="4673" w:type="dxa"/>
        <w:jc w:val="center"/>
        <w:tblLayout w:type="fixed"/>
        <w:tblLook w:val="04A0" w:firstRow="1" w:lastRow="0" w:firstColumn="1" w:lastColumn="0" w:noHBand="0" w:noVBand="1"/>
      </w:tblPr>
      <w:tblGrid>
        <w:gridCol w:w="1598"/>
        <w:gridCol w:w="949"/>
        <w:gridCol w:w="992"/>
        <w:gridCol w:w="1134"/>
      </w:tblGrid>
      <w:tr w:rsidR="004B2B63" w:rsidRPr="00533264" w14:paraId="3B48A5A5" w14:textId="77777777" w:rsidTr="001D5305">
        <w:trPr>
          <w:trHeight w:val="57"/>
          <w:jc w:val="center"/>
        </w:trPr>
        <w:tc>
          <w:tcPr>
            <w:tcW w:w="1598" w:type="dxa"/>
            <w:shd w:val="clear" w:color="auto" w:fill="D9D9D9" w:themeFill="background1" w:themeFillShade="D9"/>
          </w:tcPr>
          <w:p w14:paraId="257739EE" w14:textId="22B316A6" w:rsidR="00B426CC" w:rsidRPr="00533264" w:rsidRDefault="16EC5136" w:rsidP="16EC5136">
            <w:pPr>
              <w:spacing w:before="120" w:after="120"/>
              <w:rPr>
                <w:rFonts w:eastAsia="Times New Roman"/>
                <w:b/>
                <w:bCs/>
                <w:sz w:val="20"/>
                <w:szCs w:val="20"/>
              </w:rPr>
            </w:pPr>
            <w:r w:rsidRPr="00533264">
              <w:rPr>
                <w:rFonts w:eastAsia="Times New Roman"/>
                <w:b/>
                <w:bCs/>
                <w:sz w:val="20"/>
                <w:szCs w:val="20"/>
              </w:rPr>
              <w:t>Kategori-Ölçüt</w:t>
            </w:r>
          </w:p>
        </w:tc>
        <w:tc>
          <w:tcPr>
            <w:tcW w:w="949" w:type="dxa"/>
            <w:shd w:val="clear" w:color="auto" w:fill="D9D9D9" w:themeFill="background1" w:themeFillShade="D9"/>
          </w:tcPr>
          <w:p w14:paraId="69F61721" w14:textId="77777777" w:rsidR="00B426C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MHP</w:t>
            </w:r>
          </w:p>
        </w:tc>
        <w:tc>
          <w:tcPr>
            <w:tcW w:w="992" w:type="dxa"/>
            <w:shd w:val="clear" w:color="auto" w:fill="D9D9D9" w:themeFill="background1" w:themeFillShade="D9"/>
          </w:tcPr>
          <w:p w14:paraId="20E24B9F" w14:textId="77777777" w:rsidR="00B426C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CHP</w:t>
            </w:r>
          </w:p>
        </w:tc>
        <w:tc>
          <w:tcPr>
            <w:tcW w:w="1134" w:type="dxa"/>
            <w:shd w:val="clear" w:color="auto" w:fill="D9D9D9" w:themeFill="background1" w:themeFillShade="D9"/>
          </w:tcPr>
          <w:p w14:paraId="247BC531" w14:textId="77777777" w:rsidR="00B426C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HDP</w:t>
            </w:r>
          </w:p>
        </w:tc>
      </w:tr>
      <w:tr w:rsidR="004B2B63" w:rsidRPr="00533264" w14:paraId="2B89720B" w14:textId="77777777" w:rsidTr="001D5305">
        <w:trPr>
          <w:trHeight w:val="57"/>
          <w:jc w:val="center"/>
        </w:trPr>
        <w:tc>
          <w:tcPr>
            <w:tcW w:w="1598" w:type="dxa"/>
          </w:tcPr>
          <w:p w14:paraId="6D07714C" w14:textId="6C6EEC76" w:rsidR="00B426C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1a</w:t>
            </w:r>
          </w:p>
        </w:tc>
        <w:tc>
          <w:tcPr>
            <w:tcW w:w="949" w:type="dxa"/>
          </w:tcPr>
          <w:p w14:paraId="51925FF4"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992" w:type="dxa"/>
          </w:tcPr>
          <w:p w14:paraId="7777EA54"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tcPr>
          <w:p w14:paraId="4E659EC9"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4B2B63" w:rsidRPr="00533264" w14:paraId="48FD3EBA" w14:textId="77777777" w:rsidTr="001D5305">
        <w:trPr>
          <w:trHeight w:val="57"/>
          <w:jc w:val="center"/>
        </w:trPr>
        <w:tc>
          <w:tcPr>
            <w:tcW w:w="1598" w:type="dxa"/>
          </w:tcPr>
          <w:p w14:paraId="52E8CE7C" w14:textId="1E4EA59E" w:rsidR="00B426C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1b</w:t>
            </w:r>
          </w:p>
        </w:tc>
        <w:tc>
          <w:tcPr>
            <w:tcW w:w="949" w:type="dxa"/>
          </w:tcPr>
          <w:p w14:paraId="4846579E"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tcPr>
          <w:p w14:paraId="4D9C29CE"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tcPr>
          <w:p w14:paraId="7AFCA2C4"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r>
      <w:tr w:rsidR="004B2B63" w:rsidRPr="00533264" w14:paraId="66FF08A4" w14:textId="77777777" w:rsidTr="001D5305">
        <w:trPr>
          <w:trHeight w:val="57"/>
          <w:jc w:val="center"/>
        </w:trPr>
        <w:tc>
          <w:tcPr>
            <w:tcW w:w="1598" w:type="dxa"/>
          </w:tcPr>
          <w:p w14:paraId="365C3346" w14:textId="54D10910" w:rsidR="00B426C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1c</w:t>
            </w:r>
          </w:p>
        </w:tc>
        <w:tc>
          <w:tcPr>
            <w:tcW w:w="949" w:type="dxa"/>
          </w:tcPr>
          <w:p w14:paraId="0A27C5C5"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tcPr>
          <w:p w14:paraId="32DAD907"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c>
          <w:tcPr>
            <w:tcW w:w="1134" w:type="dxa"/>
          </w:tcPr>
          <w:p w14:paraId="10C4BFCE"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4B2B63" w:rsidRPr="00533264" w14:paraId="76FB3DED" w14:textId="77777777" w:rsidTr="001D5305">
        <w:trPr>
          <w:trHeight w:val="57"/>
          <w:jc w:val="center"/>
        </w:trPr>
        <w:tc>
          <w:tcPr>
            <w:tcW w:w="1598" w:type="dxa"/>
          </w:tcPr>
          <w:p w14:paraId="60FB6E5E" w14:textId="56E2BFEC" w:rsidR="00B426C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1d</w:t>
            </w:r>
          </w:p>
        </w:tc>
        <w:tc>
          <w:tcPr>
            <w:tcW w:w="949" w:type="dxa"/>
          </w:tcPr>
          <w:p w14:paraId="28C5F07B"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tcPr>
          <w:p w14:paraId="4CA75A7A"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5</w:t>
            </w:r>
          </w:p>
        </w:tc>
        <w:tc>
          <w:tcPr>
            <w:tcW w:w="1134" w:type="dxa"/>
          </w:tcPr>
          <w:p w14:paraId="4B46D236"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4B2B63" w:rsidRPr="00533264" w14:paraId="7A9CDC6F" w14:textId="77777777" w:rsidTr="001D5305">
        <w:trPr>
          <w:trHeight w:val="57"/>
          <w:jc w:val="center"/>
        </w:trPr>
        <w:tc>
          <w:tcPr>
            <w:tcW w:w="1598" w:type="dxa"/>
          </w:tcPr>
          <w:p w14:paraId="1F83A4E9" w14:textId="47C41E12" w:rsidR="00B426C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1e</w:t>
            </w:r>
          </w:p>
        </w:tc>
        <w:tc>
          <w:tcPr>
            <w:tcW w:w="949" w:type="dxa"/>
          </w:tcPr>
          <w:p w14:paraId="185A4335"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992" w:type="dxa"/>
          </w:tcPr>
          <w:p w14:paraId="59D10372"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tcPr>
          <w:p w14:paraId="427E1949"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4B2B63" w:rsidRPr="00533264" w14:paraId="2B24D5EC" w14:textId="77777777" w:rsidTr="001D5305">
        <w:trPr>
          <w:trHeight w:val="57"/>
          <w:jc w:val="center"/>
        </w:trPr>
        <w:tc>
          <w:tcPr>
            <w:tcW w:w="1598" w:type="dxa"/>
          </w:tcPr>
          <w:p w14:paraId="6EC18323" w14:textId="41661F09" w:rsidR="00B426C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1f</w:t>
            </w:r>
          </w:p>
        </w:tc>
        <w:tc>
          <w:tcPr>
            <w:tcW w:w="949" w:type="dxa"/>
          </w:tcPr>
          <w:p w14:paraId="10D0B673"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c>
          <w:tcPr>
            <w:tcW w:w="992" w:type="dxa"/>
          </w:tcPr>
          <w:p w14:paraId="31F42070"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c>
          <w:tcPr>
            <w:tcW w:w="1134" w:type="dxa"/>
          </w:tcPr>
          <w:p w14:paraId="7D8D272D"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r>
      <w:tr w:rsidR="004B2B63" w:rsidRPr="00533264" w14:paraId="62DA166B" w14:textId="77777777" w:rsidTr="001D5305">
        <w:trPr>
          <w:trHeight w:val="57"/>
          <w:jc w:val="center"/>
        </w:trPr>
        <w:tc>
          <w:tcPr>
            <w:tcW w:w="1598" w:type="dxa"/>
          </w:tcPr>
          <w:p w14:paraId="3F2F79DA" w14:textId="6810F689" w:rsidR="00B426C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1g</w:t>
            </w:r>
          </w:p>
        </w:tc>
        <w:tc>
          <w:tcPr>
            <w:tcW w:w="949" w:type="dxa"/>
          </w:tcPr>
          <w:p w14:paraId="1B62861A"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tcPr>
          <w:p w14:paraId="2DBF481F"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tcPr>
          <w:p w14:paraId="1E3E9B57"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5</w:t>
            </w:r>
          </w:p>
        </w:tc>
      </w:tr>
      <w:tr w:rsidR="004B2B63" w:rsidRPr="00533264" w14:paraId="147EA18A" w14:textId="77777777" w:rsidTr="001D5305">
        <w:trPr>
          <w:trHeight w:val="57"/>
          <w:jc w:val="center"/>
        </w:trPr>
        <w:tc>
          <w:tcPr>
            <w:tcW w:w="1598" w:type="dxa"/>
          </w:tcPr>
          <w:p w14:paraId="639B0174" w14:textId="309C49B5" w:rsidR="00B426C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1h</w:t>
            </w:r>
          </w:p>
        </w:tc>
        <w:tc>
          <w:tcPr>
            <w:tcW w:w="949" w:type="dxa"/>
          </w:tcPr>
          <w:p w14:paraId="4C939F46"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tcPr>
          <w:p w14:paraId="56521BFE"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1134" w:type="dxa"/>
          </w:tcPr>
          <w:p w14:paraId="2708B7C4"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r>
      <w:tr w:rsidR="004B2B63" w:rsidRPr="00533264" w14:paraId="32B0294C" w14:textId="77777777" w:rsidTr="001D5305">
        <w:trPr>
          <w:trHeight w:val="57"/>
          <w:jc w:val="center"/>
        </w:trPr>
        <w:tc>
          <w:tcPr>
            <w:tcW w:w="1598" w:type="dxa"/>
          </w:tcPr>
          <w:p w14:paraId="5907DB9C" w14:textId="67510BE5" w:rsidR="00B426C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1i</w:t>
            </w:r>
          </w:p>
        </w:tc>
        <w:tc>
          <w:tcPr>
            <w:tcW w:w="949" w:type="dxa"/>
          </w:tcPr>
          <w:p w14:paraId="1D80DD85"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tcPr>
          <w:p w14:paraId="73BEF5BB"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tcPr>
          <w:p w14:paraId="7FE5EC88" w14:textId="77777777"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5</w:t>
            </w:r>
          </w:p>
        </w:tc>
      </w:tr>
      <w:tr w:rsidR="004B2B63" w:rsidRPr="00533264" w14:paraId="01226B13" w14:textId="77777777" w:rsidTr="001D5305">
        <w:trPr>
          <w:trHeight w:val="57"/>
          <w:jc w:val="center"/>
        </w:trPr>
        <w:tc>
          <w:tcPr>
            <w:tcW w:w="1598" w:type="dxa"/>
          </w:tcPr>
          <w:p w14:paraId="2B2D273F" w14:textId="267B2DC0" w:rsidR="00B426CC" w:rsidRPr="00533264" w:rsidRDefault="16EC5136" w:rsidP="16EC5136">
            <w:pPr>
              <w:spacing w:before="120" w:after="120"/>
              <w:rPr>
                <w:rFonts w:eastAsia="Times New Roman"/>
                <w:b/>
                <w:bCs/>
                <w:sz w:val="20"/>
                <w:szCs w:val="20"/>
              </w:rPr>
            </w:pPr>
            <w:r w:rsidRPr="00533264">
              <w:rPr>
                <w:rFonts w:eastAsia="Times New Roman"/>
                <w:b/>
                <w:bCs/>
                <w:sz w:val="20"/>
                <w:szCs w:val="20"/>
              </w:rPr>
              <w:lastRenderedPageBreak/>
              <w:t>Toplam</w:t>
            </w:r>
          </w:p>
        </w:tc>
        <w:tc>
          <w:tcPr>
            <w:tcW w:w="949" w:type="dxa"/>
          </w:tcPr>
          <w:p w14:paraId="7E475F2B" w14:textId="5D2274B0"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4</w:t>
            </w:r>
          </w:p>
        </w:tc>
        <w:tc>
          <w:tcPr>
            <w:tcW w:w="992" w:type="dxa"/>
          </w:tcPr>
          <w:p w14:paraId="131AF92C" w14:textId="669CEC72"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10</w:t>
            </w:r>
          </w:p>
        </w:tc>
        <w:tc>
          <w:tcPr>
            <w:tcW w:w="1134" w:type="dxa"/>
          </w:tcPr>
          <w:p w14:paraId="0CD5CCE7" w14:textId="6917C94C" w:rsidR="00B426CC" w:rsidRPr="00533264" w:rsidRDefault="16EC5136" w:rsidP="16EC5136">
            <w:pPr>
              <w:spacing w:before="120" w:after="120"/>
              <w:jc w:val="right"/>
              <w:rPr>
                <w:rFonts w:eastAsia="Times New Roman"/>
                <w:sz w:val="20"/>
                <w:szCs w:val="20"/>
              </w:rPr>
            </w:pPr>
            <w:r w:rsidRPr="00533264">
              <w:rPr>
                <w:rFonts w:eastAsia="Times New Roman"/>
                <w:sz w:val="20"/>
                <w:szCs w:val="20"/>
              </w:rPr>
              <w:t>15</w:t>
            </w:r>
          </w:p>
        </w:tc>
      </w:tr>
      <w:tr w:rsidR="004B2B63" w:rsidRPr="00533264" w14:paraId="61742F90" w14:textId="77777777" w:rsidTr="001D5305">
        <w:trPr>
          <w:trHeight w:val="57"/>
          <w:jc w:val="center"/>
        </w:trPr>
        <w:tc>
          <w:tcPr>
            <w:tcW w:w="4673" w:type="dxa"/>
            <w:gridSpan w:val="4"/>
            <w:shd w:val="clear" w:color="auto" w:fill="D9D9D9" w:themeFill="background1" w:themeFillShade="D9"/>
          </w:tcPr>
          <w:p w14:paraId="20727160" w14:textId="6589493D" w:rsidR="00B426CC" w:rsidRPr="00533264" w:rsidRDefault="16EC5136" w:rsidP="16EC5136">
            <w:pPr>
              <w:spacing w:before="120" w:after="120"/>
              <w:rPr>
                <w:rFonts w:eastAsia="Times New Roman"/>
                <w:b/>
                <w:bCs/>
                <w:sz w:val="20"/>
                <w:szCs w:val="20"/>
              </w:rPr>
            </w:pPr>
            <w:r w:rsidRPr="00533264">
              <w:rPr>
                <w:rFonts w:eastAsia="Times New Roman"/>
                <w:b/>
                <w:bCs/>
                <w:sz w:val="20"/>
                <w:szCs w:val="20"/>
              </w:rPr>
              <w:t xml:space="preserve">Genel Toplam                      </w:t>
            </w:r>
            <w:r w:rsidR="00F54DA3">
              <w:rPr>
                <w:rFonts w:eastAsia="Times New Roman"/>
                <w:b/>
                <w:bCs/>
                <w:sz w:val="20"/>
                <w:szCs w:val="20"/>
              </w:rPr>
              <w:t xml:space="preserve">           </w:t>
            </w:r>
            <w:r w:rsidRPr="00533264">
              <w:rPr>
                <w:rFonts w:eastAsia="Times New Roman"/>
                <w:b/>
                <w:bCs/>
                <w:sz w:val="20"/>
                <w:szCs w:val="20"/>
              </w:rPr>
              <w:t xml:space="preserve">                           29</w:t>
            </w:r>
          </w:p>
        </w:tc>
      </w:tr>
    </w:tbl>
    <w:p w14:paraId="74D814F5" w14:textId="77777777" w:rsidR="00ED2EC0" w:rsidRPr="00533264" w:rsidRDefault="00ED2EC0" w:rsidP="16EC5136">
      <w:pPr>
        <w:spacing w:before="120" w:after="120"/>
        <w:jc w:val="both"/>
        <w:rPr>
          <w:rFonts w:eastAsia="Times New Roman"/>
          <w:sz w:val="22"/>
          <w:szCs w:val="22"/>
        </w:rPr>
      </w:pPr>
    </w:p>
    <w:p w14:paraId="6B1CD538" w14:textId="77B76566" w:rsidR="00ED2EC0"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Güvenlik kategorisinde verilen yazılı ve sözlü soru önergeleri içinde ölçüt olarak 9 kavram belirlenmiştir. Bu kavramların toplam 47 yazılı ve sözlü soru önergesinde tekrarlanma sıklığı 29</w:t>
      </w:r>
      <w:r w:rsidR="00DD38F1">
        <w:rPr>
          <w:rFonts w:eastAsia="Times New Roman"/>
          <w:sz w:val="22"/>
          <w:szCs w:val="22"/>
        </w:rPr>
        <w:t>’dur.</w:t>
      </w:r>
      <w:r w:rsidRPr="00533264">
        <w:rPr>
          <w:rFonts w:eastAsia="Times New Roman"/>
          <w:sz w:val="22"/>
          <w:szCs w:val="22"/>
        </w:rPr>
        <w:t xml:space="preserve"> Güvenlik kategorisinde tekrarlanış sıklığına 15 ile en fazla HDP tarafından verilmiş yazılı ve sözlü soru önergelerinde rastlanılmıştır.</w:t>
      </w:r>
    </w:p>
    <w:p w14:paraId="5866D3B7" w14:textId="557FF5EA" w:rsidR="3AC9AC55"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Partilerin güvenlik konusunda verdikleri soru önergelerine baktığımızda Suriye göçüne yönelik güvenlik endişeleri ortaya çıkmaktadır. MHP 2015 yılında verdiği soru önergelerinde (Sayı:221; Sayı: 361); kontrolsüz bir şekilde gelen Suriyeli sığınmacılar için yapılacak kalıcı çözüm önerileri ile sığınmacılar sonrasında kamu düzenini bozan eylemlerin ne kadar arttığına yönelik soru önergesi vermiş olup Suriyeli sığınmacıların gelmesinden sonra adli vakaların arttığını belirtmiştir. Ayrıca 2015 seçim bildirgesinde "</w:t>
      </w:r>
      <w:r w:rsidRPr="00533264">
        <w:rPr>
          <w:rFonts w:eastAsia="Times New Roman"/>
          <w:i/>
          <w:iCs/>
          <w:sz w:val="22"/>
          <w:szCs w:val="22"/>
        </w:rPr>
        <w:t xml:space="preserve">mülteci akınlarına karşı ülke çıkarlarını ve güvenliğini dikkate alan tedbirler almak" </w:t>
      </w:r>
      <w:r w:rsidRPr="00533264">
        <w:rPr>
          <w:rFonts w:eastAsia="Times New Roman"/>
          <w:sz w:val="22"/>
          <w:szCs w:val="22"/>
        </w:rPr>
        <w:t>(MHP, 2015: 58</w:t>
      </w:r>
      <w:r w:rsidR="00DD38F1" w:rsidRPr="00533264">
        <w:rPr>
          <w:rFonts w:eastAsia="Times New Roman"/>
          <w:sz w:val="22"/>
          <w:szCs w:val="22"/>
        </w:rPr>
        <w:t>)</w:t>
      </w:r>
      <w:r w:rsidR="00DD38F1" w:rsidRPr="00533264">
        <w:rPr>
          <w:rFonts w:eastAsia="Times New Roman"/>
          <w:i/>
          <w:iCs/>
          <w:sz w:val="22"/>
          <w:szCs w:val="22"/>
        </w:rPr>
        <w:t xml:space="preserve"> </w:t>
      </w:r>
      <w:r w:rsidR="00DD38F1" w:rsidRPr="00DD38F1">
        <w:rPr>
          <w:rFonts w:eastAsia="Times New Roman"/>
          <w:iCs/>
          <w:sz w:val="22"/>
          <w:szCs w:val="22"/>
        </w:rPr>
        <w:t>şeklinde</w:t>
      </w:r>
      <w:r w:rsidRPr="00533264">
        <w:rPr>
          <w:rFonts w:eastAsia="Times New Roman"/>
          <w:sz w:val="22"/>
          <w:szCs w:val="22"/>
        </w:rPr>
        <w:t xml:space="preserve"> ifadeye yer verilerek öncelikli olarak ülke çıkarlarını ön plana çıkaran bir yaklaşım sergilemiştir . Partinin ideolojik temeli ile güvenlik algısına milliyetçi bir yaklaşım sergilediği görülmektedir.</w:t>
      </w:r>
    </w:p>
    <w:p w14:paraId="7A39D185" w14:textId="1BD4BB05" w:rsidR="3AC9AC55"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CHP ise 2016 yılında verdiği soru önergelerinde (Sayı: 5453; Sayı: 1599) sınır güvenliği konusunda endişelerini dile getirmiştir. Verdiği soru önergelerinde özellikle sınır güvenliği ve Suriye’nin toprak bütünlüğünün Türkiye’nin güvenliği açısından da olumlu sonuçlar doğuracağını belirterek güvenlik konusunda daha çok uluslararası ortam konusunu ele alan soru önergesi vermiştir. 2015 yılı seçim bildirgesinde konu ile ilgili olarak  BM Suriye Özel Temsilcisi’nin çalışmalarının destekleneceğini ve Suriye Barış Konferansı düzenleneceği belirtilerek çözümün Türkiye özelinde değil uluslararası alanda  çözümü önerisi üzerinde durmaktadır (CHP, 2015: 206). </w:t>
      </w:r>
    </w:p>
    <w:p w14:paraId="40501D92" w14:textId="418AEFA2" w:rsidR="3AC9AC55"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HDP ise 2015 ve 2016 yıllarında verdiği soru önergelerinde (Sayı: 160; Sayı: 1859) güvenlik konusunda daha çok bireysel olaylar üzerinde durmuştur. Suriyeli mültecinin yaşadığı bireysel adli vaka ile tutuklanan Suriyelilerin gördükleri muameleler ile </w:t>
      </w:r>
      <w:r w:rsidR="00DD38F1">
        <w:rPr>
          <w:rFonts w:eastAsia="Times New Roman"/>
          <w:sz w:val="22"/>
          <w:szCs w:val="22"/>
        </w:rPr>
        <w:t xml:space="preserve">kişilerin etnik aidiyeti arasında bağ kurarak </w:t>
      </w:r>
      <w:r w:rsidRPr="00533264">
        <w:rPr>
          <w:rFonts w:eastAsia="Times New Roman"/>
          <w:sz w:val="22"/>
          <w:szCs w:val="22"/>
        </w:rPr>
        <w:t>etnik siyaset anlayışı</w:t>
      </w:r>
      <w:r w:rsidR="00DD38F1">
        <w:rPr>
          <w:rFonts w:eastAsia="Times New Roman"/>
          <w:sz w:val="22"/>
          <w:szCs w:val="22"/>
        </w:rPr>
        <w:t xml:space="preserve"> </w:t>
      </w:r>
      <w:r w:rsidRPr="00533264">
        <w:rPr>
          <w:rFonts w:eastAsia="Times New Roman"/>
          <w:sz w:val="22"/>
          <w:szCs w:val="22"/>
        </w:rPr>
        <w:t xml:space="preserve">yansıttığı görülmektedir. Güvenlik algısında genel olarak Suriyeli sığınmacılara yönelik olarak bireysel vakalar üzerinden eleştirilerini sunmaktadır. Verdiği soru önergelerinde Suriye’den gelen sığınmacılara yönelik olarak uygulamalarda kimlik aidiyetinin göz önünde bulundurulduğu yönünde eleştirilerini de bir anlamda dile getirmektedir. Benzer düşünceler 2015 seçim bildirgesinde de vurgulanmıştır. Seçim bildirgesinde bu konu ırkçılığa varan nefret söyleminin önüne geçilmesi yönünde politika geliştirilmesi (HDP, 2015: 45) şeklinde ifade edilmiş bu ifade soru önergelerinde vurguladığı kimlik aidiyetine yönelik eleştiriler şeklinde </w:t>
      </w:r>
      <w:r w:rsidR="00DD38F1" w:rsidRPr="00533264">
        <w:rPr>
          <w:rFonts w:eastAsia="Times New Roman"/>
          <w:sz w:val="22"/>
          <w:szCs w:val="22"/>
        </w:rPr>
        <w:t>yer bulmuştur</w:t>
      </w:r>
      <w:r w:rsidRPr="00533264">
        <w:rPr>
          <w:rFonts w:eastAsia="Times New Roman"/>
          <w:sz w:val="22"/>
          <w:szCs w:val="22"/>
        </w:rPr>
        <w:t>.</w:t>
      </w:r>
    </w:p>
    <w:p w14:paraId="5F763C5A" w14:textId="0F7FB9CD" w:rsidR="00BC5802" w:rsidRPr="00533264" w:rsidRDefault="16EC5136" w:rsidP="16EC5136">
      <w:pPr>
        <w:spacing w:before="120" w:after="120"/>
        <w:jc w:val="center"/>
        <w:rPr>
          <w:rFonts w:eastAsia="Times New Roman"/>
          <w:sz w:val="20"/>
          <w:szCs w:val="20"/>
        </w:rPr>
      </w:pPr>
      <w:r w:rsidRPr="00533264">
        <w:rPr>
          <w:rFonts w:eastAsia="Times New Roman"/>
          <w:b/>
          <w:bCs/>
          <w:sz w:val="20"/>
          <w:szCs w:val="20"/>
        </w:rPr>
        <w:t xml:space="preserve">Tablo </w:t>
      </w:r>
      <w:r w:rsidR="00533264" w:rsidRPr="00533264">
        <w:rPr>
          <w:rFonts w:eastAsia="Times New Roman"/>
          <w:b/>
          <w:bCs/>
          <w:sz w:val="20"/>
          <w:szCs w:val="20"/>
        </w:rPr>
        <w:t>4</w:t>
      </w:r>
      <w:r w:rsidRPr="00533264">
        <w:rPr>
          <w:rFonts w:eastAsia="Times New Roman"/>
          <w:b/>
          <w:bCs/>
          <w:sz w:val="20"/>
          <w:szCs w:val="20"/>
        </w:rPr>
        <w:t>.</w:t>
      </w:r>
      <w:r w:rsidRPr="00533264">
        <w:rPr>
          <w:rFonts w:eastAsia="Times New Roman"/>
          <w:sz w:val="20"/>
          <w:szCs w:val="20"/>
        </w:rPr>
        <w:t xml:space="preserve"> Sağlık Kategorisi İçerik Analizi Kodlama Cetveli</w:t>
      </w:r>
    </w:p>
    <w:tbl>
      <w:tblPr>
        <w:tblStyle w:val="TabloKlavuzu"/>
        <w:tblW w:w="4673" w:type="dxa"/>
        <w:jc w:val="center"/>
        <w:tblLayout w:type="fixed"/>
        <w:tblLook w:val="04A0" w:firstRow="1" w:lastRow="0" w:firstColumn="1" w:lastColumn="0" w:noHBand="0" w:noVBand="1"/>
      </w:tblPr>
      <w:tblGrid>
        <w:gridCol w:w="1555"/>
        <w:gridCol w:w="992"/>
        <w:gridCol w:w="992"/>
        <w:gridCol w:w="1134"/>
      </w:tblGrid>
      <w:tr w:rsidR="00543217" w:rsidRPr="00533264" w14:paraId="16494AA1" w14:textId="77777777" w:rsidTr="001D5305">
        <w:trPr>
          <w:trHeight w:val="57"/>
          <w:jc w:val="center"/>
        </w:trPr>
        <w:tc>
          <w:tcPr>
            <w:tcW w:w="1555" w:type="dxa"/>
            <w:shd w:val="clear" w:color="auto" w:fill="D9D9D9" w:themeFill="background1" w:themeFillShade="D9"/>
            <w:vAlign w:val="center"/>
          </w:tcPr>
          <w:p w14:paraId="12D9E3BA" w14:textId="1EA173DE" w:rsidR="00BC5802" w:rsidRPr="00533264" w:rsidRDefault="16EC5136" w:rsidP="16EC5136">
            <w:pPr>
              <w:spacing w:before="120" w:after="120"/>
              <w:rPr>
                <w:rFonts w:eastAsia="Times New Roman"/>
                <w:b/>
                <w:bCs/>
                <w:sz w:val="20"/>
                <w:szCs w:val="20"/>
              </w:rPr>
            </w:pPr>
            <w:r w:rsidRPr="00533264">
              <w:rPr>
                <w:rFonts w:eastAsia="Times New Roman"/>
                <w:b/>
                <w:bCs/>
                <w:sz w:val="20"/>
                <w:szCs w:val="20"/>
              </w:rPr>
              <w:t>Kategori-Ölçüt</w:t>
            </w:r>
          </w:p>
        </w:tc>
        <w:tc>
          <w:tcPr>
            <w:tcW w:w="992" w:type="dxa"/>
            <w:shd w:val="clear" w:color="auto" w:fill="D9D9D9" w:themeFill="background1" w:themeFillShade="D9"/>
            <w:vAlign w:val="center"/>
          </w:tcPr>
          <w:p w14:paraId="4C0214AF" w14:textId="6E8C170C" w:rsidR="00BC5802"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MHP</w:t>
            </w:r>
          </w:p>
        </w:tc>
        <w:tc>
          <w:tcPr>
            <w:tcW w:w="992" w:type="dxa"/>
            <w:shd w:val="clear" w:color="auto" w:fill="D9D9D9" w:themeFill="background1" w:themeFillShade="D9"/>
            <w:vAlign w:val="center"/>
          </w:tcPr>
          <w:p w14:paraId="06E06DAC" w14:textId="04282C9D" w:rsidR="00BC5802"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CHP</w:t>
            </w:r>
          </w:p>
        </w:tc>
        <w:tc>
          <w:tcPr>
            <w:tcW w:w="1134" w:type="dxa"/>
            <w:shd w:val="clear" w:color="auto" w:fill="D9D9D9" w:themeFill="background1" w:themeFillShade="D9"/>
            <w:vAlign w:val="center"/>
          </w:tcPr>
          <w:p w14:paraId="6ADC08C5" w14:textId="15934C4B" w:rsidR="00BC5802"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HDP</w:t>
            </w:r>
          </w:p>
        </w:tc>
      </w:tr>
      <w:tr w:rsidR="00543217" w:rsidRPr="00533264" w14:paraId="76C25BFF" w14:textId="77777777" w:rsidTr="001D5305">
        <w:trPr>
          <w:trHeight w:val="57"/>
          <w:jc w:val="center"/>
        </w:trPr>
        <w:tc>
          <w:tcPr>
            <w:tcW w:w="1555" w:type="dxa"/>
          </w:tcPr>
          <w:p w14:paraId="14C0CD0B" w14:textId="6945146E" w:rsidR="004072FB"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2a</w:t>
            </w:r>
          </w:p>
        </w:tc>
        <w:tc>
          <w:tcPr>
            <w:tcW w:w="992" w:type="dxa"/>
            <w:vAlign w:val="center"/>
          </w:tcPr>
          <w:p w14:paraId="4386EE92" w14:textId="65E7774F"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vAlign w:val="center"/>
          </w:tcPr>
          <w:p w14:paraId="2A7B2D22" w14:textId="5100E30E"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3</w:t>
            </w:r>
          </w:p>
        </w:tc>
        <w:tc>
          <w:tcPr>
            <w:tcW w:w="1134" w:type="dxa"/>
            <w:vAlign w:val="center"/>
          </w:tcPr>
          <w:p w14:paraId="527F3FE0" w14:textId="47E462F9"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r>
      <w:tr w:rsidR="00543217" w:rsidRPr="00533264" w14:paraId="3129791D" w14:textId="77777777" w:rsidTr="001D5305">
        <w:trPr>
          <w:trHeight w:val="57"/>
          <w:jc w:val="center"/>
        </w:trPr>
        <w:tc>
          <w:tcPr>
            <w:tcW w:w="1555" w:type="dxa"/>
          </w:tcPr>
          <w:p w14:paraId="19504DDC" w14:textId="48B52833" w:rsidR="004072FB"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2b</w:t>
            </w:r>
          </w:p>
        </w:tc>
        <w:tc>
          <w:tcPr>
            <w:tcW w:w="992" w:type="dxa"/>
            <w:vAlign w:val="center"/>
          </w:tcPr>
          <w:p w14:paraId="38C7AD17" w14:textId="2A020A71"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992" w:type="dxa"/>
            <w:vAlign w:val="center"/>
          </w:tcPr>
          <w:p w14:paraId="5F481FB9" w14:textId="51005D47"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6CF5EA46" w14:textId="335DE1CC"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5</w:t>
            </w:r>
          </w:p>
        </w:tc>
      </w:tr>
      <w:tr w:rsidR="00543217" w:rsidRPr="00533264" w14:paraId="21E038FE" w14:textId="77777777" w:rsidTr="001D5305">
        <w:trPr>
          <w:trHeight w:val="57"/>
          <w:jc w:val="center"/>
        </w:trPr>
        <w:tc>
          <w:tcPr>
            <w:tcW w:w="1555" w:type="dxa"/>
          </w:tcPr>
          <w:p w14:paraId="1F1826C7" w14:textId="0F858A7D" w:rsidR="004072FB"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2c</w:t>
            </w:r>
          </w:p>
        </w:tc>
        <w:tc>
          <w:tcPr>
            <w:tcW w:w="992" w:type="dxa"/>
            <w:vAlign w:val="center"/>
          </w:tcPr>
          <w:p w14:paraId="7C946094" w14:textId="5DFF36BF"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vAlign w:val="center"/>
          </w:tcPr>
          <w:p w14:paraId="634A081F" w14:textId="2489B02A"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c>
          <w:tcPr>
            <w:tcW w:w="1134" w:type="dxa"/>
            <w:vAlign w:val="center"/>
          </w:tcPr>
          <w:p w14:paraId="2A267EEE" w14:textId="6DE1E505"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3</w:t>
            </w:r>
          </w:p>
        </w:tc>
      </w:tr>
      <w:tr w:rsidR="00543217" w:rsidRPr="00533264" w14:paraId="29A3CAC6" w14:textId="77777777" w:rsidTr="001D5305">
        <w:trPr>
          <w:trHeight w:val="57"/>
          <w:jc w:val="center"/>
        </w:trPr>
        <w:tc>
          <w:tcPr>
            <w:tcW w:w="1555" w:type="dxa"/>
          </w:tcPr>
          <w:p w14:paraId="31F73B85" w14:textId="4A3EE817" w:rsidR="004072FB"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2d</w:t>
            </w:r>
          </w:p>
        </w:tc>
        <w:tc>
          <w:tcPr>
            <w:tcW w:w="992" w:type="dxa"/>
            <w:vAlign w:val="center"/>
          </w:tcPr>
          <w:p w14:paraId="74B32F96" w14:textId="2F6CF9EA"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vAlign w:val="center"/>
          </w:tcPr>
          <w:p w14:paraId="19357845" w14:textId="0FEC770D"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3</w:t>
            </w:r>
          </w:p>
        </w:tc>
        <w:tc>
          <w:tcPr>
            <w:tcW w:w="1134" w:type="dxa"/>
            <w:vAlign w:val="center"/>
          </w:tcPr>
          <w:p w14:paraId="33539C66" w14:textId="7941ADB1"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r>
      <w:tr w:rsidR="00543217" w:rsidRPr="00533264" w14:paraId="6CA04B27" w14:textId="77777777" w:rsidTr="001D5305">
        <w:trPr>
          <w:trHeight w:val="57"/>
          <w:jc w:val="center"/>
        </w:trPr>
        <w:tc>
          <w:tcPr>
            <w:tcW w:w="1555" w:type="dxa"/>
          </w:tcPr>
          <w:p w14:paraId="0BA6DFFB" w14:textId="5C632752" w:rsidR="004072FB"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2e</w:t>
            </w:r>
          </w:p>
        </w:tc>
        <w:tc>
          <w:tcPr>
            <w:tcW w:w="992" w:type="dxa"/>
            <w:vAlign w:val="center"/>
          </w:tcPr>
          <w:p w14:paraId="1BEB4FB1" w14:textId="09B4F345"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vAlign w:val="center"/>
          </w:tcPr>
          <w:p w14:paraId="2D5CF2EC" w14:textId="61C3AFAD"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61E0155C" w14:textId="05FCC0AA"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5</w:t>
            </w:r>
          </w:p>
        </w:tc>
      </w:tr>
      <w:tr w:rsidR="00543217" w:rsidRPr="00533264" w14:paraId="13BF06D5" w14:textId="77777777" w:rsidTr="001D5305">
        <w:trPr>
          <w:trHeight w:val="57"/>
          <w:jc w:val="center"/>
        </w:trPr>
        <w:tc>
          <w:tcPr>
            <w:tcW w:w="1555" w:type="dxa"/>
          </w:tcPr>
          <w:p w14:paraId="5C70041D" w14:textId="2D7742A4" w:rsidR="004072FB"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2f</w:t>
            </w:r>
          </w:p>
        </w:tc>
        <w:tc>
          <w:tcPr>
            <w:tcW w:w="992" w:type="dxa"/>
            <w:vAlign w:val="center"/>
          </w:tcPr>
          <w:p w14:paraId="505AAA92" w14:textId="7EF8EB4D"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vAlign w:val="center"/>
          </w:tcPr>
          <w:p w14:paraId="414E7B4E" w14:textId="65745D8E"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7ADD381F" w14:textId="7EFE6045"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12</w:t>
            </w:r>
          </w:p>
        </w:tc>
      </w:tr>
      <w:tr w:rsidR="00543217" w:rsidRPr="00533264" w14:paraId="3F20AB7A" w14:textId="77777777" w:rsidTr="001D5305">
        <w:trPr>
          <w:trHeight w:val="57"/>
          <w:jc w:val="center"/>
        </w:trPr>
        <w:tc>
          <w:tcPr>
            <w:tcW w:w="1555" w:type="dxa"/>
          </w:tcPr>
          <w:p w14:paraId="2275DFBD" w14:textId="39B494E9" w:rsidR="004072FB"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2g</w:t>
            </w:r>
          </w:p>
        </w:tc>
        <w:tc>
          <w:tcPr>
            <w:tcW w:w="992" w:type="dxa"/>
            <w:vAlign w:val="center"/>
          </w:tcPr>
          <w:p w14:paraId="1F151EA5" w14:textId="1C30EAA8"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992" w:type="dxa"/>
            <w:vAlign w:val="center"/>
          </w:tcPr>
          <w:p w14:paraId="08455046" w14:textId="6D661A39"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662546F9" w14:textId="4DC1EC16" w:rsidR="004072FB" w:rsidRPr="00533264" w:rsidRDefault="16EC5136" w:rsidP="16EC5136">
            <w:pPr>
              <w:spacing w:before="120" w:after="120"/>
              <w:jc w:val="right"/>
              <w:rPr>
                <w:rFonts w:eastAsia="Times New Roman"/>
                <w:sz w:val="20"/>
                <w:szCs w:val="20"/>
              </w:rPr>
            </w:pPr>
            <w:r w:rsidRPr="00533264">
              <w:rPr>
                <w:rFonts w:eastAsia="Times New Roman"/>
                <w:sz w:val="20"/>
                <w:szCs w:val="20"/>
              </w:rPr>
              <w:t>7</w:t>
            </w:r>
          </w:p>
        </w:tc>
      </w:tr>
      <w:tr w:rsidR="00543217" w:rsidRPr="00533264" w14:paraId="5F0A56EB" w14:textId="77777777" w:rsidTr="001D5305">
        <w:trPr>
          <w:trHeight w:val="57"/>
          <w:jc w:val="center"/>
        </w:trPr>
        <w:tc>
          <w:tcPr>
            <w:tcW w:w="1555" w:type="dxa"/>
          </w:tcPr>
          <w:p w14:paraId="13B97A74" w14:textId="20FB318B" w:rsidR="00BC5802" w:rsidRPr="00533264" w:rsidRDefault="16EC5136" w:rsidP="16EC5136">
            <w:pPr>
              <w:spacing w:before="120" w:after="120"/>
              <w:rPr>
                <w:rFonts w:eastAsia="Times New Roman"/>
                <w:b/>
                <w:bCs/>
                <w:sz w:val="20"/>
                <w:szCs w:val="20"/>
              </w:rPr>
            </w:pPr>
            <w:r w:rsidRPr="00533264">
              <w:rPr>
                <w:rFonts w:eastAsia="Times New Roman"/>
                <w:b/>
                <w:bCs/>
                <w:sz w:val="20"/>
                <w:szCs w:val="20"/>
              </w:rPr>
              <w:lastRenderedPageBreak/>
              <w:t>Toplam</w:t>
            </w:r>
          </w:p>
        </w:tc>
        <w:tc>
          <w:tcPr>
            <w:tcW w:w="992" w:type="dxa"/>
            <w:vAlign w:val="center"/>
          </w:tcPr>
          <w:p w14:paraId="4D9B5DBA" w14:textId="5C3D332C" w:rsidR="00BC5802"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c>
          <w:tcPr>
            <w:tcW w:w="992" w:type="dxa"/>
            <w:vAlign w:val="center"/>
          </w:tcPr>
          <w:p w14:paraId="5C677B24" w14:textId="7F87DC5A" w:rsidR="00BC5802" w:rsidRPr="00533264" w:rsidRDefault="16EC5136" w:rsidP="16EC5136">
            <w:pPr>
              <w:spacing w:before="120" w:after="120"/>
              <w:jc w:val="right"/>
              <w:rPr>
                <w:rFonts w:eastAsia="Times New Roman"/>
                <w:sz w:val="20"/>
                <w:szCs w:val="20"/>
              </w:rPr>
            </w:pPr>
            <w:r w:rsidRPr="00533264">
              <w:rPr>
                <w:rFonts w:eastAsia="Times New Roman"/>
                <w:sz w:val="20"/>
                <w:szCs w:val="20"/>
              </w:rPr>
              <w:t>8</w:t>
            </w:r>
          </w:p>
        </w:tc>
        <w:tc>
          <w:tcPr>
            <w:tcW w:w="1134" w:type="dxa"/>
            <w:vAlign w:val="center"/>
          </w:tcPr>
          <w:p w14:paraId="08EBF45D" w14:textId="76DE8A6C" w:rsidR="00BC5802" w:rsidRPr="00533264" w:rsidRDefault="16EC5136" w:rsidP="16EC5136">
            <w:pPr>
              <w:spacing w:before="120" w:after="120"/>
              <w:jc w:val="right"/>
              <w:rPr>
                <w:rFonts w:eastAsia="Times New Roman"/>
                <w:sz w:val="20"/>
                <w:szCs w:val="20"/>
              </w:rPr>
            </w:pPr>
            <w:r w:rsidRPr="00533264">
              <w:rPr>
                <w:rFonts w:eastAsia="Times New Roman"/>
                <w:sz w:val="20"/>
                <w:szCs w:val="20"/>
              </w:rPr>
              <w:t>35</w:t>
            </w:r>
          </w:p>
        </w:tc>
      </w:tr>
      <w:tr w:rsidR="00BC5802" w:rsidRPr="00533264" w14:paraId="0CFC6AA2" w14:textId="77777777" w:rsidTr="001D5305">
        <w:trPr>
          <w:trHeight w:val="57"/>
          <w:jc w:val="center"/>
        </w:trPr>
        <w:tc>
          <w:tcPr>
            <w:tcW w:w="4673" w:type="dxa"/>
            <w:gridSpan w:val="4"/>
            <w:shd w:val="clear" w:color="auto" w:fill="D9D9D9" w:themeFill="background1" w:themeFillShade="D9"/>
          </w:tcPr>
          <w:p w14:paraId="2AB56BFC" w14:textId="04C475D8" w:rsidR="00BC5802" w:rsidRPr="00533264" w:rsidRDefault="16EC5136" w:rsidP="16EC5136">
            <w:pPr>
              <w:spacing w:before="120" w:after="120"/>
              <w:rPr>
                <w:rFonts w:eastAsia="Times New Roman"/>
                <w:b/>
                <w:bCs/>
                <w:sz w:val="20"/>
                <w:szCs w:val="20"/>
              </w:rPr>
            </w:pPr>
            <w:r w:rsidRPr="00533264">
              <w:rPr>
                <w:rFonts w:eastAsia="Times New Roman"/>
                <w:b/>
                <w:bCs/>
                <w:sz w:val="20"/>
                <w:szCs w:val="20"/>
              </w:rPr>
              <w:t>Genel Toplam                                                            45</w:t>
            </w:r>
          </w:p>
        </w:tc>
      </w:tr>
    </w:tbl>
    <w:p w14:paraId="00A6F166" w14:textId="41AA9D30" w:rsidR="00111870"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Sağlık kategorisinde hastane, ilaç, tedavi, doğum, ölüm gibi 7 ölçüt belirlenmiş ve bu ölçütlerin analizdeki tekrarlanış sıklığı 45 olarak belirlenmiştir. Partiler içinde ise bu kategoride HDP en çok  tekrarlanma sıklığına ulaşmıştır. Sağlık konusu ile ilgili olarak MHP 2015 yılında verdiği soru önergesinde (Sayı: 219) kontrolsüz bir şekilde ülkemize giren Suriyelilerin hem sağlık açısından uygun koşullarda olmadığı hem de bulaşıcı hastalık tehlikesi ile ülkemizde salgın hastalık riskinin artıp artmadığı yönünde sorularını dile getirmiştir. 2015 yılı seçim bildirgesinde de konuyu her iki açıdan değerlendirmiştir. Sığınmacıların sağlıksız şartlarda hayatlarını sürdürmeye çalışırken bu durumun Türkiye halkını da etkilediğini ifade etmiştir (MHP, 2015: 239).  </w:t>
      </w:r>
    </w:p>
    <w:p w14:paraId="46CA054F" w14:textId="03D7D9B9" w:rsidR="3AC9AC55"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CHP ise 2016 yılında verdiği soru önergelerinde (Sayı: 5130; Sayı: 4860; Sayı: 3843</w:t>
      </w:r>
      <w:r w:rsidR="00637922" w:rsidRPr="00533264">
        <w:rPr>
          <w:rFonts w:eastAsia="Times New Roman"/>
          <w:sz w:val="22"/>
          <w:szCs w:val="22"/>
        </w:rPr>
        <w:t>) konuya</w:t>
      </w:r>
      <w:r w:rsidRPr="00533264">
        <w:rPr>
          <w:rFonts w:eastAsia="Times New Roman"/>
          <w:sz w:val="22"/>
          <w:szCs w:val="22"/>
        </w:rPr>
        <w:t xml:space="preserve"> hem istihdam açısından hem sağlık açısından yaklaşmıştır. Çalışma izni olmayan hekimlere yönelik verdiği soru önergesinde izinsiz olarak sağlık hizmeti veren </w:t>
      </w:r>
      <w:r w:rsidR="00637922" w:rsidRPr="00533264">
        <w:rPr>
          <w:rFonts w:eastAsia="Times New Roman"/>
          <w:sz w:val="22"/>
          <w:szCs w:val="22"/>
        </w:rPr>
        <w:t>hekimlere işlem</w:t>
      </w:r>
      <w:r w:rsidRPr="00533264">
        <w:rPr>
          <w:rFonts w:eastAsia="Times New Roman"/>
          <w:sz w:val="22"/>
          <w:szCs w:val="22"/>
        </w:rPr>
        <w:t xml:space="preserve"> yapılıp yapılmadığını ve sahte reçete ile alınan ilaçları sorgulamaktadır. CHP'nin sağlık konusunda seçim bildirgesinde sunduğu çözüm önerisi ise önleyici sağlık hizmetlerinden sığınmacıların eksiksiz bir şekilde faydalanması (CHP, 2015: 208) şeklinde olmuştur</w:t>
      </w:r>
    </w:p>
    <w:p w14:paraId="087A3E81" w14:textId="32220DB0" w:rsidR="00543217"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HDP ise 2015 ve 2016 yıllarında verdiği soru önergelerinde (Sayı:94; Sayı:320; Sayı:371; </w:t>
      </w:r>
      <w:r w:rsidR="00637922" w:rsidRPr="00533264">
        <w:rPr>
          <w:rFonts w:eastAsia="Times New Roman"/>
          <w:sz w:val="22"/>
          <w:szCs w:val="22"/>
        </w:rPr>
        <w:t>Sayı 504,</w:t>
      </w:r>
      <w:r w:rsidRPr="00533264">
        <w:rPr>
          <w:rFonts w:eastAsia="Times New Roman"/>
          <w:sz w:val="22"/>
          <w:szCs w:val="22"/>
        </w:rPr>
        <w:t xml:space="preserve"> Sayı: 2576) Suriyeliler açısından olaya yaklaşmakta ve kamplardaki sağlık hizmetini sorgulamaktadır. Özellikle kamplarda kalan Suriyelilere ne tür sağlık hizmeti verildiği konusuna değinmekle birlikte, yaşamını yitirenlerin ölüm sebeplerini özellikle askerler tarafından vurulduğunu iddia ettiği ölümleri sorgulamaktadır. Bunun yanı sıra sığınmacıların bulunduğu kentlerin sağlık sebebi ile çektiği yüke dikkat çekerek diğer illerin bu yükü paylaşma konusunda oranını sorgulamıştır.. HDP 2015 seçim bildirgesi incelendiğinde sığınmacılara yönelik olarak sağlık özelindeki konulara yer vermediği sadece yaşam hakkının temel insani hak olduğu vurgusu yaptığı dikkat çekmektedir (HDP, 2015: 45).</w:t>
      </w:r>
    </w:p>
    <w:p w14:paraId="298CE936" w14:textId="6B90A69C" w:rsidR="00944BDC" w:rsidRPr="00533264" w:rsidRDefault="16EC5136" w:rsidP="16EC5136">
      <w:pPr>
        <w:spacing w:before="120" w:after="120"/>
        <w:jc w:val="center"/>
        <w:rPr>
          <w:rFonts w:eastAsia="Times New Roman"/>
          <w:sz w:val="20"/>
          <w:szCs w:val="20"/>
        </w:rPr>
      </w:pPr>
      <w:r w:rsidRPr="00533264">
        <w:rPr>
          <w:rFonts w:eastAsia="Times New Roman"/>
          <w:b/>
          <w:bCs/>
          <w:sz w:val="20"/>
          <w:szCs w:val="20"/>
        </w:rPr>
        <w:t xml:space="preserve">Tablo </w:t>
      </w:r>
      <w:r w:rsidR="00533264" w:rsidRPr="00533264">
        <w:rPr>
          <w:rFonts w:eastAsia="Times New Roman"/>
          <w:b/>
          <w:bCs/>
          <w:sz w:val="20"/>
          <w:szCs w:val="20"/>
        </w:rPr>
        <w:t>5</w:t>
      </w:r>
      <w:r w:rsidRPr="00533264">
        <w:rPr>
          <w:rFonts w:eastAsia="Times New Roman"/>
          <w:b/>
          <w:bCs/>
          <w:sz w:val="20"/>
          <w:szCs w:val="20"/>
        </w:rPr>
        <w:t>.</w:t>
      </w:r>
      <w:r w:rsidRPr="00533264">
        <w:rPr>
          <w:rFonts w:eastAsia="Times New Roman"/>
          <w:sz w:val="20"/>
          <w:szCs w:val="20"/>
        </w:rPr>
        <w:t xml:space="preserve"> Barınma Kategorisi İçerik Analizi Kodlama Cetveli</w:t>
      </w:r>
    </w:p>
    <w:tbl>
      <w:tblPr>
        <w:tblStyle w:val="TabloKlavuzu"/>
        <w:tblW w:w="4673" w:type="dxa"/>
        <w:jc w:val="center"/>
        <w:tblLayout w:type="fixed"/>
        <w:tblLook w:val="04A0" w:firstRow="1" w:lastRow="0" w:firstColumn="1" w:lastColumn="0" w:noHBand="0" w:noVBand="1"/>
      </w:tblPr>
      <w:tblGrid>
        <w:gridCol w:w="1696"/>
        <w:gridCol w:w="993"/>
        <w:gridCol w:w="992"/>
        <w:gridCol w:w="992"/>
      </w:tblGrid>
      <w:tr w:rsidR="00944BDC" w:rsidRPr="00533264" w14:paraId="460E4EE8" w14:textId="77777777" w:rsidTr="00D00D03">
        <w:trPr>
          <w:trHeight w:val="57"/>
          <w:jc w:val="center"/>
        </w:trPr>
        <w:tc>
          <w:tcPr>
            <w:tcW w:w="1696" w:type="dxa"/>
            <w:shd w:val="clear" w:color="auto" w:fill="D9D9D9" w:themeFill="background1" w:themeFillShade="D9"/>
            <w:vAlign w:val="center"/>
          </w:tcPr>
          <w:p w14:paraId="1DDB8932" w14:textId="0F8444D2"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Kategori-Ölçüt</w:t>
            </w:r>
          </w:p>
        </w:tc>
        <w:tc>
          <w:tcPr>
            <w:tcW w:w="993" w:type="dxa"/>
            <w:shd w:val="clear" w:color="auto" w:fill="D9D9D9" w:themeFill="background1" w:themeFillShade="D9"/>
            <w:vAlign w:val="center"/>
          </w:tcPr>
          <w:p w14:paraId="0A2B0F12" w14:textId="77777777" w:rsidR="00944BDC" w:rsidRPr="00533264" w:rsidRDefault="16EC5136" w:rsidP="16EC5136">
            <w:pPr>
              <w:spacing w:before="120" w:after="120"/>
              <w:rPr>
                <w:rFonts w:eastAsia="Times New Roman"/>
                <w:b/>
                <w:bCs/>
                <w:sz w:val="20"/>
                <w:szCs w:val="20"/>
              </w:rPr>
            </w:pPr>
            <w:r w:rsidRPr="00533264">
              <w:rPr>
                <w:rFonts w:eastAsia="Times New Roman"/>
                <w:b/>
                <w:bCs/>
                <w:sz w:val="20"/>
                <w:szCs w:val="20"/>
              </w:rPr>
              <w:t>MHP</w:t>
            </w:r>
          </w:p>
        </w:tc>
        <w:tc>
          <w:tcPr>
            <w:tcW w:w="992" w:type="dxa"/>
            <w:shd w:val="clear" w:color="auto" w:fill="D9D9D9" w:themeFill="background1" w:themeFillShade="D9"/>
            <w:vAlign w:val="center"/>
          </w:tcPr>
          <w:p w14:paraId="30EDD917" w14:textId="77777777" w:rsidR="00944BDC" w:rsidRPr="00533264" w:rsidRDefault="16EC5136" w:rsidP="16EC5136">
            <w:pPr>
              <w:spacing w:before="120" w:after="120"/>
              <w:rPr>
                <w:rFonts w:eastAsia="Times New Roman"/>
                <w:b/>
                <w:bCs/>
                <w:sz w:val="20"/>
                <w:szCs w:val="20"/>
              </w:rPr>
            </w:pPr>
            <w:r w:rsidRPr="00533264">
              <w:rPr>
                <w:rFonts w:eastAsia="Times New Roman"/>
                <w:b/>
                <w:bCs/>
                <w:sz w:val="20"/>
                <w:szCs w:val="20"/>
              </w:rPr>
              <w:t>CHP</w:t>
            </w:r>
          </w:p>
        </w:tc>
        <w:tc>
          <w:tcPr>
            <w:tcW w:w="992" w:type="dxa"/>
            <w:shd w:val="clear" w:color="auto" w:fill="D9D9D9" w:themeFill="background1" w:themeFillShade="D9"/>
            <w:vAlign w:val="center"/>
          </w:tcPr>
          <w:p w14:paraId="2FAE1FFF" w14:textId="77777777" w:rsidR="00944BDC" w:rsidRPr="00533264" w:rsidRDefault="16EC5136" w:rsidP="16EC5136">
            <w:pPr>
              <w:spacing w:before="120" w:after="120"/>
              <w:rPr>
                <w:rFonts w:eastAsia="Times New Roman"/>
                <w:b/>
                <w:bCs/>
                <w:sz w:val="20"/>
                <w:szCs w:val="20"/>
              </w:rPr>
            </w:pPr>
            <w:r w:rsidRPr="00533264">
              <w:rPr>
                <w:rFonts w:eastAsia="Times New Roman"/>
                <w:b/>
                <w:bCs/>
                <w:sz w:val="20"/>
                <w:szCs w:val="20"/>
              </w:rPr>
              <w:t>HDP</w:t>
            </w:r>
          </w:p>
        </w:tc>
      </w:tr>
      <w:tr w:rsidR="00944BDC" w:rsidRPr="00533264" w14:paraId="347AE3A8" w14:textId="77777777" w:rsidTr="00D00D03">
        <w:trPr>
          <w:trHeight w:val="57"/>
          <w:jc w:val="center"/>
        </w:trPr>
        <w:tc>
          <w:tcPr>
            <w:tcW w:w="1696" w:type="dxa"/>
          </w:tcPr>
          <w:p w14:paraId="2DF5E8E2" w14:textId="7A6E593F"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3a</w:t>
            </w:r>
          </w:p>
        </w:tc>
        <w:tc>
          <w:tcPr>
            <w:tcW w:w="993" w:type="dxa"/>
            <w:vAlign w:val="center"/>
          </w:tcPr>
          <w:p w14:paraId="4DF3EE55" w14:textId="62AC8486"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vAlign w:val="center"/>
          </w:tcPr>
          <w:p w14:paraId="220B109E" w14:textId="4F366E55"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8</w:t>
            </w:r>
          </w:p>
        </w:tc>
        <w:tc>
          <w:tcPr>
            <w:tcW w:w="992" w:type="dxa"/>
            <w:vAlign w:val="center"/>
          </w:tcPr>
          <w:p w14:paraId="1D8939CB" w14:textId="75427DDA"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944BDC" w:rsidRPr="00533264" w14:paraId="20F42081" w14:textId="77777777" w:rsidTr="00D00D03">
        <w:trPr>
          <w:trHeight w:val="57"/>
          <w:jc w:val="center"/>
        </w:trPr>
        <w:tc>
          <w:tcPr>
            <w:tcW w:w="1696" w:type="dxa"/>
          </w:tcPr>
          <w:p w14:paraId="697C85BC" w14:textId="7B37FA8E"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3b</w:t>
            </w:r>
          </w:p>
        </w:tc>
        <w:tc>
          <w:tcPr>
            <w:tcW w:w="993" w:type="dxa"/>
            <w:vAlign w:val="center"/>
          </w:tcPr>
          <w:p w14:paraId="6923781A" w14:textId="4BEA5239"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992" w:type="dxa"/>
            <w:vAlign w:val="center"/>
          </w:tcPr>
          <w:p w14:paraId="10C3727D" w14:textId="690F4254"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8</w:t>
            </w:r>
          </w:p>
        </w:tc>
        <w:tc>
          <w:tcPr>
            <w:tcW w:w="992" w:type="dxa"/>
            <w:vAlign w:val="center"/>
          </w:tcPr>
          <w:p w14:paraId="350BCE3F" w14:textId="1A101000"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944BDC" w:rsidRPr="00533264" w14:paraId="46A0107B" w14:textId="77777777" w:rsidTr="00D00D03">
        <w:trPr>
          <w:trHeight w:val="57"/>
          <w:jc w:val="center"/>
        </w:trPr>
        <w:tc>
          <w:tcPr>
            <w:tcW w:w="1696" w:type="dxa"/>
          </w:tcPr>
          <w:p w14:paraId="508FB1A1" w14:textId="61622BDA"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3c</w:t>
            </w:r>
          </w:p>
        </w:tc>
        <w:tc>
          <w:tcPr>
            <w:tcW w:w="993" w:type="dxa"/>
            <w:vAlign w:val="center"/>
          </w:tcPr>
          <w:p w14:paraId="339E533E" w14:textId="489D87C4"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3</w:t>
            </w:r>
          </w:p>
        </w:tc>
        <w:tc>
          <w:tcPr>
            <w:tcW w:w="992" w:type="dxa"/>
            <w:vAlign w:val="center"/>
          </w:tcPr>
          <w:p w14:paraId="5BEC3EA0" w14:textId="5702ECD0"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vAlign w:val="center"/>
          </w:tcPr>
          <w:p w14:paraId="112B5672" w14:textId="1EEBA7A7"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16</w:t>
            </w:r>
          </w:p>
        </w:tc>
      </w:tr>
      <w:tr w:rsidR="00944BDC" w:rsidRPr="00533264" w14:paraId="0AAB3A1C" w14:textId="77777777" w:rsidTr="00D00D03">
        <w:trPr>
          <w:trHeight w:val="57"/>
          <w:jc w:val="center"/>
        </w:trPr>
        <w:tc>
          <w:tcPr>
            <w:tcW w:w="1696" w:type="dxa"/>
          </w:tcPr>
          <w:p w14:paraId="05A519F3" w14:textId="72448747"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3d</w:t>
            </w:r>
          </w:p>
        </w:tc>
        <w:tc>
          <w:tcPr>
            <w:tcW w:w="993" w:type="dxa"/>
            <w:vAlign w:val="center"/>
          </w:tcPr>
          <w:p w14:paraId="29E13BE5" w14:textId="2E44239E"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vAlign w:val="center"/>
          </w:tcPr>
          <w:p w14:paraId="40C39802" w14:textId="031CBE97"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c>
          <w:tcPr>
            <w:tcW w:w="992" w:type="dxa"/>
            <w:vAlign w:val="center"/>
          </w:tcPr>
          <w:p w14:paraId="2AAB5A12" w14:textId="108D5C06"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944BDC" w:rsidRPr="00533264" w14:paraId="67DD0B23" w14:textId="77777777" w:rsidTr="00D00D03">
        <w:trPr>
          <w:trHeight w:val="57"/>
          <w:jc w:val="center"/>
        </w:trPr>
        <w:tc>
          <w:tcPr>
            <w:tcW w:w="1696" w:type="dxa"/>
          </w:tcPr>
          <w:p w14:paraId="65E10848" w14:textId="12A2E3DC"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3e</w:t>
            </w:r>
          </w:p>
        </w:tc>
        <w:tc>
          <w:tcPr>
            <w:tcW w:w="993" w:type="dxa"/>
            <w:vAlign w:val="center"/>
          </w:tcPr>
          <w:p w14:paraId="05079045" w14:textId="0F64EF7C"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vAlign w:val="center"/>
          </w:tcPr>
          <w:p w14:paraId="0E365FF1" w14:textId="2643C29A"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vAlign w:val="center"/>
          </w:tcPr>
          <w:p w14:paraId="570B4EDB" w14:textId="1001F416"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r>
      <w:tr w:rsidR="00944BDC" w:rsidRPr="00533264" w14:paraId="6F3F2245" w14:textId="77777777" w:rsidTr="00D00D03">
        <w:trPr>
          <w:trHeight w:val="57"/>
          <w:jc w:val="center"/>
        </w:trPr>
        <w:tc>
          <w:tcPr>
            <w:tcW w:w="1696" w:type="dxa"/>
          </w:tcPr>
          <w:p w14:paraId="260126EB" w14:textId="3C7CAF22"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3f</w:t>
            </w:r>
          </w:p>
        </w:tc>
        <w:tc>
          <w:tcPr>
            <w:tcW w:w="993" w:type="dxa"/>
            <w:vAlign w:val="center"/>
          </w:tcPr>
          <w:p w14:paraId="153EB9C0" w14:textId="5EDC7F9C"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6</w:t>
            </w:r>
          </w:p>
        </w:tc>
        <w:tc>
          <w:tcPr>
            <w:tcW w:w="992" w:type="dxa"/>
            <w:vAlign w:val="center"/>
          </w:tcPr>
          <w:p w14:paraId="2268ACF4" w14:textId="5E7A743E"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3</w:t>
            </w:r>
          </w:p>
        </w:tc>
        <w:tc>
          <w:tcPr>
            <w:tcW w:w="992" w:type="dxa"/>
            <w:vAlign w:val="center"/>
          </w:tcPr>
          <w:p w14:paraId="24BFDAF1" w14:textId="5F29D3BB"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r>
      <w:tr w:rsidR="00944BDC" w:rsidRPr="00533264" w14:paraId="55EA51F9" w14:textId="77777777" w:rsidTr="00D00D03">
        <w:trPr>
          <w:trHeight w:val="57"/>
          <w:jc w:val="center"/>
        </w:trPr>
        <w:tc>
          <w:tcPr>
            <w:tcW w:w="1696" w:type="dxa"/>
          </w:tcPr>
          <w:p w14:paraId="6583BB93" w14:textId="35168C10" w:rsidR="00944BDC" w:rsidRPr="00533264" w:rsidRDefault="16EC5136" w:rsidP="16EC5136">
            <w:pPr>
              <w:spacing w:before="120" w:after="120"/>
              <w:rPr>
                <w:rFonts w:eastAsia="Times New Roman"/>
                <w:b/>
                <w:bCs/>
                <w:sz w:val="20"/>
                <w:szCs w:val="20"/>
              </w:rPr>
            </w:pPr>
            <w:r w:rsidRPr="00533264">
              <w:rPr>
                <w:rFonts w:eastAsia="Times New Roman"/>
                <w:b/>
                <w:bCs/>
                <w:sz w:val="20"/>
                <w:szCs w:val="20"/>
              </w:rPr>
              <w:t>Toplam</w:t>
            </w:r>
          </w:p>
        </w:tc>
        <w:tc>
          <w:tcPr>
            <w:tcW w:w="993" w:type="dxa"/>
            <w:vAlign w:val="center"/>
          </w:tcPr>
          <w:p w14:paraId="09BFEFB7" w14:textId="78C981FA"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10</w:t>
            </w:r>
          </w:p>
        </w:tc>
        <w:tc>
          <w:tcPr>
            <w:tcW w:w="992" w:type="dxa"/>
            <w:vAlign w:val="center"/>
          </w:tcPr>
          <w:p w14:paraId="235BF5E1" w14:textId="542CB42A"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21</w:t>
            </w:r>
          </w:p>
        </w:tc>
        <w:tc>
          <w:tcPr>
            <w:tcW w:w="992" w:type="dxa"/>
            <w:vAlign w:val="center"/>
          </w:tcPr>
          <w:p w14:paraId="19F48DA2" w14:textId="30AAC5C6"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20</w:t>
            </w:r>
          </w:p>
        </w:tc>
      </w:tr>
      <w:tr w:rsidR="00944BDC" w:rsidRPr="00533264" w14:paraId="50C70B1C" w14:textId="77777777" w:rsidTr="00D00D03">
        <w:trPr>
          <w:trHeight w:val="57"/>
          <w:jc w:val="center"/>
        </w:trPr>
        <w:tc>
          <w:tcPr>
            <w:tcW w:w="4673" w:type="dxa"/>
            <w:gridSpan w:val="4"/>
            <w:shd w:val="clear" w:color="auto" w:fill="D9D9D9" w:themeFill="background1" w:themeFillShade="D9"/>
          </w:tcPr>
          <w:p w14:paraId="19579A4C" w14:textId="3EC67D4B" w:rsidR="00944BDC" w:rsidRPr="00533264" w:rsidRDefault="16EC5136" w:rsidP="16EC5136">
            <w:pPr>
              <w:spacing w:before="120" w:after="120"/>
              <w:rPr>
                <w:rFonts w:eastAsia="Times New Roman"/>
                <w:b/>
                <w:bCs/>
                <w:sz w:val="20"/>
                <w:szCs w:val="20"/>
              </w:rPr>
            </w:pPr>
            <w:r w:rsidRPr="00533264">
              <w:rPr>
                <w:rFonts w:eastAsia="Times New Roman"/>
                <w:b/>
                <w:bCs/>
                <w:sz w:val="20"/>
                <w:szCs w:val="20"/>
              </w:rPr>
              <w:t>Genel Toplam                                                               51</w:t>
            </w:r>
          </w:p>
        </w:tc>
      </w:tr>
    </w:tbl>
    <w:p w14:paraId="4F0EFAB6" w14:textId="3957F8C5" w:rsidR="001A3BC8"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Barınma konusunda oluşturulan kategori için 6 tane ölçüt belirlenmiştir. Bu</w:t>
      </w:r>
      <w:r w:rsidR="004F2BB9">
        <w:rPr>
          <w:rFonts w:eastAsia="Times New Roman"/>
          <w:sz w:val="22"/>
          <w:szCs w:val="22"/>
        </w:rPr>
        <w:t>nlar</w:t>
      </w:r>
      <w:r w:rsidRPr="00533264">
        <w:rPr>
          <w:rFonts w:eastAsia="Times New Roman"/>
          <w:sz w:val="22"/>
          <w:szCs w:val="22"/>
        </w:rPr>
        <w:t xml:space="preserve"> içinde kamp, çadır, konteynır gibi ölçütler çerçevesinde bu ölçütlerin önergelerdeki tekrarlanış sıklığı incelenmiştir. İçerik analizi kodlama cetveline göre çıkan sonuç 51’dir. Tekrarlanma sıklığı açısından HDP</w:t>
      </w:r>
      <w:r w:rsidR="004F2BB9">
        <w:rPr>
          <w:rFonts w:eastAsia="Times New Roman"/>
          <w:sz w:val="22"/>
          <w:szCs w:val="22"/>
        </w:rPr>
        <w:t>,</w:t>
      </w:r>
      <w:r w:rsidRPr="00533264">
        <w:rPr>
          <w:rFonts w:eastAsia="Times New Roman"/>
          <w:sz w:val="22"/>
          <w:szCs w:val="22"/>
        </w:rPr>
        <w:t xml:space="preserve"> soru önergelerinin de çok olması sebebi ile en çok bahseden parti olmuştur. </w:t>
      </w:r>
    </w:p>
    <w:p w14:paraId="2D40FD41" w14:textId="44BEB734" w:rsidR="00111870"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Soru önergeleri incelendiğinde MHP konu ile ilgili olarak 2015 yılındaki bir soru önergesinde (Sayı:219</w:t>
      </w:r>
      <w:r w:rsidR="004F2BB9" w:rsidRPr="00533264">
        <w:rPr>
          <w:rFonts w:eastAsia="Times New Roman"/>
          <w:sz w:val="22"/>
          <w:szCs w:val="22"/>
        </w:rPr>
        <w:t>) üzerinde</w:t>
      </w:r>
      <w:r w:rsidRPr="00533264">
        <w:rPr>
          <w:rFonts w:eastAsia="Times New Roman"/>
          <w:sz w:val="22"/>
          <w:szCs w:val="22"/>
        </w:rPr>
        <w:t xml:space="preserve"> durduğu konu kamplardaki yaşam koşullarının durumu olduğu görülmektedir. </w:t>
      </w:r>
      <w:r w:rsidRPr="00533264">
        <w:rPr>
          <w:rFonts w:eastAsia="Times New Roman"/>
          <w:sz w:val="22"/>
          <w:szCs w:val="22"/>
        </w:rPr>
        <w:lastRenderedPageBreak/>
        <w:t>MHP barınma konusunda çözüm önerilerine seçim bildirgesinde yer vermiştir. Sığınmacıların ülkeye sınırı olan alanlarda ikametinin sağlanması ve barınma şartlarının sağlıklı bir mekanizmaya kavuşturulmasını önermektedir (MHP, 2015: 240).</w:t>
      </w:r>
    </w:p>
    <w:p w14:paraId="4EEA93D0" w14:textId="7A4D5FDB" w:rsidR="000719AE"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CHP ise 2016 yılında verdiği bir soru önergesinde (Sayı: 5146) hükümetin Suriyelilere toplu konut verip vermeyeceğini sorgulamış bu sorgulamada “</w:t>
      </w:r>
      <w:r w:rsidRPr="004F2BB9">
        <w:rPr>
          <w:rFonts w:eastAsia="Times New Roman"/>
          <w:i/>
          <w:sz w:val="22"/>
          <w:szCs w:val="22"/>
        </w:rPr>
        <w:t>vatan için canını feda etmiş şehitlerimiz ve gazilerimiz</w:t>
      </w:r>
      <w:r w:rsidRPr="00533264">
        <w:rPr>
          <w:rFonts w:eastAsia="Times New Roman"/>
          <w:sz w:val="22"/>
          <w:szCs w:val="22"/>
        </w:rPr>
        <w:t>” ifadesini kullanarak şehit ve gaziler için toplu konut projesi olup olmadığını sorguladığı önergede  aslında bir eleştiride bulunmuştur. Bu anlamda Suriyeli sığınmacılara yönelik toplumsal tepkilere de bir yönden destek verdiği görülmektedir. 2015 seçim bildirgesinde ise barınma konusunda ülke kaynaklarından ziyade uluslararası yardım kuruluşlarından mali desteklerle mevcut kapasitenin desteklenmesi gerektiğini belirtmiştir (CHP, 2015: 207).</w:t>
      </w:r>
    </w:p>
    <w:p w14:paraId="6E4788D7" w14:textId="2FAE32E7" w:rsidR="000719AE"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HDP ise 2016 yılında verdiği konu ile alakalı soru önergesinde (Sayı: 598), barınma konusunda sığınmacıların hangi koşullarda kamplarda kaldığını ve özellikle geri gönderme merkezlerindeki uygulamaları sorgulamaktadır. 2015 seçim bildirgesinde ise güvenli barınma alanlarının sağlanmasını dile getirerek (HDP, 2015: 45) soru önergelerinde iddia  ettiği geri gönderme merkezlerindeki  güvenli olmayan uygulamalara dikkat çekmektedir. </w:t>
      </w:r>
    </w:p>
    <w:p w14:paraId="30C3916C" w14:textId="7289E9F3" w:rsidR="00944BDC" w:rsidRPr="00533264" w:rsidRDefault="16EC5136" w:rsidP="16EC5136">
      <w:pPr>
        <w:spacing w:before="120" w:after="120"/>
        <w:jc w:val="center"/>
        <w:rPr>
          <w:rFonts w:eastAsia="Times New Roman"/>
          <w:sz w:val="20"/>
          <w:szCs w:val="20"/>
        </w:rPr>
      </w:pPr>
      <w:r w:rsidRPr="00533264">
        <w:rPr>
          <w:rFonts w:eastAsia="Times New Roman"/>
          <w:b/>
          <w:bCs/>
          <w:sz w:val="20"/>
          <w:szCs w:val="20"/>
        </w:rPr>
        <w:t xml:space="preserve">Tablo </w:t>
      </w:r>
      <w:r w:rsidR="00533264" w:rsidRPr="00533264">
        <w:rPr>
          <w:rFonts w:eastAsia="Times New Roman"/>
          <w:b/>
          <w:bCs/>
          <w:sz w:val="20"/>
          <w:szCs w:val="20"/>
        </w:rPr>
        <w:t>6</w:t>
      </w:r>
      <w:r w:rsidRPr="00533264">
        <w:rPr>
          <w:rFonts w:eastAsia="Times New Roman"/>
          <w:b/>
          <w:bCs/>
          <w:sz w:val="20"/>
          <w:szCs w:val="20"/>
        </w:rPr>
        <w:t>.</w:t>
      </w:r>
      <w:r w:rsidRPr="00533264">
        <w:rPr>
          <w:rFonts w:eastAsia="Times New Roman"/>
          <w:sz w:val="20"/>
          <w:szCs w:val="20"/>
        </w:rPr>
        <w:t xml:space="preserve"> Eğitim Kategorisi İçerik Analizi Kodlama Cetveli</w:t>
      </w:r>
    </w:p>
    <w:tbl>
      <w:tblPr>
        <w:tblStyle w:val="TabloKlavuzu"/>
        <w:tblW w:w="4390" w:type="dxa"/>
        <w:jc w:val="center"/>
        <w:tblLayout w:type="fixed"/>
        <w:tblLook w:val="04A0" w:firstRow="1" w:lastRow="0" w:firstColumn="1" w:lastColumn="0" w:noHBand="0" w:noVBand="1"/>
      </w:tblPr>
      <w:tblGrid>
        <w:gridCol w:w="1555"/>
        <w:gridCol w:w="850"/>
        <w:gridCol w:w="992"/>
        <w:gridCol w:w="993"/>
      </w:tblGrid>
      <w:tr w:rsidR="00944BDC" w:rsidRPr="00533264" w14:paraId="4FFCBE19" w14:textId="77777777" w:rsidTr="001D5305">
        <w:trPr>
          <w:trHeight w:val="57"/>
          <w:jc w:val="center"/>
        </w:trPr>
        <w:tc>
          <w:tcPr>
            <w:tcW w:w="1555" w:type="dxa"/>
            <w:shd w:val="clear" w:color="auto" w:fill="D9D9D9" w:themeFill="background1" w:themeFillShade="D9"/>
            <w:vAlign w:val="center"/>
          </w:tcPr>
          <w:p w14:paraId="59AEBC24" w14:textId="7DF8D009"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Kategori-Ölçüt</w:t>
            </w:r>
          </w:p>
        </w:tc>
        <w:tc>
          <w:tcPr>
            <w:tcW w:w="850" w:type="dxa"/>
            <w:shd w:val="clear" w:color="auto" w:fill="D9D9D9" w:themeFill="background1" w:themeFillShade="D9"/>
            <w:vAlign w:val="center"/>
          </w:tcPr>
          <w:p w14:paraId="1F749E1A" w14:textId="77777777"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MHP</w:t>
            </w:r>
          </w:p>
        </w:tc>
        <w:tc>
          <w:tcPr>
            <w:tcW w:w="992" w:type="dxa"/>
            <w:shd w:val="clear" w:color="auto" w:fill="D9D9D9" w:themeFill="background1" w:themeFillShade="D9"/>
            <w:vAlign w:val="center"/>
          </w:tcPr>
          <w:p w14:paraId="57E209EF" w14:textId="77777777"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CHP</w:t>
            </w:r>
          </w:p>
        </w:tc>
        <w:tc>
          <w:tcPr>
            <w:tcW w:w="993" w:type="dxa"/>
            <w:shd w:val="clear" w:color="auto" w:fill="D9D9D9" w:themeFill="background1" w:themeFillShade="D9"/>
            <w:vAlign w:val="center"/>
          </w:tcPr>
          <w:p w14:paraId="15A40266" w14:textId="77777777"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HDP</w:t>
            </w:r>
          </w:p>
        </w:tc>
      </w:tr>
      <w:tr w:rsidR="00944BDC" w:rsidRPr="00533264" w14:paraId="29253677" w14:textId="77777777" w:rsidTr="001D5305">
        <w:trPr>
          <w:trHeight w:val="57"/>
          <w:jc w:val="center"/>
        </w:trPr>
        <w:tc>
          <w:tcPr>
            <w:tcW w:w="1555" w:type="dxa"/>
          </w:tcPr>
          <w:p w14:paraId="2E15A405" w14:textId="59C5BFD5"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4a</w:t>
            </w:r>
          </w:p>
        </w:tc>
        <w:tc>
          <w:tcPr>
            <w:tcW w:w="850" w:type="dxa"/>
            <w:vAlign w:val="center"/>
          </w:tcPr>
          <w:p w14:paraId="0F420C9E" w14:textId="26ACD0FC"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vAlign w:val="center"/>
          </w:tcPr>
          <w:p w14:paraId="73EAB0BC" w14:textId="1C6754B0"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3" w:type="dxa"/>
            <w:vAlign w:val="center"/>
          </w:tcPr>
          <w:p w14:paraId="0D8B0400" w14:textId="5BE18DEE"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r>
      <w:tr w:rsidR="000A4773" w:rsidRPr="00533264" w14:paraId="1C8F5E51" w14:textId="77777777" w:rsidTr="001D5305">
        <w:trPr>
          <w:trHeight w:val="57"/>
          <w:jc w:val="center"/>
        </w:trPr>
        <w:tc>
          <w:tcPr>
            <w:tcW w:w="1555" w:type="dxa"/>
          </w:tcPr>
          <w:p w14:paraId="13A72B21" w14:textId="6A72D754" w:rsidR="000A4773"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4b</w:t>
            </w:r>
          </w:p>
        </w:tc>
        <w:tc>
          <w:tcPr>
            <w:tcW w:w="850" w:type="dxa"/>
            <w:vAlign w:val="center"/>
          </w:tcPr>
          <w:p w14:paraId="0F2E57CC" w14:textId="3D9BAB54"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8</w:t>
            </w:r>
          </w:p>
        </w:tc>
        <w:tc>
          <w:tcPr>
            <w:tcW w:w="992" w:type="dxa"/>
            <w:vAlign w:val="center"/>
          </w:tcPr>
          <w:p w14:paraId="7FEAF988" w14:textId="18088624"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4</w:t>
            </w:r>
          </w:p>
        </w:tc>
        <w:tc>
          <w:tcPr>
            <w:tcW w:w="993" w:type="dxa"/>
            <w:vAlign w:val="center"/>
          </w:tcPr>
          <w:p w14:paraId="7473E118" w14:textId="1A0ED7A4"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14</w:t>
            </w:r>
          </w:p>
        </w:tc>
      </w:tr>
      <w:tr w:rsidR="000A4773" w:rsidRPr="00533264" w14:paraId="16EDED62" w14:textId="77777777" w:rsidTr="001D5305">
        <w:trPr>
          <w:trHeight w:val="57"/>
          <w:jc w:val="center"/>
        </w:trPr>
        <w:tc>
          <w:tcPr>
            <w:tcW w:w="1555" w:type="dxa"/>
          </w:tcPr>
          <w:p w14:paraId="432201FF" w14:textId="7EC98A00" w:rsidR="000A4773"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4c</w:t>
            </w:r>
          </w:p>
        </w:tc>
        <w:tc>
          <w:tcPr>
            <w:tcW w:w="850" w:type="dxa"/>
            <w:vAlign w:val="center"/>
          </w:tcPr>
          <w:p w14:paraId="0AB372CD" w14:textId="467369C5"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2" w:type="dxa"/>
            <w:vAlign w:val="center"/>
          </w:tcPr>
          <w:p w14:paraId="2147C9D0" w14:textId="54AD9770"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993" w:type="dxa"/>
            <w:vAlign w:val="center"/>
          </w:tcPr>
          <w:p w14:paraId="5A15F1E6" w14:textId="22977A9B"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r>
      <w:tr w:rsidR="000A4773" w:rsidRPr="00533264" w14:paraId="246F5543" w14:textId="77777777" w:rsidTr="001D5305">
        <w:trPr>
          <w:trHeight w:val="57"/>
          <w:jc w:val="center"/>
        </w:trPr>
        <w:tc>
          <w:tcPr>
            <w:tcW w:w="1555" w:type="dxa"/>
          </w:tcPr>
          <w:p w14:paraId="40B88080" w14:textId="1F6544B6" w:rsidR="000A4773"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4d</w:t>
            </w:r>
          </w:p>
        </w:tc>
        <w:tc>
          <w:tcPr>
            <w:tcW w:w="850" w:type="dxa"/>
            <w:vAlign w:val="center"/>
          </w:tcPr>
          <w:p w14:paraId="01267550" w14:textId="28475AC3"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3</w:t>
            </w:r>
          </w:p>
        </w:tc>
        <w:tc>
          <w:tcPr>
            <w:tcW w:w="992" w:type="dxa"/>
            <w:vAlign w:val="center"/>
          </w:tcPr>
          <w:p w14:paraId="3B6F2420" w14:textId="5471A522"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993" w:type="dxa"/>
            <w:vAlign w:val="center"/>
          </w:tcPr>
          <w:p w14:paraId="31C9C3F5" w14:textId="26D8EF55"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0A4773" w:rsidRPr="00533264" w14:paraId="3280E72D" w14:textId="77777777" w:rsidTr="001D5305">
        <w:trPr>
          <w:trHeight w:val="57"/>
          <w:jc w:val="center"/>
        </w:trPr>
        <w:tc>
          <w:tcPr>
            <w:tcW w:w="1555" w:type="dxa"/>
          </w:tcPr>
          <w:p w14:paraId="5E26BB36" w14:textId="6F6830A3" w:rsidR="000A4773"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4e</w:t>
            </w:r>
          </w:p>
        </w:tc>
        <w:tc>
          <w:tcPr>
            <w:tcW w:w="850" w:type="dxa"/>
            <w:vAlign w:val="center"/>
          </w:tcPr>
          <w:p w14:paraId="0EE8F896" w14:textId="6B624B85"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992" w:type="dxa"/>
            <w:vAlign w:val="center"/>
          </w:tcPr>
          <w:p w14:paraId="1A955089" w14:textId="34F81DA3"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993" w:type="dxa"/>
            <w:vAlign w:val="center"/>
          </w:tcPr>
          <w:p w14:paraId="6D3F5A87" w14:textId="2D95B47B"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r>
      <w:tr w:rsidR="000A4773" w:rsidRPr="00533264" w14:paraId="31AA5FA5" w14:textId="77777777" w:rsidTr="001D5305">
        <w:trPr>
          <w:trHeight w:val="57"/>
          <w:jc w:val="center"/>
        </w:trPr>
        <w:tc>
          <w:tcPr>
            <w:tcW w:w="1555" w:type="dxa"/>
          </w:tcPr>
          <w:p w14:paraId="16318630" w14:textId="45653428" w:rsidR="000A4773"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4f</w:t>
            </w:r>
          </w:p>
        </w:tc>
        <w:tc>
          <w:tcPr>
            <w:tcW w:w="850" w:type="dxa"/>
            <w:vAlign w:val="center"/>
          </w:tcPr>
          <w:p w14:paraId="04F594F1" w14:textId="6339AA59"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6</w:t>
            </w:r>
          </w:p>
        </w:tc>
        <w:tc>
          <w:tcPr>
            <w:tcW w:w="992" w:type="dxa"/>
            <w:vAlign w:val="center"/>
          </w:tcPr>
          <w:p w14:paraId="5C5F8930" w14:textId="3649061A"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5</w:t>
            </w:r>
          </w:p>
        </w:tc>
        <w:tc>
          <w:tcPr>
            <w:tcW w:w="993" w:type="dxa"/>
            <w:vAlign w:val="center"/>
          </w:tcPr>
          <w:p w14:paraId="581ED3A6" w14:textId="2A7BF142"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r>
      <w:tr w:rsidR="000A4773" w:rsidRPr="00533264" w14:paraId="29DE4006" w14:textId="77777777" w:rsidTr="001D5305">
        <w:trPr>
          <w:trHeight w:val="57"/>
          <w:jc w:val="center"/>
        </w:trPr>
        <w:tc>
          <w:tcPr>
            <w:tcW w:w="1555" w:type="dxa"/>
          </w:tcPr>
          <w:p w14:paraId="70241CB2" w14:textId="3CDA7A50" w:rsidR="000A4773" w:rsidRPr="00533264" w:rsidRDefault="16EC5136" w:rsidP="16EC5136">
            <w:pPr>
              <w:spacing w:before="120" w:after="120"/>
              <w:rPr>
                <w:rFonts w:eastAsia="Times New Roman"/>
                <w:b/>
                <w:bCs/>
                <w:sz w:val="20"/>
                <w:szCs w:val="20"/>
              </w:rPr>
            </w:pPr>
            <w:r w:rsidRPr="00533264">
              <w:rPr>
                <w:rFonts w:eastAsia="Times New Roman"/>
                <w:b/>
                <w:bCs/>
                <w:sz w:val="20"/>
                <w:szCs w:val="20"/>
              </w:rPr>
              <w:t>Toplam</w:t>
            </w:r>
          </w:p>
        </w:tc>
        <w:tc>
          <w:tcPr>
            <w:tcW w:w="850" w:type="dxa"/>
            <w:vAlign w:val="center"/>
          </w:tcPr>
          <w:p w14:paraId="346DDE1D" w14:textId="0BA603D8"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18</w:t>
            </w:r>
          </w:p>
        </w:tc>
        <w:tc>
          <w:tcPr>
            <w:tcW w:w="992" w:type="dxa"/>
            <w:vAlign w:val="center"/>
          </w:tcPr>
          <w:p w14:paraId="75EEC557" w14:textId="5CCD3171"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11</w:t>
            </w:r>
          </w:p>
        </w:tc>
        <w:tc>
          <w:tcPr>
            <w:tcW w:w="993" w:type="dxa"/>
            <w:vAlign w:val="center"/>
          </w:tcPr>
          <w:p w14:paraId="64158D65" w14:textId="54F5625A" w:rsidR="000A4773" w:rsidRPr="00533264" w:rsidRDefault="16EC5136" w:rsidP="16EC5136">
            <w:pPr>
              <w:spacing w:before="120" w:after="120"/>
              <w:jc w:val="right"/>
              <w:rPr>
                <w:rFonts w:eastAsia="Times New Roman"/>
                <w:sz w:val="20"/>
                <w:szCs w:val="20"/>
              </w:rPr>
            </w:pPr>
            <w:r w:rsidRPr="00533264">
              <w:rPr>
                <w:rFonts w:eastAsia="Times New Roman"/>
                <w:sz w:val="20"/>
                <w:szCs w:val="20"/>
              </w:rPr>
              <w:t>18</w:t>
            </w:r>
          </w:p>
        </w:tc>
      </w:tr>
      <w:tr w:rsidR="000A4773" w:rsidRPr="00533264" w14:paraId="29CBE559" w14:textId="77777777" w:rsidTr="001D5305">
        <w:trPr>
          <w:trHeight w:val="57"/>
          <w:jc w:val="center"/>
        </w:trPr>
        <w:tc>
          <w:tcPr>
            <w:tcW w:w="4390" w:type="dxa"/>
            <w:gridSpan w:val="4"/>
            <w:shd w:val="clear" w:color="auto" w:fill="D9D9D9" w:themeFill="background1" w:themeFillShade="D9"/>
          </w:tcPr>
          <w:p w14:paraId="4E4AE1F9" w14:textId="66835199" w:rsidR="000A4773" w:rsidRPr="00533264" w:rsidRDefault="16EC5136" w:rsidP="16EC5136">
            <w:pPr>
              <w:spacing w:before="120" w:after="120"/>
              <w:rPr>
                <w:rFonts w:eastAsia="Times New Roman"/>
                <w:b/>
                <w:bCs/>
                <w:sz w:val="20"/>
                <w:szCs w:val="20"/>
              </w:rPr>
            </w:pPr>
            <w:r w:rsidRPr="00533264">
              <w:rPr>
                <w:rFonts w:eastAsia="Times New Roman"/>
                <w:b/>
                <w:bCs/>
                <w:sz w:val="20"/>
                <w:szCs w:val="20"/>
              </w:rPr>
              <w:t xml:space="preserve">Genel Toplam          </w:t>
            </w:r>
            <w:r w:rsidR="001D5305">
              <w:rPr>
                <w:rFonts w:eastAsia="Times New Roman"/>
                <w:b/>
                <w:bCs/>
                <w:sz w:val="20"/>
                <w:szCs w:val="20"/>
              </w:rPr>
              <w:t xml:space="preserve">     </w:t>
            </w:r>
            <w:r w:rsidRPr="00533264">
              <w:rPr>
                <w:rFonts w:eastAsia="Times New Roman"/>
                <w:b/>
                <w:bCs/>
                <w:sz w:val="20"/>
                <w:szCs w:val="20"/>
              </w:rPr>
              <w:t xml:space="preserve">                                       47</w:t>
            </w:r>
          </w:p>
        </w:tc>
      </w:tr>
    </w:tbl>
    <w:p w14:paraId="1029DF4C" w14:textId="5B34F382" w:rsidR="00111870"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Eğitim kategorisinde toplam 6 ölçüt belirlenmiş ve siyasi partilerin Suriyeli sığınmacılara yönelik eğitim hizmeti konusunda tepkileri ölçülmeye çalışılmıştır. Tekrarlanma sıklığı toplam 49 olarak belirlenmiştir. MHP eğitim konusunda 2016 yılında verdiği soru önergelerinde (Sayı: 756; Sayı: 794; Sayı: 956) Suriyeli sığınmacılara verilen ayrıcalıkları sorgulayarak benzer ayrıcalıkların ülkemiz vatandaşlarına neden verilmediğini ifade etmektedir. Ayrıca sınır bölgelerdeki okulların güvenliği ile Suriyeli sığınmacılara verilen eğitim imkanlarının neler olduğunu sorarak bir anlamda eğitim politikalarına yönelik eleştiri de sunmaktadır. Ancak seçim bildirgesine bakıldığında genel olarak sığınmacıları misafir olarak değerlendirdiğinden (MHP, 2015: 240), sığınmacıların eğitimi konusuna ayrıca yer vermediği görülmektedir.   </w:t>
      </w:r>
    </w:p>
    <w:p w14:paraId="38D76D71" w14:textId="27B31DE1" w:rsidR="0047630B"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CHP ise 2016 yılında verdiği soru önergelerinde (Sayı:1463; Sayı: 2794; Sayı: 4760) Suriyeli sığınmacılara özellikle de kamp dışındaki sığınmacılara verilen eğitimi sorgulamaktadır. Yaşanılan sıkıntılara dikkat çekerek sığınmacılara yönelik olarak eğitim konusundaki projeleri sorgulamaktadır. Avrupa Birliği'nin yapmayı planladığı hibenin ne kadarının sığınmacıların eğitimine harcandığı konusunu sorgulayarak MHP gibi öğretmenler konusunda sığınmacılara yönelik ayrıcalıkları eleştirmektedir. Eğitim konusuna seçim bildirgesinde ayrı bir başlıkta geniş yer veren CHP, eğitim hayatlarının aksamaması için yerel ve uluslararası kuruluşlar ile işbirliğinde olunması, okullaşma oranını arttırmak için bilgi iletişim noktaları oluşturmak, Suriye'deki çatışmalarda taraf olmalarını engelleyecek müfredat oluşturmak, denklik sorununu çözmek ve Türkçe eğitim gibi konularda (CHP, 2015:207) çözüm önerileri oluşturmuştur. </w:t>
      </w:r>
    </w:p>
    <w:p w14:paraId="1E69E9D7" w14:textId="6DFF5713" w:rsidR="007316DC"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lastRenderedPageBreak/>
        <w:t xml:space="preserve">HDP de 2015 ve 2016 yıllarına ait soru önergelerinde (Sayı:93; Sayı:2256; Sayı: 2328) diğer partiler gibi Suriyeli sığınmacılara yönelik atamaları sorgulayarak sığınmacıların yeterliliklerini eleştirmektedir. HDP eğitim konusundaki yaklaşımı diğer kategorilere göre farklılık göstermiş bu konu da Suriyeli sığınmacılara yönelik olarak uygulamaların olumsuzluğundan ziyade uygulamadaki ayrıcalıkları eleştirmiştir. HDP seçim bildirgesinde sığınmacıların eğitimi konusunda özel bir çözüm önerisi sunmamakla birlikte genel olarak ayrımcılık konusuna vurgu yapmıştır. </w:t>
      </w:r>
    </w:p>
    <w:p w14:paraId="4E6C6F42" w14:textId="673E5D76" w:rsidR="00944BDC" w:rsidRPr="00533264" w:rsidRDefault="16EC5136" w:rsidP="16EC5136">
      <w:pPr>
        <w:spacing w:before="120" w:after="120"/>
        <w:rPr>
          <w:rFonts w:eastAsia="Times New Roman"/>
          <w:sz w:val="20"/>
          <w:szCs w:val="20"/>
        </w:rPr>
      </w:pPr>
      <w:r w:rsidRPr="00533264">
        <w:rPr>
          <w:rFonts w:eastAsia="Times New Roman"/>
          <w:sz w:val="20"/>
          <w:szCs w:val="20"/>
        </w:rPr>
        <w:t xml:space="preserve">                                   </w:t>
      </w:r>
      <w:r w:rsidRPr="00533264">
        <w:rPr>
          <w:rFonts w:eastAsia="Times New Roman"/>
          <w:b/>
          <w:bCs/>
          <w:sz w:val="20"/>
          <w:szCs w:val="20"/>
        </w:rPr>
        <w:t xml:space="preserve">Tablo </w:t>
      </w:r>
      <w:r w:rsidR="00533264" w:rsidRPr="00533264">
        <w:rPr>
          <w:rFonts w:eastAsia="Times New Roman"/>
          <w:b/>
          <w:bCs/>
          <w:sz w:val="20"/>
          <w:szCs w:val="20"/>
        </w:rPr>
        <w:t>7</w:t>
      </w:r>
      <w:r w:rsidRPr="00533264">
        <w:rPr>
          <w:rFonts w:eastAsia="Times New Roman"/>
          <w:b/>
          <w:bCs/>
          <w:sz w:val="20"/>
          <w:szCs w:val="20"/>
        </w:rPr>
        <w:t>.</w:t>
      </w:r>
      <w:r w:rsidRPr="00533264">
        <w:rPr>
          <w:rFonts w:eastAsia="Times New Roman"/>
          <w:sz w:val="20"/>
          <w:szCs w:val="20"/>
        </w:rPr>
        <w:t xml:space="preserve"> Çocuk-Kadın Kategorisi İçerik Analizi Kodlama Cetveli</w:t>
      </w:r>
    </w:p>
    <w:tbl>
      <w:tblPr>
        <w:tblStyle w:val="TabloKlavuzu"/>
        <w:tblW w:w="4248" w:type="dxa"/>
        <w:jc w:val="center"/>
        <w:tblLayout w:type="fixed"/>
        <w:tblLook w:val="04A0" w:firstRow="1" w:lastRow="0" w:firstColumn="1" w:lastColumn="0" w:noHBand="0" w:noVBand="1"/>
      </w:tblPr>
      <w:tblGrid>
        <w:gridCol w:w="1696"/>
        <w:gridCol w:w="851"/>
        <w:gridCol w:w="850"/>
        <w:gridCol w:w="851"/>
      </w:tblGrid>
      <w:tr w:rsidR="00944BDC" w:rsidRPr="00533264" w14:paraId="4DF98D83" w14:textId="77777777" w:rsidTr="00D00D03">
        <w:trPr>
          <w:trHeight w:val="57"/>
          <w:jc w:val="center"/>
        </w:trPr>
        <w:tc>
          <w:tcPr>
            <w:tcW w:w="1696" w:type="dxa"/>
            <w:shd w:val="clear" w:color="auto" w:fill="D9D9D9" w:themeFill="background1" w:themeFillShade="D9"/>
            <w:vAlign w:val="center"/>
          </w:tcPr>
          <w:p w14:paraId="30F506B4" w14:textId="34D4985F"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Kategori-Ölçüt</w:t>
            </w:r>
          </w:p>
        </w:tc>
        <w:tc>
          <w:tcPr>
            <w:tcW w:w="851" w:type="dxa"/>
            <w:shd w:val="clear" w:color="auto" w:fill="D9D9D9" w:themeFill="background1" w:themeFillShade="D9"/>
            <w:vAlign w:val="center"/>
          </w:tcPr>
          <w:p w14:paraId="430EE50F" w14:textId="77777777"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MHP</w:t>
            </w:r>
          </w:p>
        </w:tc>
        <w:tc>
          <w:tcPr>
            <w:tcW w:w="850" w:type="dxa"/>
            <w:shd w:val="clear" w:color="auto" w:fill="D9D9D9" w:themeFill="background1" w:themeFillShade="D9"/>
            <w:vAlign w:val="center"/>
          </w:tcPr>
          <w:p w14:paraId="2D7636BC" w14:textId="77777777"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CHP</w:t>
            </w:r>
          </w:p>
        </w:tc>
        <w:tc>
          <w:tcPr>
            <w:tcW w:w="851" w:type="dxa"/>
            <w:shd w:val="clear" w:color="auto" w:fill="D9D9D9" w:themeFill="background1" w:themeFillShade="D9"/>
            <w:vAlign w:val="center"/>
          </w:tcPr>
          <w:p w14:paraId="2B1E8C4F" w14:textId="77777777"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HDP</w:t>
            </w:r>
          </w:p>
        </w:tc>
      </w:tr>
      <w:tr w:rsidR="00944BDC" w:rsidRPr="00533264" w14:paraId="6A258232" w14:textId="77777777" w:rsidTr="00D00D03">
        <w:trPr>
          <w:trHeight w:val="57"/>
          <w:jc w:val="center"/>
        </w:trPr>
        <w:tc>
          <w:tcPr>
            <w:tcW w:w="1696" w:type="dxa"/>
          </w:tcPr>
          <w:p w14:paraId="79B6BA1F" w14:textId="4D97CB3A"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5a</w:t>
            </w:r>
          </w:p>
        </w:tc>
        <w:tc>
          <w:tcPr>
            <w:tcW w:w="851" w:type="dxa"/>
          </w:tcPr>
          <w:p w14:paraId="720F27CD" w14:textId="650F0778"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850" w:type="dxa"/>
          </w:tcPr>
          <w:p w14:paraId="4A76DD15" w14:textId="7633E528"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851" w:type="dxa"/>
            <w:vAlign w:val="center"/>
          </w:tcPr>
          <w:p w14:paraId="4D0C40FA" w14:textId="603A5200"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r>
      <w:tr w:rsidR="00944BDC" w:rsidRPr="00533264" w14:paraId="5F24980E" w14:textId="77777777" w:rsidTr="00D00D03">
        <w:trPr>
          <w:trHeight w:val="57"/>
          <w:jc w:val="center"/>
        </w:trPr>
        <w:tc>
          <w:tcPr>
            <w:tcW w:w="1696" w:type="dxa"/>
          </w:tcPr>
          <w:p w14:paraId="3C00AE07" w14:textId="13B8FEF1"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5b</w:t>
            </w:r>
          </w:p>
        </w:tc>
        <w:tc>
          <w:tcPr>
            <w:tcW w:w="851" w:type="dxa"/>
          </w:tcPr>
          <w:p w14:paraId="012111AC" w14:textId="0C9E6036"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850" w:type="dxa"/>
          </w:tcPr>
          <w:p w14:paraId="6CAF9FC4" w14:textId="3FEB2C4A"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851" w:type="dxa"/>
            <w:vAlign w:val="center"/>
          </w:tcPr>
          <w:p w14:paraId="28910975" w14:textId="652D26E4"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r>
      <w:tr w:rsidR="00944BDC" w:rsidRPr="00533264" w14:paraId="4182308F" w14:textId="77777777" w:rsidTr="00D00D03">
        <w:trPr>
          <w:trHeight w:val="57"/>
          <w:jc w:val="center"/>
        </w:trPr>
        <w:tc>
          <w:tcPr>
            <w:tcW w:w="1696" w:type="dxa"/>
          </w:tcPr>
          <w:p w14:paraId="19EA4707" w14:textId="0144A79C"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5c</w:t>
            </w:r>
          </w:p>
        </w:tc>
        <w:tc>
          <w:tcPr>
            <w:tcW w:w="851" w:type="dxa"/>
          </w:tcPr>
          <w:p w14:paraId="4BB38746" w14:textId="32DDB463"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850" w:type="dxa"/>
          </w:tcPr>
          <w:p w14:paraId="415956F4" w14:textId="3C0ED6FE"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851" w:type="dxa"/>
            <w:vAlign w:val="center"/>
          </w:tcPr>
          <w:p w14:paraId="1B69B645" w14:textId="741117DE"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5</w:t>
            </w:r>
          </w:p>
        </w:tc>
      </w:tr>
      <w:tr w:rsidR="00944BDC" w:rsidRPr="00533264" w14:paraId="34DC688D" w14:textId="77777777" w:rsidTr="00D00D03">
        <w:trPr>
          <w:trHeight w:val="57"/>
          <w:jc w:val="center"/>
        </w:trPr>
        <w:tc>
          <w:tcPr>
            <w:tcW w:w="1696" w:type="dxa"/>
          </w:tcPr>
          <w:p w14:paraId="3A8DC055" w14:textId="3F13D0A9"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5d</w:t>
            </w:r>
          </w:p>
        </w:tc>
        <w:tc>
          <w:tcPr>
            <w:tcW w:w="851" w:type="dxa"/>
          </w:tcPr>
          <w:p w14:paraId="6B18434F" w14:textId="7E5DF95A"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850" w:type="dxa"/>
          </w:tcPr>
          <w:p w14:paraId="1CDB2403" w14:textId="205AAC63"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851" w:type="dxa"/>
            <w:vAlign w:val="center"/>
          </w:tcPr>
          <w:p w14:paraId="1E0159BD" w14:textId="7939558E"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r>
      <w:tr w:rsidR="00944BDC" w:rsidRPr="00533264" w14:paraId="360E5EB2" w14:textId="77777777" w:rsidTr="00D00D03">
        <w:trPr>
          <w:trHeight w:val="57"/>
          <w:jc w:val="center"/>
        </w:trPr>
        <w:tc>
          <w:tcPr>
            <w:tcW w:w="1696" w:type="dxa"/>
          </w:tcPr>
          <w:p w14:paraId="6199AD5A" w14:textId="7B1F28B0" w:rsidR="00944BDC" w:rsidRPr="00533264" w:rsidRDefault="16EC5136" w:rsidP="16EC5136">
            <w:pPr>
              <w:spacing w:before="120" w:after="120"/>
              <w:rPr>
                <w:rFonts w:eastAsia="Times New Roman"/>
                <w:b/>
                <w:bCs/>
                <w:sz w:val="20"/>
                <w:szCs w:val="20"/>
              </w:rPr>
            </w:pPr>
            <w:r w:rsidRPr="00533264">
              <w:rPr>
                <w:rFonts w:eastAsia="Times New Roman"/>
                <w:b/>
                <w:bCs/>
                <w:sz w:val="20"/>
                <w:szCs w:val="20"/>
              </w:rPr>
              <w:t>Toplam</w:t>
            </w:r>
          </w:p>
        </w:tc>
        <w:tc>
          <w:tcPr>
            <w:tcW w:w="851" w:type="dxa"/>
            <w:vAlign w:val="center"/>
          </w:tcPr>
          <w:p w14:paraId="5F9C4051" w14:textId="3E65FA1E"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850" w:type="dxa"/>
            <w:vAlign w:val="center"/>
          </w:tcPr>
          <w:p w14:paraId="085C4F7A" w14:textId="74D3F2C4"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851" w:type="dxa"/>
            <w:vAlign w:val="center"/>
          </w:tcPr>
          <w:p w14:paraId="5861ABF3" w14:textId="43760449"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9</w:t>
            </w:r>
          </w:p>
        </w:tc>
      </w:tr>
      <w:tr w:rsidR="00944BDC" w:rsidRPr="00533264" w14:paraId="05751DE2" w14:textId="77777777" w:rsidTr="00D00D03">
        <w:trPr>
          <w:trHeight w:val="57"/>
          <w:jc w:val="center"/>
        </w:trPr>
        <w:tc>
          <w:tcPr>
            <w:tcW w:w="4248" w:type="dxa"/>
            <w:gridSpan w:val="4"/>
            <w:shd w:val="clear" w:color="auto" w:fill="D9D9D9" w:themeFill="background1" w:themeFillShade="D9"/>
          </w:tcPr>
          <w:p w14:paraId="6053AF33" w14:textId="0A95CEB2" w:rsidR="00944BDC" w:rsidRPr="00533264" w:rsidRDefault="16EC5136" w:rsidP="16EC5136">
            <w:pPr>
              <w:spacing w:before="120" w:after="120"/>
              <w:rPr>
                <w:rFonts w:eastAsia="Times New Roman"/>
                <w:b/>
                <w:bCs/>
                <w:sz w:val="20"/>
                <w:szCs w:val="20"/>
              </w:rPr>
            </w:pPr>
            <w:r w:rsidRPr="00533264">
              <w:rPr>
                <w:rFonts w:eastAsia="Times New Roman"/>
                <w:b/>
                <w:bCs/>
                <w:sz w:val="20"/>
                <w:szCs w:val="20"/>
              </w:rPr>
              <w:t xml:space="preserve">Genel Toplam    </w:t>
            </w:r>
            <w:r w:rsidR="00351E6B">
              <w:rPr>
                <w:rFonts w:eastAsia="Times New Roman"/>
                <w:b/>
                <w:bCs/>
                <w:sz w:val="20"/>
                <w:szCs w:val="20"/>
              </w:rPr>
              <w:t xml:space="preserve"> </w:t>
            </w:r>
            <w:r w:rsidRPr="00533264">
              <w:rPr>
                <w:rFonts w:eastAsia="Times New Roman"/>
                <w:b/>
                <w:bCs/>
                <w:sz w:val="20"/>
                <w:szCs w:val="20"/>
              </w:rPr>
              <w:t xml:space="preserve">                                     </w:t>
            </w:r>
            <w:r w:rsidR="001D5305">
              <w:rPr>
                <w:rFonts w:eastAsia="Times New Roman"/>
                <w:b/>
                <w:bCs/>
                <w:sz w:val="20"/>
                <w:szCs w:val="20"/>
              </w:rPr>
              <w:t xml:space="preserve"> </w:t>
            </w:r>
            <w:r w:rsidRPr="00533264">
              <w:rPr>
                <w:rFonts w:eastAsia="Times New Roman"/>
                <w:b/>
                <w:bCs/>
                <w:sz w:val="20"/>
                <w:szCs w:val="20"/>
              </w:rPr>
              <w:t xml:space="preserve">           9</w:t>
            </w:r>
          </w:p>
        </w:tc>
      </w:tr>
    </w:tbl>
    <w:p w14:paraId="78BC46C7" w14:textId="29F3FF2A" w:rsidR="00A67231"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Çocuk-kadın kategorisi için 4 ölçüt belirlenmiştir. Bu alanla ilgili olarak tekrarlanma sıklığı 9 olarak belirlenmiştir. Çocuk kadın kategorisi içinde siyasi partiler için tekrarlanma sıklığının tamamı HDP’ye aittir. Çocuk işçiliği, evlenme, boşanma ve istismar konularında HDP’nin 2016 yılında verdiği soru önergelerinde (Sayı: 776; Sayı: 2138) özellikle çocuk işçiliği ve sığınmacıların bulunduğu yerlerdeki boşanmaların kuma evliliklerden kaynaklandığı ve bu konuda sığınmacıların istismar edildiği yönündeki sorgulaması dikkat çekmektedir. HDP'nin konuya 2015 seçim bildirgesinde özel olarak yer vermediği ve özel bir çözüm önerisi sunmadığı görülmektedir. </w:t>
      </w:r>
    </w:p>
    <w:p w14:paraId="6FFBE7BB" w14:textId="3B97DC99" w:rsidR="00844DE8"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CHP ise çocuk 2015 seçim bildirgesinde çocuk evliliklerinin önüne geçileceğine yönelik öneri sunarken (CHP, 2015: 207), MHP ise seçim bildirgesinde çocuk yaşta evlilik ve fuhuş gibi problemler var olduğunu bu durumun başta çocuk ve kadın sığınmacılar ile Türk halkını etkilediği tespitinde bulunmuştur. </w:t>
      </w:r>
    </w:p>
    <w:p w14:paraId="174B9653" w14:textId="7EA4552B" w:rsidR="00944BDC" w:rsidRPr="00533264" w:rsidRDefault="16EC5136" w:rsidP="16EC5136">
      <w:pPr>
        <w:spacing w:before="120" w:after="120"/>
        <w:jc w:val="center"/>
        <w:rPr>
          <w:rFonts w:eastAsia="Times New Roman"/>
          <w:sz w:val="20"/>
          <w:szCs w:val="20"/>
        </w:rPr>
      </w:pPr>
      <w:r w:rsidRPr="00533264">
        <w:rPr>
          <w:rFonts w:eastAsia="Times New Roman"/>
          <w:b/>
          <w:bCs/>
          <w:sz w:val="20"/>
          <w:szCs w:val="20"/>
        </w:rPr>
        <w:t xml:space="preserve">Tablo </w:t>
      </w:r>
      <w:r w:rsidR="00533264" w:rsidRPr="00533264">
        <w:rPr>
          <w:rFonts w:eastAsia="Times New Roman"/>
          <w:b/>
          <w:bCs/>
          <w:sz w:val="20"/>
          <w:szCs w:val="20"/>
        </w:rPr>
        <w:t>8</w:t>
      </w:r>
      <w:r w:rsidRPr="00533264">
        <w:rPr>
          <w:rFonts w:eastAsia="Times New Roman"/>
          <w:b/>
          <w:bCs/>
          <w:sz w:val="20"/>
          <w:szCs w:val="20"/>
        </w:rPr>
        <w:t>.</w:t>
      </w:r>
      <w:r w:rsidRPr="00533264">
        <w:rPr>
          <w:rFonts w:eastAsia="Times New Roman"/>
          <w:sz w:val="20"/>
          <w:szCs w:val="20"/>
        </w:rPr>
        <w:t xml:space="preserve"> Göç Politikası Kategorisi İçerik Analizi Kodlama Cetveli</w:t>
      </w:r>
    </w:p>
    <w:tbl>
      <w:tblPr>
        <w:tblStyle w:val="TabloKlavuzu"/>
        <w:tblW w:w="4957" w:type="dxa"/>
        <w:jc w:val="center"/>
        <w:tblLayout w:type="fixed"/>
        <w:tblLook w:val="04A0" w:firstRow="1" w:lastRow="0" w:firstColumn="1" w:lastColumn="0" w:noHBand="0" w:noVBand="1"/>
      </w:tblPr>
      <w:tblGrid>
        <w:gridCol w:w="1696"/>
        <w:gridCol w:w="993"/>
        <w:gridCol w:w="1134"/>
        <w:gridCol w:w="1134"/>
      </w:tblGrid>
      <w:tr w:rsidR="00944BDC" w:rsidRPr="00533264" w14:paraId="73E8C119" w14:textId="77777777" w:rsidTr="001D5305">
        <w:trPr>
          <w:trHeight w:val="57"/>
          <w:jc w:val="center"/>
        </w:trPr>
        <w:tc>
          <w:tcPr>
            <w:tcW w:w="1696" w:type="dxa"/>
            <w:shd w:val="clear" w:color="auto" w:fill="D9D9D9" w:themeFill="background1" w:themeFillShade="D9"/>
            <w:vAlign w:val="center"/>
          </w:tcPr>
          <w:p w14:paraId="49D2A3A7" w14:textId="78885DB0"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Kategori-Ölçüt</w:t>
            </w:r>
          </w:p>
        </w:tc>
        <w:tc>
          <w:tcPr>
            <w:tcW w:w="993" w:type="dxa"/>
            <w:shd w:val="clear" w:color="auto" w:fill="D9D9D9" w:themeFill="background1" w:themeFillShade="D9"/>
            <w:vAlign w:val="center"/>
          </w:tcPr>
          <w:p w14:paraId="30DD0BAB" w14:textId="77777777"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MHP</w:t>
            </w:r>
          </w:p>
        </w:tc>
        <w:tc>
          <w:tcPr>
            <w:tcW w:w="1134" w:type="dxa"/>
            <w:shd w:val="clear" w:color="auto" w:fill="D9D9D9" w:themeFill="background1" w:themeFillShade="D9"/>
            <w:vAlign w:val="center"/>
          </w:tcPr>
          <w:p w14:paraId="2B157C55" w14:textId="77777777"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CHP</w:t>
            </w:r>
          </w:p>
        </w:tc>
        <w:tc>
          <w:tcPr>
            <w:tcW w:w="1134" w:type="dxa"/>
            <w:shd w:val="clear" w:color="auto" w:fill="D9D9D9" w:themeFill="background1" w:themeFillShade="D9"/>
            <w:vAlign w:val="center"/>
          </w:tcPr>
          <w:p w14:paraId="724FA137" w14:textId="77777777" w:rsidR="00944BDC"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HDP</w:t>
            </w:r>
          </w:p>
        </w:tc>
      </w:tr>
      <w:tr w:rsidR="001F1E7D" w:rsidRPr="00533264" w14:paraId="26566811" w14:textId="77777777" w:rsidTr="001D5305">
        <w:trPr>
          <w:trHeight w:val="57"/>
          <w:jc w:val="center"/>
        </w:trPr>
        <w:tc>
          <w:tcPr>
            <w:tcW w:w="1696" w:type="dxa"/>
          </w:tcPr>
          <w:p w14:paraId="4344E1AE" w14:textId="4A346288"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6a</w:t>
            </w:r>
          </w:p>
        </w:tc>
        <w:tc>
          <w:tcPr>
            <w:tcW w:w="993" w:type="dxa"/>
            <w:vAlign w:val="center"/>
          </w:tcPr>
          <w:p w14:paraId="4492A4F4" w14:textId="1CFA445E"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48CF0F30" w14:textId="5CB4322C"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1134" w:type="dxa"/>
            <w:vAlign w:val="center"/>
          </w:tcPr>
          <w:p w14:paraId="4A868984" w14:textId="3B04F71A"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1F1E7D" w:rsidRPr="00533264" w14:paraId="069AA45A" w14:textId="77777777" w:rsidTr="001D5305">
        <w:trPr>
          <w:trHeight w:val="57"/>
          <w:jc w:val="center"/>
        </w:trPr>
        <w:tc>
          <w:tcPr>
            <w:tcW w:w="1696" w:type="dxa"/>
          </w:tcPr>
          <w:p w14:paraId="5BE32938" w14:textId="570F3B11"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6b</w:t>
            </w:r>
          </w:p>
        </w:tc>
        <w:tc>
          <w:tcPr>
            <w:tcW w:w="993" w:type="dxa"/>
            <w:vAlign w:val="center"/>
          </w:tcPr>
          <w:p w14:paraId="34B12967" w14:textId="481D80FF"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0B8E2904" w14:textId="2E875E06"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1134" w:type="dxa"/>
            <w:vAlign w:val="center"/>
          </w:tcPr>
          <w:p w14:paraId="67C834B3" w14:textId="1260D4D5"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7</w:t>
            </w:r>
          </w:p>
        </w:tc>
      </w:tr>
      <w:tr w:rsidR="001F1E7D" w:rsidRPr="00533264" w14:paraId="47DD7818" w14:textId="77777777" w:rsidTr="001D5305">
        <w:trPr>
          <w:trHeight w:val="57"/>
          <w:jc w:val="center"/>
        </w:trPr>
        <w:tc>
          <w:tcPr>
            <w:tcW w:w="1696" w:type="dxa"/>
          </w:tcPr>
          <w:p w14:paraId="759FC4B1" w14:textId="66DC5EE3"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6c</w:t>
            </w:r>
          </w:p>
        </w:tc>
        <w:tc>
          <w:tcPr>
            <w:tcW w:w="993" w:type="dxa"/>
            <w:vAlign w:val="center"/>
          </w:tcPr>
          <w:p w14:paraId="0D49BCC1" w14:textId="2EEA8EFB"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60DAF4BB" w14:textId="549F4BE5"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c>
          <w:tcPr>
            <w:tcW w:w="1134" w:type="dxa"/>
            <w:vAlign w:val="center"/>
          </w:tcPr>
          <w:p w14:paraId="4AEB81C0" w14:textId="062B0254"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1F1E7D" w:rsidRPr="00533264" w14:paraId="1A91826A" w14:textId="77777777" w:rsidTr="001D5305">
        <w:trPr>
          <w:trHeight w:val="57"/>
          <w:jc w:val="center"/>
        </w:trPr>
        <w:tc>
          <w:tcPr>
            <w:tcW w:w="1696" w:type="dxa"/>
          </w:tcPr>
          <w:p w14:paraId="1655064A" w14:textId="529098B8"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6d</w:t>
            </w:r>
          </w:p>
        </w:tc>
        <w:tc>
          <w:tcPr>
            <w:tcW w:w="993" w:type="dxa"/>
            <w:vAlign w:val="center"/>
          </w:tcPr>
          <w:p w14:paraId="56DF08FE" w14:textId="777BEC93"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4568D662" w14:textId="567A8900"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12</w:t>
            </w:r>
          </w:p>
        </w:tc>
        <w:tc>
          <w:tcPr>
            <w:tcW w:w="1134" w:type="dxa"/>
            <w:vAlign w:val="center"/>
          </w:tcPr>
          <w:p w14:paraId="61F54CD5" w14:textId="6E5C6DC3"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7</w:t>
            </w:r>
          </w:p>
        </w:tc>
      </w:tr>
      <w:tr w:rsidR="001F1E7D" w:rsidRPr="00533264" w14:paraId="4E60BD46" w14:textId="77777777" w:rsidTr="001D5305">
        <w:trPr>
          <w:trHeight w:val="57"/>
          <w:jc w:val="center"/>
        </w:trPr>
        <w:tc>
          <w:tcPr>
            <w:tcW w:w="1696" w:type="dxa"/>
          </w:tcPr>
          <w:p w14:paraId="5B44D9B9" w14:textId="28BD68A9"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6e</w:t>
            </w:r>
          </w:p>
        </w:tc>
        <w:tc>
          <w:tcPr>
            <w:tcW w:w="993" w:type="dxa"/>
            <w:vAlign w:val="center"/>
          </w:tcPr>
          <w:p w14:paraId="7B617767" w14:textId="7261B320"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1134" w:type="dxa"/>
            <w:vAlign w:val="center"/>
          </w:tcPr>
          <w:p w14:paraId="652EAB84" w14:textId="0EB68264"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4</w:t>
            </w:r>
          </w:p>
        </w:tc>
        <w:tc>
          <w:tcPr>
            <w:tcW w:w="1134" w:type="dxa"/>
            <w:vAlign w:val="center"/>
          </w:tcPr>
          <w:p w14:paraId="4A76E5F5" w14:textId="032D9147"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1F1E7D" w:rsidRPr="00533264" w14:paraId="53BC18AE" w14:textId="77777777" w:rsidTr="001D5305">
        <w:trPr>
          <w:trHeight w:val="57"/>
          <w:jc w:val="center"/>
        </w:trPr>
        <w:tc>
          <w:tcPr>
            <w:tcW w:w="1696" w:type="dxa"/>
          </w:tcPr>
          <w:p w14:paraId="7049F507" w14:textId="335F6D0E"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6f</w:t>
            </w:r>
          </w:p>
        </w:tc>
        <w:tc>
          <w:tcPr>
            <w:tcW w:w="993" w:type="dxa"/>
            <w:vAlign w:val="center"/>
          </w:tcPr>
          <w:p w14:paraId="6049FC23" w14:textId="3D364E0A"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c>
          <w:tcPr>
            <w:tcW w:w="1134" w:type="dxa"/>
            <w:vAlign w:val="center"/>
          </w:tcPr>
          <w:p w14:paraId="115AA874" w14:textId="01D27DB7"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5DFD2688" w14:textId="46EF04F2"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4</w:t>
            </w:r>
          </w:p>
        </w:tc>
      </w:tr>
      <w:tr w:rsidR="001F1E7D" w:rsidRPr="00533264" w14:paraId="719D08F2" w14:textId="77777777" w:rsidTr="001D5305">
        <w:trPr>
          <w:trHeight w:val="57"/>
          <w:jc w:val="center"/>
        </w:trPr>
        <w:tc>
          <w:tcPr>
            <w:tcW w:w="1696" w:type="dxa"/>
          </w:tcPr>
          <w:p w14:paraId="720BACEA" w14:textId="4185D093"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6g</w:t>
            </w:r>
          </w:p>
        </w:tc>
        <w:tc>
          <w:tcPr>
            <w:tcW w:w="993" w:type="dxa"/>
            <w:vAlign w:val="center"/>
          </w:tcPr>
          <w:p w14:paraId="44F587D1" w14:textId="682FC8D9"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1A682BAE" w14:textId="527DD08F"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1134" w:type="dxa"/>
            <w:vAlign w:val="center"/>
          </w:tcPr>
          <w:p w14:paraId="29606204" w14:textId="48886132"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1F1E7D" w:rsidRPr="00533264" w14:paraId="41E55D79" w14:textId="77777777" w:rsidTr="001D5305">
        <w:trPr>
          <w:trHeight w:val="57"/>
          <w:jc w:val="center"/>
        </w:trPr>
        <w:tc>
          <w:tcPr>
            <w:tcW w:w="1696" w:type="dxa"/>
          </w:tcPr>
          <w:p w14:paraId="491A76DF" w14:textId="1146A382"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6h</w:t>
            </w:r>
          </w:p>
        </w:tc>
        <w:tc>
          <w:tcPr>
            <w:tcW w:w="993" w:type="dxa"/>
            <w:vAlign w:val="center"/>
          </w:tcPr>
          <w:p w14:paraId="174F185D" w14:textId="64F14D02"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1134" w:type="dxa"/>
            <w:vAlign w:val="center"/>
          </w:tcPr>
          <w:p w14:paraId="506668F9" w14:textId="18243E37"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12</w:t>
            </w:r>
          </w:p>
        </w:tc>
        <w:tc>
          <w:tcPr>
            <w:tcW w:w="1134" w:type="dxa"/>
            <w:vAlign w:val="center"/>
          </w:tcPr>
          <w:p w14:paraId="03D5F359" w14:textId="41737A74"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r>
      <w:tr w:rsidR="001F1E7D" w:rsidRPr="00533264" w14:paraId="5383A3D4" w14:textId="77777777" w:rsidTr="001D5305">
        <w:trPr>
          <w:trHeight w:val="57"/>
          <w:jc w:val="center"/>
        </w:trPr>
        <w:tc>
          <w:tcPr>
            <w:tcW w:w="1696" w:type="dxa"/>
          </w:tcPr>
          <w:p w14:paraId="313E8F75" w14:textId="11FAAABC"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6i</w:t>
            </w:r>
          </w:p>
        </w:tc>
        <w:tc>
          <w:tcPr>
            <w:tcW w:w="993" w:type="dxa"/>
            <w:vAlign w:val="center"/>
          </w:tcPr>
          <w:p w14:paraId="481242B0" w14:textId="0C391A02"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7F9522D7" w14:textId="05A764CB"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17668832" w14:textId="062D9002"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3</w:t>
            </w:r>
          </w:p>
        </w:tc>
      </w:tr>
      <w:tr w:rsidR="00944BDC" w:rsidRPr="00533264" w14:paraId="0E532EF1" w14:textId="77777777" w:rsidTr="001D5305">
        <w:trPr>
          <w:trHeight w:val="57"/>
          <w:jc w:val="center"/>
        </w:trPr>
        <w:tc>
          <w:tcPr>
            <w:tcW w:w="1696" w:type="dxa"/>
          </w:tcPr>
          <w:p w14:paraId="306D0F6C" w14:textId="10D8D34A" w:rsidR="00944BDC" w:rsidRPr="00533264" w:rsidRDefault="16EC5136" w:rsidP="16EC5136">
            <w:pPr>
              <w:spacing w:before="120" w:after="120"/>
              <w:rPr>
                <w:rFonts w:eastAsia="Times New Roman"/>
                <w:b/>
                <w:bCs/>
                <w:sz w:val="20"/>
                <w:szCs w:val="20"/>
              </w:rPr>
            </w:pPr>
            <w:r w:rsidRPr="00533264">
              <w:rPr>
                <w:rFonts w:eastAsia="Times New Roman"/>
                <w:b/>
                <w:bCs/>
                <w:sz w:val="20"/>
                <w:szCs w:val="20"/>
              </w:rPr>
              <w:lastRenderedPageBreak/>
              <w:t>Toplam</w:t>
            </w:r>
          </w:p>
        </w:tc>
        <w:tc>
          <w:tcPr>
            <w:tcW w:w="993" w:type="dxa"/>
            <w:vAlign w:val="center"/>
          </w:tcPr>
          <w:p w14:paraId="62F55E1A" w14:textId="5101C6FE"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4</w:t>
            </w:r>
          </w:p>
        </w:tc>
        <w:tc>
          <w:tcPr>
            <w:tcW w:w="1134" w:type="dxa"/>
            <w:vAlign w:val="center"/>
          </w:tcPr>
          <w:p w14:paraId="7A27EA4D" w14:textId="29D69FC5"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33</w:t>
            </w:r>
          </w:p>
        </w:tc>
        <w:tc>
          <w:tcPr>
            <w:tcW w:w="1134" w:type="dxa"/>
            <w:vAlign w:val="center"/>
          </w:tcPr>
          <w:p w14:paraId="68548A86" w14:textId="40479B15" w:rsidR="00944BDC" w:rsidRPr="00533264" w:rsidRDefault="16EC5136" w:rsidP="16EC5136">
            <w:pPr>
              <w:spacing w:before="120" w:after="120"/>
              <w:jc w:val="right"/>
              <w:rPr>
                <w:rFonts w:eastAsia="Times New Roman"/>
                <w:sz w:val="20"/>
                <w:szCs w:val="20"/>
              </w:rPr>
            </w:pPr>
            <w:r w:rsidRPr="00533264">
              <w:rPr>
                <w:rFonts w:eastAsia="Times New Roman"/>
                <w:sz w:val="20"/>
                <w:szCs w:val="20"/>
              </w:rPr>
              <w:t>23</w:t>
            </w:r>
          </w:p>
        </w:tc>
      </w:tr>
      <w:tr w:rsidR="00944BDC" w:rsidRPr="00533264" w14:paraId="3825A5E9" w14:textId="77777777" w:rsidTr="001D5305">
        <w:trPr>
          <w:trHeight w:val="57"/>
          <w:jc w:val="center"/>
        </w:trPr>
        <w:tc>
          <w:tcPr>
            <w:tcW w:w="4957" w:type="dxa"/>
            <w:gridSpan w:val="4"/>
            <w:shd w:val="clear" w:color="auto" w:fill="D9D9D9" w:themeFill="background1" w:themeFillShade="D9"/>
          </w:tcPr>
          <w:p w14:paraId="283C9B7C" w14:textId="2EA8F797" w:rsidR="00944BDC" w:rsidRPr="00533264" w:rsidRDefault="16EC5136" w:rsidP="16EC5136">
            <w:pPr>
              <w:spacing w:before="120" w:after="120"/>
              <w:rPr>
                <w:rFonts w:eastAsia="Times New Roman"/>
                <w:b/>
                <w:bCs/>
                <w:sz w:val="20"/>
                <w:szCs w:val="20"/>
              </w:rPr>
            </w:pPr>
            <w:r w:rsidRPr="00533264">
              <w:rPr>
                <w:rFonts w:eastAsia="Times New Roman"/>
                <w:b/>
                <w:bCs/>
                <w:sz w:val="20"/>
                <w:szCs w:val="20"/>
              </w:rPr>
              <w:t>Genel Toplam                                                                 60</w:t>
            </w:r>
          </w:p>
        </w:tc>
      </w:tr>
    </w:tbl>
    <w:p w14:paraId="247FB2B9" w14:textId="569653D4" w:rsidR="7EAA6DFF"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Göç politikası konusundaki kategori içinde 9 ölçüt belirlenmiş ve tekrarlanma sıklığı 60 olarak belirlenmiştir. Bu oran diğer beş kategoriye göre yüksek bir orandır. Bunun sebebi muhalefet partileri genel olarak diğer kategoriler ile birlikte hükümetin Suriye politikasına yönelik eleştirilerini içermektedir. Konu ile ilgili olarak verilen soru önergelerinde tekrarlanma sıklığı en çok CHP ölçütleri toplamında görülmüştür. CHP konu ile alakalı 2015 ve 2016 yıllarında verdiği soru önergelerinde (Sayı: 588; 399; 2314; 2500; 4507; 5453) ilk değindiği ölçüt vatandaşlık konusunda olmuştur. Suriyelilere vatandaşlık verilip verilmeyeceği ve bu konuda</w:t>
      </w:r>
      <w:r w:rsidR="004F2BB9">
        <w:rPr>
          <w:rFonts w:eastAsia="Times New Roman"/>
          <w:sz w:val="22"/>
          <w:szCs w:val="22"/>
        </w:rPr>
        <w:t>ki</w:t>
      </w:r>
      <w:r w:rsidRPr="00533264">
        <w:rPr>
          <w:rFonts w:eastAsia="Times New Roman"/>
          <w:sz w:val="22"/>
          <w:szCs w:val="22"/>
        </w:rPr>
        <w:t xml:space="preserve"> başvuru sayısını sorgulamaktadır. Bir diğer konu ise genel olarak Suriye politikasının yanlışlığı ve bu yanlışlığın sorumlularının cezalandırıp cezalandırılmayacağı konusunda olmuştur. Bir diğer konu ise Suriye politikasının maddi yönüdür. Maddi anlamda sığınmacıların gelmesi ile etkilenen bölgelere teşvik verilip verilmeyeceği konusunu gündeme getirmiştir. Ayrıca Avrupa Birliği tarafından verilmesi taahhüt edilen hibe üzerinden verdiği soru önergelerinde hibenin ne şekilde kullanılacağının yanı sıra hibe üzerinden Suriyeli vatandaşların pazarlık konusu yapıldığına dair eleştirilerini dile getirmektedir. Suriyeli sığınmacılara yapılan harcamalara yönelik sorduğu sorularda bu harcamaların miktarı üzerinden bir tartışma konusu da yaratmaktadır. 2015 yılı seçim bildirgesi incelendiğinde ise genel olarak savaşın barışçıl yollarla ve Suriye halkı tarafından  çözüme kavuşturularak sağlıklı bir geri gönderme programı önermiş ve özellikle terör konusunda çözüm önerileri sunmuştur. Terör ile ilgili olarak Türkiye'nin </w:t>
      </w:r>
      <w:r w:rsidR="004F2BB9">
        <w:rPr>
          <w:rFonts w:eastAsia="Times New Roman"/>
          <w:sz w:val="22"/>
          <w:szCs w:val="22"/>
        </w:rPr>
        <w:t>“</w:t>
      </w:r>
      <w:r w:rsidRPr="004F2BB9">
        <w:rPr>
          <w:rFonts w:eastAsia="Times New Roman"/>
          <w:i/>
          <w:sz w:val="22"/>
          <w:szCs w:val="22"/>
        </w:rPr>
        <w:t>sıçrama tahtasına</w:t>
      </w:r>
      <w:r w:rsidR="004F2BB9">
        <w:rPr>
          <w:rFonts w:eastAsia="Times New Roman"/>
          <w:sz w:val="22"/>
          <w:szCs w:val="22"/>
        </w:rPr>
        <w:t>”</w:t>
      </w:r>
      <w:r w:rsidRPr="00533264">
        <w:rPr>
          <w:rFonts w:eastAsia="Times New Roman"/>
          <w:sz w:val="22"/>
          <w:szCs w:val="22"/>
        </w:rPr>
        <w:t xml:space="preserve"> dönüşmesinin önleneceğini vurgulamıştır (CHP, 2015).</w:t>
      </w:r>
    </w:p>
    <w:p w14:paraId="653B50F8" w14:textId="62D51AA3" w:rsidR="003B5D35"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MHP ise 2015 yılına ait soru önergelerinde (Sayı: 407; sayı 479) Suriyeli sığınmacılara yönelik vatandaşlık verilmesi iddiası ile sorunların çözümüne yönelik uluslararası alanda yapılan çalışmaları sorgulamaktadır. Ayrıca Suriyeli muhaliflere yönelik yapılan harcamalar konusunda da sorular yönelterek hükümeti bu yönde denetleme yoluna gitmiştir. Seçim bildirgesine bakıldığında özellikle sınır güvenliği konusu üzerinde durarak kontrolsüz göç konusunda ülke çıkarlarını ve güvenliğini dikkate alan tedbirler almak gerektiğini vurgulamıştır. MHP seçim bildirgesinde CHP gibi sığınmacıların sağlıklı bir şekilde vatanlarına kavuşturulmasının sağlanması ve sığınmacılar sorunun uluslararası bir sorun olduğundan çözümünün de uluslararası olması gerektiğini vurgulamıştır (MHP,2015). </w:t>
      </w:r>
    </w:p>
    <w:p w14:paraId="035BAECF" w14:textId="658164E5" w:rsidR="00FE239E" w:rsidRPr="00533264" w:rsidRDefault="16EC5136" w:rsidP="00E07D95">
      <w:pPr>
        <w:spacing w:before="120" w:after="120"/>
        <w:ind w:firstLine="708"/>
        <w:jc w:val="both"/>
        <w:rPr>
          <w:rFonts w:eastAsia="Times New Roman"/>
          <w:sz w:val="22"/>
          <w:szCs w:val="22"/>
        </w:rPr>
      </w:pPr>
      <w:r w:rsidRPr="00533264">
        <w:rPr>
          <w:rFonts w:eastAsia="Times New Roman"/>
          <w:sz w:val="22"/>
          <w:szCs w:val="22"/>
        </w:rPr>
        <w:t xml:space="preserve">HDP ise 2015 ve 2016 yıllarında verdiği soru önergelerinde (Sayı:371; Sayı: 598; Sayı: 2321) Suriye’ye yönelik hükümetin uyguladığı politikaların sınır ihracatını olumsuz etkilediğini ve bu konuda neler yapıldığını sorgulamaktadır. Ayrıca AB tarafından kampların desteklendiği iddiasını ve bu desteğin ne yönde kullanıldığını sorgulamıştır. HDP 2015 seçim bildirgesinde Cenevre Sözleşmesi’ne konulan “coğrafi sınırlama” çekincesinin kaldırılması (HDP, 2015: 45) yönünde </w:t>
      </w:r>
      <w:r w:rsidR="00234264" w:rsidRPr="00533264">
        <w:rPr>
          <w:rFonts w:eastAsia="Times New Roman"/>
          <w:sz w:val="22"/>
          <w:szCs w:val="22"/>
        </w:rPr>
        <w:t>vaatte</w:t>
      </w:r>
      <w:r w:rsidRPr="00533264">
        <w:rPr>
          <w:rFonts w:eastAsia="Times New Roman"/>
          <w:sz w:val="22"/>
          <w:szCs w:val="22"/>
        </w:rPr>
        <w:t xml:space="preserve"> bulunmuştur. Genel olarak Suriye politikasında etnik ayrımcılığın ortadan kaldırılması yönünde söylem geliştirmiştir.</w:t>
      </w:r>
    </w:p>
    <w:p w14:paraId="0264402B" w14:textId="04BC13B1" w:rsidR="001F1E7D" w:rsidRPr="00533264" w:rsidRDefault="00E07D95" w:rsidP="003D16B9">
      <w:pPr>
        <w:spacing w:before="120" w:after="120"/>
        <w:rPr>
          <w:rFonts w:eastAsia="Times New Roman"/>
          <w:sz w:val="20"/>
          <w:szCs w:val="20"/>
        </w:rPr>
      </w:pPr>
      <w:r w:rsidRPr="00533264">
        <w:rPr>
          <w:rFonts w:eastAsia="Times New Roman"/>
          <w:b/>
          <w:bCs/>
          <w:sz w:val="20"/>
          <w:szCs w:val="20"/>
        </w:rPr>
        <w:t xml:space="preserve">                                  </w:t>
      </w:r>
      <w:r w:rsidR="003D16B9">
        <w:rPr>
          <w:rFonts w:eastAsia="Times New Roman"/>
          <w:b/>
          <w:bCs/>
          <w:sz w:val="20"/>
          <w:szCs w:val="20"/>
        </w:rPr>
        <w:tab/>
      </w:r>
      <w:r w:rsidRPr="00533264">
        <w:rPr>
          <w:rFonts w:eastAsia="Times New Roman"/>
          <w:b/>
          <w:bCs/>
          <w:sz w:val="20"/>
          <w:szCs w:val="20"/>
        </w:rPr>
        <w:t xml:space="preserve">  </w:t>
      </w:r>
      <w:r w:rsidR="16EC5136" w:rsidRPr="00533264">
        <w:rPr>
          <w:rFonts w:eastAsia="Times New Roman"/>
          <w:b/>
          <w:bCs/>
          <w:sz w:val="20"/>
          <w:szCs w:val="20"/>
        </w:rPr>
        <w:t xml:space="preserve">Tablo </w:t>
      </w:r>
      <w:r w:rsidR="00533264" w:rsidRPr="00533264">
        <w:rPr>
          <w:rFonts w:eastAsia="Times New Roman"/>
          <w:b/>
          <w:bCs/>
          <w:sz w:val="20"/>
          <w:szCs w:val="20"/>
        </w:rPr>
        <w:t>9</w:t>
      </w:r>
      <w:r w:rsidR="16EC5136" w:rsidRPr="00533264">
        <w:rPr>
          <w:rFonts w:eastAsia="Times New Roman"/>
          <w:b/>
          <w:bCs/>
          <w:sz w:val="20"/>
          <w:szCs w:val="20"/>
        </w:rPr>
        <w:t>.</w:t>
      </w:r>
      <w:r w:rsidR="16EC5136" w:rsidRPr="00533264">
        <w:rPr>
          <w:rFonts w:eastAsia="Times New Roman"/>
          <w:sz w:val="20"/>
          <w:szCs w:val="20"/>
        </w:rPr>
        <w:t xml:space="preserve"> İstihdam Kategorisi İçerik Analizi Kodlama Cetveli</w:t>
      </w:r>
    </w:p>
    <w:tbl>
      <w:tblPr>
        <w:tblStyle w:val="TabloKlavuzu"/>
        <w:tblW w:w="4957" w:type="dxa"/>
        <w:jc w:val="center"/>
        <w:tblLayout w:type="fixed"/>
        <w:tblLook w:val="04A0" w:firstRow="1" w:lastRow="0" w:firstColumn="1" w:lastColumn="0" w:noHBand="0" w:noVBand="1"/>
      </w:tblPr>
      <w:tblGrid>
        <w:gridCol w:w="1696"/>
        <w:gridCol w:w="993"/>
        <w:gridCol w:w="1134"/>
        <w:gridCol w:w="1134"/>
      </w:tblGrid>
      <w:tr w:rsidR="001F1E7D" w:rsidRPr="00533264" w14:paraId="4518E1E3" w14:textId="77777777" w:rsidTr="001D5305">
        <w:trPr>
          <w:trHeight w:val="113"/>
          <w:jc w:val="center"/>
        </w:trPr>
        <w:tc>
          <w:tcPr>
            <w:tcW w:w="1696" w:type="dxa"/>
            <w:shd w:val="clear" w:color="auto" w:fill="D9D9D9" w:themeFill="background1" w:themeFillShade="D9"/>
            <w:vAlign w:val="center"/>
          </w:tcPr>
          <w:p w14:paraId="5AFE613C" w14:textId="3B1E3B7D"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Kategori-Ölçüt</w:t>
            </w:r>
          </w:p>
        </w:tc>
        <w:tc>
          <w:tcPr>
            <w:tcW w:w="993" w:type="dxa"/>
            <w:shd w:val="clear" w:color="auto" w:fill="D9D9D9" w:themeFill="background1" w:themeFillShade="D9"/>
            <w:vAlign w:val="center"/>
          </w:tcPr>
          <w:p w14:paraId="6BE5216B" w14:textId="77777777"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MHP</w:t>
            </w:r>
          </w:p>
        </w:tc>
        <w:tc>
          <w:tcPr>
            <w:tcW w:w="1134" w:type="dxa"/>
            <w:shd w:val="clear" w:color="auto" w:fill="D9D9D9" w:themeFill="background1" w:themeFillShade="D9"/>
            <w:vAlign w:val="center"/>
          </w:tcPr>
          <w:p w14:paraId="503FF8CF" w14:textId="77777777"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CHP</w:t>
            </w:r>
          </w:p>
        </w:tc>
        <w:tc>
          <w:tcPr>
            <w:tcW w:w="1134" w:type="dxa"/>
            <w:shd w:val="clear" w:color="auto" w:fill="D9D9D9" w:themeFill="background1" w:themeFillShade="D9"/>
            <w:vAlign w:val="center"/>
          </w:tcPr>
          <w:p w14:paraId="41390F9D" w14:textId="77777777"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HDP</w:t>
            </w:r>
          </w:p>
        </w:tc>
      </w:tr>
      <w:tr w:rsidR="001F1E7D" w:rsidRPr="00533264" w14:paraId="55E65AC1" w14:textId="77777777" w:rsidTr="001D5305">
        <w:trPr>
          <w:trHeight w:val="113"/>
          <w:jc w:val="center"/>
        </w:trPr>
        <w:tc>
          <w:tcPr>
            <w:tcW w:w="1696" w:type="dxa"/>
          </w:tcPr>
          <w:p w14:paraId="669E91DC" w14:textId="713AD9CA"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7a</w:t>
            </w:r>
          </w:p>
        </w:tc>
        <w:tc>
          <w:tcPr>
            <w:tcW w:w="993" w:type="dxa"/>
            <w:vAlign w:val="center"/>
          </w:tcPr>
          <w:p w14:paraId="6C4EA14D" w14:textId="2C4D9539"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1F8EF4E5" w14:textId="004A913A"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4A55BAA6" w14:textId="63B56DDF"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6</w:t>
            </w:r>
          </w:p>
        </w:tc>
      </w:tr>
      <w:tr w:rsidR="001F1E7D" w:rsidRPr="00533264" w14:paraId="513E624D" w14:textId="77777777" w:rsidTr="001D5305">
        <w:trPr>
          <w:trHeight w:val="113"/>
          <w:jc w:val="center"/>
        </w:trPr>
        <w:tc>
          <w:tcPr>
            <w:tcW w:w="1696" w:type="dxa"/>
          </w:tcPr>
          <w:p w14:paraId="01347FE6" w14:textId="677EF629"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7b</w:t>
            </w:r>
          </w:p>
        </w:tc>
        <w:tc>
          <w:tcPr>
            <w:tcW w:w="993" w:type="dxa"/>
            <w:vAlign w:val="center"/>
          </w:tcPr>
          <w:p w14:paraId="561B4F9A" w14:textId="6BD98DFF"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1134" w:type="dxa"/>
            <w:vAlign w:val="center"/>
          </w:tcPr>
          <w:p w14:paraId="70C9B7DC" w14:textId="124D3888"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1134" w:type="dxa"/>
            <w:vAlign w:val="center"/>
          </w:tcPr>
          <w:p w14:paraId="059F7454" w14:textId="090CC14D"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12</w:t>
            </w:r>
          </w:p>
        </w:tc>
      </w:tr>
      <w:tr w:rsidR="001F1E7D" w:rsidRPr="00533264" w14:paraId="0F418BC0" w14:textId="77777777" w:rsidTr="001D5305">
        <w:trPr>
          <w:trHeight w:val="113"/>
          <w:jc w:val="center"/>
        </w:trPr>
        <w:tc>
          <w:tcPr>
            <w:tcW w:w="1696" w:type="dxa"/>
          </w:tcPr>
          <w:p w14:paraId="614E0F1E" w14:textId="4CF8B29C"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7c</w:t>
            </w:r>
          </w:p>
        </w:tc>
        <w:tc>
          <w:tcPr>
            <w:tcW w:w="993" w:type="dxa"/>
            <w:vAlign w:val="center"/>
          </w:tcPr>
          <w:p w14:paraId="0AA6E85D" w14:textId="37627B35"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402CF1EE" w14:textId="227E4619"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c>
          <w:tcPr>
            <w:tcW w:w="1134" w:type="dxa"/>
            <w:vAlign w:val="center"/>
          </w:tcPr>
          <w:p w14:paraId="174A0F81" w14:textId="6A9E16D3"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16</w:t>
            </w:r>
          </w:p>
        </w:tc>
      </w:tr>
      <w:tr w:rsidR="001F1E7D" w:rsidRPr="00533264" w14:paraId="6F2C450E" w14:textId="77777777" w:rsidTr="001D5305">
        <w:trPr>
          <w:trHeight w:val="113"/>
          <w:jc w:val="center"/>
        </w:trPr>
        <w:tc>
          <w:tcPr>
            <w:tcW w:w="1696" w:type="dxa"/>
          </w:tcPr>
          <w:p w14:paraId="609B0DF4" w14:textId="0764D7EA"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7d</w:t>
            </w:r>
          </w:p>
        </w:tc>
        <w:tc>
          <w:tcPr>
            <w:tcW w:w="993" w:type="dxa"/>
            <w:vAlign w:val="center"/>
          </w:tcPr>
          <w:p w14:paraId="3773353D" w14:textId="581D6F61"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59CE38B4" w14:textId="59416189"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c>
          <w:tcPr>
            <w:tcW w:w="1134" w:type="dxa"/>
            <w:vAlign w:val="center"/>
          </w:tcPr>
          <w:p w14:paraId="57623F89" w14:textId="23491096"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r>
      <w:tr w:rsidR="001F1E7D" w:rsidRPr="00533264" w14:paraId="3C279ADE" w14:textId="77777777" w:rsidTr="001D5305">
        <w:trPr>
          <w:trHeight w:val="113"/>
          <w:jc w:val="center"/>
        </w:trPr>
        <w:tc>
          <w:tcPr>
            <w:tcW w:w="1696" w:type="dxa"/>
          </w:tcPr>
          <w:p w14:paraId="10622592" w14:textId="3B8C8E13"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7e</w:t>
            </w:r>
          </w:p>
        </w:tc>
        <w:tc>
          <w:tcPr>
            <w:tcW w:w="993" w:type="dxa"/>
            <w:vAlign w:val="center"/>
          </w:tcPr>
          <w:p w14:paraId="204812B4" w14:textId="7C46AEE1"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080253DE" w14:textId="3EAFFB5A"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5C582245" w14:textId="262409D1"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5</w:t>
            </w:r>
          </w:p>
        </w:tc>
      </w:tr>
      <w:tr w:rsidR="001F1E7D" w:rsidRPr="00533264" w14:paraId="26BF98DD" w14:textId="77777777" w:rsidTr="001D5305">
        <w:trPr>
          <w:trHeight w:val="113"/>
          <w:jc w:val="center"/>
        </w:trPr>
        <w:tc>
          <w:tcPr>
            <w:tcW w:w="1696" w:type="dxa"/>
          </w:tcPr>
          <w:p w14:paraId="566CFC68" w14:textId="12024CBC"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7f</w:t>
            </w:r>
          </w:p>
        </w:tc>
        <w:tc>
          <w:tcPr>
            <w:tcW w:w="993" w:type="dxa"/>
            <w:vAlign w:val="center"/>
          </w:tcPr>
          <w:p w14:paraId="2E1BFFBE" w14:textId="47749B55"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1134" w:type="dxa"/>
            <w:vAlign w:val="center"/>
          </w:tcPr>
          <w:p w14:paraId="032EED53" w14:textId="1313F3C8"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9</w:t>
            </w:r>
          </w:p>
        </w:tc>
        <w:tc>
          <w:tcPr>
            <w:tcW w:w="1134" w:type="dxa"/>
            <w:vAlign w:val="center"/>
          </w:tcPr>
          <w:p w14:paraId="3A533FB3" w14:textId="51E328BF"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6</w:t>
            </w:r>
          </w:p>
        </w:tc>
      </w:tr>
      <w:tr w:rsidR="001F1E7D" w:rsidRPr="00533264" w14:paraId="7410D094" w14:textId="77777777" w:rsidTr="001D5305">
        <w:trPr>
          <w:trHeight w:val="113"/>
          <w:jc w:val="center"/>
        </w:trPr>
        <w:tc>
          <w:tcPr>
            <w:tcW w:w="1696" w:type="dxa"/>
          </w:tcPr>
          <w:p w14:paraId="1F5810CE" w14:textId="1382F28E"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lastRenderedPageBreak/>
              <w:t>7g</w:t>
            </w:r>
          </w:p>
        </w:tc>
        <w:tc>
          <w:tcPr>
            <w:tcW w:w="993" w:type="dxa"/>
            <w:vAlign w:val="center"/>
          </w:tcPr>
          <w:p w14:paraId="1089835C" w14:textId="79AB57FB"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3</w:t>
            </w:r>
          </w:p>
        </w:tc>
        <w:tc>
          <w:tcPr>
            <w:tcW w:w="1134" w:type="dxa"/>
            <w:vAlign w:val="center"/>
          </w:tcPr>
          <w:p w14:paraId="06810FB5" w14:textId="47B21644"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20443779" w14:textId="45A7A1A7"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1F1E7D" w:rsidRPr="00533264" w14:paraId="1542B553" w14:textId="77777777" w:rsidTr="001D5305">
        <w:trPr>
          <w:trHeight w:val="113"/>
          <w:jc w:val="center"/>
        </w:trPr>
        <w:tc>
          <w:tcPr>
            <w:tcW w:w="1696" w:type="dxa"/>
          </w:tcPr>
          <w:p w14:paraId="441EC3BD" w14:textId="0DBBED25"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7h</w:t>
            </w:r>
          </w:p>
        </w:tc>
        <w:tc>
          <w:tcPr>
            <w:tcW w:w="993" w:type="dxa"/>
            <w:vAlign w:val="center"/>
          </w:tcPr>
          <w:p w14:paraId="6B47FACE" w14:textId="5520C7FA"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w:t>
            </w:r>
          </w:p>
        </w:tc>
        <w:tc>
          <w:tcPr>
            <w:tcW w:w="1134" w:type="dxa"/>
            <w:vAlign w:val="center"/>
          </w:tcPr>
          <w:p w14:paraId="436DA62C" w14:textId="160D1163"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608CD135" w14:textId="3BA86140"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1F1E7D" w:rsidRPr="00533264" w14:paraId="4CDA57AF" w14:textId="77777777" w:rsidTr="001D5305">
        <w:trPr>
          <w:trHeight w:val="113"/>
          <w:jc w:val="center"/>
        </w:trPr>
        <w:tc>
          <w:tcPr>
            <w:tcW w:w="1696" w:type="dxa"/>
          </w:tcPr>
          <w:p w14:paraId="3B32E72D" w14:textId="7EB5ED9C" w:rsidR="001F1E7D" w:rsidRPr="00533264" w:rsidRDefault="16EC5136" w:rsidP="16EC5136">
            <w:pPr>
              <w:spacing w:before="120" w:after="120"/>
              <w:jc w:val="center"/>
              <w:rPr>
                <w:rFonts w:eastAsia="Times New Roman"/>
                <w:b/>
                <w:bCs/>
                <w:sz w:val="20"/>
                <w:szCs w:val="20"/>
              </w:rPr>
            </w:pPr>
            <w:r w:rsidRPr="00533264">
              <w:rPr>
                <w:rFonts w:eastAsia="Times New Roman"/>
                <w:b/>
                <w:bCs/>
                <w:sz w:val="20"/>
                <w:szCs w:val="20"/>
              </w:rPr>
              <w:t>7i</w:t>
            </w:r>
          </w:p>
        </w:tc>
        <w:tc>
          <w:tcPr>
            <w:tcW w:w="993" w:type="dxa"/>
            <w:vAlign w:val="center"/>
          </w:tcPr>
          <w:p w14:paraId="2ADB81C4" w14:textId="74130AAC"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2</w:t>
            </w:r>
          </w:p>
        </w:tc>
        <w:tc>
          <w:tcPr>
            <w:tcW w:w="1134" w:type="dxa"/>
            <w:vAlign w:val="center"/>
          </w:tcPr>
          <w:p w14:paraId="420DFC91" w14:textId="0E60CD4C"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c>
          <w:tcPr>
            <w:tcW w:w="1134" w:type="dxa"/>
            <w:vAlign w:val="center"/>
          </w:tcPr>
          <w:p w14:paraId="2D9F21A4" w14:textId="32B09748"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w:t>
            </w:r>
          </w:p>
        </w:tc>
      </w:tr>
      <w:tr w:rsidR="001F1E7D" w:rsidRPr="00533264" w14:paraId="23DA217F" w14:textId="77777777" w:rsidTr="001D5305">
        <w:trPr>
          <w:trHeight w:val="113"/>
          <w:jc w:val="center"/>
        </w:trPr>
        <w:tc>
          <w:tcPr>
            <w:tcW w:w="1696" w:type="dxa"/>
          </w:tcPr>
          <w:p w14:paraId="6F62BCDF" w14:textId="7D195C42" w:rsidR="001F1E7D" w:rsidRPr="00533264" w:rsidRDefault="16EC5136" w:rsidP="16EC5136">
            <w:pPr>
              <w:spacing w:before="120" w:after="120"/>
              <w:rPr>
                <w:rFonts w:eastAsia="Times New Roman"/>
                <w:b/>
                <w:bCs/>
                <w:sz w:val="20"/>
                <w:szCs w:val="20"/>
              </w:rPr>
            </w:pPr>
            <w:r w:rsidRPr="00533264">
              <w:rPr>
                <w:rFonts w:eastAsia="Times New Roman"/>
                <w:b/>
                <w:bCs/>
                <w:sz w:val="20"/>
                <w:szCs w:val="20"/>
              </w:rPr>
              <w:t>Toplam</w:t>
            </w:r>
          </w:p>
        </w:tc>
        <w:tc>
          <w:tcPr>
            <w:tcW w:w="993" w:type="dxa"/>
            <w:vAlign w:val="center"/>
          </w:tcPr>
          <w:p w14:paraId="39F4B138" w14:textId="1FEE9864"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8</w:t>
            </w:r>
          </w:p>
        </w:tc>
        <w:tc>
          <w:tcPr>
            <w:tcW w:w="1134" w:type="dxa"/>
            <w:vAlign w:val="center"/>
          </w:tcPr>
          <w:p w14:paraId="7B3F9512" w14:textId="3A24A673"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14</w:t>
            </w:r>
          </w:p>
        </w:tc>
        <w:tc>
          <w:tcPr>
            <w:tcW w:w="1134" w:type="dxa"/>
            <w:vAlign w:val="center"/>
          </w:tcPr>
          <w:p w14:paraId="5146CAAD" w14:textId="23E38A1C" w:rsidR="001F1E7D" w:rsidRPr="00533264" w:rsidRDefault="16EC5136" w:rsidP="16EC5136">
            <w:pPr>
              <w:spacing w:before="120" w:after="120"/>
              <w:jc w:val="right"/>
              <w:rPr>
                <w:rFonts w:eastAsia="Times New Roman"/>
                <w:sz w:val="20"/>
                <w:szCs w:val="20"/>
              </w:rPr>
            </w:pPr>
            <w:r w:rsidRPr="00533264">
              <w:rPr>
                <w:rFonts w:eastAsia="Times New Roman"/>
                <w:sz w:val="20"/>
                <w:szCs w:val="20"/>
              </w:rPr>
              <w:t>46</w:t>
            </w:r>
          </w:p>
        </w:tc>
      </w:tr>
      <w:tr w:rsidR="001F1E7D" w:rsidRPr="00533264" w14:paraId="7D10B98E" w14:textId="77777777" w:rsidTr="001D5305">
        <w:trPr>
          <w:trHeight w:val="113"/>
          <w:jc w:val="center"/>
        </w:trPr>
        <w:tc>
          <w:tcPr>
            <w:tcW w:w="4957" w:type="dxa"/>
            <w:gridSpan w:val="4"/>
            <w:shd w:val="clear" w:color="auto" w:fill="D9D9D9" w:themeFill="background1" w:themeFillShade="D9"/>
          </w:tcPr>
          <w:p w14:paraId="0243C607" w14:textId="6D36B038" w:rsidR="001F1E7D" w:rsidRPr="00533264" w:rsidRDefault="16EC5136" w:rsidP="16EC5136">
            <w:pPr>
              <w:spacing w:before="120" w:after="120"/>
              <w:rPr>
                <w:rFonts w:eastAsia="Times New Roman"/>
                <w:b/>
                <w:bCs/>
                <w:sz w:val="20"/>
                <w:szCs w:val="20"/>
              </w:rPr>
            </w:pPr>
            <w:r w:rsidRPr="00533264">
              <w:rPr>
                <w:rFonts w:eastAsia="Times New Roman"/>
                <w:b/>
                <w:bCs/>
                <w:sz w:val="20"/>
                <w:szCs w:val="20"/>
              </w:rPr>
              <w:t xml:space="preserve">Genel Toplam                   </w:t>
            </w:r>
            <w:r w:rsidR="001D5305">
              <w:rPr>
                <w:rFonts w:eastAsia="Times New Roman"/>
                <w:b/>
                <w:bCs/>
                <w:sz w:val="20"/>
                <w:szCs w:val="20"/>
              </w:rPr>
              <w:t xml:space="preserve">  </w:t>
            </w:r>
            <w:r w:rsidRPr="00533264">
              <w:rPr>
                <w:rFonts w:eastAsia="Times New Roman"/>
                <w:b/>
                <w:bCs/>
                <w:sz w:val="20"/>
                <w:szCs w:val="20"/>
              </w:rPr>
              <w:t xml:space="preserve">                                             68</w:t>
            </w:r>
          </w:p>
        </w:tc>
      </w:tr>
    </w:tbl>
    <w:p w14:paraId="78DB9AFE" w14:textId="15FD075E" w:rsidR="7EAA6DFF"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İstihdam kategorisi diğer tüm kategoriler içinde en çok tekrarlama sıklığına sahip kategoridir. Bunun sebebi ise partilerin genel olarak Suriye’ye yönelik eğitim, sağlık, güvenlik, çocuk-kadın ve genel politikaların istihdam yönüne ağırlık vermiş olmalarından kaynaklanmaktadır. Bu nedenle tekrarlanma sıklığı toplam 68 çıkmış ve partiler içinde</w:t>
      </w:r>
      <w:r w:rsidR="006C7210">
        <w:rPr>
          <w:rFonts w:eastAsia="Times New Roman"/>
          <w:sz w:val="22"/>
          <w:szCs w:val="22"/>
        </w:rPr>
        <w:t xml:space="preserve"> ise</w:t>
      </w:r>
      <w:r w:rsidRPr="00533264">
        <w:rPr>
          <w:rFonts w:eastAsia="Times New Roman"/>
          <w:sz w:val="22"/>
          <w:szCs w:val="22"/>
        </w:rPr>
        <w:t xml:space="preserve"> en yüksek oranda tekrarlanış sıklığı HDP’de görülmüştür. HDP’nin konu ile ilgili olarak 2015 ve 2016 yıllarında verdiği soru önergelerinde (Sayı: 95; 332; 1138; 1229; 2226) en çok üzerinde durduğu konu   kayıtdışı çalışan Suriyeli sığınmacılardır. Bu konu ile ilgili verdiği soru önergelerinde hükümetin kayıtdışı ucuz emeğe çalışan Suriyeli sığınmacılara yönelik yapılan çalışmaları ve alınan önlemleri sorgulamaktadır. Ayrıca çocuk işçiliğine de değinen parti, tehlikeli işlerde çalışan çocukların durumuna  dikkat çekmektedir. HDP soru önergeleri ile bir anlamda eleştirdiği istihdam politikalarına 2015 seçim bildirgesinde "</w:t>
      </w:r>
      <w:r w:rsidRPr="00533264">
        <w:rPr>
          <w:rFonts w:eastAsia="Times New Roman"/>
          <w:i/>
          <w:iCs/>
          <w:sz w:val="22"/>
          <w:szCs w:val="22"/>
        </w:rPr>
        <w:t>Göçmen işçileri kendi yurttaşı gibi gören bir çalışma anlayışı</w:t>
      </w:r>
      <w:r w:rsidRPr="00533264">
        <w:rPr>
          <w:rFonts w:eastAsia="Times New Roman"/>
          <w:sz w:val="22"/>
          <w:szCs w:val="22"/>
        </w:rPr>
        <w:t>" (HDP,</w:t>
      </w:r>
      <w:r w:rsidR="006C7210">
        <w:rPr>
          <w:rFonts w:eastAsia="Times New Roman"/>
          <w:sz w:val="22"/>
          <w:szCs w:val="22"/>
        </w:rPr>
        <w:t xml:space="preserve"> </w:t>
      </w:r>
      <w:r w:rsidRPr="00533264">
        <w:rPr>
          <w:rFonts w:eastAsia="Times New Roman"/>
          <w:sz w:val="22"/>
          <w:szCs w:val="22"/>
        </w:rPr>
        <w:t>2015:</w:t>
      </w:r>
      <w:r w:rsidR="006C7210">
        <w:rPr>
          <w:rFonts w:eastAsia="Times New Roman"/>
          <w:sz w:val="22"/>
          <w:szCs w:val="22"/>
        </w:rPr>
        <w:t xml:space="preserve"> </w:t>
      </w:r>
      <w:r w:rsidRPr="00533264">
        <w:rPr>
          <w:rFonts w:eastAsia="Times New Roman"/>
          <w:sz w:val="22"/>
          <w:szCs w:val="22"/>
        </w:rPr>
        <w:t xml:space="preserve">45) önerisini sunmuştur.  </w:t>
      </w:r>
    </w:p>
    <w:p w14:paraId="36E50D18" w14:textId="3CAA4056" w:rsidR="005B2418"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CHP istihdam konusunda 2016 yılında verdiği soru önergelerinde (Sayı: 2721; Sayı:4859) çalışma izini verilen sığınmacılar konusuna öncelik vermiştir. Çalışma izinlerinin oranına ve çalışma izini verilen sığınmacı sayısına yönelik sorduğu sorularda, çalışma izini olmayan geçici koruma verilmiş sığınmacılara dikkat çekmektedir. 2015 seçim bildirgesinde CHP konuya ayrı bir başlıkta yer vermiştir. Bu başlıkta çalışma konularında yasal altyapının oluşturulması, haksız rekabetin önlenmesi için Suriyelilerin eşit şartlarda iş hayatına katılarak, kayıtdışı istihdamın önleneceğine yönelik çözüm önerileri sunmuştur (CHP,2015).</w:t>
      </w:r>
    </w:p>
    <w:p w14:paraId="5F899FD5" w14:textId="67A6BB3A" w:rsidR="00FE239E" w:rsidRPr="00533264" w:rsidRDefault="16EC5136" w:rsidP="00E07D95">
      <w:pPr>
        <w:spacing w:before="120" w:after="120"/>
        <w:ind w:firstLine="708"/>
        <w:jc w:val="both"/>
        <w:rPr>
          <w:rFonts w:eastAsia="Times New Roman"/>
          <w:sz w:val="22"/>
          <w:szCs w:val="22"/>
        </w:rPr>
      </w:pPr>
      <w:r w:rsidRPr="00533264">
        <w:rPr>
          <w:rFonts w:eastAsia="Times New Roman"/>
          <w:sz w:val="22"/>
          <w:szCs w:val="22"/>
        </w:rPr>
        <w:t xml:space="preserve">MHP ise 2016 yılında verdiği soru önergesinde (Sayı: 804) sığınmacıların ticari faaliyetlerine dikkat çekerek ticaret konusunda sığınmacıların haksız bir rekabet yarattığını ve bu konuya yönelik önleme çabalarını sorgulamaktadır. </w:t>
      </w:r>
    </w:p>
    <w:p w14:paraId="6B016B64" w14:textId="26659D67" w:rsidR="001D06CC" w:rsidRPr="00533264" w:rsidRDefault="16EC5136" w:rsidP="00491C8E">
      <w:pPr>
        <w:pStyle w:val="ListeParagraf"/>
        <w:numPr>
          <w:ilvl w:val="0"/>
          <w:numId w:val="33"/>
        </w:numPr>
        <w:spacing w:before="120" w:after="120"/>
        <w:ind w:left="284" w:hanging="284"/>
        <w:jc w:val="both"/>
        <w:rPr>
          <w:rFonts w:ascii="Times New Roman" w:eastAsia="Times New Roman" w:hAnsi="Times New Roman" w:cs="Times New Roman"/>
          <w:b/>
          <w:bCs/>
        </w:rPr>
      </w:pPr>
      <w:r w:rsidRPr="00533264">
        <w:rPr>
          <w:rFonts w:ascii="Times New Roman" w:eastAsia="Times New Roman" w:hAnsi="Times New Roman" w:cs="Times New Roman"/>
          <w:b/>
          <w:bCs/>
        </w:rPr>
        <w:t>SONUÇ</w:t>
      </w:r>
    </w:p>
    <w:p w14:paraId="40B6CDA9" w14:textId="7619CDEA" w:rsidR="00AB58E4"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Siyasi partilerin Meclis faaliyetleri bir anlamda onların temsil ettikleri toplumsal kesimlerin de görüşlerini </w:t>
      </w:r>
      <w:r w:rsidR="006C7210">
        <w:rPr>
          <w:rFonts w:eastAsia="Times New Roman"/>
          <w:sz w:val="22"/>
          <w:szCs w:val="22"/>
        </w:rPr>
        <w:t xml:space="preserve">de mecliste </w:t>
      </w:r>
      <w:r w:rsidRPr="00533264">
        <w:rPr>
          <w:rFonts w:eastAsia="Times New Roman"/>
          <w:sz w:val="22"/>
          <w:szCs w:val="22"/>
        </w:rPr>
        <w:t xml:space="preserve">yansıtmaktadır. Çalışmada 26. Dönem 1. Yasama yılında muhalefette olan partilerin Suriye iç savaşı sonrası meydana gelen uluslararası göç olgusuna yaklaşımları ölçülmeye çalışılmıştır. </w:t>
      </w:r>
    </w:p>
    <w:p w14:paraId="30C46B58" w14:textId="7AE4204A" w:rsidR="7EAA6DFF"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Çalışmadaki ilk varsayımımız </w:t>
      </w:r>
      <w:r w:rsidR="006C7210" w:rsidRPr="006C7210">
        <w:rPr>
          <w:rFonts w:eastAsia="Times New Roman"/>
          <w:sz w:val="22"/>
          <w:szCs w:val="22"/>
        </w:rPr>
        <w:t>Siyasi partilerin göç konusuna yaklaşımları bu partilerin temsil ettikleri toplumsal kesimlerin göç konusuna bakış açılarını yansıtacağından toplumun farklı kesimlerinin göç algısı ortaya konulacaktır</w:t>
      </w:r>
      <w:r w:rsidR="006C7210">
        <w:rPr>
          <w:rFonts w:eastAsia="Times New Roman"/>
          <w:sz w:val="22"/>
          <w:szCs w:val="22"/>
        </w:rPr>
        <w:t xml:space="preserve">. </w:t>
      </w:r>
      <w:r w:rsidRPr="00533264">
        <w:rPr>
          <w:rFonts w:eastAsia="Times New Roman"/>
          <w:sz w:val="22"/>
          <w:szCs w:val="22"/>
        </w:rPr>
        <w:t>Bu anlamda muhalefet partilerinin konuya genel olarak yaklaşımlarına baktığımızda milliyetçi-muhafazakar bir tabana sahip olan MHP göç sorununa yaklaşımında da genel olarak politikalara yönelik eleştirilerde sığınmacılardan çok vatandaşlar üzerindeki olumsuz etkilere değinmiştir.  MHP, geçmişi köklü olan ve Türk milliyetçiliğini temsil eden bir partidir. Milliyetçilik "</w:t>
      </w:r>
      <w:r w:rsidRPr="00533264">
        <w:rPr>
          <w:rFonts w:eastAsia="Times New Roman"/>
          <w:i/>
          <w:iCs/>
          <w:sz w:val="22"/>
          <w:szCs w:val="22"/>
        </w:rPr>
        <w:t>bir millete ait olma bilinci ve milletin güvenliği ve refahıyla ilgili özlem ve hissiyata sahip olmak"</w:t>
      </w:r>
      <w:r w:rsidRPr="00533264">
        <w:rPr>
          <w:rFonts w:eastAsia="Times New Roman"/>
          <w:sz w:val="22"/>
          <w:szCs w:val="22"/>
        </w:rPr>
        <w:t xml:space="preserve"> (Smith 2004: 119) gibi unsurları içerdiğinden MHP'nin bu konudaki yaklaşımının odak noktasını öncelikli olarak Türk vatandaşları oluşturmuştur. Bu duruma seçim bildirgesinde de  milli bir hissiyatla yer </w:t>
      </w:r>
      <w:r w:rsidR="006C7210">
        <w:rPr>
          <w:rFonts w:eastAsia="Times New Roman"/>
          <w:sz w:val="22"/>
          <w:szCs w:val="22"/>
        </w:rPr>
        <w:t>bulmuş</w:t>
      </w:r>
      <w:r w:rsidRPr="00533264">
        <w:rPr>
          <w:rFonts w:eastAsia="Times New Roman"/>
          <w:sz w:val="22"/>
          <w:szCs w:val="22"/>
        </w:rPr>
        <w:t xml:space="preserve"> ve milli çıkarları ve güvenliği dikkate alan tedbirler alınması gerekliliği üzerinde durmuştur. Geleneksel toplumsal tabanı Orta Anadolu’nun kırsal kesimlerinden gelen alt ve orta sınıfların (Ayan Musil, 2015: 1) oluşturduğu bir partinin toplumsal tabanı, göçün yaratmış olduğu sosyal ve ekonomik sorunlardan en çok etkilenen kesimdir. Bu nedenle MHP toplumsal tabanı ve ideolojik bakış açısı dikkate alındığında göçün çift taraflı etkisinde özellikle göç edilen yerdeki halkın çıkarlarını ön plana çıkardığı görülmektedir. </w:t>
      </w:r>
    </w:p>
    <w:p w14:paraId="3ACD31D9" w14:textId="5CD57C3A" w:rsidR="7EAA6DFF"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lastRenderedPageBreak/>
        <w:t>CHP göç politikalarını ve özellikle Suriyeli sığınmacılara yönelik ayrıcalıkları eleştiren bir tutum sergilemiştir. CHP</w:t>
      </w:r>
      <w:r w:rsidR="006C7210">
        <w:rPr>
          <w:rFonts w:eastAsia="Times New Roman"/>
          <w:sz w:val="22"/>
          <w:szCs w:val="22"/>
        </w:rPr>
        <w:t>,</w:t>
      </w:r>
      <w:r w:rsidRPr="00533264">
        <w:rPr>
          <w:rFonts w:eastAsia="Times New Roman"/>
          <w:sz w:val="22"/>
          <w:szCs w:val="22"/>
        </w:rPr>
        <w:t xml:space="preserve"> geleneksel tabanını oluşturan elit, kentli ve eğitimli kesim</w:t>
      </w:r>
      <w:r w:rsidR="006C7210">
        <w:rPr>
          <w:rFonts w:eastAsia="Times New Roman"/>
          <w:sz w:val="22"/>
          <w:szCs w:val="22"/>
        </w:rPr>
        <w:t>e</w:t>
      </w:r>
      <w:r w:rsidRPr="00533264">
        <w:rPr>
          <w:rFonts w:eastAsia="Times New Roman"/>
          <w:sz w:val="22"/>
          <w:szCs w:val="22"/>
        </w:rPr>
        <w:t xml:space="preserve">  (Altunoğlu, 2014:12)  yönelik söylemlerin yanında son dönemde toplumsal tabanını genişletebilmek adına toplumun diğer kesimlerini de dikkate alan söylemler geliştirmektedir. Bu durumu yansıtan tespitler soru önergelerinde de rastlanmaktadır. Özellikle şehit ve gaziler ile göç sonrası durumdan etkilenen kentteki yoksul vatandaşların durumuna yönelik verdiği soru önergelerinde bu durumu görmek mümkündür.    Ayrıca 2015 yılı seçim bildirgesinde Suriyeli sığınmacılara diğer partilere nazaran daha geniş bir yer vermiştir. Seçim bildirgesinde özellikle Suriyeli sığınmacıların eğitimi konusuna geniş yer vererek bu konudaki önerilerini ortaya koymuştur. Geleneksel tabanını kentli, elit ve eğitimli bir toplumsal tabakanın oluşturduğu göz önüne alındığında eğitime yönelik sorunlar ve çözüm önerileri geliştirmesi temsil ettiği toplumsal tabanın beklentileri açısından doğrusal bir ilişkiyi ortaya koymaktadır. </w:t>
      </w:r>
    </w:p>
    <w:p w14:paraId="55E4AECE" w14:textId="050BA2D4" w:rsidR="7EAA6DFF"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HDP ise bireysel olaylar üzerinden verdiği soru önergelerinde kimlik aidiyetine yönelik eleştirilerini dile getirmiştir. Bunun yanı sıra sığınmacıların kötü muamelelere maruz kaldığına yönelik iddiaları en çok dile getiren parti olmuştur. HDP temsil ettiği ideoloji açısından "</w:t>
      </w:r>
      <w:r w:rsidRPr="00533264">
        <w:rPr>
          <w:rFonts w:eastAsia="Times New Roman"/>
          <w:i/>
          <w:iCs/>
          <w:sz w:val="22"/>
          <w:szCs w:val="22"/>
        </w:rPr>
        <w:t>Kürt yanlısı siyasal partilerin mirası üzerine oluşturulmuş</w:t>
      </w:r>
      <w:r w:rsidRPr="00533264">
        <w:rPr>
          <w:rFonts w:eastAsia="Times New Roman"/>
          <w:sz w:val="22"/>
          <w:szCs w:val="22"/>
        </w:rPr>
        <w:t xml:space="preserve">" (Tekdemir, 1221) bir parti kimliği ile Suriye göç sorununa yönelik olarak da özellikle bireysel vakalarda Kürt kökenlilere yapılan haksızlık iddiaları üzerinde yoğunlaşmıştır. Seçim bildirgesinde de  </w:t>
      </w:r>
      <w:r w:rsidRPr="00533264">
        <w:rPr>
          <w:rFonts w:eastAsia="Times New Roman"/>
          <w:i/>
          <w:iCs/>
          <w:sz w:val="22"/>
          <w:szCs w:val="22"/>
        </w:rPr>
        <w:t>ötekileştirme</w:t>
      </w:r>
      <w:r w:rsidRPr="00533264">
        <w:rPr>
          <w:rFonts w:eastAsia="Times New Roman"/>
          <w:sz w:val="22"/>
          <w:szCs w:val="22"/>
        </w:rPr>
        <w:t xml:space="preserve"> vurgusu ile ortaya koyduğu siyaset anlayışı paralelinde Suriyeli sığınmacılara yönelik ayrımcı ve dışlayışı uygulamalar ile nefret söylemlerine  vurgu yaptığı görülmektedir. </w:t>
      </w:r>
    </w:p>
    <w:p w14:paraId="0EC6DE5C" w14:textId="2EE77A78" w:rsidR="00AF2F2B"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Genel olarak partiler değerlendirildiğinde temsil ettikleri toplumsal tabanlarının muhtemel istek, beklenti ve sorunlarını dile </w:t>
      </w:r>
      <w:r w:rsidR="00B96CF8" w:rsidRPr="00533264">
        <w:rPr>
          <w:rFonts w:eastAsia="Times New Roman"/>
          <w:sz w:val="22"/>
          <w:szCs w:val="22"/>
        </w:rPr>
        <w:t>getiren politikalar</w:t>
      </w:r>
      <w:r w:rsidRPr="00533264">
        <w:rPr>
          <w:rFonts w:eastAsia="Times New Roman"/>
          <w:sz w:val="22"/>
          <w:szCs w:val="22"/>
        </w:rPr>
        <w:t xml:space="preserve"> </w:t>
      </w:r>
      <w:r w:rsidR="00B96CF8" w:rsidRPr="00533264">
        <w:rPr>
          <w:rFonts w:eastAsia="Times New Roman"/>
          <w:sz w:val="22"/>
          <w:szCs w:val="22"/>
        </w:rPr>
        <w:t>ile iktidar</w:t>
      </w:r>
      <w:r w:rsidRPr="00533264">
        <w:rPr>
          <w:rFonts w:eastAsia="Times New Roman"/>
          <w:sz w:val="22"/>
          <w:szCs w:val="22"/>
        </w:rPr>
        <w:t xml:space="preserve"> uygulamalarına karşı eleştirel bir yaklaşım sergiledikleri görülmektedir. Verdikleri soru önergelerinde sorguladıkları göçe yönelik sorunlar ile seçim bildirgelerindeki konuya yaklaşımları paralellik göstermektedir. Seçim bildirgeleri değerlendirildiğinde MHP ve HDP'ye kıyasla konuya en çok yer veren CHP olmuştur. Ancak ele alınan sorunlara yönelik olarak, söz konusu siyasi partiler seçim bildirgelerinde somut bir çözüm önerisi sunma </w:t>
      </w:r>
      <w:r w:rsidR="008E56B6" w:rsidRPr="00533264">
        <w:rPr>
          <w:rFonts w:eastAsia="Times New Roman"/>
          <w:sz w:val="22"/>
          <w:szCs w:val="22"/>
        </w:rPr>
        <w:t>konusunda yetersiz</w:t>
      </w:r>
      <w:r w:rsidRPr="00533264">
        <w:rPr>
          <w:rFonts w:eastAsia="Times New Roman"/>
          <w:sz w:val="22"/>
          <w:szCs w:val="22"/>
        </w:rPr>
        <w:t xml:space="preserve"> kalmışlardır. MHP ve CHP uluslararası </w:t>
      </w:r>
      <w:r w:rsidR="00B96CF8" w:rsidRPr="00533264">
        <w:rPr>
          <w:rFonts w:eastAsia="Times New Roman"/>
          <w:sz w:val="22"/>
          <w:szCs w:val="22"/>
        </w:rPr>
        <w:t>iş birliği</w:t>
      </w:r>
      <w:r w:rsidRPr="00533264">
        <w:rPr>
          <w:rFonts w:eastAsia="Times New Roman"/>
          <w:sz w:val="22"/>
          <w:szCs w:val="22"/>
        </w:rPr>
        <w:t xml:space="preserve"> ile Suriyeli sığınmacıların sağlıklı bir şekilde geri gönderilmesi çözümü üzerinde dururken HDP konuya </w:t>
      </w:r>
      <w:r w:rsidR="00FB19C1">
        <w:rPr>
          <w:rFonts w:eastAsia="Times New Roman"/>
          <w:sz w:val="22"/>
          <w:szCs w:val="22"/>
        </w:rPr>
        <w:t>daha çok</w:t>
      </w:r>
      <w:r w:rsidRPr="00533264">
        <w:rPr>
          <w:rFonts w:eastAsia="Times New Roman"/>
          <w:sz w:val="22"/>
          <w:szCs w:val="22"/>
        </w:rPr>
        <w:t xml:space="preserve"> etnik ayrımcılık noktasında</w:t>
      </w:r>
      <w:r w:rsidR="00FB19C1">
        <w:rPr>
          <w:rFonts w:eastAsia="Times New Roman"/>
          <w:sz w:val="22"/>
          <w:szCs w:val="22"/>
        </w:rPr>
        <w:t>n yaklaşmıştır.</w:t>
      </w:r>
      <w:r w:rsidRPr="00533264">
        <w:rPr>
          <w:rFonts w:eastAsia="Times New Roman"/>
          <w:sz w:val="22"/>
          <w:szCs w:val="22"/>
        </w:rPr>
        <w:t xml:space="preserve">  </w:t>
      </w:r>
    </w:p>
    <w:p w14:paraId="32224BBA" w14:textId="65157462" w:rsidR="00AF2F2B"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Çalışmadaki bir diğer varsayım ise muhalefet partilerinin uluslararası göç </w:t>
      </w:r>
      <w:r w:rsidR="00FB19C1">
        <w:rPr>
          <w:rFonts w:eastAsia="Times New Roman"/>
          <w:sz w:val="22"/>
          <w:szCs w:val="22"/>
        </w:rPr>
        <w:t xml:space="preserve">hareketine </w:t>
      </w:r>
      <w:r w:rsidRPr="00533264">
        <w:rPr>
          <w:rFonts w:eastAsia="Times New Roman"/>
          <w:sz w:val="22"/>
          <w:szCs w:val="22"/>
        </w:rPr>
        <w:t xml:space="preserve">eleştirilerinin temelinde, muhalif duruşun da gereği olarak, Türkiye’nin Suriye göç politikası (yaşamsal ihtiyaçların karşılanması, istihdam, vb.) konusundaki uygulamalarında yaşanan sorunlar bulunmaktadır. Genel olarak partilerin verdiği soru önergelerinde en çok dile getirilen sorun göç politikası ve istihdam olmuştur. Göç planlamasına yönelik eleştiriler başta olmak üzere vatandaşlık verilmesi, AB’den gelmesi planlanan hibe ve geri göndermeye ilişkin sorunlar göç politikaları konusunda öncelikli dile getirilen sorunlardandır. İstihdam sorunu da en çok tekrarlanma sıklığına sahip kategori olarak saptanmıştır. Partiler özellikle kayıtdışı istihdam ile bunun ülke vatandaşları üzerinde yarattığı olumsuz etkiyi dile getirmişlerdir. Göçe yönelik olarak daha çok maddi sorunlar üzerine değinen partiler sosyal uyum gibi konulara çok fazla yer vermediği dikkat çeken bir diğer unsurdur. </w:t>
      </w:r>
    </w:p>
    <w:p w14:paraId="50659ADF" w14:textId="77777777" w:rsidR="00FB19C1" w:rsidRDefault="000A43FA" w:rsidP="000A43FA">
      <w:pPr>
        <w:spacing w:before="120" w:after="120"/>
        <w:ind w:firstLine="708"/>
        <w:jc w:val="both"/>
        <w:rPr>
          <w:rFonts w:eastAsia="Times New Roman"/>
          <w:sz w:val="22"/>
          <w:szCs w:val="22"/>
        </w:rPr>
      </w:pPr>
      <w:r w:rsidRPr="00533264">
        <w:rPr>
          <w:rFonts w:eastAsia="Times New Roman"/>
          <w:sz w:val="22"/>
          <w:szCs w:val="22"/>
        </w:rPr>
        <w:t>Suriye göç politikasına yönelik olarak partiler temelinde bir değerlendirme yapıldığında MHP,</w:t>
      </w:r>
      <w:r w:rsidR="00D64E12" w:rsidRPr="00533264">
        <w:rPr>
          <w:rFonts w:eastAsia="Times New Roman"/>
          <w:sz w:val="22"/>
          <w:szCs w:val="22"/>
        </w:rPr>
        <w:t xml:space="preserve"> milliyetçi ideoloji temelinde güvenlik kategorisinde daha çok ülke güvenliğinin tehlikesine dikkat çekmiştir. Milli bir hissiyatla Türkiye’nin </w:t>
      </w:r>
      <w:r w:rsidR="006D34D0" w:rsidRPr="00533264">
        <w:rPr>
          <w:rFonts w:eastAsia="Times New Roman"/>
          <w:sz w:val="22"/>
          <w:szCs w:val="22"/>
        </w:rPr>
        <w:t>Suriye</w:t>
      </w:r>
      <w:r w:rsidR="00D64E12" w:rsidRPr="00533264">
        <w:rPr>
          <w:rFonts w:eastAsia="Times New Roman"/>
          <w:sz w:val="22"/>
          <w:szCs w:val="22"/>
        </w:rPr>
        <w:t xml:space="preserve"> göç politikasına yaklaşım gösteren parti Suriyeli sığınmacıları misafir olarak değerlendirmiştir. Bu nedenle özellikle barınma ve eğitim konularında kalıcı bir çözüm yolu sunmaktan kaçınmıştır. </w:t>
      </w:r>
      <w:r w:rsidR="006D34D0" w:rsidRPr="00533264">
        <w:rPr>
          <w:rFonts w:eastAsia="Times New Roman"/>
          <w:sz w:val="22"/>
          <w:szCs w:val="22"/>
        </w:rPr>
        <w:t xml:space="preserve">Suriye göç politikasını özellikle Türk vatandaşlara sağlanmayan birtakım ayrıcalıklar noktasında eleştirmiştir. Bu durumu eğitim kategorisinde verdiği soru önergeleri ile ortaya koymuştur. </w:t>
      </w:r>
    </w:p>
    <w:p w14:paraId="604A405A" w14:textId="77777777" w:rsidR="00FB19C1" w:rsidRDefault="006D34D0" w:rsidP="000A43FA">
      <w:pPr>
        <w:spacing w:before="120" w:after="120"/>
        <w:ind w:firstLine="708"/>
        <w:jc w:val="both"/>
        <w:rPr>
          <w:rFonts w:eastAsia="Times New Roman"/>
          <w:sz w:val="22"/>
          <w:szCs w:val="22"/>
        </w:rPr>
      </w:pPr>
      <w:r w:rsidRPr="00533264">
        <w:rPr>
          <w:rFonts w:eastAsia="Times New Roman"/>
          <w:sz w:val="22"/>
          <w:szCs w:val="22"/>
        </w:rPr>
        <w:t>Suriye göç politikasında Suriye’den gelen sığınmacılara</w:t>
      </w:r>
      <w:r w:rsidR="00334948" w:rsidRPr="00533264">
        <w:rPr>
          <w:rFonts w:eastAsia="Times New Roman"/>
          <w:sz w:val="22"/>
          <w:szCs w:val="22"/>
        </w:rPr>
        <w:t xml:space="preserve"> Geçici Eğitim Merkezlerinde ve devlet okullarında eğitim imkanı sağlanmıştır. Üniversite eğitimi için </w:t>
      </w:r>
      <w:r w:rsidR="00094A18" w:rsidRPr="00533264">
        <w:rPr>
          <w:rFonts w:eastAsia="Times New Roman"/>
          <w:sz w:val="22"/>
          <w:szCs w:val="22"/>
        </w:rPr>
        <w:t>Yüksek Öğretim Kurumunun yatay geçiş ile ilgili yönetmeliğinde “</w:t>
      </w:r>
      <w:r w:rsidR="00094A18" w:rsidRPr="00FB19C1">
        <w:rPr>
          <w:rFonts w:eastAsia="Times New Roman"/>
          <w:i/>
          <w:sz w:val="22"/>
          <w:szCs w:val="22"/>
        </w:rPr>
        <w:t>şiddet olayları ve insani kriz nedeniyle eğitim öğretimin sürdürülemez olduğu Yükseköğretim Kurulu tarafından tespit edilen ülkelerde öğrenim gören öğrenciler Türkiye'deki yükseköğretim kurumlarına yatay geçiş başvurusu yapabilecekleri</w:t>
      </w:r>
      <w:r w:rsidR="00094A18" w:rsidRPr="00533264">
        <w:rPr>
          <w:rFonts w:eastAsia="Times New Roman"/>
          <w:sz w:val="22"/>
          <w:szCs w:val="22"/>
        </w:rPr>
        <w:t xml:space="preserve">” </w:t>
      </w:r>
      <w:r w:rsidR="00094A18" w:rsidRPr="00533264">
        <w:rPr>
          <w:rFonts w:eastAsia="Times New Roman"/>
          <w:sz w:val="22"/>
          <w:szCs w:val="22"/>
        </w:rPr>
        <w:lastRenderedPageBreak/>
        <w:t xml:space="preserve">yönetmelik maddesine eklenmiştir. Ayrıca Yabancı Uyruklu öğrencilere uygulanan kriterler çerçevesinde üniversiteye alınmıştır. Bu durum siyasi partiler açısından da sınavsız geçiş şeklinde yorumlanarak eleştirilmiştir. </w:t>
      </w:r>
      <w:r w:rsidRPr="00533264">
        <w:rPr>
          <w:rFonts w:eastAsia="Times New Roman"/>
          <w:sz w:val="22"/>
          <w:szCs w:val="22"/>
        </w:rPr>
        <w:t xml:space="preserve"> </w:t>
      </w:r>
    </w:p>
    <w:p w14:paraId="77F8C82E" w14:textId="64F32E76" w:rsidR="000A43FA" w:rsidRPr="00533264" w:rsidRDefault="00094A18" w:rsidP="000A43FA">
      <w:pPr>
        <w:spacing w:before="120" w:after="120"/>
        <w:ind w:firstLine="708"/>
        <w:jc w:val="both"/>
        <w:rPr>
          <w:rFonts w:eastAsia="Times New Roman"/>
          <w:sz w:val="22"/>
          <w:szCs w:val="22"/>
        </w:rPr>
      </w:pPr>
      <w:r w:rsidRPr="00533264">
        <w:rPr>
          <w:rFonts w:eastAsia="Times New Roman"/>
          <w:sz w:val="22"/>
          <w:szCs w:val="22"/>
        </w:rPr>
        <w:t>Suriyeli sığınmacılara misafir gözü ile bakan MHP, g</w:t>
      </w:r>
      <w:r w:rsidR="00D64E12" w:rsidRPr="00533264">
        <w:rPr>
          <w:rFonts w:eastAsia="Times New Roman"/>
          <w:sz w:val="22"/>
          <w:szCs w:val="22"/>
        </w:rPr>
        <w:t xml:space="preserve">öç politikasını vatandaşlık verilmesi iddiaları ile sorgulama yolunu seçmiştir. </w:t>
      </w:r>
      <w:r w:rsidRPr="00533264">
        <w:rPr>
          <w:rFonts w:eastAsia="Times New Roman"/>
          <w:sz w:val="22"/>
          <w:szCs w:val="22"/>
        </w:rPr>
        <w:t>Ayrıca Türkiye’nin göç politikasında Suriyeli sığınmacıları sağlıklı bir şekilde geri gönderme yolunun tercih edilmesini belirtmiştir. İstihdam konusunda ise durumu yine Türk vatandaşları açısından değerlendirmiş ve haksız rekabet vurgusu yapmıştır.</w:t>
      </w:r>
      <w:r w:rsidR="009A2D2C" w:rsidRPr="00533264">
        <w:rPr>
          <w:rFonts w:eastAsia="Times New Roman"/>
          <w:sz w:val="22"/>
          <w:szCs w:val="22"/>
        </w:rPr>
        <w:t xml:space="preserve"> İstihdam konusunda çalışma izni alanlar dışında özellikle küçük çaplı işletmelerde kaçak işçi çalıştırma </w:t>
      </w:r>
      <w:r w:rsidR="008E56B6" w:rsidRPr="00533264">
        <w:rPr>
          <w:rFonts w:eastAsia="Times New Roman"/>
          <w:sz w:val="22"/>
          <w:szCs w:val="22"/>
        </w:rPr>
        <w:t>yaygınlaştığından bu</w:t>
      </w:r>
      <w:r w:rsidR="009A2D2C" w:rsidRPr="00533264">
        <w:rPr>
          <w:rFonts w:eastAsia="Times New Roman"/>
          <w:sz w:val="22"/>
          <w:szCs w:val="22"/>
        </w:rPr>
        <w:t xml:space="preserve"> durumda kaçak işçi çalıştırmayan firmalar açısından haksız rekabet yaratmaktadır (ORSAM, 2015). Bu durum MHP tarafından da eleştirilerek soru önergesi yolu ile sorgulanmıştır. </w:t>
      </w:r>
      <w:r w:rsidRPr="00533264">
        <w:rPr>
          <w:rFonts w:eastAsia="Times New Roman"/>
          <w:sz w:val="22"/>
          <w:szCs w:val="22"/>
        </w:rPr>
        <w:t xml:space="preserve">MHP’nin verdiği soru önergelerinde dikkat çeken bir durum da kadın-çocuk kategorisinin rastlanmamasıdır. </w:t>
      </w:r>
      <w:r w:rsidR="00D44721" w:rsidRPr="00533264">
        <w:rPr>
          <w:rFonts w:eastAsia="Times New Roman"/>
          <w:sz w:val="22"/>
          <w:szCs w:val="22"/>
        </w:rPr>
        <w:t xml:space="preserve">Bu duruma 2015 seçim bildirgesinde kısaca yer vermiştir. </w:t>
      </w:r>
      <w:r w:rsidRPr="00533264">
        <w:rPr>
          <w:rFonts w:eastAsia="Times New Roman"/>
          <w:sz w:val="22"/>
          <w:szCs w:val="22"/>
        </w:rPr>
        <w:t>Bu durum aslında göçün Suriyeli sığınmacılar açısından sosyal boyutunun göz</w:t>
      </w:r>
      <w:r w:rsidR="009A2D2C" w:rsidRPr="00533264">
        <w:rPr>
          <w:rFonts w:eastAsia="Times New Roman"/>
          <w:sz w:val="22"/>
          <w:szCs w:val="22"/>
        </w:rPr>
        <w:t xml:space="preserve"> </w:t>
      </w:r>
      <w:r w:rsidRPr="00533264">
        <w:rPr>
          <w:rFonts w:eastAsia="Times New Roman"/>
          <w:sz w:val="22"/>
          <w:szCs w:val="22"/>
        </w:rPr>
        <w:t>ardı edildiğini de bir anlamda göstermektedir.</w:t>
      </w:r>
    </w:p>
    <w:p w14:paraId="14D2C5F9" w14:textId="718DABCE" w:rsidR="00AF135D" w:rsidRPr="00533264" w:rsidRDefault="009A2D2C" w:rsidP="000A43FA">
      <w:pPr>
        <w:spacing w:before="120" w:after="120"/>
        <w:ind w:firstLine="708"/>
        <w:jc w:val="both"/>
        <w:rPr>
          <w:rFonts w:eastAsia="Times New Roman"/>
          <w:sz w:val="22"/>
          <w:szCs w:val="22"/>
        </w:rPr>
      </w:pPr>
      <w:r w:rsidRPr="00533264">
        <w:rPr>
          <w:rFonts w:eastAsia="Times New Roman"/>
          <w:sz w:val="22"/>
          <w:szCs w:val="22"/>
        </w:rPr>
        <w:t xml:space="preserve">CHP açısından durum değerlendirdiğinde </w:t>
      </w:r>
      <w:r w:rsidR="00667372" w:rsidRPr="00533264">
        <w:rPr>
          <w:rFonts w:eastAsia="Times New Roman"/>
          <w:sz w:val="22"/>
          <w:szCs w:val="22"/>
        </w:rPr>
        <w:t xml:space="preserve">Türkiye’nin Suriye göç politikasını daha çok uluslararası işbirliği eksikliği sebebi ile eleştirmiş ve bu nedenle de 2015 seçim bildirgesinde bu konu ile alakalı çözüm önerileri sunmuştur. </w:t>
      </w:r>
      <w:r w:rsidR="00790E4B" w:rsidRPr="00533264">
        <w:rPr>
          <w:rFonts w:eastAsia="Times New Roman"/>
          <w:sz w:val="22"/>
          <w:szCs w:val="22"/>
        </w:rPr>
        <w:t>Türkiye’de bulunan Suriyeli sığınmacılar için Avrupa Birliği ve Türkiye, Katılım Öncesi Fonun ve diğer kaynakların Türkiye'ye gelen Suriyelilere yardım etmek üzere kullanılması konusunda mutabakata varılmış ve Türkiye’deki Mülteciler için Yardım Programı kapsamında yardımlar yapılmıştır (avrupa.info.tr</w:t>
      </w:r>
      <w:r w:rsidR="00FB19C1">
        <w:rPr>
          <w:rFonts w:eastAsia="Times New Roman"/>
          <w:sz w:val="22"/>
          <w:szCs w:val="22"/>
        </w:rPr>
        <w:t>, 2018</w:t>
      </w:r>
      <w:r w:rsidR="00790E4B" w:rsidRPr="00533264">
        <w:rPr>
          <w:rFonts w:eastAsia="Times New Roman"/>
          <w:sz w:val="22"/>
          <w:szCs w:val="22"/>
        </w:rPr>
        <w:t xml:space="preserve">). </w:t>
      </w:r>
      <w:r w:rsidR="008E56B6" w:rsidRPr="00533264">
        <w:rPr>
          <w:rFonts w:eastAsia="Times New Roman"/>
          <w:sz w:val="22"/>
          <w:szCs w:val="22"/>
        </w:rPr>
        <w:t>Yapılan</w:t>
      </w:r>
      <w:r w:rsidR="00790E4B" w:rsidRPr="00533264">
        <w:rPr>
          <w:rFonts w:eastAsia="Times New Roman"/>
          <w:sz w:val="22"/>
          <w:szCs w:val="22"/>
        </w:rPr>
        <w:t xml:space="preserve"> bu yardımların hangi alanlara ve ne şekilde yapıldığını sorgulayan CHP yardımlar üzerinden Suriyeli sığınmacıların pazarlık konusu yapıldığı konusunda eleştirmiştir. CHP sahip olduğu toplumsal taban dikkate alındığında eğitim konusuna özellikle seçim bildirgesinde ayrıntılı olarak yer vermiştir. </w:t>
      </w:r>
      <w:r w:rsidR="00AF135D" w:rsidRPr="00533264">
        <w:rPr>
          <w:rFonts w:eastAsia="Times New Roman"/>
          <w:sz w:val="22"/>
          <w:szCs w:val="22"/>
        </w:rPr>
        <w:t xml:space="preserve">Soru önergelerinde eğitim konusundaki ayrıcalıklı durumu eleştirirken seçim beyannamesinde eğitim politikalarına yönelik ayrıntılı </w:t>
      </w:r>
      <w:r w:rsidR="00FB19C1" w:rsidRPr="00533264">
        <w:rPr>
          <w:rFonts w:eastAsia="Times New Roman"/>
          <w:sz w:val="22"/>
          <w:szCs w:val="22"/>
        </w:rPr>
        <w:t>vaatlerde</w:t>
      </w:r>
      <w:r w:rsidR="00AF135D" w:rsidRPr="00533264">
        <w:rPr>
          <w:rFonts w:eastAsia="Times New Roman"/>
          <w:sz w:val="22"/>
          <w:szCs w:val="22"/>
        </w:rPr>
        <w:t xml:space="preserve"> bulunduğu görülmektedir.</w:t>
      </w:r>
    </w:p>
    <w:p w14:paraId="5FEFC5C9" w14:textId="6B6AB160" w:rsidR="00094A18" w:rsidRPr="00533264" w:rsidRDefault="00AF135D" w:rsidP="000A43FA">
      <w:pPr>
        <w:spacing w:before="120" w:after="120"/>
        <w:ind w:firstLine="708"/>
        <w:jc w:val="both"/>
        <w:rPr>
          <w:rFonts w:eastAsia="Times New Roman"/>
          <w:sz w:val="22"/>
          <w:szCs w:val="22"/>
        </w:rPr>
      </w:pPr>
      <w:r w:rsidRPr="00533264">
        <w:rPr>
          <w:rFonts w:eastAsia="Times New Roman"/>
          <w:sz w:val="22"/>
          <w:szCs w:val="22"/>
        </w:rPr>
        <w:t xml:space="preserve">HDP ise </w:t>
      </w:r>
      <w:r w:rsidR="008B5B39" w:rsidRPr="00533264">
        <w:rPr>
          <w:rFonts w:eastAsia="Times New Roman"/>
          <w:sz w:val="22"/>
          <w:szCs w:val="22"/>
        </w:rPr>
        <w:t xml:space="preserve">daha önce belirtildiği </w:t>
      </w:r>
      <w:r w:rsidR="003033C6" w:rsidRPr="00533264">
        <w:rPr>
          <w:rFonts w:eastAsia="Times New Roman"/>
          <w:sz w:val="22"/>
          <w:szCs w:val="22"/>
        </w:rPr>
        <w:t xml:space="preserve">Suriye göç politikasına </w:t>
      </w:r>
      <w:r w:rsidR="00E965E3" w:rsidRPr="00533264">
        <w:rPr>
          <w:rFonts w:eastAsia="Times New Roman"/>
          <w:sz w:val="22"/>
          <w:szCs w:val="22"/>
        </w:rPr>
        <w:t xml:space="preserve">yönelik olarak soru önergelerinde politikalardan ziyade bireysel olayları sorgulamıştır. Sosyal konular üzerine özellikle değinen parti çocuk ve kadın konusunda verdiği soru önergeleri ile göç sonrası yaşanan kuma evlilikler ve istismar gibi konuları sorgulamıştır. </w:t>
      </w:r>
      <w:r w:rsidR="00FE6D7C" w:rsidRPr="00533264">
        <w:rPr>
          <w:rFonts w:eastAsia="Times New Roman"/>
          <w:sz w:val="22"/>
          <w:szCs w:val="22"/>
        </w:rPr>
        <w:t xml:space="preserve">Polis Akademisi Suç Araştırmaları ve Kriminoloji Araştırma Merkezi (SAMER) göre Suriye göçü sonrasında Suriyeli küçük kızların kuma yapılmasının arttığını ve yaş sınırının 11- 12’ye kadar düştüğü ve fuhuş </w:t>
      </w:r>
      <w:r w:rsidR="008E56B6" w:rsidRPr="00533264">
        <w:rPr>
          <w:rFonts w:eastAsia="Times New Roman"/>
          <w:sz w:val="22"/>
          <w:szCs w:val="22"/>
        </w:rPr>
        <w:t>yaşının 12’ye</w:t>
      </w:r>
      <w:r w:rsidR="00FE6D7C" w:rsidRPr="00533264">
        <w:rPr>
          <w:rFonts w:eastAsia="Times New Roman"/>
          <w:sz w:val="22"/>
          <w:szCs w:val="22"/>
        </w:rPr>
        <w:t xml:space="preserve"> kadar düşebildiği belirtilmiştir (Türkay, 2016: 72). </w:t>
      </w:r>
      <w:r w:rsidR="008E56B6" w:rsidRPr="00533264">
        <w:rPr>
          <w:rFonts w:eastAsia="Times New Roman"/>
          <w:sz w:val="22"/>
          <w:szCs w:val="22"/>
        </w:rPr>
        <w:t>Toplumsal olarak önemli bir konuya değin</w:t>
      </w:r>
      <w:r w:rsidR="00FB19C1">
        <w:rPr>
          <w:rFonts w:eastAsia="Times New Roman"/>
          <w:sz w:val="22"/>
          <w:szCs w:val="22"/>
        </w:rPr>
        <w:t>en HDP,</w:t>
      </w:r>
      <w:r w:rsidR="008E56B6" w:rsidRPr="00533264">
        <w:rPr>
          <w:rFonts w:eastAsia="Times New Roman"/>
          <w:sz w:val="22"/>
          <w:szCs w:val="22"/>
        </w:rPr>
        <w:t xml:space="preserve"> bu konuda önlemleler konusunda yetersizliği eleştirmiştir. Göç politikasına yönelik olarak en somut eleştirisi Cenevre sözleşmesi ile getirilen coğrafi sınırlamanın kaldırılması yönünde olmuştur. Bunun dışında göç sonrası yaşanan sorunlara etnik siyaset anlayışı ile yaklaşmıştır. </w:t>
      </w:r>
    </w:p>
    <w:p w14:paraId="7EAB7C72" w14:textId="4AEE45F1" w:rsidR="00146193"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Çalışmada sonuç olarak muhalefette bulunan siyasi partiler muhalefet olmanın da bir gereği olarak Suriye iç savaşı sonrası yaşanan göçe yönelik verdikleri soru önergelerinde hükümetin bu konudaki politikalarını eleştiren bir tavır içinde olmuşlardır. Bu eleştirilerin bir kısmı sığınmacılar lehine yapılan uygulamalara özellikle eğitim ve istihdam konusuna yönelik olurken; bir kısmı ise sığınmacılar aleyhine olduğunu düşündükleri konuda özellikle kamplardaki yaşam koşulları konusunda olmuştur. </w:t>
      </w:r>
    </w:p>
    <w:p w14:paraId="435C8A05" w14:textId="3C4C1EFC" w:rsidR="00D20D68" w:rsidRPr="00533264" w:rsidRDefault="16EC5136" w:rsidP="16EC5136">
      <w:pPr>
        <w:spacing w:before="120" w:after="120"/>
        <w:ind w:firstLine="708"/>
        <w:jc w:val="both"/>
        <w:rPr>
          <w:rFonts w:eastAsia="Times New Roman"/>
          <w:sz w:val="22"/>
          <w:szCs w:val="22"/>
        </w:rPr>
      </w:pPr>
      <w:r w:rsidRPr="00533264">
        <w:rPr>
          <w:rFonts w:eastAsia="Times New Roman"/>
          <w:sz w:val="22"/>
          <w:szCs w:val="22"/>
        </w:rPr>
        <w:t xml:space="preserve">Çalışmada, zaman kısıtlaması ve konunun sınırlandırılması sebebi ile muhalefet partileri ele alınmıştır. Bu nedenle çalışmanın bir anlamda bundan sonraki çalışmalarda daha </w:t>
      </w:r>
      <w:r w:rsidR="0053269B" w:rsidRPr="00533264">
        <w:rPr>
          <w:rFonts w:eastAsia="Times New Roman"/>
          <w:sz w:val="22"/>
          <w:szCs w:val="22"/>
        </w:rPr>
        <w:t>kapsamlı bir</w:t>
      </w:r>
      <w:r w:rsidRPr="00533264">
        <w:rPr>
          <w:rFonts w:eastAsia="Times New Roman"/>
          <w:sz w:val="22"/>
          <w:szCs w:val="22"/>
        </w:rPr>
        <w:t xml:space="preserve"> analiz için örnek teşkil etmesi amaçlanmıştır.</w:t>
      </w:r>
    </w:p>
    <w:p w14:paraId="7B2B4388" w14:textId="212D48F9" w:rsidR="00F27566" w:rsidRPr="00533264" w:rsidRDefault="16EC5136" w:rsidP="16EC5136">
      <w:pPr>
        <w:spacing w:before="120" w:after="120"/>
        <w:jc w:val="both"/>
        <w:rPr>
          <w:rFonts w:eastAsia="Times New Roman"/>
          <w:b/>
          <w:bCs/>
          <w:sz w:val="22"/>
          <w:szCs w:val="22"/>
        </w:rPr>
      </w:pPr>
      <w:r w:rsidRPr="00533264">
        <w:rPr>
          <w:rFonts w:eastAsia="Times New Roman"/>
          <w:b/>
          <w:bCs/>
          <w:sz w:val="22"/>
          <w:szCs w:val="22"/>
        </w:rPr>
        <w:t>KAYNAKÇA</w:t>
      </w:r>
    </w:p>
    <w:p w14:paraId="122B3C15" w14:textId="77777777" w:rsidR="00FB19C1" w:rsidRPr="009A169A" w:rsidRDefault="00FB19C1" w:rsidP="00DF3667">
      <w:pPr>
        <w:spacing w:before="120" w:after="120"/>
        <w:ind w:left="284" w:hanging="284"/>
        <w:rPr>
          <w:rFonts w:eastAsia="Times New Roman"/>
          <w:sz w:val="18"/>
          <w:szCs w:val="18"/>
        </w:rPr>
      </w:pPr>
      <w:r w:rsidRPr="00FD0708">
        <w:rPr>
          <w:rFonts w:eastAsia="Times New Roman"/>
          <w:i/>
          <w:sz w:val="18"/>
          <w:szCs w:val="18"/>
        </w:rPr>
        <w:t>AB Türkiye Delegasyonu Başkanı Büyükelçi Christian BERGER'in konuşmasının tam metni</w:t>
      </w:r>
      <w:r w:rsidRPr="009A169A">
        <w:rPr>
          <w:rFonts w:eastAsia="Times New Roman"/>
          <w:sz w:val="18"/>
          <w:szCs w:val="18"/>
        </w:rPr>
        <w:t xml:space="preserve">, Erişim: </w:t>
      </w:r>
      <w:r w:rsidRPr="009A169A">
        <w:rPr>
          <w:sz w:val="18"/>
          <w:szCs w:val="18"/>
        </w:rPr>
        <w:t>https://www.avrupa.info.tr/tr/ab-turkiye-delegasyonu-baskani-buyukelci-christian-bergerin-konusmasinin-tam-metni-6770</w:t>
      </w:r>
      <w:r w:rsidRPr="009A169A">
        <w:rPr>
          <w:rFonts w:eastAsia="Times New Roman"/>
          <w:sz w:val="18"/>
          <w:szCs w:val="18"/>
        </w:rPr>
        <w:t xml:space="preserve"> (04.08.2018)</w:t>
      </w:r>
    </w:p>
    <w:p w14:paraId="1FACBE22"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Akkoyunlu Ertan, K. ve Ertan, B. (2017). Türkiye’nin Göç Politikası, </w:t>
      </w:r>
      <w:r w:rsidRPr="009A169A">
        <w:rPr>
          <w:rFonts w:eastAsia="Times New Roman"/>
          <w:i/>
          <w:sz w:val="18"/>
          <w:szCs w:val="18"/>
        </w:rPr>
        <w:t>Contemporary Research in Econoiıcs And Social Sciences,</w:t>
      </w:r>
      <w:r w:rsidRPr="009A169A">
        <w:rPr>
          <w:rFonts w:eastAsia="Times New Roman"/>
          <w:sz w:val="18"/>
          <w:szCs w:val="18"/>
        </w:rPr>
        <w:t xml:space="preserve"> Volume 1 Issue 2.7-39 </w:t>
      </w:r>
    </w:p>
    <w:p w14:paraId="4106E349"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Altunoğlu, M. (2014). </w:t>
      </w:r>
      <w:r w:rsidRPr="009A169A">
        <w:rPr>
          <w:rFonts w:eastAsia="Times New Roman"/>
          <w:i/>
          <w:sz w:val="18"/>
          <w:szCs w:val="18"/>
        </w:rPr>
        <w:t>Geçmişin Yüküyle Yenilik Arayışı: CHP'de Lider, Tavan Taban Analizi</w:t>
      </w:r>
      <w:r w:rsidRPr="009A169A">
        <w:rPr>
          <w:rFonts w:eastAsia="Times New Roman"/>
          <w:sz w:val="18"/>
          <w:szCs w:val="18"/>
        </w:rPr>
        <w:t>, Ankara: SETA Yayınları.</w:t>
      </w:r>
    </w:p>
    <w:p w14:paraId="404A458E"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lastRenderedPageBreak/>
        <w:t xml:space="preserve">Ayan Musil, P. (2015). </w:t>
      </w:r>
      <w:r w:rsidRPr="009A169A">
        <w:rPr>
          <w:rFonts w:eastAsia="Times New Roman"/>
          <w:i/>
          <w:sz w:val="18"/>
          <w:szCs w:val="18"/>
        </w:rPr>
        <w:t>Milliyetçi Hareket Partisi: İdeoloji, Örgüt ve Güncel Söylemler Türkiye’de Siyasi Partiler ve Seçim Kampanyaları: Araftaki Seçim, 7 Haziran 2015</w:t>
      </w:r>
      <w:r w:rsidRPr="009A169A">
        <w:rPr>
          <w:rFonts w:eastAsia="Times New Roman"/>
          <w:sz w:val="18"/>
          <w:szCs w:val="18"/>
        </w:rPr>
        <w:t>, (Ed) E. Asaf Bekaroğlu, Vadi Yayınları.</w:t>
      </w:r>
    </w:p>
    <w:p w14:paraId="7C5B30D9"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Bilgin, N. (2006). </w:t>
      </w:r>
      <w:r w:rsidRPr="009A169A">
        <w:rPr>
          <w:rFonts w:eastAsia="Times New Roman"/>
          <w:i/>
          <w:sz w:val="18"/>
          <w:szCs w:val="18"/>
        </w:rPr>
        <w:t>Sosyal Bilimlerde İçerik Analizi Teknikler ve Örnek Çalışmalar,</w:t>
      </w:r>
      <w:r w:rsidRPr="009A169A">
        <w:rPr>
          <w:rFonts w:eastAsia="Times New Roman"/>
          <w:sz w:val="18"/>
          <w:szCs w:val="18"/>
        </w:rPr>
        <w:t xml:space="preserve"> Ankara: Siyasal Kitabevi.</w:t>
      </w:r>
    </w:p>
    <w:p w14:paraId="516DF3FC"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(2015), </w:t>
      </w:r>
      <w:r w:rsidRPr="009A169A">
        <w:rPr>
          <w:rFonts w:eastAsia="Times New Roman"/>
          <w:i/>
          <w:sz w:val="18"/>
          <w:szCs w:val="18"/>
        </w:rPr>
        <w:t>217 Sayılı CHP Soru Önergesi</w:t>
      </w:r>
      <w:r w:rsidRPr="009A169A">
        <w:rPr>
          <w:rFonts w:eastAsia="Times New Roman"/>
          <w:sz w:val="18"/>
          <w:szCs w:val="18"/>
        </w:rPr>
        <w:t xml:space="preserve">, Tarih: 27.11.2015, Sayı: 217, Erişim: </w:t>
      </w:r>
      <w:r w:rsidRPr="009A169A">
        <w:rPr>
          <w:rStyle w:val="Kpr"/>
          <w:rFonts w:eastAsia="Times New Roman"/>
          <w:sz w:val="18"/>
          <w:szCs w:val="18"/>
          <w:u w:val="none"/>
        </w:rPr>
        <w:t>http://www2.tbmm.gov.tr/d26/7/7-0148s.pdf</w:t>
      </w:r>
      <w:r w:rsidRPr="009A169A">
        <w:rPr>
          <w:rFonts w:eastAsia="Times New Roman"/>
          <w:sz w:val="18"/>
          <w:szCs w:val="18"/>
        </w:rPr>
        <w:t>, (02.06.2017)</w:t>
      </w:r>
    </w:p>
    <w:p w14:paraId="0235EDD5"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(2015), </w:t>
      </w:r>
      <w:r w:rsidRPr="009A169A">
        <w:rPr>
          <w:rFonts w:eastAsia="Times New Roman"/>
          <w:i/>
          <w:sz w:val="18"/>
          <w:szCs w:val="18"/>
        </w:rPr>
        <w:t>399 Sayılı CHP Soru Önergesi</w:t>
      </w:r>
      <w:r w:rsidRPr="009A169A">
        <w:rPr>
          <w:rFonts w:eastAsia="Times New Roman"/>
          <w:sz w:val="18"/>
          <w:szCs w:val="18"/>
        </w:rPr>
        <w:t xml:space="preserve">, Tarih: 04.12.2015, Sayı: 399, Erişim: </w:t>
      </w:r>
      <w:r w:rsidRPr="009A169A">
        <w:rPr>
          <w:rStyle w:val="Kpr"/>
          <w:rFonts w:eastAsia="Times New Roman"/>
          <w:sz w:val="18"/>
          <w:szCs w:val="18"/>
          <w:u w:val="none"/>
        </w:rPr>
        <w:t>http://www2.tbmm.gov.tr/d26/7/7-0739s.pdf</w:t>
      </w:r>
      <w:r w:rsidRPr="009A169A">
        <w:rPr>
          <w:rFonts w:eastAsia="Times New Roman"/>
          <w:sz w:val="18"/>
          <w:szCs w:val="18"/>
        </w:rPr>
        <w:t>, (02.06.2017)</w:t>
      </w:r>
    </w:p>
    <w:p w14:paraId="69F1AB57"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(2015), </w:t>
      </w:r>
      <w:r w:rsidRPr="009A169A">
        <w:rPr>
          <w:rFonts w:eastAsia="Times New Roman"/>
          <w:i/>
          <w:sz w:val="18"/>
          <w:szCs w:val="18"/>
        </w:rPr>
        <w:t>588 Sayılı CHP Soru Önergesi</w:t>
      </w:r>
      <w:r w:rsidRPr="009A169A">
        <w:rPr>
          <w:rFonts w:eastAsia="Times New Roman"/>
          <w:sz w:val="18"/>
          <w:szCs w:val="18"/>
        </w:rPr>
        <w:t xml:space="preserve">, Tarih: 16.12.2015, Sayı: 588, Erişim: </w:t>
      </w:r>
      <w:hyperlink r:id="rId10">
        <w:r w:rsidRPr="009A169A">
          <w:rPr>
            <w:rStyle w:val="Kpr"/>
            <w:rFonts w:eastAsia="Times New Roman"/>
            <w:sz w:val="18"/>
            <w:szCs w:val="18"/>
            <w:u w:val="none"/>
          </w:rPr>
          <w:t>http://www2.tbmm.gov.tr/d26/7/7-1008s.pdf</w:t>
        </w:r>
      </w:hyperlink>
      <w:r w:rsidRPr="009A169A">
        <w:rPr>
          <w:rFonts w:eastAsia="Times New Roman"/>
          <w:sz w:val="18"/>
          <w:szCs w:val="18"/>
        </w:rPr>
        <w:t>, (02.06.2017)</w:t>
      </w:r>
    </w:p>
    <w:p w14:paraId="774713D4"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1463 Sayılı CHP Soru Önergesi</w:t>
      </w:r>
      <w:r w:rsidRPr="009A169A">
        <w:rPr>
          <w:rFonts w:eastAsia="Times New Roman"/>
          <w:sz w:val="18"/>
          <w:szCs w:val="18"/>
        </w:rPr>
        <w:t xml:space="preserve">, Tarih: 02.02.2016, Sayı: 1463, Erişim:  </w:t>
      </w:r>
      <w:hyperlink r:id="rId11">
        <w:r w:rsidRPr="009A169A">
          <w:rPr>
            <w:rStyle w:val="Kpr"/>
            <w:rFonts w:eastAsia="Times New Roman"/>
            <w:sz w:val="18"/>
            <w:szCs w:val="18"/>
            <w:u w:val="none"/>
          </w:rPr>
          <w:t>http://www2.tbmm.gov.tr/d26/7/7-2255s.pdf</w:t>
        </w:r>
      </w:hyperlink>
      <w:r w:rsidRPr="009A169A">
        <w:rPr>
          <w:rFonts w:eastAsia="Times New Roman"/>
          <w:sz w:val="18"/>
          <w:szCs w:val="18"/>
        </w:rPr>
        <w:t>, (02.06.2017)</w:t>
      </w:r>
    </w:p>
    <w:p w14:paraId="7CD09A15"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1599 Sayılı CHP Soru Önergesi</w:t>
      </w:r>
      <w:r w:rsidRPr="009A169A">
        <w:rPr>
          <w:rFonts w:eastAsia="Times New Roman"/>
          <w:sz w:val="18"/>
          <w:szCs w:val="18"/>
        </w:rPr>
        <w:t>, Tarih: 10.02.216, Sayı: 1599, Erişim: http://www2.tbmm.gov.tr/d26/7/7-2394s.pdf, (02.06.2017)</w:t>
      </w:r>
    </w:p>
    <w:p w14:paraId="69B41163"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2314 Sayılı CHP Soru Önergesi</w:t>
      </w:r>
      <w:r w:rsidRPr="009A169A">
        <w:rPr>
          <w:rFonts w:eastAsia="Times New Roman"/>
          <w:sz w:val="18"/>
          <w:szCs w:val="18"/>
        </w:rPr>
        <w:t xml:space="preserve">, Tarih: 11.03.216, Sayı: 2314, Erişim:  </w:t>
      </w:r>
      <w:hyperlink r:id="rId12">
        <w:r w:rsidRPr="009A169A">
          <w:rPr>
            <w:rStyle w:val="Kpr"/>
            <w:rFonts w:eastAsia="Times New Roman"/>
            <w:sz w:val="18"/>
            <w:szCs w:val="18"/>
            <w:u w:val="none"/>
          </w:rPr>
          <w:t>http://www2.tbmm.gov.tr/d26/7/7-3472s.pdf</w:t>
        </w:r>
      </w:hyperlink>
      <w:r w:rsidRPr="009A169A">
        <w:rPr>
          <w:rFonts w:eastAsia="Times New Roman"/>
          <w:sz w:val="18"/>
          <w:szCs w:val="18"/>
        </w:rPr>
        <w:t>, (02.06.2017)7</w:t>
      </w:r>
    </w:p>
    <w:p w14:paraId="3C0BE340"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2500 Sayılı CHP Soru Önergesi</w:t>
      </w:r>
      <w:r w:rsidRPr="009A169A">
        <w:rPr>
          <w:rFonts w:eastAsia="Times New Roman"/>
          <w:sz w:val="18"/>
          <w:szCs w:val="18"/>
        </w:rPr>
        <w:t>, Tarih: 23.03.216, Sayı: 2500, Erişim: http://www2.tbmm.gov.tr/d26/7/7-4245s.pdf, (02.06.2017)</w:t>
      </w:r>
    </w:p>
    <w:p w14:paraId="2F19D163"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2540 Sayılı CHP Soru Önergesi</w:t>
      </w:r>
      <w:r w:rsidRPr="009A169A">
        <w:rPr>
          <w:rFonts w:eastAsia="Times New Roman"/>
          <w:sz w:val="18"/>
          <w:szCs w:val="18"/>
        </w:rPr>
        <w:t>, Tarih: 25.03.2016, Sayı: 2540, Erişim: http://www2.tbmm.gov.tr/d26/7/7-4168s.pdf, (02.06.2017)</w:t>
      </w:r>
    </w:p>
    <w:p w14:paraId="0C829337"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2721 Sayılı CHP Soru Önergesi</w:t>
      </w:r>
      <w:r w:rsidRPr="009A169A">
        <w:rPr>
          <w:rFonts w:eastAsia="Times New Roman"/>
          <w:sz w:val="18"/>
          <w:szCs w:val="18"/>
        </w:rPr>
        <w:t xml:space="preserve">, Tarih: 29.03.216, Sayı: 2721, Erişim: </w:t>
      </w:r>
      <w:hyperlink r:id="rId13">
        <w:r w:rsidRPr="009A169A">
          <w:rPr>
            <w:rStyle w:val="Kpr"/>
            <w:rFonts w:eastAsia="Times New Roman"/>
            <w:sz w:val="18"/>
            <w:szCs w:val="18"/>
            <w:u w:val="none"/>
          </w:rPr>
          <w:t>http://www2.tbmm.gov.tr/d26/7/7-4354s.pdf</w:t>
        </w:r>
      </w:hyperlink>
      <w:r w:rsidRPr="009A169A">
        <w:rPr>
          <w:rFonts w:eastAsia="Times New Roman"/>
          <w:sz w:val="18"/>
          <w:szCs w:val="18"/>
        </w:rPr>
        <w:t>, (02.06.2017)</w:t>
      </w:r>
    </w:p>
    <w:p w14:paraId="08566D11"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2794 Sayılı CHP Soru Önergesi</w:t>
      </w:r>
      <w:r w:rsidRPr="009A169A">
        <w:rPr>
          <w:rFonts w:eastAsia="Times New Roman"/>
          <w:sz w:val="18"/>
          <w:szCs w:val="18"/>
        </w:rPr>
        <w:t>, Tarih: 30.03.216, Sayı: 2794, Erişim: http://www2.tbmm.gov.tr/d26/7/7-4193s.pdf, (02.06.2017)</w:t>
      </w:r>
    </w:p>
    <w:p w14:paraId="76A2CE9C"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3760 Sayılı CHP Soru Önergesi</w:t>
      </w:r>
      <w:r w:rsidRPr="009A169A">
        <w:rPr>
          <w:rFonts w:eastAsia="Times New Roman"/>
          <w:sz w:val="18"/>
          <w:szCs w:val="18"/>
        </w:rPr>
        <w:t xml:space="preserve">, Tarih: 21.06.2016, Sayı: 3760, Erişim: </w:t>
      </w:r>
      <w:hyperlink r:id="rId14">
        <w:r w:rsidRPr="009A169A">
          <w:rPr>
            <w:rStyle w:val="Kpr"/>
            <w:rFonts w:eastAsia="Times New Roman"/>
            <w:sz w:val="18"/>
            <w:szCs w:val="18"/>
            <w:u w:val="none"/>
          </w:rPr>
          <w:t>http://www2.tbmm.gov.tr/d26/7/7-6681s.pdf</w:t>
        </w:r>
      </w:hyperlink>
      <w:r w:rsidRPr="009A169A">
        <w:rPr>
          <w:rFonts w:eastAsia="Times New Roman"/>
          <w:sz w:val="18"/>
          <w:szCs w:val="18"/>
        </w:rPr>
        <w:t>, (02.06.2017)</w:t>
      </w:r>
    </w:p>
    <w:p w14:paraId="5EDD21AB"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3843 Sayılı CHP Soru Önergesi</w:t>
      </w:r>
      <w:r w:rsidRPr="009A169A">
        <w:rPr>
          <w:rFonts w:eastAsia="Times New Roman"/>
          <w:sz w:val="18"/>
          <w:szCs w:val="18"/>
        </w:rPr>
        <w:t xml:space="preserve">, Tarih: 12.05.216, Sayı: 3843, Erişim: </w:t>
      </w:r>
      <w:hyperlink r:id="rId15">
        <w:r w:rsidRPr="009A169A">
          <w:rPr>
            <w:rStyle w:val="Kpr"/>
            <w:rFonts w:eastAsia="Times New Roman"/>
            <w:sz w:val="18"/>
            <w:szCs w:val="18"/>
            <w:u w:val="none"/>
          </w:rPr>
          <w:t>http://www2.tbmm.gov.tr/d26/7/7-5703s.pdf</w:t>
        </w:r>
      </w:hyperlink>
      <w:r w:rsidRPr="009A169A">
        <w:rPr>
          <w:rFonts w:eastAsia="Times New Roman"/>
          <w:sz w:val="18"/>
          <w:szCs w:val="18"/>
        </w:rPr>
        <w:t>, (02.06.2017)</w:t>
      </w:r>
    </w:p>
    <w:p w14:paraId="646185A5"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4507 Sayılı CHP Soru Önergesi</w:t>
      </w:r>
      <w:r w:rsidRPr="009A169A">
        <w:rPr>
          <w:rFonts w:eastAsia="Times New Roman"/>
          <w:sz w:val="18"/>
          <w:szCs w:val="18"/>
        </w:rPr>
        <w:t xml:space="preserve">, Tarih: 09.06.216, Sayı: 4507, Erişim: </w:t>
      </w:r>
      <w:hyperlink r:id="rId16">
        <w:r w:rsidRPr="009A169A">
          <w:rPr>
            <w:rStyle w:val="Kpr"/>
            <w:rFonts w:eastAsia="Times New Roman"/>
            <w:sz w:val="18"/>
            <w:szCs w:val="18"/>
            <w:u w:val="none"/>
          </w:rPr>
          <w:t>http://www2.tbmm.gov.tr/d26/7/7-6387s.pdf</w:t>
        </w:r>
      </w:hyperlink>
      <w:r w:rsidRPr="009A169A">
        <w:rPr>
          <w:rFonts w:eastAsia="Times New Roman"/>
          <w:sz w:val="18"/>
          <w:szCs w:val="18"/>
        </w:rPr>
        <w:t>, (02.06.2017)</w:t>
      </w:r>
    </w:p>
    <w:p w14:paraId="0C50F3B2"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4859 Sayılı CHP Soru Önergesi</w:t>
      </w:r>
      <w:r w:rsidRPr="009A169A">
        <w:rPr>
          <w:rFonts w:eastAsia="Times New Roman"/>
          <w:sz w:val="18"/>
          <w:szCs w:val="18"/>
        </w:rPr>
        <w:t xml:space="preserve">, Tarih: 24.06.216, Sayı: 4859, Erişim: </w:t>
      </w:r>
      <w:hyperlink r:id="rId17">
        <w:r w:rsidRPr="009A169A">
          <w:rPr>
            <w:rStyle w:val="Kpr"/>
            <w:rFonts w:eastAsia="Times New Roman"/>
            <w:sz w:val="18"/>
            <w:szCs w:val="18"/>
            <w:u w:val="none"/>
          </w:rPr>
          <w:t>http://www2.tbmm.gov.tr/d26/7/7-6961s.pdf</w:t>
        </w:r>
      </w:hyperlink>
      <w:r w:rsidRPr="009A169A">
        <w:rPr>
          <w:rFonts w:eastAsia="Times New Roman"/>
          <w:sz w:val="18"/>
          <w:szCs w:val="18"/>
        </w:rPr>
        <w:t>, (02.06.2017)</w:t>
      </w:r>
    </w:p>
    <w:p w14:paraId="18A1A498"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4860 Sayılı CHP Soru Önergesi</w:t>
      </w:r>
      <w:r w:rsidRPr="009A169A">
        <w:rPr>
          <w:rFonts w:eastAsia="Times New Roman"/>
          <w:sz w:val="18"/>
          <w:szCs w:val="18"/>
        </w:rPr>
        <w:t xml:space="preserve">, Tarih: 24.06.216, Sayı: 4860, Erişim: </w:t>
      </w:r>
      <w:hyperlink r:id="rId18">
        <w:r w:rsidRPr="009A169A">
          <w:rPr>
            <w:rStyle w:val="Kpr"/>
            <w:rFonts w:eastAsia="Times New Roman"/>
            <w:sz w:val="18"/>
            <w:szCs w:val="18"/>
            <w:u w:val="none"/>
          </w:rPr>
          <w:t>http://www2.tbmm.gov.tr/d26/7/7-4860s.pdf</w:t>
        </w:r>
      </w:hyperlink>
      <w:r w:rsidRPr="009A169A">
        <w:rPr>
          <w:rFonts w:eastAsia="Times New Roman"/>
          <w:sz w:val="18"/>
          <w:szCs w:val="18"/>
        </w:rPr>
        <w:t>, (02.06.2017)</w:t>
      </w:r>
    </w:p>
    <w:p w14:paraId="0C342627"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5011 Sayılı CHP Soru Önergesi</w:t>
      </w:r>
      <w:r w:rsidRPr="009A169A">
        <w:rPr>
          <w:rFonts w:eastAsia="Times New Roman"/>
          <w:sz w:val="18"/>
          <w:szCs w:val="18"/>
        </w:rPr>
        <w:t xml:space="preserve">, Tarih: 01.07.216, Sayı: 5011, Erişim: </w:t>
      </w:r>
      <w:hyperlink r:id="rId19">
        <w:r w:rsidRPr="009A169A">
          <w:rPr>
            <w:rStyle w:val="Kpr"/>
            <w:rFonts w:eastAsia="Times New Roman"/>
            <w:sz w:val="18"/>
            <w:szCs w:val="18"/>
            <w:u w:val="none"/>
          </w:rPr>
          <w:t>http://www2.tbmm.gov.tr/d26/7/7-6959s.pdf</w:t>
        </w:r>
      </w:hyperlink>
      <w:r w:rsidRPr="009A169A">
        <w:rPr>
          <w:rFonts w:eastAsia="Times New Roman"/>
          <w:sz w:val="18"/>
          <w:szCs w:val="18"/>
        </w:rPr>
        <w:t>, (02.06.2017)</w:t>
      </w:r>
    </w:p>
    <w:p w14:paraId="47A84BDB"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5130 Sayılı CHP Soru Önergesi</w:t>
      </w:r>
      <w:r w:rsidRPr="009A169A">
        <w:rPr>
          <w:rFonts w:eastAsia="Times New Roman"/>
          <w:sz w:val="18"/>
          <w:szCs w:val="18"/>
        </w:rPr>
        <w:t>, Tarih: 14.07.2016, Sayı: 5130, Erişim: http://www2.tbmm.gov.tr/d26/7/7-7185s.pdf, (02.06.2017)</w:t>
      </w:r>
    </w:p>
    <w:p w14:paraId="1E72F869"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5146 Sayılı CHP Soru Önergesi</w:t>
      </w:r>
      <w:r w:rsidRPr="009A169A">
        <w:rPr>
          <w:rFonts w:eastAsia="Times New Roman"/>
          <w:sz w:val="18"/>
          <w:szCs w:val="18"/>
        </w:rPr>
        <w:t xml:space="preserve">, Tarih: 14.06.2016, Sayı: 5146, Erişim: </w:t>
      </w:r>
      <w:hyperlink r:id="rId20">
        <w:r w:rsidRPr="009A169A">
          <w:rPr>
            <w:rStyle w:val="Kpr"/>
            <w:rFonts w:eastAsia="Times New Roman"/>
            <w:sz w:val="18"/>
            <w:szCs w:val="18"/>
            <w:u w:val="none"/>
          </w:rPr>
          <w:t>http://www2.tbmm.gov.tr/d26/7/7-7193s.pdf</w:t>
        </w:r>
      </w:hyperlink>
      <w:r w:rsidRPr="009A169A">
        <w:rPr>
          <w:rFonts w:eastAsia="Times New Roman"/>
          <w:sz w:val="18"/>
          <w:szCs w:val="18"/>
        </w:rPr>
        <w:t>, (02.06.2017)</w:t>
      </w:r>
    </w:p>
    <w:p w14:paraId="3BB0A48B"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CHP (2016), </w:t>
      </w:r>
      <w:r w:rsidRPr="009A169A">
        <w:rPr>
          <w:rFonts w:eastAsia="Times New Roman"/>
          <w:i/>
          <w:sz w:val="18"/>
          <w:szCs w:val="18"/>
        </w:rPr>
        <w:t>5453 Sayılı CHP Soru Önergesi</w:t>
      </w:r>
      <w:r w:rsidRPr="009A169A">
        <w:rPr>
          <w:rFonts w:eastAsia="Times New Roman"/>
          <w:sz w:val="18"/>
          <w:szCs w:val="18"/>
        </w:rPr>
        <w:t>, Tarih: 19.08.2016, Sayı: 5453, Erişim: http://www2.tbmm.gov.tr/d26/7/7-7684s.pdf, (02.06.2017)</w:t>
      </w:r>
    </w:p>
    <w:p w14:paraId="02A53E85" w14:textId="77777777" w:rsidR="00FB19C1" w:rsidRPr="009A169A" w:rsidRDefault="00FB19C1" w:rsidP="00DF3667">
      <w:pPr>
        <w:spacing w:after="160"/>
        <w:ind w:left="284" w:hanging="284"/>
        <w:rPr>
          <w:rFonts w:eastAsia="Times New Roman"/>
          <w:sz w:val="18"/>
          <w:szCs w:val="18"/>
        </w:rPr>
      </w:pPr>
      <w:r w:rsidRPr="009A169A">
        <w:rPr>
          <w:rFonts w:eastAsia="Times New Roman"/>
          <w:sz w:val="18"/>
          <w:szCs w:val="18"/>
        </w:rPr>
        <w:t xml:space="preserve">CHP, (2015). </w:t>
      </w:r>
      <w:r w:rsidRPr="009A169A">
        <w:rPr>
          <w:rFonts w:eastAsia="Times New Roman"/>
          <w:i/>
          <w:sz w:val="18"/>
          <w:szCs w:val="18"/>
        </w:rPr>
        <w:t>Kasım 2015 Seçim Bildirgesi</w:t>
      </w:r>
      <w:r w:rsidRPr="009A169A">
        <w:rPr>
          <w:rFonts w:eastAsia="Times New Roman"/>
          <w:sz w:val="18"/>
          <w:szCs w:val="18"/>
        </w:rPr>
        <w:t xml:space="preserve">, Erişim: </w:t>
      </w:r>
      <w:hyperlink r:id="rId21">
        <w:r w:rsidRPr="009A169A">
          <w:rPr>
            <w:rStyle w:val="Kpr"/>
            <w:rFonts w:eastAsia="Times New Roman"/>
            <w:sz w:val="18"/>
            <w:szCs w:val="18"/>
            <w:u w:val="none"/>
          </w:rPr>
          <w:t>http://content.chp.org.tr/file/52608.pdf</w:t>
        </w:r>
      </w:hyperlink>
      <w:r w:rsidRPr="009A169A">
        <w:rPr>
          <w:rFonts w:eastAsia="Times New Roman"/>
          <w:sz w:val="18"/>
          <w:szCs w:val="18"/>
        </w:rPr>
        <w:t>, (23.07.2018)</w:t>
      </w:r>
    </w:p>
    <w:p w14:paraId="185C1583" w14:textId="77777777"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t xml:space="preserve">Çomu, T. Halaiqa, İ. (2015). </w:t>
      </w:r>
      <w:r w:rsidRPr="009A169A">
        <w:rPr>
          <w:rFonts w:eastAsia="Times New Roman"/>
          <w:i/>
          <w:sz w:val="18"/>
          <w:szCs w:val="18"/>
        </w:rPr>
        <w:t>Web İçeriklerinin Metin Temelli Çözümlemesi, Yeni Medya Çalışmalarında Araştırma Yöntem ve Teknikleri</w:t>
      </w:r>
      <w:r w:rsidRPr="009A169A">
        <w:rPr>
          <w:rFonts w:eastAsia="Times New Roman"/>
          <w:sz w:val="18"/>
          <w:szCs w:val="18"/>
        </w:rPr>
        <w:t>, (Der.) Mutlu Binark, İstanbul: Ayrıntı Yayınları.</w:t>
      </w:r>
    </w:p>
    <w:p w14:paraId="1FB207FA" w14:textId="77777777" w:rsidR="00FB19C1" w:rsidRPr="009A169A" w:rsidRDefault="00FB19C1" w:rsidP="00DF3667">
      <w:pPr>
        <w:pStyle w:val="Default"/>
        <w:spacing w:before="120" w:after="120"/>
        <w:ind w:left="284" w:hanging="284"/>
        <w:rPr>
          <w:rFonts w:eastAsia="Times New Roman"/>
          <w:sz w:val="18"/>
          <w:szCs w:val="18"/>
        </w:rPr>
      </w:pPr>
      <w:r w:rsidRPr="009A169A">
        <w:rPr>
          <w:rFonts w:eastAsia="Times New Roman"/>
          <w:color w:val="auto"/>
          <w:sz w:val="18"/>
          <w:szCs w:val="18"/>
        </w:rPr>
        <w:t xml:space="preserve">Erdoğan, M., Şener, B., Sipahioğlu, E., Kavukçuer, Y. ve Başçeri, Y. (2017).  </w:t>
      </w:r>
      <w:r w:rsidRPr="009A169A">
        <w:rPr>
          <w:rFonts w:eastAsia="Times New Roman"/>
          <w:i/>
          <w:color w:val="auto"/>
          <w:sz w:val="18"/>
          <w:szCs w:val="18"/>
        </w:rPr>
        <w:t>Kopuştan Uyuma Kent Mültecileri Suriyeli Mülteciler ve Belediyelerin Süreç Yönetimi: İstanbul Örneği</w:t>
      </w:r>
      <w:r w:rsidRPr="009A169A">
        <w:rPr>
          <w:rFonts w:eastAsia="Times New Roman"/>
          <w:color w:val="auto"/>
          <w:sz w:val="18"/>
          <w:szCs w:val="18"/>
        </w:rPr>
        <w:t xml:space="preserve">, İstanbul: Marmara Belediyeler Birliği Kültür Yayınları. </w:t>
      </w:r>
      <w:r w:rsidRPr="009A169A">
        <w:rPr>
          <w:rFonts w:eastAsia="Times New Roman"/>
          <w:sz w:val="18"/>
          <w:szCs w:val="18"/>
        </w:rPr>
        <w:t xml:space="preserve">Erişim: </w:t>
      </w:r>
      <w:r w:rsidRPr="009A169A">
        <w:rPr>
          <w:rFonts w:eastAsia="Times New Roman"/>
          <w:color w:val="auto"/>
          <w:sz w:val="18"/>
          <w:szCs w:val="18"/>
        </w:rPr>
        <w:t xml:space="preserve">https://mmuraterdogan.files. wordpress.com/2017/03/mbb-kent-multecileri-raporu-2017_tr.pdf </w:t>
      </w:r>
      <w:r w:rsidRPr="009A169A">
        <w:rPr>
          <w:rFonts w:eastAsia="Times New Roman"/>
          <w:sz w:val="18"/>
          <w:szCs w:val="18"/>
        </w:rPr>
        <w:t>(22.07.2018)</w:t>
      </w:r>
    </w:p>
    <w:p w14:paraId="0BE8D3F2" w14:textId="77777777" w:rsidR="00FB19C1" w:rsidRPr="009A169A" w:rsidRDefault="00FB19C1" w:rsidP="00DF3667">
      <w:pPr>
        <w:pStyle w:val="Default"/>
        <w:spacing w:before="120" w:after="120"/>
        <w:ind w:left="284" w:hanging="284"/>
        <w:rPr>
          <w:rFonts w:eastAsia="Times New Roman"/>
          <w:sz w:val="18"/>
          <w:szCs w:val="18"/>
        </w:rPr>
      </w:pPr>
      <w:r w:rsidRPr="009A169A">
        <w:rPr>
          <w:rFonts w:eastAsia="Times New Roman"/>
          <w:color w:val="auto"/>
          <w:sz w:val="18"/>
          <w:szCs w:val="18"/>
        </w:rPr>
        <w:t xml:space="preserve">Ertürk, A. E. (2016, 15 Mayıs). </w:t>
      </w:r>
      <w:r w:rsidRPr="009A169A">
        <w:rPr>
          <w:rFonts w:eastAsia="Times New Roman"/>
          <w:i/>
          <w:color w:val="auto"/>
          <w:sz w:val="18"/>
          <w:szCs w:val="18"/>
        </w:rPr>
        <w:t>Misafirler (!) suç makinesi gibi,</w:t>
      </w:r>
      <w:r w:rsidRPr="009A169A">
        <w:rPr>
          <w:rFonts w:eastAsia="Times New Roman"/>
          <w:color w:val="auto"/>
          <w:sz w:val="18"/>
          <w:szCs w:val="18"/>
        </w:rPr>
        <w:t xml:space="preserve"> Sözcü Gazetesi. </w:t>
      </w:r>
      <w:r w:rsidRPr="009A169A">
        <w:rPr>
          <w:rFonts w:eastAsia="Times New Roman"/>
          <w:sz w:val="18"/>
          <w:szCs w:val="18"/>
        </w:rPr>
        <w:t xml:space="preserve">Erişim: </w:t>
      </w:r>
      <w:r w:rsidRPr="009A169A">
        <w:rPr>
          <w:rFonts w:eastAsia="Times New Roman"/>
          <w:color w:val="auto"/>
          <w:sz w:val="18"/>
          <w:szCs w:val="18"/>
        </w:rPr>
        <w:t xml:space="preserve">http://www.sozcu.com.tr/2016/gundem/misafirler-suc-makinesi-1230634/ </w:t>
      </w:r>
      <w:r w:rsidRPr="009A169A">
        <w:rPr>
          <w:rFonts w:eastAsia="Times New Roman"/>
          <w:sz w:val="18"/>
          <w:szCs w:val="18"/>
        </w:rPr>
        <w:t>(23.07.2018)</w:t>
      </w:r>
    </w:p>
    <w:p w14:paraId="7E17A162" w14:textId="77777777"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t xml:space="preserve">Göç İdaresi Genel Müdürlüğü (2016),  İltica ve Göç Alanındaki Avrupa Birliği Müktesebatının Üstlenilmesine İlişkin Türkiye Ulusal Eylem Planı., Erişim: </w:t>
      </w:r>
      <w:hyperlink r:id="rId22">
        <w:r w:rsidRPr="009A169A">
          <w:rPr>
            <w:rStyle w:val="Kpr"/>
            <w:rFonts w:eastAsia="Times New Roman"/>
            <w:sz w:val="18"/>
            <w:szCs w:val="18"/>
            <w:u w:val="none"/>
          </w:rPr>
          <w:t>http://www.goc.gov.tr/files/files/turkiye_ulusal_eylem_plani(2).pdf</w:t>
        </w:r>
      </w:hyperlink>
      <w:r w:rsidRPr="009A169A">
        <w:rPr>
          <w:rFonts w:eastAsia="Times New Roman"/>
          <w:sz w:val="18"/>
          <w:szCs w:val="18"/>
        </w:rPr>
        <w:t>,  (03.06.2017)</w:t>
      </w:r>
    </w:p>
    <w:p w14:paraId="6B972ED3" w14:textId="5E8A7F38"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lastRenderedPageBreak/>
        <w:t>Göç İdaresi G</w:t>
      </w:r>
      <w:r w:rsidR="00FD0708">
        <w:rPr>
          <w:rFonts w:eastAsia="Times New Roman"/>
          <w:sz w:val="18"/>
          <w:szCs w:val="18"/>
        </w:rPr>
        <w:t xml:space="preserve">enel </w:t>
      </w:r>
      <w:r w:rsidRPr="009A169A">
        <w:rPr>
          <w:rFonts w:eastAsia="Times New Roman"/>
          <w:sz w:val="18"/>
          <w:szCs w:val="18"/>
        </w:rPr>
        <w:t>M</w:t>
      </w:r>
      <w:r w:rsidR="00FD0708">
        <w:rPr>
          <w:rFonts w:eastAsia="Times New Roman"/>
          <w:sz w:val="18"/>
          <w:szCs w:val="18"/>
        </w:rPr>
        <w:t>üdürlüğü</w:t>
      </w:r>
      <w:r w:rsidRPr="009A169A">
        <w:rPr>
          <w:rFonts w:eastAsia="Times New Roman"/>
          <w:sz w:val="18"/>
          <w:szCs w:val="18"/>
        </w:rPr>
        <w:t xml:space="preserve"> (2016). </w:t>
      </w:r>
      <w:r w:rsidRPr="009A169A">
        <w:rPr>
          <w:rFonts w:eastAsia="Times New Roman"/>
          <w:i/>
          <w:sz w:val="18"/>
          <w:szCs w:val="18"/>
        </w:rPr>
        <w:t>2016 Türkiye Göç Raporu</w:t>
      </w:r>
      <w:r w:rsidRPr="009A169A">
        <w:rPr>
          <w:rFonts w:eastAsia="Times New Roman"/>
          <w:sz w:val="18"/>
          <w:szCs w:val="18"/>
        </w:rPr>
        <w:t>, Erişim: Erişim: http://www.goc.gov.tr/files/files/2016_yiik_goc_raporu_haziran.pdf ,  (06.06.2017)</w:t>
      </w:r>
    </w:p>
    <w:p w14:paraId="21EC492B" w14:textId="2FE6AFDC"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t>Göç İdaresi G</w:t>
      </w:r>
      <w:r w:rsidR="00FD0708">
        <w:rPr>
          <w:rFonts w:eastAsia="Times New Roman"/>
          <w:sz w:val="18"/>
          <w:szCs w:val="18"/>
        </w:rPr>
        <w:t xml:space="preserve">enel </w:t>
      </w:r>
      <w:r w:rsidRPr="009A169A">
        <w:rPr>
          <w:rFonts w:eastAsia="Times New Roman"/>
          <w:sz w:val="18"/>
          <w:szCs w:val="18"/>
        </w:rPr>
        <w:t>M</w:t>
      </w:r>
      <w:r w:rsidR="00FD0708">
        <w:rPr>
          <w:rFonts w:eastAsia="Times New Roman"/>
          <w:sz w:val="18"/>
          <w:szCs w:val="18"/>
        </w:rPr>
        <w:t>üdürlüğü</w:t>
      </w:r>
      <w:r w:rsidRPr="009A169A">
        <w:rPr>
          <w:rFonts w:eastAsia="Times New Roman"/>
          <w:sz w:val="18"/>
          <w:szCs w:val="18"/>
        </w:rPr>
        <w:t xml:space="preserve"> (2017). </w:t>
      </w:r>
      <w:r w:rsidRPr="009A169A">
        <w:rPr>
          <w:rFonts w:eastAsia="Times New Roman"/>
          <w:i/>
          <w:sz w:val="18"/>
          <w:szCs w:val="18"/>
        </w:rPr>
        <w:t>2017 Yılı İdari Faaliyet Raporu</w:t>
      </w:r>
      <w:r w:rsidRPr="009A169A">
        <w:rPr>
          <w:rFonts w:eastAsia="Times New Roman"/>
          <w:sz w:val="18"/>
          <w:szCs w:val="18"/>
        </w:rPr>
        <w:t xml:space="preserve">, Erişim: </w:t>
      </w:r>
      <w:hyperlink r:id="rId23">
        <w:r w:rsidRPr="009A169A">
          <w:rPr>
            <w:rStyle w:val="Kpr"/>
            <w:rFonts w:eastAsia="Times New Roman"/>
            <w:sz w:val="18"/>
            <w:szCs w:val="18"/>
            <w:u w:val="none"/>
          </w:rPr>
          <w:t>http://www.goc.gov.tr/files/files/Goc%20idaresi%202017.pdf</w:t>
        </w:r>
      </w:hyperlink>
      <w:r w:rsidRPr="009A169A">
        <w:rPr>
          <w:rFonts w:eastAsia="Times New Roman"/>
          <w:sz w:val="18"/>
          <w:szCs w:val="18"/>
        </w:rPr>
        <w:t>,  (06.06.2018)</w:t>
      </w:r>
    </w:p>
    <w:p w14:paraId="00BFBB7C"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(2015), </w:t>
      </w:r>
      <w:r w:rsidRPr="009A169A">
        <w:rPr>
          <w:rFonts w:eastAsia="Times New Roman"/>
          <w:i/>
          <w:sz w:val="18"/>
          <w:szCs w:val="18"/>
        </w:rPr>
        <w:t>160 Sayılı HDP Soru Önergesi</w:t>
      </w:r>
      <w:r w:rsidRPr="009A169A">
        <w:rPr>
          <w:rFonts w:eastAsia="Times New Roman"/>
          <w:sz w:val="18"/>
          <w:szCs w:val="18"/>
        </w:rPr>
        <w:t xml:space="preserve">, Tarih: 03.12.2015, Sayı: 160, Erişim: </w:t>
      </w:r>
      <w:hyperlink r:id="rId24">
        <w:r w:rsidRPr="009A169A">
          <w:rPr>
            <w:rStyle w:val="Kpr"/>
            <w:rFonts w:eastAsia="Times New Roman"/>
            <w:sz w:val="18"/>
            <w:szCs w:val="18"/>
            <w:u w:val="none"/>
          </w:rPr>
          <w:t>http://www2.tbmm.gov.tr/d26/7/7-0714s.pdf</w:t>
        </w:r>
      </w:hyperlink>
      <w:r w:rsidRPr="009A169A">
        <w:rPr>
          <w:rFonts w:eastAsia="Times New Roman"/>
          <w:sz w:val="18"/>
          <w:szCs w:val="18"/>
        </w:rPr>
        <w:t>,  (02.06.2017)</w:t>
      </w:r>
    </w:p>
    <w:p w14:paraId="568834C0"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(2015), </w:t>
      </w:r>
      <w:r w:rsidRPr="009A169A">
        <w:rPr>
          <w:rFonts w:eastAsia="Times New Roman"/>
          <w:i/>
          <w:sz w:val="18"/>
          <w:szCs w:val="18"/>
        </w:rPr>
        <w:t>330 Sayılı HDP Soru Önergesi</w:t>
      </w:r>
      <w:r w:rsidRPr="009A169A">
        <w:rPr>
          <w:rFonts w:eastAsia="Times New Roman"/>
          <w:sz w:val="18"/>
          <w:szCs w:val="18"/>
        </w:rPr>
        <w:t xml:space="preserve">, Tarih: 17.12.2015, Sayı: 330, Erişim: </w:t>
      </w:r>
      <w:hyperlink r:id="rId25">
        <w:r w:rsidRPr="009A169A">
          <w:rPr>
            <w:rStyle w:val="Kpr"/>
            <w:rFonts w:eastAsia="Times New Roman"/>
            <w:sz w:val="18"/>
            <w:szCs w:val="18"/>
            <w:u w:val="none"/>
          </w:rPr>
          <w:t>http://www2.tbmm.gov.tr/d26/7/7-1207s.pdf</w:t>
        </w:r>
      </w:hyperlink>
      <w:r w:rsidRPr="009A169A">
        <w:rPr>
          <w:rFonts w:eastAsia="Times New Roman"/>
          <w:sz w:val="18"/>
          <w:szCs w:val="18"/>
        </w:rPr>
        <w:t>, (02.06.2017)</w:t>
      </w:r>
    </w:p>
    <w:p w14:paraId="425C8623"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(2015), </w:t>
      </w:r>
      <w:r w:rsidRPr="009A169A">
        <w:rPr>
          <w:rFonts w:eastAsia="Times New Roman"/>
          <w:i/>
          <w:sz w:val="18"/>
          <w:szCs w:val="18"/>
        </w:rPr>
        <w:t>332 Sayılı HDP Soru Önergesi</w:t>
      </w:r>
      <w:r w:rsidRPr="009A169A">
        <w:rPr>
          <w:rFonts w:eastAsia="Times New Roman"/>
          <w:sz w:val="18"/>
          <w:szCs w:val="18"/>
        </w:rPr>
        <w:t xml:space="preserve">, Tarih: 18.12.2015, Sayı: 332, Erişim: </w:t>
      </w:r>
      <w:hyperlink r:id="rId26">
        <w:r w:rsidRPr="009A169A">
          <w:rPr>
            <w:rStyle w:val="Kpr"/>
            <w:rFonts w:eastAsia="Times New Roman"/>
            <w:sz w:val="18"/>
            <w:szCs w:val="18"/>
            <w:u w:val="none"/>
          </w:rPr>
          <w:t>http://www2.tbmm.gov.tr/d26/7/7-1084s.pdf</w:t>
        </w:r>
      </w:hyperlink>
      <w:r w:rsidRPr="009A169A">
        <w:rPr>
          <w:rFonts w:eastAsia="Times New Roman"/>
          <w:sz w:val="18"/>
          <w:szCs w:val="18"/>
        </w:rPr>
        <w:t>, (02.06.2017)</w:t>
      </w:r>
    </w:p>
    <w:p w14:paraId="7292D097"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(2015), </w:t>
      </w:r>
      <w:r w:rsidRPr="009A169A">
        <w:rPr>
          <w:rFonts w:eastAsia="Times New Roman"/>
          <w:i/>
          <w:sz w:val="18"/>
          <w:szCs w:val="18"/>
        </w:rPr>
        <w:t>371 Sayılı HDP Soru Önergesi</w:t>
      </w:r>
      <w:r w:rsidRPr="009A169A">
        <w:rPr>
          <w:rFonts w:eastAsia="Times New Roman"/>
          <w:sz w:val="18"/>
          <w:szCs w:val="18"/>
        </w:rPr>
        <w:t xml:space="preserve">, Tarih: 23.12.2015, Sayı: 371, Erişim: </w:t>
      </w:r>
      <w:hyperlink r:id="rId27">
        <w:r w:rsidRPr="009A169A">
          <w:rPr>
            <w:rStyle w:val="Kpr"/>
            <w:rFonts w:eastAsia="Times New Roman"/>
            <w:sz w:val="18"/>
            <w:szCs w:val="18"/>
            <w:u w:val="none"/>
          </w:rPr>
          <w:t>http://www2.tbmm.gov.tr/d26/7/7-1239s.pdf</w:t>
        </w:r>
      </w:hyperlink>
      <w:r w:rsidRPr="009A169A">
        <w:rPr>
          <w:rFonts w:eastAsia="Times New Roman"/>
          <w:sz w:val="18"/>
          <w:szCs w:val="18"/>
        </w:rPr>
        <w:t>, (02.06.2017)</w:t>
      </w:r>
    </w:p>
    <w:p w14:paraId="055935EF"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(2015), </w:t>
      </w:r>
      <w:r w:rsidRPr="009A169A">
        <w:rPr>
          <w:rFonts w:eastAsia="Times New Roman"/>
          <w:i/>
          <w:sz w:val="18"/>
          <w:szCs w:val="18"/>
        </w:rPr>
        <w:t>93 Sayılı HDP Soru Önergesi</w:t>
      </w:r>
      <w:r w:rsidRPr="009A169A">
        <w:rPr>
          <w:rFonts w:eastAsia="Times New Roman"/>
          <w:sz w:val="18"/>
          <w:szCs w:val="18"/>
        </w:rPr>
        <w:t xml:space="preserve">, Tarih: 01.12.2015, Sayı: 93, Erişim: </w:t>
      </w:r>
      <w:hyperlink r:id="rId28">
        <w:r w:rsidRPr="009A169A">
          <w:rPr>
            <w:rStyle w:val="Kpr"/>
            <w:rFonts w:eastAsia="Times New Roman"/>
            <w:sz w:val="18"/>
            <w:szCs w:val="18"/>
            <w:u w:val="none"/>
          </w:rPr>
          <w:t>http://www2.tbmm.gov.tr/d26/7/7-0501s.pdf</w:t>
        </w:r>
      </w:hyperlink>
      <w:r w:rsidRPr="009A169A">
        <w:rPr>
          <w:rFonts w:eastAsia="Times New Roman"/>
          <w:sz w:val="18"/>
          <w:szCs w:val="18"/>
        </w:rPr>
        <w:t>, (02.06.2017)</w:t>
      </w:r>
    </w:p>
    <w:p w14:paraId="4A76B5B7"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(2015), </w:t>
      </w:r>
      <w:r w:rsidRPr="009A169A">
        <w:rPr>
          <w:rFonts w:eastAsia="Times New Roman"/>
          <w:i/>
          <w:sz w:val="18"/>
          <w:szCs w:val="18"/>
        </w:rPr>
        <w:t>94 Sayılı HDP Soru Önergesi</w:t>
      </w:r>
      <w:r w:rsidRPr="009A169A">
        <w:rPr>
          <w:rFonts w:eastAsia="Times New Roman"/>
          <w:sz w:val="18"/>
          <w:szCs w:val="18"/>
        </w:rPr>
        <w:t xml:space="preserve">, Tarih: 01.12.2015, Sayı: 94, Erişim: </w:t>
      </w:r>
      <w:hyperlink r:id="rId29">
        <w:r w:rsidRPr="009A169A">
          <w:rPr>
            <w:rStyle w:val="Kpr"/>
            <w:rFonts w:eastAsia="Times New Roman"/>
            <w:sz w:val="18"/>
            <w:szCs w:val="18"/>
            <w:u w:val="none"/>
          </w:rPr>
          <w:t>http://www2.tbmm.gov.tr/d26/7/7-0515s.pdf</w:t>
        </w:r>
      </w:hyperlink>
      <w:r w:rsidRPr="009A169A">
        <w:rPr>
          <w:rFonts w:eastAsia="Times New Roman"/>
          <w:sz w:val="18"/>
          <w:szCs w:val="18"/>
        </w:rPr>
        <w:t>, (02.06.2017)</w:t>
      </w:r>
    </w:p>
    <w:p w14:paraId="4726078B"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(2015), </w:t>
      </w:r>
      <w:r w:rsidRPr="009A169A">
        <w:rPr>
          <w:rFonts w:eastAsia="Times New Roman"/>
          <w:i/>
          <w:sz w:val="18"/>
          <w:szCs w:val="18"/>
        </w:rPr>
        <w:t>95 Sayılı HDP Soru Önergesi</w:t>
      </w:r>
      <w:r w:rsidRPr="009A169A">
        <w:rPr>
          <w:rFonts w:eastAsia="Times New Roman"/>
          <w:sz w:val="18"/>
          <w:szCs w:val="18"/>
        </w:rPr>
        <w:t xml:space="preserve">, Tarih: 01.12.2015, Sayı: 95, Erişim: </w:t>
      </w:r>
      <w:hyperlink r:id="rId30">
        <w:r w:rsidRPr="009A169A">
          <w:rPr>
            <w:rStyle w:val="Kpr"/>
            <w:rFonts w:eastAsia="Times New Roman"/>
            <w:sz w:val="18"/>
            <w:szCs w:val="18"/>
            <w:u w:val="none"/>
          </w:rPr>
          <w:t>http://www2.tbmm.gov.tr/d26/7/7-0410s.pdf</w:t>
        </w:r>
      </w:hyperlink>
      <w:r w:rsidRPr="009A169A">
        <w:rPr>
          <w:rFonts w:eastAsia="Times New Roman"/>
          <w:sz w:val="18"/>
          <w:szCs w:val="18"/>
        </w:rPr>
        <w:t>, (02.06.2017)</w:t>
      </w:r>
    </w:p>
    <w:p w14:paraId="18FC4613" w14:textId="77777777" w:rsidR="00FB19C1" w:rsidRPr="009A169A" w:rsidRDefault="00FB19C1" w:rsidP="00DF3667">
      <w:pPr>
        <w:spacing w:after="160"/>
        <w:ind w:left="284" w:hanging="284"/>
        <w:rPr>
          <w:rFonts w:eastAsia="Times New Roman"/>
          <w:sz w:val="18"/>
          <w:szCs w:val="18"/>
        </w:rPr>
      </w:pPr>
      <w:r w:rsidRPr="009A169A">
        <w:rPr>
          <w:rFonts w:eastAsia="Times New Roman"/>
          <w:sz w:val="18"/>
          <w:szCs w:val="18"/>
        </w:rPr>
        <w:t xml:space="preserve">HDP (2015). </w:t>
      </w:r>
      <w:r w:rsidRPr="009A169A">
        <w:rPr>
          <w:rFonts w:eastAsia="Times New Roman"/>
          <w:i/>
          <w:sz w:val="18"/>
          <w:szCs w:val="18"/>
        </w:rPr>
        <w:t>2015 Seçim Bildirgesi</w:t>
      </w:r>
      <w:r w:rsidRPr="009A169A">
        <w:rPr>
          <w:rFonts w:eastAsia="Times New Roman"/>
          <w:sz w:val="18"/>
          <w:szCs w:val="18"/>
        </w:rPr>
        <w:t xml:space="preserve">, Erişim: </w:t>
      </w:r>
      <w:hyperlink r:id="rId31">
        <w:r w:rsidRPr="009A169A">
          <w:rPr>
            <w:rStyle w:val="Kpr"/>
            <w:rFonts w:eastAsia="Times New Roman"/>
            <w:sz w:val="18"/>
            <w:szCs w:val="18"/>
            <w:u w:val="none"/>
          </w:rPr>
          <w:t>http://www.hdp.org.tr/images/UserFiles/Documents/Editor/HDP%20Se%C3%A7im%20Bildirgesi%20Tam%20Metin.pdf</w:t>
        </w:r>
      </w:hyperlink>
      <w:r w:rsidRPr="009A169A">
        <w:rPr>
          <w:rFonts w:eastAsia="Times New Roman"/>
          <w:sz w:val="18"/>
          <w:szCs w:val="18"/>
        </w:rPr>
        <w:t>,  (22.07.2018)</w:t>
      </w:r>
    </w:p>
    <w:p w14:paraId="211913EE"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(2016), </w:t>
      </w:r>
      <w:r w:rsidRPr="009A169A">
        <w:rPr>
          <w:rFonts w:eastAsia="Times New Roman"/>
          <w:i/>
          <w:sz w:val="18"/>
          <w:szCs w:val="18"/>
        </w:rPr>
        <w:t>1229 Sayılı HDP Soru Önergesi,</w:t>
      </w:r>
      <w:r w:rsidRPr="009A169A">
        <w:rPr>
          <w:rFonts w:eastAsia="Times New Roman"/>
          <w:sz w:val="18"/>
          <w:szCs w:val="18"/>
        </w:rPr>
        <w:t xml:space="preserve"> Tarih: 24.02.216, Sayı: 1229, Erişim: </w:t>
      </w:r>
      <w:hyperlink r:id="rId32">
        <w:r w:rsidRPr="009A169A">
          <w:rPr>
            <w:rStyle w:val="Kpr"/>
            <w:rFonts w:eastAsia="Times New Roman"/>
            <w:sz w:val="18"/>
            <w:szCs w:val="18"/>
            <w:u w:val="none"/>
          </w:rPr>
          <w:t>http://www2.tbmm.gov.tr/d26/7/7-3013s.pdf</w:t>
        </w:r>
      </w:hyperlink>
      <w:r w:rsidRPr="009A169A">
        <w:rPr>
          <w:rFonts w:eastAsia="Times New Roman"/>
          <w:sz w:val="18"/>
          <w:szCs w:val="18"/>
        </w:rPr>
        <w:t>, (02.06.2017)</w:t>
      </w:r>
    </w:p>
    <w:p w14:paraId="5A1E60CF"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(2016), </w:t>
      </w:r>
      <w:r w:rsidRPr="009A169A">
        <w:rPr>
          <w:rFonts w:eastAsia="Times New Roman"/>
          <w:i/>
          <w:sz w:val="18"/>
          <w:szCs w:val="18"/>
        </w:rPr>
        <w:t>1443 Sayılı HDP Soru Önergesi</w:t>
      </w:r>
      <w:r w:rsidRPr="009A169A">
        <w:rPr>
          <w:rFonts w:eastAsia="Times New Roman"/>
          <w:sz w:val="18"/>
          <w:szCs w:val="18"/>
        </w:rPr>
        <w:t xml:space="preserve">, Tarih: 16.03.216, Sayı: 1443, Erişim: </w:t>
      </w:r>
      <w:hyperlink r:id="rId33">
        <w:r w:rsidRPr="009A169A">
          <w:rPr>
            <w:rStyle w:val="Kpr"/>
            <w:rFonts w:eastAsia="Times New Roman"/>
            <w:sz w:val="18"/>
            <w:szCs w:val="18"/>
            <w:u w:val="none"/>
          </w:rPr>
          <w:t>http://www2.tbmm.gov.tr/d26/7/7-3711s.pdf</w:t>
        </w:r>
      </w:hyperlink>
      <w:r w:rsidRPr="009A169A">
        <w:rPr>
          <w:rFonts w:eastAsia="Times New Roman"/>
          <w:sz w:val="18"/>
          <w:szCs w:val="18"/>
        </w:rPr>
        <w:t>, (02.06.2017)7</w:t>
      </w:r>
    </w:p>
    <w:p w14:paraId="5A74CCC0"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(2016), </w:t>
      </w:r>
      <w:r w:rsidRPr="009A169A">
        <w:rPr>
          <w:rFonts w:eastAsia="Times New Roman"/>
          <w:i/>
          <w:sz w:val="18"/>
          <w:szCs w:val="18"/>
        </w:rPr>
        <w:t>2138 Sayılı HDP Soru Önergesi</w:t>
      </w:r>
      <w:r w:rsidRPr="009A169A">
        <w:rPr>
          <w:rFonts w:eastAsia="Times New Roman"/>
          <w:sz w:val="18"/>
          <w:szCs w:val="18"/>
        </w:rPr>
        <w:t xml:space="preserve">, Tarih: 02.06.216, Sayı: 2138, Erişim: </w:t>
      </w:r>
      <w:hyperlink r:id="rId34">
        <w:r w:rsidRPr="009A169A">
          <w:rPr>
            <w:rStyle w:val="Kpr"/>
            <w:rFonts w:eastAsia="Times New Roman"/>
            <w:sz w:val="18"/>
            <w:szCs w:val="18"/>
            <w:u w:val="none"/>
          </w:rPr>
          <w:t>http://www2.tbmm.gov.tr/d26/7/7-6129s.pdf</w:t>
        </w:r>
      </w:hyperlink>
      <w:r w:rsidRPr="009A169A">
        <w:rPr>
          <w:rFonts w:eastAsia="Times New Roman"/>
          <w:sz w:val="18"/>
          <w:szCs w:val="18"/>
        </w:rPr>
        <w:t>, (02.06.2017)</w:t>
      </w:r>
    </w:p>
    <w:p w14:paraId="4DDFBCA3"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(2016), </w:t>
      </w:r>
      <w:r w:rsidRPr="009A169A">
        <w:rPr>
          <w:rFonts w:eastAsia="Times New Roman"/>
          <w:i/>
          <w:sz w:val="18"/>
          <w:szCs w:val="18"/>
        </w:rPr>
        <w:t>2226 Sayılı HDP Soru Önergesi</w:t>
      </w:r>
      <w:r w:rsidRPr="009A169A">
        <w:rPr>
          <w:rFonts w:eastAsia="Times New Roman"/>
          <w:sz w:val="18"/>
          <w:szCs w:val="18"/>
        </w:rPr>
        <w:t xml:space="preserve">, Tarih: 10.06.216, Sayı: 2226, Erişim: </w:t>
      </w:r>
      <w:hyperlink r:id="rId35">
        <w:r w:rsidRPr="009A169A">
          <w:rPr>
            <w:rStyle w:val="Kpr"/>
            <w:rFonts w:eastAsia="Times New Roman"/>
            <w:sz w:val="18"/>
            <w:szCs w:val="18"/>
            <w:u w:val="none"/>
          </w:rPr>
          <w:t>http://www2.tbmm.gov.tr/d26/7/7-6525s.pdf</w:t>
        </w:r>
      </w:hyperlink>
      <w:r w:rsidRPr="009A169A">
        <w:rPr>
          <w:rFonts w:eastAsia="Times New Roman"/>
          <w:sz w:val="18"/>
          <w:szCs w:val="18"/>
        </w:rPr>
        <w:t>, (02.06.2017)</w:t>
      </w:r>
    </w:p>
    <w:p w14:paraId="1B549FB8"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(2016), </w:t>
      </w:r>
      <w:r w:rsidRPr="009A169A">
        <w:rPr>
          <w:rFonts w:eastAsia="Times New Roman"/>
          <w:i/>
          <w:sz w:val="18"/>
          <w:szCs w:val="18"/>
        </w:rPr>
        <w:t>2258 Sayılı HDP Soru Önergesi</w:t>
      </w:r>
      <w:r w:rsidRPr="009A169A">
        <w:rPr>
          <w:rFonts w:eastAsia="Times New Roman"/>
          <w:sz w:val="18"/>
          <w:szCs w:val="18"/>
        </w:rPr>
        <w:t xml:space="preserve">, Tarih: 15.06.216, Sayı: 2258, Erişim: </w:t>
      </w:r>
      <w:hyperlink r:id="rId36">
        <w:r w:rsidRPr="009A169A">
          <w:rPr>
            <w:rStyle w:val="Kpr"/>
            <w:rFonts w:eastAsia="Times New Roman"/>
            <w:sz w:val="18"/>
            <w:szCs w:val="18"/>
            <w:u w:val="none"/>
          </w:rPr>
          <w:t>http://www2.tbmm.gov.tr/d26/7/7-6637s.pdf</w:t>
        </w:r>
      </w:hyperlink>
      <w:r w:rsidRPr="009A169A">
        <w:rPr>
          <w:rFonts w:eastAsia="Times New Roman"/>
          <w:sz w:val="18"/>
          <w:szCs w:val="18"/>
        </w:rPr>
        <w:t>, (02.06.2017)</w:t>
      </w:r>
    </w:p>
    <w:p w14:paraId="18801BE8"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(2016), </w:t>
      </w:r>
      <w:r w:rsidRPr="009A169A">
        <w:rPr>
          <w:rFonts w:eastAsia="Times New Roman"/>
          <w:i/>
          <w:sz w:val="18"/>
          <w:szCs w:val="18"/>
        </w:rPr>
        <w:t>2321 Sayılı HDP Soru Önergesi</w:t>
      </w:r>
      <w:r w:rsidRPr="009A169A">
        <w:rPr>
          <w:rFonts w:eastAsia="Times New Roman"/>
          <w:sz w:val="18"/>
          <w:szCs w:val="18"/>
        </w:rPr>
        <w:t xml:space="preserve">, Tarih: 22.06.216, Sayı: 2321, Erişim: </w:t>
      </w:r>
      <w:hyperlink r:id="rId37">
        <w:r w:rsidRPr="009A169A">
          <w:rPr>
            <w:rStyle w:val="Kpr"/>
            <w:rFonts w:eastAsia="Times New Roman"/>
            <w:sz w:val="18"/>
            <w:szCs w:val="18"/>
            <w:u w:val="none"/>
          </w:rPr>
          <w:t>http://www2.tbmm.gov.tr/d26/7/7-6718s.pdf</w:t>
        </w:r>
      </w:hyperlink>
      <w:r w:rsidRPr="009A169A">
        <w:rPr>
          <w:rFonts w:eastAsia="Times New Roman"/>
          <w:sz w:val="18"/>
          <w:szCs w:val="18"/>
        </w:rPr>
        <w:t>, (02.06.2017)</w:t>
      </w:r>
    </w:p>
    <w:p w14:paraId="05BB4064"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 HDP (2016), </w:t>
      </w:r>
      <w:r w:rsidRPr="009A169A">
        <w:rPr>
          <w:rFonts w:eastAsia="Times New Roman"/>
          <w:i/>
          <w:sz w:val="18"/>
          <w:szCs w:val="18"/>
        </w:rPr>
        <w:t>2328 Sayılı HDP Soru Önergesi</w:t>
      </w:r>
      <w:r w:rsidRPr="009A169A">
        <w:rPr>
          <w:rFonts w:eastAsia="Times New Roman"/>
          <w:sz w:val="18"/>
          <w:szCs w:val="18"/>
        </w:rPr>
        <w:t xml:space="preserve">, Tarih: 23.06.216, Sayı: 2328, Erişim: </w:t>
      </w:r>
      <w:hyperlink r:id="rId38">
        <w:r w:rsidRPr="009A169A">
          <w:rPr>
            <w:rStyle w:val="Kpr"/>
            <w:rFonts w:eastAsia="Times New Roman"/>
            <w:sz w:val="18"/>
            <w:szCs w:val="18"/>
            <w:u w:val="none"/>
          </w:rPr>
          <w:t>http://www2.tbmm.gov.tr/d26/7/7-6881s.pdf</w:t>
        </w:r>
      </w:hyperlink>
      <w:r w:rsidRPr="009A169A">
        <w:rPr>
          <w:rFonts w:eastAsia="Times New Roman"/>
          <w:sz w:val="18"/>
          <w:szCs w:val="18"/>
        </w:rPr>
        <w:t>, (02.06.2017)</w:t>
      </w:r>
    </w:p>
    <w:p w14:paraId="7BA1FD23"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(2016), </w:t>
      </w:r>
      <w:r w:rsidRPr="009A169A">
        <w:rPr>
          <w:rFonts w:eastAsia="Times New Roman"/>
          <w:i/>
          <w:sz w:val="18"/>
          <w:szCs w:val="18"/>
        </w:rPr>
        <w:t>2576 Sayılı HDP Soru Önergesi</w:t>
      </w:r>
      <w:r w:rsidRPr="009A169A">
        <w:rPr>
          <w:rFonts w:eastAsia="Times New Roman"/>
          <w:sz w:val="18"/>
          <w:szCs w:val="18"/>
        </w:rPr>
        <w:t xml:space="preserve">, Tarih: 05.08.216, Sayı: 2576, Erişim: </w:t>
      </w:r>
      <w:hyperlink r:id="rId39">
        <w:r w:rsidRPr="009A169A">
          <w:rPr>
            <w:rStyle w:val="Kpr"/>
            <w:rFonts w:eastAsia="Times New Roman"/>
            <w:sz w:val="18"/>
            <w:szCs w:val="18"/>
            <w:u w:val="none"/>
          </w:rPr>
          <w:t>http://www2.tbmm.gov.tr/d26/7/7-7531s.pdf</w:t>
        </w:r>
      </w:hyperlink>
      <w:r w:rsidRPr="009A169A">
        <w:rPr>
          <w:rFonts w:eastAsia="Times New Roman"/>
          <w:sz w:val="18"/>
          <w:szCs w:val="18"/>
        </w:rPr>
        <w:t>, (02.06.2017)</w:t>
      </w:r>
    </w:p>
    <w:p w14:paraId="10792C7E"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(2016), </w:t>
      </w:r>
      <w:r w:rsidRPr="009A169A">
        <w:rPr>
          <w:rFonts w:eastAsia="Times New Roman"/>
          <w:i/>
          <w:sz w:val="18"/>
          <w:szCs w:val="18"/>
        </w:rPr>
        <w:t>31859 Sayılı HDP Soru Önergesi</w:t>
      </w:r>
      <w:r w:rsidRPr="009A169A">
        <w:rPr>
          <w:rFonts w:eastAsia="Times New Roman"/>
          <w:sz w:val="18"/>
          <w:szCs w:val="18"/>
        </w:rPr>
        <w:t xml:space="preserve">, Tarih: 28.04.216, Sayı: 1859, Erişim: </w:t>
      </w:r>
      <w:hyperlink r:id="rId40">
        <w:r w:rsidRPr="009A169A">
          <w:rPr>
            <w:rStyle w:val="Kpr"/>
            <w:rFonts w:eastAsia="Times New Roman"/>
            <w:sz w:val="18"/>
            <w:szCs w:val="18"/>
            <w:u w:val="none"/>
          </w:rPr>
          <w:t>http://www2.tbmm.gov.tr/d26/7/7-5133s.pdf</w:t>
        </w:r>
      </w:hyperlink>
      <w:r w:rsidRPr="009A169A">
        <w:rPr>
          <w:rFonts w:eastAsia="Times New Roman"/>
          <w:sz w:val="18"/>
          <w:szCs w:val="18"/>
        </w:rPr>
        <w:t>,(02.06.2017)</w:t>
      </w:r>
    </w:p>
    <w:p w14:paraId="13AC8C28"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(2016), </w:t>
      </w:r>
      <w:r w:rsidRPr="009A169A">
        <w:rPr>
          <w:rFonts w:eastAsia="Times New Roman"/>
          <w:i/>
          <w:sz w:val="18"/>
          <w:szCs w:val="18"/>
        </w:rPr>
        <w:t>504 Sayılı HDP Soru Önergesi</w:t>
      </w:r>
      <w:r w:rsidRPr="009A169A">
        <w:rPr>
          <w:rFonts w:eastAsia="Times New Roman"/>
          <w:sz w:val="18"/>
          <w:szCs w:val="18"/>
        </w:rPr>
        <w:t xml:space="preserve">, Tarih: 07.01.216, Sayı: 504, Erişim: </w:t>
      </w:r>
      <w:hyperlink r:id="rId41">
        <w:r w:rsidRPr="009A169A">
          <w:rPr>
            <w:rStyle w:val="Kpr"/>
            <w:rFonts w:eastAsia="Times New Roman"/>
            <w:sz w:val="18"/>
            <w:szCs w:val="18"/>
            <w:u w:val="none"/>
          </w:rPr>
          <w:t>http://www2.tbmm.gov.tr/d26/7/7-1691s.pdf</w:t>
        </w:r>
      </w:hyperlink>
      <w:r w:rsidRPr="009A169A">
        <w:rPr>
          <w:rFonts w:eastAsia="Times New Roman"/>
          <w:sz w:val="18"/>
          <w:szCs w:val="18"/>
        </w:rPr>
        <w:t>, (02.06.2017)</w:t>
      </w:r>
    </w:p>
    <w:p w14:paraId="5D899EB7"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(2016), </w:t>
      </w:r>
      <w:r w:rsidRPr="009A169A">
        <w:rPr>
          <w:rFonts w:eastAsia="Times New Roman"/>
          <w:i/>
          <w:sz w:val="18"/>
          <w:szCs w:val="18"/>
        </w:rPr>
        <w:t>598 Sayılı HDP Soru Önergesi</w:t>
      </w:r>
      <w:r w:rsidRPr="009A169A">
        <w:rPr>
          <w:rFonts w:eastAsia="Times New Roman"/>
          <w:sz w:val="18"/>
          <w:szCs w:val="18"/>
        </w:rPr>
        <w:t xml:space="preserve">, Tarih: 13.01.216, Sayı: 598, Erişim: </w:t>
      </w:r>
      <w:hyperlink r:id="rId42">
        <w:r w:rsidRPr="009A169A">
          <w:rPr>
            <w:rStyle w:val="Kpr"/>
            <w:rFonts w:eastAsia="Times New Roman"/>
            <w:sz w:val="18"/>
            <w:szCs w:val="18"/>
            <w:u w:val="none"/>
          </w:rPr>
          <w:t>http://www2.tbmm.gov.tr/d26/7/7-1720s.pdf</w:t>
        </w:r>
      </w:hyperlink>
      <w:r w:rsidRPr="009A169A">
        <w:rPr>
          <w:rFonts w:eastAsia="Times New Roman"/>
          <w:sz w:val="18"/>
          <w:szCs w:val="18"/>
        </w:rPr>
        <w:t>, (02.06.2017)7</w:t>
      </w:r>
    </w:p>
    <w:p w14:paraId="039AB790"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HDP (2016), </w:t>
      </w:r>
      <w:r w:rsidRPr="009A169A">
        <w:rPr>
          <w:rFonts w:eastAsia="Times New Roman"/>
          <w:i/>
          <w:sz w:val="18"/>
          <w:szCs w:val="18"/>
        </w:rPr>
        <w:t>776 Sayılı HDP Soru Önergesi</w:t>
      </w:r>
      <w:r w:rsidRPr="009A169A">
        <w:rPr>
          <w:rFonts w:eastAsia="Times New Roman"/>
          <w:sz w:val="18"/>
          <w:szCs w:val="18"/>
        </w:rPr>
        <w:t xml:space="preserve">, Tarih: 22.01.216, Sayı: 776, Erişim: </w:t>
      </w:r>
      <w:hyperlink r:id="rId43">
        <w:r w:rsidRPr="009A169A">
          <w:rPr>
            <w:rStyle w:val="Kpr"/>
            <w:rFonts w:eastAsia="Times New Roman"/>
            <w:sz w:val="18"/>
            <w:szCs w:val="18"/>
            <w:u w:val="none"/>
          </w:rPr>
          <w:t>http://www2.tbmm.gov.tr/d26/7/7-1945s.pdf</w:t>
        </w:r>
      </w:hyperlink>
      <w:r w:rsidRPr="009A169A">
        <w:rPr>
          <w:rFonts w:eastAsia="Times New Roman"/>
          <w:sz w:val="18"/>
          <w:szCs w:val="18"/>
        </w:rPr>
        <w:t>, (02.06.2017)</w:t>
      </w:r>
    </w:p>
    <w:p w14:paraId="6180C40F" w14:textId="54691AC8" w:rsidR="00FB19C1" w:rsidRPr="009A169A" w:rsidRDefault="00FB19C1" w:rsidP="00DF3667">
      <w:pPr>
        <w:spacing w:before="120" w:after="120"/>
        <w:ind w:left="284" w:hanging="284"/>
        <w:rPr>
          <w:rFonts w:eastAsia="Times New Roman"/>
          <w:sz w:val="18"/>
          <w:szCs w:val="18"/>
        </w:rPr>
      </w:pPr>
      <w:r w:rsidRPr="009A169A">
        <w:rPr>
          <w:sz w:val="18"/>
          <w:szCs w:val="18"/>
        </w:rPr>
        <w:t xml:space="preserve">İçduygu, A. &amp; Biehl, K. S. (2009). </w:t>
      </w:r>
      <w:r w:rsidRPr="009A169A">
        <w:rPr>
          <w:i/>
          <w:sz w:val="18"/>
          <w:szCs w:val="18"/>
        </w:rPr>
        <w:t>İstanbul’daki Göçmenler: 2000’lerden Bir Görünüm</w:t>
      </w:r>
      <w:r w:rsidR="00FD0708">
        <w:rPr>
          <w:sz w:val="18"/>
          <w:szCs w:val="18"/>
        </w:rPr>
        <w:t>,</w:t>
      </w:r>
      <w:r w:rsidRPr="009A169A">
        <w:rPr>
          <w:sz w:val="18"/>
          <w:szCs w:val="18"/>
        </w:rPr>
        <w:t xml:space="preserve"> British Council (BC) Report</w:t>
      </w:r>
      <w:r w:rsidRPr="009A169A">
        <w:rPr>
          <w:rFonts w:eastAsia="Times New Roman"/>
          <w:sz w:val="18"/>
          <w:szCs w:val="18"/>
        </w:rPr>
        <w:t xml:space="preserve"> </w:t>
      </w:r>
    </w:p>
    <w:p w14:paraId="23EE6EDC" w14:textId="77777777"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t xml:space="preserve">İçduygu, A. ve Sirkeci İ. (1999). </w:t>
      </w:r>
      <w:r w:rsidRPr="009A169A">
        <w:rPr>
          <w:rFonts w:eastAsia="Times New Roman"/>
          <w:i/>
          <w:sz w:val="18"/>
          <w:szCs w:val="18"/>
        </w:rPr>
        <w:t>Cumhuriyet Dönemi Türkiye’sinde Göç Hareketleri, 75 Yılda Köylerden Şehirlere</w:t>
      </w:r>
      <w:r w:rsidRPr="009A169A">
        <w:rPr>
          <w:rFonts w:eastAsia="Times New Roman"/>
          <w:sz w:val="18"/>
          <w:szCs w:val="18"/>
        </w:rPr>
        <w:t>, (ed.) Oya Baydar, İstanbul: Tarih Vakfı Yayınları.</w:t>
      </w:r>
    </w:p>
    <w:p w14:paraId="0D1FA79F" w14:textId="77777777"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t xml:space="preserve">Kentleşme Şûrası (2009). </w:t>
      </w:r>
      <w:r w:rsidRPr="009A169A">
        <w:rPr>
          <w:rFonts w:eastAsia="Times New Roman"/>
          <w:i/>
          <w:sz w:val="18"/>
          <w:szCs w:val="18"/>
        </w:rPr>
        <w:t>Kent, Yoksulluk, Göç ve Sosyal Politikalar</w:t>
      </w:r>
      <w:r w:rsidRPr="009A169A">
        <w:rPr>
          <w:rFonts w:eastAsia="Times New Roman"/>
          <w:sz w:val="18"/>
          <w:szCs w:val="18"/>
        </w:rPr>
        <w:t>, Ankara: T.C. Bayındırlık ve İskân Bakanlığı.</w:t>
      </w:r>
    </w:p>
    <w:p w14:paraId="126E2CFF"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MHP (2015), </w:t>
      </w:r>
      <w:r w:rsidRPr="009A169A">
        <w:rPr>
          <w:rFonts w:eastAsia="Times New Roman"/>
          <w:i/>
          <w:sz w:val="18"/>
          <w:szCs w:val="18"/>
        </w:rPr>
        <w:t>219 Sayılı MHP Soru Önergesi</w:t>
      </w:r>
      <w:r w:rsidRPr="009A169A">
        <w:rPr>
          <w:rFonts w:eastAsia="Times New Roman"/>
          <w:sz w:val="18"/>
          <w:szCs w:val="18"/>
        </w:rPr>
        <w:t xml:space="preserve">, Tarih: 03.12.215, Sayı: 219, Erişim: </w:t>
      </w:r>
      <w:hyperlink r:id="rId44">
        <w:r w:rsidRPr="009A169A">
          <w:rPr>
            <w:rStyle w:val="Kpr"/>
            <w:rFonts w:eastAsia="Times New Roman"/>
            <w:sz w:val="18"/>
            <w:szCs w:val="18"/>
            <w:u w:val="none"/>
          </w:rPr>
          <w:t>http://www2.tbmm.gov.tr/d26/7/7-0604s.pdf</w:t>
        </w:r>
      </w:hyperlink>
      <w:r w:rsidRPr="009A169A">
        <w:rPr>
          <w:rFonts w:eastAsia="Times New Roman"/>
          <w:sz w:val="18"/>
          <w:szCs w:val="18"/>
        </w:rPr>
        <w:t>, (02.06.2017)</w:t>
      </w:r>
    </w:p>
    <w:p w14:paraId="27C0E8E3"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lastRenderedPageBreak/>
        <w:t xml:space="preserve">MHP (2015), </w:t>
      </w:r>
      <w:r w:rsidRPr="009A169A">
        <w:rPr>
          <w:rFonts w:eastAsia="Times New Roman"/>
          <w:i/>
          <w:sz w:val="18"/>
          <w:szCs w:val="18"/>
        </w:rPr>
        <w:t>221 sayılı MHP Soru Önergesi</w:t>
      </w:r>
      <w:r w:rsidRPr="009A169A">
        <w:rPr>
          <w:rFonts w:eastAsia="Times New Roman"/>
          <w:sz w:val="18"/>
          <w:szCs w:val="18"/>
        </w:rPr>
        <w:t xml:space="preserve">, Tarih: 03.12.215, Sayı: 221, Erişim: </w:t>
      </w:r>
      <w:hyperlink r:id="rId45">
        <w:r w:rsidRPr="009A169A">
          <w:rPr>
            <w:rStyle w:val="Kpr"/>
            <w:rFonts w:eastAsia="Times New Roman"/>
            <w:sz w:val="18"/>
            <w:szCs w:val="18"/>
            <w:u w:val="none"/>
          </w:rPr>
          <w:t>http://www2.tbmm.gov.tr/d26/7/7-0603s.pdf</w:t>
        </w:r>
      </w:hyperlink>
      <w:r w:rsidRPr="009A169A">
        <w:rPr>
          <w:rFonts w:eastAsia="Times New Roman"/>
          <w:sz w:val="18"/>
          <w:szCs w:val="18"/>
        </w:rPr>
        <w:t>, (02.06.2017)</w:t>
      </w:r>
    </w:p>
    <w:p w14:paraId="2EB3136C"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MHP (2015), </w:t>
      </w:r>
      <w:r w:rsidRPr="009A169A">
        <w:rPr>
          <w:rFonts w:eastAsia="Times New Roman"/>
          <w:i/>
          <w:sz w:val="18"/>
          <w:szCs w:val="18"/>
        </w:rPr>
        <w:t>361 Sayılı MHP Soru Önergesi</w:t>
      </w:r>
      <w:r w:rsidRPr="009A169A">
        <w:rPr>
          <w:rFonts w:eastAsia="Times New Roman"/>
          <w:sz w:val="18"/>
          <w:szCs w:val="18"/>
        </w:rPr>
        <w:t xml:space="preserve">, Tarih: 09.12.215, Sayı: 361, Erişim: </w:t>
      </w:r>
      <w:hyperlink r:id="rId46">
        <w:r w:rsidRPr="009A169A">
          <w:rPr>
            <w:rStyle w:val="Kpr"/>
            <w:rFonts w:eastAsia="Times New Roman"/>
            <w:sz w:val="18"/>
            <w:szCs w:val="18"/>
            <w:u w:val="none"/>
          </w:rPr>
          <w:t>http://www2.tbmm.gov.tr/d26/7/7-0729s.pdf</w:t>
        </w:r>
      </w:hyperlink>
      <w:r w:rsidRPr="009A169A">
        <w:rPr>
          <w:rFonts w:eastAsia="Times New Roman"/>
          <w:sz w:val="18"/>
          <w:szCs w:val="18"/>
        </w:rPr>
        <w:t>, (02.06.2017)</w:t>
      </w:r>
    </w:p>
    <w:p w14:paraId="26FCF09A"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MHP (2015), </w:t>
      </w:r>
      <w:r w:rsidRPr="009A169A">
        <w:rPr>
          <w:rFonts w:eastAsia="Times New Roman"/>
          <w:i/>
          <w:sz w:val="18"/>
          <w:szCs w:val="18"/>
        </w:rPr>
        <w:t>407 Sayılı MHP Soru Önergesi</w:t>
      </w:r>
      <w:r w:rsidRPr="009A169A">
        <w:rPr>
          <w:rFonts w:eastAsia="Times New Roman"/>
          <w:sz w:val="18"/>
          <w:szCs w:val="18"/>
        </w:rPr>
        <w:t xml:space="preserve">, Tarih: 10.12.215, Sayı: 407, Erişim: </w:t>
      </w:r>
      <w:hyperlink r:id="rId47">
        <w:r w:rsidRPr="009A169A">
          <w:rPr>
            <w:rStyle w:val="Kpr"/>
            <w:rFonts w:eastAsia="Times New Roman"/>
            <w:sz w:val="18"/>
            <w:szCs w:val="18"/>
            <w:u w:val="none"/>
          </w:rPr>
          <w:t>http://www2.tbmm.gov.tr/d26/7/7-0873s.pdf</w:t>
        </w:r>
      </w:hyperlink>
      <w:r w:rsidRPr="009A169A">
        <w:rPr>
          <w:rFonts w:eastAsia="Times New Roman"/>
          <w:sz w:val="18"/>
          <w:szCs w:val="18"/>
        </w:rPr>
        <w:t>, (02.06.2017)</w:t>
      </w:r>
    </w:p>
    <w:p w14:paraId="50A6F9AB"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MHP (2015), </w:t>
      </w:r>
      <w:r w:rsidRPr="009A169A">
        <w:rPr>
          <w:rFonts w:eastAsia="Times New Roman"/>
          <w:i/>
          <w:sz w:val="18"/>
          <w:szCs w:val="18"/>
        </w:rPr>
        <w:t>479 Sayılı MHP Soru Önergesi</w:t>
      </w:r>
      <w:r w:rsidRPr="009A169A">
        <w:rPr>
          <w:rFonts w:eastAsia="Times New Roman"/>
          <w:sz w:val="18"/>
          <w:szCs w:val="18"/>
        </w:rPr>
        <w:t>, Tarih: 11.12.215, Sayı: 479, Erişim: http://www2.tbmm.gov.tr/d26/7/7-0922s.pdf, (02.06.2017)</w:t>
      </w:r>
    </w:p>
    <w:p w14:paraId="30C4F807" w14:textId="77777777" w:rsidR="00FB19C1" w:rsidRPr="009A169A" w:rsidRDefault="00FB19C1" w:rsidP="00DF3667">
      <w:pPr>
        <w:spacing w:after="160"/>
        <w:ind w:left="284" w:hanging="284"/>
        <w:rPr>
          <w:rFonts w:eastAsia="Times New Roman"/>
          <w:sz w:val="18"/>
          <w:szCs w:val="18"/>
        </w:rPr>
      </w:pPr>
      <w:r w:rsidRPr="009A169A">
        <w:rPr>
          <w:rFonts w:eastAsia="Times New Roman"/>
          <w:sz w:val="18"/>
          <w:szCs w:val="18"/>
        </w:rPr>
        <w:t xml:space="preserve">MHP (2015). </w:t>
      </w:r>
      <w:r w:rsidRPr="009A169A">
        <w:rPr>
          <w:rFonts w:eastAsia="Times New Roman"/>
          <w:i/>
          <w:sz w:val="18"/>
          <w:szCs w:val="18"/>
        </w:rPr>
        <w:t>1 Kasım 2015 Seçim Beyannamesi,</w:t>
      </w:r>
      <w:r w:rsidRPr="009A169A">
        <w:rPr>
          <w:rFonts w:eastAsia="Times New Roman"/>
          <w:sz w:val="18"/>
          <w:szCs w:val="18"/>
        </w:rPr>
        <w:t xml:space="preserve"> Erişim: </w:t>
      </w:r>
      <w:hyperlink r:id="rId48">
        <w:r w:rsidRPr="009A169A">
          <w:rPr>
            <w:rStyle w:val="Kpr"/>
            <w:rFonts w:eastAsia="Times New Roman"/>
            <w:sz w:val="18"/>
            <w:szCs w:val="18"/>
            <w:u w:val="none"/>
          </w:rPr>
          <w:t>https://www.mhp.org.tr/usr_img/mhpweb/1kasimsecimleri/beyanname_1kasim2015.pdf</w:t>
        </w:r>
      </w:hyperlink>
      <w:r w:rsidRPr="009A169A">
        <w:rPr>
          <w:rFonts w:eastAsia="Times New Roman"/>
          <w:sz w:val="18"/>
          <w:szCs w:val="18"/>
        </w:rPr>
        <w:t>, Erişim Tarihi: 22.07.2018</w:t>
      </w:r>
    </w:p>
    <w:p w14:paraId="0F6BF565"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MHP (2016), </w:t>
      </w:r>
      <w:r w:rsidRPr="009A169A">
        <w:rPr>
          <w:rFonts w:eastAsia="Times New Roman"/>
          <w:i/>
          <w:sz w:val="18"/>
          <w:szCs w:val="18"/>
        </w:rPr>
        <w:t>756 Sayılı MHP Soru Önergesi</w:t>
      </w:r>
      <w:r w:rsidRPr="009A169A">
        <w:rPr>
          <w:rFonts w:eastAsia="Times New Roman"/>
          <w:sz w:val="18"/>
          <w:szCs w:val="18"/>
        </w:rPr>
        <w:t xml:space="preserve">, Tarih: 18.01.216, Sayı: 756, Erişim: </w:t>
      </w:r>
      <w:hyperlink r:id="rId49">
        <w:r w:rsidRPr="009A169A">
          <w:rPr>
            <w:rStyle w:val="Kpr"/>
            <w:rFonts w:eastAsia="Times New Roman"/>
            <w:sz w:val="18"/>
            <w:szCs w:val="18"/>
            <w:u w:val="none"/>
          </w:rPr>
          <w:t>http://www2.tbmm.gov.tr/d26/7/7-1894s.pdf</w:t>
        </w:r>
      </w:hyperlink>
      <w:r w:rsidRPr="009A169A">
        <w:rPr>
          <w:rFonts w:eastAsia="Times New Roman"/>
          <w:sz w:val="18"/>
          <w:szCs w:val="18"/>
        </w:rPr>
        <w:t>, (02.06.2017)</w:t>
      </w:r>
    </w:p>
    <w:p w14:paraId="3BB1D6CB"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MHP (2016), </w:t>
      </w:r>
      <w:r w:rsidRPr="009A169A">
        <w:rPr>
          <w:rFonts w:eastAsia="Times New Roman"/>
          <w:i/>
          <w:sz w:val="18"/>
          <w:szCs w:val="18"/>
        </w:rPr>
        <w:t>794 Sayılı MHP Soru Önergesi</w:t>
      </w:r>
      <w:r w:rsidRPr="009A169A">
        <w:rPr>
          <w:rFonts w:eastAsia="Times New Roman"/>
          <w:sz w:val="18"/>
          <w:szCs w:val="18"/>
        </w:rPr>
        <w:t xml:space="preserve">, Tarih: 20.01.216, Sayı: 794, Erişim: </w:t>
      </w:r>
      <w:hyperlink r:id="rId50">
        <w:r w:rsidRPr="009A169A">
          <w:rPr>
            <w:rStyle w:val="Kpr"/>
            <w:rFonts w:eastAsia="Times New Roman"/>
            <w:sz w:val="18"/>
            <w:szCs w:val="18"/>
            <w:u w:val="none"/>
          </w:rPr>
          <w:t>http://www2.tbmm.gov.tr/d26/6/6-0198s.pdf</w:t>
        </w:r>
      </w:hyperlink>
      <w:r w:rsidRPr="009A169A">
        <w:rPr>
          <w:rFonts w:eastAsia="Times New Roman"/>
          <w:sz w:val="18"/>
          <w:szCs w:val="18"/>
        </w:rPr>
        <w:t>, (02.06.2017)</w:t>
      </w:r>
    </w:p>
    <w:p w14:paraId="3089FEF1"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MHP (2016), </w:t>
      </w:r>
      <w:r w:rsidRPr="009A169A">
        <w:rPr>
          <w:rFonts w:eastAsia="Times New Roman"/>
          <w:i/>
          <w:sz w:val="18"/>
          <w:szCs w:val="18"/>
        </w:rPr>
        <w:t>804 Sayılı MHP Soru Önergesi</w:t>
      </w:r>
      <w:r w:rsidRPr="009A169A">
        <w:rPr>
          <w:rFonts w:eastAsia="Times New Roman"/>
          <w:sz w:val="18"/>
          <w:szCs w:val="18"/>
        </w:rPr>
        <w:t xml:space="preserve">, Tarih: 20.01.216, Sayı: 804, Erişim: </w:t>
      </w:r>
      <w:hyperlink r:id="rId51">
        <w:r w:rsidRPr="009A169A">
          <w:rPr>
            <w:rStyle w:val="Kpr"/>
            <w:rFonts w:eastAsia="Times New Roman"/>
            <w:sz w:val="18"/>
            <w:szCs w:val="18"/>
            <w:u w:val="none"/>
          </w:rPr>
          <w:t>http://www2.tbmm.gov.tr/d26/7/7-2004s.pdf</w:t>
        </w:r>
      </w:hyperlink>
      <w:r w:rsidRPr="009A169A">
        <w:rPr>
          <w:rFonts w:eastAsia="Times New Roman"/>
          <w:sz w:val="18"/>
          <w:szCs w:val="18"/>
        </w:rPr>
        <w:t>, (02.06.2017)</w:t>
      </w:r>
    </w:p>
    <w:p w14:paraId="39062B2F"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MHP (2016), </w:t>
      </w:r>
      <w:r w:rsidRPr="009A169A">
        <w:rPr>
          <w:rFonts w:eastAsia="Times New Roman"/>
          <w:i/>
          <w:sz w:val="18"/>
          <w:szCs w:val="18"/>
        </w:rPr>
        <w:t>956 Sayılı MHP Soru Önergesi</w:t>
      </w:r>
      <w:r w:rsidRPr="009A169A">
        <w:rPr>
          <w:rFonts w:eastAsia="Times New Roman"/>
          <w:sz w:val="18"/>
          <w:szCs w:val="18"/>
        </w:rPr>
        <w:t>, Tarih: 08.02.216, Sayı: 956, Erişim: http://www2.tbmm.gov.tr/d26/7/7-2482s.pdf, (02.06.2017)</w:t>
      </w:r>
    </w:p>
    <w:p w14:paraId="3CB3766D" w14:textId="77777777"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t xml:space="preserve">Mülteci Hakları Derneği (2018). Erişim: </w:t>
      </w:r>
      <w:hyperlink r:id="rId52">
        <w:r w:rsidRPr="009A169A">
          <w:rPr>
            <w:rStyle w:val="Kpr"/>
            <w:rFonts w:eastAsia="Times New Roman"/>
            <w:sz w:val="18"/>
            <w:szCs w:val="18"/>
            <w:u w:val="none"/>
          </w:rPr>
          <w:t>https://www.umhd.org.tr/2018/03/hangi-ulkede-ne-kadar-multeci-var/</w:t>
        </w:r>
      </w:hyperlink>
      <w:r w:rsidRPr="009A169A">
        <w:rPr>
          <w:rFonts w:eastAsia="Times New Roman"/>
          <w:sz w:val="18"/>
          <w:szCs w:val="18"/>
        </w:rPr>
        <w:t>, (23.07.2018)</w:t>
      </w:r>
    </w:p>
    <w:p w14:paraId="4BD310F5" w14:textId="77777777"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t xml:space="preserve">Mültecilerin Hukuki Statüsüne İlişkin Sözleşme,  Erişim: </w:t>
      </w:r>
      <w:hyperlink r:id="rId53">
        <w:r w:rsidRPr="009A169A">
          <w:rPr>
            <w:rStyle w:val="Kpr"/>
            <w:rFonts w:eastAsia="Times New Roman"/>
            <w:sz w:val="18"/>
            <w:szCs w:val="18"/>
            <w:u w:val="none"/>
          </w:rPr>
          <w:t>http://www.goc.gov.tr/files/files/multec%C4%B1ler%C4%B1nhukuk%C4%B1statusune%C4%B1l%C4%B1sk%C4%B1nsozlesme.pdf</w:t>
        </w:r>
      </w:hyperlink>
      <w:r w:rsidRPr="009A169A">
        <w:rPr>
          <w:rFonts w:eastAsia="Times New Roman"/>
          <w:sz w:val="18"/>
          <w:szCs w:val="18"/>
        </w:rPr>
        <w:t>, (03.06.2017)</w:t>
      </w:r>
    </w:p>
    <w:p w14:paraId="7B3E6D47" w14:textId="77777777" w:rsidR="00FB19C1" w:rsidRPr="009A169A" w:rsidRDefault="00FB19C1" w:rsidP="00DF3667">
      <w:pPr>
        <w:spacing w:before="120" w:after="120"/>
        <w:ind w:left="284" w:hanging="284"/>
        <w:jc w:val="both"/>
        <w:rPr>
          <w:rFonts w:eastAsia="Times New Roman"/>
          <w:sz w:val="18"/>
          <w:szCs w:val="18"/>
        </w:rPr>
      </w:pPr>
      <w:r w:rsidRPr="009A169A">
        <w:rPr>
          <w:sz w:val="18"/>
          <w:szCs w:val="18"/>
        </w:rPr>
        <w:t xml:space="preserve">ORSAM (2015). </w:t>
      </w:r>
      <w:r w:rsidRPr="009A169A">
        <w:rPr>
          <w:i/>
          <w:sz w:val="18"/>
          <w:szCs w:val="18"/>
        </w:rPr>
        <w:t>Suriyeli Sığınmacıların Türkiye’ye Etkileri</w:t>
      </w:r>
      <w:r w:rsidRPr="009A169A">
        <w:rPr>
          <w:sz w:val="18"/>
          <w:szCs w:val="18"/>
        </w:rPr>
        <w:t xml:space="preserve">, Rapor No: 195, Ocak 2015 </w:t>
      </w:r>
      <w:r w:rsidRPr="009A169A">
        <w:rPr>
          <w:rFonts w:eastAsia="Times New Roman"/>
          <w:sz w:val="18"/>
          <w:szCs w:val="18"/>
        </w:rPr>
        <w:t xml:space="preserve">Erişim: </w:t>
      </w:r>
      <w:r w:rsidRPr="009A169A">
        <w:rPr>
          <w:sz w:val="18"/>
          <w:szCs w:val="18"/>
        </w:rPr>
        <w:t>http://tesev.org.tr/wpcontent/uploads/2015/11/Suriyeli_Siginmacilarin_Turkiyeye_Etkileri.pdf (04.08.2018).</w:t>
      </w:r>
    </w:p>
    <w:p w14:paraId="24F33AAD" w14:textId="77777777" w:rsidR="00FB19C1" w:rsidRPr="009A169A" w:rsidRDefault="00FB19C1" w:rsidP="00DF3667">
      <w:pPr>
        <w:pStyle w:val="Default"/>
        <w:spacing w:before="120" w:after="120"/>
        <w:ind w:left="284" w:hanging="284"/>
        <w:rPr>
          <w:rFonts w:eastAsia="Times New Roman"/>
          <w:sz w:val="18"/>
          <w:szCs w:val="18"/>
        </w:rPr>
      </w:pPr>
      <w:r w:rsidRPr="009A169A">
        <w:rPr>
          <w:rStyle w:val="A3"/>
          <w:rFonts w:eastAsia="Times New Roman"/>
          <w:i w:val="0"/>
          <w:iCs w:val="0"/>
          <w:color w:val="auto"/>
          <w:sz w:val="18"/>
          <w:szCs w:val="18"/>
        </w:rPr>
        <w:t xml:space="preserve">Oytun, O., Pirinççi, F., Erkmen, S., Maden, T. E., Kılıç, S., Duman, B. ve Özdemirci, A. S. (2014). Suriye’ye Komşu Ülkelerde Suriyeli </w:t>
      </w:r>
      <w:r w:rsidRPr="009A169A">
        <w:rPr>
          <w:rFonts w:eastAsia="Times New Roman"/>
          <w:i/>
          <w:color w:val="auto"/>
          <w:sz w:val="18"/>
          <w:szCs w:val="18"/>
        </w:rPr>
        <w:t>Mültecilerin Durumu: Bulgular, Sonuçlar Ve Öneriler</w:t>
      </w:r>
      <w:r w:rsidRPr="009A169A">
        <w:rPr>
          <w:rFonts w:eastAsia="Times New Roman"/>
          <w:color w:val="auto"/>
          <w:sz w:val="18"/>
          <w:szCs w:val="18"/>
        </w:rPr>
        <w:t xml:space="preserve"> ( No: 189). Ankara: ORSAM.</w:t>
      </w:r>
      <w:r w:rsidRPr="009A169A">
        <w:rPr>
          <w:rFonts w:eastAsia="Times New Roman"/>
          <w:sz w:val="18"/>
          <w:szCs w:val="18"/>
        </w:rPr>
        <w:t xml:space="preserve"> Erişim: </w:t>
      </w:r>
      <w:r w:rsidRPr="009A169A">
        <w:rPr>
          <w:rFonts w:eastAsia="Times New Roman"/>
          <w:color w:val="auto"/>
          <w:sz w:val="18"/>
          <w:szCs w:val="18"/>
        </w:rPr>
        <w:t xml:space="preserve"> http://www.orsam.org.tr/eski/tr/trUploads/Yazilar/ Dosyalar/201452_189tur.pdf. </w:t>
      </w:r>
      <w:r w:rsidRPr="009A169A">
        <w:rPr>
          <w:rFonts w:eastAsia="Times New Roman"/>
          <w:sz w:val="18"/>
          <w:szCs w:val="18"/>
        </w:rPr>
        <w:t>(23.07.2018)</w:t>
      </w:r>
    </w:p>
    <w:p w14:paraId="221EB852" w14:textId="77777777"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t xml:space="preserve">Öğülmüş, S. (1991). İçerik Çözümlemesi, </w:t>
      </w:r>
      <w:r w:rsidRPr="009A169A">
        <w:rPr>
          <w:rFonts w:eastAsia="Times New Roman"/>
          <w:i/>
          <w:sz w:val="18"/>
          <w:szCs w:val="18"/>
          <w:shd w:val="clear" w:color="auto" w:fill="FFFFFF"/>
        </w:rPr>
        <w:t>Ankara Üniversitesi Eğitim Bilimleri Fakültesi Dergisi</w:t>
      </w:r>
      <w:r w:rsidRPr="009A169A">
        <w:rPr>
          <w:rFonts w:eastAsia="Times New Roman"/>
          <w:sz w:val="18"/>
          <w:szCs w:val="18"/>
          <w:shd w:val="clear" w:color="auto" w:fill="FFFFFF"/>
        </w:rPr>
        <w:t>, 24 (1), 213-228.</w:t>
      </w:r>
    </w:p>
    <w:p w14:paraId="0F91E17B" w14:textId="77777777"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t xml:space="preserve">Öztürk, S. ve Çoltu, S. (2018). Suriyeli Mültecilerin Türkiye Ekonomisine Etkileri, </w:t>
      </w:r>
      <w:r w:rsidRPr="009A169A">
        <w:rPr>
          <w:rFonts w:eastAsia="Times New Roman"/>
          <w:i/>
          <w:sz w:val="18"/>
          <w:szCs w:val="18"/>
        </w:rPr>
        <w:t>Balkan Journal of Social Sciences/Balkan Sosyal Bilimler Dergisi</w:t>
      </w:r>
      <w:r w:rsidRPr="009A169A">
        <w:rPr>
          <w:rFonts w:eastAsia="Times New Roman"/>
          <w:sz w:val="18"/>
          <w:szCs w:val="18"/>
        </w:rPr>
        <w:t>, Volume/Cilt:7-No/Sayı:13, ss.188-198</w:t>
      </w:r>
    </w:p>
    <w:p w14:paraId="6A83EE4B"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Peker B. ve Sancar M., (2005). </w:t>
      </w:r>
      <w:r w:rsidRPr="009A169A">
        <w:rPr>
          <w:rFonts w:eastAsia="Times New Roman"/>
          <w:i/>
          <w:sz w:val="18"/>
          <w:szCs w:val="18"/>
        </w:rPr>
        <w:t>Mülteciler ve İltica Hakkı</w:t>
      </w:r>
      <w:r w:rsidRPr="009A169A">
        <w:rPr>
          <w:rFonts w:eastAsia="Times New Roman"/>
          <w:sz w:val="18"/>
          <w:szCs w:val="18"/>
        </w:rPr>
        <w:t>, İnsan Hakları Derneği İktisadi İşletmesi Yayını.</w:t>
      </w:r>
    </w:p>
    <w:p w14:paraId="62599F71" w14:textId="77777777"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t xml:space="preserve">Smith, A. D. (2004). </w:t>
      </w:r>
      <w:r w:rsidRPr="009A169A">
        <w:rPr>
          <w:rFonts w:eastAsia="Times New Roman"/>
          <w:i/>
          <w:sz w:val="18"/>
          <w:szCs w:val="18"/>
        </w:rPr>
        <w:t>Milli Kimlik</w:t>
      </w:r>
      <w:r w:rsidRPr="009A169A">
        <w:rPr>
          <w:rFonts w:eastAsia="Times New Roman"/>
          <w:sz w:val="18"/>
          <w:szCs w:val="18"/>
        </w:rPr>
        <w:t>, (Çev.) Bahadır Sina ŞENER, İstanbul: İletişim Yayınları.</w:t>
      </w:r>
    </w:p>
    <w:p w14:paraId="234696FB"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Tekdemir, Ö. (2016). </w:t>
      </w:r>
      <w:r w:rsidRPr="009A169A">
        <w:rPr>
          <w:sz w:val="18"/>
          <w:szCs w:val="18"/>
        </w:rPr>
        <w:t xml:space="preserve">Radikal Plüralist Demokratik Parti Olarak HDP’NİN Başka Türkiye Önerisi: Hasım Politikası, Agonizm ve  Poplülizm, </w:t>
      </w:r>
      <w:r w:rsidRPr="009A169A">
        <w:rPr>
          <w:rFonts w:eastAsia="Times New Roman"/>
          <w:i/>
          <w:sz w:val="18"/>
          <w:szCs w:val="18"/>
        </w:rPr>
        <w:t>Ankara Üniversitesi SBF Dergisi</w:t>
      </w:r>
      <w:r w:rsidRPr="009A169A">
        <w:rPr>
          <w:rFonts w:eastAsia="Times New Roman"/>
          <w:sz w:val="18"/>
          <w:szCs w:val="18"/>
        </w:rPr>
        <w:t>, Cilt 71, No. 4, 2016, s. 1211 – 1240.</w:t>
      </w:r>
    </w:p>
    <w:p w14:paraId="661AE85C" w14:textId="77777777" w:rsidR="00FB19C1" w:rsidRPr="009A169A" w:rsidRDefault="00FB19C1" w:rsidP="00DF3667">
      <w:pPr>
        <w:spacing w:before="120" w:after="120"/>
        <w:ind w:left="284" w:hanging="284"/>
        <w:rPr>
          <w:rFonts w:eastAsia="Times New Roman"/>
          <w:sz w:val="18"/>
          <w:szCs w:val="18"/>
        </w:rPr>
      </w:pPr>
      <w:r w:rsidRPr="009A169A">
        <w:rPr>
          <w:rFonts w:eastAsia="Times New Roman"/>
          <w:sz w:val="18"/>
          <w:szCs w:val="18"/>
        </w:rPr>
        <w:t xml:space="preserve">Türkay, Mehtap (2016), </w:t>
      </w:r>
      <w:r w:rsidRPr="009A169A">
        <w:rPr>
          <w:rFonts w:eastAsia="Times New Roman"/>
          <w:i/>
          <w:sz w:val="18"/>
          <w:szCs w:val="18"/>
        </w:rPr>
        <w:t>Çocukların Sorunları, Savaş, Göç ve Sağlık</w:t>
      </w:r>
      <w:r w:rsidRPr="009A169A">
        <w:rPr>
          <w:rFonts w:eastAsia="Times New Roman"/>
          <w:sz w:val="18"/>
          <w:szCs w:val="18"/>
        </w:rPr>
        <w:t>, Ankara: Türk Tabipleri Birliği Yayınları</w:t>
      </w:r>
    </w:p>
    <w:p w14:paraId="3150EEB5" w14:textId="77777777"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t xml:space="preserve">UNHCR. (2018). </w:t>
      </w:r>
      <w:r w:rsidRPr="009A169A">
        <w:rPr>
          <w:rFonts w:eastAsia="Times New Roman"/>
          <w:i/>
          <w:sz w:val="18"/>
          <w:szCs w:val="18"/>
        </w:rPr>
        <w:t>Suriye,</w:t>
      </w:r>
      <w:r w:rsidRPr="009A169A">
        <w:rPr>
          <w:rFonts w:eastAsia="Times New Roman"/>
          <w:sz w:val="18"/>
          <w:szCs w:val="18"/>
        </w:rPr>
        <w:t xml:space="preserve">  Erişim: </w:t>
      </w:r>
      <w:hyperlink r:id="rId54">
        <w:r w:rsidRPr="009A169A">
          <w:rPr>
            <w:rStyle w:val="Kpr"/>
            <w:rFonts w:eastAsia="Times New Roman"/>
            <w:sz w:val="18"/>
            <w:szCs w:val="18"/>
            <w:u w:val="none"/>
          </w:rPr>
          <w:t>https://data2.unhcr.org/en/situations/syria</w:t>
        </w:r>
      </w:hyperlink>
      <w:r w:rsidRPr="009A169A">
        <w:rPr>
          <w:rFonts w:eastAsia="Times New Roman"/>
          <w:sz w:val="18"/>
          <w:szCs w:val="18"/>
        </w:rPr>
        <w:t>, (23.07.2018)</w:t>
      </w:r>
    </w:p>
    <w:p w14:paraId="08E27511" w14:textId="77777777" w:rsidR="00FB19C1" w:rsidRPr="009A169A" w:rsidRDefault="00FB19C1" w:rsidP="00DF3667">
      <w:pPr>
        <w:spacing w:before="120" w:after="120"/>
        <w:ind w:left="284" w:hanging="284"/>
        <w:jc w:val="both"/>
        <w:rPr>
          <w:rFonts w:eastAsia="Times New Roman"/>
          <w:sz w:val="18"/>
          <w:szCs w:val="18"/>
        </w:rPr>
      </w:pPr>
      <w:r w:rsidRPr="009A169A">
        <w:rPr>
          <w:rFonts w:eastAsia="Times New Roman"/>
          <w:sz w:val="18"/>
          <w:szCs w:val="18"/>
        </w:rPr>
        <w:t>Yücel, S.Y. (2017). Avrupa’nın Mültecilerle İmtihanı</w:t>
      </w:r>
      <w:r w:rsidRPr="009A169A">
        <w:rPr>
          <w:rFonts w:eastAsia="Times New Roman"/>
          <w:i/>
          <w:sz w:val="18"/>
          <w:szCs w:val="18"/>
        </w:rPr>
        <w:t>. SETA</w:t>
      </w:r>
      <w:r w:rsidRPr="009A169A">
        <w:rPr>
          <w:rFonts w:eastAsia="Times New Roman"/>
          <w:sz w:val="18"/>
          <w:szCs w:val="18"/>
        </w:rPr>
        <w:t>, Kasım 2017 Sayı: 221</w:t>
      </w:r>
      <w:bookmarkStart w:id="1" w:name="_GoBack"/>
      <w:bookmarkEnd w:id="1"/>
    </w:p>
    <w:sectPr w:rsidR="00FB19C1" w:rsidRPr="009A169A" w:rsidSect="003D16B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DC000" w14:textId="77777777" w:rsidR="003C59AF" w:rsidRDefault="003C59AF" w:rsidP="007D2248">
      <w:r>
        <w:separator/>
      </w:r>
    </w:p>
  </w:endnote>
  <w:endnote w:type="continuationSeparator" w:id="0">
    <w:p w14:paraId="30219680" w14:textId="77777777" w:rsidR="003C59AF" w:rsidRDefault="003C59AF" w:rsidP="007D2248">
      <w:r>
        <w:continuationSeparator/>
      </w:r>
    </w:p>
  </w:endnote>
  <w:endnote w:type="continuationNotice" w:id="1">
    <w:p w14:paraId="37B041C7" w14:textId="77777777" w:rsidR="003C59AF" w:rsidRDefault="003C5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984415"/>
      <w:docPartObj>
        <w:docPartGallery w:val="Page Numbers (Bottom of Page)"/>
        <w:docPartUnique/>
      </w:docPartObj>
    </w:sdtPr>
    <w:sdtEndPr/>
    <w:sdtContent>
      <w:p w14:paraId="471A6628" w14:textId="23F0F2DC" w:rsidR="0029780E" w:rsidRDefault="0029780E">
        <w:pPr>
          <w:pStyle w:val="AltBilgi"/>
          <w:jc w:val="center"/>
        </w:pPr>
        <w:r>
          <w:fldChar w:fldCharType="begin"/>
        </w:r>
        <w:r>
          <w:instrText>PAGE   \* MERGEFORMAT</w:instrText>
        </w:r>
        <w:r>
          <w:fldChar w:fldCharType="separate"/>
        </w:r>
        <w:r w:rsidR="00B0041B">
          <w:rPr>
            <w:noProof/>
          </w:rPr>
          <w:t>695</w:t>
        </w:r>
        <w:r>
          <w:fldChar w:fldCharType="end"/>
        </w:r>
      </w:p>
    </w:sdtContent>
  </w:sdt>
  <w:p w14:paraId="4E7243C2" w14:textId="77777777" w:rsidR="0029780E" w:rsidRDefault="0029780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FFCDD" w14:textId="77777777" w:rsidR="003C59AF" w:rsidRDefault="003C59AF" w:rsidP="007D2248">
      <w:r>
        <w:separator/>
      </w:r>
    </w:p>
  </w:footnote>
  <w:footnote w:type="continuationSeparator" w:id="0">
    <w:p w14:paraId="608D29B9" w14:textId="77777777" w:rsidR="003C59AF" w:rsidRDefault="003C59AF" w:rsidP="007D2248">
      <w:r>
        <w:continuationSeparator/>
      </w:r>
    </w:p>
  </w:footnote>
  <w:footnote w:type="continuationNotice" w:id="1">
    <w:p w14:paraId="1C64AE46" w14:textId="77777777" w:rsidR="003C59AF" w:rsidRDefault="003C59AF"/>
  </w:footnote>
  <w:footnote w:id="2">
    <w:p w14:paraId="0C1F905D" w14:textId="30E93E59" w:rsidR="00477674" w:rsidRPr="00DC695E" w:rsidRDefault="00477674" w:rsidP="00491C8E">
      <w:pPr>
        <w:pStyle w:val="DipnotMetni"/>
        <w:jc w:val="both"/>
        <w:rPr>
          <w:rFonts w:ascii="Times New Roman" w:hAnsi="Times New Roman" w:cs="Times New Roman"/>
          <w:sz w:val="16"/>
          <w:szCs w:val="16"/>
        </w:rPr>
      </w:pPr>
      <w:r w:rsidRPr="00DC695E">
        <w:rPr>
          <w:rStyle w:val="DipnotBavurusu"/>
          <w:rFonts w:ascii="Times New Roman" w:hAnsi="Times New Roman" w:cs="Times New Roman"/>
          <w:sz w:val="16"/>
          <w:szCs w:val="16"/>
        </w:rPr>
        <w:footnoteRef/>
      </w:r>
      <w:r w:rsidRPr="00DC695E">
        <w:rPr>
          <w:rFonts w:ascii="Times New Roman" w:hAnsi="Times New Roman" w:cs="Times New Roman"/>
          <w:sz w:val="16"/>
          <w:szCs w:val="16"/>
        </w:rPr>
        <w:t xml:space="preserve">  Bu makale, 28-30 Eylül 2017 tarihleri arasında Fırat Üniversitesi tarafından düzenlenen 11. Kamu Yönetimi Sempozyumu’nda (KAYSEM) sunulan bildirinin gözden geçirilmiş, genişletilmiş ve güncellenmiş halidir.</w:t>
      </w:r>
    </w:p>
  </w:footnote>
  <w:footnote w:id="3">
    <w:p w14:paraId="3B41F8F5" w14:textId="580E1FDD" w:rsidR="00477674" w:rsidRDefault="00477674" w:rsidP="00491C8E">
      <w:pPr>
        <w:pStyle w:val="DipnotMetni"/>
        <w:jc w:val="both"/>
      </w:pPr>
      <w:r w:rsidRPr="00DC695E">
        <w:rPr>
          <w:rStyle w:val="DipnotBavurusu"/>
          <w:rFonts w:ascii="Times New Roman" w:hAnsi="Times New Roman" w:cs="Times New Roman"/>
          <w:sz w:val="16"/>
          <w:szCs w:val="16"/>
        </w:rPr>
        <w:footnoteRef/>
      </w:r>
      <w:r w:rsidRPr="00DC695E">
        <w:rPr>
          <w:rFonts w:ascii="Times New Roman" w:hAnsi="Times New Roman" w:cs="Times New Roman"/>
          <w:sz w:val="16"/>
          <w:szCs w:val="16"/>
        </w:rPr>
        <w:t xml:space="preserve"> Dr. Ögr. Üyesi, Osmaniye Korkut Ata Üniversitesi, İİBF, Siyaset Bilimi ve Kamu Yönetimi Bölümü, tyolcu@osmaniye.edu.tr</w:t>
      </w:r>
    </w:p>
  </w:footnote>
  <w:footnote w:id="4">
    <w:p w14:paraId="08FF0AED" w14:textId="3266C254" w:rsidR="00477674" w:rsidRPr="00B46F31" w:rsidRDefault="00477674" w:rsidP="00637922">
      <w:pPr>
        <w:pStyle w:val="DipnotMetni"/>
        <w:jc w:val="both"/>
        <w:rPr>
          <w:rFonts w:ascii="Times New Roman" w:eastAsia="Times New Roman" w:hAnsi="Times New Roman" w:cs="Times New Roman"/>
        </w:rPr>
      </w:pPr>
      <w:r w:rsidRPr="7EAA6DFF">
        <w:rPr>
          <w:rStyle w:val="DipnotBavurusu"/>
          <w:rFonts w:ascii="Times New Roman" w:eastAsia="Times New Roman" w:hAnsi="Times New Roman" w:cs="Times New Roman"/>
        </w:rPr>
        <w:footnoteRef/>
      </w:r>
      <w:r w:rsidRPr="7EAA6DFF">
        <w:rPr>
          <w:rFonts w:ascii="Times New Roman" w:eastAsia="Times New Roman" w:hAnsi="Times New Roman" w:cs="Times New Roman"/>
        </w:rPr>
        <w:t xml:space="preserve"> </w:t>
      </w:r>
      <w:r w:rsidRPr="00D3080F">
        <w:rPr>
          <w:rFonts w:ascii="Times New Roman" w:eastAsia="Times New Roman" w:hAnsi="Times New Roman" w:cs="Times New Roman"/>
          <w:sz w:val="16"/>
          <w:szCs w:val="16"/>
        </w:rPr>
        <w:t>Suriye’den Temmuz 2018’e kadar geçen sürede farklı ülkelere göç eden Suriyeli sayısı 5.604.005’dir. En çok göç edilen ülke sıralamasında Türkiye %63 oranı ile birinci sırada yer almaktadır. Türkiye’nin ardından sırasıyla Lübnan, Ürdün, Irak ve Mısır’a göç edilmiştir (</w:t>
      </w:r>
      <w:hyperlink r:id="rId1" w:history="1">
        <w:r w:rsidRPr="00D3080F">
          <w:rPr>
            <w:rStyle w:val="Kpr"/>
            <w:rFonts w:ascii="Times New Roman" w:eastAsia="Times New Roman" w:hAnsi="Times New Roman" w:cs="Times New Roman"/>
            <w:sz w:val="16"/>
            <w:szCs w:val="16"/>
          </w:rPr>
          <w:t>unhcr.org</w:t>
        </w:r>
      </w:hyperlink>
      <w:r w:rsidRPr="00D3080F">
        <w:rPr>
          <w:rFonts w:ascii="Times New Roman" w:eastAsia="Times New Roman" w:hAnsi="Times New Roman" w:cs="Times New Roman"/>
          <w:sz w:val="16"/>
          <w:szCs w:val="16"/>
        </w:rPr>
        <w:t>, 2018) Avrupa ülkelerinde ise Suriyeli mülteci sayısı toplamda 1 milyondur (</w:t>
      </w:r>
      <w:hyperlink r:id="rId2" w:history="1">
        <w:r w:rsidRPr="00D3080F">
          <w:rPr>
            <w:rStyle w:val="Kpr"/>
            <w:rFonts w:ascii="Times New Roman" w:eastAsia="Times New Roman" w:hAnsi="Times New Roman" w:cs="Times New Roman"/>
            <w:sz w:val="16"/>
            <w:szCs w:val="16"/>
          </w:rPr>
          <w:t>umhd.org.tr/,2018</w:t>
        </w:r>
      </w:hyperlink>
      <w:r w:rsidRPr="00D3080F">
        <w:rPr>
          <w:rFonts w:ascii="Times New Roman" w:eastAsia="Times New Roman" w:hAnsi="Times New Roman" w:cs="Times New Roman"/>
          <w:sz w:val="16"/>
          <w:szCs w:val="16"/>
        </w:rPr>
        <w:t>). Bu oran Türkiye’de bulunan sığınmacıların neredeyse üçte biri oranındadır.</w:t>
      </w:r>
      <w:r w:rsidRPr="7EAA6DFF">
        <w:rPr>
          <w:rFonts w:ascii="Times New Roman" w:eastAsia="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192"/>
    <w:multiLevelType w:val="hybridMultilevel"/>
    <w:tmpl w:val="B35A1868"/>
    <w:lvl w:ilvl="0" w:tplc="811A6B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DC97CC4"/>
    <w:multiLevelType w:val="hybridMultilevel"/>
    <w:tmpl w:val="98F0B8BA"/>
    <w:lvl w:ilvl="0" w:tplc="E36E768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22A7DC5"/>
    <w:multiLevelType w:val="hybridMultilevel"/>
    <w:tmpl w:val="7C50A5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B2061"/>
    <w:multiLevelType w:val="hybridMultilevel"/>
    <w:tmpl w:val="8F9CCD62"/>
    <w:lvl w:ilvl="0" w:tplc="34ECD3F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47F75FE"/>
    <w:multiLevelType w:val="multilevel"/>
    <w:tmpl w:val="D7BA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26003D"/>
    <w:multiLevelType w:val="hybridMultilevel"/>
    <w:tmpl w:val="EB548062"/>
    <w:lvl w:ilvl="0" w:tplc="311C640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6F441C0"/>
    <w:multiLevelType w:val="hybridMultilevel"/>
    <w:tmpl w:val="2E94567A"/>
    <w:lvl w:ilvl="0" w:tplc="1304DE4E">
      <w:start w:val="1"/>
      <w:numFmt w:val="lowerLetter"/>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E87A42"/>
    <w:multiLevelType w:val="hybridMultilevel"/>
    <w:tmpl w:val="390E57F0"/>
    <w:lvl w:ilvl="0" w:tplc="E3188FDA">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BB7660"/>
    <w:multiLevelType w:val="hybridMultilevel"/>
    <w:tmpl w:val="9F563F42"/>
    <w:lvl w:ilvl="0" w:tplc="15FE1F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C97246"/>
    <w:multiLevelType w:val="hybridMultilevel"/>
    <w:tmpl w:val="FE16298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6C5C7C"/>
    <w:multiLevelType w:val="hybridMultilevel"/>
    <w:tmpl w:val="83D04FEA"/>
    <w:numStyleLink w:val="eAktarlanStil1"/>
  </w:abstractNum>
  <w:abstractNum w:abstractNumId="11" w15:restartNumberingAfterBreak="0">
    <w:nsid w:val="2A437E06"/>
    <w:multiLevelType w:val="hybridMultilevel"/>
    <w:tmpl w:val="D19A7B0A"/>
    <w:lvl w:ilvl="0" w:tplc="C7EAEBD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38207A"/>
    <w:multiLevelType w:val="hybridMultilevel"/>
    <w:tmpl w:val="9F563F42"/>
    <w:lvl w:ilvl="0" w:tplc="15FE1F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9061E3"/>
    <w:multiLevelType w:val="hybridMultilevel"/>
    <w:tmpl w:val="7EC4BC4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4513259"/>
    <w:multiLevelType w:val="hybridMultilevel"/>
    <w:tmpl w:val="336C45B6"/>
    <w:lvl w:ilvl="0" w:tplc="E52A25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684150"/>
    <w:multiLevelType w:val="multilevel"/>
    <w:tmpl w:val="DBB2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E22A5E"/>
    <w:multiLevelType w:val="hybridMultilevel"/>
    <w:tmpl w:val="9CC6D99A"/>
    <w:lvl w:ilvl="0" w:tplc="A078A9D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0B1F04"/>
    <w:multiLevelType w:val="hybridMultilevel"/>
    <w:tmpl w:val="5B80C0A2"/>
    <w:lvl w:ilvl="0" w:tplc="26F4CB0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3140909"/>
    <w:multiLevelType w:val="hybridMultilevel"/>
    <w:tmpl w:val="F0FEF5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73F0587"/>
    <w:multiLevelType w:val="hybridMultilevel"/>
    <w:tmpl w:val="AE0A65A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4565FE"/>
    <w:multiLevelType w:val="hybridMultilevel"/>
    <w:tmpl w:val="2A8A4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2D10FE"/>
    <w:multiLevelType w:val="hybridMultilevel"/>
    <w:tmpl w:val="36F4885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D784B20"/>
    <w:multiLevelType w:val="hybridMultilevel"/>
    <w:tmpl w:val="9314E8F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C91721"/>
    <w:multiLevelType w:val="hybridMultilevel"/>
    <w:tmpl w:val="87B49136"/>
    <w:lvl w:ilvl="0" w:tplc="041F0019">
      <w:start w:val="1"/>
      <w:numFmt w:val="lowerLetter"/>
      <w:lvlText w:val="%1."/>
      <w:lvlJc w:val="left"/>
      <w:pPr>
        <w:ind w:left="1142" w:hanging="360"/>
      </w:p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24" w15:restartNumberingAfterBreak="0">
    <w:nsid w:val="50383C9A"/>
    <w:multiLevelType w:val="hybridMultilevel"/>
    <w:tmpl w:val="C2388BCC"/>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5D4789"/>
    <w:multiLevelType w:val="hybridMultilevel"/>
    <w:tmpl w:val="73BEA2B4"/>
    <w:lvl w:ilvl="0" w:tplc="70B8D9B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8776896"/>
    <w:multiLevelType w:val="hybridMultilevel"/>
    <w:tmpl w:val="C5A24E4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C913A49"/>
    <w:multiLevelType w:val="hybridMultilevel"/>
    <w:tmpl w:val="F4E6E554"/>
    <w:lvl w:ilvl="0" w:tplc="AA4E0EFA">
      <w:start w:val="1"/>
      <w:numFmt w:val="lowerLetter"/>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28" w15:restartNumberingAfterBreak="0">
    <w:nsid w:val="6DF10818"/>
    <w:multiLevelType w:val="hybridMultilevel"/>
    <w:tmpl w:val="83D04FEA"/>
    <w:styleLink w:val="eAktarlanStil1"/>
    <w:lvl w:ilvl="0" w:tplc="343EB27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CFF1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1E8522">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260B7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443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62E9D6">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0EDA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06BE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82AF0A">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F76569F"/>
    <w:multiLevelType w:val="hybridMultilevel"/>
    <w:tmpl w:val="8BFA808C"/>
    <w:lvl w:ilvl="0" w:tplc="50BA70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3719E0"/>
    <w:multiLevelType w:val="hybridMultilevel"/>
    <w:tmpl w:val="34BC6A4C"/>
    <w:lvl w:ilvl="0" w:tplc="69683732">
      <w:start w:val="1"/>
      <w:numFmt w:val="decimal"/>
      <w:lvlText w:val="%1-"/>
      <w:lvlJc w:val="left"/>
      <w:pPr>
        <w:ind w:left="720" w:hanging="360"/>
      </w:pPr>
      <w:rPr>
        <w:rFonts w:ascii="Times New Roman" w:eastAsia="Arial Unicode MS"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B4151AA"/>
    <w:multiLevelType w:val="hybridMultilevel"/>
    <w:tmpl w:val="B6E4EB0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720D6C"/>
    <w:multiLevelType w:val="hybridMultilevel"/>
    <w:tmpl w:val="26CEF8A8"/>
    <w:lvl w:ilvl="0" w:tplc="F87068F0">
      <w:start w:val="1"/>
      <w:numFmt w:val="decimal"/>
      <w:lvlText w:val="%1."/>
      <w:lvlJc w:val="left"/>
      <w:pPr>
        <w:ind w:left="36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10"/>
  </w:num>
  <w:num w:numId="3">
    <w:abstractNumId w:val="4"/>
  </w:num>
  <w:num w:numId="4">
    <w:abstractNumId w:val="15"/>
  </w:num>
  <w:num w:numId="5">
    <w:abstractNumId w:val="12"/>
  </w:num>
  <w:num w:numId="6">
    <w:abstractNumId w:val="20"/>
  </w:num>
  <w:num w:numId="7">
    <w:abstractNumId w:val="32"/>
  </w:num>
  <w:num w:numId="8">
    <w:abstractNumId w:val="26"/>
  </w:num>
  <w:num w:numId="9">
    <w:abstractNumId w:val="31"/>
  </w:num>
  <w:num w:numId="10">
    <w:abstractNumId w:val="21"/>
  </w:num>
  <w:num w:numId="11">
    <w:abstractNumId w:val="2"/>
  </w:num>
  <w:num w:numId="12">
    <w:abstractNumId w:val="22"/>
  </w:num>
  <w:num w:numId="13">
    <w:abstractNumId w:val="13"/>
  </w:num>
  <w:num w:numId="14">
    <w:abstractNumId w:val="23"/>
  </w:num>
  <w:num w:numId="15">
    <w:abstractNumId w:val="29"/>
  </w:num>
  <w:num w:numId="16">
    <w:abstractNumId w:val="27"/>
  </w:num>
  <w:num w:numId="17">
    <w:abstractNumId w:val="17"/>
  </w:num>
  <w:num w:numId="18">
    <w:abstractNumId w:val="1"/>
  </w:num>
  <w:num w:numId="19">
    <w:abstractNumId w:val="14"/>
  </w:num>
  <w:num w:numId="20">
    <w:abstractNumId w:val="25"/>
  </w:num>
  <w:num w:numId="21">
    <w:abstractNumId w:val="16"/>
  </w:num>
  <w:num w:numId="22">
    <w:abstractNumId w:val="6"/>
  </w:num>
  <w:num w:numId="23">
    <w:abstractNumId w:val="11"/>
  </w:num>
  <w:num w:numId="24">
    <w:abstractNumId w:val="3"/>
  </w:num>
  <w:num w:numId="25">
    <w:abstractNumId w:val="5"/>
  </w:num>
  <w:num w:numId="26">
    <w:abstractNumId w:val="18"/>
  </w:num>
  <w:num w:numId="27">
    <w:abstractNumId w:val="8"/>
  </w:num>
  <w:num w:numId="28">
    <w:abstractNumId w:val="0"/>
  </w:num>
  <w:num w:numId="29">
    <w:abstractNumId w:val="30"/>
  </w:num>
  <w:num w:numId="30">
    <w:abstractNumId w:val="9"/>
  </w:num>
  <w:num w:numId="31">
    <w:abstractNumId w:val="19"/>
  </w:num>
  <w:num w:numId="32">
    <w:abstractNumId w:val="2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48"/>
    <w:rsid w:val="00000174"/>
    <w:rsid w:val="0000358F"/>
    <w:rsid w:val="000443B8"/>
    <w:rsid w:val="00062C84"/>
    <w:rsid w:val="000719AE"/>
    <w:rsid w:val="00073948"/>
    <w:rsid w:val="00083558"/>
    <w:rsid w:val="0008679E"/>
    <w:rsid w:val="00094A18"/>
    <w:rsid w:val="000A2EC9"/>
    <w:rsid w:val="000A43FA"/>
    <w:rsid w:val="000A4773"/>
    <w:rsid w:val="000C067C"/>
    <w:rsid w:val="000C7609"/>
    <w:rsid w:val="000D0756"/>
    <w:rsid w:val="000D1337"/>
    <w:rsid w:val="000D6036"/>
    <w:rsid w:val="000E030A"/>
    <w:rsid w:val="000E1456"/>
    <w:rsid w:val="000E4604"/>
    <w:rsid w:val="000F4DB1"/>
    <w:rsid w:val="000F7941"/>
    <w:rsid w:val="001005A0"/>
    <w:rsid w:val="00102479"/>
    <w:rsid w:val="00106464"/>
    <w:rsid w:val="00106F58"/>
    <w:rsid w:val="0011150B"/>
    <w:rsid w:val="00111870"/>
    <w:rsid w:val="00113508"/>
    <w:rsid w:val="00127619"/>
    <w:rsid w:val="00146193"/>
    <w:rsid w:val="00146FA5"/>
    <w:rsid w:val="00167974"/>
    <w:rsid w:val="0017263C"/>
    <w:rsid w:val="0017287D"/>
    <w:rsid w:val="00173434"/>
    <w:rsid w:val="00175823"/>
    <w:rsid w:val="00183D04"/>
    <w:rsid w:val="00190184"/>
    <w:rsid w:val="0019378A"/>
    <w:rsid w:val="001A3BC8"/>
    <w:rsid w:val="001A4525"/>
    <w:rsid w:val="001C3CD7"/>
    <w:rsid w:val="001C45EA"/>
    <w:rsid w:val="001D06CC"/>
    <w:rsid w:val="001D5305"/>
    <w:rsid w:val="001F14EA"/>
    <w:rsid w:val="001F1E7D"/>
    <w:rsid w:val="001F6292"/>
    <w:rsid w:val="00202AB9"/>
    <w:rsid w:val="00205FFE"/>
    <w:rsid w:val="002331CF"/>
    <w:rsid w:val="00234264"/>
    <w:rsid w:val="00234B4F"/>
    <w:rsid w:val="002432AE"/>
    <w:rsid w:val="0024373E"/>
    <w:rsid w:val="00252C2A"/>
    <w:rsid w:val="002548DE"/>
    <w:rsid w:val="002565DC"/>
    <w:rsid w:val="002819EA"/>
    <w:rsid w:val="002903BB"/>
    <w:rsid w:val="002949C3"/>
    <w:rsid w:val="0029780E"/>
    <w:rsid w:val="002A37B2"/>
    <w:rsid w:val="002A5419"/>
    <w:rsid w:val="002B1B40"/>
    <w:rsid w:val="002C1AF7"/>
    <w:rsid w:val="002D05E4"/>
    <w:rsid w:val="002D2868"/>
    <w:rsid w:val="002D7A8D"/>
    <w:rsid w:val="002E5DA4"/>
    <w:rsid w:val="002E75A5"/>
    <w:rsid w:val="002F058E"/>
    <w:rsid w:val="003033C6"/>
    <w:rsid w:val="00334948"/>
    <w:rsid w:val="00351E6B"/>
    <w:rsid w:val="00374A1E"/>
    <w:rsid w:val="00377178"/>
    <w:rsid w:val="0038297F"/>
    <w:rsid w:val="00382A3C"/>
    <w:rsid w:val="00385ACA"/>
    <w:rsid w:val="003A426D"/>
    <w:rsid w:val="003A5809"/>
    <w:rsid w:val="003B3B95"/>
    <w:rsid w:val="003B5D35"/>
    <w:rsid w:val="003C2251"/>
    <w:rsid w:val="003C59AF"/>
    <w:rsid w:val="003C7F45"/>
    <w:rsid w:val="003D16B9"/>
    <w:rsid w:val="003D633C"/>
    <w:rsid w:val="003E576A"/>
    <w:rsid w:val="004072FB"/>
    <w:rsid w:val="0040743A"/>
    <w:rsid w:val="0040770B"/>
    <w:rsid w:val="0041258D"/>
    <w:rsid w:val="00420D20"/>
    <w:rsid w:val="00441F32"/>
    <w:rsid w:val="004457F3"/>
    <w:rsid w:val="004549A0"/>
    <w:rsid w:val="004740C0"/>
    <w:rsid w:val="004749F3"/>
    <w:rsid w:val="0047630B"/>
    <w:rsid w:val="00477674"/>
    <w:rsid w:val="00482BCD"/>
    <w:rsid w:val="00486261"/>
    <w:rsid w:val="00491C8E"/>
    <w:rsid w:val="004A5184"/>
    <w:rsid w:val="004B2B63"/>
    <w:rsid w:val="004C739F"/>
    <w:rsid w:val="004D0056"/>
    <w:rsid w:val="004D08F5"/>
    <w:rsid w:val="004D1D32"/>
    <w:rsid w:val="004E3AB1"/>
    <w:rsid w:val="004E7B04"/>
    <w:rsid w:val="004F1463"/>
    <w:rsid w:val="004F2BB9"/>
    <w:rsid w:val="004F515D"/>
    <w:rsid w:val="004F6015"/>
    <w:rsid w:val="00520576"/>
    <w:rsid w:val="0053269B"/>
    <w:rsid w:val="00533264"/>
    <w:rsid w:val="0054281F"/>
    <w:rsid w:val="00543217"/>
    <w:rsid w:val="005502E8"/>
    <w:rsid w:val="00554A9F"/>
    <w:rsid w:val="0056450D"/>
    <w:rsid w:val="005A62D6"/>
    <w:rsid w:val="005B2418"/>
    <w:rsid w:val="005C22E0"/>
    <w:rsid w:val="005C2BC2"/>
    <w:rsid w:val="005C4072"/>
    <w:rsid w:val="005D53EF"/>
    <w:rsid w:val="005E06B9"/>
    <w:rsid w:val="006004B5"/>
    <w:rsid w:val="00604354"/>
    <w:rsid w:val="00605FA0"/>
    <w:rsid w:val="006115D7"/>
    <w:rsid w:val="00615387"/>
    <w:rsid w:val="006175C8"/>
    <w:rsid w:val="00620383"/>
    <w:rsid w:val="00627A1D"/>
    <w:rsid w:val="00636CC9"/>
    <w:rsid w:val="00637922"/>
    <w:rsid w:val="00641CC5"/>
    <w:rsid w:val="00652551"/>
    <w:rsid w:val="00663505"/>
    <w:rsid w:val="00667372"/>
    <w:rsid w:val="0068606A"/>
    <w:rsid w:val="00693DB2"/>
    <w:rsid w:val="006A6C04"/>
    <w:rsid w:val="006A777E"/>
    <w:rsid w:val="006A7BDD"/>
    <w:rsid w:val="006B691F"/>
    <w:rsid w:val="006C7210"/>
    <w:rsid w:val="006D19D4"/>
    <w:rsid w:val="006D2AA6"/>
    <w:rsid w:val="006D34D0"/>
    <w:rsid w:val="006E045F"/>
    <w:rsid w:val="006F0A5C"/>
    <w:rsid w:val="007020A3"/>
    <w:rsid w:val="007036CB"/>
    <w:rsid w:val="00717746"/>
    <w:rsid w:val="00725B48"/>
    <w:rsid w:val="007316DC"/>
    <w:rsid w:val="00734EF8"/>
    <w:rsid w:val="00745232"/>
    <w:rsid w:val="00755E19"/>
    <w:rsid w:val="0076013B"/>
    <w:rsid w:val="00761C4A"/>
    <w:rsid w:val="0076337A"/>
    <w:rsid w:val="00770A1F"/>
    <w:rsid w:val="00790E4B"/>
    <w:rsid w:val="0079277A"/>
    <w:rsid w:val="007B1F1C"/>
    <w:rsid w:val="007D055A"/>
    <w:rsid w:val="007D2248"/>
    <w:rsid w:val="007D2CB9"/>
    <w:rsid w:val="007D5556"/>
    <w:rsid w:val="007F33CC"/>
    <w:rsid w:val="007F56F5"/>
    <w:rsid w:val="00803998"/>
    <w:rsid w:val="00816214"/>
    <w:rsid w:val="008217BE"/>
    <w:rsid w:val="00822BD8"/>
    <w:rsid w:val="008249B4"/>
    <w:rsid w:val="00834E04"/>
    <w:rsid w:val="00836C19"/>
    <w:rsid w:val="00844DE8"/>
    <w:rsid w:val="00856DBE"/>
    <w:rsid w:val="008617C7"/>
    <w:rsid w:val="0087011E"/>
    <w:rsid w:val="00894EE2"/>
    <w:rsid w:val="008A0E3C"/>
    <w:rsid w:val="008B5B39"/>
    <w:rsid w:val="008C0708"/>
    <w:rsid w:val="008D50B5"/>
    <w:rsid w:val="008D5DC8"/>
    <w:rsid w:val="008E56B6"/>
    <w:rsid w:val="008F3520"/>
    <w:rsid w:val="00900A7D"/>
    <w:rsid w:val="0091426A"/>
    <w:rsid w:val="0091452F"/>
    <w:rsid w:val="0092124D"/>
    <w:rsid w:val="00925B10"/>
    <w:rsid w:val="00944BDC"/>
    <w:rsid w:val="00973A14"/>
    <w:rsid w:val="009A169A"/>
    <w:rsid w:val="009A2D2C"/>
    <w:rsid w:val="009B0A2C"/>
    <w:rsid w:val="009B6A08"/>
    <w:rsid w:val="009C3D00"/>
    <w:rsid w:val="009C7653"/>
    <w:rsid w:val="009D6DAF"/>
    <w:rsid w:val="009E4CDB"/>
    <w:rsid w:val="009E70F6"/>
    <w:rsid w:val="009F4D50"/>
    <w:rsid w:val="009F7CF1"/>
    <w:rsid w:val="00A01D73"/>
    <w:rsid w:val="00A052A2"/>
    <w:rsid w:val="00A10B27"/>
    <w:rsid w:val="00A114D1"/>
    <w:rsid w:val="00A12E95"/>
    <w:rsid w:val="00A22811"/>
    <w:rsid w:val="00A22C71"/>
    <w:rsid w:val="00A35BA6"/>
    <w:rsid w:val="00A51930"/>
    <w:rsid w:val="00A53576"/>
    <w:rsid w:val="00A562B8"/>
    <w:rsid w:val="00A64252"/>
    <w:rsid w:val="00A67231"/>
    <w:rsid w:val="00A70E25"/>
    <w:rsid w:val="00A761B0"/>
    <w:rsid w:val="00A86713"/>
    <w:rsid w:val="00A873B8"/>
    <w:rsid w:val="00A9331B"/>
    <w:rsid w:val="00AA1C96"/>
    <w:rsid w:val="00AA2F07"/>
    <w:rsid w:val="00AB0BF2"/>
    <w:rsid w:val="00AB3EF6"/>
    <w:rsid w:val="00AB5882"/>
    <w:rsid w:val="00AB58E4"/>
    <w:rsid w:val="00AD08CD"/>
    <w:rsid w:val="00AD4D72"/>
    <w:rsid w:val="00AE2782"/>
    <w:rsid w:val="00AE43E2"/>
    <w:rsid w:val="00AE7C5E"/>
    <w:rsid w:val="00AF135D"/>
    <w:rsid w:val="00AF2F2B"/>
    <w:rsid w:val="00B0041B"/>
    <w:rsid w:val="00B010F3"/>
    <w:rsid w:val="00B06CE4"/>
    <w:rsid w:val="00B15A51"/>
    <w:rsid w:val="00B40C94"/>
    <w:rsid w:val="00B426CC"/>
    <w:rsid w:val="00B434BB"/>
    <w:rsid w:val="00B46F31"/>
    <w:rsid w:val="00B51EC0"/>
    <w:rsid w:val="00B64C38"/>
    <w:rsid w:val="00B66486"/>
    <w:rsid w:val="00B80C2F"/>
    <w:rsid w:val="00B85758"/>
    <w:rsid w:val="00B86A39"/>
    <w:rsid w:val="00B87B19"/>
    <w:rsid w:val="00B91482"/>
    <w:rsid w:val="00B96CF8"/>
    <w:rsid w:val="00BA41C8"/>
    <w:rsid w:val="00BB2C6A"/>
    <w:rsid w:val="00BB753F"/>
    <w:rsid w:val="00BB78FD"/>
    <w:rsid w:val="00BC5802"/>
    <w:rsid w:val="00BE10A5"/>
    <w:rsid w:val="00BF445D"/>
    <w:rsid w:val="00BF6E88"/>
    <w:rsid w:val="00C057C4"/>
    <w:rsid w:val="00C07B27"/>
    <w:rsid w:val="00C14A6A"/>
    <w:rsid w:val="00C36F55"/>
    <w:rsid w:val="00C52692"/>
    <w:rsid w:val="00C52CFE"/>
    <w:rsid w:val="00C607B0"/>
    <w:rsid w:val="00C6434A"/>
    <w:rsid w:val="00C706E6"/>
    <w:rsid w:val="00C76827"/>
    <w:rsid w:val="00C81EB3"/>
    <w:rsid w:val="00CA7646"/>
    <w:rsid w:val="00CC0F3B"/>
    <w:rsid w:val="00CD1A06"/>
    <w:rsid w:val="00CD4835"/>
    <w:rsid w:val="00CE46C2"/>
    <w:rsid w:val="00CF60F4"/>
    <w:rsid w:val="00CF7866"/>
    <w:rsid w:val="00D00D03"/>
    <w:rsid w:val="00D019A0"/>
    <w:rsid w:val="00D07F85"/>
    <w:rsid w:val="00D20D68"/>
    <w:rsid w:val="00D24D54"/>
    <w:rsid w:val="00D3056D"/>
    <w:rsid w:val="00D3080F"/>
    <w:rsid w:val="00D3704F"/>
    <w:rsid w:val="00D37B2F"/>
    <w:rsid w:val="00D44721"/>
    <w:rsid w:val="00D44E7D"/>
    <w:rsid w:val="00D52403"/>
    <w:rsid w:val="00D641FA"/>
    <w:rsid w:val="00D64E12"/>
    <w:rsid w:val="00D753A0"/>
    <w:rsid w:val="00D76601"/>
    <w:rsid w:val="00D773E0"/>
    <w:rsid w:val="00D959AB"/>
    <w:rsid w:val="00DA3F54"/>
    <w:rsid w:val="00DA565E"/>
    <w:rsid w:val="00DC53BB"/>
    <w:rsid w:val="00DC695E"/>
    <w:rsid w:val="00DD36B3"/>
    <w:rsid w:val="00DD38F1"/>
    <w:rsid w:val="00DD7B4C"/>
    <w:rsid w:val="00DF31DA"/>
    <w:rsid w:val="00DF3667"/>
    <w:rsid w:val="00DF7E23"/>
    <w:rsid w:val="00E07D95"/>
    <w:rsid w:val="00E2000B"/>
    <w:rsid w:val="00E20E43"/>
    <w:rsid w:val="00E20F0F"/>
    <w:rsid w:val="00E34E2E"/>
    <w:rsid w:val="00E36754"/>
    <w:rsid w:val="00E41D2A"/>
    <w:rsid w:val="00E56BF9"/>
    <w:rsid w:val="00E7055A"/>
    <w:rsid w:val="00E71627"/>
    <w:rsid w:val="00E802D2"/>
    <w:rsid w:val="00E8490B"/>
    <w:rsid w:val="00E8581B"/>
    <w:rsid w:val="00E93BD4"/>
    <w:rsid w:val="00E965E3"/>
    <w:rsid w:val="00E96C0D"/>
    <w:rsid w:val="00EA7139"/>
    <w:rsid w:val="00EC10EB"/>
    <w:rsid w:val="00EC5BA0"/>
    <w:rsid w:val="00ED2EC0"/>
    <w:rsid w:val="00EE0E00"/>
    <w:rsid w:val="00EE3395"/>
    <w:rsid w:val="00F130E5"/>
    <w:rsid w:val="00F22DE7"/>
    <w:rsid w:val="00F263B3"/>
    <w:rsid w:val="00F271F6"/>
    <w:rsid w:val="00F27566"/>
    <w:rsid w:val="00F31979"/>
    <w:rsid w:val="00F500D3"/>
    <w:rsid w:val="00F531BF"/>
    <w:rsid w:val="00F54CF3"/>
    <w:rsid w:val="00F54DA3"/>
    <w:rsid w:val="00F7025C"/>
    <w:rsid w:val="00F74229"/>
    <w:rsid w:val="00F76963"/>
    <w:rsid w:val="00F92296"/>
    <w:rsid w:val="00F92C02"/>
    <w:rsid w:val="00F975D2"/>
    <w:rsid w:val="00FA3977"/>
    <w:rsid w:val="00FA3DD4"/>
    <w:rsid w:val="00FB19C1"/>
    <w:rsid w:val="00FD0708"/>
    <w:rsid w:val="00FE239E"/>
    <w:rsid w:val="00FE6D7C"/>
    <w:rsid w:val="00FF2773"/>
    <w:rsid w:val="0F87D0B8"/>
    <w:rsid w:val="16EC5136"/>
    <w:rsid w:val="1B146E46"/>
    <w:rsid w:val="3AC9AC55"/>
    <w:rsid w:val="565CB895"/>
    <w:rsid w:val="7824184F"/>
    <w:rsid w:val="7EAA6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0D87"/>
  <w15:docId w15:val="{CAFE0A42-DB0C-46B1-8318-FC15E33C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46C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k1">
    <w:name w:val="heading 1"/>
    <w:link w:val="Balk1Char"/>
    <w:rsid w:val="007D2248"/>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n-US" w:eastAsia="tr-TR"/>
    </w:rPr>
  </w:style>
  <w:style w:type="paragraph" w:styleId="Balk3">
    <w:name w:val="heading 3"/>
    <w:basedOn w:val="Normal"/>
    <w:next w:val="Normal"/>
    <w:link w:val="Balk3Char"/>
    <w:uiPriority w:val="9"/>
    <w:semiHidden/>
    <w:unhideWhenUsed/>
    <w:qFormat/>
    <w:rsid w:val="004F515D"/>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D2248"/>
    <w:rPr>
      <w:rFonts w:ascii="Times New Roman" w:eastAsia="Arial Unicode MS" w:hAnsi="Times New Roman" w:cs="Arial Unicode MS"/>
      <w:b/>
      <w:bCs/>
      <w:color w:val="000000"/>
      <w:kern w:val="36"/>
      <w:sz w:val="48"/>
      <w:szCs w:val="48"/>
      <w:u w:color="000000"/>
      <w:bdr w:val="nil"/>
      <w:lang w:val="en-US" w:eastAsia="tr-TR"/>
    </w:rPr>
  </w:style>
  <w:style w:type="numbering" w:customStyle="1" w:styleId="ListeYok1">
    <w:name w:val="Liste Yok1"/>
    <w:next w:val="ListeYok"/>
    <w:uiPriority w:val="99"/>
    <w:semiHidden/>
    <w:unhideWhenUsed/>
    <w:rsid w:val="007D2248"/>
  </w:style>
  <w:style w:type="character" w:styleId="Kpr">
    <w:name w:val="Hyperlink"/>
    <w:rsid w:val="007D2248"/>
    <w:rPr>
      <w:u w:val="single"/>
    </w:rPr>
  </w:style>
  <w:style w:type="table" w:customStyle="1" w:styleId="TableNormal">
    <w:name w:val="Table Normal"/>
    <w:rsid w:val="007D22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BalkveAltlk">
    <w:name w:val="Başlık ve Altlık"/>
    <w:rsid w:val="007D2248"/>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tr-TR"/>
    </w:rPr>
  </w:style>
  <w:style w:type="paragraph" w:customStyle="1" w:styleId="Gvde">
    <w:name w:val="Gövde"/>
    <w:rsid w:val="007D224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tr-TR"/>
    </w:rPr>
  </w:style>
  <w:style w:type="paragraph" w:styleId="DipnotMetni">
    <w:name w:val="footnote text"/>
    <w:link w:val="DipnotMetniChar"/>
    <w:rsid w:val="007D224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tr-TR"/>
    </w:rPr>
  </w:style>
  <w:style w:type="character" w:customStyle="1" w:styleId="DipnotMetniChar">
    <w:name w:val="Dipnot Metni Char"/>
    <w:basedOn w:val="VarsaylanParagrafYazTipi"/>
    <w:link w:val="DipnotMetni"/>
    <w:rsid w:val="007D2248"/>
    <w:rPr>
      <w:rFonts w:ascii="Calibri" w:eastAsia="Calibri" w:hAnsi="Calibri" w:cs="Calibri"/>
      <w:color w:val="000000"/>
      <w:sz w:val="20"/>
      <w:szCs w:val="20"/>
      <w:u w:color="000000"/>
      <w:bdr w:val="nil"/>
      <w:lang w:eastAsia="tr-TR"/>
    </w:rPr>
  </w:style>
  <w:style w:type="numbering" w:customStyle="1" w:styleId="eAktarlanStil1">
    <w:name w:val="İçe Aktarılan Stil 1"/>
    <w:rsid w:val="007D2248"/>
    <w:pPr>
      <w:numPr>
        <w:numId w:val="1"/>
      </w:numPr>
    </w:pPr>
  </w:style>
  <w:style w:type="character" w:customStyle="1" w:styleId="Yok">
    <w:name w:val="Yok"/>
    <w:rsid w:val="007D2248"/>
  </w:style>
  <w:style w:type="character" w:customStyle="1" w:styleId="Hyperlink0">
    <w:name w:val="Hyperlink.0"/>
    <w:basedOn w:val="Yok"/>
    <w:rsid w:val="007D2248"/>
    <w:rPr>
      <w:rFonts w:ascii="Times New Roman" w:eastAsia="Times New Roman" w:hAnsi="Times New Roman" w:cs="Times New Roman"/>
      <w:color w:val="000000"/>
      <w:sz w:val="24"/>
      <w:szCs w:val="24"/>
      <w:u w:val="single" w:color="000000"/>
    </w:rPr>
  </w:style>
  <w:style w:type="paragraph" w:styleId="ListeParagraf">
    <w:name w:val="List Paragraph"/>
    <w:rsid w:val="007D2248"/>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tr-TR"/>
    </w:rPr>
  </w:style>
  <w:style w:type="character" w:customStyle="1" w:styleId="Balant">
    <w:name w:val="Bağlantı"/>
    <w:rsid w:val="007D2248"/>
    <w:rPr>
      <w:color w:val="0000FF"/>
      <w:u w:val="single" w:color="0000FF"/>
    </w:rPr>
  </w:style>
  <w:style w:type="character" w:customStyle="1" w:styleId="Hyperlink1">
    <w:name w:val="Hyperlink.1"/>
    <w:basedOn w:val="Balant"/>
    <w:rsid w:val="007D2248"/>
    <w:rPr>
      <w:rFonts w:ascii="Times New Roman" w:eastAsia="Times New Roman" w:hAnsi="Times New Roman" w:cs="Times New Roman"/>
      <w:color w:val="000000"/>
      <w:sz w:val="24"/>
      <w:szCs w:val="24"/>
      <w:u w:val="single" w:color="000000"/>
    </w:rPr>
  </w:style>
  <w:style w:type="paragraph" w:customStyle="1" w:styleId="paragraph">
    <w:name w:val="paragraph"/>
    <w:basedOn w:val="Normal"/>
    <w:rsid w:val="00183D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tr-TR"/>
    </w:rPr>
  </w:style>
  <w:style w:type="character" w:customStyle="1" w:styleId="normaltextrun">
    <w:name w:val="normaltextrun"/>
    <w:basedOn w:val="VarsaylanParagrafYazTipi"/>
    <w:rsid w:val="00183D04"/>
  </w:style>
  <w:style w:type="character" w:customStyle="1" w:styleId="spellingerror">
    <w:name w:val="spellingerror"/>
    <w:basedOn w:val="VarsaylanParagrafYazTipi"/>
    <w:rsid w:val="00183D04"/>
  </w:style>
  <w:style w:type="character" w:customStyle="1" w:styleId="apple-converted-space">
    <w:name w:val="apple-converted-space"/>
    <w:basedOn w:val="VarsaylanParagrafYazTipi"/>
    <w:rsid w:val="00183D04"/>
  </w:style>
  <w:style w:type="character" w:customStyle="1" w:styleId="eop">
    <w:name w:val="eop"/>
    <w:basedOn w:val="VarsaylanParagrafYazTipi"/>
    <w:rsid w:val="00183D04"/>
  </w:style>
  <w:style w:type="character" w:styleId="DipnotBavurusu">
    <w:name w:val="footnote reference"/>
    <w:basedOn w:val="VarsaylanParagrafYazTipi"/>
    <w:uiPriority w:val="99"/>
    <w:semiHidden/>
    <w:unhideWhenUsed/>
    <w:rsid w:val="00C52692"/>
    <w:rPr>
      <w:vertAlign w:val="superscript"/>
    </w:rPr>
  </w:style>
  <w:style w:type="character" w:styleId="AklamaBavurusu">
    <w:name w:val="annotation reference"/>
    <w:basedOn w:val="VarsaylanParagrafYazTipi"/>
    <w:uiPriority w:val="99"/>
    <w:semiHidden/>
    <w:unhideWhenUsed/>
    <w:rsid w:val="00D3056D"/>
    <w:rPr>
      <w:sz w:val="18"/>
      <w:szCs w:val="18"/>
    </w:rPr>
  </w:style>
  <w:style w:type="paragraph" w:styleId="AklamaMetni">
    <w:name w:val="annotation text"/>
    <w:basedOn w:val="Normal"/>
    <w:link w:val="AklamaMetniChar"/>
    <w:uiPriority w:val="99"/>
    <w:semiHidden/>
    <w:unhideWhenUsed/>
    <w:rsid w:val="00D3056D"/>
  </w:style>
  <w:style w:type="character" w:customStyle="1" w:styleId="AklamaMetniChar">
    <w:name w:val="Açıklama Metni Char"/>
    <w:basedOn w:val="VarsaylanParagrafYazTipi"/>
    <w:link w:val="AklamaMetni"/>
    <w:uiPriority w:val="99"/>
    <w:semiHidden/>
    <w:rsid w:val="00D3056D"/>
    <w:rPr>
      <w:rFonts w:ascii="Times New Roman" w:eastAsia="Arial Unicode MS" w:hAnsi="Times New Roman" w:cs="Times New Roman"/>
      <w:sz w:val="24"/>
      <w:szCs w:val="24"/>
      <w:bdr w:val="nil"/>
    </w:rPr>
  </w:style>
  <w:style w:type="paragraph" w:styleId="AklamaKonusu">
    <w:name w:val="annotation subject"/>
    <w:basedOn w:val="AklamaMetni"/>
    <w:next w:val="AklamaMetni"/>
    <w:link w:val="AklamaKonusuChar"/>
    <w:uiPriority w:val="99"/>
    <w:semiHidden/>
    <w:unhideWhenUsed/>
    <w:rsid w:val="00D3056D"/>
    <w:rPr>
      <w:b/>
      <w:bCs/>
      <w:sz w:val="20"/>
      <w:szCs w:val="20"/>
    </w:rPr>
  </w:style>
  <w:style w:type="character" w:customStyle="1" w:styleId="AklamaKonusuChar">
    <w:name w:val="Açıklama Konusu Char"/>
    <w:basedOn w:val="AklamaMetniChar"/>
    <w:link w:val="AklamaKonusu"/>
    <w:uiPriority w:val="99"/>
    <w:semiHidden/>
    <w:rsid w:val="00D3056D"/>
    <w:rPr>
      <w:rFonts w:ascii="Times New Roman" w:eastAsia="Arial Unicode MS" w:hAnsi="Times New Roman" w:cs="Times New Roman"/>
      <w:b/>
      <w:bCs/>
      <w:sz w:val="20"/>
      <w:szCs w:val="20"/>
      <w:bdr w:val="nil"/>
    </w:rPr>
  </w:style>
  <w:style w:type="paragraph" w:styleId="BalonMetni">
    <w:name w:val="Balloon Text"/>
    <w:basedOn w:val="Normal"/>
    <w:link w:val="BalonMetniChar"/>
    <w:uiPriority w:val="99"/>
    <w:semiHidden/>
    <w:unhideWhenUsed/>
    <w:rsid w:val="00D3056D"/>
    <w:rPr>
      <w:sz w:val="18"/>
      <w:szCs w:val="18"/>
    </w:rPr>
  </w:style>
  <w:style w:type="character" w:customStyle="1" w:styleId="BalonMetniChar">
    <w:name w:val="Balon Metni Char"/>
    <w:basedOn w:val="VarsaylanParagrafYazTipi"/>
    <w:link w:val="BalonMetni"/>
    <w:uiPriority w:val="99"/>
    <w:semiHidden/>
    <w:rsid w:val="00D3056D"/>
    <w:rPr>
      <w:rFonts w:ascii="Times New Roman" w:eastAsia="Arial Unicode MS" w:hAnsi="Times New Roman" w:cs="Times New Roman"/>
      <w:sz w:val="18"/>
      <w:szCs w:val="18"/>
      <w:bdr w:val="nil"/>
    </w:rPr>
  </w:style>
  <w:style w:type="table" w:styleId="TabloKlavuzu">
    <w:name w:val="Table Grid"/>
    <w:basedOn w:val="NormalTablo"/>
    <w:uiPriority w:val="39"/>
    <w:rsid w:val="002D2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E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4321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TMLncedenBiimlendirilmi">
    <w:name w:val="HTML Preformatted"/>
    <w:basedOn w:val="Normal"/>
    <w:link w:val="HTMLncedenBiimlendirilmiChar"/>
    <w:uiPriority w:val="99"/>
    <w:semiHidden/>
    <w:unhideWhenUsed/>
    <w:rsid w:val="005502E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tr-TR"/>
    </w:rPr>
  </w:style>
  <w:style w:type="character" w:customStyle="1" w:styleId="HTMLncedenBiimlendirilmiChar">
    <w:name w:val="HTML Önceden Biçimlendirilmiş Char"/>
    <w:basedOn w:val="VarsaylanParagrafYazTipi"/>
    <w:link w:val="HTMLncedenBiimlendirilmi"/>
    <w:uiPriority w:val="99"/>
    <w:semiHidden/>
    <w:rsid w:val="005502E8"/>
    <w:rPr>
      <w:rFonts w:ascii="Courier New" w:eastAsia="Times New Roman" w:hAnsi="Courier New" w:cs="Courier New"/>
      <w:sz w:val="20"/>
      <w:szCs w:val="20"/>
      <w:lang w:eastAsia="tr-TR"/>
    </w:rPr>
  </w:style>
  <w:style w:type="character" w:customStyle="1" w:styleId="Balk3Char">
    <w:name w:val="Başlık 3 Char"/>
    <w:basedOn w:val="VarsaylanParagrafYazTipi"/>
    <w:link w:val="Balk3"/>
    <w:uiPriority w:val="9"/>
    <w:semiHidden/>
    <w:rsid w:val="004F515D"/>
    <w:rPr>
      <w:rFonts w:asciiTheme="majorHAnsi" w:eastAsiaTheme="majorEastAsia" w:hAnsiTheme="majorHAnsi" w:cstheme="majorBidi"/>
      <w:color w:val="1F4D78" w:themeColor="accent1" w:themeShade="7F"/>
      <w:sz w:val="24"/>
      <w:szCs w:val="24"/>
      <w:bdr w:val="nil"/>
    </w:rPr>
  </w:style>
  <w:style w:type="character" w:customStyle="1" w:styleId="UnresolvedMention">
    <w:name w:val="Unresolved Mention"/>
    <w:basedOn w:val="VarsaylanParagrafYazTipi"/>
    <w:uiPriority w:val="99"/>
    <w:semiHidden/>
    <w:unhideWhenUsed/>
    <w:rsid w:val="001F14EA"/>
    <w:rPr>
      <w:color w:val="605E5C"/>
      <w:shd w:val="clear" w:color="auto" w:fill="E1DFDD"/>
    </w:rPr>
  </w:style>
  <w:style w:type="paragraph" w:customStyle="1" w:styleId="Default">
    <w:name w:val="Default"/>
    <w:rsid w:val="002432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2432AE"/>
    <w:rPr>
      <w:b/>
      <w:bCs/>
      <w:color w:val="000000"/>
      <w:sz w:val="20"/>
      <w:szCs w:val="20"/>
    </w:rPr>
  </w:style>
  <w:style w:type="character" w:customStyle="1" w:styleId="A9">
    <w:name w:val="A9"/>
    <w:uiPriority w:val="99"/>
    <w:rsid w:val="002432AE"/>
    <w:rPr>
      <w:b/>
      <w:bCs/>
      <w:color w:val="000000"/>
      <w:sz w:val="11"/>
      <w:szCs w:val="11"/>
    </w:rPr>
  </w:style>
  <w:style w:type="character" w:customStyle="1" w:styleId="A8">
    <w:name w:val="A8"/>
    <w:uiPriority w:val="99"/>
    <w:rsid w:val="00F263B3"/>
    <w:rPr>
      <w:b/>
      <w:bCs/>
      <w:i/>
      <w:iCs/>
      <w:color w:val="000000"/>
      <w:sz w:val="32"/>
      <w:szCs w:val="32"/>
    </w:rPr>
  </w:style>
  <w:style w:type="character" w:customStyle="1" w:styleId="A3">
    <w:name w:val="A3"/>
    <w:uiPriority w:val="99"/>
    <w:rsid w:val="00F263B3"/>
    <w:rPr>
      <w:i/>
      <w:iCs/>
      <w:color w:val="000000"/>
      <w:sz w:val="22"/>
      <w:szCs w:val="22"/>
    </w:rPr>
  </w:style>
  <w:style w:type="paragraph" w:styleId="stBilgi">
    <w:name w:val="header"/>
    <w:basedOn w:val="Normal"/>
    <w:link w:val="stBilgiChar"/>
    <w:uiPriority w:val="99"/>
    <w:unhideWhenUsed/>
    <w:rsid w:val="00C36F55"/>
    <w:pPr>
      <w:tabs>
        <w:tab w:val="center" w:pos="4536"/>
        <w:tab w:val="right" w:pos="9072"/>
      </w:tabs>
    </w:pPr>
  </w:style>
  <w:style w:type="character" w:customStyle="1" w:styleId="stBilgiChar">
    <w:name w:val="Üst Bilgi Char"/>
    <w:basedOn w:val="VarsaylanParagrafYazTipi"/>
    <w:link w:val="stBilgi"/>
    <w:uiPriority w:val="99"/>
    <w:rsid w:val="00C36F55"/>
    <w:rPr>
      <w:rFonts w:ascii="Times New Roman" w:eastAsia="Arial Unicode MS" w:hAnsi="Times New Roman" w:cs="Times New Roman"/>
      <w:sz w:val="24"/>
      <w:szCs w:val="24"/>
      <w:bdr w:val="nil"/>
    </w:rPr>
  </w:style>
  <w:style w:type="paragraph" w:styleId="AltBilgi">
    <w:name w:val="footer"/>
    <w:basedOn w:val="Normal"/>
    <w:link w:val="AltBilgiChar"/>
    <w:uiPriority w:val="99"/>
    <w:unhideWhenUsed/>
    <w:rsid w:val="00C36F55"/>
    <w:pPr>
      <w:tabs>
        <w:tab w:val="center" w:pos="4536"/>
        <w:tab w:val="right" w:pos="9072"/>
      </w:tabs>
    </w:pPr>
  </w:style>
  <w:style w:type="character" w:customStyle="1" w:styleId="AltBilgiChar">
    <w:name w:val="Alt Bilgi Char"/>
    <w:basedOn w:val="VarsaylanParagrafYazTipi"/>
    <w:link w:val="AltBilgi"/>
    <w:uiPriority w:val="99"/>
    <w:rsid w:val="00C36F5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32389">
      <w:bodyDiv w:val="1"/>
      <w:marLeft w:val="0"/>
      <w:marRight w:val="0"/>
      <w:marTop w:val="0"/>
      <w:marBottom w:val="0"/>
      <w:divBdr>
        <w:top w:val="none" w:sz="0" w:space="0" w:color="auto"/>
        <w:left w:val="none" w:sz="0" w:space="0" w:color="auto"/>
        <w:bottom w:val="none" w:sz="0" w:space="0" w:color="auto"/>
        <w:right w:val="none" w:sz="0" w:space="0" w:color="auto"/>
      </w:divBdr>
    </w:div>
    <w:div w:id="159320136">
      <w:bodyDiv w:val="1"/>
      <w:marLeft w:val="0"/>
      <w:marRight w:val="0"/>
      <w:marTop w:val="0"/>
      <w:marBottom w:val="0"/>
      <w:divBdr>
        <w:top w:val="none" w:sz="0" w:space="0" w:color="auto"/>
        <w:left w:val="none" w:sz="0" w:space="0" w:color="auto"/>
        <w:bottom w:val="none" w:sz="0" w:space="0" w:color="auto"/>
        <w:right w:val="none" w:sz="0" w:space="0" w:color="auto"/>
      </w:divBdr>
      <w:divsChild>
        <w:div w:id="454057948">
          <w:marLeft w:val="0"/>
          <w:marRight w:val="0"/>
          <w:marTop w:val="0"/>
          <w:marBottom w:val="0"/>
          <w:divBdr>
            <w:top w:val="none" w:sz="0" w:space="0" w:color="auto"/>
            <w:left w:val="none" w:sz="0" w:space="0" w:color="auto"/>
            <w:bottom w:val="none" w:sz="0" w:space="0" w:color="auto"/>
            <w:right w:val="none" w:sz="0" w:space="0" w:color="auto"/>
          </w:divBdr>
        </w:div>
        <w:div w:id="467745429">
          <w:marLeft w:val="0"/>
          <w:marRight w:val="0"/>
          <w:marTop w:val="0"/>
          <w:marBottom w:val="0"/>
          <w:divBdr>
            <w:top w:val="none" w:sz="0" w:space="0" w:color="auto"/>
            <w:left w:val="none" w:sz="0" w:space="0" w:color="auto"/>
            <w:bottom w:val="none" w:sz="0" w:space="0" w:color="auto"/>
            <w:right w:val="none" w:sz="0" w:space="0" w:color="auto"/>
          </w:divBdr>
        </w:div>
        <w:div w:id="1953243121">
          <w:marLeft w:val="0"/>
          <w:marRight w:val="0"/>
          <w:marTop w:val="0"/>
          <w:marBottom w:val="0"/>
          <w:divBdr>
            <w:top w:val="none" w:sz="0" w:space="0" w:color="auto"/>
            <w:left w:val="none" w:sz="0" w:space="0" w:color="auto"/>
            <w:bottom w:val="none" w:sz="0" w:space="0" w:color="auto"/>
            <w:right w:val="none" w:sz="0" w:space="0" w:color="auto"/>
          </w:divBdr>
        </w:div>
        <w:div w:id="2140875622">
          <w:marLeft w:val="0"/>
          <w:marRight w:val="0"/>
          <w:marTop w:val="0"/>
          <w:marBottom w:val="0"/>
          <w:divBdr>
            <w:top w:val="none" w:sz="0" w:space="0" w:color="auto"/>
            <w:left w:val="none" w:sz="0" w:space="0" w:color="auto"/>
            <w:bottom w:val="none" w:sz="0" w:space="0" w:color="auto"/>
            <w:right w:val="none" w:sz="0" w:space="0" w:color="auto"/>
          </w:divBdr>
        </w:div>
        <w:div w:id="1827166700">
          <w:marLeft w:val="0"/>
          <w:marRight w:val="0"/>
          <w:marTop w:val="0"/>
          <w:marBottom w:val="0"/>
          <w:divBdr>
            <w:top w:val="none" w:sz="0" w:space="0" w:color="auto"/>
            <w:left w:val="none" w:sz="0" w:space="0" w:color="auto"/>
            <w:bottom w:val="none" w:sz="0" w:space="0" w:color="auto"/>
            <w:right w:val="none" w:sz="0" w:space="0" w:color="auto"/>
          </w:divBdr>
        </w:div>
        <w:div w:id="1709260425">
          <w:marLeft w:val="0"/>
          <w:marRight w:val="0"/>
          <w:marTop w:val="0"/>
          <w:marBottom w:val="0"/>
          <w:divBdr>
            <w:top w:val="none" w:sz="0" w:space="0" w:color="auto"/>
            <w:left w:val="none" w:sz="0" w:space="0" w:color="auto"/>
            <w:bottom w:val="none" w:sz="0" w:space="0" w:color="auto"/>
            <w:right w:val="none" w:sz="0" w:space="0" w:color="auto"/>
          </w:divBdr>
        </w:div>
        <w:div w:id="382868738">
          <w:marLeft w:val="0"/>
          <w:marRight w:val="0"/>
          <w:marTop w:val="0"/>
          <w:marBottom w:val="0"/>
          <w:divBdr>
            <w:top w:val="none" w:sz="0" w:space="0" w:color="auto"/>
            <w:left w:val="none" w:sz="0" w:space="0" w:color="auto"/>
            <w:bottom w:val="none" w:sz="0" w:space="0" w:color="auto"/>
            <w:right w:val="none" w:sz="0" w:space="0" w:color="auto"/>
          </w:divBdr>
        </w:div>
        <w:div w:id="1714619363">
          <w:marLeft w:val="0"/>
          <w:marRight w:val="0"/>
          <w:marTop w:val="0"/>
          <w:marBottom w:val="0"/>
          <w:divBdr>
            <w:top w:val="none" w:sz="0" w:space="0" w:color="auto"/>
            <w:left w:val="none" w:sz="0" w:space="0" w:color="auto"/>
            <w:bottom w:val="none" w:sz="0" w:space="0" w:color="auto"/>
            <w:right w:val="none" w:sz="0" w:space="0" w:color="auto"/>
          </w:divBdr>
        </w:div>
        <w:div w:id="377097757">
          <w:marLeft w:val="0"/>
          <w:marRight w:val="0"/>
          <w:marTop w:val="0"/>
          <w:marBottom w:val="0"/>
          <w:divBdr>
            <w:top w:val="none" w:sz="0" w:space="0" w:color="auto"/>
            <w:left w:val="none" w:sz="0" w:space="0" w:color="auto"/>
            <w:bottom w:val="none" w:sz="0" w:space="0" w:color="auto"/>
            <w:right w:val="none" w:sz="0" w:space="0" w:color="auto"/>
          </w:divBdr>
        </w:div>
        <w:div w:id="137306452">
          <w:marLeft w:val="0"/>
          <w:marRight w:val="0"/>
          <w:marTop w:val="0"/>
          <w:marBottom w:val="0"/>
          <w:divBdr>
            <w:top w:val="none" w:sz="0" w:space="0" w:color="auto"/>
            <w:left w:val="none" w:sz="0" w:space="0" w:color="auto"/>
            <w:bottom w:val="none" w:sz="0" w:space="0" w:color="auto"/>
            <w:right w:val="none" w:sz="0" w:space="0" w:color="auto"/>
          </w:divBdr>
        </w:div>
        <w:div w:id="704794167">
          <w:marLeft w:val="0"/>
          <w:marRight w:val="0"/>
          <w:marTop w:val="0"/>
          <w:marBottom w:val="0"/>
          <w:divBdr>
            <w:top w:val="none" w:sz="0" w:space="0" w:color="auto"/>
            <w:left w:val="none" w:sz="0" w:space="0" w:color="auto"/>
            <w:bottom w:val="none" w:sz="0" w:space="0" w:color="auto"/>
            <w:right w:val="none" w:sz="0" w:space="0" w:color="auto"/>
          </w:divBdr>
        </w:div>
        <w:div w:id="1085103945">
          <w:marLeft w:val="0"/>
          <w:marRight w:val="0"/>
          <w:marTop w:val="0"/>
          <w:marBottom w:val="0"/>
          <w:divBdr>
            <w:top w:val="none" w:sz="0" w:space="0" w:color="auto"/>
            <w:left w:val="none" w:sz="0" w:space="0" w:color="auto"/>
            <w:bottom w:val="none" w:sz="0" w:space="0" w:color="auto"/>
            <w:right w:val="none" w:sz="0" w:space="0" w:color="auto"/>
          </w:divBdr>
        </w:div>
        <w:div w:id="398788287">
          <w:marLeft w:val="0"/>
          <w:marRight w:val="0"/>
          <w:marTop w:val="0"/>
          <w:marBottom w:val="0"/>
          <w:divBdr>
            <w:top w:val="none" w:sz="0" w:space="0" w:color="auto"/>
            <w:left w:val="none" w:sz="0" w:space="0" w:color="auto"/>
            <w:bottom w:val="none" w:sz="0" w:space="0" w:color="auto"/>
            <w:right w:val="none" w:sz="0" w:space="0" w:color="auto"/>
          </w:divBdr>
        </w:div>
        <w:div w:id="1200779650">
          <w:marLeft w:val="0"/>
          <w:marRight w:val="0"/>
          <w:marTop w:val="0"/>
          <w:marBottom w:val="0"/>
          <w:divBdr>
            <w:top w:val="none" w:sz="0" w:space="0" w:color="auto"/>
            <w:left w:val="none" w:sz="0" w:space="0" w:color="auto"/>
            <w:bottom w:val="none" w:sz="0" w:space="0" w:color="auto"/>
            <w:right w:val="none" w:sz="0" w:space="0" w:color="auto"/>
          </w:divBdr>
        </w:div>
        <w:div w:id="1060979868">
          <w:marLeft w:val="0"/>
          <w:marRight w:val="0"/>
          <w:marTop w:val="0"/>
          <w:marBottom w:val="0"/>
          <w:divBdr>
            <w:top w:val="none" w:sz="0" w:space="0" w:color="auto"/>
            <w:left w:val="none" w:sz="0" w:space="0" w:color="auto"/>
            <w:bottom w:val="none" w:sz="0" w:space="0" w:color="auto"/>
            <w:right w:val="none" w:sz="0" w:space="0" w:color="auto"/>
          </w:divBdr>
        </w:div>
        <w:div w:id="569657849">
          <w:marLeft w:val="0"/>
          <w:marRight w:val="0"/>
          <w:marTop w:val="0"/>
          <w:marBottom w:val="0"/>
          <w:divBdr>
            <w:top w:val="none" w:sz="0" w:space="0" w:color="auto"/>
            <w:left w:val="none" w:sz="0" w:space="0" w:color="auto"/>
            <w:bottom w:val="none" w:sz="0" w:space="0" w:color="auto"/>
            <w:right w:val="none" w:sz="0" w:space="0" w:color="auto"/>
          </w:divBdr>
        </w:div>
        <w:div w:id="1645546457">
          <w:marLeft w:val="0"/>
          <w:marRight w:val="0"/>
          <w:marTop w:val="0"/>
          <w:marBottom w:val="0"/>
          <w:divBdr>
            <w:top w:val="none" w:sz="0" w:space="0" w:color="auto"/>
            <w:left w:val="none" w:sz="0" w:space="0" w:color="auto"/>
            <w:bottom w:val="none" w:sz="0" w:space="0" w:color="auto"/>
            <w:right w:val="none" w:sz="0" w:space="0" w:color="auto"/>
          </w:divBdr>
        </w:div>
        <w:div w:id="277758503">
          <w:marLeft w:val="0"/>
          <w:marRight w:val="0"/>
          <w:marTop w:val="0"/>
          <w:marBottom w:val="0"/>
          <w:divBdr>
            <w:top w:val="none" w:sz="0" w:space="0" w:color="auto"/>
            <w:left w:val="none" w:sz="0" w:space="0" w:color="auto"/>
            <w:bottom w:val="none" w:sz="0" w:space="0" w:color="auto"/>
            <w:right w:val="none" w:sz="0" w:space="0" w:color="auto"/>
          </w:divBdr>
        </w:div>
        <w:div w:id="1665431739">
          <w:marLeft w:val="0"/>
          <w:marRight w:val="0"/>
          <w:marTop w:val="0"/>
          <w:marBottom w:val="0"/>
          <w:divBdr>
            <w:top w:val="none" w:sz="0" w:space="0" w:color="auto"/>
            <w:left w:val="none" w:sz="0" w:space="0" w:color="auto"/>
            <w:bottom w:val="none" w:sz="0" w:space="0" w:color="auto"/>
            <w:right w:val="none" w:sz="0" w:space="0" w:color="auto"/>
          </w:divBdr>
        </w:div>
        <w:div w:id="1371345452">
          <w:marLeft w:val="0"/>
          <w:marRight w:val="0"/>
          <w:marTop w:val="0"/>
          <w:marBottom w:val="0"/>
          <w:divBdr>
            <w:top w:val="none" w:sz="0" w:space="0" w:color="auto"/>
            <w:left w:val="none" w:sz="0" w:space="0" w:color="auto"/>
            <w:bottom w:val="none" w:sz="0" w:space="0" w:color="auto"/>
            <w:right w:val="none" w:sz="0" w:space="0" w:color="auto"/>
          </w:divBdr>
        </w:div>
        <w:div w:id="934091954">
          <w:marLeft w:val="0"/>
          <w:marRight w:val="0"/>
          <w:marTop w:val="0"/>
          <w:marBottom w:val="0"/>
          <w:divBdr>
            <w:top w:val="none" w:sz="0" w:space="0" w:color="auto"/>
            <w:left w:val="none" w:sz="0" w:space="0" w:color="auto"/>
            <w:bottom w:val="none" w:sz="0" w:space="0" w:color="auto"/>
            <w:right w:val="none" w:sz="0" w:space="0" w:color="auto"/>
          </w:divBdr>
        </w:div>
        <w:div w:id="1711489726">
          <w:marLeft w:val="0"/>
          <w:marRight w:val="0"/>
          <w:marTop w:val="0"/>
          <w:marBottom w:val="0"/>
          <w:divBdr>
            <w:top w:val="none" w:sz="0" w:space="0" w:color="auto"/>
            <w:left w:val="none" w:sz="0" w:space="0" w:color="auto"/>
            <w:bottom w:val="none" w:sz="0" w:space="0" w:color="auto"/>
            <w:right w:val="none" w:sz="0" w:space="0" w:color="auto"/>
          </w:divBdr>
        </w:div>
        <w:div w:id="2089300808">
          <w:marLeft w:val="0"/>
          <w:marRight w:val="0"/>
          <w:marTop w:val="0"/>
          <w:marBottom w:val="0"/>
          <w:divBdr>
            <w:top w:val="none" w:sz="0" w:space="0" w:color="auto"/>
            <w:left w:val="none" w:sz="0" w:space="0" w:color="auto"/>
            <w:bottom w:val="none" w:sz="0" w:space="0" w:color="auto"/>
            <w:right w:val="none" w:sz="0" w:space="0" w:color="auto"/>
          </w:divBdr>
        </w:div>
        <w:div w:id="1658419967">
          <w:marLeft w:val="0"/>
          <w:marRight w:val="0"/>
          <w:marTop w:val="0"/>
          <w:marBottom w:val="0"/>
          <w:divBdr>
            <w:top w:val="none" w:sz="0" w:space="0" w:color="auto"/>
            <w:left w:val="none" w:sz="0" w:space="0" w:color="auto"/>
            <w:bottom w:val="none" w:sz="0" w:space="0" w:color="auto"/>
            <w:right w:val="none" w:sz="0" w:space="0" w:color="auto"/>
          </w:divBdr>
        </w:div>
        <w:div w:id="867764068">
          <w:marLeft w:val="0"/>
          <w:marRight w:val="0"/>
          <w:marTop w:val="0"/>
          <w:marBottom w:val="0"/>
          <w:divBdr>
            <w:top w:val="none" w:sz="0" w:space="0" w:color="auto"/>
            <w:left w:val="none" w:sz="0" w:space="0" w:color="auto"/>
            <w:bottom w:val="none" w:sz="0" w:space="0" w:color="auto"/>
            <w:right w:val="none" w:sz="0" w:space="0" w:color="auto"/>
          </w:divBdr>
        </w:div>
        <w:div w:id="201483109">
          <w:marLeft w:val="0"/>
          <w:marRight w:val="0"/>
          <w:marTop w:val="0"/>
          <w:marBottom w:val="0"/>
          <w:divBdr>
            <w:top w:val="none" w:sz="0" w:space="0" w:color="auto"/>
            <w:left w:val="none" w:sz="0" w:space="0" w:color="auto"/>
            <w:bottom w:val="none" w:sz="0" w:space="0" w:color="auto"/>
            <w:right w:val="none" w:sz="0" w:space="0" w:color="auto"/>
          </w:divBdr>
        </w:div>
        <w:div w:id="943146043">
          <w:marLeft w:val="0"/>
          <w:marRight w:val="0"/>
          <w:marTop w:val="0"/>
          <w:marBottom w:val="0"/>
          <w:divBdr>
            <w:top w:val="none" w:sz="0" w:space="0" w:color="auto"/>
            <w:left w:val="none" w:sz="0" w:space="0" w:color="auto"/>
            <w:bottom w:val="none" w:sz="0" w:space="0" w:color="auto"/>
            <w:right w:val="none" w:sz="0" w:space="0" w:color="auto"/>
          </w:divBdr>
        </w:div>
        <w:div w:id="783501703">
          <w:marLeft w:val="0"/>
          <w:marRight w:val="0"/>
          <w:marTop w:val="0"/>
          <w:marBottom w:val="0"/>
          <w:divBdr>
            <w:top w:val="none" w:sz="0" w:space="0" w:color="auto"/>
            <w:left w:val="none" w:sz="0" w:space="0" w:color="auto"/>
            <w:bottom w:val="none" w:sz="0" w:space="0" w:color="auto"/>
            <w:right w:val="none" w:sz="0" w:space="0" w:color="auto"/>
          </w:divBdr>
        </w:div>
        <w:div w:id="1389769940">
          <w:marLeft w:val="0"/>
          <w:marRight w:val="0"/>
          <w:marTop w:val="0"/>
          <w:marBottom w:val="0"/>
          <w:divBdr>
            <w:top w:val="none" w:sz="0" w:space="0" w:color="auto"/>
            <w:left w:val="none" w:sz="0" w:space="0" w:color="auto"/>
            <w:bottom w:val="none" w:sz="0" w:space="0" w:color="auto"/>
            <w:right w:val="none" w:sz="0" w:space="0" w:color="auto"/>
          </w:divBdr>
        </w:div>
        <w:div w:id="1110391212">
          <w:marLeft w:val="0"/>
          <w:marRight w:val="0"/>
          <w:marTop w:val="0"/>
          <w:marBottom w:val="0"/>
          <w:divBdr>
            <w:top w:val="none" w:sz="0" w:space="0" w:color="auto"/>
            <w:left w:val="none" w:sz="0" w:space="0" w:color="auto"/>
            <w:bottom w:val="none" w:sz="0" w:space="0" w:color="auto"/>
            <w:right w:val="none" w:sz="0" w:space="0" w:color="auto"/>
          </w:divBdr>
        </w:div>
        <w:div w:id="68043369">
          <w:marLeft w:val="0"/>
          <w:marRight w:val="0"/>
          <w:marTop w:val="0"/>
          <w:marBottom w:val="0"/>
          <w:divBdr>
            <w:top w:val="none" w:sz="0" w:space="0" w:color="auto"/>
            <w:left w:val="none" w:sz="0" w:space="0" w:color="auto"/>
            <w:bottom w:val="none" w:sz="0" w:space="0" w:color="auto"/>
            <w:right w:val="none" w:sz="0" w:space="0" w:color="auto"/>
          </w:divBdr>
        </w:div>
        <w:div w:id="1355502502">
          <w:marLeft w:val="0"/>
          <w:marRight w:val="0"/>
          <w:marTop w:val="0"/>
          <w:marBottom w:val="0"/>
          <w:divBdr>
            <w:top w:val="none" w:sz="0" w:space="0" w:color="auto"/>
            <w:left w:val="none" w:sz="0" w:space="0" w:color="auto"/>
            <w:bottom w:val="none" w:sz="0" w:space="0" w:color="auto"/>
            <w:right w:val="none" w:sz="0" w:space="0" w:color="auto"/>
          </w:divBdr>
        </w:div>
        <w:div w:id="754984711">
          <w:marLeft w:val="0"/>
          <w:marRight w:val="0"/>
          <w:marTop w:val="0"/>
          <w:marBottom w:val="0"/>
          <w:divBdr>
            <w:top w:val="none" w:sz="0" w:space="0" w:color="auto"/>
            <w:left w:val="none" w:sz="0" w:space="0" w:color="auto"/>
            <w:bottom w:val="none" w:sz="0" w:space="0" w:color="auto"/>
            <w:right w:val="none" w:sz="0" w:space="0" w:color="auto"/>
          </w:divBdr>
        </w:div>
        <w:div w:id="971982489">
          <w:marLeft w:val="0"/>
          <w:marRight w:val="0"/>
          <w:marTop w:val="0"/>
          <w:marBottom w:val="0"/>
          <w:divBdr>
            <w:top w:val="none" w:sz="0" w:space="0" w:color="auto"/>
            <w:left w:val="none" w:sz="0" w:space="0" w:color="auto"/>
            <w:bottom w:val="none" w:sz="0" w:space="0" w:color="auto"/>
            <w:right w:val="none" w:sz="0" w:space="0" w:color="auto"/>
          </w:divBdr>
        </w:div>
        <w:div w:id="3170182">
          <w:marLeft w:val="0"/>
          <w:marRight w:val="0"/>
          <w:marTop w:val="0"/>
          <w:marBottom w:val="0"/>
          <w:divBdr>
            <w:top w:val="none" w:sz="0" w:space="0" w:color="auto"/>
            <w:left w:val="none" w:sz="0" w:space="0" w:color="auto"/>
            <w:bottom w:val="none" w:sz="0" w:space="0" w:color="auto"/>
            <w:right w:val="none" w:sz="0" w:space="0" w:color="auto"/>
          </w:divBdr>
        </w:div>
        <w:div w:id="752554722">
          <w:marLeft w:val="0"/>
          <w:marRight w:val="0"/>
          <w:marTop w:val="0"/>
          <w:marBottom w:val="0"/>
          <w:divBdr>
            <w:top w:val="none" w:sz="0" w:space="0" w:color="auto"/>
            <w:left w:val="none" w:sz="0" w:space="0" w:color="auto"/>
            <w:bottom w:val="none" w:sz="0" w:space="0" w:color="auto"/>
            <w:right w:val="none" w:sz="0" w:space="0" w:color="auto"/>
          </w:divBdr>
        </w:div>
        <w:div w:id="1742865783">
          <w:marLeft w:val="0"/>
          <w:marRight w:val="0"/>
          <w:marTop w:val="0"/>
          <w:marBottom w:val="0"/>
          <w:divBdr>
            <w:top w:val="none" w:sz="0" w:space="0" w:color="auto"/>
            <w:left w:val="none" w:sz="0" w:space="0" w:color="auto"/>
            <w:bottom w:val="none" w:sz="0" w:space="0" w:color="auto"/>
            <w:right w:val="none" w:sz="0" w:space="0" w:color="auto"/>
          </w:divBdr>
        </w:div>
        <w:div w:id="877939599">
          <w:marLeft w:val="0"/>
          <w:marRight w:val="0"/>
          <w:marTop w:val="0"/>
          <w:marBottom w:val="0"/>
          <w:divBdr>
            <w:top w:val="none" w:sz="0" w:space="0" w:color="auto"/>
            <w:left w:val="none" w:sz="0" w:space="0" w:color="auto"/>
            <w:bottom w:val="none" w:sz="0" w:space="0" w:color="auto"/>
            <w:right w:val="none" w:sz="0" w:space="0" w:color="auto"/>
          </w:divBdr>
        </w:div>
        <w:div w:id="1020812990">
          <w:marLeft w:val="0"/>
          <w:marRight w:val="0"/>
          <w:marTop w:val="0"/>
          <w:marBottom w:val="0"/>
          <w:divBdr>
            <w:top w:val="none" w:sz="0" w:space="0" w:color="auto"/>
            <w:left w:val="none" w:sz="0" w:space="0" w:color="auto"/>
            <w:bottom w:val="none" w:sz="0" w:space="0" w:color="auto"/>
            <w:right w:val="none" w:sz="0" w:space="0" w:color="auto"/>
          </w:divBdr>
        </w:div>
        <w:div w:id="842821992">
          <w:marLeft w:val="0"/>
          <w:marRight w:val="0"/>
          <w:marTop w:val="0"/>
          <w:marBottom w:val="0"/>
          <w:divBdr>
            <w:top w:val="none" w:sz="0" w:space="0" w:color="auto"/>
            <w:left w:val="none" w:sz="0" w:space="0" w:color="auto"/>
            <w:bottom w:val="none" w:sz="0" w:space="0" w:color="auto"/>
            <w:right w:val="none" w:sz="0" w:space="0" w:color="auto"/>
          </w:divBdr>
        </w:div>
        <w:div w:id="1176188303">
          <w:marLeft w:val="0"/>
          <w:marRight w:val="0"/>
          <w:marTop w:val="0"/>
          <w:marBottom w:val="0"/>
          <w:divBdr>
            <w:top w:val="none" w:sz="0" w:space="0" w:color="auto"/>
            <w:left w:val="none" w:sz="0" w:space="0" w:color="auto"/>
            <w:bottom w:val="none" w:sz="0" w:space="0" w:color="auto"/>
            <w:right w:val="none" w:sz="0" w:space="0" w:color="auto"/>
          </w:divBdr>
        </w:div>
        <w:div w:id="1150516924">
          <w:marLeft w:val="0"/>
          <w:marRight w:val="0"/>
          <w:marTop w:val="0"/>
          <w:marBottom w:val="0"/>
          <w:divBdr>
            <w:top w:val="none" w:sz="0" w:space="0" w:color="auto"/>
            <w:left w:val="none" w:sz="0" w:space="0" w:color="auto"/>
            <w:bottom w:val="none" w:sz="0" w:space="0" w:color="auto"/>
            <w:right w:val="none" w:sz="0" w:space="0" w:color="auto"/>
          </w:divBdr>
        </w:div>
        <w:div w:id="438260208">
          <w:marLeft w:val="0"/>
          <w:marRight w:val="0"/>
          <w:marTop w:val="0"/>
          <w:marBottom w:val="0"/>
          <w:divBdr>
            <w:top w:val="none" w:sz="0" w:space="0" w:color="auto"/>
            <w:left w:val="none" w:sz="0" w:space="0" w:color="auto"/>
            <w:bottom w:val="none" w:sz="0" w:space="0" w:color="auto"/>
            <w:right w:val="none" w:sz="0" w:space="0" w:color="auto"/>
          </w:divBdr>
        </w:div>
        <w:div w:id="26032616">
          <w:marLeft w:val="0"/>
          <w:marRight w:val="0"/>
          <w:marTop w:val="0"/>
          <w:marBottom w:val="0"/>
          <w:divBdr>
            <w:top w:val="none" w:sz="0" w:space="0" w:color="auto"/>
            <w:left w:val="none" w:sz="0" w:space="0" w:color="auto"/>
            <w:bottom w:val="none" w:sz="0" w:space="0" w:color="auto"/>
            <w:right w:val="none" w:sz="0" w:space="0" w:color="auto"/>
          </w:divBdr>
        </w:div>
        <w:div w:id="328558269">
          <w:marLeft w:val="0"/>
          <w:marRight w:val="0"/>
          <w:marTop w:val="0"/>
          <w:marBottom w:val="0"/>
          <w:divBdr>
            <w:top w:val="none" w:sz="0" w:space="0" w:color="auto"/>
            <w:left w:val="none" w:sz="0" w:space="0" w:color="auto"/>
            <w:bottom w:val="none" w:sz="0" w:space="0" w:color="auto"/>
            <w:right w:val="none" w:sz="0" w:space="0" w:color="auto"/>
          </w:divBdr>
        </w:div>
        <w:div w:id="364865485">
          <w:marLeft w:val="0"/>
          <w:marRight w:val="0"/>
          <w:marTop w:val="0"/>
          <w:marBottom w:val="0"/>
          <w:divBdr>
            <w:top w:val="none" w:sz="0" w:space="0" w:color="auto"/>
            <w:left w:val="none" w:sz="0" w:space="0" w:color="auto"/>
            <w:bottom w:val="none" w:sz="0" w:space="0" w:color="auto"/>
            <w:right w:val="none" w:sz="0" w:space="0" w:color="auto"/>
          </w:divBdr>
        </w:div>
        <w:div w:id="1562330662">
          <w:marLeft w:val="0"/>
          <w:marRight w:val="0"/>
          <w:marTop w:val="0"/>
          <w:marBottom w:val="0"/>
          <w:divBdr>
            <w:top w:val="none" w:sz="0" w:space="0" w:color="auto"/>
            <w:left w:val="none" w:sz="0" w:space="0" w:color="auto"/>
            <w:bottom w:val="none" w:sz="0" w:space="0" w:color="auto"/>
            <w:right w:val="none" w:sz="0" w:space="0" w:color="auto"/>
          </w:divBdr>
        </w:div>
        <w:div w:id="1247690467">
          <w:marLeft w:val="0"/>
          <w:marRight w:val="0"/>
          <w:marTop w:val="0"/>
          <w:marBottom w:val="0"/>
          <w:divBdr>
            <w:top w:val="none" w:sz="0" w:space="0" w:color="auto"/>
            <w:left w:val="none" w:sz="0" w:space="0" w:color="auto"/>
            <w:bottom w:val="none" w:sz="0" w:space="0" w:color="auto"/>
            <w:right w:val="none" w:sz="0" w:space="0" w:color="auto"/>
          </w:divBdr>
        </w:div>
        <w:div w:id="449134657">
          <w:marLeft w:val="0"/>
          <w:marRight w:val="0"/>
          <w:marTop w:val="0"/>
          <w:marBottom w:val="0"/>
          <w:divBdr>
            <w:top w:val="none" w:sz="0" w:space="0" w:color="auto"/>
            <w:left w:val="none" w:sz="0" w:space="0" w:color="auto"/>
            <w:bottom w:val="none" w:sz="0" w:space="0" w:color="auto"/>
            <w:right w:val="none" w:sz="0" w:space="0" w:color="auto"/>
          </w:divBdr>
        </w:div>
        <w:div w:id="106631881">
          <w:marLeft w:val="0"/>
          <w:marRight w:val="0"/>
          <w:marTop w:val="0"/>
          <w:marBottom w:val="0"/>
          <w:divBdr>
            <w:top w:val="none" w:sz="0" w:space="0" w:color="auto"/>
            <w:left w:val="none" w:sz="0" w:space="0" w:color="auto"/>
            <w:bottom w:val="none" w:sz="0" w:space="0" w:color="auto"/>
            <w:right w:val="none" w:sz="0" w:space="0" w:color="auto"/>
          </w:divBdr>
        </w:div>
        <w:div w:id="1214586339">
          <w:marLeft w:val="0"/>
          <w:marRight w:val="0"/>
          <w:marTop w:val="0"/>
          <w:marBottom w:val="0"/>
          <w:divBdr>
            <w:top w:val="none" w:sz="0" w:space="0" w:color="auto"/>
            <w:left w:val="none" w:sz="0" w:space="0" w:color="auto"/>
            <w:bottom w:val="none" w:sz="0" w:space="0" w:color="auto"/>
            <w:right w:val="none" w:sz="0" w:space="0" w:color="auto"/>
          </w:divBdr>
        </w:div>
        <w:div w:id="460996495">
          <w:marLeft w:val="0"/>
          <w:marRight w:val="0"/>
          <w:marTop w:val="0"/>
          <w:marBottom w:val="0"/>
          <w:divBdr>
            <w:top w:val="none" w:sz="0" w:space="0" w:color="auto"/>
            <w:left w:val="none" w:sz="0" w:space="0" w:color="auto"/>
            <w:bottom w:val="none" w:sz="0" w:space="0" w:color="auto"/>
            <w:right w:val="none" w:sz="0" w:space="0" w:color="auto"/>
          </w:divBdr>
        </w:div>
        <w:div w:id="2064061447">
          <w:marLeft w:val="0"/>
          <w:marRight w:val="0"/>
          <w:marTop w:val="0"/>
          <w:marBottom w:val="0"/>
          <w:divBdr>
            <w:top w:val="none" w:sz="0" w:space="0" w:color="auto"/>
            <w:left w:val="none" w:sz="0" w:space="0" w:color="auto"/>
            <w:bottom w:val="none" w:sz="0" w:space="0" w:color="auto"/>
            <w:right w:val="none" w:sz="0" w:space="0" w:color="auto"/>
          </w:divBdr>
        </w:div>
        <w:div w:id="1608804104">
          <w:marLeft w:val="0"/>
          <w:marRight w:val="0"/>
          <w:marTop w:val="0"/>
          <w:marBottom w:val="0"/>
          <w:divBdr>
            <w:top w:val="none" w:sz="0" w:space="0" w:color="auto"/>
            <w:left w:val="none" w:sz="0" w:space="0" w:color="auto"/>
            <w:bottom w:val="none" w:sz="0" w:space="0" w:color="auto"/>
            <w:right w:val="none" w:sz="0" w:space="0" w:color="auto"/>
          </w:divBdr>
        </w:div>
        <w:div w:id="851456879">
          <w:marLeft w:val="0"/>
          <w:marRight w:val="0"/>
          <w:marTop w:val="0"/>
          <w:marBottom w:val="0"/>
          <w:divBdr>
            <w:top w:val="none" w:sz="0" w:space="0" w:color="auto"/>
            <w:left w:val="none" w:sz="0" w:space="0" w:color="auto"/>
            <w:bottom w:val="none" w:sz="0" w:space="0" w:color="auto"/>
            <w:right w:val="none" w:sz="0" w:space="0" w:color="auto"/>
          </w:divBdr>
        </w:div>
        <w:div w:id="916288024">
          <w:marLeft w:val="0"/>
          <w:marRight w:val="0"/>
          <w:marTop w:val="0"/>
          <w:marBottom w:val="0"/>
          <w:divBdr>
            <w:top w:val="none" w:sz="0" w:space="0" w:color="auto"/>
            <w:left w:val="none" w:sz="0" w:space="0" w:color="auto"/>
            <w:bottom w:val="none" w:sz="0" w:space="0" w:color="auto"/>
            <w:right w:val="none" w:sz="0" w:space="0" w:color="auto"/>
          </w:divBdr>
        </w:div>
        <w:div w:id="1248805593">
          <w:marLeft w:val="0"/>
          <w:marRight w:val="0"/>
          <w:marTop w:val="0"/>
          <w:marBottom w:val="0"/>
          <w:divBdr>
            <w:top w:val="none" w:sz="0" w:space="0" w:color="auto"/>
            <w:left w:val="none" w:sz="0" w:space="0" w:color="auto"/>
            <w:bottom w:val="none" w:sz="0" w:space="0" w:color="auto"/>
            <w:right w:val="none" w:sz="0" w:space="0" w:color="auto"/>
          </w:divBdr>
          <w:divsChild>
            <w:div w:id="528033071">
              <w:marLeft w:val="0"/>
              <w:marRight w:val="0"/>
              <w:marTop w:val="0"/>
              <w:marBottom w:val="0"/>
              <w:divBdr>
                <w:top w:val="none" w:sz="0" w:space="0" w:color="auto"/>
                <w:left w:val="none" w:sz="0" w:space="0" w:color="auto"/>
                <w:bottom w:val="none" w:sz="0" w:space="0" w:color="auto"/>
                <w:right w:val="none" w:sz="0" w:space="0" w:color="auto"/>
              </w:divBdr>
            </w:div>
            <w:div w:id="488785849">
              <w:marLeft w:val="0"/>
              <w:marRight w:val="0"/>
              <w:marTop w:val="0"/>
              <w:marBottom w:val="0"/>
              <w:divBdr>
                <w:top w:val="none" w:sz="0" w:space="0" w:color="auto"/>
                <w:left w:val="none" w:sz="0" w:space="0" w:color="auto"/>
                <w:bottom w:val="none" w:sz="0" w:space="0" w:color="auto"/>
                <w:right w:val="none" w:sz="0" w:space="0" w:color="auto"/>
              </w:divBdr>
            </w:div>
            <w:div w:id="780343475">
              <w:marLeft w:val="0"/>
              <w:marRight w:val="0"/>
              <w:marTop w:val="0"/>
              <w:marBottom w:val="0"/>
              <w:divBdr>
                <w:top w:val="none" w:sz="0" w:space="0" w:color="auto"/>
                <w:left w:val="none" w:sz="0" w:space="0" w:color="auto"/>
                <w:bottom w:val="none" w:sz="0" w:space="0" w:color="auto"/>
                <w:right w:val="none" w:sz="0" w:space="0" w:color="auto"/>
              </w:divBdr>
            </w:div>
            <w:div w:id="325983701">
              <w:marLeft w:val="0"/>
              <w:marRight w:val="0"/>
              <w:marTop w:val="0"/>
              <w:marBottom w:val="0"/>
              <w:divBdr>
                <w:top w:val="none" w:sz="0" w:space="0" w:color="auto"/>
                <w:left w:val="none" w:sz="0" w:space="0" w:color="auto"/>
                <w:bottom w:val="none" w:sz="0" w:space="0" w:color="auto"/>
                <w:right w:val="none" w:sz="0" w:space="0" w:color="auto"/>
              </w:divBdr>
            </w:div>
            <w:div w:id="2057461181">
              <w:marLeft w:val="0"/>
              <w:marRight w:val="0"/>
              <w:marTop w:val="0"/>
              <w:marBottom w:val="0"/>
              <w:divBdr>
                <w:top w:val="none" w:sz="0" w:space="0" w:color="auto"/>
                <w:left w:val="none" w:sz="0" w:space="0" w:color="auto"/>
                <w:bottom w:val="none" w:sz="0" w:space="0" w:color="auto"/>
                <w:right w:val="none" w:sz="0" w:space="0" w:color="auto"/>
              </w:divBdr>
            </w:div>
            <w:div w:id="953026053">
              <w:marLeft w:val="0"/>
              <w:marRight w:val="0"/>
              <w:marTop w:val="0"/>
              <w:marBottom w:val="0"/>
              <w:divBdr>
                <w:top w:val="none" w:sz="0" w:space="0" w:color="auto"/>
                <w:left w:val="none" w:sz="0" w:space="0" w:color="auto"/>
                <w:bottom w:val="none" w:sz="0" w:space="0" w:color="auto"/>
                <w:right w:val="none" w:sz="0" w:space="0" w:color="auto"/>
              </w:divBdr>
            </w:div>
            <w:div w:id="74085288">
              <w:marLeft w:val="0"/>
              <w:marRight w:val="0"/>
              <w:marTop w:val="0"/>
              <w:marBottom w:val="0"/>
              <w:divBdr>
                <w:top w:val="none" w:sz="0" w:space="0" w:color="auto"/>
                <w:left w:val="none" w:sz="0" w:space="0" w:color="auto"/>
                <w:bottom w:val="none" w:sz="0" w:space="0" w:color="auto"/>
                <w:right w:val="none" w:sz="0" w:space="0" w:color="auto"/>
              </w:divBdr>
            </w:div>
            <w:div w:id="673339449">
              <w:marLeft w:val="0"/>
              <w:marRight w:val="0"/>
              <w:marTop w:val="0"/>
              <w:marBottom w:val="0"/>
              <w:divBdr>
                <w:top w:val="none" w:sz="0" w:space="0" w:color="auto"/>
                <w:left w:val="none" w:sz="0" w:space="0" w:color="auto"/>
                <w:bottom w:val="none" w:sz="0" w:space="0" w:color="auto"/>
                <w:right w:val="none" w:sz="0" w:space="0" w:color="auto"/>
              </w:divBdr>
            </w:div>
            <w:div w:id="1199275874">
              <w:marLeft w:val="0"/>
              <w:marRight w:val="0"/>
              <w:marTop w:val="0"/>
              <w:marBottom w:val="0"/>
              <w:divBdr>
                <w:top w:val="none" w:sz="0" w:space="0" w:color="auto"/>
                <w:left w:val="none" w:sz="0" w:space="0" w:color="auto"/>
                <w:bottom w:val="none" w:sz="0" w:space="0" w:color="auto"/>
                <w:right w:val="none" w:sz="0" w:space="0" w:color="auto"/>
              </w:divBdr>
            </w:div>
            <w:div w:id="1843931793">
              <w:marLeft w:val="0"/>
              <w:marRight w:val="0"/>
              <w:marTop w:val="0"/>
              <w:marBottom w:val="0"/>
              <w:divBdr>
                <w:top w:val="none" w:sz="0" w:space="0" w:color="auto"/>
                <w:left w:val="none" w:sz="0" w:space="0" w:color="auto"/>
                <w:bottom w:val="none" w:sz="0" w:space="0" w:color="auto"/>
                <w:right w:val="none" w:sz="0" w:space="0" w:color="auto"/>
              </w:divBdr>
            </w:div>
            <w:div w:id="20589575">
              <w:marLeft w:val="0"/>
              <w:marRight w:val="0"/>
              <w:marTop w:val="0"/>
              <w:marBottom w:val="0"/>
              <w:divBdr>
                <w:top w:val="none" w:sz="0" w:space="0" w:color="auto"/>
                <w:left w:val="none" w:sz="0" w:space="0" w:color="auto"/>
                <w:bottom w:val="none" w:sz="0" w:space="0" w:color="auto"/>
                <w:right w:val="none" w:sz="0" w:space="0" w:color="auto"/>
              </w:divBdr>
            </w:div>
            <w:div w:id="252975024">
              <w:marLeft w:val="0"/>
              <w:marRight w:val="0"/>
              <w:marTop w:val="0"/>
              <w:marBottom w:val="0"/>
              <w:divBdr>
                <w:top w:val="none" w:sz="0" w:space="0" w:color="auto"/>
                <w:left w:val="none" w:sz="0" w:space="0" w:color="auto"/>
                <w:bottom w:val="none" w:sz="0" w:space="0" w:color="auto"/>
                <w:right w:val="none" w:sz="0" w:space="0" w:color="auto"/>
              </w:divBdr>
            </w:div>
            <w:div w:id="1518957719">
              <w:marLeft w:val="0"/>
              <w:marRight w:val="0"/>
              <w:marTop w:val="0"/>
              <w:marBottom w:val="0"/>
              <w:divBdr>
                <w:top w:val="none" w:sz="0" w:space="0" w:color="auto"/>
                <w:left w:val="none" w:sz="0" w:space="0" w:color="auto"/>
                <w:bottom w:val="none" w:sz="0" w:space="0" w:color="auto"/>
                <w:right w:val="none" w:sz="0" w:space="0" w:color="auto"/>
              </w:divBdr>
            </w:div>
            <w:div w:id="1568763435">
              <w:marLeft w:val="0"/>
              <w:marRight w:val="0"/>
              <w:marTop w:val="0"/>
              <w:marBottom w:val="0"/>
              <w:divBdr>
                <w:top w:val="none" w:sz="0" w:space="0" w:color="auto"/>
                <w:left w:val="none" w:sz="0" w:space="0" w:color="auto"/>
                <w:bottom w:val="none" w:sz="0" w:space="0" w:color="auto"/>
                <w:right w:val="none" w:sz="0" w:space="0" w:color="auto"/>
              </w:divBdr>
            </w:div>
            <w:div w:id="256914276">
              <w:marLeft w:val="0"/>
              <w:marRight w:val="0"/>
              <w:marTop w:val="0"/>
              <w:marBottom w:val="0"/>
              <w:divBdr>
                <w:top w:val="none" w:sz="0" w:space="0" w:color="auto"/>
                <w:left w:val="none" w:sz="0" w:space="0" w:color="auto"/>
                <w:bottom w:val="none" w:sz="0" w:space="0" w:color="auto"/>
                <w:right w:val="none" w:sz="0" w:space="0" w:color="auto"/>
              </w:divBdr>
            </w:div>
            <w:div w:id="255792196">
              <w:marLeft w:val="0"/>
              <w:marRight w:val="0"/>
              <w:marTop w:val="0"/>
              <w:marBottom w:val="0"/>
              <w:divBdr>
                <w:top w:val="none" w:sz="0" w:space="0" w:color="auto"/>
                <w:left w:val="none" w:sz="0" w:space="0" w:color="auto"/>
                <w:bottom w:val="none" w:sz="0" w:space="0" w:color="auto"/>
                <w:right w:val="none" w:sz="0" w:space="0" w:color="auto"/>
              </w:divBdr>
            </w:div>
            <w:div w:id="1253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50006">
      <w:bodyDiv w:val="1"/>
      <w:marLeft w:val="0"/>
      <w:marRight w:val="0"/>
      <w:marTop w:val="0"/>
      <w:marBottom w:val="0"/>
      <w:divBdr>
        <w:top w:val="none" w:sz="0" w:space="0" w:color="auto"/>
        <w:left w:val="none" w:sz="0" w:space="0" w:color="auto"/>
        <w:bottom w:val="none" w:sz="0" w:space="0" w:color="auto"/>
        <w:right w:val="none" w:sz="0" w:space="0" w:color="auto"/>
      </w:divBdr>
    </w:div>
    <w:div w:id="441612822">
      <w:bodyDiv w:val="1"/>
      <w:marLeft w:val="0"/>
      <w:marRight w:val="0"/>
      <w:marTop w:val="0"/>
      <w:marBottom w:val="0"/>
      <w:divBdr>
        <w:top w:val="none" w:sz="0" w:space="0" w:color="auto"/>
        <w:left w:val="none" w:sz="0" w:space="0" w:color="auto"/>
        <w:bottom w:val="none" w:sz="0" w:space="0" w:color="auto"/>
        <w:right w:val="none" w:sz="0" w:space="0" w:color="auto"/>
      </w:divBdr>
    </w:div>
    <w:div w:id="748312412">
      <w:bodyDiv w:val="1"/>
      <w:marLeft w:val="0"/>
      <w:marRight w:val="0"/>
      <w:marTop w:val="0"/>
      <w:marBottom w:val="0"/>
      <w:divBdr>
        <w:top w:val="none" w:sz="0" w:space="0" w:color="auto"/>
        <w:left w:val="none" w:sz="0" w:space="0" w:color="auto"/>
        <w:bottom w:val="none" w:sz="0" w:space="0" w:color="auto"/>
        <w:right w:val="none" w:sz="0" w:space="0" w:color="auto"/>
      </w:divBdr>
    </w:div>
    <w:div w:id="748775235">
      <w:bodyDiv w:val="1"/>
      <w:marLeft w:val="0"/>
      <w:marRight w:val="0"/>
      <w:marTop w:val="0"/>
      <w:marBottom w:val="0"/>
      <w:divBdr>
        <w:top w:val="none" w:sz="0" w:space="0" w:color="auto"/>
        <w:left w:val="none" w:sz="0" w:space="0" w:color="auto"/>
        <w:bottom w:val="none" w:sz="0" w:space="0" w:color="auto"/>
        <w:right w:val="none" w:sz="0" w:space="0" w:color="auto"/>
      </w:divBdr>
      <w:divsChild>
        <w:div w:id="988479638">
          <w:marLeft w:val="0"/>
          <w:marRight w:val="0"/>
          <w:marTop w:val="0"/>
          <w:marBottom w:val="0"/>
          <w:divBdr>
            <w:top w:val="none" w:sz="0" w:space="0" w:color="auto"/>
            <w:left w:val="none" w:sz="0" w:space="0" w:color="auto"/>
            <w:bottom w:val="none" w:sz="0" w:space="0" w:color="auto"/>
            <w:right w:val="none" w:sz="0" w:space="0" w:color="auto"/>
          </w:divBdr>
        </w:div>
        <w:div w:id="66073091">
          <w:marLeft w:val="0"/>
          <w:marRight w:val="0"/>
          <w:marTop w:val="0"/>
          <w:marBottom w:val="0"/>
          <w:divBdr>
            <w:top w:val="none" w:sz="0" w:space="0" w:color="auto"/>
            <w:left w:val="none" w:sz="0" w:space="0" w:color="auto"/>
            <w:bottom w:val="none" w:sz="0" w:space="0" w:color="auto"/>
            <w:right w:val="none" w:sz="0" w:space="0" w:color="auto"/>
          </w:divBdr>
        </w:div>
        <w:div w:id="1040976986">
          <w:marLeft w:val="0"/>
          <w:marRight w:val="0"/>
          <w:marTop w:val="0"/>
          <w:marBottom w:val="0"/>
          <w:divBdr>
            <w:top w:val="none" w:sz="0" w:space="0" w:color="auto"/>
            <w:left w:val="none" w:sz="0" w:space="0" w:color="auto"/>
            <w:bottom w:val="none" w:sz="0" w:space="0" w:color="auto"/>
            <w:right w:val="none" w:sz="0" w:space="0" w:color="auto"/>
          </w:divBdr>
        </w:div>
        <w:div w:id="1474442141">
          <w:marLeft w:val="0"/>
          <w:marRight w:val="0"/>
          <w:marTop w:val="0"/>
          <w:marBottom w:val="0"/>
          <w:divBdr>
            <w:top w:val="none" w:sz="0" w:space="0" w:color="auto"/>
            <w:left w:val="none" w:sz="0" w:space="0" w:color="auto"/>
            <w:bottom w:val="none" w:sz="0" w:space="0" w:color="auto"/>
            <w:right w:val="none" w:sz="0" w:space="0" w:color="auto"/>
          </w:divBdr>
        </w:div>
        <w:div w:id="751702984">
          <w:marLeft w:val="0"/>
          <w:marRight w:val="0"/>
          <w:marTop w:val="0"/>
          <w:marBottom w:val="0"/>
          <w:divBdr>
            <w:top w:val="none" w:sz="0" w:space="0" w:color="auto"/>
            <w:left w:val="none" w:sz="0" w:space="0" w:color="auto"/>
            <w:bottom w:val="none" w:sz="0" w:space="0" w:color="auto"/>
            <w:right w:val="none" w:sz="0" w:space="0" w:color="auto"/>
          </w:divBdr>
        </w:div>
        <w:div w:id="1573003676">
          <w:marLeft w:val="0"/>
          <w:marRight w:val="0"/>
          <w:marTop w:val="0"/>
          <w:marBottom w:val="0"/>
          <w:divBdr>
            <w:top w:val="none" w:sz="0" w:space="0" w:color="auto"/>
            <w:left w:val="none" w:sz="0" w:space="0" w:color="auto"/>
            <w:bottom w:val="none" w:sz="0" w:space="0" w:color="auto"/>
            <w:right w:val="none" w:sz="0" w:space="0" w:color="auto"/>
          </w:divBdr>
        </w:div>
        <w:div w:id="1961497704">
          <w:marLeft w:val="0"/>
          <w:marRight w:val="0"/>
          <w:marTop w:val="0"/>
          <w:marBottom w:val="0"/>
          <w:divBdr>
            <w:top w:val="none" w:sz="0" w:space="0" w:color="auto"/>
            <w:left w:val="none" w:sz="0" w:space="0" w:color="auto"/>
            <w:bottom w:val="none" w:sz="0" w:space="0" w:color="auto"/>
            <w:right w:val="none" w:sz="0" w:space="0" w:color="auto"/>
          </w:divBdr>
        </w:div>
        <w:div w:id="1965385014">
          <w:marLeft w:val="0"/>
          <w:marRight w:val="0"/>
          <w:marTop w:val="0"/>
          <w:marBottom w:val="0"/>
          <w:divBdr>
            <w:top w:val="none" w:sz="0" w:space="0" w:color="auto"/>
            <w:left w:val="none" w:sz="0" w:space="0" w:color="auto"/>
            <w:bottom w:val="none" w:sz="0" w:space="0" w:color="auto"/>
            <w:right w:val="none" w:sz="0" w:space="0" w:color="auto"/>
          </w:divBdr>
        </w:div>
        <w:div w:id="1676230620">
          <w:marLeft w:val="0"/>
          <w:marRight w:val="0"/>
          <w:marTop w:val="0"/>
          <w:marBottom w:val="0"/>
          <w:divBdr>
            <w:top w:val="none" w:sz="0" w:space="0" w:color="auto"/>
            <w:left w:val="none" w:sz="0" w:space="0" w:color="auto"/>
            <w:bottom w:val="none" w:sz="0" w:space="0" w:color="auto"/>
            <w:right w:val="none" w:sz="0" w:space="0" w:color="auto"/>
          </w:divBdr>
        </w:div>
        <w:div w:id="1708526551">
          <w:marLeft w:val="0"/>
          <w:marRight w:val="0"/>
          <w:marTop w:val="0"/>
          <w:marBottom w:val="0"/>
          <w:divBdr>
            <w:top w:val="none" w:sz="0" w:space="0" w:color="auto"/>
            <w:left w:val="none" w:sz="0" w:space="0" w:color="auto"/>
            <w:bottom w:val="none" w:sz="0" w:space="0" w:color="auto"/>
            <w:right w:val="none" w:sz="0" w:space="0" w:color="auto"/>
          </w:divBdr>
        </w:div>
        <w:div w:id="977955686">
          <w:marLeft w:val="0"/>
          <w:marRight w:val="0"/>
          <w:marTop w:val="0"/>
          <w:marBottom w:val="0"/>
          <w:divBdr>
            <w:top w:val="none" w:sz="0" w:space="0" w:color="auto"/>
            <w:left w:val="none" w:sz="0" w:space="0" w:color="auto"/>
            <w:bottom w:val="none" w:sz="0" w:space="0" w:color="auto"/>
            <w:right w:val="none" w:sz="0" w:space="0" w:color="auto"/>
          </w:divBdr>
        </w:div>
        <w:div w:id="1234387692">
          <w:marLeft w:val="0"/>
          <w:marRight w:val="0"/>
          <w:marTop w:val="0"/>
          <w:marBottom w:val="0"/>
          <w:divBdr>
            <w:top w:val="none" w:sz="0" w:space="0" w:color="auto"/>
            <w:left w:val="none" w:sz="0" w:space="0" w:color="auto"/>
            <w:bottom w:val="none" w:sz="0" w:space="0" w:color="auto"/>
            <w:right w:val="none" w:sz="0" w:space="0" w:color="auto"/>
          </w:divBdr>
        </w:div>
        <w:div w:id="22248384">
          <w:marLeft w:val="0"/>
          <w:marRight w:val="0"/>
          <w:marTop w:val="0"/>
          <w:marBottom w:val="0"/>
          <w:divBdr>
            <w:top w:val="none" w:sz="0" w:space="0" w:color="auto"/>
            <w:left w:val="none" w:sz="0" w:space="0" w:color="auto"/>
            <w:bottom w:val="none" w:sz="0" w:space="0" w:color="auto"/>
            <w:right w:val="none" w:sz="0" w:space="0" w:color="auto"/>
          </w:divBdr>
        </w:div>
        <w:div w:id="878930817">
          <w:marLeft w:val="0"/>
          <w:marRight w:val="0"/>
          <w:marTop w:val="0"/>
          <w:marBottom w:val="0"/>
          <w:divBdr>
            <w:top w:val="none" w:sz="0" w:space="0" w:color="auto"/>
            <w:left w:val="none" w:sz="0" w:space="0" w:color="auto"/>
            <w:bottom w:val="none" w:sz="0" w:space="0" w:color="auto"/>
            <w:right w:val="none" w:sz="0" w:space="0" w:color="auto"/>
          </w:divBdr>
        </w:div>
        <w:div w:id="1387679025">
          <w:marLeft w:val="0"/>
          <w:marRight w:val="0"/>
          <w:marTop w:val="0"/>
          <w:marBottom w:val="0"/>
          <w:divBdr>
            <w:top w:val="none" w:sz="0" w:space="0" w:color="auto"/>
            <w:left w:val="none" w:sz="0" w:space="0" w:color="auto"/>
            <w:bottom w:val="none" w:sz="0" w:space="0" w:color="auto"/>
            <w:right w:val="none" w:sz="0" w:space="0" w:color="auto"/>
          </w:divBdr>
        </w:div>
        <w:div w:id="1835298480">
          <w:marLeft w:val="0"/>
          <w:marRight w:val="0"/>
          <w:marTop w:val="0"/>
          <w:marBottom w:val="0"/>
          <w:divBdr>
            <w:top w:val="none" w:sz="0" w:space="0" w:color="auto"/>
            <w:left w:val="none" w:sz="0" w:space="0" w:color="auto"/>
            <w:bottom w:val="none" w:sz="0" w:space="0" w:color="auto"/>
            <w:right w:val="none" w:sz="0" w:space="0" w:color="auto"/>
          </w:divBdr>
        </w:div>
        <w:div w:id="1826318779">
          <w:marLeft w:val="0"/>
          <w:marRight w:val="0"/>
          <w:marTop w:val="0"/>
          <w:marBottom w:val="0"/>
          <w:divBdr>
            <w:top w:val="none" w:sz="0" w:space="0" w:color="auto"/>
            <w:left w:val="none" w:sz="0" w:space="0" w:color="auto"/>
            <w:bottom w:val="none" w:sz="0" w:space="0" w:color="auto"/>
            <w:right w:val="none" w:sz="0" w:space="0" w:color="auto"/>
          </w:divBdr>
        </w:div>
        <w:div w:id="1519269376">
          <w:marLeft w:val="0"/>
          <w:marRight w:val="0"/>
          <w:marTop w:val="0"/>
          <w:marBottom w:val="0"/>
          <w:divBdr>
            <w:top w:val="none" w:sz="0" w:space="0" w:color="auto"/>
            <w:left w:val="none" w:sz="0" w:space="0" w:color="auto"/>
            <w:bottom w:val="none" w:sz="0" w:space="0" w:color="auto"/>
            <w:right w:val="none" w:sz="0" w:space="0" w:color="auto"/>
          </w:divBdr>
        </w:div>
        <w:div w:id="809440558">
          <w:marLeft w:val="0"/>
          <w:marRight w:val="0"/>
          <w:marTop w:val="0"/>
          <w:marBottom w:val="0"/>
          <w:divBdr>
            <w:top w:val="none" w:sz="0" w:space="0" w:color="auto"/>
            <w:left w:val="none" w:sz="0" w:space="0" w:color="auto"/>
            <w:bottom w:val="none" w:sz="0" w:space="0" w:color="auto"/>
            <w:right w:val="none" w:sz="0" w:space="0" w:color="auto"/>
          </w:divBdr>
        </w:div>
        <w:div w:id="144664518">
          <w:marLeft w:val="0"/>
          <w:marRight w:val="0"/>
          <w:marTop w:val="0"/>
          <w:marBottom w:val="0"/>
          <w:divBdr>
            <w:top w:val="none" w:sz="0" w:space="0" w:color="auto"/>
            <w:left w:val="none" w:sz="0" w:space="0" w:color="auto"/>
            <w:bottom w:val="none" w:sz="0" w:space="0" w:color="auto"/>
            <w:right w:val="none" w:sz="0" w:space="0" w:color="auto"/>
          </w:divBdr>
        </w:div>
        <w:div w:id="1321690792">
          <w:marLeft w:val="0"/>
          <w:marRight w:val="0"/>
          <w:marTop w:val="0"/>
          <w:marBottom w:val="0"/>
          <w:divBdr>
            <w:top w:val="none" w:sz="0" w:space="0" w:color="auto"/>
            <w:left w:val="none" w:sz="0" w:space="0" w:color="auto"/>
            <w:bottom w:val="none" w:sz="0" w:space="0" w:color="auto"/>
            <w:right w:val="none" w:sz="0" w:space="0" w:color="auto"/>
          </w:divBdr>
        </w:div>
        <w:div w:id="1435592496">
          <w:marLeft w:val="0"/>
          <w:marRight w:val="0"/>
          <w:marTop w:val="0"/>
          <w:marBottom w:val="0"/>
          <w:divBdr>
            <w:top w:val="none" w:sz="0" w:space="0" w:color="auto"/>
            <w:left w:val="none" w:sz="0" w:space="0" w:color="auto"/>
            <w:bottom w:val="none" w:sz="0" w:space="0" w:color="auto"/>
            <w:right w:val="none" w:sz="0" w:space="0" w:color="auto"/>
          </w:divBdr>
        </w:div>
        <w:div w:id="939877230">
          <w:marLeft w:val="0"/>
          <w:marRight w:val="0"/>
          <w:marTop w:val="0"/>
          <w:marBottom w:val="0"/>
          <w:divBdr>
            <w:top w:val="none" w:sz="0" w:space="0" w:color="auto"/>
            <w:left w:val="none" w:sz="0" w:space="0" w:color="auto"/>
            <w:bottom w:val="none" w:sz="0" w:space="0" w:color="auto"/>
            <w:right w:val="none" w:sz="0" w:space="0" w:color="auto"/>
          </w:divBdr>
        </w:div>
        <w:div w:id="359015683">
          <w:marLeft w:val="0"/>
          <w:marRight w:val="0"/>
          <w:marTop w:val="0"/>
          <w:marBottom w:val="0"/>
          <w:divBdr>
            <w:top w:val="none" w:sz="0" w:space="0" w:color="auto"/>
            <w:left w:val="none" w:sz="0" w:space="0" w:color="auto"/>
            <w:bottom w:val="none" w:sz="0" w:space="0" w:color="auto"/>
            <w:right w:val="none" w:sz="0" w:space="0" w:color="auto"/>
          </w:divBdr>
        </w:div>
        <w:div w:id="1856457109">
          <w:marLeft w:val="0"/>
          <w:marRight w:val="0"/>
          <w:marTop w:val="0"/>
          <w:marBottom w:val="0"/>
          <w:divBdr>
            <w:top w:val="none" w:sz="0" w:space="0" w:color="auto"/>
            <w:left w:val="none" w:sz="0" w:space="0" w:color="auto"/>
            <w:bottom w:val="none" w:sz="0" w:space="0" w:color="auto"/>
            <w:right w:val="none" w:sz="0" w:space="0" w:color="auto"/>
          </w:divBdr>
        </w:div>
        <w:div w:id="1817645318">
          <w:marLeft w:val="0"/>
          <w:marRight w:val="0"/>
          <w:marTop w:val="0"/>
          <w:marBottom w:val="0"/>
          <w:divBdr>
            <w:top w:val="none" w:sz="0" w:space="0" w:color="auto"/>
            <w:left w:val="none" w:sz="0" w:space="0" w:color="auto"/>
            <w:bottom w:val="none" w:sz="0" w:space="0" w:color="auto"/>
            <w:right w:val="none" w:sz="0" w:space="0" w:color="auto"/>
          </w:divBdr>
        </w:div>
        <w:div w:id="781648667">
          <w:marLeft w:val="0"/>
          <w:marRight w:val="0"/>
          <w:marTop w:val="0"/>
          <w:marBottom w:val="0"/>
          <w:divBdr>
            <w:top w:val="none" w:sz="0" w:space="0" w:color="auto"/>
            <w:left w:val="none" w:sz="0" w:space="0" w:color="auto"/>
            <w:bottom w:val="none" w:sz="0" w:space="0" w:color="auto"/>
            <w:right w:val="none" w:sz="0" w:space="0" w:color="auto"/>
          </w:divBdr>
        </w:div>
        <w:div w:id="424881316">
          <w:marLeft w:val="0"/>
          <w:marRight w:val="0"/>
          <w:marTop w:val="0"/>
          <w:marBottom w:val="0"/>
          <w:divBdr>
            <w:top w:val="none" w:sz="0" w:space="0" w:color="auto"/>
            <w:left w:val="none" w:sz="0" w:space="0" w:color="auto"/>
            <w:bottom w:val="none" w:sz="0" w:space="0" w:color="auto"/>
            <w:right w:val="none" w:sz="0" w:space="0" w:color="auto"/>
          </w:divBdr>
        </w:div>
        <w:div w:id="739324994">
          <w:marLeft w:val="0"/>
          <w:marRight w:val="0"/>
          <w:marTop w:val="0"/>
          <w:marBottom w:val="0"/>
          <w:divBdr>
            <w:top w:val="none" w:sz="0" w:space="0" w:color="auto"/>
            <w:left w:val="none" w:sz="0" w:space="0" w:color="auto"/>
            <w:bottom w:val="none" w:sz="0" w:space="0" w:color="auto"/>
            <w:right w:val="none" w:sz="0" w:space="0" w:color="auto"/>
          </w:divBdr>
        </w:div>
        <w:div w:id="1536112886">
          <w:marLeft w:val="0"/>
          <w:marRight w:val="0"/>
          <w:marTop w:val="0"/>
          <w:marBottom w:val="0"/>
          <w:divBdr>
            <w:top w:val="none" w:sz="0" w:space="0" w:color="auto"/>
            <w:left w:val="none" w:sz="0" w:space="0" w:color="auto"/>
            <w:bottom w:val="none" w:sz="0" w:space="0" w:color="auto"/>
            <w:right w:val="none" w:sz="0" w:space="0" w:color="auto"/>
          </w:divBdr>
        </w:div>
        <w:div w:id="1418600279">
          <w:marLeft w:val="0"/>
          <w:marRight w:val="0"/>
          <w:marTop w:val="0"/>
          <w:marBottom w:val="0"/>
          <w:divBdr>
            <w:top w:val="none" w:sz="0" w:space="0" w:color="auto"/>
            <w:left w:val="none" w:sz="0" w:space="0" w:color="auto"/>
            <w:bottom w:val="none" w:sz="0" w:space="0" w:color="auto"/>
            <w:right w:val="none" w:sz="0" w:space="0" w:color="auto"/>
          </w:divBdr>
        </w:div>
        <w:div w:id="1647467493">
          <w:marLeft w:val="0"/>
          <w:marRight w:val="0"/>
          <w:marTop w:val="0"/>
          <w:marBottom w:val="0"/>
          <w:divBdr>
            <w:top w:val="none" w:sz="0" w:space="0" w:color="auto"/>
            <w:left w:val="none" w:sz="0" w:space="0" w:color="auto"/>
            <w:bottom w:val="none" w:sz="0" w:space="0" w:color="auto"/>
            <w:right w:val="none" w:sz="0" w:space="0" w:color="auto"/>
          </w:divBdr>
        </w:div>
        <w:div w:id="2131391593">
          <w:marLeft w:val="0"/>
          <w:marRight w:val="0"/>
          <w:marTop w:val="0"/>
          <w:marBottom w:val="0"/>
          <w:divBdr>
            <w:top w:val="none" w:sz="0" w:space="0" w:color="auto"/>
            <w:left w:val="none" w:sz="0" w:space="0" w:color="auto"/>
            <w:bottom w:val="none" w:sz="0" w:space="0" w:color="auto"/>
            <w:right w:val="none" w:sz="0" w:space="0" w:color="auto"/>
          </w:divBdr>
        </w:div>
        <w:div w:id="310792572">
          <w:marLeft w:val="0"/>
          <w:marRight w:val="0"/>
          <w:marTop w:val="0"/>
          <w:marBottom w:val="0"/>
          <w:divBdr>
            <w:top w:val="none" w:sz="0" w:space="0" w:color="auto"/>
            <w:left w:val="none" w:sz="0" w:space="0" w:color="auto"/>
            <w:bottom w:val="none" w:sz="0" w:space="0" w:color="auto"/>
            <w:right w:val="none" w:sz="0" w:space="0" w:color="auto"/>
          </w:divBdr>
        </w:div>
        <w:div w:id="263194728">
          <w:marLeft w:val="0"/>
          <w:marRight w:val="0"/>
          <w:marTop w:val="0"/>
          <w:marBottom w:val="0"/>
          <w:divBdr>
            <w:top w:val="none" w:sz="0" w:space="0" w:color="auto"/>
            <w:left w:val="none" w:sz="0" w:space="0" w:color="auto"/>
            <w:bottom w:val="none" w:sz="0" w:space="0" w:color="auto"/>
            <w:right w:val="none" w:sz="0" w:space="0" w:color="auto"/>
          </w:divBdr>
        </w:div>
        <w:div w:id="185751829">
          <w:marLeft w:val="0"/>
          <w:marRight w:val="0"/>
          <w:marTop w:val="0"/>
          <w:marBottom w:val="0"/>
          <w:divBdr>
            <w:top w:val="none" w:sz="0" w:space="0" w:color="auto"/>
            <w:left w:val="none" w:sz="0" w:space="0" w:color="auto"/>
            <w:bottom w:val="none" w:sz="0" w:space="0" w:color="auto"/>
            <w:right w:val="none" w:sz="0" w:space="0" w:color="auto"/>
          </w:divBdr>
        </w:div>
        <w:div w:id="593635462">
          <w:marLeft w:val="0"/>
          <w:marRight w:val="0"/>
          <w:marTop w:val="0"/>
          <w:marBottom w:val="0"/>
          <w:divBdr>
            <w:top w:val="none" w:sz="0" w:space="0" w:color="auto"/>
            <w:left w:val="none" w:sz="0" w:space="0" w:color="auto"/>
            <w:bottom w:val="none" w:sz="0" w:space="0" w:color="auto"/>
            <w:right w:val="none" w:sz="0" w:space="0" w:color="auto"/>
          </w:divBdr>
        </w:div>
        <w:div w:id="579409709">
          <w:marLeft w:val="0"/>
          <w:marRight w:val="0"/>
          <w:marTop w:val="0"/>
          <w:marBottom w:val="0"/>
          <w:divBdr>
            <w:top w:val="none" w:sz="0" w:space="0" w:color="auto"/>
            <w:left w:val="none" w:sz="0" w:space="0" w:color="auto"/>
            <w:bottom w:val="none" w:sz="0" w:space="0" w:color="auto"/>
            <w:right w:val="none" w:sz="0" w:space="0" w:color="auto"/>
          </w:divBdr>
        </w:div>
        <w:div w:id="23481027">
          <w:marLeft w:val="0"/>
          <w:marRight w:val="0"/>
          <w:marTop w:val="0"/>
          <w:marBottom w:val="0"/>
          <w:divBdr>
            <w:top w:val="none" w:sz="0" w:space="0" w:color="auto"/>
            <w:left w:val="none" w:sz="0" w:space="0" w:color="auto"/>
            <w:bottom w:val="none" w:sz="0" w:space="0" w:color="auto"/>
            <w:right w:val="none" w:sz="0" w:space="0" w:color="auto"/>
          </w:divBdr>
          <w:divsChild>
            <w:div w:id="752123670">
              <w:marLeft w:val="0"/>
              <w:marRight w:val="0"/>
              <w:marTop w:val="0"/>
              <w:marBottom w:val="0"/>
              <w:divBdr>
                <w:top w:val="none" w:sz="0" w:space="0" w:color="auto"/>
                <w:left w:val="none" w:sz="0" w:space="0" w:color="auto"/>
                <w:bottom w:val="none" w:sz="0" w:space="0" w:color="auto"/>
                <w:right w:val="none" w:sz="0" w:space="0" w:color="auto"/>
              </w:divBdr>
            </w:div>
            <w:div w:id="742022229">
              <w:marLeft w:val="0"/>
              <w:marRight w:val="0"/>
              <w:marTop w:val="0"/>
              <w:marBottom w:val="0"/>
              <w:divBdr>
                <w:top w:val="none" w:sz="0" w:space="0" w:color="auto"/>
                <w:left w:val="none" w:sz="0" w:space="0" w:color="auto"/>
                <w:bottom w:val="none" w:sz="0" w:space="0" w:color="auto"/>
                <w:right w:val="none" w:sz="0" w:space="0" w:color="auto"/>
              </w:divBdr>
            </w:div>
            <w:div w:id="1232354868">
              <w:marLeft w:val="0"/>
              <w:marRight w:val="0"/>
              <w:marTop w:val="0"/>
              <w:marBottom w:val="0"/>
              <w:divBdr>
                <w:top w:val="none" w:sz="0" w:space="0" w:color="auto"/>
                <w:left w:val="none" w:sz="0" w:space="0" w:color="auto"/>
                <w:bottom w:val="none" w:sz="0" w:space="0" w:color="auto"/>
                <w:right w:val="none" w:sz="0" w:space="0" w:color="auto"/>
              </w:divBdr>
            </w:div>
            <w:div w:id="2120102742">
              <w:marLeft w:val="0"/>
              <w:marRight w:val="0"/>
              <w:marTop w:val="0"/>
              <w:marBottom w:val="0"/>
              <w:divBdr>
                <w:top w:val="none" w:sz="0" w:space="0" w:color="auto"/>
                <w:left w:val="none" w:sz="0" w:space="0" w:color="auto"/>
                <w:bottom w:val="none" w:sz="0" w:space="0" w:color="auto"/>
                <w:right w:val="none" w:sz="0" w:space="0" w:color="auto"/>
              </w:divBdr>
            </w:div>
            <w:div w:id="257639130">
              <w:marLeft w:val="0"/>
              <w:marRight w:val="0"/>
              <w:marTop w:val="0"/>
              <w:marBottom w:val="0"/>
              <w:divBdr>
                <w:top w:val="none" w:sz="0" w:space="0" w:color="auto"/>
                <w:left w:val="none" w:sz="0" w:space="0" w:color="auto"/>
                <w:bottom w:val="none" w:sz="0" w:space="0" w:color="auto"/>
                <w:right w:val="none" w:sz="0" w:space="0" w:color="auto"/>
              </w:divBdr>
            </w:div>
            <w:div w:id="1174803934">
              <w:marLeft w:val="0"/>
              <w:marRight w:val="0"/>
              <w:marTop w:val="0"/>
              <w:marBottom w:val="0"/>
              <w:divBdr>
                <w:top w:val="none" w:sz="0" w:space="0" w:color="auto"/>
                <w:left w:val="none" w:sz="0" w:space="0" w:color="auto"/>
                <w:bottom w:val="none" w:sz="0" w:space="0" w:color="auto"/>
                <w:right w:val="none" w:sz="0" w:space="0" w:color="auto"/>
              </w:divBdr>
            </w:div>
            <w:div w:id="1758558162">
              <w:marLeft w:val="0"/>
              <w:marRight w:val="0"/>
              <w:marTop w:val="0"/>
              <w:marBottom w:val="0"/>
              <w:divBdr>
                <w:top w:val="none" w:sz="0" w:space="0" w:color="auto"/>
                <w:left w:val="none" w:sz="0" w:space="0" w:color="auto"/>
                <w:bottom w:val="none" w:sz="0" w:space="0" w:color="auto"/>
                <w:right w:val="none" w:sz="0" w:space="0" w:color="auto"/>
              </w:divBdr>
            </w:div>
            <w:div w:id="1533615254">
              <w:marLeft w:val="0"/>
              <w:marRight w:val="0"/>
              <w:marTop w:val="0"/>
              <w:marBottom w:val="0"/>
              <w:divBdr>
                <w:top w:val="none" w:sz="0" w:space="0" w:color="auto"/>
                <w:left w:val="none" w:sz="0" w:space="0" w:color="auto"/>
                <w:bottom w:val="none" w:sz="0" w:space="0" w:color="auto"/>
                <w:right w:val="none" w:sz="0" w:space="0" w:color="auto"/>
              </w:divBdr>
            </w:div>
            <w:div w:id="1408728187">
              <w:marLeft w:val="0"/>
              <w:marRight w:val="0"/>
              <w:marTop w:val="0"/>
              <w:marBottom w:val="0"/>
              <w:divBdr>
                <w:top w:val="none" w:sz="0" w:space="0" w:color="auto"/>
                <w:left w:val="none" w:sz="0" w:space="0" w:color="auto"/>
                <w:bottom w:val="none" w:sz="0" w:space="0" w:color="auto"/>
                <w:right w:val="none" w:sz="0" w:space="0" w:color="auto"/>
              </w:divBdr>
            </w:div>
            <w:div w:id="397368377">
              <w:marLeft w:val="0"/>
              <w:marRight w:val="0"/>
              <w:marTop w:val="0"/>
              <w:marBottom w:val="0"/>
              <w:divBdr>
                <w:top w:val="none" w:sz="0" w:space="0" w:color="auto"/>
                <w:left w:val="none" w:sz="0" w:space="0" w:color="auto"/>
                <w:bottom w:val="none" w:sz="0" w:space="0" w:color="auto"/>
                <w:right w:val="none" w:sz="0" w:space="0" w:color="auto"/>
              </w:divBdr>
            </w:div>
            <w:div w:id="754596836">
              <w:marLeft w:val="0"/>
              <w:marRight w:val="0"/>
              <w:marTop w:val="0"/>
              <w:marBottom w:val="0"/>
              <w:divBdr>
                <w:top w:val="none" w:sz="0" w:space="0" w:color="auto"/>
                <w:left w:val="none" w:sz="0" w:space="0" w:color="auto"/>
                <w:bottom w:val="none" w:sz="0" w:space="0" w:color="auto"/>
                <w:right w:val="none" w:sz="0" w:space="0" w:color="auto"/>
              </w:divBdr>
            </w:div>
            <w:div w:id="843400091">
              <w:marLeft w:val="0"/>
              <w:marRight w:val="0"/>
              <w:marTop w:val="0"/>
              <w:marBottom w:val="0"/>
              <w:divBdr>
                <w:top w:val="none" w:sz="0" w:space="0" w:color="auto"/>
                <w:left w:val="none" w:sz="0" w:space="0" w:color="auto"/>
                <w:bottom w:val="none" w:sz="0" w:space="0" w:color="auto"/>
                <w:right w:val="none" w:sz="0" w:space="0" w:color="auto"/>
              </w:divBdr>
            </w:div>
            <w:div w:id="535779457">
              <w:marLeft w:val="0"/>
              <w:marRight w:val="0"/>
              <w:marTop w:val="0"/>
              <w:marBottom w:val="0"/>
              <w:divBdr>
                <w:top w:val="none" w:sz="0" w:space="0" w:color="auto"/>
                <w:left w:val="none" w:sz="0" w:space="0" w:color="auto"/>
                <w:bottom w:val="none" w:sz="0" w:space="0" w:color="auto"/>
                <w:right w:val="none" w:sz="0" w:space="0" w:color="auto"/>
              </w:divBdr>
            </w:div>
            <w:div w:id="1586374992">
              <w:marLeft w:val="0"/>
              <w:marRight w:val="0"/>
              <w:marTop w:val="0"/>
              <w:marBottom w:val="0"/>
              <w:divBdr>
                <w:top w:val="none" w:sz="0" w:space="0" w:color="auto"/>
                <w:left w:val="none" w:sz="0" w:space="0" w:color="auto"/>
                <w:bottom w:val="none" w:sz="0" w:space="0" w:color="auto"/>
                <w:right w:val="none" w:sz="0" w:space="0" w:color="auto"/>
              </w:divBdr>
            </w:div>
            <w:div w:id="2100634040">
              <w:marLeft w:val="0"/>
              <w:marRight w:val="0"/>
              <w:marTop w:val="0"/>
              <w:marBottom w:val="0"/>
              <w:divBdr>
                <w:top w:val="none" w:sz="0" w:space="0" w:color="auto"/>
                <w:left w:val="none" w:sz="0" w:space="0" w:color="auto"/>
                <w:bottom w:val="none" w:sz="0" w:space="0" w:color="auto"/>
                <w:right w:val="none" w:sz="0" w:space="0" w:color="auto"/>
              </w:divBdr>
            </w:div>
            <w:div w:id="279338409">
              <w:marLeft w:val="0"/>
              <w:marRight w:val="0"/>
              <w:marTop w:val="0"/>
              <w:marBottom w:val="0"/>
              <w:divBdr>
                <w:top w:val="none" w:sz="0" w:space="0" w:color="auto"/>
                <w:left w:val="none" w:sz="0" w:space="0" w:color="auto"/>
                <w:bottom w:val="none" w:sz="0" w:space="0" w:color="auto"/>
                <w:right w:val="none" w:sz="0" w:space="0" w:color="auto"/>
              </w:divBdr>
            </w:div>
            <w:div w:id="12531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3840">
      <w:bodyDiv w:val="1"/>
      <w:marLeft w:val="0"/>
      <w:marRight w:val="0"/>
      <w:marTop w:val="0"/>
      <w:marBottom w:val="0"/>
      <w:divBdr>
        <w:top w:val="none" w:sz="0" w:space="0" w:color="auto"/>
        <w:left w:val="none" w:sz="0" w:space="0" w:color="auto"/>
        <w:bottom w:val="none" w:sz="0" w:space="0" w:color="auto"/>
        <w:right w:val="none" w:sz="0" w:space="0" w:color="auto"/>
      </w:divBdr>
    </w:div>
    <w:div w:id="1239093036">
      <w:bodyDiv w:val="1"/>
      <w:marLeft w:val="0"/>
      <w:marRight w:val="0"/>
      <w:marTop w:val="0"/>
      <w:marBottom w:val="0"/>
      <w:divBdr>
        <w:top w:val="none" w:sz="0" w:space="0" w:color="auto"/>
        <w:left w:val="none" w:sz="0" w:space="0" w:color="auto"/>
        <w:bottom w:val="none" w:sz="0" w:space="0" w:color="auto"/>
        <w:right w:val="none" w:sz="0" w:space="0" w:color="auto"/>
      </w:divBdr>
    </w:div>
    <w:div w:id="17516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tbmm.gov.tr/d26/7/7-4354s.pdf" TargetMode="External"/><Relationship Id="rId18" Type="http://schemas.openxmlformats.org/officeDocument/2006/relationships/hyperlink" Target="http://www2.tbmm.gov.tr/d26/7/7-4860s.pdf" TargetMode="External"/><Relationship Id="rId26" Type="http://schemas.openxmlformats.org/officeDocument/2006/relationships/hyperlink" Target="http://www2.tbmm.gov.tr/d26/7/7-1084s.pdf" TargetMode="External"/><Relationship Id="rId39" Type="http://schemas.openxmlformats.org/officeDocument/2006/relationships/hyperlink" Target="http://www2.tbmm.gov.tr/d26/7/7-7531s.pdf" TargetMode="External"/><Relationship Id="rId21" Type="http://schemas.openxmlformats.org/officeDocument/2006/relationships/hyperlink" Target="http://content.chp.org.tr/file/52608.pdf" TargetMode="External"/><Relationship Id="rId34" Type="http://schemas.openxmlformats.org/officeDocument/2006/relationships/hyperlink" Target="http://www2.tbmm.gov.tr/d26/7/7-6129s.pdf" TargetMode="External"/><Relationship Id="rId42" Type="http://schemas.openxmlformats.org/officeDocument/2006/relationships/hyperlink" Target="http://www2.tbmm.gov.tr/d26/7/7-1720s.pdf" TargetMode="External"/><Relationship Id="rId47" Type="http://schemas.openxmlformats.org/officeDocument/2006/relationships/hyperlink" Target="http://www2.tbmm.gov.tr/d26/7/7-0873s.pdf" TargetMode="External"/><Relationship Id="rId50" Type="http://schemas.openxmlformats.org/officeDocument/2006/relationships/hyperlink" Target="http://www2.tbmm.gov.tr/d26/6/6-0198s.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2.tbmm.gov.tr/d26/7/7-6387s.pdf" TargetMode="External"/><Relationship Id="rId29" Type="http://schemas.openxmlformats.org/officeDocument/2006/relationships/hyperlink" Target="http://www2.tbmm.gov.tr/d26/7/7-0515s.pdf" TargetMode="External"/><Relationship Id="rId11" Type="http://schemas.openxmlformats.org/officeDocument/2006/relationships/hyperlink" Target="http://www2.tbmm.gov.tr/d26/7/7-2255s.pdf" TargetMode="External"/><Relationship Id="rId24" Type="http://schemas.openxmlformats.org/officeDocument/2006/relationships/hyperlink" Target="http://www2.tbmm.gov.tr/d26/7/7-0714s.pdf" TargetMode="External"/><Relationship Id="rId32" Type="http://schemas.openxmlformats.org/officeDocument/2006/relationships/hyperlink" Target="http://www2.tbmm.gov.tr/d26/7/7-3013s.pdf" TargetMode="External"/><Relationship Id="rId37" Type="http://schemas.openxmlformats.org/officeDocument/2006/relationships/hyperlink" Target="http://www2.tbmm.gov.tr/d26/7/7-6718s.pdf" TargetMode="External"/><Relationship Id="rId40" Type="http://schemas.openxmlformats.org/officeDocument/2006/relationships/hyperlink" Target="http://www2.tbmm.gov.tr/d26/7/7-5133s.pdf" TargetMode="External"/><Relationship Id="rId45" Type="http://schemas.openxmlformats.org/officeDocument/2006/relationships/hyperlink" Target="http://www2.tbmm.gov.tr/d26/7/7-0603s.pdf" TargetMode="External"/><Relationship Id="rId53" Type="http://schemas.openxmlformats.org/officeDocument/2006/relationships/hyperlink" Target="http://www.goc.gov.tr/files/files/multec%C4%B1ler%C4%B1nhukuk%C4%B1statusune%C4%B1l%C4%B1sk%C4%B1nsozlesme.pdf" TargetMode="External"/><Relationship Id="rId5" Type="http://schemas.openxmlformats.org/officeDocument/2006/relationships/webSettings" Target="webSettings.xml"/><Relationship Id="rId10" Type="http://schemas.openxmlformats.org/officeDocument/2006/relationships/hyperlink" Target="http://www2.tbmm.gov.tr/d26/7/7-1008s.pdf" TargetMode="External"/><Relationship Id="rId19" Type="http://schemas.openxmlformats.org/officeDocument/2006/relationships/hyperlink" Target="http://www2.tbmm.gov.tr/d26/7/7-6959s.pdf" TargetMode="External"/><Relationship Id="rId31" Type="http://schemas.openxmlformats.org/officeDocument/2006/relationships/hyperlink" Target="http://www.hdp.org.tr/images/UserFiles/Documents/Editor/HDP%20Se%C3%A7im%20Bildirgesi%20Tam%20Metin.pdf" TargetMode="External"/><Relationship Id="rId44" Type="http://schemas.openxmlformats.org/officeDocument/2006/relationships/hyperlink" Target="http://www2.tbmm.gov.tr/d26/7/7-0604s.pdf" TargetMode="External"/><Relationship Id="rId52" Type="http://schemas.openxmlformats.org/officeDocument/2006/relationships/hyperlink" Target="https://www.umhd.org.tr/2018/03/hangi-ulkede-ne-kadar-multeci-v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2.tbmm.gov.tr/d26/7/7-6681s.pdf" TargetMode="External"/><Relationship Id="rId22" Type="http://schemas.openxmlformats.org/officeDocument/2006/relationships/hyperlink" Target="http://www.goc.gov.tr/files/files/turkiye_ulusal_eylem_plani(2).pdf" TargetMode="External"/><Relationship Id="rId27" Type="http://schemas.openxmlformats.org/officeDocument/2006/relationships/hyperlink" Target="http://www2.tbmm.gov.tr/d26/7/7-1239s.pdf" TargetMode="External"/><Relationship Id="rId30" Type="http://schemas.openxmlformats.org/officeDocument/2006/relationships/hyperlink" Target="http://www2.tbmm.gov.tr/d26/7/7-0410s.pdf" TargetMode="External"/><Relationship Id="rId35" Type="http://schemas.openxmlformats.org/officeDocument/2006/relationships/hyperlink" Target="http://www2.tbmm.gov.tr/d26/7/7-6525s.pdf" TargetMode="External"/><Relationship Id="rId43" Type="http://schemas.openxmlformats.org/officeDocument/2006/relationships/hyperlink" Target="http://www2.tbmm.gov.tr/d26/7/7-1945s.pdf" TargetMode="External"/><Relationship Id="rId48" Type="http://schemas.openxmlformats.org/officeDocument/2006/relationships/hyperlink" Target="https://www.mhp.org.tr/usr_img/mhpweb/1kasimsecimleri/beyanname_1kasim2015.pdf" TargetMode="External"/><Relationship Id="rId56" Type="http://schemas.openxmlformats.org/officeDocument/2006/relationships/theme" Target="theme/theme1.xml"/><Relationship Id="rId8" Type="http://schemas.openxmlformats.org/officeDocument/2006/relationships/hyperlink" Target="http://multeciler.org.tr/turkiyede-calisma-izni-verilen-suriyeli-sayisi/" TargetMode="External"/><Relationship Id="rId51" Type="http://schemas.openxmlformats.org/officeDocument/2006/relationships/hyperlink" Target="http://www2.tbmm.gov.tr/d26/7/7-2004s.pdf" TargetMode="External"/><Relationship Id="rId3" Type="http://schemas.openxmlformats.org/officeDocument/2006/relationships/styles" Target="styles.xml"/><Relationship Id="rId12" Type="http://schemas.openxmlformats.org/officeDocument/2006/relationships/hyperlink" Target="http://www2.tbmm.gov.tr/d26/7/7-3472s.pdf" TargetMode="External"/><Relationship Id="rId17" Type="http://schemas.openxmlformats.org/officeDocument/2006/relationships/hyperlink" Target="http://www2.tbmm.gov.tr/d26/7/7-6961s.pdf" TargetMode="External"/><Relationship Id="rId25" Type="http://schemas.openxmlformats.org/officeDocument/2006/relationships/hyperlink" Target="http://www2.tbmm.gov.tr/d26/7/7-1207s.pdf" TargetMode="External"/><Relationship Id="rId33" Type="http://schemas.openxmlformats.org/officeDocument/2006/relationships/hyperlink" Target="http://www2.tbmm.gov.tr/d26/7/7-3711s.pdf" TargetMode="External"/><Relationship Id="rId38" Type="http://schemas.openxmlformats.org/officeDocument/2006/relationships/hyperlink" Target="http://www2.tbmm.gov.tr/d26/7/7-6881s.pdf" TargetMode="External"/><Relationship Id="rId46" Type="http://schemas.openxmlformats.org/officeDocument/2006/relationships/hyperlink" Target="http://www2.tbmm.gov.tr/d26/7/7-0729s.pdf" TargetMode="External"/><Relationship Id="rId20" Type="http://schemas.openxmlformats.org/officeDocument/2006/relationships/hyperlink" Target="http://www2.tbmm.gov.tr/d26/7/7-7193s.pdf" TargetMode="External"/><Relationship Id="rId41" Type="http://schemas.openxmlformats.org/officeDocument/2006/relationships/hyperlink" Target="http://www2.tbmm.gov.tr/d26/7/7-1691s.pdf" TargetMode="External"/><Relationship Id="rId54" Type="http://schemas.openxmlformats.org/officeDocument/2006/relationships/hyperlink" Target="https://data2.unhcr.org/en/situations/syr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2.tbmm.gov.tr/d26/7/7-5703s.pdf" TargetMode="External"/><Relationship Id="rId23" Type="http://schemas.openxmlformats.org/officeDocument/2006/relationships/hyperlink" Target="http://www.goc.gov.tr/files/files/Goc%20idaresi%202017.pdf" TargetMode="External"/><Relationship Id="rId28" Type="http://schemas.openxmlformats.org/officeDocument/2006/relationships/hyperlink" Target="http://www2.tbmm.gov.tr/d26/7/7-0501s.pdf" TargetMode="External"/><Relationship Id="rId36" Type="http://schemas.openxmlformats.org/officeDocument/2006/relationships/hyperlink" Target="http://www2.tbmm.gov.tr/d26/7/7-6637s.pdf" TargetMode="External"/><Relationship Id="rId49" Type="http://schemas.openxmlformats.org/officeDocument/2006/relationships/hyperlink" Target="http://www2.tbmm.gov.tr/d26/7/7-1894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mhd.org.tr/2018/03/hangi-ulkede-ne-kadar-multeci-var/" TargetMode="External"/><Relationship Id="rId1" Type="http://schemas.openxmlformats.org/officeDocument/2006/relationships/hyperlink" Target="https://data2.unhcr.org/en/situations/syr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54F1-0CE8-4D19-8A64-2D80E147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18</Pages>
  <Words>9805</Words>
  <Characters>55892</Characters>
  <Application>Microsoft Office Word</Application>
  <DocSecurity>0</DocSecurity>
  <Lines>465</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Yolcu</dc:creator>
  <cp:lastModifiedBy>yarogullarininzeynep</cp:lastModifiedBy>
  <cp:revision>29</cp:revision>
  <cp:lastPrinted>2017-08-01T06:56:00Z</cp:lastPrinted>
  <dcterms:created xsi:type="dcterms:W3CDTF">2018-08-17T09:21:00Z</dcterms:created>
  <dcterms:modified xsi:type="dcterms:W3CDTF">2018-09-17T13:51:00Z</dcterms:modified>
</cp:coreProperties>
</file>