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F2" w:rsidRPr="00B03EC8" w:rsidRDefault="00F0254A" w:rsidP="00B03EC8">
      <w:pPr>
        <w:autoSpaceDE w:val="0"/>
        <w:autoSpaceDN w:val="0"/>
        <w:adjustRightInd w:val="0"/>
        <w:spacing w:before="120" w:after="0" w:line="240" w:lineRule="auto"/>
        <w:ind w:firstLine="709"/>
        <w:jc w:val="center"/>
        <w:rPr>
          <w:rFonts w:ascii="Times New Roman" w:hAnsi="Times New Roman" w:cs="Times New Roman"/>
          <w:b/>
          <w:bCs/>
          <w:lang w:val="en-US"/>
        </w:rPr>
      </w:pPr>
      <w:r w:rsidRPr="00B03EC8">
        <w:rPr>
          <w:rFonts w:ascii="Times New Roman" w:hAnsi="Times New Roman" w:cs="Times New Roman"/>
          <w:b/>
          <w:bCs/>
          <w:lang w:val="en-US"/>
        </w:rPr>
        <w:t>BÜTÇE AÇIĞ</w:t>
      </w:r>
      <w:r w:rsidR="00A110F4" w:rsidRPr="00B03EC8">
        <w:rPr>
          <w:rFonts w:ascii="Times New Roman" w:hAnsi="Times New Roman" w:cs="Times New Roman"/>
          <w:b/>
          <w:bCs/>
          <w:lang w:val="en-US"/>
        </w:rPr>
        <w:t>ININ SAVUNMA</w:t>
      </w:r>
      <w:r w:rsidR="00957313" w:rsidRPr="00B03EC8">
        <w:rPr>
          <w:rFonts w:ascii="Times New Roman" w:hAnsi="Times New Roman" w:cs="Times New Roman"/>
          <w:b/>
          <w:bCs/>
          <w:lang w:val="en-US"/>
        </w:rPr>
        <w:t xml:space="preserve"> HARCAMALARI ÜZERİNE ETKİSİNİN İNCELENMESİ</w:t>
      </w:r>
    </w:p>
    <w:p w:rsidR="00B03EC8" w:rsidRPr="00716E92" w:rsidRDefault="00C37EEA" w:rsidP="00C37EEA">
      <w:pPr>
        <w:autoSpaceDE w:val="0"/>
        <w:autoSpaceDN w:val="0"/>
        <w:adjustRightInd w:val="0"/>
        <w:spacing w:after="0" w:line="240" w:lineRule="auto"/>
        <w:rPr>
          <w:rFonts w:ascii="Times New Roman" w:hAnsi="Times New Roman" w:cs="Times New Roman"/>
          <w:bCs/>
          <w:sz w:val="20"/>
        </w:rPr>
      </w:pPr>
      <w:r w:rsidRPr="00D715BD">
        <w:rPr>
          <w:rFonts w:ascii="Times New Roman" w:eastAsia="Calibri" w:hAnsi="Times New Roman" w:cs="Times New Roman"/>
          <w:i/>
          <w:color w:val="000000"/>
          <w:sz w:val="20"/>
          <w:szCs w:val="14"/>
          <w:shd w:val="clear" w:color="auto" w:fill="FFFFFF"/>
        </w:rPr>
        <w:t>Geliş</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Tarihi</w:t>
      </w:r>
      <w:r>
        <w:rPr>
          <w:rFonts w:ascii="Times New Roman" w:eastAsia="Calibri" w:hAnsi="Times New Roman" w:cs="Times New Roman"/>
          <w:i/>
          <w:color w:val="000000"/>
          <w:sz w:val="20"/>
          <w:szCs w:val="14"/>
          <w:shd w:val="clear" w:color="auto" w:fill="FFFFFF"/>
        </w:rPr>
        <w:t xml:space="preserve"> </w:t>
      </w:r>
      <w:r w:rsidRPr="00D715BD">
        <w:rPr>
          <w:rFonts w:ascii="Times New Roman" w:eastAsia="Calibri" w:hAnsi="Times New Roman" w:cs="Times New Roman"/>
          <w:i/>
          <w:color w:val="000000"/>
          <w:sz w:val="20"/>
          <w:szCs w:val="14"/>
          <w:shd w:val="clear" w:color="auto" w:fill="FFFFFF"/>
        </w:rPr>
        <w:t>(ReceievedDate)</w:t>
      </w:r>
      <w:r>
        <w:rPr>
          <w:rFonts w:ascii="Times New Roman" w:eastAsia="Calibri" w:hAnsi="Times New Roman" w:cs="Times New Roman"/>
          <w:i/>
          <w:color w:val="000000"/>
          <w:sz w:val="20"/>
          <w:szCs w:val="14"/>
          <w:shd w:val="clear" w:color="auto" w:fill="FFFFFF"/>
        </w:rPr>
        <w:t xml:space="preserve"> </w:t>
      </w:r>
      <w:r w:rsidR="00791BDC">
        <w:rPr>
          <w:rFonts w:ascii="Times New Roman" w:eastAsia="Calibri" w:hAnsi="Times New Roman" w:cs="Times New Roman"/>
          <w:i/>
          <w:color w:val="000000"/>
          <w:sz w:val="20"/>
          <w:szCs w:val="14"/>
          <w:shd w:val="clear" w:color="auto" w:fill="FFFFFF"/>
        </w:rPr>
        <w:t>08.11.2017</w:t>
      </w:r>
      <w:r w:rsidRPr="00D715BD">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D715BD">
        <w:rPr>
          <w:rFonts w:ascii="Times New Roman" w:eastAsia="Calibri" w:hAnsi="Times New Roman" w:cs="Times New Roman"/>
          <w:bCs/>
          <w:sz w:val="20"/>
          <w:szCs w:val="20"/>
        </w:rPr>
        <w:t xml:space="preserve">               </w:t>
      </w:r>
      <w:r w:rsidRPr="00D715BD">
        <w:rPr>
          <w:rFonts w:ascii="Times New Roman" w:eastAsia="Times New Roman" w:hAnsi="Times New Roman" w:cs="Times New Roman"/>
          <w:bCs/>
          <w:color w:val="000000"/>
          <w:sz w:val="20"/>
          <w:szCs w:val="20"/>
        </w:rPr>
        <w:t xml:space="preserve"> </w:t>
      </w:r>
      <w:r w:rsidRPr="003C0F0C">
        <w:rPr>
          <w:rFonts w:ascii="Times New Roman" w:hAnsi="Times New Roman" w:cs="Times New Roman"/>
          <w:b/>
          <w:sz w:val="20"/>
        </w:rPr>
        <w:t xml:space="preserve">                                           </w:t>
      </w:r>
      <w:r w:rsidR="00716E92" w:rsidRPr="00716E92">
        <w:rPr>
          <w:rFonts w:ascii="Times New Roman" w:hAnsi="Times New Roman" w:cs="Times New Roman"/>
          <w:bCs/>
          <w:sz w:val="20"/>
        </w:rPr>
        <w:t>Şaban ÇELİK</w:t>
      </w:r>
      <w:r w:rsidR="00716E92">
        <w:rPr>
          <w:rStyle w:val="DipnotBavurusu"/>
          <w:rFonts w:ascii="Times New Roman" w:hAnsi="Times New Roman" w:cs="Times New Roman"/>
          <w:bCs/>
          <w:sz w:val="20"/>
        </w:rPr>
        <w:footnoteReference w:id="1"/>
      </w:r>
    </w:p>
    <w:p w:rsidR="00716E92" w:rsidRPr="00716E92" w:rsidRDefault="00C37EEA" w:rsidP="00C37EEA">
      <w:pPr>
        <w:spacing w:after="0" w:line="240" w:lineRule="auto"/>
        <w:jc w:val="both"/>
        <w:rPr>
          <w:rFonts w:ascii="Times New Roman" w:hAnsi="Times New Roman" w:cs="Times New Roman"/>
          <w:bCs/>
          <w:sz w:val="20"/>
        </w:rPr>
      </w:pPr>
      <w:r w:rsidRPr="00D715BD">
        <w:rPr>
          <w:rFonts w:ascii="Times New Roman" w:eastAsia="Calibri" w:hAnsi="Times New Roman" w:cs="Times New Roman"/>
          <w:i/>
          <w:sz w:val="20"/>
          <w:szCs w:val="24"/>
        </w:rPr>
        <w:t xml:space="preserve">Kabul Tarihi (Accepted Date) </w:t>
      </w:r>
      <w:r w:rsidR="00791BDC">
        <w:rPr>
          <w:rFonts w:ascii="Times New Roman" w:eastAsia="Calibri" w:hAnsi="Times New Roman" w:cs="Times New Roman"/>
          <w:i/>
          <w:sz w:val="20"/>
          <w:szCs w:val="24"/>
        </w:rPr>
        <w:t>06</w:t>
      </w:r>
      <w:r w:rsidRPr="00D715BD">
        <w:rPr>
          <w:rFonts w:ascii="Times New Roman" w:eastAsia="Calibri" w:hAnsi="Times New Roman" w:cs="Times New Roman"/>
          <w:i/>
          <w:sz w:val="20"/>
          <w:szCs w:val="24"/>
        </w:rPr>
        <w:t>.0</w:t>
      </w:r>
      <w:r w:rsidR="00791BDC">
        <w:rPr>
          <w:rFonts w:ascii="Times New Roman" w:eastAsia="Calibri" w:hAnsi="Times New Roman" w:cs="Times New Roman"/>
          <w:i/>
          <w:sz w:val="20"/>
          <w:szCs w:val="24"/>
        </w:rPr>
        <w:t>5</w:t>
      </w:r>
      <w:r w:rsidRPr="00D715BD">
        <w:rPr>
          <w:rFonts w:ascii="Times New Roman" w:eastAsia="Calibri" w:hAnsi="Times New Roman" w:cs="Times New Roman"/>
          <w:i/>
          <w:sz w:val="20"/>
          <w:szCs w:val="24"/>
        </w:rPr>
        <w:t>.2018</w:t>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r>
      <w:r>
        <w:rPr>
          <w:rFonts w:ascii="Times New Roman" w:eastAsia="Calibri" w:hAnsi="Times New Roman" w:cs="Times New Roman"/>
          <w:i/>
          <w:sz w:val="20"/>
          <w:szCs w:val="24"/>
        </w:rPr>
        <w:tab/>
        <w:t xml:space="preserve">     </w:t>
      </w:r>
      <w:r w:rsidR="00716E92" w:rsidRPr="00716E92">
        <w:rPr>
          <w:rFonts w:ascii="Times New Roman" w:hAnsi="Times New Roman" w:cs="Times New Roman"/>
          <w:bCs/>
          <w:sz w:val="20"/>
        </w:rPr>
        <w:t>Erdem ÖNCÜ</w:t>
      </w:r>
      <w:r w:rsidR="00716E92">
        <w:rPr>
          <w:rStyle w:val="DipnotBavurusu"/>
          <w:rFonts w:ascii="Times New Roman" w:hAnsi="Times New Roman" w:cs="Times New Roman"/>
          <w:bCs/>
          <w:sz w:val="20"/>
        </w:rPr>
        <w:footnoteReference w:id="2"/>
      </w:r>
    </w:p>
    <w:p w:rsidR="00104CF2" w:rsidRPr="00B03EC8" w:rsidRDefault="00104CF2" w:rsidP="00B03EC8">
      <w:pPr>
        <w:autoSpaceDE w:val="0"/>
        <w:autoSpaceDN w:val="0"/>
        <w:adjustRightInd w:val="0"/>
        <w:spacing w:before="120" w:after="0" w:line="240" w:lineRule="auto"/>
        <w:ind w:firstLine="709"/>
        <w:jc w:val="center"/>
        <w:rPr>
          <w:rFonts w:ascii="Times New Roman" w:hAnsi="Times New Roman" w:cs="Times New Roman"/>
          <w:b/>
          <w:bCs/>
          <w:sz w:val="20"/>
        </w:rPr>
      </w:pPr>
      <w:r w:rsidRPr="00B03EC8">
        <w:rPr>
          <w:rFonts w:ascii="Times New Roman" w:hAnsi="Times New Roman" w:cs="Times New Roman"/>
          <w:b/>
          <w:bCs/>
          <w:sz w:val="20"/>
        </w:rPr>
        <w:t>Özet</w:t>
      </w:r>
    </w:p>
    <w:p w:rsidR="00104CF2" w:rsidRPr="00B03EC8" w:rsidRDefault="00104CF2" w:rsidP="00B03EC8">
      <w:pPr>
        <w:autoSpaceDE w:val="0"/>
        <w:autoSpaceDN w:val="0"/>
        <w:adjustRightInd w:val="0"/>
        <w:spacing w:before="120" w:after="0" w:line="240" w:lineRule="auto"/>
        <w:ind w:firstLine="709"/>
        <w:jc w:val="both"/>
        <w:rPr>
          <w:rFonts w:ascii="Times New Roman" w:hAnsi="Times New Roman" w:cs="Times New Roman"/>
          <w:color w:val="000000" w:themeColor="text1"/>
          <w:sz w:val="20"/>
        </w:rPr>
      </w:pPr>
      <w:r w:rsidRPr="00B03EC8">
        <w:rPr>
          <w:rFonts w:ascii="Times New Roman" w:hAnsi="Times New Roman" w:cs="Times New Roman"/>
          <w:color w:val="000000" w:themeColor="text1"/>
          <w:sz w:val="20"/>
        </w:rPr>
        <w:t xml:space="preserve">Bu çalışma </w:t>
      </w:r>
      <w:r w:rsidR="007160FC" w:rsidRPr="00B03EC8">
        <w:rPr>
          <w:rFonts w:ascii="Times New Roman" w:hAnsi="Times New Roman" w:cs="Times New Roman"/>
          <w:color w:val="000000" w:themeColor="text1"/>
          <w:sz w:val="20"/>
        </w:rPr>
        <w:t>Bütçe A</w:t>
      </w:r>
      <w:r w:rsidRPr="00B03EC8">
        <w:rPr>
          <w:rFonts w:ascii="Times New Roman" w:hAnsi="Times New Roman" w:cs="Times New Roman"/>
          <w:color w:val="000000" w:themeColor="text1"/>
          <w:sz w:val="20"/>
        </w:rPr>
        <w:t xml:space="preserve">çığı ve </w:t>
      </w:r>
      <w:r w:rsidRPr="00B03EC8">
        <w:rPr>
          <w:rFonts w:ascii="Times New Roman" w:hAnsi="Times New Roman" w:cs="Times New Roman"/>
          <w:bCs/>
          <w:color w:val="000000"/>
          <w:sz w:val="20"/>
        </w:rPr>
        <w:t>Politik Stabilite ve Terör Yokluğu Endeksi değişkenlerinin</w:t>
      </w:r>
      <w:r w:rsidRPr="00B03EC8">
        <w:rPr>
          <w:rFonts w:ascii="Times New Roman" w:hAnsi="Times New Roman" w:cs="Times New Roman"/>
          <w:color w:val="000000" w:themeColor="text1"/>
          <w:sz w:val="20"/>
        </w:rPr>
        <w:t xml:space="preserve"> savunma harcamaları üzerindeki etkisini GMM panel regresyon modeli ile incelemektedir. </w:t>
      </w:r>
      <w:r w:rsidR="00F42738" w:rsidRPr="00B03EC8">
        <w:rPr>
          <w:rFonts w:ascii="Times New Roman" w:hAnsi="Times New Roman" w:cs="Times New Roman"/>
          <w:color w:val="000000" w:themeColor="text1"/>
          <w:sz w:val="20"/>
        </w:rPr>
        <w:t xml:space="preserve">Bu analizi gerçekleştirebilmek için bağımlı değişken olarak savunma harcamaları,  </w:t>
      </w:r>
      <w:r w:rsidR="00DC05EF" w:rsidRPr="00B03EC8">
        <w:rPr>
          <w:rFonts w:ascii="Times New Roman" w:hAnsi="Times New Roman" w:cs="Times New Roman"/>
          <w:color w:val="000000" w:themeColor="text1"/>
          <w:sz w:val="20"/>
        </w:rPr>
        <w:t xml:space="preserve">bağımsız değişken olarak da </w:t>
      </w:r>
      <w:r w:rsidR="007160FC" w:rsidRPr="00B03EC8">
        <w:rPr>
          <w:rFonts w:ascii="Times New Roman" w:hAnsi="Times New Roman" w:cs="Times New Roman"/>
          <w:color w:val="000000" w:themeColor="text1"/>
          <w:sz w:val="20"/>
        </w:rPr>
        <w:t>Bütçe A</w:t>
      </w:r>
      <w:r w:rsidR="00F42738" w:rsidRPr="00B03EC8">
        <w:rPr>
          <w:rFonts w:ascii="Times New Roman" w:hAnsi="Times New Roman" w:cs="Times New Roman"/>
          <w:color w:val="000000" w:themeColor="text1"/>
          <w:sz w:val="20"/>
        </w:rPr>
        <w:t>çığı ve Politik Stabilite ve Terör Yokluğu Endeksi verileri ise kullanılmıştır</w:t>
      </w:r>
      <w:r w:rsidRPr="00B03EC8">
        <w:rPr>
          <w:rFonts w:ascii="Times New Roman" w:hAnsi="Times New Roman" w:cs="Times New Roman"/>
          <w:bCs/>
          <w:color w:val="000000"/>
          <w:sz w:val="20"/>
        </w:rPr>
        <w:t xml:space="preserve">. </w:t>
      </w:r>
      <w:r w:rsidRPr="00B03EC8">
        <w:rPr>
          <w:rFonts w:ascii="Times New Roman" w:hAnsi="Times New Roman" w:cs="Times New Roman"/>
          <w:color w:val="000000" w:themeColor="text1"/>
          <w:sz w:val="20"/>
        </w:rPr>
        <w:t>Örneklem olarak alınan 34 OECD ülkesi üzerinde test edilen modelin sonuçları bütçe açığının artması ile savunma harcamalarının azaldığını ispatlamaktadır. Ayrıca</w:t>
      </w:r>
      <w:r w:rsidR="00F42738" w:rsidRPr="00B03EC8">
        <w:rPr>
          <w:rFonts w:ascii="Times New Roman" w:hAnsi="Times New Roman" w:cs="Times New Roman"/>
          <w:color w:val="000000" w:themeColor="text1"/>
          <w:sz w:val="20"/>
        </w:rPr>
        <w:t xml:space="preserve">, </w:t>
      </w:r>
      <w:r w:rsidRPr="00B03EC8">
        <w:rPr>
          <w:rFonts w:ascii="Times New Roman" w:hAnsi="Times New Roman" w:cs="Times New Roman"/>
          <w:color w:val="000000" w:themeColor="text1"/>
          <w:sz w:val="20"/>
        </w:rPr>
        <w:t>politik olarak stabil olan ülkelerin daha fazla savunma yatırımı yaptıkları bulunan bir diğer sonuç olmuştur.</w:t>
      </w:r>
    </w:p>
    <w:p w:rsidR="00104CF2" w:rsidRPr="00B03EC8" w:rsidRDefault="00104CF2" w:rsidP="00B03EC8">
      <w:pPr>
        <w:autoSpaceDE w:val="0"/>
        <w:autoSpaceDN w:val="0"/>
        <w:adjustRightInd w:val="0"/>
        <w:spacing w:before="120" w:after="0" w:line="240" w:lineRule="auto"/>
        <w:ind w:firstLine="709"/>
        <w:jc w:val="both"/>
        <w:rPr>
          <w:rFonts w:ascii="Times New Roman" w:hAnsi="Times New Roman" w:cs="Times New Roman"/>
          <w:sz w:val="20"/>
        </w:rPr>
      </w:pPr>
      <w:r w:rsidRPr="00B03EC8">
        <w:rPr>
          <w:rFonts w:ascii="Times New Roman" w:hAnsi="Times New Roman" w:cs="Times New Roman"/>
          <w:b/>
          <w:bCs/>
          <w:sz w:val="20"/>
        </w:rPr>
        <w:t xml:space="preserve">Anahtar Kelimeler: </w:t>
      </w:r>
      <w:r w:rsidRPr="00B03EC8">
        <w:rPr>
          <w:rFonts w:ascii="Times New Roman" w:hAnsi="Times New Roman" w:cs="Times New Roman"/>
          <w:sz w:val="20"/>
        </w:rPr>
        <w:t xml:space="preserve">Savunma </w:t>
      </w:r>
      <w:r w:rsidR="004C01FA" w:rsidRPr="00B03EC8">
        <w:rPr>
          <w:rFonts w:ascii="Times New Roman" w:hAnsi="Times New Roman" w:cs="Times New Roman"/>
          <w:sz w:val="20"/>
        </w:rPr>
        <w:t>Harcamaları, Bütçe Açığı, Panel Veri Analizi.</w:t>
      </w:r>
    </w:p>
    <w:p w:rsidR="00FD661C" w:rsidRPr="00B03EC8" w:rsidRDefault="00FD661C" w:rsidP="00B03EC8">
      <w:pPr>
        <w:autoSpaceDE w:val="0"/>
        <w:autoSpaceDN w:val="0"/>
        <w:adjustRightInd w:val="0"/>
        <w:spacing w:before="120" w:after="0" w:line="240" w:lineRule="auto"/>
        <w:ind w:firstLine="709"/>
        <w:jc w:val="center"/>
        <w:rPr>
          <w:rFonts w:ascii="Times New Roman" w:hAnsi="Times New Roman" w:cs="Times New Roman"/>
          <w:b/>
          <w:bCs/>
          <w:lang w:val="en-US"/>
        </w:rPr>
      </w:pPr>
      <w:r w:rsidRPr="00B03EC8">
        <w:rPr>
          <w:rFonts w:ascii="Times New Roman" w:hAnsi="Times New Roman" w:cs="Times New Roman"/>
          <w:b/>
          <w:bCs/>
          <w:lang w:val="en-US"/>
        </w:rPr>
        <w:t>EXAMINING THE IMPACT OF BUDGET DEFICIT ON DEFEND EXPENDITURES</w:t>
      </w:r>
    </w:p>
    <w:p w:rsidR="00104CF2" w:rsidRPr="00B03EC8" w:rsidRDefault="00104CF2" w:rsidP="00B03EC8">
      <w:pPr>
        <w:autoSpaceDE w:val="0"/>
        <w:autoSpaceDN w:val="0"/>
        <w:adjustRightInd w:val="0"/>
        <w:spacing w:before="120" w:after="0" w:line="240" w:lineRule="auto"/>
        <w:ind w:firstLine="709"/>
        <w:jc w:val="center"/>
        <w:rPr>
          <w:rFonts w:ascii="Times New Roman" w:hAnsi="Times New Roman" w:cs="Times New Roman"/>
          <w:b/>
          <w:bCs/>
          <w:sz w:val="20"/>
          <w:lang w:val="en-US"/>
        </w:rPr>
      </w:pPr>
      <w:r w:rsidRPr="00B03EC8">
        <w:rPr>
          <w:rFonts w:ascii="Times New Roman" w:hAnsi="Times New Roman" w:cs="Times New Roman"/>
          <w:b/>
          <w:bCs/>
          <w:sz w:val="20"/>
          <w:lang w:val="en-US"/>
        </w:rPr>
        <w:t>Abstract</w:t>
      </w:r>
    </w:p>
    <w:p w:rsidR="00104CF2" w:rsidRPr="00B03EC8" w:rsidRDefault="00104CF2" w:rsidP="00B03E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hAnsi="Times New Roman" w:cs="Times New Roman"/>
          <w:sz w:val="20"/>
          <w:lang w:val="en-US"/>
        </w:rPr>
      </w:pPr>
      <w:r w:rsidRPr="00B03EC8">
        <w:rPr>
          <w:rFonts w:ascii="Times New Roman" w:eastAsia="Times New Roman" w:hAnsi="Times New Roman" w:cs="Times New Roman"/>
          <w:color w:val="212121"/>
          <w:sz w:val="20"/>
          <w:lang w:val="en"/>
        </w:rPr>
        <w:t xml:space="preserve">This study examines the impact of </w:t>
      </w:r>
      <w:r w:rsidR="007160FC" w:rsidRPr="00B03EC8">
        <w:rPr>
          <w:rFonts w:ascii="Times New Roman" w:eastAsia="Times New Roman" w:hAnsi="Times New Roman" w:cs="Times New Roman"/>
          <w:color w:val="212121"/>
          <w:sz w:val="20"/>
          <w:lang w:val="en"/>
        </w:rPr>
        <w:t>B</w:t>
      </w:r>
      <w:r w:rsidRPr="00B03EC8">
        <w:rPr>
          <w:rFonts w:ascii="Times New Roman" w:eastAsia="Times New Roman" w:hAnsi="Times New Roman" w:cs="Times New Roman"/>
          <w:color w:val="212121"/>
          <w:sz w:val="20"/>
          <w:lang w:val="en"/>
        </w:rPr>
        <w:t xml:space="preserve">udget </w:t>
      </w:r>
      <w:r w:rsidR="007160FC" w:rsidRPr="00B03EC8">
        <w:rPr>
          <w:rFonts w:ascii="Times New Roman" w:eastAsia="Times New Roman" w:hAnsi="Times New Roman" w:cs="Times New Roman"/>
          <w:color w:val="212121"/>
          <w:sz w:val="20"/>
          <w:lang w:val="en"/>
        </w:rPr>
        <w:t>D</w:t>
      </w:r>
      <w:r w:rsidRPr="00B03EC8">
        <w:rPr>
          <w:rFonts w:ascii="Times New Roman" w:eastAsia="Times New Roman" w:hAnsi="Times New Roman" w:cs="Times New Roman"/>
          <w:color w:val="212121"/>
          <w:sz w:val="20"/>
          <w:lang w:val="en"/>
        </w:rPr>
        <w:t>eficits and the Political Stability and Absence of Terrorism on defense spending with the GMM panel regression model.</w:t>
      </w:r>
      <w:r w:rsidR="00364484" w:rsidRPr="00B03EC8">
        <w:rPr>
          <w:rFonts w:ascii="Times New Roman" w:hAnsi="Times New Roman" w:cs="Times New Roman"/>
          <w:sz w:val="20"/>
        </w:rPr>
        <w:t xml:space="preserve"> </w:t>
      </w:r>
      <w:r w:rsidR="00364484" w:rsidRPr="00B03EC8">
        <w:rPr>
          <w:rFonts w:ascii="Times New Roman" w:hAnsi="Times New Roman" w:cs="Times New Roman"/>
          <w:color w:val="212121"/>
          <w:sz w:val="20"/>
          <w:shd w:val="clear" w:color="auto" w:fill="FFFFFF"/>
          <w:lang w:val="en-US"/>
        </w:rPr>
        <w:t xml:space="preserve">Defense spending as a dependent variable, </w:t>
      </w:r>
      <w:r w:rsidR="007160FC" w:rsidRPr="00B03EC8">
        <w:rPr>
          <w:rFonts w:ascii="Times New Roman" w:hAnsi="Times New Roman" w:cs="Times New Roman"/>
          <w:color w:val="212121"/>
          <w:sz w:val="20"/>
          <w:shd w:val="clear" w:color="auto" w:fill="FFFFFF"/>
          <w:lang w:val="en-US"/>
        </w:rPr>
        <w:t>B</w:t>
      </w:r>
      <w:r w:rsidR="00364484" w:rsidRPr="00B03EC8">
        <w:rPr>
          <w:rFonts w:ascii="Times New Roman" w:hAnsi="Times New Roman" w:cs="Times New Roman"/>
          <w:color w:val="212121"/>
          <w:sz w:val="20"/>
          <w:shd w:val="clear" w:color="auto" w:fill="FFFFFF"/>
          <w:lang w:val="en-US"/>
        </w:rPr>
        <w:t xml:space="preserve">udget </w:t>
      </w:r>
      <w:r w:rsidR="007160FC" w:rsidRPr="00B03EC8">
        <w:rPr>
          <w:rFonts w:ascii="Times New Roman" w:hAnsi="Times New Roman" w:cs="Times New Roman"/>
          <w:color w:val="212121"/>
          <w:sz w:val="20"/>
          <w:shd w:val="clear" w:color="auto" w:fill="FFFFFF"/>
          <w:lang w:val="en-US"/>
        </w:rPr>
        <w:t>D</w:t>
      </w:r>
      <w:r w:rsidR="00364484" w:rsidRPr="00B03EC8">
        <w:rPr>
          <w:rFonts w:ascii="Times New Roman" w:hAnsi="Times New Roman" w:cs="Times New Roman"/>
          <w:color w:val="212121"/>
          <w:sz w:val="20"/>
          <w:shd w:val="clear" w:color="auto" w:fill="FFFFFF"/>
          <w:lang w:val="en-US"/>
        </w:rPr>
        <w:t>eficit and Political Stability and Terrorism Absence of Terrorism Index data were used as independent variables to perform this analysis</w:t>
      </w:r>
      <w:r w:rsidRPr="00B03EC8">
        <w:rPr>
          <w:rFonts w:ascii="Times New Roman" w:eastAsia="Times New Roman" w:hAnsi="Times New Roman" w:cs="Times New Roman"/>
          <w:color w:val="212121"/>
          <w:sz w:val="20"/>
          <w:lang w:val="en"/>
        </w:rPr>
        <w:t xml:space="preserve">. The model tested in the sample of 34 OECD countries proves that </w:t>
      </w:r>
      <w:r w:rsidR="00364484" w:rsidRPr="00B03EC8">
        <w:rPr>
          <w:rFonts w:ascii="Times New Roman" w:eastAsia="Times New Roman" w:hAnsi="Times New Roman" w:cs="Times New Roman"/>
          <w:color w:val="212121"/>
          <w:sz w:val="20"/>
          <w:lang w:val="en"/>
        </w:rPr>
        <w:t xml:space="preserve">defense expenditures reduce with </w:t>
      </w:r>
      <w:r w:rsidRPr="00B03EC8">
        <w:rPr>
          <w:rFonts w:ascii="Times New Roman" w:eastAsia="Times New Roman" w:hAnsi="Times New Roman" w:cs="Times New Roman"/>
          <w:color w:val="212121"/>
          <w:sz w:val="20"/>
          <w:lang w:val="en"/>
        </w:rPr>
        <w:t>the increase of the budget deficit.</w:t>
      </w:r>
      <w:r w:rsidR="00957313" w:rsidRPr="00B03EC8">
        <w:rPr>
          <w:rFonts w:ascii="Times New Roman" w:eastAsia="Times New Roman" w:hAnsi="Times New Roman" w:cs="Times New Roman"/>
          <w:color w:val="212121"/>
          <w:sz w:val="20"/>
          <w:lang w:val="en"/>
        </w:rPr>
        <w:t xml:space="preserve"> </w:t>
      </w:r>
      <w:r w:rsidR="00364484" w:rsidRPr="00B03EC8">
        <w:rPr>
          <w:rFonts w:ascii="Times New Roman" w:hAnsi="Times New Roman" w:cs="Times New Roman"/>
          <w:color w:val="212121"/>
          <w:sz w:val="20"/>
          <w:shd w:val="clear" w:color="auto" w:fill="FFFFFF"/>
          <w:lang w:val="en-US"/>
        </w:rPr>
        <w:t>In addition, there is another result that politically stable countries are investing more in defense.</w:t>
      </w:r>
    </w:p>
    <w:p w:rsidR="00104CF2" w:rsidRPr="00B03EC8" w:rsidRDefault="00104CF2" w:rsidP="00B03EC8">
      <w:pPr>
        <w:autoSpaceDE w:val="0"/>
        <w:autoSpaceDN w:val="0"/>
        <w:adjustRightInd w:val="0"/>
        <w:spacing w:before="120" w:after="0" w:line="240" w:lineRule="auto"/>
        <w:ind w:firstLine="709"/>
        <w:jc w:val="both"/>
        <w:rPr>
          <w:rFonts w:ascii="Times New Roman" w:hAnsi="Times New Roman" w:cs="Times New Roman"/>
          <w:sz w:val="20"/>
          <w:lang w:val="en-US"/>
        </w:rPr>
      </w:pPr>
      <w:r w:rsidRPr="00B03EC8">
        <w:rPr>
          <w:rFonts w:ascii="Times New Roman" w:hAnsi="Times New Roman" w:cs="Times New Roman"/>
          <w:b/>
          <w:bCs/>
          <w:sz w:val="20"/>
          <w:lang w:val="en-US"/>
        </w:rPr>
        <w:t xml:space="preserve">Keywords: </w:t>
      </w:r>
      <w:r w:rsidR="00A110F4" w:rsidRPr="00B03EC8">
        <w:rPr>
          <w:rFonts w:ascii="Times New Roman" w:hAnsi="Times New Roman" w:cs="Times New Roman"/>
          <w:sz w:val="20"/>
          <w:lang w:val="en-US"/>
        </w:rPr>
        <w:t xml:space="preserve">Military Expenditures, </w:t>
      </w:r>
      <w:r w:rsidR="004C01FA" w:rsidRPr="00B03EC8">
        <w:rPr>
          <w:rFonts w:ascii="Times New Roman" w:hAnsi="Times New Roman" w:cs="Times New Roman"/>
          <w:sz w:val="20"/>
          <w:lang w:val="en-US"/>
        </w:rPr>
        <w:t xml:space="preserve">Budget Deficit, </w:t>
      </w:r>
      <w:r w:rsidR="00A110F4" w:rsidRPr="00B03EC8">
        <w:rPr>
          <w:rFonts w:ascii="Times New Roman" w:hAnsi="Times New Roman" w:cs="Times New Roman"/>
          <w:sz w:val="20"/>
          <w:lang w:val="en-US"/>
        </w:rPr>
        <w:t>Panel Data Analysis</w:t>
      </w:r>
      <w:r w:rsidRPr="00B03EC8">
        <w:rPr>
          <w:rFonts w:ascii="Times New Roman" w:hAnsi="Times New Roman" w:cs="Times New Roman"/>
          <w:sz w:val="20"/>
          <w:lang w:val="en-US"/>
        </w:rPr>
        <w:t>.</w:t>
      </w:r>
    </w:p>
    <w:p w:rsidR="00B03EC8" w:rsidRDefault="00B03EC8" w:rsidP="00B03EC8">
      <w:pPr>
        <w:autoSpaceDE w:val="0"/>
        <w:autoSpaceDN w:val="0"/>
        <w:adjustRightInd w:val="0"/>
        <w:spacing w:before="120" w:after="0" w:line="240" w:lineRule="auto"/>
        <w:ind w:firstLine="709"/>
        <w:jc w:val="both"/>
        <w:rPr>
          <w:rFonts w:ascii="Times New Roman" w:hAnsi="Times New Roman" w:cs="Times New Roman"/>
          <w:b/>
          <w:color w:val="000000"/>
          <w:lang w:val="en-US"/>
        </w:rPr>
      </w:pPr>
    </w:p>
    <w:p w:rsidR="00B03EC8" w:rsidRDefault="00B03EC8" w:rsidP="00B03EC8">
      <w:pPr>
        <w:autoSpaceDE w:val="0"/>
        <w:autoSpaceDN w:val="0"/>
        <w:adjustRightInd w:val="0"/>
        <w:spacing w:before="120" w:after="0" w:line="240" w:lineRule="auto"/>
        <w:ind w:firstLine="709"/>
        <w:jc w:val="both"/>
        <w:rPr>
          <w:rFonts w:ascii="Times New Roman" w:hAnsi="Times New Roman" w:cs="Times New Roman"/>
          <w:b/>
          <w:color w:val="000000"/>
          <w:lang w:val="en-US"/>
        </w:rPr>
      </w:pPr>
    </w:p>
    <w:p w:rsidR="00233F74" w:rsidRPr="00B03EC8" w:rsidRDefault="00957313" w:rsidP="00716E92">
      <w:pPr>
        <w:autoSpaceDE w:val="0"/>
        <w:autoSpaceDN w:val="0"/>
        <w:adjustRightInd w:val="0"/>
        <w:spacing w:before="120" w:after="0" w:line="240" w:lineRule="auto"/>
        <w:jc w:val="both"/>
        <w:rPr>
          <w:rFonts w:ascii="Times New Roman" w:hAnsi="Times New Roman" w:cs="Times New Roman"/>
          <w:b/>
          <w:color w:val="000000"/>
          <w:lang w:val="en-US"/>
        </w:rPr>
      </w:pPr>
      <w:r w:rsidRPr="00B03EC8">
        <w:rPr>
          <w:rFonts w:ascii="Times New Roman" w:hAnsi="Times New Roman" w:cs="Times New Roman"/>
          <w:b/>
          <w:color w:val="000000"/>
          <w:lang w:val="en-US"/>
        </w:rPr>
        <w:t>GİRİŞ</w:t>
      </w:r>
    </w:p>
    <w:p w:rsidR="00233F74" w:rsidRPr="00B03EC8" w:rsidRDefault="00233F74" w:rsidP="00B03EC8">
      <w:pPr>
        <w:spacing w:before="120" w:after="0" w:line="240" w:lineRule="auto"/>
        <w:ind w:firstLine="709"/>
        <w:jc w:val="both"/>
        <w:rPr>
          <w:rFonts w:ascii="Times New Roman" w:hAnsi="Times New Roman" w:cs="Times New Roman"/>
        </w:rPr>
      </w:pPr>
      <w:r w:rsidRPr="00B03EC8">
        <w:rPr>
          <w:rFonts w:ascii="Times New Roman" w:hAnsi="Times New Roman" w:cs="Times New Roman"/>
          <w:color w:val="000000"/>
        </w:rPr>
        <w:t>Devletlerin var olmak ve varlıklarını sürdürebilmek ile ilgili en temel gereksinimden kaynaklanan ve tam kamusal nitelikte olan savunma hizmeti sunma mecburiyeti, devletlerin bağlı olduğu kültürel, tarihi, iktisadi mirasın yanında özellikle son dönemde kitle iletişim ve savunma teknolojileri alanında</w:t>
      </w:r>
      <w:r w:rsidRPr="00B03EC8">
        <w:rPr>
          <w:rFonts w:ascii="Times New Roman" w:hAnsi="Times New Roman" w:cs="Times New Roman"/>
        </w:rPr>
        <w:t xml:space="preserve"> yaşanan artan teknoloji-yoğun ilerlemeye bağlı olarak önemini ciddi ölçüde artırmıştır (Alptekin, 2012). Savunma üzerine yapılan yatırımlar politik ve sosyal nedenlerden dolayı geçmişten günümüze tartışılan konulardan biridir. </w:t>
      </w:r>
    </w:p>
    <w:p w:rsidR="00233F74" w:rsidRPr="00B03EC8" w:rsidRDefault="00233F74" w:rsidP="00B03EC8">
      <w:pPr>
        <w:spacing w:before="120" w:after="0" w:line="240" w:lineRule="auto"/>
        <w:ind w:firstLine="709"/>
        <w:jc w:val="both"/>
        <w:rPr>
          <w:rFonts w:ascii="Times New Roman" w:hAnsi="Times New Roman" w:cs="Times New Roman"/>
        </w:rPr>
      </w:pPr>
      <w:r w:rsidRPr="00B03EC8">
        <w:rPr>
          <w:rFonts w:ascii="Times New Roman" w:hAnsi="Times New Roman" w:cs="Times New Roman"/>
        </w:rPr>
        <w:t xml:space="preserve">Sokrates, savaşlar konusunda kenti lüks ve ateşli olarak tanımlamakla birlikte, </w:t>
      </w:r>
      <w:r w:rsidR="00CC7B1B" w:rsidRPr="00B03EC8">
        <w:rPr>
          <w:rFonts w:ascii="Times New Roman" w:hAnsi="Times New Roman" w:cs="Times New Roman"/>
        </w:rPr>
        <w:t>eski kentin sağlıklı ve huzurlu</w:t>
      </w:r>
      <w:r w:rsidRPr="00B03EC8">
        <w:rPr>
          <w:rFonts w:ascii="Times New Roman" w:hAnsi="Times New Roman" w:cs="Times New Roman"/>
        </w:rPr>
        <w:t xml:space="preserve"> bir şehir olduğunu belirtirken, savaşın iyi veya kötü etkilerine inanıp inanmadığını söylemeyi reddetmiştir. Sokrates’e göre</w:t>
      </w:r>
      <w:r w:rsidR="00DC05EF" w:rsidRPr="00B03EC8">
        <w:rPr>
          <w:rFonts w:ascii="Times New Roman" w:hAnsi="Times New Roman" w:cs="Times New Roman"/>
        </w:rPr>
        <w:t>,</w:t>
      </w:r>
      <w:r w:rsidRPr="00B03EC8">
        <w:rPr>
          <w:rFonts w:ascii="Times New Roman" w:hAnsi="Times New Roman" w:cs="Times New Roman"/>
        </w:rPr>
        <w:t xml:space="preserve"> savaşlar, </w:t>
      </w:r>
      <w:r w:rsidRPr="00B03EC8">
        <w:rPr>
          <w:rFonts w:ascii="Times New Roman" w:eastAsia="Times New Roman" w:hAnsi="Times New Roman" w:cs="Times New Roman"/>
        </w:rPr>
        <w:t>"kentler ve erkekler için en büyük kötülüğe neden olan aynı faktörler" olarak ifade edilmiştir (</w:t>
      </w:r>
      <w:r w:rsidR="00A46577" w:rsidRPr="00B03EC8">
        <w:rPr>
          <w:rFonts w:ascii="Times New Roman" w:eastAsia="Times New Roman" w:hAnsi="Times New Roman" w:cs="Times New Roman"/>
        </w:rPr>
        <w:t>Republic, 2002).  Eflatun ise farklı bir yaklaşımda bulunmuş ve gerekli olan savunma gücünün ne çeşit özellikler</w:t>
      </w:r>
      <w:r w:rsidR="00204D47" w:rsidRPr="00B03EC8">
        <w:rPr>
          <w:rFonts w:ascii="Times New Roman" w:eastAsia="Times New Roman" w:hAnsi="Times New Roman" w:cs="Times New Roman"/>
        </w:rPr>
        <w:t>e</w:t>
      </w:r>
      <w:r w:rsidR="00A46577" w:rsidRPr="00B03EC8">
        <w:rPr>
          <w:rFonts w:ascii="Times New Roman" w:eastAsia="Times New Roman" w:hAnsi="Times New Roman" w:cs="Times New Roman"/>
        </w:rPr>
        <w:t xml:space="preserve"> sahip olması gerektiğinin üzerine yoğunlaşmıştır. Eflatun’a göre askerler cesaretli olmalı ve küçük yaştan itibaren özellikle seçilip yetiştirilmelidir. Yetiştirilen bu bireylere aile ve</w:t>
      </w:r>
      <w:r w:rsidR="000F4848" w:rsidRPr="00B03EC8">
        <w:rPr>
          <w:rFonts w:ascii="Times New Roman" w:eastAsia="Times New Roman" w:hAnsi="Times New Roman" w:cs="Times New Roman"/>
        </w:rPr>
        <w:t xml:space="preserve"> mülkiyet hakkı verilmemelidir. E</w:t>
      </w:r>
      <w:r w:rsidR="00204D47" w:rsidRPr="00B03EC8">
        <w:rPr>
          <w:rFonts w:ascii="Times New Roman" w:eastAsia="Times New Roman" w:hAnsi="Times New Roman" w:cs="Times New Roman"/>
        </w:rPr>
        <w:t>ğer mülkiyet hakkına sahip olunursa gücü elinde bulunduran asker sınıfı devleti müdafaa etmek yerine kendi çıkarlarına uygun farklı hareket</w:t>
      </w:r>
      <w:r w:rsidR="000F4848" w:rsidRPr="00B03EC8">
        <w:rPr>
          <w:rFonts w:ascii="Times New Roman" w:eastAsia="Times New Roman" w:hAnsi="Times New Roman" w:cs="Times New Roman"/>
        </w:rPr>
        <w:t>ler sergileyebilecektir</w:t>
      </w:r>
      <w:r w:rsidR="00204D47" w:rsidRPr="00B03EC8">
        <w:rPr>
          <w:rFonts w:ascii="Times New Roman" w:eastAsia="Times New Roman" w:hAnsi="Times New Roman" w:cs="Times New Roman"/>
        </w:rPr>
        <w:t>.</w:t>
      </w:r>
      <w:r w:rsidR="000F4848" w:rsidRPr="00B03EC8">
        <w:rPr>
          <w:rFonts w:ascii="Times New Roman" w:eastAsia="Times New Roman" w:hAnsi="Times New Roman" w:cs="Times New Roman"/>
        </w:rPr>
        <w:t xml:space="preserve"> Ayrıca, Eflatun’a göre, devleti korumakla yükümlü olanların fiziksel olarak çevik olması gerekmekte ve bu yüzden antrenman ve yiyecek konusunda </w:t>
      </w:r>
      <w:r w:rsidR="00EC2E25" w:rsidRPr="00B03EC8">
        <w:rPr>
          <w:rFonts w:ascii="Times New Roman" w:eastAsia="Times New Roman" w:hAnsi="Times New Roman" w:cs="Times New Roman"/>
        </w:rPr>
        <w:t>ihtiyaçları</w:t>
      </w:r>
      <w:r w:rsidR="000F4848" w:rsidRPr="00B03EC8">
        <w:rPr>
          <w:rFonts w:ascii="Times New Roman" w:eastAsia="Times New Roman" w:hAnsi="Times New Roman" w:cs="Times New Roman"/>
        </w:rPr>
        <w:t xml:space="preserve"> karşılanmalıdır. </w:t>
      </w:r>
      <w:r w:rsidR="00204D47" w:rsidRPr="00B03EC8">
        <w:rPr>
          <w:rFonts w:ascii="Times New Roman" w:eastAsia="Times New Roman" w:hAnsi="Times New Roman" w:cs="Times New Roman"/>
        </w:rPr>
        <w:t xml:space="preserve">  </w:t>
      </w:r>
    </w:p>
    <w:p w:rsidR="00E013F7" w:rsidRPr="00B03EC8" w:rsidRDefault="000F4848" w:rsidP="00B03EC8">
      <w:pPr>
        <w:spacing w:before="120" w:after="0" w:line="240" w:lineRule="auto"/>
        <w:ind w:firstLine="709"/>
        <w:jc w:val="both"/>
        <w:rPr>
          <w:rFonts w:ascii="Times New Roman" w:hAnsi="Times New Roman" w:cs="Times New Roman"/>
        </w:rPr>
      </w:pPr>
      <w:r w:rsidRPr="00B03EC8">
        <w:rPr>
          <w:rFonts w:ascii="Times New Roman" w:hAnsi="Times New Roman" w:cs="Times New Roman"/>
        </w:rPr>
        <w:t xml:space="preserve">Günümüzde bu ihtiyaçların karşılanması ve daha fazlası savunma yatırımları altında incelenmektedir. </w:t>
      </w:r>
      <w:r w:rsidR="00EC2E25" w:rsidRPr="00B03EC8">
        <w:rPr>
          <w:rFonts w:ascii="Times New Roman" w:hAnsi="Times New Roman" w:cs="Times New Roman"/>
        </w:rPr>
        <w:t xml:space="preserve">Küreselleşen dünya ile birlikte savunma harcamaları ülkeler arası birliklerin de konusu haline gelmiştir. Örnek olarak, Nato 2014 yılında bütün üyelerinin yıllık olarak ekonomik büyüklüklerinin </w:t>
      </w:r>
      <w:r w:rsidR="00EC2E25" w:rsidRPr="00B03EC8">
        <w:rPr>
          <w:rFonts w:ascii="Times New Roman" w:hAnsi="Times New Roman" w:cs="Times New Roman"/>
        </w:rPr>
        <w:lastRenderedPageBreak/>
        <w:t>%2’si kadar savunma harcamalarında bulunmalarını zorunlu kılmıştır.</w:t>
      </w:r>
      <w:r w:rsidR="00EC2E25" w:rsidRPr="00B03EC8">
        <w:rPr>
          <w:rStyle w:val="DipnotBavurusu"/>
          <w:rFonts w:ascii="Times New Roman" w:hAnsi="Times New Roman" w:cs="Times New Roman"/>
        </w:rPr>
        <w:footnoteReference w:id="3"/>
      </w:r>
      <w:r w:rsidR="00EC2E25" w:rsidRPr="00B03EC8">
        <w:rPr>
          <w:rFonts w:ascii="Times New Roman" w:hAnsi="Times New Roman" w:cs="Times New Roman"/>
        </w:rPr>
        <w:t xml:space="preserve"> Ayrıca, yapılan savunma yatırımlarının %20’lik kısmı</w:t>
      </w:r>
      <w:r w:rsidR="00EB1E58" w:rsidRPr="00B03EC8">
        <w:rPr>
          <w:rFonts w:ascii="Times New Roman" w:hAnsi="Times New Roman" w:cs="Times New Roman"/>
        </w:rPr>
        <w:t>nın</w:t>
      </w:r>
      <w:r w:rsidR="00EC2E25" w:rsidRPr="00B03EC8">
        <w:rPr>
          <w:rFonts w:ascii="Times New Roman" w:hAnsi="Times New Roman" w:cs="Times New Roman"/>
        </w:rPr>
        <w:t xml:space="preserve"> büyük ekipman a</w:t>
      </w:r>
      <w:r w:rsidR="00EB1E58" w:rsidRPr="00B03EC8">
        <w:rPr>
          <w:rFonts w:ascii="Times New Roman" w:hAnsi="Times New Roman" w:cs="Times New Roman"/>
        </w:rPr>
        <w:t>lımları için yapılmak zorunda olduğunu da belirtmiştir</w:t>
      </w:r>
      <w:r w:rsidR="00EC2E25" w:rsidRPr="00B03EC8">
        <w:rPr>
          <w:rFonts w:ascii="Times New Roman" w:hAnsi="Times New Roman" w:cs="Times New Roman"/>
        </w:rPr>
        <w:t xml:space="preserve">. </w:t>
      </w:r>
      <w:r w:rsidR="00303880" w:rsidRPr="00B03EC8">
        <w:rPr>
          <w:rFonts w:ascii="Times New Roman" w:hAnsi="Times New Roman" w:cs="Times New Roman"/>
        </w:rPr>
        <w:t xml:space="preserve">Savunma yatırımları üzerine alınan kararlar bölgenin politik durumu ile ilgili olmaktadır. Nato 2014 uygulamaları Ukrayna ve Rusya arasındaki gerilimin bir sonucu olarak ortaya çıkmıştır.  </w:t>
      </w:r>
      <w:r w:rsidR="00303880" w:rsidRPr="00B03EC8">
        <w:rPr>
          <w:rFonts w:ascii="Times New Roman" w:hAnsi="Times New Roman" w:cs="Times New Roman"/>
        </w:rPr>
        <w:tab/>
      </w:r>
    </w:p>
    <w:p w:rsidR="00303880" w:rsidRPr="00B03EC8" w:rsidRDefault="00E013F7" w:rsidP="00B03EC8">
      <w:pPr>
        <w:spacing w:before="120" w:after="0" w:line="240" w:lineRule="auto"/>
        <w:ind w:firstLine="709"/>
        <w:jc w:val="both"/>
        <w:rPr>
          <w:rFonts w:ascii="Times New Roman" w:hAnsi="Times New Roman" w:cs="Times New Roman"/>
        </w:rPr>
      </w:pPr>
      <w:r w:rsidRPr="00B03EC8">
        <w:rPr>
          <w:rFonts w:ascii="Times New Roman" w:hAnsi="Times New Roman" w:cs="Times New Roman"/>
        </w:rPr>
        <w:t xml:space="preserve">ABD askeri harcamaları yıllardır </w:t>
      </w:r>
      <w:r w:rsidR="00DC05EF" w:rsidRPr="00B03EC8">
        <w:rPr>
          <w:rFonts w:ascii="Times New Roman" w:hAnsi="Times New Roman" w:cs="Times New Roman"/>
        </w:rPr>
        <w:t xml:space="preserve">diğer ülkeler arasında uzak ara en çok olan harcamalardır. </w:t>
      </w:r>
      <w:r w:rsidRPr="00B03EC8">
        <w:rPr>
          <w:rFonts w:ascii="Times New Roman" w:hAnsi="Times New Roman" w:cs="Times New Roman"/>
        </w:rPr>
        <w:t>Yalnız son zamanlardaki rakamlar diğer ulusların da savunma yatırımları konusunda yetişmeye başladığını göstermektedir. Küresel gerginli</w:t>
      </w:r>
      <w:r w:rsidR="00DC05EF" w:rsidRPr="00B03EC8">
        <w:rPr>
          <w:rFonts w:ascii="Times New Roman" w:hAnsi="Times New Roman" w:cs="Times New Roman"/>
        </w:rPr>
        <w:t>ğin</w:t>
      </w:r>
      <w:r w:rsidRPr="00B03EC8">
        <w:rPr>
          <w:rFonts w:ascii="Times New Roman" w:hAnsi="Times New Roman" w:cs="Times New Roman"/>
        </w:rPr>
        <w:t xml:space="preserve"> artması, giderek karmaşıklaşan Suriye bölgesindeki çatışmalar ABD ve Rusya’nın savunma yatırımlarını</w:t>
      </w:r>
      <w:r w:rsidR="00CC7B1B" w:rsidRPr="00B03EC8">
        <w:rPr>
          <w:rFonts w:ascii="Times New Roman" w:hAnsi="Times New Roman" w:cs="Times New Roman"/>
        </w:rPr>
        <w:t>,</w:t>
      </w:r>
      <w:r w:rsidRPr="00B03EC8">
        <w:rPr>
          <w:rFonts w:ascii="Times New Roman" w:hAnsi="Times New Roman" w:cs="Times New Roman"/>
        </w:rPr>
        <w:t xml:space="preserve"> Kırım bölgesi ise Avrupa ülkelerinin savunma yatırımlarını etkilemektedir. Bu politik durumlar altında 2016 yılında s</w:t>
      </w:r>
      <w:r w:rsidR="00303880" w:rsidRPr="00B03EC8">
        <w:rPr>
          <w:rFonts w:ascii="Times New Roman" w:hAnsi="Times New Roman" w:cs="Times New Roman"/>
        </w:rPr>
        <w:t xml:space="preserve">avunma harcamalarını en fazla şekilde gerçekleştiren ülke ise ABD’dir.  Rakamsal olarak </w:t>
      </w:r>
      <w:r w:rsidR="00DC05EF" w:rsidRPr="00B03EC8">
        <w:rPr>
          <w:rFonts w:ascii="Times New Roman" w:hAnsi="Times New Roman" w:cs="Times New Roman"/>
        </w:rPr>
        <w:t>yüksek</w:t>
      </w:r>
      <w:r w:rsidR="00303880" w:rsidRPr="00B03EC8">
        <w:rPr>
          <w:rFonts w:ascii="Times New Roman" w:hAnsi="Times New Roman" w:cs="Times New Roman"/>
        </w:rPr>
        <w:t xml:space="preserve"> bir şekilde savunma yatırımı yapmakta olan ABD’nin savunma yatırımlarının ekonomi b</w:t>
      </w:r>
      <w:r w:rsidR="00DC05EF" w:rsidRPr="00B03EC8">
        <w:rPr>
          <w:rFonts w:ascii="Times New Roman" w:hAnsi="Times New Roman" w:cs="Times New Roman"/>
        </w:rPr>
        <w:t xml:space="preserve">üyüklüğündeki </w:t>
      </w:r>
      <w:r w:rsidR="00303880" w:rsidRPr="00B03EC8">
        <w:rPr>
          <w:rFonts w:ascii="Times New Roman" w:hAnsi="Times New Roman" w:cs="Times New Roman"/>
        </w:rPr>
        <w:t xml:space="preserve">payına bakıldığında olağan bir yatırımda bulunduğu görülmektedir. </w:t>
      </w:r>
    </w:p>
    <w:p w:rsidR="00486936" w:rsidRPr="00B03EC8" w:rsidRDefault="00486936" w:rsidP="00B03EC8">
      <w:pPr>
        <w:spacing w:before="120" w:after="0" w:line="240" w:lineRule="auto"/>
        <w:ind w:firstLine="709"/>
        <w:jc w:val="both"/>
        <w:rPr>
          <w:rFonts w:ascii="Times New Roman" w:hAnsi="Times New Roman" w:cs="Times New Roman"/>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07"/>
        <w:gridCol w:w="3205"/>
      </w:tblGrid>
      <w:tr w:rsidR="00303880" w:rsidRPr="00B03EC8" w:rsidTr="00C35DA3">
        <w:trPr>
          <w:jc w:val="center"/>
        </w:trPr>
        <w:tc>
          <w:tcPr>
            <w:tcW w:w="1667" w:type="pct"/>
            <w:tcBorders>
              <w:top w:val="single" w:sz="12" w:space="0" w:color="auto"/>
              <w:bottom w:val="single" w:sz="12" w:space="0" w:color="auto"/>
            </w:tcBorders>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ÜLKE</w:t>
            </w:r>
          </w:p>
        </w:tc>
        <w:tc>
          <w:tcPr>
            <w:tcW w:w="1667" w:type="pct"/>
            <w:tcBorders>
              <w:top w:val="single" w:sz="12" w:space="0" w:color="auto"/>
              <w:bottom w:val="single" w:sz="12" w:space="0" w:color="auto"/>
            </w:tcBorders>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SAVUNMA HARCAMASI (Milyar $)</w:t>
            </w:r>
          </w:p>
        </w:tc>
        <w:tc>
          <w:tcPr>
            <w:tcW w:w="1667" w:type="pct"/>
            <w:tcBorders>
              <w:top w:val="single" w:sz="12" w:space="0" w:color="auto"/>
              <w:bottom w:val="single" w:sz="12" w:space="0" w:color="auto"/>
            </w:tcBorders>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GSYİH İÇERİSİNDEKİ % PAYI</w:t>
            </w:r>
          </w:p>
        </w:tc>
      </w:tr>
      <w:tr w:rsidR="00486936" w:rsidRPr="00B03EC8" w:rsidTr="00C35DA3">
        <w:trPr>
          <w:jc w:val="center"/>
        </w:trPr>
        <w:tc>
          <w:tcPr>
            <w:tcW w:w="1667" w:type="pct"/>
            <w:tcBorders>
              <w:top w:val="single" w:sz="12" w:space="0" w:color="auto"/>
            </w:tcBorders>
            <w:vAlign w:val="center"/>
          </w:tcPr>
          <w:p w:rsidR="00486936"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ABD</w:t>
            </w:r>
          </w:p>
        </w:tc>
        <w:tc>
          <w:tcPr>
            <w:tcW w:w="1667" w:type="pct"/>
            <w:tcBorders>
              <w:top w:val="single" w:sz="12" w:space="0" w:color="auto"/>
            </w:tcBorders>
            <w:vAlign w:val="center"/>
          </w:tcPr>
          <w:p w:rsidR="00486936"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611</w:t>
            </w:r>
          </w:p>
        </w:tc>
        <w:tc>
          <w:tcPr>
            <w:tcW w:w="1667" w:type="pct"/>
            <w:tcBorders>
              <w:top w:val="single" w:sz="12" w:space="0" w:color="auto"/>
            </w:tcBorders>
            <w:vAlign w:val="center"/>
          </w:tcPr>
          <w:p w:rsidR="00486936"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3.3</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ÇİN</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215</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1.9</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RUSYA</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69</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5.3</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SUUDİ ARABİSTAN</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63</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10</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HİNDİSTAN</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55.9</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2.5</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FRANSA</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55.7</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2.3</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BİRLEŞİK KRALLIK</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48.3</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1.9</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JAPONYA</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46.1</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1.0</w:t>
            </w:r>
          </w:p>
        </w:tc>
      </w:tr>
      <w:tr w:rsidR="00303880" w:rsidRPr="00B03EC8" w:rsidTr="00C35DA3">
        <w:trPr>
          <w:jc w:val="center"/>
        </w:trPr>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ALMANYA</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41.1</w:t>
            </w:r>
          </w:p>
        </w:tc>
        <w:tc>
          <w:tcPr>
            <w:tcW w:w="1667" w:type="pct"/>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1.2</w:t>
            </w:r>
          </w:p>
        </w:tc>
      </w:tr>
      <w:tr w:rsidR="00303880" w:rsidRPr="00B03EC8" w:rsidTr="00C35DA3">
        <w:trPr>
          <w:jc w:val="center"/>
        </w:trPr>
        <w:tc>
          <w:tcPr>
            <w:tcW w:w="1667" w:type="pct"/>
            <w:tcBorders>
              <w:bottom w:val="single" w:sz="12" w:space="0" w:color="auto"/>
            </w:tcBorders>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GÜNEY KORE</w:t>
            </w:r>
          </w:p>
        </w:tc>
        <w:tc>
          <w:tcPr>
            <w:tcW w:w="1667" w:type="pct"/>
            <w:tcBorders>
              <w:bottom w:val="single" w:sz="12" w:space="0" w:color="auto"/>
            </w:tcBorders>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36.8</w:t>
            </w:r>
          </w:p>
        </w:tc>
        <w:tc>
          <w:tcPr>
            <w:tcW w:w="1667" w:type="pct"/>
            <w:tcBorders>
              <w:bottom w:val="single" w:sz="12" w:space="0" w:color="auto"/>
            </w:tcBorders>
            <w:vAlign w:val="center"/>
          </w:tcPr>
          <w:p w:rsidR="00303880" w:rsidRPr="00B03EC8" w:rsidRDefault="00486936" w:rsidP="00B03EC8">
            <w:pPr>
              <w:spacing w:before="120"/>
              <w:ind w:firstLine="709"/>
              <w:jc w:val="both"/>
              <w:rPr>
                <w:rFonts w:ascii="Times New Roman" w:hAnsi="Times New Roman" w:cs="Times New Roman"/>
              </w:rPr>
            </w:pPr>
            <w:r w:rsidRPr="00B03EC8">
              <w:rPr>
                <w:rFonts w:ascii="Times New Roman" w:hAnsi="Times New Roman" w:cs="Times New Roman"/>
              </w:rPr>
              <w:t>2.7</w:t>
            </w:r>
          </w:p>
        </w:tc>
      </w:tr>
    </w:tbl>
    <w:p w:rsidR="00EB1E58" w:rsidRPr="00B03EC8" w:rsidRDefault="00B03EC8"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rPr>
        <w:t>Tablo 1. Ülkelerin Savunma Harcamaları (2016)</w:t>
      </w:r>
      <w:r w:rsidR="00C35DA3" w:rsidRPr="00B03EC8">
        <w:rPr>
          <w:rFonts w:ascii="Times New Roman" w:hAnsi="Times New Roman" w:cs="Times New Roman"/>
        </w:rPr>
        <w:t xml:space="preserve"> </w:t>
      </w:r>
      <w:r w:rsidR="00EB1E58" w:rsidRPr="00B03EC8">
        <w:rPr>
          <w:rFonts w:ascii="Times New Roman" w:hAnsi="Times New Roman" w:cs="Times New Roman"/>
        </w:rPr>
        <w:t>Kaynak:</w:t>
      </w:r>
      <w:r w:rsidR="00EB1E58" w:rsidRPr="00B03EC8">
        <w:rPr>
          <w:rFonts w:ascii="Times New Roman" w:hAnsi="Times New Roman" w:cs="Times New Roman"/>
          <w:b/>
          <w:bCs/>
          <w:color w:val="000000"/>
        </w:rPr>
        <w:t xml:space="preserve"> </w:t>
      </w:r>
      <w:r w:rsidR="00EB1E58" w:rsidRPr="00B03EC8">
        <w:rPr>
          <w:rFonts w:ascii="Times New Roman" w:hAnsi="Times New Roman" w:cs="Times New Roman"/>
          <w:bCs/>
          <w:color w:val="000000"/>
        </w:rPr>
        <w:t>SIPRI Military Expenditure Database</w:t>
      </w:r>
    </w:p>
    <w:p w:rsidR="002B6880" w:rsidRPr="00B03EC8" w:rsidRDefault="00EB1E58"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Suudi Arabistan ise savunma harcamaları bakımından en fazla yatırımda bulunan dördüncü ülke olmakla beraber en fazla savunma yatırımı yapan 10 ülke arasında ekonomik büyüklüğüne göre en büyük yatırımı yapan ülke durumundadır.</w:t>
      </w:r>
      <w:r w:rsidR="002B6880" w:rsidRPr="00B03EC8">
        <w:rPr>
          <w:rFonts w:ascii="Times New Roman" w:hAnsi="Times New Roman" w:cs="Times New Roman"/>
          <w:bCs/>
          <w:color w:val="000000"/>
        </w:rPr>
        <w:t xml:space="preserve"> Son zamanlarda bölgede Katar ile yaşanan politik sıkıntıların bu sonucun ortaya çıkmasında etkili olduğu söylenebilecektir. </w:t>
      </w:r>
    </w:p>
    <w:p w:rsidR="002B6880" w:rsidRPr="00B03EC8" w:rsidRDefault="002B6880"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Bu çalışmada, OECD ülkelerinin savunma harcamalarının nedenleri farklı bir yaklaşımla tanımlanmaya çalışılacaktır. </w:t>
      </w:r>
      <w:r w:rsidR="002853BF" w:rsidRPr="00B03EC8">
        <w:rPr>
          <w:rFonts w:ascii="Times New Roman" w:hAnsi="Times New Roman" w:cs="Times New Roman"/>
          <w:bCs/>
          <w:color w:val="000000"/>
        </w:rPr>
        <w:t xml:space="preserve">Politik Stabilite ve Terör Yokluğu Endeksi ve ülkelerin bütçe açıkları veri olarak kullanılacaktır. </w:t>
      </w:r>
    </w:p>
    <w:p w:rsidR="00EA0553" w:rsidRPr="00B03EC8" w:rsidRDefault="00EA055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Çalışmanın devam eden kısmı belirtilen şekilde devam edecektir:</w:t>
      </w:r>
      <w:r w:rsidR="006B4694" w:rsidRPr="00B03EC8">
        <w:rPr>
          <w:rFonts w:ascii="Times New Roman" w:hAnsi="Times New Roman" w:cs="Times New Roman"/>
          <w:bCs/>
          <w:color w:val="000000"/>
        </w:rPr>
        <w:t xml:space="preserve"> İkinci </w:t>
      </w:r>
      <w:r w:rsidRPr="00B03EC8">
        <w:rPr>
          <w:rFonts w:ascii="Times New Roman" w:hAnsi="Times New Roman" w:cs="Times New Roman"/>
          <w:bCs/>
          <w:color w:val="000000"/>
        </w:rPr>
        <w:t>bölüm alan yazın çalışmasını içerecektir.</w:t>
      </w:r>
      <w:r w:rsidR="006B4694" w:rsidRPr="00B03EC8">
        <w:rPr>
          <w:rFonts w:ascii="Times New Roman" w:hAnsi="Times New Roman" w:cs="Times New Roman"/>
          <w:bCs/>
          <w:color w:val="000000"/>
        </w:rPr>
        <w:t xml:space="preserve"> Üçüncü bölümde teorik altyapı tartışılacaktır. </w:t>
      </w:r>
      <w:r w:rsidRPr="00B03EC8">
        <w:rPr>
          <w:rFonts w:ascii="Times New Roman" w:hAnsi="Times New Roman" w:cs="Times New Roman"/>
          <w:bCs/>
          <w:color w:val="000000"/>
        </w:rPr>
        <w:t>Dördüncü bölümde veri ve çalışmada kullanılacak yöntem belirtilecektir. Beşinci bölümde bulgular detaylı bir şekilde gösterilecektir. Altıncı ve son bölümde ise sonuçlar yer alacak ve bulgular geçmişte yapılan çalışmalar ile karşılaştırılacaktır.</w:t>
      </w:r>
    </w:p>
    <w:p w:rsidR="008229C7" w:rsidRDefault="008229C7" w:rsidP="00B03EC8">
      <w:pPr>
        <w:spacing w:before="120" w:after="0" w:line="240" w:lineRule="auto"/>
        <w:jc w:val="both"/>
        <w:rPr>
          <w:rFonts w:ascii="Times New Roman" w:hAnsi="Times New Roman" w:cs="Times New Roman"/>
          <w:b/>
          <w:bCs/>
          <w:color w:val="000000"/>
        </w:rPr>
      </w:pPr>
    </w:p>
    <w:p w:rsidR="008229C7" w:rsidRDefault="008229C7" w:rsidP="00B03EC8">
      <w:pPr>
        <w:spacing w:before="120" w:after="0" w:line="240" w:lineRule="auto"/>
        <w:jc w:val="both"/>
        <w:rPr>
          <w:rFonts w:ascii="Times New Roman" w:hAnsi="Times New Roman" w:cs="Times New Roman"/>
          <w:b/>
          <w:bCs/>
          <w:color w:val="000000"/>
        </w:rPr>
      </w:pPr>
    </w:p>
    <w:p w:rsidR="00B52210" w:rsidRPr="00B03EC8" w:rsidRDefault="00B03EC8" w:rsidP="00B03EC8">
      <w:pPr>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 xml:space="preserve">1. </w:t>
      </w:r>
      <w:r w:rsidR="007A0097" w:rsidRPr="00B03EC8">
        <w:rPr>
          <w:rFonts w:ascii="Times New Roman" w:hAnsi="Times New Roman" w:cs="Times New Roman"/>
          <w:b/>
          <w:bCs/>
          <w:color w:val="000000"/>
        </w:rPr>
        <w:t>Literatür</w:t>
      </w:r>
    </w:p>
    <w:p w:rsidR="00824617" w:rsidRPr="00B03EC8" w:rsidRDefault="00824617"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Günümüzde devletlerin ekonomik ve politik yapılarını etkileyen bir unsur olan savunma harcamaları üzerine yapılmış çalışmalar diğer ekonomik unsurlarla karşılaştırılamayacak kadar az olarak araştırılmıştır. Yapılan çalışmaların çoğunluğunun da karşılıklı etkileşim üzerine yapıldığı görülmektedir. </w:t>
      </w:r>
    </w:p>
    <w:p w:rsidR="00824617" w:rsidRPr="00B03EC8" w:rsidRDefault="00824617"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Savunma harcamalarının veri olarak kullanıldığı ilk çalışmalardan biri olan </w:t>
      </w:r>
      <w:r w:rsidR="002D4FF8" w:rsidRPr="00B03EC8">
        <w:rPr>
          <w:rFonts w:ascii="Times New Roman" w:hAnsi="Times New Roman" w:cs="Times New Roman"/>
          <w:bCs/>
          <w:color w:val="000000"/>
        </w:rPr>
        <w:t xml:space="preserve">Fredericksen ve Looney (1983) çalışmasında 1950 ile 1965 yılları arasında 44 gelişmekte olan ülkenin reel GSYİH büyüme oranından savunma harcamaları büyüme oranının çıkarılmış haline etki eden faktörler araştırılmıştır. </w:t>
      </w:r>
      <w:r w:rsidR="00243BBC" w:rsidRPr="00B03EC8">
        <w:rPr>
          <w:rFonts w:ascii="Times New Roman" w:hAnsi="Times New Roman" w:cs="Times New Roman"/>
          <w:bCs/>
          <w:color w:val="000000"/>
        </w:rPr>
        <w:t>GSYİH’ye göre cari açık oranı yüksek olan grupta ve GSYİH’ye göre cari açık oranı, ihracat oranı düşük grupta savunma harcamaları sırasıyla anlamlı pozitif ve anlamlı negatif olarak etkide bulunmaktadır. Tüm ülkelerin yer aldığı analizde ise savunma harcamaları anlamsız bir etkide bulunmaktadır.</w:t>
      </w:r>
    </w:p>
    <w:p w:rsidR="007A6823" w:rsidRPr="00B03EC8" w:rsidRDefault="007A682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Smith (1989) çalışmasında, 1952 ile 1975 yılları arasındaki 4 ülkenin verisi kullanılarak Birleşik Krallık ve Fransa’nın ayrı olmak üzere GSYİH’ye göre savunma harcamalarındaki değişimin etkileyicileri incelenmiştir. Birleşik Krallık için ABD’nin savunma yatırımındaki değişimin pozitif ve Birleşik Krallık savunma yatırımından Rusya’nın savunma yatırımının çıkarılmış halinin negatif etkide bulunduğu ortaya çıkmıştır. Fransa modeli için yapılan analizde de aynı sonuçlara ulaşılmıştır.</w:t>
      </w:r>
    </w:p>
    <w:p w:rsidR="001338F2" w:rsidRPr="00B03EC8" w:rsidRDefault="001338F2"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Looney ve Fredericksen (1990) tarafınd</w:t>
      </w:r>
      <w:r w:rsidR="004542D3" w:rsidRPr="00B03EC8">
        <w:rPr>
          <w:rFonts w:ascii="Times New Roman" w:hAnsi="Times New Roman" w:cs="Times New Roman"/>
          <w:bCs/>
          <w:color w:val="000000"/>
        </w:rPr>
        <w:t>an yapılan bir diğer çalışmada Doğu A</w:t>
      </w:r>
      <w:r w:rsidRPr="00B03EC8">
        <w:rPr>
          <w:rFonts w:ascii="Times New Roman" w:hAnsi="Times New Roman" w:cs="Times New Roman"/>
          <w:bCs/>
          <w:color w:val="000000"/>
        </w:rPr>
        <w:t>sya ülkelerinin savunma yatırımları incelenmiştir. 1960 ile 1986 yılları arasındaki veriler ülkeler bazında farklı yıllar alınmak üzere kullanılmıştır. Singapur, Filipinler, Tayland ve Kore için beklenen GSMH pozitif ve beklenmeyen GSMH ise negatif olarak savunma harcamaları ile ilişkilendirilmiştir. Malezya için ise hem beklenen GSMH hem de beklenmeyen GSMH pozitif şekil savunma harcamaları ile ilişkide bulunmakta olduğu analiz sonucunda bulunmuştur.</w:t>
      </w:r>
    </w:p>
    <w:p w:rsidR="00CA7FE8" w:rsidRPr="00B03EC8" w:rsidRDefault="00CA7FE8"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Politik ve coğrafik verilerin kullanıldığı Hewitt (1991)</w:t>
      </w:r>
      <w:r w:rsidR="00DC05EF" w:rsidRPr="00B03EC8">
        <w:rPr>
          <w:rFonts w:ascii="Times New Roman" w:hAnsi="Times New Roman" w:cs="Times New Roman"/>
          <w:bCs/>
          <w:color w:val="000000"/>
        </w:rPr>
        <w:t>’in çalışmasında</w:t>
      </w:r>
      <w:r w:rsidRPr="00B03EC8">
        <w:rPr>
          <w:rFonts w:ascii="Times New Roman" w:hAnsi="Times New Roman" w:cs="Times New Roman"/>
          <w:bCs/>
          <w:color w:val="000000"/>
        </w:rPr>
        <w:t xml:space="preserve">, 1972-1988 yılları arasında 125 ülkenin verileri kullanılarak GSYİH’ye göre savunma harcamalarını etkileyen faktörler araştırılmıştır. </w:t>
      </w:r>
      <w:r w:rsidR="00D24003" w:rsidRPr="00B03EC8">
        <w:rPr>
          <w:rFonts w:ascii="Times New Roman" w:hAnsi="Times New Roman" w:cs="Times New Roman"/>
          <w:bCs/>
          <w:color w:val="000000"/>
        </w:rPr>
        <w:t xml:space="preserve">Analizler sonucunda, </w:t>
      </w:r>
      <w:r w:rsidRPr="00B03EC8">
        <w:rPr>
          <w:rFonts w:ascii="Times New Roman" w:hAnsi="Times New Roman" w:cs="Times New Roman"/>
          <w:bCs/>
          <w:color w:val="000000"/>
        </w:rPr>
        <w:t xml:space="preserve">Reel GSMH, nüfus, Uluslararası savaş, İç savaş, Sosyalist hükümet, </w:t>
      </w:r>
      <w:r w:rsidR="00D24003" w:rsidRPr="00B03EC8">
        <w:rPr>
          <w:rFonts w:ascii="Times New Roman" w:hAnsi="Times New Roman" w:cs="Times New Roman"/>
          <w:bCs/>
          <w:color w:val="000000"/>
        </w:rPr>
        <w:t>Militarist hükümet ve sınır büyüklüğü değişkenleri pozitif etkiye sahip olduğu</w:t>
      </w:r>
      <w:r w:rsidR="00DC05EF" w:rsidRPr="00B03EC8">
        <w:rPr>
          <w:rFonts w:ascii="Times New Roman" w:hAnsi="Times New Roman" w:cs="Times New Roman"/>
          <w:bCs/>
          <w:color w:val="000000"/>
        </w:rPr>
        <w:t>;</w:t>
      </w:r>
      <w:r w:rsidR="00D24003" w:rsidRPr="00B03EC8">
        <w:rPr>
          <w:rFonts w:ascii="Times New Roman" w:hAnsi="Times New Roman" w:cs="Times New Roman"/>
          <w:bCs/>
          <w:color w:val="000000"/>
        </w:rPr>
        <w:t xml:space="preserve"> borçlu ülkeler ve düşük gelirli ülkeler değişkenlerinin ise negatif etkiye sahip olduğu görülebilmektedir.</w:t>
      </w:r>
    </w:p>
    <w:p w:rsidR="00D24003" w:rsidRPr="00B03EC8" w:rsidRDefault="00CC7B1B"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Killian (1998), 1994 yılında 32 Afrika ülkesinin savunma yatırımlarını incelemiştir. Birbirinden farklı 3 regresyon analizinin sonucunda, ilk analize göre çocuk sayısının ve kentleşme oranının savunma harcamalarını negatif, ikinci analize göre gelişmenin ve yatırımların savunma harcamalarını pozitif ve üçüncü analize göre ise alanın ve nüfusun savunma harcamalarını pozitif etkilediği bulunmuştur.</w:t>
      </w:r>
    </w:p>
    <w:p w:rsidR="00E9696C" w:rsidRPr="00B03EC8" w:rsidRDefault="00E9696C"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Savunma harcamalarının bağımsız değişken olarak kullanıldığı Hassan vd., (2003) çalışmasında, Güney Asya Bölgesel İşbirliği Örgütü’ne üye olan 5 ülkenin 1980-1999 yılları arasındaki verileri kullanılmış ve savunma harcamalarının GSYİH artışını pozitif,</w:t>
      </w:r>
      <w:r w:rsidR="005E5F96" w:rsidRPr="00B03EC8">
        <w:rPr>
          <w:rFonts w:ascii="Times New Roman" w:hAnsi="Times New Roman" w:cs="Times New Roman"/>
          <w:bCs/>
          <w:color w:val="000000"/>
        </w:rPr>
        <w:t xml:space="preserve"> ülkelere yapılan doğrudan yabancı yatırımları ise negatif etkilediği ortaya çıkmıştır.</w:t>
      </w:r>
    </w:p>
    <w:p w:rsidR="005E5F96" w:rsidRPr="00B03EC8" w:rsidRDefault="005E5F96"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2004 yılında savunma harcamalarını konu alan iki çalışma Giray (2004) ve Gökbunar ve Yanıkkaya (2004) tarafından yapılmıştır. </w:t>
      </w:r>
      <w:r w:rsidR="00BD4950" w:rsidRPr="00B03EC8">
        <w:rPr>
          <w:rFonts w:ascii="Times New Roman" w:hAnsi="Times New Roman" w:cs="Times New Roman"/>
          <w:bCs/>
          <w:color w:val="000000"/>
        </w:rPr>
        <w:t xml:space="preserve">Giray (2004) çalışmasında bir analiz yapılmadan geçmiş çalışmaların sonuçları incelenerek eğitim yatırımlarının savunma yatırımlarını artıracağından bahsedilmiştir. </w:t>
      </w:r>
      <w:r w:rsidRPr="00B03EC8">
        <w:rPr>
          <w:rFonts w:ascii="Times New Roman" w:hAnsi="Times New Roman" w:cs="Times New Roman"/>
          <w:bCs/>
          <w:color w:val="000000"/>
        </w:rPr>
        <w:t xml:space="preserve"> </w:t>
      </w:r>
      <w:r w:rsidR="00BD4950" w:rsidRPr="00B03EC8">
        <w:rPr>
          <w:rFonts w:ascii="Times New Roman" w:hAnsi="Times New Roman" w:cs="Times New Roman"/>
          <w:bCs/>
          <w:color w:val="000000"/>
        </w:rPr>
        <w:t>Gökbunar ve Yanıkkaya (2004) çalışmasında ise 1980-1997 yılları arasındaki 100 ülkenin verileri kullanılmış ve askeri harcamalar, silah ithalatı ve asker sayısı değişkenlerinin anlamsız ve olumlu olarak ekonomik büyümeyi etkilediği sonucuna ulaşılmıştır.</w:t>
      </w:r>
    </w:p>
    <w:p w:rsidR="00855917" w:rsidRPr="00B03EC8" w:rsidRDefault="00BD4950"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Tambudzai (2006) çalışmasında, </w:t>
      </w:r>
      <w:r w:rsidR="00660F9B" w:rsidRPr="00B03EC8">
        <w:rPr>
          <w:rFonts w:ascii="Times New Roman" w:hAnsi="Times New Roman" w:cs="Times New Roman"/>
          <w:bCs/>
          <w:color w:val="000000"/>
        </w:rPr>
        <w:t>1980-2003 yılları arasındaki veriler kullanılarak Zimbabwe savunma yatırımlarının belirleyicileri araştırılmıştır. Bul</w:t>
      </w:r>
      <w:r w:rsidR="00DC05EF" w:rsidRPr="00B03EC8">
        <w:rPr>
          <w:rFonts w:ascii="Times New Roman" w:hAnsi="Times New Roman" w:cs="Times New Roman"/>
          <w:bCs/>
          <w:color w:val="000000"/>
        </w:rPr>
        <w:t>gulara</w:t>
      </w:r>
      <w:r w:rsidR="00660F9B" w:rsidRPr="00B03EC8">
        <w:rPr>
          <w:rFonts w:ascii="Times New Roman" w:hAnsi="Times New Roman" w:cs="Times New Roman"/>
          <w:bCs/>
          <w:color w:val="000000"/>
        </w:rPr>
        <w:t xml:space="preserve"> göre, Zimbabwe savunma yatırımları, dış savaş durumundan iç savaşa göre daha fazla etkilenmektedir. Dış savaş değişkeni kuklası hem uzun hem kısa dönem modellerinde anlamlı durumdadır. Ayrıca, Güney Afrika’daki savunma yatırımları Zimbabwe savunma yatırımları ile pozitif bir ilişki içerisindedir.</w:t>
      </w:r>
    </w:p>
    <w:p w:rsidR="00011774" w:rsidRPr="00B03EC8" w:rsidRDefault="00855917"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lastRenderedPageBreak/>
        <w:t>Collier ve Hoefler (2006), 1960-1999 yılları arasında 750 farklı dönem incelenerek yapılan çalışmada çatışma sonrası dönemde olan ülkelerin iç savaş riskini savunma yatırımlarının pozitif ama anlamsız olarak etkilediği bulunmuştur.</w:t>
      </w:r>
    </w:p>
    <w:p w:rsidR="00BD4950" w:rsidRPr="00B03EC8" w:rsidRDefault="0001177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Savunma harcamalarını belirleyen enstitüsel faktörlerin k</w:t>
      </w:r>
      <w:r w:rsidR="00DC7968" w:rsidRPr="00B03EC8">
        <w:rPr>
          <w:rFonts w:ascii="Times New Roman" w:hAnsi="Times New Roman" w:cs="Times New Roman"/>
          <w:bCs/>
          <w:color w:val="000000"/>
        </w:rPr>
        <w:t>ullanıldığı çalışma Bel ve Moreno (2009) tarafından 157 ülkenin 1988-2006 yılları arasındaki verileri üzerine yapılmıştır. Buluntulara göre, İç savaş, Nüfus ve kişi başına düşen GSYİH anlamlı pozitif, demokrasi değişkeni ise savunma yatırımlarını anlamlı negatif olarak etkilemektedir.</w:t>
      </w:r>
    </w:p>
    <w:p w:rsidR="007A5E53" w:rsidRPr="00B03EC8" w:rsidRDefault="007A5E5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24 OECD ülkesinin 1991-2008 yılları arasındaki savunma harcamaları ve GSYİH verilerinin kullanıldığı Alptekin (2012) çalışmasında, savunma harcamalarının GSYİH üzerinde etkisi olmadığı bulunmuştur. Bağımsız değişkenin gecikmeli değeri modele eklendiğinde ise anlamsız olan savunma harcamaları pozitif ve anlamlı bir şekilde etkide bulunur duruma gelmiştir.</w:t>
      </w:r>
    </w:p>
    <w:p w:rsidR="007A5E53" w:rsidRPr="00B03EC8" w:rsidRDefault="007A5E5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Paris ve Canbas (2014) çalışmasında analiz yapılmadan sadece veriler </w:t>
      </w:r>
      <w:r w:rsidR="001A2D52" w:rsidRPr="00B03EC8">
        <w:rPr>
          <w:rFonts w:ascii="Times New Roman" w:hAnsi="Times New Roman" w:cs="Times New Roman"/>
          <w:bCs/>
          <w:color w:val="000000"/>
        </w:rPr>
        <w:t>incelen</w:t>
      </w:r>
      <w:r w:rsidRPr="00B03EC8">
        <w:rPr>
          <w:rFonts w:ascii="Times New Roman" w:hAnsi="Times New Roman" w:cs="Times New Roman"/>
          <w:bCs/>
          <w:color w:val="000000"/>
        </w:rPr>
        <w:t xml:space="preserve">erek çıkarımlarda bulunulmuştur. </w:t>
      </w:r>
      <w:r w:rsidR="001A2D52" w:rsidRPr="00B03EC8">
        <w:rPr>
          <w:rFonts w:ascii="Times New Roman" w:hAnsi="Times New Roman" w:cs="Times New Roman"/>
          <w:bCs/>
          <w:color w:val="000000"/>
        </w:rPr>
        <w:t>1988-2012 yılları arasında Türkiye ve Yunanistan’ın savunma yatırımlarında artış görülmektedir. Bu artışın 2022 yılına kadar geçmişe paralel olarak Türkiye ve Yunanistan için devam etmesi beklenilmektedir.</w:t>
      </w:r>
    </w:p>
    <w:p w:rsidR="001A2D52" w:rsidRPr="00B03EC8" w:rsidRDefault="001A2D52"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Nijerya için 1988-2010 yılları arasındaki verilerin kullanıldığı Ajefu (2015)</w:t>
      </w:r>
      <w:r w:rsidR="00DC05EF" w:rsidRPr="00B03EC8">
        <w:rPr>
          <w:rFonts w:ascii="Times New Roman" w:hAnsi="Times New Roman" w:cs="Times New Roman"/>
          <w:bCs/>
          <w:color w:val="000000"/>
        </w:rPr>
        <w:t>’nun</w:t>
      </w:r>
      <w:r w:rsidRPr="00B03EC8">
        <w:rPr>
          <w:rFonts w:ascii="Times New Roman" w:hAnsi="Times New Roman" w:cs="Times New Roman"/>
          <w:bCs/>
          <w:color w:val="000000"/>
        </w:rPr>
        <w:t xml:space="preserve"> çalışma</w:t>
      </w:r>
      <w:r w:rsidR="00DC05EF" w:rsidRPr="00B03EC8">
        <w:rPr>
          <w:rFonts w:ascii="Times New Roman" w:hAnsi="Times New Roman" w:cs="Times New Roman"/>
          <w:bCs/>
          <w:color w:val="000000"/>
        </w:rPr>
        <w:t>sın</w:t>
      </w:r>
      <w:r w:rsidRPr="00B03EC8">
        <w:rPr>
          <w:rFonts w:ascii="Times New Roman" w:hAnsi="Times New Roman" w:cs="Times New Roman"/>
          <w:bCs/>
          <w:color w:val="000000"/>
        </w:rPr>
        <w:t>da</w:t>
      </w:r>
      <w:r w:rsidR="00DC05EF" w:rsidRPr="00B03EC8">
        <w:rPr>
          <w:rFonts w:ascii="Times New Roman" w:hAnsi="Times New Roman" w:cs="Times New Roman"/>
          <w:bCs/>
          <w:color w:val="000000"/>
        </w:rPr>
        <w:t>,</w:t>
      </w:r>
      <w:r w:rsidRPr="00B03EC8">
        <w:rPr>
          <w:rFonts w:ascii="Times New Roman" w:hAnsi="Times New Roman" w:cs="Times New Roman"/>
          <w:bCs/>
          <w:color w:val="000000"/>
        </w:rPr>
        <w:t xml:space="preserve"> savunma harcamaları ile ekonomik büyüme arasındaki nedensellik ilişkisi test edilmiştir. </w:t>
      </w:r>
      <w:r w:rsidR="00DC05EF" w:rsidRPr="00B03EC8">
        <w:rPr>
          <w:rFonts w:ascii="Times New Roman" w:hAnsi="Times New Roman" w:cs="Times New Roman"/>
          <w:bCs/>
          <w:color w:val="000000"/>
        </w:rPr>
        <w:t>Bulgulara</w:t>
      </w:r>
      <w:r w:rsidRPr="00B03EC8">
        <w:rPr>
          <w:rFonts w:ascii="Times New Roman" w:hAnsi="Times New Roman" w:cs="Times New Roman"/>
          <w:bCs/>
          <w:color w:val="000000"/>
        </w:rPr>
        <w:t xml:space="preserve"> göre, </w:t>
      </w:r>
      <w:r w:rsidR="009E5AE7" w:rsidRPr="00B03EC8">
        <w:rPr>
          <w:rFonts w:ascii="Times New Roman" w:hAnsi="Times New Roman" w:cs="Times New Roman"/>
          <w:bCs/>
          <w:color w:val="000000"/>
        </w:rPr>
        <w:t>savunma harcamalarından ekonomik büyümeye doğru nedensellik ilişkisine rastlanmış ama ekonomik büyümeden savunma harcamalarına doğru nedensellik ilişkisine rastlanmamıştır.</w:t>
      </w:r>
    </w:p>
    <w:p w:rsidR="009E5AE7" w:rsidRPr="00B03EC8" w:rsidRDefault="009E5AE7"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Bekmez ve Destek (2015) çalışmasında, 1988-2012 yılları arasında 72 ülkenin verileri kullanılarak panel veri analizi ile savunma harcamalarının etkileyicileri tahmin edilmeye çalışılmıştır. Sonucunda, </w:t>
      </w:r>
      <w:r w:rsidR="00E671C0" w:rsidRPr="00B03EC8">
        <w:rPr>
          <w:rFonts w:ascii="Times New Roman" w:hAnsi="Times New Roman" w:cs="Times New Roman"/>
          <w:bCs/>
          <w:color w:val="000000"/>
        </w:rPr>
        <w:t xml:space="preserve">GSYİH verisinin her modelde anlamlı </w:t>
      </w:r>
      <w:r w:rsidR="00DC05EF" w:rsidRPr="00B03EC8">
        <w:rPr>
          <w:rFonts w:ascii="Times New Roman" w:hAnsi="Times New Roman" w:cs="Times New Roman"/>
          <w:bCs/>
          <w:color w:val="000000"/>
        </w:rPr>
        <w:t xml:space="preserve">ve </w:t>
      </w:r>
      <w:r w:rsidR="00E671C0" w:rsidRPr="00B03EC8">
        <w:rPr>
          <w:rFonts w:ascii="Times New Roman" w:hAnsi="Times New Roman" w:cs="Times New Roman"/>
          <w:bCs/>
          <w:color w:val="000000"/>
        </w:rPr>
        <w:t xml:space="preserve">pozitif etkide </w:t>
      </w:r>
      <w:r w:rsidR="00DC05EF" w:rsidRPr="00B03EC8">
        <w:rPr>
          <w:rFonts w:ascii="Times New Roman" w:hAnsi="Times New Roman" w:cs="Times New Roman"/>
          <w:bCs/>
          <w:color w:val="000000"/>
        </w:rPr>
        <w:t>olduğu;</w:t>
      </w:r>
      <w:r w:rsidR="00E671C0" w:rsidRPr="00B03EC8">
        <w:rPr>
          <w:rFonts w:ascii="Times New Roman" w:hAnsi="Times New Roman" w:cs="Times New Roman"/>
          <w:bCs/>
          <w:color w:val="000000"/>
        </w:rPr>
        <w:t xml:space="preserve"> savunma harici yapılan yatırımlar verisinin ise gelişmiş ve az gelişmiş ülkeler için yapılan modellerde negatif</w:t>
      </w:r>
      <w:r w:rsidR="00DC05EF" w:rsidRPr="00B03EC8">
        <w:rPr>
          <w:rFonts w:ascii="Times New Roman" w:hAnsi="Times New Roman" w:cs="Times New Roman"/>
          <w:bCs/>
          <w:color w:val="000000"/>
        </w:rPr>
        <w:t>,</w:t>
      </w:r>
      <w:r w:rsidR="00E671C0" w:rsidRPr="00B03EC8">
        <w:rPr>
          <w:rFonts w:ascii="Times New Roman" w:hAnsi="Times New Roman" w:cs="Times New Roman"/>
          <w:bCs/>
          <w:color w:val="000000"/>
        </w:rPr>
        <w:t xml:space="preserve"> gelişmekte olan ülkeler için yapılan modelde ise pozitif etkide </w:t>
      </w:r>
      <w:r w:rsidR="00DC05EF" w:rsidRPr="00B03EC8">
        <w:rPr>
          <w:rFonts w:ascii="Times New Roman" w:hAnsi="Times New Roman" w:cs="Times New Roman"/>
          <w:bCs/>
          <w:color w:val="000000"/>
        </w:rPr>
        <w:t>olduğu</w:t>
      </w:r>
      <w:r w:rsidR="00E671C0" w:rsidRPr="00B03EC8">
        <w:rPr>
          <w:rFonts w:ascii="Times New Roman" w:hAnsi="Times New Roman" w:cs="Times New Roman"/>
          <w:bCs/>
          <w:color w:val="000000"/>
        </w:rPr>
        <w:t xml:space="preserve"> sonucuna ulaşılmıştır.</w:t>
      </w:r>
    </w:p>
    <w:p w:rsidR="00E671C0" w:rsidRPr="00B03EC8" w:rsidRDefault="00E671C0"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2015 yılında yapılan bir diğer çalışmada Shadid ve Saba (2015), 56 ülkenin 1995 ile 2011 yılları arasındaki verilerini sabit etkili panel regresyon yöntemi ile incelenmiş ve savunma harcamalarının tüm modellerde anlamlı ve pozitif etkiye sahip olduğu gözlenmiştir.</w:t>
      </w:r>
    </w:p>
    <w:p w:rsidR="00E671C0" w:rsidRPr="00B03EC8" w:rsidRDefault="00C366F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Jalil vd., (2016) çalışmasında, 1960-2013 yılları arasındaki Hindistan ve Pakistan ülkelerinin savunma harcamaları ve kişi başına düşen GSYİH verileri kullanılmıştır. Savunma harcamalarının kısa ve uzun dönemli modeller fark etmeksizin hem Hindistan hem de Pakistan için kişi başına düşen GSYİH bağımlı değişkenini anlamlı ve pozitif etkilediği görülmektedir.</w:t>
      </w:r>
    </w:p>
    <w:p w:rsidR="006B4694" w:rsidRPr="00B03EC8" w:rsidRDefault="00C366F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2016 yılında yapılan bir diğer çalışmada Özçelik ve Önder (2016),</w:t>
      </w:r>
      <w:r w:rsidR="00DA0BAE" w:rsidRPr="00B03EC8">
        <w:rPr>
          <w:rFonts w:ascii="Times New Roman" w:hAnsi="Times New Roman" w:cs="Times New Roman"/>
          <w:bCs/>
          <w:color w:val="000000"/>
        </w:rPr>
        <w:t xml:space="preserve"> 126 ülkenin </w:t>
      </w:r>
      <w:r w:rsidRPr="00B03EC8">
        <w:rPr>
          <w:rFonts w:ascii="Times New Roman" w:hAnsi="Times New Roman" w:cs="Times New Roman"/>
          <w:bCs/>
          <w:color w:val="000000"/>
        </w:rPr>
        <w:t xml:space="preserve">savunma harcamalarına terör riskinin etkisi araştırılmıştır. </w:t>
      </w:r>
      <w:r w:rsidR="00DA0BAE" w:rsidRPr="00B03EC8">
        <w:rPr>
          <w:rFonts w:ascii="Times New Roman" w:hAnsi="Times New Roman" w:cs="Times New Roman"/>
          <w:bCs/>
          <w:color w:val="000000"/>
        </w:rPr>
        <w:t>Terör riski haricinde kullanılan diğer bağımsız değişkenler asker sayısı, nüfus, yüzölçü</w:t>
      </w:r>
      <w:r w:rsidR="00DC05EF" w:rsidRPr="00B03EC8">
        <w:rPr>
          <w:rFonts w:ascii="Times New Roman" w:hAnsi="Times New Roman" w:cs="Times New Roman"/>
          <w:bCs/>
          <w:color w:val="000000"/>
        </w:rPr>
        <w:t>mü ve GSMH olmuştur. Bulgulara</w:t>
      </w:r>
      <w:r w:rsidR="00DA0BAE" w:rsidRPr="00B03EC8">
        <w:rPr>
          <w:rFonts w:ascii="Times New Roman" w:hAnsi="Times New Roman" w:cs="Times New Roman"/>
          <w:bCs/>
          <w:color w:val="000000"/>
        </w:rPr>
        <w:t xml:space="preserve"> göre, asker sayısı ve terör riski pozitif, yüzölçümü ise negatif ve anlamlı olarak savunma harcamalarını etkilemektedir.</w:t>
      </w:r>
    </w:p>
    <w:p w:rsidR="006B4694" w:rsidRPr="00B03EC8" w:rsidRDefault="006B4694" w:rsidP="00B03EC8">
      <w:pPr>
        <w:spacing w:before="120" w:after="0" w:line="240" w:lineRule="auto"/>
        <w:jc w:val="both"/>
        <w:rPr>
          <w:rFonts w:ascii="Times New Roman" w:hAnsi="Times New Roman" w:cs="Times New Roman"/>
          <w:b/>
          <w:bCs/>
          <w:color w:val="000000"/>
        </w:rPr>
      </w:pPr>
      <w:r w:rsidRPr="00B03EC8">
        <w:rPr>
          <w:rFonts w:ascii="Times New Roman" w:hAnsi="Times New Roman" w:cs="Times New Roman"/>
          <w:b/>
          <w:bCs/>
          <w:color w:val="000000"/>
        </w:rPr>
        <w:t xml:space="preserve"> </w:t>
      </w:r>
      <w:r w:rsidR="00B03EC8">
        <w:rPr>
          <w:rFonts w:ascii="Times New Roman" w:hAnsi="Times New Roman" w:cs="Times New Roman"/>
          <w:b/>
          <w:bCs/>
          <w:color w:val="000000"/>
        </w:rPr>
        <w:t>2.</w:t>
      </w:r>
      <w:r w:rsidRPr="00B03EC8">
        <w:rPr>
          <w:rFonts w:ascii="Times New Roman" w:hAnsi="Times New Roman" w:cs="Times New Roman"/>
          <w:b/>
          <w:bCs/>
          <w:color w:val="000000"/>
        </w:rPr>
        <w:t xml:space="preserve"> Teorik Altyapı</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Teorik altyapı için yapılan geçmiş çalışmalarda araştırmacılar neo klasik yaklaşımla devleti rasyonel bir aktör olarak kullanmışlardır. Smith (1989), Hewitt (1991) ve Tambudzai (2006) çalışmalarına göre devlet, ülke refahını (W) maksimize etmeyi amaçlamaktadır. Bu amacı taşıyan fonksiyon aşağıda verilmiştir.</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W= W(S, C, N, Z)   </w:t>
      </w:r>
      <w:r w:rsidRPr="00B03EC8">
        <w:rPr>
          <w:rFonts w:ascii="Times New Roman" w:hAnsi="Times New Roman" w:cs="Times New Roman"/>
          <w:bCs/>
          <w:color w:val="000000"/>
        </w:rPr>
        <w:tab/>
      </w:r>
      <w:r w:rsidRPr="00B03EC8">
        <w:rPr>
          <w:rFonts w:ascii="Times New Roman" w:hAnsi="Times New Roman" w:cs="Times New Roman"/>
          <w:bCs/>
          <w:color w:val="000000"/>
        </w:rPr>
        <w:tab/>
      </w:r>
      <w:r w:rsidRPr="00B03EC8">
        <w:rPr>
          <w:rFonts w:ascii="Times New Roman" w:hAnsi="Times New Roman" w:cs="Times New Roman"/>
          <w:bCs/>
          <w:color w:val="000000"/>
        </w:rPr>
        <w:tab/>
        <w:t xml:space="preserve">                 (1)</w:t>
      </w:r>
    </w:p>
    <w:p w:rsidR="006B4694" w:rsidRPr="00B03EC8" w:rsidRDefault="006B4694" w:rsidP="00B03EC8">
      <w:pPr>
        <w:spacing w:before="120" w:after="0" w:line="240" w:lineRule="auto"/>
        <w:ind w:firstLine="709"/>
        <w:jc w:val="both"/>
        <w:rPr>
          <w:rFonts w:ascii="Times New Roman" w:hAnsi="Times New Roman" w:cs="Times New Roman"/>
          <w:shd w:val="clear" w:color="auto" w:fill="FFFFFF"/>
        </w:rPr>
      </w:pPr>
      <w:r w:rsidRPr="00B03EC8">
        <w:rPr>
          <w:rFonts w:ascii="Times New Roman" w:hAnsi="Times New Roman" w:cs="Times New Roman"/>
          <w:bCs/>
          <w:color w:val="000000"/>
        </w:rPr>
        <w:t>Bu fonksiyonda S güvenliği, ekonomik faktörler olan C tüketimi ve N nüfusu,  Z ise politik faktörleri temsil etmektedir.</w:t>
      </w:r>
      <w:r w:rsidRPr="00B03EC8">
        <w:rPr>
          <w:rFonts w:ascii="Times New Roman" w:hAnsi="Times New Roman" w:cs="Times New Roman"/>
        </w:rPr>
        <w:t xml:space="preserve"> Tambudzai (2006) çalışmasında </w:t>
      </w:r>
      <w:r w:rsidRPr="00B03EC8">
        <w:rPr>
          <w:rFonts w:ascii="Times New Roman" w:hAnsi="Times New Roman" w:cs="Times New Roman"/>
          <w:shd w:val="clear" w:color="auto" w:fill="FFFFFF"/>
        </w:rPr>
        <w:t>refah fonksiyonu bütçe kısıtlamasına ve bir güvenlik fonksiyonuna bağlı olarak optimize edilmiştir. Bütçe fonksiyonu aşağıda verilmiştir.</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Y= P</w:t>
      </w:r>
      <w:r w:rsidRPr="00B03EC8">
        <w:rPr>
          <w:rFonts w:ascii="Times New Roman" w:hAnsi="Times New Roman" w:cs="Times New Roman"/>
          <w:bCs/>
          <w:color w:val="000000"/>
          <w:vertAlign w:val="subscript"/>
        </w:rPr>
        <w:t xml:space="preserve">c </w:t>
      </w:r>
      <w:r w:rsidRPr="00B03EC8">
        <w:rPr>
          <w:rFonts w:ascii="Times New Roman" w:hAnsi="Times New Roman" w:cs="Times New Roman"/>
          <w:bCs/>
          <w:color w:val="000000"/>
        </w:rPr>
        <w:t>C + P</w:t>
      </w:r>
      <w:r w:rsidRPr="00B03EC8">
        <w:rPr>
          <w:rFonts w:ascii="Times New Roman" w:hAnsi="Times New Roman" w:cs="Times New Roman"/>
          <w:bCs/>
          <w:color w:val="000000"/>
          <w:vertAlign w:val="subscript"/>
        </w:rPr>
        <w:t xml:space="preserve">m </w:t>
      </w:r>
      <w:r w:rsidRPr="00B03EC8">
        <w:rPr>
          <w:rFonts w:ascii="Times New Roman" w:hAnsi="Times New Roman" w:cs="Times New Roman"/>
          <w:bCs/>
          <w:color w:val="000000"/>
        </w:rPr>
        <w:t>M</w:t>
      </w:r>
      <w:r w:rsidRPr="00B03EC8">
        <w:rPr>
          <w:rFonts w:ascii="Times New Roman" w:hAnsi="Times New Roman" w:cs="Times New Roman"/>
          <w:bCs/>
          <w:color w:val="000000"/>
        </w:rPr>
        <w:tab/>
      </w:r>
      <w:r w:rsidRPr="00B03EC8">
        <w:rPr>
          <w:rFonts w:ascii="Times New Roman" w:hAnsi="Times New Roman" w:cs="Times New Roman"/>
          <w:bCs/>
          <w:color w:val="000000"/>
        </w:rPr>
        <w:tab/>
        <w:t xml:space="preserve">                             (2)</w:t>
      </w:r>
    </w:p>
    <w:p w:rsidR="006B4694" w:rsidRPr="00B03EC8" w:rsidRDefault="006B4694" w:rsidP="00B03E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709"/>
        <w:jc w:val="both"/>
        <w:rPr>
          <w:rFonts w:ascii="Times New Roman" w:eastAsia="Times New Roman" w:hAnsi="Times New Roman" w:cs="Times New Roman"/>
          <w:color w:val="212121"/>
          <w:lang w:val="en-US"/>
        </w:rPr>
      </w:pPr>
      <w:r w:rsidRPr="00B03EC8">
        <w:rPr>
          <w:rFonts w:ascii="Times New Roman" w:eastAsia="Times New Roman" w:hAnsi="Times New Roman" w:cs="Times New Roman"/>
          <w:color w:val="212121"/>
        </w:rPr>
        <w:lastRenderedPageBreak/>
        <w:t>Bu fonksiyonda Y nominal toplam gelir</w:t>
      </w:r>
      <w:r w:rsidR="00DC05EF" w:rsidRPr="00B03EC8">
        <w:rPr>
          <w:rFonts w:ascii="Times New Roman" w:eastAsia="Times New Roman" w:hAnsi="Times New Roman" w:cs="Times New Roman"/>
          <w:color w:val="212121"/>
        </w:rPr>
        <w:t>i</w:t>
      </w:r>
      <w:r w:rsidRPr="00B03EC8">
        <w:rPr>
          <w:rFonts w:ascii="Times New Roman" w:eastAsia="Times New Roman" w:hAnsi="Times New Roman" w:cs="Times New Roman"/>
          <w:color w:val="212121"/>
        </w:rPr>
        <w:t xml:space="preserve"> ve P</w:t>
      </w:r>
      <w:r w:rsidRPr="00B03EC8">
        <w:rPr>
          <w:rFonts w:ascii="Times New Roman" w:eastAsia="Times New Roman" w:hAnsi="Times New Roman" w:cs="Times New Roman"/>
          <w:color w:val="212121"/>
          <w:vertAlign w:val="subscript"/>
        </w:rPr>
        <w:t>m</w:t>
      </w:r>
      <w:r w:rsidRPr="00B03EC8">
        <w:rPr>
          <w:rFonts w:ascii="Times New Roman" w:eastAsia="Times New Roman" w:hAnsi="Times New Roman" w:cs="Times New Roman"/>
          <w:color w:val="212121"/>
        </w:rPr>
        <w:t xml:space="preserve"> ve P</w:t>
      </w:r>
      <w:r w:rsidRPr="00B03EC8">
        <w:rPr>
          <w:rFonts w:ascii="Times New Roman" w:eastAsia="Times New Roman" w:hAnsi="Times New Roman" w:cs="Times New Roman"/>
          <w:color w:val="212121"/>
          <w:vertAlign w:val="subscript"/>
        </w:rPr>
        <w:t>c</w:t>
      </w:r>
      <w:r w:rsidRPr="00B03EC8">
        <w:rPr>
          <w:rFonts w:ascii="Times New Roman" w:eastAsia="Times New Roman" w:hAnsi="Times New Roman" w:cs="Times New Roman"/>
          <w:color w:val="212121"/>
        </w:rPr>
        <w:t xml:space="preserve"> fiyatları temsil etmekte, M ise savunma harcamalarını temsil etmektedir.</w:t>
      </w:r>
      <w:r w:rsidRPr="00B03EC8">
        <w:rPr>
          <w:rFonts w:ascii="Times New Roman" w:hAnsi="Times New Roman" w:cs="Times New Roman"/>
        </w:rPr>
        <w:t xml:space="preserve"> Tambudzai (2006) tarafından güvenlik fonksiyonu savunma harcamaları ile tanımlanmıştır. </w:t>
      </w:r>
      <w:r w:rsidRPr="00B03EC8">
        <w:rPr>
          <w:rFonts w:ascii="Times New Roman" w:eastAsia="Times New Roman" w:hAnsi="Times New Roman" w:cs="Times New Roman"/>
          <w:color w:val="212121"/>
        </w:rPr>
        <w:t xml:space="preserve"> </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S= S(M, M</w:t>
      </w:r>
      <w:r w:rsidRPr="00B03EC8">
        <w:rPr>
          <w:rFonts w:ascii="Times New Roman" w:hAnsi="Times New Roman" w:cs="Times New Roman"/>
          <w:bCs/>
          <w:color w:val="000000"/>
          <w:vertAlign w:val="subscript"/>
        </w:rPr>
        <w:t>1</w:t>
      </w:r>
      <w:r w:rsidRPr="00B03EC8">
        <w:rPr>
          <w:rFonts w:ascii="Times New Roman" w:hAnsi="Times New Roman" w:cs="Times New Roman"/>
          <w:bCs/>
          <w:color w:val="000000"/>
        </w:rPr>
        <w:t>… M</w:t>
      </w:r>
      <w:r w:rsidRPr="00B03EC8">
        <w:rPr>
          <w:rFonts w:ascii="Times New Roman" w:hAnsi="Times New Roman" w:cs="Times New Roman"/>
          <w:bCs/>
          <w:color w:val="000000"/>
          <w:vertAlign w:val="subscript"/>
        </w:rPr>
        <w:t>n</w:t>
      </w:r>
      <w:r w:rsidRPr="00B03EC8">
        <w:rPr>
          <w:rFonts w:ascii="Times New Roman" w:hAnsi="Times New Roman" w:cs="Times New Roman"/>
          <w:bCs/>
          <w:color w:val="000000"/>
        </w:rPr>
        <w:t xml:space="preserve">, T) </w:t>
      </w:r>
      <w:r w:rsidRPr="00B03EC8">
        <w:rPr>
          <w:rFonts w:ascii="Times New Roman" w:hAnsi="Times New Roman" w:cs="Times New Roman"/>
          <w:bCs/>
          <w:color w:val="000000"/>
        </w:rPr>
        <w:tab/>
      </w:r>
      <w:r w:rsidRPr="00B03EC8">
        <w:rPr>
          <w:rFonts w:ascii="Times New Roman" w:hAnsi="Times New Roman" w:cs="Times New Roman"/>
          <w:bCs/>
          <w:color w:val="000000"/>
        </w:rPr>
        <w:tab/>
        <w:t xml:space="preserve">                 (3)</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3 numaralı fonksiyonda güvenliği tanımlayan M savunma harcamalarını M</w:t>
      </w:r>
      <w:r w:rsidRPr="00B03EC8">
        <w:rPr>
          <w:rFonts w:ascii="Times New Roman" w:hAnsi="Times New Roman" w:cs="Times New Roman"/>
          <w:bCs/>
          <w:color w:val="000000"/>
          <w:vertAlign w:val="subscript"/>
        </w:rPr>
        <w:t>1</w:t>
      </w:r>
      <w:r w:rsidRPr="00B03EC8">
        <w:rPr>
          <w:rFonts w:ascii="Times New Roman" w:hAnsi="Times New Roman" w:cs="Times New Roman"/>
          <w:bCs/>
          <w:color w:val="000000"/>
        </w:rPr>
        <w:t>… M</w:t>
      </w:r>
      <w:r w:rsidRPr="00B03EC8">
        <w:rPr>
          <w:rFonts w:ascii="Times New Roman" w:hAnsi="Times New Roman" w:cs="Times New Roman"/>
          <w:bCs/>
          <w:color w:val="000000"/>
          <w:vertAlign w:val="subscript"/>
        </w:rPr>
        <w:t xml:space="preserve">n </w:t>
      </w:r>
      <w:r w:rsidRPr="00B03EC8">
        <w:rPr>
          <w:rFonts w:ascii="Times New Roman" w:hAnsi="Times New Roman" w:cs="Times New Roman"/>
          <w:bCs/>
          <w:color w:val="000000"/>
        </w:rPr>
        <w:t>diğer ülkelerin savunma harcamalarını ve T ise stratejik değişkenleri temsil etmektedir.</w:t>
      </w:r>
      <w:r w:rsidRPr="00B03EC8">
        <w:rPr>
          <w:rFonts w:ascii="Times New Roman" w:hAnsi="Times New Roman" w:cs="Times New Roman"/>
          <w:bCs/>
          <w:color w:val="000000"/>
          <w:vertAlign w:val="subscript"/>
        </w:rPr>
        <w:t xml:space="preserve"> </w:t>
      </w:r>
      <w:r w:rsidRPr="00B03EC8">
        <w:rPr>
          <w:rFonts w:ascii="Times New Roman" w:hAnsi="Times New Roman" w:cs="Times New Roman"/>
        </w:rPr>
        <w:t>Tambudzai (2006), 4 numaralı fonksiyonda savunma harcamaları değişkenine ulaşmıştır.</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M= M(</w:t>
      </w:r>
      <w:r w:rsidRPr="00B03EC8">
        <w:rPr>
          <w:rFonts w:ascii="Times New Roman" w:eastAsia="Times New Roman" w:hAnsi="Times New Roman" w:cs="Times New Roman"/>
          <w:color w:val="212121"/>
        </w:rPr>
        <w:t>P</w:t>
      </w:r>
      <w:r w:rsidRPr="00B03EC8">
        <w:rPr>
          <w:rFonts w:ascii="Times New Roman" w:eastAsia="Times New Roman" w:hAnsi="Times New Roman" w:cs="Times New Roman"/>
          <w:color w:val="212121"/>
          <w:vertAlign w:val="subscript"/>
        </w:rPr>
        <w:t>m</w:t>
      </w:r>
      <w:r w:rsidRPr="00B03EC8">
        <w:rPr>
          <w:rFonts w:ascii="Times New Roman" w:eastAsia="Times New Roman" w:hAnsi="Times New Roman" w:cs="Times New Roman"/>
          <w:color w:val="212121"/>
        </w:rPr>
        <w:t>/P</w:t>
      </w:r>
      <w:r w:rsidRPr="00B03EC8">
        <w:rPr>
          <w:rFonts w:ascii="Times New Roman" w:eastAsia="Times New Roman" w:hAnsi="Times New Roman" w:cs="Times New Roman"/>
          <w:color w:val="212121"/>
          <w:vertAlign w:val="subscript"/>
        </w:rPr>
        <w:t>c</w:t>
      </w:r>
      <w:r w:rsidRPr="00B03EC8">
        <w:rPr>
          <w:rFonts w:ascii="Times New Roman" w:hAnsi="Times New Roman" w:cs="Times New Roman"/>
          <w:bCs/>
          <w:color w:val="000000"/>
        </w:rPr>
        <w:t>, Y, N, M</w:t>
      </w:r>
      <w:r w:rsidRPr="00B03EC8">
        <w:rPr>
          <w:rFonts w:ascii="Times New Roman" w:hAnsi="Times New Roman" w:cs="Times New Roman"/>
          <w:bCs/>
          <w:color w:val="000000"/>
          <w:vertAlign w:val="subscript"/>
        </w:rPr>
        <w:t>1</w:t>
      </w:r>
      <w:r w:rsidRPr="00B03EC8">
        <w:rPr>
          <w:rFonts w:ascii="Times New Roman" w:hAnsi="Times New Roman" w:cs="Times New Roman"/>
          <w:bCs/>
          <w:color w:val="000000"/>
        </w:rPr>
        <w:t>… M</w:t>
      </w:r>
      <w:r w:rsidRPr="00B03EC8">
        <w:rPr>
          <w:rFonts w:ascii="Times New Roman" w:hAnsi="Times New Roman" w:cs="Times New Roman"/>
          <w:bCs/>
          <w:color w:val="000000"/>
          <w:vertAlign w:val="subscript"/>
        </w:rPr>
        <w:t xml:space="preserve">n, </w:t>
      </w:r>
      <w:r w:rsidRPr="00B03EC8">
        <w:rPr>
          <w:rFonts w:ascii="Times New Roman" w:hAnsi="Times New Roman" w:cs="Times New Roman"/>
          <w:bCs/>
          <w:color w:val="000000"/>
        </w:rPr>
        <w:t xml:space="preserve">T, Z) </w:t>
      </w:r>
      <w:r w:rsidRPr="00B03EC8">
        <w:rPr>
          <w:rFonts w:ascii="Times New Roman" w:hAnsi="Times New Roman" w:cs="Times New Roman"/>
          <w:bCs/>
          <w:color w:val="000000"/>
        </w:rPr>
        <w:tab/>
      </w:r>
      <w:r w:rsidRPr="00B03EC8">
        <w:rPr>
          <w:rFonts w:ascii="Times New Roman" w:hAnsi="Times New Roman" w:cs="Times New Roman"/>
          <w:bCs/>
          <w:color w:val="000000"/>
        </w:rPr>
        <w:tab/>
        <w:t xml:space="preserve">     (4)</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Tambudzai (2006), verinin durumuna göre çalışmalarda savunma harcamaları yerine savunma harcamalarının GSYİH’ye oranının kullanılabileceğinden bahsetmiştir. Savunma harcamalarının GSYİH’ye oranı kullanılması durumunda Y (GSYİH) değişkeni fonksiyondan çıkarılması gerekmektedir.  Y ve N ekonomik faktörlerini kullanmayan ve fiyatlar yerine bütçe açığını kullanan fonksiyon aşağıda verilmiştir.</w:t>
      </w:r>
    </w:p>
    <w:p w:rsidR="006B469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M</w:t>
      </w:r>
      <w:r w:rsidRPr="00B03EC8">
        <w:rPr>
          <w:rFonts w:ascii="Times New Roman" w:hAnsi="Times New Roman" w:cs="Times New Roman"/>
          <w:bCs/>
          <w:color w:val="000000"/>
          <w:vertAlign w:val="subscript"/>
        </w:rPr>
        <w:t>g</w:t>
      </w:r>
      <w:r w:rsidRPr="00B03EC8">
        <w:rPr>
          <w:rFonts w:ascii="Times New Roman" w:hAnsi="Times New Roman" w:cs="Times New Roman"/>
          <w:bCs/>
          <w:color w:val="000000"/>
        </w:rPr>
        <w:t>= M</w:t>
      </w:r>
      <w:r w:rsidRPr="00B03EC8">
        <w:rPr>
          <w:rFonts w:ascii="Times New Roman" w:hAnsi="Times New Roman" w:cs="Times New Roman"/>
          <w:bCs/>
          <w:color w:val="000000"/>
          <w:vertAlign w:val="subscript"/>
        </w:rPr>
        <w:t>g</w:t>
      </w:r>
      <w:r w:rsidRPr="00B03EC8">
        <w:rPr>
          <w:rFonts w:ascii="Times New Roman" w:hAnsi="Times New Roman" w:cs="Times New Roman"/>
          <w:bCs/>
          <w:color w:val="000000"/>
        </w:rPr>
        <w:t>(</w:t>
      </w:r>
      <w:r w:rsidRPr="00B03EC8">
        <w:rPr>
          <w:rFonts w:ascii="Times New Roman" w:eastAsia="Times New Roman" w:hAnsi="Times New Roman" w:cs="Times New Roman"/>
          <w:color w:val="212121"/>
        </w:rPr>
        <w:t>D</w:t>
      </w:r>
      <w:r w:rsidRPr="00B03EC8">
        <w:rPr>
          <w:rFonts w:ascii="Times New Roman" w:eastAsia="Times New Roman" w:hAnsi="Times New Roman" w:cs="Times New Roman"/>
          <w:color w:val="212121"/>
          <w:vertAlign w:val="subscript"/>
        </w:rPr>
        <w:t>g</w:t>
      </w:r>
      <w:r w:rsidRPr="00B03EC8">
        <w:rPr>
          <w:rFonts w:ascii="Times New Roman" w:hAnsi="Times New Roman" w:cs="Times New Roman"/>
          <w:bCs/>
          <w:color w:val="000000"/>
        </w:rPr>
        <w:t xml:space="preserve">,  Z) </w:t>
      </w:r>
      <w:r w:rsidRPr="00B03EC8">
        <w:rPr>
          <w:rFonts w:ascii="Times New Roman" w:hAnsi="Times New Roman" w:cs="Times New Roman"/>
          <w:bCs/>
          <w:color w:val="000000"/>
        </w:rPr>
        <w:tab/>
      </w:r>
      <w:r w:rsidRPr="00B03EC8">
        <w:rPr>
          <w:rFonts w:ascii="Times New Roman" w:hAnsi="Times New Roman" w:cs="Times New Roman"/>
          <w:bCs/>
          <w:color w:val="000000"/>
        </w:rPr>
        <w:tab/>
        <w:t xml:space="preserve">                             (5)</w:t>
      </w:r>
    </w:p>
    <w:p w:rsidR="00C366F4" w:rsidRPr="00B03EC8" w:rsidRDefault="006B4694"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Bu fonksiyonda M</w:t>
      </w:r>
      <w:r w:rsidRPr="00B03EC8">
        <w:rPr>
          <w:rFonts w:ascii="Times New Roman" w:hAnsi="Times New Roman" w:cs="Times New Roman"/>
          <w:bCs/>
          <w:color w:val="000000"/>
          <w:vertAlign w:val="subscript"/>
        </w:rPr>
        <w:t>g</w:t>
      </w:r>
      <w:r w:rsidRPr="00B03EC8">
        <w:rPr>
          <w:rFonts w:ascii="Times New Roman" w:hAnsi="Times New Roman" w:cs="Times New Roman"/>
          <w:bCs/>
          <w:color w:val="000000"/>
        </w:rPr>
        <w:t xml:space="preserve"> savunma harcamalarının GSYİH’ye oranını </w:t>
      </w:r>
      <w:r w:rsidRPr="00B03EC8">
        <w:rPr>
          <w:rFonts w:ascii="Times New Roman" w:eastAsia="Times New Roman" w:hAnsi="Times New Roman" w:cs="Times New Roman"/>
          <w:color w:val="212121"/>
        </w:rPr>
        <w:t>D</w:t>
      </w:r>
      <w:r w:rsidRPr="00B03EC8">
        <w:rPr>
          <w:rFonts w:ascii="Times New Roman" w:eastAsia="Times New Roman" w:hAnsi="Times New Roman" w:cs="Times New Roman"/>
          <w:color w:val="212121"/>
          <w:vertAlign w:val="subscript"/>
        </w:rPr>
        <w:t>g</w:t>
      </w:r>
      <w:r w:rsidRPr="00B03EC8">
        <w:rPr>
          <w:rFonts w:ascii="Times New Roman" w:eastAsia="Times New Roman" w:hAnsi="Times New Roman" w:cs="Times New Roman"/>
          <w:color w:val="212121"/>
        </w:rPr>
        <w:t xml:space="preserve"> bütçe açığının </w:t>
      </w:r>
      <w:r w:rsidRPr="00B03EC8">
        <w:rPr>
          <w:rFonts w:ascii="Times New Roman" w:hAnsi="Times New Roman" w:cs="Times New Roman"/>
          <w:bCs/>
          <w:color w:val="000000"/>
        </w:rPr>
        <w:t>GSYİH’ye oranını ve Z ise politik faktörleri temsil etmektedir.</w:t>
      </w:r>
    </w:p>
    <w:p w:rsidR="00502F92" w:rsidRPr="00B03EC8" w:rsidRDefault="00B03EC8" w:rsidP="00B03EC8">
      <w:pPr>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3. </w:t>
      </w:r>
      <w:r w:rsidR="00502F92" w:rsidRPr="00B03EC8">
        <w:rPr>
          <w:rFonts w:ascii="Times New Roman" w:hAnsi="Times New Roman" w:cs="Times New Roman"/>
          <w:b/>
          <w:bCs/>
          <w:color w:val="000000"/>
        </w:rPr>
        <w:t>Veri ve Yöntem</w:t>
      </w:r>
    </w:p>
    <w:p w:rsidR="00956B1D" w:rsidRPr="00B03EC8" w:rsidRDefault="00502F92"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Savunma harcamaları ile çalışmalarında karşılaşılan zorluklardan en önemli olan verinin sağlanmasıdır. Geçmişte yapılan çalışmaların veri kaynağı olan </w:t>
      </w:r>
      <w:r w:rsidR="0003529B" w:rsidRPr="00B03EC8">
        <w:rPr>
          <w:rFonts w:ascii="Times New Roman" w:hAnsi="Times New Roman" w:cs="Times New Roman"/>
          <w:bCs/>
          <w:color w:val="000000"/>
        </w:rPr>
        <w:t>“</w:t>
      </w:r>
      <w:r w:rsidR="0003529B" w:rsidRPr="00B03EC8">
        <w:rPr>
          <w:rFonts w:ascii="Times New Roman" w:hAnsi="Times New Roman" w:cs="Times New Roman"/>
          <w:color w:val="000000"/>
        </w:rPr>
        <w:t xml:space="preserve">Memorial Institute for the Prevention of Terrorism “ kurumu kaynak sıkıntısından dolayı kapanmış durumdadır. Bu duruma mukabil bu çalışmada gerekli olan veriler Dünya Bankası ve Ekonomik İşbirliği ve Kalkınma Örgütü (OECD) arşivlerinden alınmıştır. Yıllık bazda alınan veriler GSYİH, Savunma Harcamaları, Bütçe Açıkları ve </w:t>
      </w:r>
      <w:r w:rsidR="0003529B" w:rsidRPr="00B03EC8">
        <w:rPr>
          <w:rFonts w:ascii="Times New Roman" w:hAnsi="Times New Roman" w:cs="Times New Roman"/>
          <w:bCs/>
          <w:color w:val="000000"/>
        </w:rPr>
        <w:t xml:space="preserve">Politik Stabilite ve Terör Yokluğu Endeksi’dir. </w:t>
      </w:r>
      <w:r w:rsidR="00BC0453" w:rsidRPr="00B03EC8">
        <w:rPr>
          <w:rFonts w:ascii="Times New Roman" w:hAnsi="Times New Roman" w:cs="Times New Roman"/>
          <w:bCs/>
          <w:color w:val="000000"/>
        </w:rPr>
        <w:t xml:space="preserve">Ülkelerin bütçe açıkları hükümet gelirleri ile hükümet harcamaları arasındaki farkı temsil etmektedir. </w:t>
      </w:r>
      <w:r w:rsidR="00956B1D" w:rsidRPr="00B03EC8">
        <w:rPr>
          <w:rFonts w:ascii="Times New Roman" w:hAnsi="Times New Roman" w:cs="Times New Roman"/>
          <w:bCs/>
          <w:color w:val="000000"/>
        </w:rPr>
        <w:t xml:space="preserve">Dünya Bankası Uluslararası Yönetim Göstergelerinden biri olan Politik Stabilite ve Terör Yokluğu Endeksi, hükümetin istikrarsızlaştırılacağı ya da siyasi amaçlı şiddet ve terörizmde dâhil olmak üzere hükümetin devrilmesi ihtimalinin ölçüldüğü bir göstergedir. Bu göstergede alınan yüksek puanlar politik stabiliteyi temsil etmektedir. Avrupa ülkelerinin endeks puanları yüksek seyretmekte iken Afrika daha düşük puanlar almaktadır. </w:t>
      </w:r>
      <w:r w:rsidR="0003529B" w:rsidRPr="00B03EC8">
        <w:rPr>
          <w:rFonts w:ascii="Times New Roman" w:hAnsi="Times New Roman" w:cs="Times New Roman"/>
          <w:bCs/>
          <w:color w:val="000000"/>
        </w:rPr>
        <w:t xml:space="preserve">Çalışmada, 34 OECD ülkesinin 2009-2015 yılları arası verisi kullanılmıştır. </w:t>
      </w:r>
      <w:r w:rsidR="00EA02A3" w:rsidRPr="00B03EC8">
        <w:rPr>
          <w:rFonts w:ascii="Times New Roman" w:hAnsi="Times New Roman" w:cs="Times New Roman"/>
          <w:bCs/>
          <w:color w:val="000000"/>
        </w:rPr>
        <w:t xml:space="preserve">Politik Stabilite ve Terör Yokluğu Endeksi, </w:t>
      </w:r>
      <w:r w:rsidR="00EA02A3" w:rsidRPr="00B03EC8">
        <w:rPr>
          <w:rFonts w:ascii="Times New Roman" w:hAnsi="Times New Roman" w:cs="Times New Roman"/>
          <w:color w:val="000000"/>
        </w:rPr>
        <w:t xml:space="preserve">Bütçe Açıklarının GSYİH’ye oranı ve Savunma Harcamalarının GSYİH’ye oranı değişkenlerinin kısaltmaları sırasıyla PS, DEFG ve MEG olarak kullanılmıştır. </w:t>
      </w:r>
      <w:r w:rsidR="0003529B" w:rsidRPr="00B03EC8">
        <w:rPr>
          <w:rFonts w:ascii="Times New Roman" w:hAnsi="Times New Roman" w:cs="Times New Roman"/>
          <w:bCs/>
          <w:color w:val="000000"/>
        </w:rPr>
        <w:t>Örneklemde kullanılan ülkeler ek tablo 1’de görülebilmektedir.</w:t>
      </w:r>
    </w:p>
    <w:p w:rsidR="00502F92" w:rsidRPr="00B03EC8" w:rsidRDefault="00956B1D"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Arellano ve Bond (1991) tarafından önerilen Genelleştirilmiş Momentler Yöntemi (GMM), değişkenlerin doğrusal olmayan değişkenli bir dinamik panel veri modelinde parametrelerini tahmin etmek için sıkça kullanılan tahmin yöntemidir. Bu yöntemde, seride gözlemlenmemiş bireysel </w:t>
      </w:r>
      <w:r w:rsidR="00922585" w:rsidRPr="00B03EC8">
        <w:rPr>
          <w:rFonts w:ascii="Times New Roman" w:hAnsi="Times New Roman" w:cs="Times New Roman"/>
          <w:bCs/>
          <w:color w:val="000000"/>
        </w:rPr>
        <w:t>heterojenliği düzenlemek için birinci seviyede farklılaştırılmış seriler kullanılmaktadır</w:t>
      </w:r>
      <w:r w:rsidRPr="00B03EC8">
        <w:rPr>
          <w:rFonts w:ascii="Times New Roman" w:hAnsi="Times New Roman" w:cs="Times New Roman"/>
          <w:bCs/>
          <w:color w:val="000000"/>
        </w:rPr>
        <w:t xml:space="preserve">. Fakat Blundell ve Bond (1998), </w:t>
      </w:r>
      <w:r w:rsidR="00922585" w:rsidRPr="00B03EC8">
        <w:rPr>
          <w:rFonts w:ascii="Times New Roman" w:hAnsi="Times New Roman" w:cs="Times New Roman"/>
          <w:bCs/>
          <w:color w:val="000000"/>
        </w:rPr>
        <w:t>buluntularına göre kullanılan araçlar endonjen değişimleri tahminlerinde kötü sonuçlar vermektedir</w:t>
      </w:r>
      <w:r w:rsidRPr="00B03EC8">
        <w:rPr>
          <w:rFonts w:ascii="Times New Roman" w:hAnsi="Times New Roman" w:cs="Times New Roman"/>
          <w:bCs/>
          <w:color w:val="000000"/>
        </w:rPr>
        <w:t>. Arellano ve Bover (1995) ve Blundell ve Bond (1998), dinamik panel ver</w:t>
      </w:r>
      <w:r w:rsidR="00922585" w:rsidRPr="00B03EC8">
        <w:rPr>
          <w:rFonts w:ascii="Times New Roman" w:hAnsi="Times New Roman" w:cs="Times New Roman"/>
          <w:bCs/>
          <w:color w:val="000000"/>
        </w:rPr>
        <w:t>i modellerinde ortaya endojen tahmini probleminin</w:t>
      </w:r>
      <w:r w:rsidRPr="00B03EC8">
        <w:rPr>
          <w:rFonts w:ascii="Times New Roman" w:hAnsi="Times New Roman" w:cs="Times New Roman"/>
          <w:bCs/>
          <w:color w:val="000000"/>
        </w:rPr>
        <w:t xml:space="preserve"> üstesinden gelmek için sistem ta</w:t>
      </w:r>
      <w:r w:rsidR="00922585" w:rsidRPr="00B03EC8">
        <w:rPr>
          <w:rFonts w:ascii="Times New Roman" w:hAnsi="Times New Roman" w:cs="Times New Roman"/>
          <w:bCs/>
          <w:color w:val="000000"/>
        </w:rPr>
        <w:t>banlı bir yaklaşım önermiştir</w:t>
      </w:r>
      <w:r w:rsidRPr="00B03EC8">
        <w:rPr>
          <w:rFonts w:ascii="Times New Roman" w:hAnsi="Times New Roman" w:cs="Times New Roman"/>
          <w:bCs/>
          <w:color w:val="000000"/>
        </w:rPr>
        <w:t>. Bu yöntem, ilk gözlemin belirli durgunluk koşullarına daya</w:t>
      </w:r>
      <w:r w:rsidR="00922585" w:rsidRPr="00B03EC8">
        <w:rPr>
          <w:rFonts w:ascii="Times New Roman" w:hAnsi="Times New Roman" w:cs="Times New Roman"/>
          <w:bCs/>
          <w:color w:val="000000"/>
        </w:rPr>
        <w:t>nan ek moment koşulları kullanmaktadır</w:t>
      </w:r>
      <w:r w:rsidR="00190CA9" w:rsidRPr="00B03EC8">
        <w:rPr>
          <w:rFonts w:ascii="Times New Roman" w:hAnsi="Times New Roman" w:cs="Times New Roman"/>
          <w:bCs/>
          <w:color w:val="000000"/>
        </w:rPr>
        <w:t>. Sistem GMM olarak bilinen yöntemde</w:t>
      </w:r>
      <w:r w:rsidRPr="00B03EC8">
        <w:rPr>
          <w:rFonts w:ascii="Times New Roman" w:hAnsi="Times New Roman" w:cs="Times New Roman"/>
          <w:bCs/>
          <w:color w:val="000000"/>
        </w:rPr>
        <w:t>, ilk farklardaki standart denklem setlerini uygun olarak gecikmiş seviyeler</w:t>
      </w:r>
      <w:r w:rsidR="00190CA9" w:rsidRPr="00B03EC8">
        <w:rPr>
          <w:rFonts w:ascii="Times New Roman" w:hAnsi="Times New Roman" w:cs="Times New Roman"/>
          <w:bCs/>
          <w:color w:val="000000"/>
        </w:rPr>
        <w:t>i enstrümanlar olarak kombine etmekte</w:t>
      </w:r>
      <w:r w:rsidRPr="00B03EC8">
        <w:rPr>
          <w:rFonts w:ascii="Times New Roman" w:hAnsi="Times New Roman" w:cs="Times New Roman"/>
          <w:bCs/>
          <w:color w:val="000000"/>
        </w:rPr>
        <w:t xml:space="preserve"> ve gecikmiş ilk farkları enstrümanlar olarak ek seviyelerde </w:t>
      </w:r>
      <w:r w:rsidR="00190CA9" w:rsidRPr="00B03EC8">
        <w:rPr>
          <w:rFonts w:ascii="Times New Roman" w:hAnsi="Times New Roman" w:cs="Times New Roman"/>
          <w:bCs/>
          <w:color w:val="000000"/>
        </w:rPr>
        <w:t xml:space="preserve">denklemler kümesiyle birleştirmektedir. Bu çalışmada da son dönemde panel veri analizleri konusunda mükemmeliyetçi bir yöntem olarak kabul edilen sistem GMM yöntemi kullanılacaktır. Sistem GMM yöntemi otokorelasyon ve değişken varyans problemine karşı araştırmacılara kolaylık sağlamakta iken değişkenlerin endojenlik yapısına karar verilmesi bakımından sıkıntılar içermekte olan bir yöntemdir. </w:t>
      </w:r>
      <w:r w:rsidR="00F701E5" w:rsidRPr="00B03EC8">
        <w:rPr>
          <w:rFonts w:ascii="Times New Roman" w:hAnsi="Times New Roman" w:cs="Times New Roman"/>
          <w:bCs/>
          <w:color w:val="000000"/>
        </w:rPr>
        <w:t xml:space="preserve">Bu çalışmada ise bağımsız değişkenlerin endojen olup olmadığı ek regresyon analizleri ile araştırılmaya çalışılacaktır. </w:t>
      </w:r>
      <w:r w:rsidR="00190CA9" w:rsidRPr="00B03EC8">
        <w:rPr>
          <w:rFonts w:ascii="Times New Roman" w:hAnsi="Times New Roman" w:cs="Times New Roman"/>
          <w:bCs/>
          <w:color w:val="000000"/>
        </w:rPr>
        <w:t xml:space="preserve">  </w:t>
      </w:r>
    </w:p>
    <w:p w:rsidR="00F701E5" w:rsidRPr="00B03EC8" w:rsidRDefault="00B03EC8" w:rsidP="00B03EC8">
      <w:pPr>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lastRenderedPageBreak/>
        <w:t xml:space="preserve">4. </w:t>
      </w:r>
      <w:r w:rsidR="00F701E5" w:rsidRPr="00B03EC8">
        <w:rPr>
          <w:rFonts w:ascii="Times New Roman" w:hAnsi="Times New Roman" w:cs="Times New Roman"/>
          <w:b/>
          <w:bCs/>
          <w:color w:val="000000"/>
        </w:rPr>
        <w:t>Bulgular</w:t>
      </w:r>
    </w:p>
    <w:p w:rsidR="00F701E5" w:rsidRPr="00B03EC8" w:rsidRDefault="00F701E5"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Öncelikle GMM yönteminin uygulanabilmesi için değişkenler endojen ve egzojen olarak ayrılmalıdırlar. Bağımsız değişkenlerin aralarında regresyon analizine tabi tutularak endojen özeliğine sahip olup olmadıkları test edilmiştir.</w:t>
      </w:r>
    </w:p>
    <w:p w:rsidR="00E656C7" w:rsidRPr="00B03EC8" w:rsidRDefault="00E656C7"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Tablo 2. Politik Stabilite ve Terör Yokluğu Endeksi Endojenlik Testi</w:t>
      </w:r>
    </w:p>
    <w:tbl>
      <w:tblPr>
        <w:tblW w:w="7500" w:type="dxa"/>
        <w:jc w:val="center"/>
        <w:tblLook w:val="04A0" w:firstRow="1" w:lastRow="0" w:firstColumn="1" w:lastColumn="0" w:noHBand="0" w:noVBand="1"/>
      </w:tblPr>
      <w:tblGrid>
        <w:gridCol w:w="2460"/>
        <w:gridCol w:w="1121"/>
        <w:gridCol w:w="2480"/>
        <w:gridCol w:w="1600"/>
      </w:tblGrid>
      <w:tr w:rsidR="00E656C7" w:rsidRPr="00B03EC8" w:rsidTr="005556DB">
        <w:trPr>
          <w:trHeight w:val="315"/>
          <w:jc w:val="center"/>
        </w:trPr>
        <w:tc>
          <w:tcPr>
            <w:tcW w:w="2460" w:type="dxa"/>
            <w:tcBorders>
              <w:top w:val="single" w:sz="4" w:space="0" w:color="auto"/>
              <w:bottom w:val="single" w:sz="4" w:space="0" w:color="auto"/>
            </w:tcBorders>
            <w:shd w:val="clear" w:color="auto" w:fill="auto"/>
            <w:noWrap/>
            <w:vAlign w:val="bottom"/>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Değişkenler</w:t>
            </w:r>
          </w:p>
        </w:tc>
        <w:tc>
          <w:tcPr>
            <w:tcW w:w="960" w:type="dxa"/>
            <w:tcBorders>
              <w:top w:val="single" w:sz="4" w:space="0" w:color="auto"/>
              <w:bottom w:val="single" w:sz="4" w:space="0" w:color="auto"/>
            </w:tcBorders>
            <w:shd w:val="clear" w:color="auto" w:fill="auto"/>
            <w:noWrap/>
            <w:vAlign w:val="bottom"/>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Katsayılar</w:t>
            </w:r>
          </w:p>
        </w:tc>
        <w:tc>
          <w:tcPr>
            <w:tcW w:w="2480" w:type="dxa"/>
            <w:tcBorders>
              <w:top w:val="single" w:sz="4" w:space="0" w:color="auto"/>
              <w:bottom w:val="single" w:sz="4" w:space="0" w:color="auto"/>
            </w:tcBorders>
            <w:shd w:val="clear" w:color="auto" w:fill="auto"/>
            <w:noWrap/>
            <w:vAlign w:val="bottom"/>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t-istatistiği</w:t>
            </w:r>
          </w:p>
        </w:tc>
        <w:tc>
          <w:tcPr>
            <w:tcW w:w="1600" w:type="dxa"/>
            <w:tcBorders>
              <w:top w:val="single" w:sz="4" w:space="0" w:color="auto"/>
              <w:bottom w:val="single" w:sz="4" w:space="0" w:color="auto"/>
            </w:tcBorders>
            <w:shd w:val="clear" w:color="auto" w:fill="auto"/>
            <w:noWrap/>
            <w:vAlign w:val="bottom"/>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     Olasılık</w:t>
            </w:r>
          </w:p>
        </w:tc>
      </w:tr>
      <w:tr w:rsidR="00E656C7" w:rsidRPr="00B03EC8" w:rsidTr="005556DB">
        <w:trPr>
          <w:trHeight w:val="315"/>
          <w:jc w:val="center"/>
        </w:trPr>
        <w:tc>
          <w:tcPr>
            <w:tcW w:w="2460" w:type="dxa"/>
            <w:tcBorders>
              <w:top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C</w:t>
            </w:r>
          </w:p>
        </w:tc>
        <w:tc>
          <w:tcPr>
            <w:tcW w:w="960" w:type="dxa"/>
            <w:tcBorders>
              <w:top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0.953493</w:t>
            </w:r>
          </w:p>
        </w:tc>
        <w:tc>
          <w:tcPr>
            <w:tcW w:w="2480" w:type="dxa"/>
            <w:tcBorders>
              <w:top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2.302642</w:t>
            </w:r>
          </w:p>
        </w:tc>
        <w:tc>
          <w:tcPr>
            <w:tcW w:w="1600" w:type="dxa"/>
            <w:tcBorders>
              <w:top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0.0223</w:t>
            </w:r>
          </w:p>
        </w:tc>
      </w:tr>
      <w:tr w:rsidR="00E656C7" w:rsidRPr="00B03EC8" w:rsidTr="005556DB">
        <w:trPr>
          <w:trHeight w:val="315"/>
          <w:jc w:val="center"/>
        </w:trPr>
        <w:tc>
          <w:tcPr>
            <w:tcW w:w="246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DEFG</w:t>
            </w:r>
          </w:p>
        </w:tc>
        <w:tc>
          <w:tcPr>
            <w:tcW w:w="96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0.005890</w:t>
            </w:r>
          </w:p>
        </w:tc>
        <w:tc>
          <w:tcPr>
            <w:tcW w:w="248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1.736373</w:t>
            </w:r>
          </w:p>
        </w:tc>
        <w:tc>
          <w:tcPr>
            <w:tcW w:w="160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0.0840</w:t>
            </w:r>
          </w:p>
        </w:tc>
      </w:tr>
      <w:tr w:rsidR="00E656C7" w:rsidRPr="00B03EC8" w:rsidTr="005556DB">
        <w:trPr>
          <w:trHeight w:val="300"/>
          <w:jc w:val="center"/>
        </w:trPr>
        <w:tc>
          <w:tcPr>
            <w:tcW w:w="246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AR(1)</w:t>
            </w:r>
          </w:p>
        </w:tc>
        <w:tc>
          <w:tcPr>
            <w:tcW w:w="96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0.980248</w:t>
            </w:r>
          </w:p>
        </w:tc>
        <w:tc>
          <w:tcPr>
            <w:tcW w:w="248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8.692684</w:t>
            </w:r>
          </w:p>
        </w:tc>
        <w:tc>
          <w:tcPr>
            <w:tcW w:w="160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0.0000</w:t>
            </w:r>
          </w:p>
        </w:tc>
      </w:tr>
      <w:tr w:rsidR="00E656C7" w:rsidRPr="00B03EC8" w:rsidTr="005556DB">
        <w:trPr>
          <w:trHeight w:val="315"/>
          <w:jc w:val="center"/>
        </w:trPr>
        <w:tc>
          <w:tcPr>
            <w:tcW w:w="246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R-Kare</w:t>
            </w:r>
          </w:p>
        </w:tc>
        <w:tc>
          <w:tcPr>
            <w:tcW w:w="96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0.974049</w:t>
            </w:r>
          </w:p>
        </w:tc>
        <w:tc>
          <w:tcPr>
            <w:tcW w:w="248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Durbin-Watson istatistiği</w:t>
            </w:r>
          </w:p>
        </w:tc>
        <w:tc>
          <w:tcPr>
            <w:tcW w:w="1600" w:type="dxa"/>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1.943088</w:t>
            </w:r>
          </w:p>
        </w:tc>
      </w:tr>
      <w:tr w:rsidR="00E656C7" w:rsidRPr="00B03EC8" w:rsidTr="005556DB">
        <w:trPr>
          <w:trHeight w:val="315"/>
          <w:jc w:val="center"/>
        </w:trPr>
        <w:tc>
          <w:tcPr>
            <w:tcW w:w="2460" w:type="dxa"/>
            <w:tcBorders>
              <w:bottom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Düzeltilmiş R-Kare</w:t>
            </w:r>
          </w:p>
        </w:tc>
        <w:tc>
          <w:tcPr>
            <w:tcW w:w="960" w:type="dxa"/>
            <w:tcBorders>
              <w:bottom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0.973790</w:t>
            </w:r>
          </w:p>
        </w:tc>
        <w:tc>
          <w:tcPr>
            <w:tcW w:w="2480" w:type="dxa"/>
            <w:tcBorders>
              <w:bottom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Olasılık(F-istatistiği)</w:t>
            </w:r>
          </w:p>
        </w:tc>
        <w:tc>
          <w:tcPr>
            <w:tcW w:w="1600" w:type="dxa"/>
            <w:tcBorders>
              <w:bottom w:val="single" w:sz="4" w:space="0" w:color="auto"/>
            </w:tcBorders>
            <w:shd w:val="clear" w:color="auto" w:fill="auto"/>
            <w:noWrap/>
            <w:vAlign w:val="center"/>
            <w:hideMark/>
          </w:tcPr>
          <w:p w:rsidR="00E656C7" w:rsidRPr="00B03EC8" w:rsidRDefault="00E656C7"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0.0000000</w:t>
            </w:r>
          </w:p>
        </w:tc>
      </w:tr>
    </w:tbl>
    <w:p w:rsidR="00E656C7" w:rsidRPr="00B03EC8" w:rsidRDefault="00E656C7" w:rsidP="00B03EC8">
      <w:pPr>
        <w:spacing w:before="120" w:after="0" w:line="240" w:lineRule="auto"/>
        <w:ind w:firstLine="709"/>
        <w:jc w:val="both"/>
        <w:rPr>
          <w:rFonts w:ascii="Times New Roman" w:hAnsi="Times New Roman" w:cs="Times New Roman"/>
          <w:bCs/>
          <w:color w:val="000000"/>
        </w:rPr>
      </w:pPr>
    </w:p>
    <w:p w:rsidR="00E656C7" w:rsidRPr="00B03EC8" w:rsidRDefault="00E656C7"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Modelin içinde bulunan DEFG ( Bütçe Açığının GSYİH’ye oranı) değişkeni</w:t>
      </w:r>
      <w:r w:rsidR="00575648" w:rsidRPr="00B03EC8">
        <w:rPr>
          <w:rFonts w:ascii="Times New Roman" w:hAnsi="Times New Roman" w:cs="Times New Roman"/>
          <w:bCs/>
          <w:color w:val="000000"/>
        </w:rPr>
        <w:t>nin</w:t>
      </w:r>
      <w:r w:rsidRPr="00B03EC8">
        <w:rPr>
          <w:rFonts w:ascii="Times New Roman" w:hAnsi="Times New Roman" w:cs="Times New Roman"/>
          <w:bCs/>
          <w:color w:val="000000"/>
        </w:rPr>
        <w:t xml:space="preserve"> Politik Stabilite ve Te</w:t>
      </w:r>
      <w:r w:rsidR="00553896" w:rsidRPr="00B03EC8">
        <w:rPr>
          <w:rFonts w:ascii="Times New Roman" w:hAnsi="Times New Roman" w:cs="Times New Roman"/>
          <w:bCs/>
          <w:color w:val="000000"/>
        </w:rPr>
        <w:t>rör Yokluğu Endeksi değişkenini</w:t>
      </w:r>
      <w:r w:rsidRPr="00B03EC8">
        <w:rPr>
          <w:rFonts w:ascii="Times New Roman" w:hAnsi="Times New Roman" w:cs="Times New Roman"/>
          <w:bCs/>
          <w:color w:val="000000"/>
        </w:rPr>
        <w:t xml:space="preserve"> etkilediği görülmektedir. Etkilenen değişkenin endojen olarak GMM analizine dahil edilmesi gerekmektedir.</w:t>
      </w:r>
    </w:p>
    <w:p w:rsidR="0003086A" w:rsidRPr="00B03EC8" w:rsidRDefault="00553896"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Tablo 3</w:t>
      </w:r>
      <w:r w:rsidR="0003086A" w:rsidRPr="00B03EC8">
        <w:rPr>
          <w:rFonts w:ascii="Times New Roman" w:hAnsi="Times New Roman" w:cs="Times New Roman"/>
          <w:bCs/>
          <w:color w:val="000000"/>
        </w:rPr>
        <w:t xml:space="preserve">. </w:t>
      </w:r>
      <w:r w:rsidRPr="00B03EC8">
        <w:rPr>
          <w:rFonts w:ascii="Times New Roman" w:hAnsi="Times New Roman" w:cs="Times New Roman"/>
          <w:bCs/>
          <w:color w:val="000000"/>
        </w:rPr>
        <w:t>DEFG Değişkeni</w:t>
      </w:r>
      <w:r w:rsidR="0003086A" w:rsidRPr="00B03EC8">
        <w:rPr>
          <w:rFonts w:ascii="Times New Roman" w:hAnsi="Times New Roman" w:cs="Times New Roman"/>
          <w:bCs/>
          <w:color w:val="000000"/>
        </w:rPr>
        <w:t xml:space="preserve"> Endojenlik Testi</w:t>
      </w:r>
    </w:p>
    <w:tbl>
      <w:tblPr>
        <w:tblW w:w="7743" w:type="dxa"/>
        <w:jc w:val="center"/>
        <w:tblLook w:val="04A0" w:firstRow="1" w:lastRow="0" w:firstColumn="1" w:lastColumn="0" w:noHBand="0" w:noVBand="1"/>
      </w:tblPr>
      <w:tblGrid>
        <w:gridCol w:w="2460"/>
        <w:gridCol w:w="1203"/>
        <w:gridCol w:w="2480"/>
        <w:gridCol w:w="1600"/>
      </w:tblGrid>
      <w:tr w:rsidR="0003086A" w:rsidRPr="00B03EC8" w:rsidTr="00CE1376">
        <w:trPr>
          <w:trHeight w:val="347"/>
          <w:jc w:val="center"/>
        </w:trPr>
        <w:tc>
          <w:tcPr>
            <w:tcW w:w="2460" w:type="dxa"/>
            <w:tcBorders>
              <w:top w:val="single" w:sz="4" w:space="0" w:color="auto"/>
              <w:bottom w:val="single" w:sz="4" w:space="0" w:color="auto"/>
            </w:tcBorders>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Değişkenler</w:t>
            </w:r>
          </w:p>
        </w:tc>
        <w:tc>
          <w:tcPr>
            <w:tcW w:w="1203" w:type="dxa"/>
            <w:tcBorders>
              <w:top w:val="single" w:sz="4" w:space="0" w:color="auto"/>
              <w:bottom w:val="single" w:sz="4" w:space="0" w:color="auto"/>
            </w:tcBorders>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Katsayılar</w:t>
            </w:r>
          </w:p>
        </w:tc>
        <w:tc>
          <w:tcPr>
            <w:tcW w:w="2480" w:type="dxa"/>
            <w:tcBorders>
              <w:top w:val="single" w:sz="4" w:space="0" w:color="auto"/>
              <w:bottom w:val="single" w:sz="4" w:space="0" w:color="auto"/>
            </w:tcBorders>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t-istatistiği</w:t>
            </w:r>
          </w:p>
        </w:tc>
        <w:tc>
          <w:tcPr>
            <w:tcW w:w="1600" w:type="dxa"/>
            <w:tcBorders>
              <w:top w:val="single" w:sz="4" w:space="0" w:color="auto"/>
              <w:bottom w:val="single" w:sz="4" w:space="0" w:color="auto"/>
            </w:tcBorders>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  </w:t>
            </w:r>
            <w:r w:rsidR="00A162BE" w:rsidRPr="00B03EC8">
              <w:rPr>
                <w:rFonts w:ascii="Times New Roman" w:eastAsia="Times New Roman" w:hAnsi="Times New Roman" w:cs="Times New Roman"/>
                <w:color w:val="000000"/>
              </w:rPr>
              <w:t xml:space="preserve">   </w:t>
            </w:r>
            <w:r w:rsidRPr="00B03EC8">
              <w:rPr>
                <w:rFonts w:ascii="Times New Roman" w:eastAsia="Times New Roman" w:hAnsi="Times New Roman" w:cs="Times New Roman"/>
                <w:color w:val="000000"/>
              </w:rPr>
              <w:t>Olasılık</w:t>
            </w:r>
          </w:p>
        </w:tc>
      </w:tr>
      <w:tr w:rsidR="0003086A" w:rsidRPr="00B03EC8" w:rsidTr="005556DB">
        <w:trPr>
          <w:trHeight w:val="315"/>
          <w:jc w:val="center"/>
        </w:trPr>
        <w:tc>
          <w:tcPr>
            <w:tcW w:w="2460" w:type="dxa"/>
            <w:tcBorders>
              <w:top w:val="single" w:sz="4" w:space="0" w:color="auto"/>
            </w:tcBorders>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C</w:t>
            </w:r>
          </w:p>
        </w:tc>
        <w:tc>
          <w:tcPr>
            <w:tcW w:w="1203" w:type="dxa"/>
            <w:tcBorders>
              <w:top w:val="single" w:sz="4" w:space="0" w:color="auto"/>
            </w:tcBorders>
            <w:shd w:val="clear" w:color="auto" w:fill="auto"/>
            <w:noWrap/>
            <w:vAlign w:val="bottom"/>
          </w:tcPr>
          <w:p w:rsidR="0003086A" w:rsidRPr="00B03EC8" w:rsidRDefault="00553896"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1.343</w:t>
            </w:r>
            <w:r w:rsidR="0003086A" w:rsidRPr="00B03EC8">
              <w:rPr>
                <w:rFonts w:ascii="Times New Roman" w:eastAsia="Times New Roman" w:hAnsi="Times New Roman" w:cs="Times New Roman"/>
                <w:color w:val="000000"/>
              </w:rPr>
              <w:t>401</w:t>
            </w:r>
          </w:p>
        </w:tc>
        <w:tc>
          <w:tcPr>
            <w:tcW w:w="2480" w:type="dxa"/>
            <w:tcBorders>
              <w:top w:val="single" w:sz="4" w:space="0" w:color="auto"/>
            </w:tcBorders>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1.905192</w:t>
            </w:r>
          </w:p>
        </w:tc>
        <w:tc>
          <w:tcPr>
            <w:tcW w:w="1600" w:type="dxa"/>
            <w:tcBorders>
              <w:top w:val="single" w:sz="4" w:space="0" w:color="auto"/>
            </w:tcBorders>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0.0582</w:t>
            </w:r>
          </w:p>
        </w:tc>
      </w:tr>
      <w:tr w:rsidR="0003086A" w:rsidRPr="00B03EC8" w:rsidTr="005556DB">
        <w:trPr>
          <w:trHeight w:val="315"/>
          <w:jc w:val="center"/>
        </w:trPr>
        <w:tc>
          <w:tcPr>
            <w:tcW w:w="2460" w:type="dxa"/>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PS</w:t>
            </w:r>
          </w:p>
        </w:tc>
        <w:tc>
          <w:tcPr>
            <w:tcW w:w="1203" w:type="dxa"/>
            <w:shd w:val="clear" w:color="auto" w:fill="auto"/>
            <w:noWrap/>
            <w:vAlign w:val="bottom"/>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0.545183</w:t>
            </w:r>
          </w:p>
        </w:tc>
        <w:tc>
          <w:tcPr>
            <w:tcW w:w="2480" w:type="dxa"/>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0.832841</w:t>
            </w:r>
          </w:p>
        </w:tc>
        <w:tc>
          <w:tcPr>
            <w:tcW w:w="1600" w:type="dxa"/>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0.4059</w:t>
            </w:r>
          </w:p>
        </w:tc>
      </w:tr>
      <w:tr w:rsidR="0003086A" w:rsidRPr="00B03EC8" w:rsidTr="005556DB">
        <w:trPr>
          <w:trHeight w:val="300"/>
          <w:jc w:val="center"/>
        </w:trPr>
        <w:tc>
          <w:tcPr>
            <w:tcW w:w="2460" w:type="dxa"/>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AR(1)</w:t>
            </w:r>
          </w:p>
        </w:tc>
        <w:tc>
          <w:tcPr>
            <w:tcW w:w="1203" w:type="dxa"/>
            <w:shd w:val="clear" w:color="auto" w:fill="auto"/>
            <w:noWrap/>
            <w:vAlign w:val="bottom"/>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0.690305</w:t>
            </w:r>
          </w:p>
        </w:tc>
        <w:tc>
          <w:tcPr>
            <w:tcW w:w="2480" w:type="dxa"/>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1.450635</w:t>
            </w:r>
          </w:p>
        </w:tc>
        <w:tc>
          <w:tcPr>
            <w:tcW w:w="1600" w:type="dxa"/>
            <w:shd w:val="clear" w:color="auto" w:fill="auto"/>
            <w:noWrap/>
            <w:vAlign w:val="bottom"/>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0.0000</w:t>
            </w:r>
          </w:p>
        </w:tc>
      </w:tr>
      <w:tr w:rsidR="0003086A" w:rsidRPr="00B03EC8" w:rsidTr="005556DB">
        <w:trPr>
          <w:trHeight w:val="315"/>
          <w:jc w:val="center"/>
        </w:trPr>
        <w:tc>
          <w:tcPr>
            <w:tcW w:w="2460" w:type="dxa"/>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R-Kare</w:t>
            </w:r>
          </w:p>
        </w:tc>
        <w:tc>
          <w:tcPr>
            <w:tcW w:w="1203" w:type="dxa"/>
            <w:shd w:val="clear" w:color="auto" w:fill="auto"/>
            <w:noWrap/>
            <w:vAlign w:val="bottom"/>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0.506093</w:t>
            </w:r>
          </w:p>
        </w:tc>
        <w:tc>
          <w:tcPr>
            <w:tcW w:w="2480" w:type="dxa"/>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Durbin-Watson istatistiği</w:t>
            </w:r>
          </w:p>
        </w:tc>
        <w:tc>
          <w:tcPr>
            <w:tcW w:w="1600" w:type="dxa"/>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2.342711</w:t>
            </w:r>
          </w:p>
        </w:tc>
      </w:tr>
      <w:tr w:rsidR="0003086A" w:rsidRPr="00B03EC8" w:rsidTr="005556DB">
        <w:trPr>
          <w:trHeight w:val="315"/>
          <w:jc w:val="center"/>
        </w:trPr>
        <w:tc>
          <w:tcPr>
            <w:tcW w:w="2460" w:type="dxa"/>
            <w:tcBorders>
              <w:bottom w:val="single" w:sz="4" w:space="0" w:color="auto"/>
            </w:tcBorders>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Düzeltilmiş R-Kare</w:t>
            </w:r>
          </w:p>
        </w:tc>
        <w:tc>
          <w:tcPr>
            <w:tcW w:w="1203" w:type="dxa"/>
            <w:tcBorders>
              <w:bottom w:val="single" w:sz="4" w:space="0" w:color="auto"/>
            </w:tcBorders>
            <w:shd w:val="clear" w:color="auto" w:fill="auto"/>
            <w:noWrap/>
            <w:vAlign w:val="bottom"/>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0.501179</w:t>
            </w:r>
          </w:p>
        </w:tc>
        <w:tc>
          <w:tcPr>
            <w:tcW w:w="2480" w:type="dxa"/>
            <w:tcBorders>
              <w:bottom w:val="single" w:sz="4" w:space="0" w:color="auto"/>
            </w:tcBorders>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Olasılık(F-istatistiği)</w:t>
            </w:r>
          </w:p>
        </w:tc>
        <w:tc>
          <w:tcPr>
            <w:tcW w:w="1600" w:type="dxa"/>
            <w:tcBorders>
              <w:bottom w:val="single" w:sz="4" w:space="0" w:color="auto"/>
            </w:tcBorders>
            <w:shd w:val="clear" w:color="auto" w:fill="auto"/>
            <w:noWrap/>
            <w:vAlign w:val="center"/>
            <w:hideMark/>
          </w:tcPr>
          <w:p w:rsidR="0003086A" w:rsidRPr="00B03EC8" w:rsidRDefault="0003086A"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0.0000000</w:t>
            </w:r>
          </w:p>
        </w:tc>
      </w:tr>
    </w:tbl>
    <w:p w:rsidR="00EF2A66" w:rsidRPr="00B03EC8" w:rsidRDefault="00EF2A66" w:rsidP="00B03EC8">
      <w:pPr>
        <w:spacing w:before="120" w:after="0" w:line="240" w:lineRule="auto"/>
        <w:ind w:firstLine="709"/>
        <w:jc w:val="both"/>
        <w:rPr>
          <w:rFonts w:ascii="Times New Roman" w:hAnsi="Times New Roman" w:cs="Times New Roman"/>
          <w:bCs/>
          <w:color w:val="000000"/>
        </w:rPr>
      </w:pPr>
    </w:p>
    <w:p w:rsidR="0003086A" w:rsidRPr="00B03EC8" w:rsidRDefault="00553896"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Modelin içinde bulunan PS (Politik Stabilite ve Terör Yokluğu Endeksi) değişkeni DEFG değişkenini etkilemediği görülmektedir. DEFG değişkeni analize egzojen olarak alınacaktır.</w:t>
      </w:r>
    </w:p>
    <w:p w:rsidR="009B5124" w:rsidRDefault="009B5124" w:rsidP="00B03EC8">
      <w:pPr>
        <w:spacing w:before="120" w:after="0" w:line="240" w:lineRule="auto"/>
        <w:ind w:firstLine="709"/>
        <w:jc w:val="both"/>
        <w:rPr>
          <w:rFonts w:ascii="Times New Roman" w:hAnsi="Times New Roman" w:cs="Times New Roman"/>
          <w:bCs/>
          <w:color w:val="000000"/>
        </w:rPr>
      </w:pPr>
    </w:p>
    <w:p w:rsidR="009B5124" w:rsidRDefault="009B5124" w:rsidP="00B03EC8">
      <w:pPr>
        <w:spacing w:before="120" w:after="0" w:line="240" w:lineRule="auto"/>
        <w:ind w:firstLine="709"/>
        <w:jc w:val="both"/>
        <w:rPr>
          <w:rFonts w:ascii="Times New Roman" w:hAnsi="Times New Roman" w:cs="Times New Roman"/>
          <w:bCs/>
          <w:color w:val="000000"/>
        </w:rPr>
      </w:pPr>
    </w:p>
    <w:p w:rsidR="009B5124" w:rsidRDefault="009B5124" w:rsidP="00B03EC8">
      <w:pPr>
        <w:spacing w:before="120" w:after="0" w:line="240" w:lineRule="auto"/>
        <w:ind w:firstLine="709"/>
        <w:jc w:val="both"/>
        <w:rPr>
          <w:rFonts w:ascii="Times New Roman" w:hAnsi="Times New Roman" w:cs="Times New Roman"/>
          <w:bCs/>
          <w:color w:val="000000"/>
        </w:rPr>
      </w:pPr>
    </w:p>
    <w:p w:rsidR="00EA02A3" w:rsidRPr="00B03EC8" w:rsidRDefault="00EA02A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lastRenderedPageBreak/>
        <w:t xml:space="preserve">Tablo 4. </w:t>
      </w:r>
      <w:r w:rsidR="008970BE" w:rsidRPr="00B03EC8">
        <w:rPr>
          <w:rFonts w:ascii="Times New Roman" w:hAnsi="Times New Roman" w:cs="Times New Roman"/>
          <w:bCs/>
          <w:color w:val="000000"/>
        </w:rPr>
        <w:t>İki</w:t>
      </w:r>
      <w:r w:rsidRPr="00B03EC8">
        <w:rPr>
          <w:rFonts w:ascii="Times New Roman" w:hAnsi="Times New Roman" w:cs="Times New Roman"/>
          <w:bCs/>
          <w:color w:val="000000"/>
        </w:rPr>
        <w:t xml:space="preserve"> Aşamalı Sistem GMM Sonuçları</w:t>
      </w:r>
    </w:p>
    <w:tbl>
      <w:tblPr>
        <w:tblW w:w="5000" w:type="pct"/>
        <w:jc w:val="center"/>
        <w:tblLayout w:type="fixed"/>
        <w:tblLook w:val="04A0" w:firstRow="1" w:lastRow="0" w:firstColumn="1" w:lastColumn="0" w:noHBand="0" w:noVBand="1"/>
      </w:tblPr>
      <w:tblGrid>
        <w:gridCol w:w="2663"/>
        <w:gridCol w:w="1435"/>
        <w:gridCol w:w="1976"/>
        <w:gridCol w:w="2234"/>
        <w:gridCol w:w="1312"/>
      </w:tblGrid>
      <w:tr w:rsidR="00B405D1" w:rsidRPr="00B03EC8" w:rsidTr="00EF2A66">
        <w:trPr>
          <w:trHeight w:val="315"/>
          <w:jc w:val="center"/>
        </w:trPr>
        <w:tc>
          <w:tcPr>
            <w:tcW w:w="1384" w:type="pct"/>
            <w:tcBorders>
              <w:top w:val="single" w:sz="4" w:space="0" w:color="auto"/>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p>
        </w:tc>
        <w:tc>
          <w:tcPr>
            <w:tcW w:w="746" w:type="pct"/>
            <w:tcBorders>
              <w:top w:val="single" w:sz="4" w:space="0" w:color="auto"/>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Katsayılar </w:t>
            </w:r>
          </w:p>
        </w:tc>
        <w:tc>
          <w:tcPr>
            <w:tcW w:w="1027" w:type="pct"/>
            <w:tcBorders>
              <w:top w:val="single" w:sz="4" w:space="0" w:color="auto"/>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Standart Hatalar</w:t>
            </w:r>
          </w:p>
        </w:tc>
        <w:tc>
          <w:tcPr>
            <w:tcW w:w="1161" w:type="pct"/>
            <w:tcBorders>
              <w:top w:val="single" w:sz="4" w:space="0" w:color="auto"/>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z İstatistiği    </w:t>
            </w:r>
          </w:p>
        </w:tc>
        <w:tc>
          <w:tcPr>
            <w:tcW w:w="682" w:type="pct"/>
            <w:tcBorders>
              <w:top w:val="single" w:sz="4" w:space="0" w:color="auto"/>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P&gt;|z|    </w:t>
            </w:r>
          </w:p>
        </w:tc>
      </w:tr>
      <w:tr w:rsidR="00B405D1" w:rsidRPr="00B03EC8" w:rsidTr="00EF2A66">
        <w:trPr>
          <w:trHeight w:val="678"/>
          <w:jc w:val="center"/>
        </w:trPr>
        <w:tc>
          <w:tcPr>
            <w:tcW w:w="1384" w:type="pct"/>
            <w:tcBorders>
              <w:top w:val="single" w:sz="4" w:space="0" w:color="auto"/>
              <w:left w:val="nil"/>
              <w:bottom w:val="nil"/>
              <w:right w:val="nil"/>
            </w:tcBorders>
            <w:shd w:val="clear" w:color="auto" w:fill="auto"/>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Savunma Harcamaları / GSYİH</w:t>
            </w:r>
          </w:p>
        </w:tc>
        <w:tc>
          <w:tcPr>
            <w:tcW w:w="746"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c>
          <w:tcPr>
            <w:tcW w:w="1027"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c>
          <w:tcPr>
            <w:tcW w:w="1161"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c>
          <w:tcPr>
            <w:tcW w:w="682"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r>
      <w:tr w:rsidR="00B405D1" w:rsidRPr="00B03EC8" w:rsidTr="00EF2A66">
        <w:trPr>
          <w:trHeight w:val="315"/>
          <w:jc w:val="center"/>
        </w:trPr>
        <w:tc>
          <w:tcPr>
            <w:tcW w:w="1384"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L1.</w:t>
            </w:r>
          </w:p>
        </w:tc>
        <w:tc>
          <w:tcPr>
            <w:tcW w:w="746"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.9093445</w:t>
            </w:r>
          </w:p>
        </w:tc>
        <w:tc>
          <w:tcPr>
            <w:tcW w:w="1027"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.0027806</w:t>
            </w:r>
          </w:p>
        </w:tc>
        <w:tc>
          <w:tcPr>
            <w:tcW w:w="1161"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327.04</w:t>
            </w:r>
          </w:p>
        </w:tc>
        <w:tc>
          <w:tcPr>
            <w:tcW w:w="682"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w:t>
            </w:r>
          </w:p>
        </w:tc>
      </w:tr>
      <w:tr w:rsidR="00B405D1" w:rsidRPr="00B03EC8" w:rsidTr="00EF2A66">
        <w:trPr>
          <w:trHeight w:val="315"/>
          <w:jc w:val="center"/>
        </w:trPr>
        <w:tc>
          <w:tcPr>
            <w:tcW w:w="1384"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PS</w:t>
            </w:r>
          </w:p>
        </w:tc>
        <w:tc>
          <w:tcPr>
            <w:tcW w:w="746"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 .0466446</w:t>
            </w:r>
          </w:p>
        </w:tc>
        <w:tc>
          <w:tcPr>
            <w:tcW w:w="1027"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  .005468</w:t>
            </w:r>
          </w:p>
        </w:tc>
        <w:tc>
          <w:tcPr>
            <w:tcW w:w="1161"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8.53</w:t>
            </w:r>
          </w:p>
        </w:tc>
        <w:tc>
          <w:tcPr>
            <w:tcW w:w="682"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w:t>
            </w:r>
          </w:p>
        </w:tc>
      </w:tr>
      <w:tr w:rsidR="00B405D1" w:rsidRPr="00B03EC8" w:rsidTr="00EF2A66">
        <w:trPr>
          <w:trHeight w:val="315"/>
          <w:jc w:val="center"/>
        </w:trPr>
        <w:tc>
          <w:tcPr>
            <w:tcW w:w="1384"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DEFG</w:t>
            </w:r>
          </w:p>
        </w:tc>
        <w:tc>
          <w:tcPr>
            <w:tcW w:w="746"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-.005262</w:t>
            </w:r>
          </w:p>
        </w:tc>
        <w:tc>
          <w:tcPr>
            <w:tcW w:w="1027"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.0010277</w:t>
            </w:r>
          </w:p>
        </w:tc>
        <w:tc>
          <w:tcPr>
            <w:tcW w:w="1161"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-5.12</w:t>
            </w:r>
          </w:p>
        </w:tc>
        <w:tc>
          <w:tcPr>
            <w:tcW w:w="682"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w:t>
            </w:r>
          </w:p>
        </w:tc>
      </w:tr>
      <w:tr w:rsidR="00B405D1" w:rsidRPr="00B03EC8" w:rsidTr="00EF2A66">
        <w:trPr>
          <w:trHeight w:val="315"/>
          <w:jc w:val="center"/>
        </w:trPr>
        <w:tc>
          <w:tcPr>
            <w:tcW w:w="1384"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Sabit</w:t>
            </w:r>
          </w:p>
        </w:tc>
        <w:tc>
          <w:tcPr>
            <w:tcW w:w="746"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.0763825</w:t>
            </w:r>
          </w:p>
        </w:tc>
        <w:tc>
          <w:tcPr>
            <w:tcW w:w="1027"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.0057303</w:t>
            </w:r>
          </w:p>
        </w:tc>
        <w:tc>
          <w:tcPr>
            <w:tcW w:w="1161"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13.33 </w:t>
            </w:r>
          </w:p>
        </w:tc>
        <w:tc>
          <w:tcPr>
            <w:tcW w:w="682"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w:t>
            </w:r>
          </w:p>
        </w:tc>
      </w:tr>
      <w:tr w:rsidR="00B405D1" w:rsidRPr="00B03EC8" w:rsidTr="00EF2A66">
        <w:trPr>
          <w:trHeight w:val="409"/>
          <w:jc w:val="center"/>
        </w:trPr>
        <w:tc>
          <w:tcPr>
            <w:tcW w:w="1384" w:type="pct"/>
            <w:tcBorders>
              <w:top w:val="single" w:sz="4" w:space="0" w:color="auto"/>
              <w:left w:val="nil"/>
              <w:bottom w:val="nil"/>
              <w:right w:val="nil"/>
            </w:tcBorders>
            <w:shd w:val="clear" w:color="auto" w:fill="auto"/>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Sargan Test İstatistiği</w:t>
            </w:r>
          </w:p>
        </w:tc>
        <w:tc>
          <w:tcPr>
            <w:tcW w:w="746"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27.8239</w:t>
            </w:r>
          </w:p>
        </w:tc>
        <w:tc>
          <w:tcPr>
            <w:tcW w:w="1027"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c>
          <w:tcPr>
            <w:tcW w:w="1161" w:type="pct"/>
            <w:tcBorders>
              <w:top w:val="single" w:sz="4" w:space="0" w:color="auto"/>
              <w:left w:val="nil"/>
              <w:bottom w:val="nil"/>
              <w:right w:val="nil"/>
            </w:tcBorders>
            <w:shd w:val="clear" w:color="auto" w:fill="auto"/>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AR(2) z İstatistiği</w:t>
            </w:r>
          </w:p>
        </w:tc>
        <w:tc>
          <w:tcPr>
            <w:tcW w:w="682" w:type="pct"/>
            <w:tcBorders>
              <w:top w:val="single" w:sz="4" w:space="0" w:color="auto"/>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.56837</w:t>
            </w:r>
          </w:p>
        </w:tc>
      </w:tr>
      <w:tr w:rsidR="00B405D1" w:rsidRPr="00B03EC8" w:rsidTr="00EF2A66">
        <w:trPr>
          <w:trHeight w:val="315"/>
          <w:jc w:val="center"/>
        </w:trPr>
        <w:tc>
          <w:tcPr>
            <w:tcW w:w="1384"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Olasılık</w:t>
            </w:r>
          </w:p>
        </w:tc>
        <w:tc>
          <w:tcPr>
            <w:tcW w:w="746"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0.8875</w:t>
            </w:r>
          </w:p>
        </w:tc>
        <w:tc>
          <w:tcPr>
            <w:tcW w:w="1027"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p>
        </w:tc>
        <w:tc>
          <w:tcPr>
            <w:tcW w:w="1161"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Olasılık</w:t>
            </w:r>
          </w:p>
        </w:tc>
        <w:tc>
          <w:tcPr>
            <w:tcW w:w="682"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 0.5698</w:t>
            </w:r>
          </w:p>
        </w:tc>
      </w:tr>
      <w:tr w:rsidR="00B405D1" w:rsidRPr="00B03EC8" w:rsidTr="00EF2A66">
        <w:trPr>
          <w:trHeight w:val="403"/>
          <w:jc w:val="center"/>
        </w:trPr>
        <w:tc>
          <w:tcPr>
            <w:tcW w:w="1384" w:type="pct"/>
            <w:tcBorders>
              <w:top w:val="nil"/>
              <w:left w:val="nil"/>
              <w:bottom w:val="nil"/>
              <w:right w:val="nil"/>
            </w:tcBorders>
            <w:shd w:val="clear" w:color="auto" w:fill="auto"/>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Wald Test İstatistiği</w:t>
            </w:r>
          </w:p>
        </w:tc>
        <w:tc>
          <w:tcPr>
            <w:tcW w:w="746"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xml:space="preserve"> 206141.32</w:t>
            </w:r>
          </w:p>
        </w:tc>
        <w:tc>
          <w:tcPr>
            <w:tcW w:w="1027"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p>
        </w:tc>
        <w:tc>
          <w:tcPr>
            <w:tcW w:w="1161"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p>
        </w:tc>
        <w:tc>
          <w:tcPr>
            <w:tcW w:w="682" w:type="pct"/>
            <w:tcBorders>
              <w:top w:val="nil"/>
              <w:left w:val="nil"/>
              <w:bottom w:val="nil"/>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p>
        </w:tc>
      </w:tr>
      <w:tr w:rsidR="00B405D1" w:rsidRPr="00B03EC8" w:rsidTr="00EF2A66">
        <w:trPr>
          <w:trHeight w:val="315"/>
          <w:jc w:val="center"/>
        </w:trPr>
        <w:tc>
          <w:tcPr>
            <w:tcW w:w="1384" w:type="pct"/>
            <w:tcBorders>
              <w:top w:val="nil"/>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Olasılık</w:t>
            </w:r>
          </w:p>
        </w:tc>
        <w:tc>
          <w:tcPr>
            <w:tcW w:w="746" w:type="pct"/>
            <w:tcBorders>
              <w:top w:val="nil"/>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0.0000</w:t>
            </w:r>
          </w:p>
        </w:tc>
        <w:tc>
          <w:tcPr>
            <w:tcW w:w="1027" w:type="pct"/>
            <w:tcBorders>
              <w:top w:val="nil"/>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c>
          <w:tcPr>
            <w:tcW w:w="1161" w:type="pct"/>
            <w:tcBorders>
              <w:top w:val="nil"/>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c>
          <w:tcPr>
            <w:tcW w:w="682" w:type="pct"/>
            <w:tcBorders>
              <w:top w:val="nil"/>
              <w:left w:val="nil"/>
              <w:bottom w:val="single" w:sz="4" w:space="0" w:color="auto"/>
              <w:right w:val="nil"/>
            </w:tcBorders>
            <w:shd w:val="clear" w:color="auto" w:fill="auto"/>
            <w:noWrap/>
            <w:vAlign w:val="bottom"/>
            <w:hideMark/>
          </w:tcPr>
          <w:p w:rsidR="00B405D1" w:rsidRPr="00B03EC8" w:rsidRDefault="00B405D1" w:rsidP="00B03EC8">
            <w:pPr>
              <w:spacing w:before="120" w:after="0" w:line="240" w:lineRule="auto"/>
              <w:ind w:firstLine="709"/>
              <w:jc w:val="both"/>
              <w:rPr>
                <w:rFonts w:ascii="Times New Roman" w:eastAsia="Times New Roman" w:hAnsi="Times New Roman" w:cs="Times New Roman"/>
                <w:color w:val="000000"/>
              </w:rPr>
            </w:pPr>
            <w:r w:rsidRPr="00B03EC8">
              <w:rPr>
                <w:rFonts w:ascii="Times New Roman" w:eastAsia="Times New Roman" w:hAnsi="Times New Roman" w:cs="Times New Roman"/>
                <w:color w:val="000000"/>
              </w:rPr>
              <w:t> </w:t>
            </w:r>
          </w:p>
        </w:tc>
      </w:tr>
    </w:tbl>
    <w:p w:rsidR="005556DB" w:rsidRPr="00B03EC8" w:rsidRDefault="00B405D1"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Not: L1 gecikmeli bağımlı değişken verisini, * işareti %1 düzeyinde anlamlılığı </w:t>
      </w:r>
      <w:r w:rsidR="00CE1376" w:rsidRPr="00B03EC8">
        <w:rPr>
          <w:rFonts w:ascii="Times New Roman" w:hAnsi="Times New Roman" w:cs="Times New Roman"/>
          <w:bCs/>
          <w:color w:val="000000"/>
        </w:rPr>
        <w:t xml:space="preserve"> </w:t>
      </w:r>
      <w:r w:rsidRPr="00B03EC8">
        <w:rPr>
          <w:rFonts w:ascii="Times New Roman" w:hAnsi="Times New Roman" w:cs="Times New Roman"/>
          <w:bCs/>
          <w:color w:val="000000"/>
        </w:rPr>
        <w:t>göstermektedir.</w:t>
      </w:r>
    </w:p>
    <w:p w:rsidR="00EA02A3" w:rsidRPr="00B03EC8" w:rsidRDefault="00EA02A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MEG değişkenini açıklayan faktörler Blundell ve Bond (1998)</w:t>
      </w:r>
      <w:r w:rsidR="000945AB" w:rsidRPr="00B03EC8">
        <w:rPr>
          <w:rFonts w:ascii="Times New Roman" w:hAnsi="Times New Roman" w:cs="Times New Roman"/>
          <w:bCs/>
          <w:color w:val="000000"/>
        </w:rPr>
        <w:t xml:space="preserve"> iki aşamalı dinamik panel analizi yöntemi </w:t>
      </w:r>
      <w:r w:rsidR="000E7307" w:rsidRPr="00B03EC8">
        <w:rPr>
          <w:rFonts w:ascii="Times New Roman" w:hAnsi="Times New Roman" w:cs="Times New Roman"/>
          <w:bCs/>
          <w:color w:val="000000"/>
        </w:rPr>
        <w:t xml:space="preserve">ile </w:t>
      </w:r>
      <w:r w:rsidR="000945AB" w:rsidRPr="00B03EC8">
        <w:rPr>
          <w:rFonts w:ascii="Times New Roman" w:hAnsi="Times New Roman" w:cs="Times New Roman"/>
          <w:bCs/>
          <w:color w:val="000000"/>
        </w:rPr>
        <w:t xml:space="preserve">araştırılmıştır. Wald Test istatistiğine göre modelin anlamlı olduğu görülmektedir. Ayrıca, Arellano ve Bond otokorelasyon testi sonuçlarına bakıldığında ikinci seviyede bir otokorelasyon problemine rastlanmadığı görülmektedir. </w:t>
      </w:r>
      <w:r w:rsidR="008970BE" w:rsidRPr="00B03EC8">
        <w:rPr>
          <w:rFonts w:ascii="Times New Roman" w:hAnsi="Times New Roman" w:cs="Times New Roman"/>
          <w:bCs/>
          <w:color w:val="000000"/>
        </w:rPr>
        <w:t xml:space="preserve">Sargan Test istatistiği ise araç değişkenlerinin dışsallığını test etmektedir. Olasılık %10 seviyesinden yüksek olmasından dolayı bir dışsallık problemi ile karşılaşılmamıştır. </w:t>
      </w:r>
      <w:r w:rsidR="000945AB" w:rsidRPr="00B03EC8">
        <w:rPr>
          <w:rFonts w:ascii="Times New Roman" w:hAnsi="Times New Roman" w:cs="Times New Roman"/>
          <w:bCs/>
          <w:color w:val="000000"/>
        </w:rPr>
        <w:t xml:space="preserve"> </w:t>
      </w:r>
    </w:p>
    <w:p w:rsidR="008970BE" w:rsidRPr="00B03EC8" w:rsidRDefault="007667BC" w:rsidP="00B03EC8">
      <w:pPr>
        <w:spacing w:before="120" w:after="0" w:line="240" w:lineRule="auto"/>
        <w:jc w:val="both"/>
        <w:rPr>
          <w:rFonts w:ascii="Times New Roman" w:hAnsi="Times New Roman" w:cs="Times New Roman"/>
          <w:b/>
          <w:bCs/>
          <w:color w:val="000000"/>
        </w:rPr>
      </w:pPr>
      <w:r w:rsidRPr="00B03EC8">
        <w:rPr>
          <w:rFonts w:ascii="Times New Roman" w:hAnsi="Times New Roman" w:cs="Times New Roman"/>
          <w:b/>
          <w:bCs/>
          <w:color w:val="000000"/>
        </w:rPr>
        <w:t>SONUÇ</w:t>
      </w:r>
    </w:p>
    <w:p w:rsidR="008970BE" w:rsidRPr="00B03EC8" w:rsidRDefault="004542D3"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Küresel seviyede ülkeler arası yaşanan politik çatışmalar ile birlikte savunma harcamaları siyasi ve ekonomik araştırmaların bir konusu haline gelmiştir. İhmal edilemeyecek seviyede önemli olmasına rağmen savunma harcamalarını açıklayabilecek modellerin azlığı alan yazın çalışması sonucunda görülmüştür. Smith (1989) ve Tambudzai (2006) çalışmaları alanda yapılan önemli savunma harcamaları belirleyicileri çalışmalarıdır. Bu çalışmada ise 34 OECD ülkesinin 2009-2015 yılları arasındaki verilerini kullanılarak Bütçe Açığı ve Politik Stabilite ve Terör Yokluğu Endeksi değişkenlerinin Savunma Yatırımlarına etkisi ölçülmeye çalışılmıştır.  Blundell ve Bond (1998) çalışmasında geliştirdiği iki aşamalı panel regresyon yöntemi analiz</w:t>
      </w:r>
      <w:r w:rsidR="000E7307" w:rsidRPr="00B03EC8">
        <w:rPr>
          <w:rFonts w:ascii="Times New Roman" w:hAnsi="Times New Roman" w:cs="Times New Roman"/>
          <w:bCs/>
          <w:color w:val="000000"/>
        </w:rPr>
        <w:t>i</w:t>
      </w:r>
      <w:r w:rsidRPr="00B03EC8">
        <w:rPr>
          <w:rFonts w:ascii="Times New Roman" w:hAnsi="Times New Roman" w:cs="Times New Roman"/>
          <w:bCs/>
          <w:color w:val="000000"/>
        </w:rPr>
        <w:t xml:space="preserve"> kullanılmıştır. Sonucunda, Politik Stabilite ve Terör Yokluğu Endeksi değişkeninin anlamlı pozitif, Bütçe Açığı değişkeninin ise anlamlı negatif olarak etki ettiği görülmüştür. </w:t>
      </w:r>
      <w:r w:rsidR="004D6965" w:rsidRPr="00B03EC8">
        <w:rPr>
          <w:rFonts w:ascii="Times New Roman" w:hAnsi="Times New Roman" w:cs="Times New Roman"/>
          <w:bCs/>
          <w:color w:val="000000"/>
        </w:rPr>
        <w:t>Bütçe Açığı, hükümet harcamalarının hükümet gelirlerinden daha fazla olması ile ortaya çıkmaktadır. Bu harcamalardan bir tanesi de savunma üzerine yapılan harcamalardır.</w:t>
      </w:r>
      <w:r w:rsidR="000E7307" w:rsidRPr="00B03EC8">
        <w:rPr>
          <w:rFonts w:ascii="Times New Roman" w:hAnsi="Times New Roman" w:cs="Times New Roman"/>
          <w:bCs/>
          <w:color w:val="000000"/>
        </w:rPr>
        <w:t xml:space="preserve"> Bütçe Açığının,</w:t>
      </w:r>
      <w:r w:rsidR="004D6965" w:rsidRPr="00B03EC8">
        <w:rPr>
          <w:rFonts w:ascii="Times New Roman" w:hAnsi="Times New Roman" w:cs="Times New Roman"/>
          <w:bCs/>
          <w:color w:val="000000"/>
        </w:rPr>
        <w:t xml:space="preserve"> Savunma Harcamalarına negatif etkide bulunması, hükümetlerin bütçe açığı olduğu dönemlerde harcamalarını savunma yerine farklı alanlara yönelttiğini </w:t>
      </w:r>
      <w:r w:rsidR="007067EE" w:rsidRPr="00B03EC8">
        <w:rPr>
          <w:rFonts w:ascii="Times New Roman" w:hAnsi="Times New Roman" w:cs="Times New Roman"/>
          <w:bCs/>
          <w:color w:val="000000"/>
        </w:rPr>
        <w:t xml:space="preserve">veya azalttığını </w:t>
      </w:r>
      <w:r w:rsidR="004D6965" w:rsidRPr="00B03EC8">
        <w:rPr>
          <w:rFonts w:ascii="Times New Roman" w:hAnsi="Times New Roman" w:cs="Times New Roman"/>
          <w:bCs/>
          <w:color w:val="000000"/>
        </w:rPr>
        <w:t>göstermektedir.</w:t>
      </w:r>
      <w:r w:rsidR="00B378CB" w:rsidRPr="00B03EC8">
        <w:rPr>
          <w:rFonts w:ascii="Times New Roman" w:hAnsi="Times New Roman" w:cs="Times New Roman"/>
          <w:bCs/>
          <w:color w:val="000000"/>
        </w:rPr>
        <w:t xml:space="preserve"> Özçeli</w:t>
      </w:r>
      <w:r w:rsidR="004D6965" w:rsidRPr="00B03EC8">
        <w:rPr>
          <w:rFonts w:ascii="Times New Roman" w:hAnsi="Times New Roman" w:cs="Times New Roman"/>
          <w:bCs/>
          <w:color w:val="000000"/>
        </w:rPr>
        <w:t>k ve Önder (2016) çalışmasında terör riskinin savunma yatırımları üzerinde pozitif etkisi olduğu görülmüştür. Bu çalışma</w:t>
      </w:r>
      <w:r w:rsidR="00B378CB" w:rsidRPr="00B03EC8">
        <w:rPr>
          <w:rFonts w:ascii="Times New Roman" w:hAnsi="Times New Roman" w:cs="Times New Roman"/>
          <w:bCs/>
          <w:color w:val="000000"/>
        </w:rPr>
        <w:t xml:space="preserve">da ise kullanılan Politik Stabilite ve Terör Yokluğu Endeksi pozitif olarak etkide bulunmaktadır. Bu sonuç </w:t>
      </w:r>
      <w:r w:rsidR="00B378CB" w:rsidRPr="00B03EC8">
        <w:rPr>
          <w:rFonts w:ascii="Times New Roman" w:hAnsi="Times New Roman" w:cs="Times New Roman"/>
          <w:bCs/>
          <w:color w:val="000000"/>
        </w:rPr>
        <w:lastRenderedPageBreak/>
        <w:t>şekil bakımından Özçelik ve Önder (2016)</w:t>
      </w:r>
      <w:r w:rsidR="007067EE" w:rsidRPr="00B03EC8">
        <w:rPr>
          <w:rFonts w:ascii="Times New Roman" w:hAnsi="Times New Roman" w:cs="Times New Roman"/>
          <w:bCs/>
          <w:color w:val="000000"/>
        </w:rPr>
        <w:t>’in çalışmasından</w:t>
      </w:r>
      <w:r w:rsidR="00B378CB" w:rsidRPr="00B03EC8">
        <w:rPr>
          <w:rFonts w:ascii="Times New Roman" w:hAnsi="Times New Roman" w:cs="Times New Roman"/>
          <w:bCs/>
          <w:color w:val="000000"/>
        </w:rPr>
        <w:t xml:space="preserve"> farklılık göstermektedir. </w:t>
      </w:r>
      <w:r w:rsidR="007067EE" w:rsidRPr="00B03EC8">
        <w:rPr>
          <w:rFonts w:ascii="Times New Roman" w:hAnsi="Times New Roman" w:cs="Times New Roman"/>
          <w:bCs/>
          <w:color w:val="000000"/>
        </w:rPr>
        <w:t>Bununla beraber</w:t>
      </w:r>
      <w:r w:rsidR="00B378CB" w:rsidRPr="00B03EC8">
        <w:rPr>
          <w:rFonts w:ascii="Times New Roman" w:hAnsi="Times New Roman" w:cs="Times New Roman"/>
          <w:bCs/>
          <w:color w:val="000000"/>
        </w:rPr>
        <w:t xml:space="preserve"> kullanılan endeks diğer çalışmada kullanılan terör endeksinden farklıklar göstermektedir. Bu çalışmada kullanılan Politik Stabilite ve Terör Yokluğu Endeksi, hem ülkenin politik durumunu ölçmektedir hem de şiddet ve terörizm ile birlikte hükümetin devrilme olasılığını yansıtmaktadır. Ayrıca, endeks sadece dış tehditlere değil aynı zamanda iç tehditleri de önemsemektedir. Analiz sonucunda hükümetlerin stabilitesinin artığında savunma harcamalarını da artırdığı sonucuna ulaşılmıştır.  </w:t>
      </w:r>
    </w:p>
    <w:p w:rsidR="00B378CB" w:rsidRPr="00B03EC8" w:rsidRDefault="00B378CB" w:rsidP="00B03EC8">
      <w:pPr>
        <w:spacing w:before="120" w:after="0" w:line="240" w:lineRule="auto"/>
        <w:ind w:firstLine="709"/>
        <w:jc w:val="both"/>
        <w:rPr>
          <w:rFonts w:ascii="Times New Roman" w:hAnsi="Times New Roman" w:cs="Times New Roman"/>
          <w:bCs/>
          <w:color w:val="000000"/>
        </w:rPr>
      </w:pPr>
      <w:r w:rsidRPr="00B03EC8">
        <w:rPr>
          <w:rFonts w:ascii="Times New Roman" w:hAnsi="Times New Roman" w:cs="Times New Roman"/>
          <w:bCs/>
          <w:color w:val="000000"/>
        </w:rPr>
        <w:t xml:space="preserve">Bu çalışma bütçe açığı verisini kullanmasından dolayı </w:t>
      </w:r>
      <w:r w:rsidR="00660603" w:rsidRPr="00B03EC8">
        <w:rPr>
          <w:rFonts w:ascii="Times New Roman" w:hAnsi="Times New Roman" w:cs="Times New Roman"/>
          <w:bCs/>
          <w:color w:val="000000"/>
        </w:rPr>
        <w:t>alan yazında bulunan diğer çalışmalardan farklılık göstermektedir. Gelecek çalışmalarda farklı enstitüsel değişkenlerin savunma harcamalarına etkisinin araştırılması literatürde yeni bulgulara ulaşılmasını sağlayacaktır.</w:t>
      </w:r>
    </w:p>
    <w:p w:rsidR="005A1886" w:rsidRPr="00B03EC8" w:rsidRDefault="00CE1376" w:rsidP="00B03EC8">
      <w:pPr>
        <w:spacing w:before="120" w:after="0" w:line="240" w:lineRule="auto"/>
        <w:jc w:val="both"/>
        <w:rPr>
          <w:rFonts w:ascii="Times New Roman" w:hAnsi="Times New Roman" w:cs="Times New Roman"/>
          <w:b/>
          <w:bCs/>
          <w:color w:val="000000"/>
        </w:rPr>
      </w:pPr>
      <w:r w:rsidRPr="00B03EC8">
        <w:rPr>
          <w:rFonts w:ascii="Times New Roman" w:hAnsi="Times New Roman" w:cs="Times New Roman"/>
          <w:b/>
          <w:bCs/>
          <w:color w:val="000000"/>
        </w:rPr>
        <w:t>KAYNAKÇA</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Ajefu, J. B. (2015), “Impact of Defence Spending on Economic Growth in Africa: The Nigerian Case”, </w:t>
      </w:r>
      <w:r w:rsidRPr="008229C7">
        <w:rPr>
          <w:rFonts w:ascii="Times New Roman" w:hAnsi="Times New Roman" w:cs="Times New Roman"/>
          <w:i/>
          <w:iCs/>
          <w:color w:val="222222"/>
          <w:sz w:val="18"/>
          <w:shd w:val="clear" w:color="auto" w:fill="FFFFFF"/>
        </w:rPr>
        <w:t>The Journal of Developing Areas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49</w:t>
      </w:r>
      <w:r w:rsidRPr="008229C7">
        <w:rPr>
          <w:rFonts w:ascii="Times New Roman" w:hAnsi="Times New Roman" w:cs="Times New Roman"/>
          <w:color w:val="222222"/>
          <w:sz w:val="18"/>
          <w:shd w:val="clear" w:color="auto" w:fill="FFFFFF"/>
        </w:rPr>
        <w:t>(4), 227-244</w:t>
      </w:r>
    </w:p>
    <w:p w:rsidR="00B244AA" w:rsidRPr="008229C7" w:rsidRDefault="00B244AA" w:rsidP="00B03EC8">
      <w:pPr>
        <w:spacing w:before="120" w:after="0" w:line="240" w:lineRule="auto"/>
        <w:ind w:left="284" w:hanging="284"/>
        <w:jc w:val="both"/>
        <w:rPr>
          <w:rFonts w:ascii="Times New Roman" w:hAnsi="Times New Roman" w:cs="Times New Roman"/>
          <w:b/>
          <w:bCs/>
          <w:sz w:val="18"/>
        </w:rPr>
      </w:pPr>
      <w:r w:rsidRPr="008229C7">
        <w:rPr>
          <w:rFonts w:ascii="Times New Roman" w:hAnsi="Times New Roman" w:cs="Times New Roman"/>
          <w:sz w:val="18"/>
          <w:shd w:val="clear" w:color="auto" w:fill="FFFFFF"/>
        </w:rPr>
        <w:t>Alptekin, V. (2012), “Benoit Hipotezi: Seçilmiş OECD Ülkeleri Ölçeğinde Panel Veriler Yardımıyla Analizi”, </w:t>
      </w:r>
      <w:r w:rsidRPr="008229C7">
        <w:rPr>
          <w:rFonts w:ascii="Times New Roman" w:hAnsi="Times New Roman" w:cs="Times New Roman"/>
          <w:i/>
          <w:iCs/>
          <w:sz w:val="18"/>
          <w:shd w:val="clear" w:color="auto" w:fill="FFFFFF"/>
        </w:rPr>
        <w:t>Sosyal Bilimler Dergisi</w:t>
      </w:r>
      <w:r w:rsidRPr="008229C7">
        <w:rPr>
          <w:rFonts w:ascii="Times New Roman" w:hAnsi="Times New Roman" w:cs="Times New Roman"/>
          <w:sz w:val="18"/>
          <w:shd w:val="clear" w:color="auto" w:fill="FFFFFF"/>
        </w:rPr>
        <w:t>, </w:t>
      </w:r>
      <w:r w:rsidRPr="008229C7">
        <w:rPr>
          <w:rFonts w:ascii="Times New Roman" w:hAnsi="Times New Roman" w:cs="Times New Roman"/>
          <w:i/>
          <w:iCs/>
          <w:sz w:val="18"/>
          <w:shd w:val="clear" w:color="auto" w:fill="FFFFFF"/>
        </w:rPr>
        <w:t>10</w:t>
      </w:r>
      <w:r w:rsidRPr="008229C7">
        <w:rPr>
          <w:rFonts w:ascii="Times New Roman" w:hAnsi="Times New Roman" w:cs="Times New Roman"/>
          <w:sz w:val="18"/>
          <w:shd w:val="clear" w:color="auto" w:fill="FFFFFF"/>
        </w:rPr>
        <w:t>(2).</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Arellano, M.,  Bond, S. (1991), “Some Tests of Specification for Panel Data: Monte Carlo Evidence and an Application to Employment Equations”, </w:t>
      </w:r>
      <w:r w:rsidRPr="008229C7">
        <w:rPr>
          <w:rFonts w:ascii="Times New Roman" w:hAnsi="Times New Roman" w:cs="Times New Roman"/>
          <w:i/>
          <w:iCs/>
          <w:color w:val="222222"/>
          <w:sz w:val="18"/>
          <w:shd w:val="clear" w:color="auto" w:fill="FFFFFF"/>
        </w:rPr>
        <w:t>The review of economic studies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58</w:t>
      </w:r>
      <w:r w:rsidRPr="008229C7">
        <w:rPr>
          <w:rFonts w:ascii="Times New Roman" w:hAnsi="Times New Roman" w:cs="Times New Roman"/>
          <w:color w:val="222222"/>
          <w:sz w:val="18"/>
          <w:shd w:val="clear" w:color="auto" w:fill="FFFFFF"/>
        </w:rPr>
        <w:t>(2), 277-297.</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Arellano, M.,  Bover, O. (1995),”Another Look at The Instrumental Variable Estimation of Error-Components Models”, </w:t>
      </w:r>
      <w:r w:rsidRPr="008229C7">
        <w:rPr>
          <w:rFonts w:ascii="Times New Roman" w:hAnsi="Times New Roman" w:cs="Times New Roman"/>
          <w:i/>
          <w:iCs/>
          <w:color w:val="222222"/>
          <w:sz w:val="18"/>
          <w:shd w:val="clear" w:color="auto" w:fill="FFFFFF"/>
        </w:rPr>
        <w:t>Journal of econometrics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68</w:t>
      </w:r>
      <w:r w:rsidRPr="008229C7">
        <w:rPr>
          <w:rFonts w:ascii="Times New Roman" w:hAnsi="Times New Roman" w:cs="Times New Roman"/>
          <w:color w:val="222222"/>
          <w:sz w:val="18"/>
          <w:shd w:val="clear" w:color="auto" w:fill="FFFFFF"/>
        </w:rPr>
        <w:t>(1), 29-51.</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Bekmez, S., Destek, M. A. (2015), “Savunma Harcamalarında Dışlama Etkisinin İncelenmesi: Panel Veri Analizi”, </w:t>
      </w:r>
      <w:r w:rsidRPr="008229C7">
        <w:rPr>
          <w:rFonts w:ascii="Times New Roman" w:hAnsi="Times New Roman" w:cs="Times New Roman"/>
          <w:i/>
          <w:iCs/>
          <w:color w:val="222222"/>
          <w:sz w:val="18"/>
          <w:shd w:val="clear" w:color="auto" w:fill="FFFFFF"/>
        </w:rPr>
        <w:t>Siyaset, Ekonomi ve Yönetim Araştırmaları Dergisi</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3</w:t>
      </w:r>
      <w:r w:rsidRPr="008229C7">
        <w:rPr>
          <w:rFonts w:ascii="Times New Roman" w:hAnsi="Times New Roman" w:cs="Times New Roman"/>
          <w:color w:val="222222"/>
          <w:sz w:val="18"/>
          <w:shd w:val="clear" w:color="auto" w:fill="FFFFFF"/>
        </w:rPr>
        <w:t>(2).</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Bel, G.,  Elias-Moreno, F. (2009), “Institutional Determinants of Military Spending”, </w:t>
      </w:r>
      <w:r w:rsidRPr="008229C7">
        <w:rPr>
          <w:rFonts w:ascii="Times New Roman" w:hAnsi="Times New Roman" w:cs="Times New Roman"/>
          <w:i/>
          <w:iCs/>
          <w:color w:val="222222"/>
          <w:sz w:val="18"/>
          <w:shd w:val="clear" w:color="auto" w:fill="FFFFFF"/>
        </w:rPr>
        <w:t>Research Institute of Applied Economics Working Papers</w:t>
      </w:r>
      <w:r w:rsidRPr="008229C7">
        <w:rPr>
          <w:rFonts w:ascii="Times New Roman" w:hAnsi="Times New Roman" w:cs="Times New Roman"/>
          <w:color w:val="222222"/>
          <w:sz w:val="18"/>
          <w:shd w:val="clear" w:color="auto" w:fill="FFFFFF"/>
        </w:rPr>
        <w:t>, 1-32.</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Blundell, R.,  Bond, S. (1998),”Initial Conditions and Moment Restrictions in Dynamic Panel Data Models”, </w:t>
      </w:r>
      <w:r w:rsidRPr="008229C7">
        <w:rPr>
          <w:rFonts w:ascii="Times New Roman" w:hAnsi="Times New Roman" w:cs="Times New Roman"/>
          <w:i/>
          <w:iCs/>
          <w:color w:val="222222"/>
          <w:sz w:val="18"/>
          <w:shd w:val="clear" w:color="auto" w:fill="FFFFFF"/>
        </w:rPr>
        <w:t>Journal of econometrics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87</w:t>
      </w:r>
      <w:r w:rsidRPr="008229C7">
        <w:rPr>
          <w:rFonts w:ascii="Times New Roman" w:hAnsi="Times New Roman" w:cs="Times New Roman"/>
          <w:color w:val="222222"/>
          <w:sz w:val="18"/>
          <w:shd w:val="clear" w:color="auto" w:fill="FFFFFF"/>
        </w:rPr>
        <w:t>(1), 115-143.</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Collier, P.,  Hoeffler, A. (2006), “Military Expenditure in Post-Conflict Societies”, </w:t>
      </w:r>
      <w:r w:rsidRPr="008229C7">
        <w:rPr>
          <w:rFonts w:ascii="Times New Roman" w:hAnsi="Times New Roman" w:cs="Times New Roman"/>
          <w:i/>
          <w:iCs/>
          <w:color w:val="222222"/>
          <w:sz w:val="18"/>
          <w:shd w:val="clear" w:color="auto" w:fill="FFFFFF"/>
        </w:rPr>
        <w:t>Economics of Governance</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7</w:t>
      </w:r>
      <w:r w:rsidRPr="008229C7">
        <w:rPr>
          <w:rFonts w:ascii="Times New Roman" w:hAnsi="Times New Roman" w:cs="Times New Roman"/>
          <w:color w:val="222222"/>
          <w:sz w:val="18"/>
          <w:shd w:val="clear" w:color="auto" w:fill="FFFFFF"/>
        </w:rPr>
        <w:t>(1), 89-107.</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Frederiksen, P. C., &amp; Looney, R. E. (1983), “Defense Expenditures and Economic Growth in Developing Countries”, </w:t>
      </w:r>
      <w:r w:rsidRPr="008229C7">
        <w:rPr>
          <w:rFonts w:ascii="Times New Roman" w:hAnsi="Times New Roman" w:cs="Times New Roman"/>
          <w:i/>
          <w:iCs/>
          <w:color w:val="222222"/>
          <w:sz w:val="18"/>
          <w:shd w:val="clear" w:color="auto" w:fill="FFFFFF"/>
        </w:rPr>
        <w:t>Armed Forces &amp; Society</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9</w:t>
      </w:r>
      <w:r w:rsidRPr="008229C7">
        <w:rPr>
          <w:rFonts w:ascii="Times New Roman" w:hAnsi="Times New Roman" w:cs="Times New Roman"/>
          <w:color w:val="222222"/>
          <w:sz w:val="18"/>
          <w:shd w:val="clear" w:color="auto" w:fill="FFFFFF"/>
        </w:rPr>
        <w:t>(4), 633-645.</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Giray, F. (2004). “Savunma Harcamalari ve Ekonomik Büyüme”, </w:t>
      </w:r>
      <w:r w:rsidRPr="008229C7">
        <w:rPr>
          <w:rFonts w:ascii="Times New Roman" w:hAnsi="Times New Roman" w:cs="Times New Roman"/>
          <w:i/>
          <w:iCs/>
          <w:color w:val="222222"/>
          <w:sz w:val="18"/>
          <w:shd w:val="clear" w:color="auto" w:fill="FFFFFF"/>
        </w:rPr>
        <w:t>Cumhuriyet Üniversitesi İktisadi ve İdari Bilimler Dergisi</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5</w:t>
      </w:r>
      <w:r w:rsidRPr="008229C7">
        <w:rPr>
          <w:rFonts w:ascii="Times New Roman" w:hAnsi="Times New Roman" w:cs="Times New Roman"/>
          <w:color w:val="222222"/>
          <w:sz w:val="18"/>
          <w:shd w:val="clear" w:color="auto" w:fill="FFFFFF"/>
        </w:rPr>
        <w:t>(1), 181-199.</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Gokbunar, R.,Yanıkkaya H. (2004), “Savunma Harcamalarını Belirleyen Faktörler ve Ekonomik Büyümeye Etkileri”, </w:t>
      </w:r>
      <w:r w:rsidRPr="008229C7">
        <w:rPr>
          <w:rFonts w:ascii="Times New Roman" w:hAnsi="Times New Roman" w:cs="Times New Roman"/>
          <w:i/>
          <w:iCs/>
          <w:color w:val="222222"/>
          <w:sz w:val="18"/>
          <w:shd w:val="clear" w:color="auto" w:fill="FFFFFF"/>
        </w:rPr>
        <w:t>Ankara Üniversitesi SBF Dergisi</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59</w:t>
      </w:r>
      <w:r w:rsidRPr="008229C7">
        <w:rPr>
          <w:rFonts w:ascii="Times New Roman" w:hAnsi="Times New Roman" w:cs="Times New Roman"/>
          <w:color w:val="222222"/>
          <w:sz w:val="18"/>
          <w:shd w:val="clear" w:color="auto" w:fill="FFFFFF"/>
        </w:rPr>
        <w:t>(01).</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Hassan, M. K., Waheeduzzaman, M., Rahman, A. (2003), “Defense expenditure and economic growth in the SAARC countries”, </w:t>
      </w:r>
      <w:r w:rsidRPr="008229C7">
        <w:rPr>
          <w:rFonts w:ascii="Times New Roman" w:hAnsi="Times New Roman" w:cs="Times New Roman"/>
          <w:i/>
          <w:iCs/>
          <w:color w:val="222222"/>
          <w:sz w:val="18"/>
          <w:shd w:val="clear" w:color="auto" w:fill="FFFFFF"/>
        </w:rPr>
        <w:t>The Journal of Social, Political, and Economic Studies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28</w:t>
      </w:r>
      <w:r w:rsidRPr="008229C7">
        <w:rPr>
          <w:rFonts w:ascii="Times New Roman" w:hAnsi="Times New Roman" w:cs="Times New Roman"/>
          <w:color w:val="222222"/>
          <w:sz w:val="18"/>
          <w:shd w:val="clear" w:color="auto" w:fill="FFFFFF"/>
        </w:rPr>
        <w:t>(3), 275.</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Hewitt, D. (1991), “What Determines Military Expenditures?”, </w:t>
      </w:r>
      <w:r w:rsidRPr="008229C7">
        <w:rPr>
          <w:rFonts w:ascii="Times New Roman" w:hAnsi="Times New Roman" w:cs="Times New Roman"/>
          <w:i/>
          <w:iCs/>
          <w:color w:val="222222"/>
          <w:sz w:val="18"/>
          <w:shd w:val="clear" w:color="auto" w:fill="FFFFFF"/>
        </w:rPr>
        <w:t>Finance and Development</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28</w:t>
      </w:r>
      <w:r w:rsidRPr="008229C7">
        <w:rPr>
          <w:rFonts w:ascii="Times New Roman" w:hAnsi="Times New Roman" w:cs="Times New Roman"/>
          <w:color w:val="222222"/>
          <w:sz w:val="18"/>
          <w:shd w:val="clear" w:color="auto" w:fill="FFFFFF"/>
        </w:rPr>
        <w:t>(4), 22.</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Jalil, A., Abbasi, H. K. N.,  Bibi, N. (2016), “Military Expenditures and Economic Growth: Allowing Structural Breaks in Time Series Analysis in The Case of India and Pakistan”, </w:t>
      </w:r>
      <w:r w:rsidRPr="008229C7">
        <w:rPr>
          <w:rFonts w:ascii="Times New Roman" w:hAnsi="Times New Roman" w:cs="Times New Roman"/>
          <w:i/>
          <w:iCs/>
          <w:color w:val="222222"/>
          <w:sz w:val="18"/>
          <w:shd w:val="clear" w:color="auto" w:fill="FFFFFF"/>
        </w:rPr>
        <w:t>Quality &amp; Quantity</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50</w:t>
      </w:r>
      <w:r w:rsidRPr="008229C7">
        <w:rPr>
          <w:rFonts w:ascii="Times New Roman" w:hAnsi="Times New Roman" w:cs="Times New Roman"/>
          <w:color w:val="222222"/>
          <w:sz w:val="18"/>
          <w:shd w:val="clear" w:color="auto" w:fill="FFFFFF"/>
        </w:rPr>
        <w:t>(4), 1487-1505.</w:t>
      </w:r>
    </w:p>
    <w:p w:rsidR="00B244AA" w:rsidRPr="008229C7" w:rsidRDefault="00B244AA" w:rsidP="00B03EC8">
      <w:pPr>
        <w:spacing w:before="120" w:after="0" w:line="240" w:lineRule="auto"/>
        <w:ind w:left="284" w:hanging="284"/>
        <w:jc w:val="both"/>
        <w:rPr>
          <w:rFonts w:ascii="Times New Roman" w:hAnsi="Times New Roman" w:cs="Times New Roman"/>
          <w:sz w:val="18"/>
        </w:rPr>
      </w:pPr>
      <w:r w:rsidRPr="008229C7">
        <w:rPr>
          <w:rFonts w:ascii="Times New Roman" w:hAnsi="Times New Roman" w:cs="Times New Roman"/>
          <w:sz w:val="18"/>
        </w:rPr>
        <w:t xml:space="preserve">Killian, A. (1998), "Determinants of Military Spending in Developing African Countries", </w:t>
      </w:r>
      <w:r w:rsidRPr="008229C7">
        <w:rPr>
          <w:rFonts w:ascii="Times New Roman" w:hAnsi="Times New Roman" w:cs="Times New Roman"/>
          <w:bCs/>
          <w:iCs/>
          <w:sz w:val="18"/>
        </w:rPr>
        <w:t>Res Publica - Journal of Undergraduate Research</w:t>
      </w:r>
      <w:r w:rsidRPr="008229C7">
        <w:rPr>
          <w:rFonts w:ascii="Times New Roman" w:hAnsi="Times New Roman" w:cs="Times New Roman"/>
          <w:sz w:val="18"/>
        </w:rPr>
        <w:t>, Vol: 3, pp.51-58.</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Looney, R. E., &amp; Frederiksen, P. C. (1990), ”The Economic Determinants of Military Expenditure in Selected East Asian Countries”, </w:t>
      </w:r>
      <w:r w:rsidRPr="008229C7">
        <w:rPr>
          <w:rFonts w:ascii="Times New Roman" w:hAnsi="Times New Roman" w:cs="Times New Roman"/>
          <w:i/>
          <w:iCs/>
          <w:color w:val="222222"/>
          <w:sz w:val="18"/>
          <w:shd w:val="clear" w:color="auto" w:fill="FFFFFF"/>
        </w:rPr>
        <w:t>Contemporary Southeast Asia</w:t>
      </w:r>
      <w:r w:rsidRPr="008229C7">
        <w:rPr>
          <w:rFonts w:ascii="Times New Roman" w:hAnsi="Times New Roman" w:cs="Times New Roman"/>
          <w:color w:val="222222"/>
          <w:sz w:val="18"/>
          <w:shd w:val="clear" w:color="auto" w:fill="FFFFFF"/>
        </w:rPr>
        <w:t>, 265-277.</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Özçelik, Ö.,  Önder, H. (2016), ” Savunma Harcamalarına Terör Riskinin Etkisi: Ampirik Bir Uygulama” </w:t>
      </w:r>
      <w:r w:rsidRPr="008229C7">
        <w:rPr>
          <w:rFonts w:ascii="Times New Roman" w:hAnsi="Times New Roman" w:cs="Times New Roman"/>
          <w:i/>
          <w:iCs/>
          <w:color w:val="222222"/>
          <w:sz w:val="18"/>
          <w:shd w:val="clear" w:color="auto" w:fill="FFFFFF"/>
        </w:rPr>
        <w:t>Dumlupinar University Journal of Social Science/Dumlupinar Üniversitesi Sosyal Bilimler Dergisi</w:t>
      </w:r>
      <w:r w:rsidRPr="008229C7">
        <w:rPr>
          <w:rFonts w:ascii="Times New Roman" w:hAnsi="Times New Roman" w:cs="Times New Roman"/>
          <w:color w:val="222222"/>
          <w:sz w:val="18"/>
          <w:shd w:val="clear" w:color="auto" w:fill="FFFFFF"/>
        </w:rPr>
        <w:t>, (47).</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Paris, A., Cambas, P. (2014), “World Military Expenditure, Turkey and Greece”, </w:t>
      </w:r>
      <w:r w:rsidRPr="008229C7">
        <w:rPr>
          <w:rFonts w:ascii="Times New Roman" w:hAnsi="Times New Roman" w:cs="Times New Roman"/>
          <w:i/>
          <w:iCs/>
          <w:color w:val="222222"/>
          <w:sz w:val="18"/>
          <w:shd w:val="clear" w:color="auto" w:fill="FFFFFF"/>
        </w:rPr>
        <w:t>Global Business and Management Research</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6</w:t>
      </w:r>
      <w:r w:rsidRPr="008229C7">
        <w:rPr>
          <w:rFonts w:ascii="Times New Roman" w:hAnsi="Times New Roman" w:cs="Times New Roman"/>
          <w:color w:val="222222"/>
          <w:sz w:val="18"/>
          <w:shd w:val="clear" w:color="auto" w:fill="FFFFFF"/>
        </w:rPr>
        <w:t>(2), 71.</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Shahid, A.,  Saba, I. (2015), ”Economic Growth and Military Expenditure Linkages: A Panel Data Analysis” </w:t>
      </w:r>
      <w:r w:rsidRPr="008229C7">
        <w:rPr>
          <w:rFonts w:ascii="Times New Roman" w:hAnsi="Times New Roman" w:cs="Times New Roman"/>
          <w:i/>
          <w:iCs/>
          <w:color w:val="222222"/>
          <w:sz w:val="18"/>
          <w:shd w:val="clear" w:color="auto" w:fill="FFFFFF"/>
        </w:rPr>
        <w:t>International Economic Policy</w:t>
      </w:r>
      <w:r w:rsidRPr="008229C7">
        <w:rPr>
          <w:rFonts w:ascii="Times New Roman" w:hAnsi="Times New Roman" w:cs="Times New Roman"/>
          <w:color w:val="222222"/>
          <w:sz w:val="18"/>
          <w:shd w:val="clear" w:color="auto" w:fill="FFFFFF"/>
        </w:rPr>
        <w:t>, (2), 48-72.</w:t>
      </w:r>
    </w:p>
    <w:p w:rsidR="00B244AA" w:rsidRPr="008229C7" w:rsidRDefault="00B244AA"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Smith, R. P. (1989),  “Models of Military Expenditure”, </w:t>
      </w:r>
      <w:r w:rsidRPr="008229C7">
        <w:rPr>
          <w:rFonts w:ascii="Times New Roman" w:hAnsi="Times New Roman" w:cs="Times New Roman"/>
          <w:i/>
          <w:iCs/>
          <w:color w:val="222222"/>
          <w:sz w:val="18"/>
          <w:shd w:val="clear" w:color="auto" w:fill="FFFFFF"/>
        </w:rPr>
        <w:t>Journal of Applied Econometrics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4</w:t>
      </w:r>
      <w:r w:rsidRPr="008229C7">
        <w:rPr>
          <w:rFonts w:ascii="Times New Roman" w:hAnsi="Times New Roman" w:cs="Times New Roman"/>
          <w:color w:val="222222"/>
          <w:sz w:val="18"/>
          <w:shd w:val="clear" w:color="auto" w:fill="FFFFFF"/>
        </w:rPr>
        <w:t>(4), 345-359.</w:t>
      </w:r>
    </w:p>
    <w:p w:rsidR="00B244AA" w:rsidRPr="008229C7" w:rsidRDefault="00B244AA" w:rsidP="00B03EC8">
      <w:pPr>
        <w:spacing w:before="120" w:after="0" w:line="240" w:lineRule="auto"/>
        <w:ind w:left="284" w:hanging="284"/>
        <w:jc w:val="both"/>
        <w:rPr>
          <w:rFonts w:ascii="Times New Roman" w:hAnsi="Times New Roman" w:cs="Times New Roman"/>
          <w:sz w:val="18"/>
        </w:rPr>
      </w:pPr>
      <w:r w:rsidRPr="008229C7">
        <w:rPr>
          <w:rFonts w:ascii="Times New Roman" w:hAnsi="Times New Roman" w:cs="Times New Roman"/>
          <w:color w:val="000000"/>
          <w:sz w:val="18"/>
          <w:shd w:val="clear" w:color="auto" w:fill="FFFFFF"/>
        </w:rPr>
        <w:lastRenderedPageBreak/>
        <w:t>SparkNotes Editors. (2002), SparkNote on The Republic. Retrieved October 31, 2017, from http://www.sparknotes.com/philosophy/republic/</w:t>
      </w:r>
    </w:p>
    <w:p w:rsidR="002C3E4A" w:rsidRPr="008229C7" w:rsidRDefault="00B244AA" w:rsidP="00B03EC8">
      <w:pPr>
        <w:spacing w:before="120" w:after="0" w:line="240" w:lineRule="auto"/>
        <w:ind w:left="284" w:hanging="284"/>
        <w:jc w:val="both"/>
        <w:rPr>
          <w:rFonts w:ascii="Times New Roman" w:hAnsi="Times New Roman" w:cs="Times New Roman"/>
          <w:sz w:val="18"/>
        </w:rPr>
      </w:pPr>
      <w:r w:rsidRPr="008229C7">
        <w:rPr>
          <w:rFonts w:ascii="Times New Roman" w:hAnsi="Times New Roman" w:cs="Times New Roman"/>
          <w:sz w:val="18"/>
        </w:rPr>
        <w:t>"SIPRI Military Expenditure Database ”, www.sipri.org. Retrieved 2017-11-17.</w:t>
      </w:r>
    </w:p>
    <w:p w:rsidR="002C3E4A" w:rsidRPr="008229C7" w:rsidRDefault="000B3D8D" w:rsidP="00B03EC8">
      <w:pPr>
        <w:spacing w:before="120" w:after="0" w:line="240" w:lineRule="auto"/>
        <w:ind w:left="284" w:hanging="284"/>
        <w:jc w:val="both"/>
        <w:rPr>
          <w:rFonts w:ascii="Times New Roman" w:hAnsi="Times New Roman" w:cs="Times New Roman"/>
          <w:color w:val="222222"/>
          <w:sz w:val="18"/>
          <w:shd w:val="clear" w:color="auto" w:fill="FFFFFF"/>
        </w:rPr>
      </w:pPr>
      <w:r w:rsidRPr="008229C7">
        <w:rPr>
          <w:rFonts w:ascii="Times New Roman" w:hAnsi="Times New Roman" w:cs="Times New Roman"/>
          <w:color w:val="222222"/>
          <w:sz w:val="18"/>
          <w:shd w:val="clear" w:color="auto" w:fill="FFFFFF"/>
        </w:rPr>
        <w:t>Tambudzai, Z. (2006), “Determinants of Zimbabwe’s Military Expenditure 1980-2003”, </w:t>
      </w:r>
      <w:r w:rsidRPr="008229C7">
        <w:rPr>
          <w:rFonts w:ascii="Times New Roman" w:hAnsi="Times New Roman" w:cs="Times New Roman"/>
          <w:i/>
          <w:iCs/>
          <w:color w:val="222222"/>
          <w:sz w:val="18"/>
          <w:shd w:val="clear" w:color="auto" w:fill="FFFFFF"/>
        </w:rPr>
        <w:t>Journal of Development Perspectives</w:t>
      </w:r>
      <w:r w:rsidRPr="008229C7">
        <w:rPr>
          <w:rFonts w:ascii="Times New Roman" w:hAnsi="Times New Roman" w:cs="Times New Roman"/>
          <w:color w:val="222222"/>
          <w:sz w:val="18"/>
          <w:shd w:val="clear" w:color="auto" w:fill="FFFFFF"/>
        </w:rPr>
        <w:t>, </w:t>
      </w:r>
      <w:r w:rsidRPr="008229C7">
        <w:rPr>
          <w:rFonts w:ascii="Times New Roman" w:hAnsi="Times New Roman" w:cs="Times New Roman"/>
          <w:i/>
          <w:iCs/>
          <w:color w:val="222222"/>
          <w:sz w:val="18"/>
          <w:shd w:val="clear" w:color="auto" w:fill="FFFFFF"/>
        </w:rPr>
        <w:t>2</w:t>
      </w:r>
      <w:r w:rsidRPr="008229C7">
        <w:rPr>
          <w:rFonts w:ascii="Times New Roman" w:hAnsi="Times New Roman" w:cs="Times New Roman"/>
          <w:color w:val="222222"/>
          <w:sz w:val="18"/>
          <w:shd w:val="clear" w:color="auto" w:fill="FFFFFF"/>
        </w:rPr>
        <w:t>(1), 103-120.</w:t>
      </w:r>
    </w:p>
    <w:p w:rsidR="00CE1376" w:rsidRPr="00B03EC8" w:rsidRDefault="00CE1376" w:rsidP="00B03EC8">
      <w:pPr>
        <w:spacing w:before="120" w:after="0" w:line="240" w:lineRule="auto"/>
        <w:ind w:firstLine="709"/>
        <w:jc w:val="both"/>
        <w:rPr>
          <w:rFonts w:ascii="Times New Roman" w:hAnsi="Times New Roman" w:cs="Times New Roman"/>
          <w:color w:val="222222"/>
          <w:shd w:val="clear" w:color="auto" w:fill="FFFFFF"/>
        </w:rPr>
      </w:pPr>
    </w:p>
    <w:p w:rsidR="002C3E4A" w:rsidRPr="008229C7" w:rsidRDefault="008229C7" w:rsidP="00B03EC8">
      <w:pPr>
        <w:spacing w:before="120" w:after="0" w:line="240" w:lineRule="auto"/>
        <w:ind w:firstLine="709"/>
        <w:jc w:val="both"/>
        <w:rPr>
          <w:rFonts w:ascii="Times New Roman" w:hAnsi="Times New Roman" w:cs="Times New Roman"/>
          <w:sz w:val="18"/>
          <w:szCs w:val="18"/>
        </w:rPr>
      </w:pPr>
      <w:r>
        <w:rPr>
          <w:rFonts w:ascii="Times New Roman" w:hAnsi="Times New Roman" w:cs="Times New Roman"/>
        </w:rPr>
        <w:t xml:space="preserve">   </w:t>
      </w:r>
      <w:r w:rsidR="00F0254A" w:rsidRPr="008229C7">
        <w:rPr>
          <w:rFonts w:ascii="Times New Roman" w:hAnsi="Times New Roman" w:cs="Times New Roman"/>
          <w:sz w:val="18"/>
          <w:szCs w:val="18"/>
        </w:rPr>
        <w:t xml:space="preserve">Ek Tablo 1: Çalışmada Verisi </w:t>
      </w:r>
      <w:r w:rsidR="002C3E4A" w:rsidRPr="008229C7">
        <w:rPr>
          <w:rFonts w:ascii="Times New Roman" w:hAnsi="Times New Roman" w:cs="Times New Roman"/>
          <w:sz w:val="18"/>
          <w:szCs w:val="18"/>
        </w:rPr>
        <w:t>Kullanılan Ülkeler</w:t>
      </w:r>
    </w:p>
    <w:tbl>
      <w:tblPr>
        <w:tblW w:w="7673" w:type="dxa"/>
        <w:jc w:val="center"/>
        <w:tblLook w:val="04A0" w:firstRow="1" w:lastRow="0" w:firstColumn="1" w:lastColumn="0" w:noHBand="0" w:noVBand="1"/>
      </w:tblPr>
      <w:tblGrid>
        <w:gridCol w:w="1828"/>
        <w:gridCol w:w="1002"/>
        <w:gridCol w:w="1387"/>
        <w:gridCol w:w="1002"/>
        <w:gridCol w:w="1452"/>
        <w:gridCol w:w="1002"/>
      </w:tblGrid>
      <w:tr w:rsidR="00BD07EF" w:rsidRPr="008229C7" w:rsidTr="008229C7">
        <w:trPr>
          <w:trHeight w:hRule="exact" w:val="615"/>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333333"/>
                <w:sz w:val="18"/>
                <w:szCs w:val="18"/>
              </w:rPr>
            </w:pPr>
            <w:r w:rsidRPr="008229C7">
              <w:rPr>
                <w:rFonts w:ascii="Times New Roman" w:eastAsia="Times New Roman" w:hAnsi="Times New Roman" w:cs="Times New Roman"/>
                <w:color w:val="333333"/>
                <w:sz w:val="18"/>
                <w:szCs w:val="18"/>
              </w:rPr>
              <w:t>A.B.D.</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İsveç</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16</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Slovenya</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31</w:t>
            </w:r>
          </w:p>
        </w:tc>
      </w:tr>
      <w:tr w:rsidR="00BD07EF" w:rsidRPr="008229C7" w:rsidTr="008229C7">
        <w:trPr>
          <w:trHeight w:hRule="exact" w:val="1120"/>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Almanya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İsviçre</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17</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Türkiye</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32</w:t>
            </w:r>
          </w:p>
        </w:tc>
      </w:tr>
      <w:tr w:rsidR="00BD07EF" w:rsidRPr="008229C7" w:rsidTr="008229C7">
        <w:trPr>
          <w:trHeight w:hRule="exact" w:val="1356"/>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Avustralya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3</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İtalya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18</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Yeni Zelanda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33</w:t>
            </w:r>
          </w:p>
        </w:tc>
      </w:tr>
      <w:tr w:rsidR="00BD07EF" w:rsidRPr="008229C7" w:rsidTr="008229C7">
        <w:trPr>
          <w:trHeight w:hRule="exact" w:val="1125"/>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Avusturya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4</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İzlanda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19</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Yunanistan</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34</w:t>
            </w:r>
          </w:p>
        </w:tc>
      </w:tr>
      <w:tr w:rsidR="00BD07EF" w:rsidRPr="008229C7" w:rsidTr="008229C7">
        <w:trPr>
          <w:trHeight w:hRule="exact" w:val="11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Belçika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5</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Japonya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20</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Çek Cumhuriyeti</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6</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Kanada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21</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Danimarka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7</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Kore</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22</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Estonya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8</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Letonya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23</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Finlandiya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9</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Lüksemburg</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24</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Fransa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10</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Macaristan</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25</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Hollanda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11</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Meksika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26</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İngiltere</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12</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Norveç</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27</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İrlanda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13</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Polonya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28</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İspanya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14</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Portekiz</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29</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r w:rsidR="00BD07EF" w:rsidRPr="008229C7" w:rsidTr="008229C7">
        <w:trPr>
          <w:trHeight w:hRule="exact" w:val="423"/>
          <w:jc w:val="center"/>
        </w:trPr>
        <w:tc>
          <w:tcPr>
            <w:tcW w:w="1828" w:type="dxa"/>
            <w:tcBorders>
              <w:top w:val="nil"/>
              <w:left w:val="single" w:sz="4" w:space="0" w:color="auto"/>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3"/>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İsrail</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76"/>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15</w:t>
            </w:r>
          </w:p>
        </w:tc>
        <w:tc>
          <w:tcPr>
            <w:tcW w:w="1387"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308"/>
              <w:jc w:val="center"/>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Slovakya</w:t>
            </w: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97"/>
              <w:rPr>
                <w:rFonts w:ascii="Times New Roman" w:eastAsia="Times New Roman" w:hAnsi="Times New Roman" w:cs="Times New Roman"/>
                <w:color w:val="000000"/>
                <w:sz w:val="18"/>
                <w:szCs w:val="18"/>
              </w:rPr>
            </w:pPr>
            <w:r w:rsidRPr="008229C7">
              <w:rPr>
                <w:rFonts w:ascii="Times New Roman" w:eastAsia="Times New Roman" w:hAnsi="Times New Roman" w:cs="Times New Roman"/>
                <w:color w:val="000000"/>
                <w:sz w:val="18"/>
                <w:szCs w:val="18"/>
              </w:rPr>
              <w:t>30</w:t>
            </w:r>
          </w:p>
        </w:tc>
        <w:tc>
          <w:tcPr>
            <w:tcW w:w="145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45"/>
              <w:jc w:val="center"/>
              <w:rPr>
                <w:rFonts w:ascii="Times New Roman" w:eastAsia="Times New Roman" w:hAnsi="Times New Roman" w:cs="Times New Roman"/>
                <w:color w:val="000000"/>
                <w:sz w:val="18"/>
                <w:szCs w:val="18"/>
              </w:rPr>
            </w:pPr>
          </w:p>
        </w:tc>
        <w:tc>
          <w:tcPr>
            <w:tcW w:w="1002" w:type="dxa"/>
            <w:tcBorders>
              <w:top w:val="nil"/>
              <w:left w:val="nil"/>
              <w:bottom w:val="single" w:sz="4" w:space="0" w:color="auto"/>
              <w:right w:val="single" w:sz="4" w:space="0" w:color="auto"/>
            </w:tcBorders>
            <w:shd w:val="clear" w:color="auto" w:fill="auto"/>
            <w:noWrap/>
            <w:vAlign w:val="center"/>
            <w:hideMark/>
          </w:tcPr>
          <w:p w:rsidR="00BD07EF" w:rsidRPr="008229C7" w:rsidRDefault="00BD07EF" w:rsidP="008229C7">
            <w:pPr>
              <w:spacing w:before="120" w:after="0" w:line="240" w:lineRule="auto"/>
              <w:ind w:firstLine="153"/>
              <w:jc w:val="center"/>
              <w:rPr>
                <w:rFonts w:ascii="Times New Roman" w:eastAsia="Times New Roman" w:hAnsi="Times New Roman" w:cs="Times New Roman"/>
                <w:color w:val="000000"/>
                <w:sz w:val="18"/>
                <w:szCs w:val="18"/>
              </w:rPr>
            </w:pPr>
          </w:p>
        </w:tc>
      </w:tr>
    </w:tbl>
    <w:p w:rsidR="00BD07EF" w:rsidRPr="00B03EC8" w:rsidRDefault="00BD07EF" w:rsidP="00B03EC8">
      <w:pPr>
        <w:spacing w:before="120" w:after="0" w:line="240" w:lineRule="auto"/>
        <w:ind w:firstLine="709"/>
        <w:jc w:val="both"/>
        <w:rPr>
          <w:rFonts w:ascii="Times New Roman" w:hAnsi="Times New Roman" w:cs="Times New Roman"/>
          <w:b/>
        </w:rPr>
      </w:pPr>
      <w:bookmarkStart w:id="0" w:name="_GoBack"/>
      <w:bookmarkEnd w:id="0"/>
    </w:p>
    <w:sectPr w:rsidR="00BD07EF" w:rsidRPr="00B03EC8" w:rsidSect="00740BA8">
      <w:footerReference w:type="default" r:id="rId8"/>
      <w:footerReference w:type="first" r:id="rId9"/>
      <w:pgSz w:w="12240" w:h="15840" w:code="1"/>
      <w:pgMar w:top="1418" w:right="1418" w:bottom="1418" w:left="1418" w:header="709" w:footer="709" w:gutter="0"/>
      <w:pgNumType w:start="46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7A" w:rsidRDefault="00EB4C7A" w:rsidP="007579B7">
      <w:pPr>
        <w:spacing w:after="0" w:line="240" w:lineRule="auto"/>
      </w:pPr>
      <w:r>
        <w:separator/>
      </w:r>
    </w:p>
  </w:endnote>
  <w:endnote w:type="continuationSeparator" w:id="0">
    <w:p w:rsidR="00EB4C7A" w:rsidRDefault="00EB4C7A" w:rsidP="0075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78359"/>
      <w:docPartObj>
        <w:docPartGallery w:val="Page Numbers (Bottom of Page)"/>
        <w:docPartUnique/>
      </w:docPartObj>
    </w:sdtPr>
    <w:sdtEndPr/>
    <w:sdtContent>
      <w:p w:rsidR="009B5124" w:rsidRDefault="009B5124">
        <w:pPr>
          <w:pStyle w:val="AltBilgi"/>
          <w:jc w:val="center"/>
        </w:pPr>
        <w:r>
          <w:fldChar w:fldCharType="begin"/>
        </w:r>
        <w:r>
          <w:instrText>PAGE   \* MERGEFORMAT</w:instrText>
        </w:r>
        <w:r>
          <w:fldChar w:fldCharType="separate"/>
        </w:r>
        <w:r w:rsidR="00740BA8">
          <w:rPr>
            <w:noProof/>
          </w:rPr>
          <w:t>477</w:t>
        </w:r>
        <w:r>
          <w:fldChar w:fldCharType="end"/>
        </w:r>
      </w:p>
    </w:sdtContent>
  </w:sdt>
  <w:p w:rsidR="00BF29C8" w:rsidRDefault="00BF29C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204835"/>
      <w:docPartObj>
        <w:docPartGallery w:val="Page Numbers (Bottom of Page)"/>
        <w:docPartUnique/>
      </w:docPartObj>
    </w:sdtPr>
    <w:sdtEndPr/>
    <w:sdtContent>
      <w:p w:rsidR="009B5124" w:rsidRDefault="009B5124">
        <w:pPr>
          <w:pStyle w:val="AltBilgi"/>
          <w:jc w:val="center"/>
        </w:pPr>
        <w:r>
          <w:fldChar w:fldCharType="begin"/>
        </w:r>
        <w:r>
          <w:instrText>PAGE   \* MERGEFORMAT</w:instrText>
        </w:r>
        <w:r>
          <w:fldChar w:fldCharType="separate"/>
        </w:r>
        <w:r>
          <w:rPr>
            <w:noProof/>
          </w:rPr>
          <w:t>134</w:t>
        </w:r>
        <w:r>
          <w:fldChar w:fldCharType="end"/>
        </w:r>
      </w:p>
    </w:sdtContent>
  </w:sdt>
  <w:p w:rsidR="009B5124" w:rsidRDefault="009B512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7A" w:rsidRDefault="00EB4C7A" w:rsidP="007579B7">
      <w:pPr>
        <w:spacing w:after="0" w:line="240" w:lineRule="auto"/>
      </w:pPr>
      <w:r>
        <w:separator/>
      </w:r>
    </w:p>
  </w:footnote>
  <w:footnote w:type="continuationSeparator" w:id="0">
    <w:p w:rsidR="00EB4C7A" w:rsidRDefault="00EB4C7A" w:rsidP="007579B7">
      <w:pPr>
        <w:spacing w:after="0" w:line="240" w:lineRule="auto"/>
      </w:pPr>
      <w:r>
        <w:continuationSeparator/>
      </w:r>
    </w:p>
  </w:footnote>
  <w:footnote w:id="1">
    <w:p w:rsidR="00716E92" w:rsidRPr="008229C7" w:rsidRDefault="00716E92" w:rsidP="008229C7">
      <w:pPr>
        <w:pStyle w:val="DipnotMetni"/>
        <w:jc w:val="both"/>
        <w:rPr>
          <w:rFonts w:ascii="Times New Roman" w:hAnsi="Times New Roman" w:cs="Times New Roman"/>
          <w:sz w:val="16"/>
        </w:rPr>
      </w:pPr>
      <w:r w:rsidRPr="008229C7">
        <w:rPr>
          <w:rStyle w:val="DipnotBavurusu"/>
          <w:rFonts w:ascii="Times New Roman" w:hAnsi="Times New Roman" w:cs="Times New Roman"/>
          <w:sz w:val="16"/>
        </w:rPr>
        <w:footnoteRef/>
      </w:r>
      <w:r w:rsidR="001B74C8">
        <w:rPr>
          <w:rFonts w:ascii="Times New Roman" w:hAnsi="Times New Roman" w:cs="Times New Roman"/>
          <w:sz w:val="16"/>
        </w:rPr>
        <w:t>Dr. Öğr. Üyesi,</w:t>
      </w:r>
      <w:r w:rsidRPr="008229C7">
        <w:rPr>
          <w:rFonts w:ascii="Times New Roman" w:hAnsi="Times New Roman" w:cs="Times New Roman"/>
          <w:sz w:val="16"/>
        </w:rPr>
        <w:t xml:space="preserve"> </w:t>
      </w:r>
      <w:r w:rsidR="00927D4C">
        <w:rPr>
          <w:rFonts w:ascii="Times New Roman" w:hAnsi="Times New Roman" w:cs="Times New Roman"/>
          <w:sz w:val="16"/>
        </w:rPr>
        <w:t>İz</w:t>
      </w:r>
      <w:r w:rsidR="00927D4C" w:rsidRPr="00927D4C">
        <w:rPr>
          <w:rFonts w:ascii="Times New Roman" w:hAnsi="Times New Roman" w:cs="Times New Roman"/>
          <w:sz w:val="16"/>
        </w:rPr>
        <w:t>mir Katip Çelebi Üniversitesi</w:t>
      </w:r>
      <w:r w:rsidR="00927D4C">
        <w:rPr>
          <w:rFonts w:ascii="Times New Roman" w:hAnsi="Times New Roman" w:cs="Times New Roman"/>
          <w:sz w:val="16"/>
        </w:rPr>
        <w:t xml:space="preserve"> İktisadi v</w:t>
      </w:r>
      <w:r w:rsidR="00927D4C" w:rsidRPr="00927D4C">
        <w:rPr>
          <w:rFonts w:ascii="Times New Roman" w:hAnsi="Times New Roman" w:cs="Times New Roman"/>
          <w:sz w:val="16"/>
        </w:rPr>
        <w:t>e İdari Bilimler Fakültesi</w:t>
      </w:r>
      <w:r w:rsidR="00927D4C">
        <w:rPr>
          <w:rFonts w:ascii="Times New Roman" w:hAnsi="Times New Roman" w:cs="Times New Roman"/>
          <w:sz w:val="16"/>
        </w:rPr>
        <w:t xml:space="preserve"> </w:t>
      </w:r>
      <w:r w:rsidR="00927D4C" w:rsidRPr="00927D4C">
        <w:rPr>
          <w:rFonts w:ascii="Times New Roman" w:hAnsi="Times New Roman" w:cs="Times New Roman"/>
          <w:sz w:val="16"/>
        </w:rPr>
        <w:t>İşletme Bölümü</w:t>
      </w:r>
      <w:r w:rsidR="00927D4C">
        <w:rPr>
          <w:rFonts w:ascii="Times New Roman" w:hAnsi="Times New Roman" w:cs="Times New Roman"/>
          <w:sz w:val="16"/>
        </w:rPr>
        <w:t xml:space="preserve">, </w:t>
      </w:r>
      <w:r w:rsidR="00927D4C" w:rsidRPr="00927D4C">
        <w:rPr>
          <w:rFonts w:ascii="Times New Roman" w:hAnsi="Times New Roman" w:cs="Times New Roman"/>
          <w:sz w:val="16"/>
        </w:rPr>
        <w:t>saban.celik@ikc.edu.tr</w:t>
      </w:r>
    </w:p>
  </w:footnote>
  <w:footnote w:id="2">
    <w:p w:rsidR="00716E92" w:rsidRPr="001B74C8" w:rsidRDefault="00716E92" w:rsidP="001B74C8">
      <w:pPr>
        <w:pStyle w:val="DipnotMetni"/>
        <w:jc w:val="both"/>
        <w:rPr>
          <w:rFonts w:ascii="Times New Roman" w:hAnsi="Times New Roman" w:cs="Times New Roman"/>
          <w:sz w:val="16"/>
        </w:rPr>
      </w:pPr>
      <w:r w:rsidRPr="008229C7">
        <w:rPr>
          <w:rStyle w:val="DipnotBavurusu"/>
          <w:rFonts w:ascii="Times New Roman" w:hAnsi="Times New Roman" w:cs="Times New Roman"/>
          <w:sz w:val="16"/>
        </w:rPr>
        <w:footnoteRef/>
      </w:r>
      <w:r w:rsidR="001B74C8">
        <w:rPr>
          <w:rFonts w:ascii="Times New Roman" w:hAnsi="Times New Roman" w:cs="Times New Roman"/>
          <w:sz w:val="16"/>
        </w:rPr>
        <w:t xml:space="preserve">Doktora Öğrencisi, </w:t>
      </w:r>
      <w:r w:rsidR="001B74C8" w:rsidRPr="001B74C8">
        <w:rPr>
          <w:rFonts w:ascii="Times New Roman" w:hAnsi="Times New Roman" w:cs="Times New Roman"/>
          <w:sz w:val="16"/>
        </w:rPr>
        <w:t>İzmir Katip Çelebi Üniversitesi</w:t>
      </w:r>
      <w:r w:rsidR="001B74C8">
        <w:rPr>
          <w:rFonts w:ascii="Times New Roman" w:hAnsi="Times New Roman" w:cs="Times New Roman"/>
          <w:sz w:val="16"/>
        </w:rPr>
        <w:t>, erdem.oncu@yandex.com</w:t>
      </w:r>
    </w:p>
  </w:footnote>
  <w:footnote w:id="3">
    <w:p w:rsidR="00BF29C8" w:rsidRPr="008229C7" w:rsidRDefault="00BF29C8" w:rsidP="008229C7">
      <w:pPr>
        <w:pStyle w:val="DipnotMetni"/>
        <w:jc w:val="both"/>
        <w:rPr>
          <w:rFonts w:ascii="Times New Roman" w:hAnsi="Times New Roman" w:cs="Times New Roman"/>
          <w:sz w:val="16"/>
        </w:rPr>
      </w:pPr>
      <w:r w:rsidRPr="008229C7">
        <w:rPr>
          <w:rStyle w:val="DipnotBavurusu"/>
          <w:rFonts w:ascii="Times New Roman" w:hAnsi="Times New Roman" w:cs="Times New Roman"/>
          <w:sz w:val="16"/>
        </w:rPr>
        <w:footnoteRef/>
      </w:r>
      <w:r w:rsidRPr="008229C7">
        <w:rPr>
          <w:rFonts w:ascii="Times New Roman" w:hAnsi="Times New Roman" w:cs="Times New Roman"/>
          <w:sz w:val="16"/>
        </w:rPr>
        <w:t xml:space="preserve"> Nato Galler Deklerasyonu (https://www.nato.int/cps/en/natohq/official_texts_112964.htm)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C44"/>
    <w:multiLevelType w:val="hybridMultilevel"/>
    <w:tmpl w:val="5FD02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76EDE"/>
    <w:multiLevelType w:val="hybridMultilevel"/>
    <w:tmpl w:val="F2AAE352"/>
    <w:lvl w:ilvl="0" w:tplc="11EA7E62">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FF3BB0"/>
    <w:multiLevelType w:val="hybridMultilevel"/>
    <w:tmpl w:val="FC62EEAE"/>
    <w:lvl w:ilvl="0" w:tplc="2ED4D626">
      <w:start w:val="1"/>
      <w:numFmt w:val="bullet"/>
      <w:lvlText w:val=""/>
      <w:lvlJc w:val="left"/>
      <w:pPr>
        <w:tabs>
          <w:tab w:val="num" w:pos="720"/>
        </w:tabs>
        <w:ind w:left="720" w:hanging="360"/>
      </w:pPr>
      <w:rPr>
        <w:rFonts w:ascii="Wingdings" w:hAnsi="Wingdings" w:hint="default"/>
      </w:rPr>
    </w:lvl>
    <w:lvl w:ilvl="1" w:tplc="ECB44F68" w:tentative="1">
      <w:start w:val="1"/>
      <w:numFmt w:val="bullet"/>
      <w:lvlText w:val=""/>
      <w:lvlJc w:val="left"/>
      <w:pPr>
        <w:tabs>
          <w:tab w:val="num" w:pos="1440"/>
        </w:tabs>
        <w:ind w:left="1440" w:hanging="360"/>
      </w:pPr>
      <w:rPr>
        <w:rFonts w:ascii="Wingdings" w:hAnsi="Wingdings" w:hint="default"/>
      </w:rPr>
    </w:lvl>
    <w:lvl w:ilvl="2" w:tplc="A6DE125C" w:tentative="1">
      <w:start w:val="1"/>
      <w:numFmt w:val="bullet"/>
      <w:lvlText w:val=""/>
      <w:lvlJc w:val="left"/>
      <w:pPr>
        <w:tabs>
          <w:tab w:val="num" w:pos="2160"/>
        </w:tabs>
        <w:ind w:left="2160" w:hanging="360"/>
      </w:pPr>
      <w:rPr>
        <w:rFonts w:ascii="Wingdings" w:hAnsi="Wingdings" w:hint="default"/>
      </w:rPr>
    </w:lvl>
    <w:lvl w:ilvl="3" w:tplc="C7E2AC76" w:tentative="1">
      <w:start w:val="1"/>
      <w:numFmt w:val="bullet"/>
      <w:lvlText w:val=""/>
      <w:lvlJc w:val="left"/>
      <w:pPr>
        <w:tabs>
          <w:tab w:val="num" w:pos="2880"/>
        </w:tabs>
        <w:ind w:left="2880" w:hanging="360"/>
      </w:pPr>
      <w:rPr>
        <w:rFonts w:ascii="Wingdings" w:hAnsi="Wingdings" w:hint="default"/>
      </w:rPr>
    </w:lvl>
    <w:lvl w:ilvl="4" w:tplc="BF581590" w:tentative="1">
      <w:start w:val="1"/>
      <w:numFmt w:val="bullet"/>
      <w:lvlText w:val=""/>
      <w:lvlJc w:val="left"/>
      <w:pPr>
        <w:tabs>
          <w:tab w:val="num" w:pos="3600"/>
        </w:tabs>
        <w:ind w:left="3600" w:hanging="360"/>
      </w:pPr>
      <w:rPr>
        <w:rFonts w:ascii="Wingdings" w:hAnsi="Wingdings" w:hint="default"/>
      </w:rPr>
    </w:lvl>
    <w:lvl w:ilvl="5" w:tplc="AE0CACF8" w:tentative="1">
      <w:start w:val="1"/>
      <w:numFmt w:val="bullet"/>
      <w:lvlText w:val=""/>
      <w:lvlJc w:val="left"/>
      <w:pPr>
        <w:tabs>
          <w:tab w:val="num" w:pos="4320"/>
        </w:tabs>
        <w:ind w:left="4320" w:hanging="360"/>
      </w:pPr>
      <w:rPr>
        <w:rFonts w:ascii="Wingdings" w:hAnsi="Wingdings" w:hint="default"/>
      </w:rPr>
    </w:lvl>
    <w:lvl w:ilvl="6" w:tplc="1408F6EC" w:tentative="1">
      <w:start w:val="1"/>
      <w:numFmt w:val="bullet"/>
      <w:lvlText w:val=""/>
      <w:lvlJc w:val="left"/>
      <w:pPr>
        <w:tabs>
          <w:tab w:val="num" w:pos="5040"/>
        </w:tabs>
        <w:ind w:left="5040" w:hanging="360"/>
      </w:pPr>
      <w:rPr>
        <w:rFonts w:ascii="Wingdings" w:hAnsi="Wingdings" w:hint="default"/>
      </w:rPr>
    </w:lvl>
    <w:lvl w:ilvl="7" w:tplc="78F8493A" w:tentative="1">
      <w:start w:val="1"/>
      <w:numFmt w:val="bullet"/>
      <w:lvlText w:val=""/>
      <w:lvlJc w:val="left"/>
      <w:pPr>
        <w:tabs>
          <w:tab w:val="num" w:pos="5760"/>
        </w:tabs>
        <w:ind w:left="5760" w:hanging="360"/>
      </w:pPr>
      <w:rPr>
        <w:rFonts w:ascii="Wingdings" w:hAnsi="Wingdings" w:hint="default"/>
      </w:rPr>
    </w:lvl>
    <w:lvl w:ilvl="8" w:tplc="9278AD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5C1FD1"/>
    <w:multiLevelType w:val="hybridMultilevel"/>
    <w:tmpl w:val="EE12F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14"/>
    <w:rsid w:val="00000C0E"/>
    <w:rsid w:val="000040BC"/>
    <w:rsid w:val="00004430"/>
    <w:rsid w:val="00011774"/>
    <w:rsid w:val="000127FF"/>
    <w:rsid w:val="00012C9F"/>
    <w:rsid w:val="00013A02"/>
    <w:rsid w:val="00022C9A"/>
    <w:rsid w:val="0003086A"/>
    <w:rsid w:val="00030BC5"/>
    <w:rsid w:val="0003529B"/>
    <w:rsid w:val="00037B3A"/>
    <w:rsid w:val="00044D93"/>
    <w:rsid w:val="00054F78"/>
    <w:rsid w:val="00055BA7"/>
    <w:rsid w:val="000572D4"/>
    <w:rsid w:val="00061EFA"/>
    <w:rsid w:val="00073A15"/>
    <w:rsid w:val="000839B7"/>
    <w:rsid w:val="000945AB"/>
    <w:rsid w:val="00095440"/>
    <w:rsid w:val="0009670E"/>
    <w:rsid w:val="000A3B53"/>
    <w:rsid w:val="000A3F5E"/>
    <w:rsid w:val="000A59C8"/>
    <w:rsid w:val="000A78F7"/>
    <w:rsid w:val="000B08E2"/>
    <w:rsid w:val="000B3D8D"/>
    <w:rsid w:val="000B411E"/>
    <w:rsid w:val="000C0053"/>
    <w:rsid w:val="000D0AF1"/>
    <w:rsid w:val="000D74D8"/>
    <w:rsid w:val="000E7307"/>
    <w:rsid w:val="000F194F"/>
    <w:rsid w:val="000F2F86"/>
    <w:rsid w:val="000F4848"/>
    <w:rsid w:val="00104CF2"/>
    <w:rsid w:val="00112A15"/>
    <w:rsid w:val="001175D3"/>
    <w:rsid w:val="0012089A"/>
    <w:rsid w:val="00123BD6"/>
    <w:rsid w:val="00123CB9"/>
    <w:rsid w:val="0012752B"/>
    <w:rsid w:val="001275D4"/>
    <w:rsid w:val="001311B2"/>
    <w:rsid w:val="001338F2"/>
    <w:rsid w:val="0014061B"/>
    <w:rsid w:val="001512B2"/>
    <w:rsid w:val="001550CE"/>
    <w:rsid w:val="0015630D"/>
    <w:rsid w:val="00157171"/>
    <w:rsid w:val="00161821"/>
    <w:rsid w:val="001725C6"/>
    <w:rsid w:val="001772AC"/>
    <w:rsid w:val="001873D3"/>
    <w:rsid w:val="00190CA9"/>
    <w:rsid w:val="001921F5"/>
    <w:rsid w:val="001945DA"/>
    <w:rsid w:val="001957A9"/>
    <w:rsid w:val="00195BDE"/>
    <w:rsid w:val="001A081D"/>
    <w:rsid w:val="001A2D52"/>
    <w:rsid w:val="001A42AB"/>
    <w:rsid w:val="001B0E2E"/>
    <w:rsid w:val="001B10AF"/>
    <w:rsid w:val="001B3491"/>
    <w:rsid w:val="001B3547"/>
    <w:rsid w:val="001B4117"/>
    <w:rsid w:val="001B58B5"/>
    <w:rsid w:val="001B74C8"/>
    <w:rsid w:val="001C1212"/>
    <w:rsid w:val="001C143F"/>
    <w:rsid w:val="001C6832"/>
    <w:rsid w:val="001D4476"/>
    <w:rsid w:val="001D4DB6"/>
    <w:rsid w:val="001D5294"/>
    <w:rsid w:val="001E151C"/>
    <w:rsid w:val="001F3102"/>
    <w:rsid w:val="001F3895"/>
    <w:rsid w:val="001F4A06"/>
    <w:rsid w:val="00204D47"/>
    <w:rsid w:val="00206C5F"/>
    <w:rsid w:val="00213C00"/>
    <w:rsid w:val="00214FAC"/>
    <w:rsid w:val="002161F7"/>
    <w:rsid w:val="002226FC"/>
    <w:rsid w:val="00222C61"/>
    <w:rsid w:val="0022482C"/>
    <w:rsid w:val="002253AE"/>
    <w:rsid w:val="002301C7"/>
    <w:rsid w:val="00233F74"/>
    <w:rsid w:val="002376DA"/>
    <w:rsid w:val="00243BBC"/>
    <w:rsid w:val="0024764A"/>
    <w:rsid w:val="0026671E"/>
    <w:rsid w:val="00267BCF"/>
    <w:rsid w:val="00274018"/>
    <w:rsid w:val="002779CC"/>
    <w:rsid w:val="002818CA"/>
    <w:rsid w:val="002853BF"/>
    <w:rsid w:val="002871D9"/>
    <w:rsid w:val="0029148E"/>
    <w:rsid w:val="00294DEE"/>
    <w:rsid w:val="002969A8"/>
    <w:rsid w:val="002978BC"/>
    <w:rsid w:val="002A30B8"/>
    <w:rsid w:val="002A57B0"/>
    <w:rsid w:val="002A6998"/>
    <w:rsid w:val="002A70A5"/>
    <w:rsid w:val="002B1D9E"/>
    <w:rsid w:val="002B2483"/>
    <w:rsid w:val="002B5C9C"/>
    <w:rsid w:val="002B6880"/>
    <w:rsid w:val="002B71E4"/>
    <w:rsid w:val="002C3E4A"/>
    <w:rsid w:val="002D4FF8"/>
    <w:rsid w:val="002D7B99"/>
    <w:rsid w:val="002E1508"/>
    <w:rsid w:val="002E2502"/>
    <w:rsid w:val="002E56DC"/>
    <w:rsid w:val="002E5D4C"/>
    <w:rsid w:val="002F1820"/>
    <w:rsid w:val="002F4086"/>
    <w:rsid w:val="002F5D4C"/>
    <w:rsid w:val="00300174"/>
    <w:rsid w:val="00303880"/>
    <w:rsid w:val="00306FDB"/>
    <w:rsid w:val="00307A35"/>
    <w:rsid w:val="00307C7D"/>
    <w:rsid w:val="00314F4E"/>
    <w:rsid w:val="0032079D"/>
    <w:rsid w:val="003208E4"/>
    <w:rsid w:val="003234C3"/>
    <w:rsid w:val="0033236E"/>
    <w:rsid w:val="00335E71"/>
    <w:rsid w:val="003450AF"/>
    <w:rsid w:val="00345C49"/>
    <w:rsid w:val="0035688C"/>
    <w:rsid w:val="00357837"/>
    <w:rsid w:val="00357D28"/>
    <w:rsid w:val="00360C54"/>
    <w:rsid w:val="00364484"/>
    <w:rsid w:val="00364A27"/>
    <w:rsid w:val="00365A26"/>
    <w:rsid w:val="00365B25"/>
    <w:rsid w:val="003715C2"/>
    <w:rsid w:val="00372F50"/>
    <w:rsid w:val="00393329"/>
    <w:rsid w:val="003945E3"/>
    <w:rsid w:val="003949C9"/>
    <w:rsid w:val="0039676E"/>
    <w:rsid w:val="003A5808"/>
    <w:rsid w:val="003B22D0"/>
    <w:rsid w:val="003B265C"/>
    <w:rsid w:val="003C1549"/>
    <w:rsid w:val="003C3433"/>
    <w:rsid w:val="003C380B"/>
    <w:rsid w:val="003C6140"/>
    <w:rsid w:val="003D3959"/>
    <w:rsid w:val="003E1E06"/>
    <w:rsid w:val="003F48E1"/>
    <w:rsid w:val="003F53AC"/>
    <w:rsid w:val="004027F7"/>
    <w:rsid w:val="00402F35"/>
    <w:rsid w:val="004037F3"/>
    <w:rsid w:val="00406394"/>
    <w:rsid w:val="00412CC4"/>
    <w:rsid w:val="00412CCA"/>
    <w:rsid w:val="00415E4B"/>
    <w:rsid w:val="004243C3"/>
    <w:rsid w:val="004366BF"/>
    <w:rsid w:val="00437C37"/>
    <w:rsid w:val="0044079D"/>
    <w:rsid w:val="00442DC8"/>
    <w:rsid w:val="00443F73"/>
    <w:rsid w:val="004542D3"/>
    <w:rsid w:val="00460B72"/>
    <w:rsid w:val="004638C0"/>
    <w:rsid w:val="0046485B"/>
    <w:rsid w:val="00465CD0"/>
    <w:rsid w:val="00473642"/>
    <w:rsid w:val="00473E80"/>
    <w:rsid w:val="00476FB4"/>
    <w:rsid w:val="00476FE5"/>
    <w:rsid w:val="004771E9"/>
    <w:rsid w:val="0047781E"/>
    <w:rsid w:val="00486936"/>
    <w:rsid w:val="00487CF0"/>
    <w:rsid w:val="00490D19"/>
    <w:rsid w:val="00493BF6"/>
    <w:rsid w:val="0049590A"/>
    <w:rsid w:val="00495D29"/>
    <w:rsid w:val="004A1B89"/>
    <w:rsid w:val="004A3677"/>
    <w:rsid w:val="004A5DF7"/>
    <w:rsid w:val="004A7F29"/>
    <w:rsid w:val="004B0F5A"/>
    <w:rsid w:val="004B1C88"/>
    <w:rsid w:val="004B3308"/>
    <w:rsid w:val="004B6801"/>
    <w:rsid w:val="004C01FA"/>
    <w:rsid w:val="004C100F"/>
    <w:rsid w:val="004C176D"/>
    <w:rsid w:val="004C5356"/>
    <w:rsid w:val="004D233F"/>
    <w:rsid w:val="004D6965"/>
    <w:rsid w:val="004E0219"/>
    <w:rsid w:val="004E1EC0"/>
    <w:rsid w:val="004E25C2"/>
    <w:rsid w:val="004F2160"/>
    <w:rsid w:val="00500CB0"/>
    <w:rsid w:val="00502F92"/>
    <w:rsid w:val="005035C8"/>
    <w:rsid w:val="0050644A"/>
    <w:rsid w:val="00510E7C"/>
    <w:rsid w:val="00511D15"/>
    <w:rsid w:val="00520D73"/>
    <w:rsid w:val="00521170"/>
    <w:rsid w:val="00523A7F"/>
    <w:rsid w:val="00527D4E"/>
    <w:rsid w:val="00530332"/>
    <w:rsid w:val="005310B8"/>
    <w:rsid w:val="00534A8D"/>
    <w:rsid w:val="0054045D"/>
    <w:rsid w:val="00541D46"/>
    <w:rsid w:val="00542A4B"/>
    <w:rsid w:val="00543A4B"/>
    <w:rsid w:val="00543ED1"/>
    <w:rsid w:val="005467F5"/>
    <w:rsid w:val="005528B3"/>
    <w:rsid w:val="00552CBB"/>
    <w:rsid w:val="005530CF"/>
    <w:rsid w:val="00553896"/>
    <w:rsid w:val="005556DB"/>
    <w:rsid w:val="00555DB4"/>
    <w:rsid w:val="00563FE3"/>
    <w:rsid w:val="00570057"/>
    <w:rsid w:val="00570495"/>
    <w:rsid w:val="00573E8C"/>
    <w:rsid w:val="00575648"/>
    <w:rsid w:val="00577D68"/>
    <w:rsid w:val="005804E0"/>
    <w:rsid w:val="0058382B"/>
    <w:rsid w:val="00586E53"/>
    <w:rsid w:val="00591ADD"/>
    <w:rsid w:val="0059343D"/>
    <w:rsid w:val="00594C39"/>
    <w:rsid w:val="005A1886"/>
    <w:rsid w:val="005A3A0F"/>
    <w:rsid w:val="005B1055"/>
    <w:rsid w:val="005B1601"/>
    <w:rsid w:val="005B1C73"/>
    <w:rsid w:val="005B1F55"/>
    <w:rsid w:val="005B57B5"/>
    <w:rsid w:val="005B7002"/>
    <w:rsid w:val="005C5609"/>
    <w:rsid w:val="005E4821"/>
    <w:rsid w:val="005E5F96"/>
    <w:rsid w:val="005E6690"/>
    <w:rsid w:val="005F0455"/>
    <w:rsid w:val="005F0BBB"/>
    <w:rsid w:val="005F4F76"/>
    <w:rsid w:val="005F5292"/>
    <w:rsid w:val="00602A43"/>
    <w:rsid w:val="0061050E"/>
    <w:rsid w:val="006116EE"/>
    <w:rsid w:val="00612858"/>
    <w:rsid w:val="00616C96"/>
    <w:rsid w:val="00624113"/>
    <w:rsid w:val="00624937"/>
    <w:rsid w:val="006278D6"/>
    <w:rsid w:val="00631C0E"/>
    <w:rsid w:val="00633DE1"/>
    <w:rsid w:val="0063429F"/>
    <w:rsid w:val="00635242"/>
    <w:rsid w:val="006419BA"/>
    <w:rsid w:val="00642D7A"/>
    <w:rsid w:val="00643614"/>
    <w:rsid w:val="00647635"/>
    <w:rsid w:val="00651EC3"/>
    <w:rsid w:val="0065607D"/>
    <w:rsid w:val="00657F93"/>
    <w:rsid w:val="00660603"/>
    <w:rsid w:val="00660F9B"/>
    <w:rsid w:val="0066149F"/>
    <w:rsid w:val="0066219F"/>
    <w:rsid w:val="00664D20"/>
    <w:rsid w:val="0066701F"/>
    <w:rsid w:val="00667D62"/>
    <w:rsid w:val="006730D6"/>
    <w:rsid w:val="006735B0"/>
    <w:rsid w:val="00673D24"/>
    <w:rsid w:val="0069087C"/>
    <w:rsid w:val="006923A3"/>
    <w:rsid w:val="006933DD"/>
    <w:rsid w:val="00696020"/>
    <w:rsid w:val="006A0F2F"/>
    <w:rsid w:val="006A615E"/>
    <w:rsid w:val="006A78A8"/>
    <w:rsid w:val="006B4694"/>
    <w:rsid w:val="006F4792"/>
    <w:rsid w:val="006F515D"/>
    <w:rsid w:val="00702E00"/>
    <w:rsid w:val="00704D40"/>
    <w:rsid w:val="00705A92"/>
    <w:rsid w:val="007067EE"/>
    <w:rsid w:val="007160FC"/>
    <w:rsid w:val="00716E92"/>
    <w:rsid w:val="007378CE"/>
    <w:rsid w:val="00740864"/>
    <w:rsid w:val="00740BA8"/>
    <w:rsid w:val="00741DD5"/>
    <w:rsid w:val="00742360"/>
    <w:rsid w:val="00752E81"/>
    <w:rsid w:val="007579B7"/>
    <w:rsid w:val="00765468"/>
    <w:rsid w:val="007667BC"/>
    <w:rsid w:val="00767545"/>
    <w:rsid w:val="0078040E"/>
    <w:rsid w:val="00780583"/>
    <w:rsid w:val="00781DE5"/>
    <w:rsid w:val="00791BDC"/>
    <w:rsid w:val="007942E7"/>
    <w:rsid w:val="00794F58"/>
    <w:rsid w:val="00795536"/>
    <w:rsid w:val="00796D96"/>
    <w:rsid w:val="007971AA"/>
    <w:rsid w:val="007A0097"/>
    <w:rsid w:val="007A48DA"/>
    <w:rsid w:val="007A569A"/>
    <w:rsid w:val="007A5DF0"/>
    <w:rsid w:val="007A5E53"/>
    <w:rsid w:val="007A5E9A"/>
    <w:rsid w:val="007A6823"/>
    <w:rsid w:val="007B1F18"/>
    <w:rsid w:val="007B3818"/>
    <w:rsid w:val="007B40BF"/>
    <w:rsid w:val="007C0C0C"/>
    <w:rsid w:val="007C3C29"/>
    <w:rsid w:val="007C5C32"/>
    <w:rsid w:val="007C71A2"/>
    <w:rsid w:val="007C7478"/>
    <w:rsid w:val="007C78A2"/>
    <w:rsid w:val="007D19E1"/>
    <w:rsid w:val="007D65DE"/>
    <w:rsid w:val="007E1916"/>
    <w:rsid w:val="007E1EEB"/>
    <w:rsid w:val="007E45B4"/>
    <w:rsid w:val="007F0950"/>
    <w:rsid w:val="007F474B"/>
    <w:rsid w:val="007F6D4E"/>
    <w:rsid w:val="00801F81"/>
    <w:rsid w:val="00805919"/>
    <w:rsid w:val="008061A4"/>
    <w:rsid w:val="00814F02"/>
    <w:rsid w:val="00817981"/>
    <w:rsid w:val="00820C02"/>
    <w:rsid w:val="00821571"/>
    <w:rsid w:val="008229C7"/>
    <w:rsid w:val="00824206"/>
    <w:rsid w:val="00824617"/>
    <w:rsid w:val="00824F5B"/>
    <w:rsid w:val="00830085"/>
    <w:rsid w:val="00830230"/>
    <w:rsid w:val="0083064B"/>
    <w:rsid w:val="00832BB8"/>
    <w:rsid w:val="008443D1"/>
    <w:rsid w:val="00847435"/>
    <w:rsid w:val="008556CA"/>
    <w:rsid w:val="00855917"/>
    <w:rsid w:val="008560FD"/>
    <w:rsid w:val="00857197"/>
    <w:rsid w:val="0086004A"/>
    <w:rsid w:val="0086071F"/>
    <w:rsid w:val="0086461C"/>
    <w:rsid w:val="00865237"/>
    <w:rsid w:val="008733A2"/>
    <w:rsid w:val="00874F69"/>
    <w:rsid w:val="00880369"/>
    <w:rsid w:val="00880E0A"/>
    <w:rsid w:val="00882790"/>
    <w:rsid w:val="00884CC3"/>
    <w:rsid w:val="0088509C"/>
    <w:rsid w:val="00895023"/>
    <w:rsid w:val="008970BE"/>
    <w:rsid w:val="008971EB"/>
    <w:rsid w:val="008A21E9"/>
    <w:rsid w:val="008B5DDB"/>
    <w:rsid w:val="008B6764"/>
    <w:rsid w:val="008C1540"/>
    <w:rsid w:val="008C1C38"/>
    <w:rsid w:val="008C277D"/>
    <w:rsid w:val="008C2987"/>
    <w:rsid w:val="008C33D7"/>
    <w:rsid w:val="008C67C3"/>
    <w:rsid w:val="008D0C7C"/>
    <w:rsid w:val="008D4962"/>
    <w:rsid w:val="008D6072"/>
    <w:rsid w:val="008E28E7"/>
    <w:rsid w:val="008E559B"/>
    <w:rsid w:val="008F454F"/>
    <w:rsid w:val="008F553A"/>
    <w:rsid w:val="009042EE"/>
    <w:rsid w:val="00905737"/>
    <w:rsid w:val="009108B3"/>
    <w:rsid w:val="0091697C"/>
    <w:rsid w:val="00922585"/>
    <w:rsid w:val="00923D4D"/>
    <w:rsid w:val="00927D4C"/>
    <w:rsid w:val="00931969"/>
    <w:rsid w:val="0094111E"/>
    <w:rsid w:val="00941F9D"/>
    <w:rsid w:val="0094328E"/>
    <w:rsid w:val="00945245"/>
    <w:rsid w:val="00947641"/>
    <w:rsid w:val="00947F0A"/>
    <w:rsid w:val="00950717"/>
    <w:rsid w:val="009548AC"/>
    <w:rsid w:val="00954C58"/>
    <w:rsid w:val="0095591D"/>
    <w:rsid w:val="00956068"/>
    <w:rsid w:val="00956B1D"/>
    <w:rsid w:val="00957313"/>
    <w:rsid w:val="00957706"/>
    <w:rsid w:val="0096623C"/>
    <w:rsid w:val="00966B6C"/>
    <w:rsid w:val="00970B79"/>
    <w:rsid w:val="00973A44"/>
    <w:rsid w:val="00977163"/>
    <w:rsid w:val="0098004F"/>
    <w:rsid w:val="00982256"/>
    <w:rsid w:val="00986E93"/>
    <w:rsid w:val="009A1499"/>
    <w:rsid w:val="009A17EF"/>
    <w:rsid w:val="009A4CB2"/>
    <w:rsid w:val="009B4739"/>
    <w:rsid w:val="009B5124"/>
    <w:rsid w:val="009B60BA"/>
    <w:rsid w:val="009B61BE"/>
    <w:rsid w:val="009C0BF5"/>
    <w:rsid w:val="009C17E8"/>
    <w:rsid w:val="009C27F0"/>
    <w:rsid w:val="009D1A83"/>
    <w:rsid w:val="009D520D"/>
    <w:rsid w:val="009E0F1B"/>
    <w:rsid w:val="009E5AE7"/>
    <w:rsid w:val="009E71CC"/>
    <w:rsid w:val="009F2A15"/>
    <w:rsid w:val="009F2C9A"/>
    <w:rsid w:val="009F4910"/>
    <w:rsid w:val="00A110F4"/>
    <w:rsid w:val="00A11C97"/>
    <w:rsid w:val="00A1351C"/>
    <w:rsid w:val="00A15DB2"/>
    <w:rsid w:val="00A162BE"/>
    <w:rsid w:val="00A229E6"/>
    <w:rsid w:val="00A30D17"/>
    <w:rsid w:val="00A32348"/>
    <w:rsid w:val="00A3519D"/>
    <w:rsid w:val="00A35C51"/>
    <w:rsid w:val="00A40075"/>
    <w:rsid w:val="00A43B2D"/>
    <w:rsid w:val="00A4501C"/>
    <w:rsid w:val="00A45082"/>
    <w:rsid w:val="00A46577"/>
    <w:rsid w:val="00A47693"/>
    <w:rsid w:val="00A61983"/>
    <w:rsid w:val="00A627B8"/>
    <w:rsid w:val="00A62E02"/>
    <w:rsid w:val="00A62EBE"/>
    <w:rsid w:val="00A66053"/>
    <w:rsid w:val="00A74A9B"/>
    <w:rsid w:val="00A7570C"/>
    <w:rsid w:val="00A76B1D"/>
    <w:rsid w:val="00A80D99"/>
    <w:rsid w:val="00A83F43"/>
    <w:rsid w:val="00A977E8"/>
    <w:rsid w:val="00AB668F"/>
    <w:rsid w:val="00AC6A83"/>
    <w:rsid w:val="00AC77B0"/>
    <w:rsid w:val="00AC7D19"/>
    <w:rsid w:val="00AE39FE"/>
    <w:rsid w:val="00AE44FF"/>
    <w:rsid w:val="00AF672B"/>
    <w:rsid w:val="00B029A0"/>
    <w:rsid w:val="00B03EC8"/>
    <w:rsid w:val="00B044B3"/>
    <w:rsid w:val="00B0546F"/>
    <w:rsid w:val="00B05EBE"/>
    <w:rsid w:val="00B144D7"/>
    <w:rsid w:val="00B244AA"/>
    <w:rsid w:val="00B246E6"/>
    <w:rsid w:val="00B26687"/>
    <w:rsid w:val="00B378CB"/>
    <w:rsid w:val="00B405D1"/>
    <w:rsid w:val="00B451A2"/>
    <w:rsid w:val="00B517D8"/>
    <w:rsid w:val="00B52210"/>
    <w:rsid w:val="00B537D7"/>
    <w:rsid w:val="00B5702A"/>
    <w:rsid w:val="00B60137"/>
    <w:rsid w:val="00B60E13"/>
    <w:rsid w:val="00B6226B"/>
    <w:rsid w:val="00B64736"/>
    <w:rsid w:val="00B6641C"/>
    <w:rsid w:val="00B66EA0"/>
    <w:rsid w:val="00B73F9B"/>
    <w:rsid w:val="00B743C7"/>
    <w:rsid w:val="00B81F8C"/>
    <w:rsid w:val="00B87C25"/>
    <w:rsid w:val="00B87E1A"/>
    <w:rsid w:val="00B9254A"/>
    <w:rsid w:val="00BA2421"/>
    <w:rsid w:val="00BA46E3"/>
    <w:rsid w:val="00BA496B"/>
    <w:rsid w:val="00BA71B4"/>
    <w:rsid w:val="00BA71CD"/>
    <w:rsid w:val="00BB17D6"/>
    <w:rsid w:val="00BB1824"/>
    <w:rsid w:val="00BB4AC5"/>
    <w:rsid w:val="00BB632D"/>
    <w:rsid w:val="00BB7498"/>
    <w:rsid w:val="00BB7D69"/>
    <w:rsid w:val="00BC0453"/>
    <w:rsid w:val="00BC2DBA"/>
    <w:rsid w:val="00BC7415"/>
    <w:rsid w:val="00BD01E3"/>
    <w:rsid w:val="00BD07EF"/>
    <w:rsid w:val="00BD1D54"/>
    <w:rsid w:val="00BD3331"/>
    <w:rsid w:val="00BD3869"/>
    <w:rsid w:val="00BD4950"/>
    <w:rsid w:val="00BD732A"/>
    <w:rsid w:val="00BF00BB"/>
    <w:rsid w:val="00BF0576"/>
    <w:rsid w:val="00BF1E85"/>
    <w:rsid w:val="00BF1F4D"/>
    <w:rsid w:val="00BF298C"/>
    <w:rsid w:val="00BF29C8"/>
    <w:rsid w:val="00BF35B9"/>
    <w:rsid w:val="00BF6D87"/>
    <w:rsid w:val="00BF6E9B"/>
    <w:rsid w:val="00C020FF"/>
    <w:rsid w:val="00C0349E"/>
    <w:rsid w:val="00C061DD"/>
    <w:rsid w:val="00C1122E"/>
    <w:rsid w:val="00C13E73"/>
    <w:rsid w:val="00C13EF0"/>
    <w:rsid w:val="00C15A28"/>
    <w:rsid w:val="00C17360"/>
    <w:rsid w:val="00C17683"/>
    <w:rsid w:val="00C23352"/>
    <w:rsid w:val="00C26F04"/>
    <w:rsid w:val="00C27577"/>
    <w:rsid w:val="00C278BB"/>
    <w:rsid w:val="00C27FD1"/>
    <w:rsid w:val="00C30610"/>
    <w:rsid w:val="00C33D73"/>
    <w:rsid w:val="00C35DA3"/>
    <w:rsid w:val="00C361C8"/>
    <w:rsid w:val="00C366F4"/>
    <w:rsid w:val="00C375EB"/>
    <w:rsid w:val="00C37EEA"/>
    <w:rsid w:val="00C42EEB"/>
    <w:rsid w:val="00C454D9"/>
    <w:rsid w:val="00C4667E"/>
    <w:rsid w:val="00C47AB2"/>
    <w:rsid w:val="00C53E99"/>
    <w:rsid w:val="00C549B8"/>
    <w:rsid w:val="00C633E8"/>
    <w:rsid w:val="00C63A10"/>
    <w:rsid w:val="00C64645"/>
    <w:rsid w:val="00C65DBD"/>
    <w:rsid w:val="00C71AAE"/>
    <w:rsid w:val="00C7280B"/>
    <w:rsid w:val="00C76AC8"/>
    <w:rsid w:val="00C8131B"/>
    <w:rsid w:val="00C81557"/>
    <w:rsid w:val="00C81E95"/>
    <w:rsid w:val="00C87C9E"/>
    <w:rsid w:val="00C9323A"/>
    <w:rsid w:val="00C94DF4"/>
    <w:rsid w:val="00C95C3B"/>
    <w:rsid w:val="00CA0517"/>
    <w:rsid w:val="00CA212D"/>
    <w:rsid w:val="00CA4887"/>
    <w:rsid w:val="00CA4D39"/>
    <w:rsid w:val="00CA7FE8"/>
    <w:rsid w:val="00CB2C68"/>
    <w:rsid w:val="00CB6970"/>
    <w:rsid w:val="00CC08D4"/>
    <w:rsid w:val="00CC099B"/>
    <w:rsid w:val="00CC17A5"/>
    <w:rsid w:val="00CC6E81"/>
    <w:rsid w:val="00CC7B1B"/>
    <w:rsid w:val="00CD32AD"/>
    <w:rsid w:val="00CD5758"/>
    <w:rsid w:val="00CD598E"/>
    <w:rsid w:val="00CD6A2C"/>
    <w:rsid w:val="00CE1376"/>
    <w:rsid w:val="00CE2A72"/>
    <w:rsid w:val="00CE4821"/>
    <w:rsid w:val="00D006BA"/>
    <w:rsid w:val="00D00843"/>
    <w:rsid w:val="00D024B3"/>
    <w:rsid w:val="00D041F2"/>
    <w:rsid w:val="00D05D09"/>
    <w:rsid w:val="00D06D8B"/>
    <w:rsid w:val="00D12307"/>
    <w:rsid w:val="00D16793"/>
    <w:rsid w:val="00D17BEF"/>
    <w:rsid w:val="00D223F9"/>
    <w:rsid w:val="00D239D2"/>
    <w:rsid w:val="00D24003"/>
    <w:rsid w:val="00D24921"/>
    <w:rsid w:val="00D32641"/>
    <w:rsid w:val="00D32ACE"/>
    <w:rsid w:val="00D4069C"/>
    <w:rsid w:val="00D408AD"/>
    <w:rsid w:val="00D42F1C"/>
    <w:rsid w:val="00D43282"/>
    <w:rsid w:val="00D46529"/>
    <w:rsid w:val="00D47A8B"/>
    <w:rsid w:val="00D52264"/>
    <w:rsid w:val="00D52A55"/>
    <w:rsid w:val="00D545FD"/>
    <w:rsid w:val="00D57C5C"/>
    <w:rsid w:val="00D63BA5"/>
    <w:rsid w:val="00D63E0C"/>
    <w:rsid w:val="00D6457B"/>
    <w:rsid w:val="00D77FF3"/>
    <w:rsid w:val="00D87534"/>
    <w:rsid w:val="00D90F0C"/>
    <w:rsid w:val="00D977C8"/>
    <w:rsid w:val="00DA04CC"/>
    <w:rsid w:val="00DA0BAE"/>
    <w:rsid w:val="00DA2E4E"/>
    <w:rsid w:val="00DA38F6"/>
    <w:rsid w:val="00DA3D24"/>
    <w:rsid w:val="00DA41FD"/>
    <w:rsid w:val="00DA4939"/>
    <w:rsid w:val="00DB1336"/>
    <w:rsid w:val="00DB1F9A"/>
    <w:rsid w:val="00DB2D81"/>
    <w:rsid w:val="00DB5E2A"/>
    <w:rsid w:val="00DB631C"/>
    <w:rsid w:val="00DC002C"/>
    <w:rsid w:val="00DC05EF"/>
    <w:rsid w:val="00DC0E9D"/>
    <w:rsid w:val="00DC40C5"/>
    <w:rsid w:val="00DC6457"/>
    <w:rsid w:val="00DC6E03"/>
    <w:rsid w:val="00DC7968"/>
    <w:rsid w:val="00DD1200"/>
    <w:rsid w:val="00DE31F2"/>
    <w:rsid w:val="00DE3F6E"/>
    <w:rsid w:val="00DF15C8"/>
    <w:rsid w:val="00DF78E6"/>
    <w:rsid w:val="00E013F7"/>
    <w:rsid w:val="00E01587"/>
    <w:rsid w:val="00E1491E"/>
    <w:rsid w:val="00E154B4"/>
    <w:rsid w:val="00E26891"/>
    <w:rsid w:val="00E26B8D"/>
    <w:rsid w:val="00E31422"/>
    <w:rsid w:val="00E44529"/>
    <w:rsid w:val="00E51CE9"/>
    <w:rsid w:val="00E52C13"/>
    <w:rsid w:val="00E53B5F"/>
    <w:rsid w:val="00E540EE"/>
    <w:rsid w:val="00E56A5A"/>
    <w:rsid w:val="00E624FB"/>
    <w:rsid w:val="00E6317E"/>
    <w:rsid w:val="00E656C7"/>
    <w:rsid w:val="00E671C0"/>
    <w:rsid w:val="00E67382"/>
    <w:rsid w:val="00E72005"/>
    <w:rsid w:val="00E81662"/>
    <w:rsid w:val="00E8225B"/>
    <w:rsid w:val="00E86F7A"/>
    <w:rsid w:val="00E90B72"/>
    <w:rsid w:val="00E9387E"/>
    <w:rsid w:val="00E95ADF"/>
    <w:rsid w:val="00E9696C"/>
    <w:rsid w:val="00E97D71"/>
    <w:rsid w:val="00EA02A3"/>
    <w:rsid w:val="00EA0553"/>
    <w:rsid w:val="00EA3867"/>
    <w:rsid w:val="00EA5F49"/>
    <w:rsid w:val="00EB1E58"/>
    <w:rsid w:val="00EB4124"/>
    <w:rsid w:val="00EB4C7A"/>
    <w:rsid w:val="00EB6A15"/>
    <w:rsid w:val="00EC2E25"/>
    <w:rsid w:val="00EC61B8"/>
    <w:rsid w:val="00EC636F"/>
    <w:rsid w:val="00EC73C3"/>
    <w:rsid w:val="00ED5726"/>
    <w:rsid w:val="00ED5C0F"/>
    <w:rsid w:val="00EE0CCC"/>
    <w:rsid w:val="00EE0DDE"/>
    <w:rsid w:val="00EE15F4"/>
    <w:rsid w:val="00EE45F8"/>
    <w:rsid w:val="00EE5087"/>
    <w:rsid w:val="00EF0DD1"/>
    <w:rsid w:val="00EF2A66"/>
    <w:rsid w:val="00EF30D9"/>
    <w:rsid w:val="00F0254A"/>
    <w:rsid w:val="00F074EE"/>
    <w:rsid w:val="00F12C6F"/>
    <w:rsid w:val="00F16C33"/>
    <w:rsid w:val="00F225B5"/>
    <w:rsid w:val="00F24466"/>
    <w:rsid w:val="00F279D1"/>
    <w:rsid w:val="00F30F15"/>
    <w:rsid w:val="00F30F5A"/>
    <w:rsid w:val="00F31FCD"/>
    <w:rsid w:val="00F32D75"/>
    <w:rsid w:val="00F33222"/>
    <w:rsid w:val="00F42738"/>
    <w:rsid w:val="00F455F8"/>
    <w:rsid w:val="00F45CC8"/>
    <w:rsid w:val="00F5101E"/>
    <w:rsid w:val="00F52340"/>
    <w:rsid w:val="00F53213"/>
    <w:rsid w:val="00F53CBF"/>
    <w:rsid w:val="00F571D2"/>
    <w:rsid w:val="00F647D5"/>
    <w:rsid w:val="00F6560D"/>
    <w:rsid w:val="00F665BA"/>
    <w:rsid w:val="00F701E5"/>
    <w:rsid w:val="00F72E11"/>
    <w:rsid w:val="00F75ADE"/>
    <w:rsid w:val="00F83204"/>
    <w:rsid w:val="00F840D0"/>
    <w:rsid w:val="00F84299"/>
    <w:rsid w:val="00F84B3F"/>
    <w:rsid w:val="00F85A12"/>
    <w:rsid w:val="00F86636"/>
    <w:rsid w:val="00F86D11"/>
    <w:rsid w:val="00F93013"/>
    <w:rsid w:val="00F94E68"/>
    <w:rsid w:val="00F954BB"/>
    <w:rsid w:val="00F9617A"/>
    <w:rsid w:val="00FA0A46"/>
    <w:rsid w:val="00FA2D2B"/>
    <w:rsid w:val="00FB04FA"/>
    <w:rsid w:val="00FB27EA"/>
    <w:rsid w:val="00FB4962"/>
    <w:rsid w:val="00FC006C"/>
    <w:rsid w:val="00FC0553"/>
    <w:rsid w:val="00FC4EFB"/>
    <w:rsid w:val="00FC7E49"/>
    <w:rsid w:val="00FD5840"/>
    <w:rsid w:val="00FD661C"/>
    <w:rsid w:val="00FE5CD3"/>
    <w:rsid w:val="00FE5F88"/>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F3EAB3-8AEB-43EB-8911-97FA1908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next w:val="Normal"/>
    <w:link w:val="Balk1Char"/>
    <w:uiPriority w:val="9"/>
    <w:qFormat/>
    <w:rsid w:val="00FC7E49"/>
    <w:pPr>
      <w:keepNext/>
      <w:keepLines/>
      <w:spacing w:before="480" w:after="0"/>
      <w:outlineLvl w:val="0"/>
    </w:pPr>
    <w:rPr>
      <w:rFonts w:ascii="Times New Roman" w:eastAsiaTheme="majorEastAsia" w:hAnsi="Times New Roman" w:cs="Times New Roman"/>
      <w:b/>
      <w:bCs/>
      <w:color w:val="000000" w:themeColor="text1"/>
      <w:sz w:val="24"/>
      <w:szCs w:val="28"/>
    </w:rPr>
  </w:style>
  <w:style w:type="paragraph" w:styleId="Balk2">
    <w:name w:val="heading 2"/>
    <w:basedOn w:val="Balk1"/>
    <w:next w:val="Normal"/>
    <w:link w:val="Balk2Char"/>
    <w:uiPriority w:val="9"/>
    <w:unhideWhenUsed/>
    <w:qFormat/>
    <w:rsid w:val="00FC7E49"/>
    <w:pPr>
      <w:outlineLvl w:val="1"/>
    </w:pPr>
  </w:style>
  <w:style w:type="paragraph" w:styleId="Balk3">
    <w:name w:val="heading 3"/>
    <w:basedOn w:val="Normal"/>
    <w:next w:val="Normal"/>
    <w:link w:val="Balk3Char"/>
    <w:uiPriority w:val="9"/>
    <w:unhideWhenUsed/>
    <w:qFormat/>
    <w:rsid w:val="00EE0CCC"/>
    <w:pPr>
      <w:spacing w:line="360" w:lineRule="auto"/>
      <w:ind w:left="2160" w:firstLine="720"/>
      <w:jc w:val="both"/>
      <w:outlineLvl w:val="2"/>
    </w:pPr>
    <w:rPr>
      <w:rFonts w:ascii="Times New Roman" w:hAnsi="Times New Roman" w:cs="Times New Roman"/>
      <w:b/>
      <w:iCs/>
      <w:color w:val="0D0D0D"/>
      <w:sz w:val="28"/>
    </w:rPr>
  </w:style>
  <w:style w:type="paragraph" w:styleId="Balk4">
    <w:name w:val="heading 4"/>
    <w:basedOn w:val="Normal"/>
    <w:next w:val="Normal"/>
    <w:link w:val="Balk4Char"/>
    <w:uiPriority w:val="9"/>
    <w:unhideWhenUsed/>
    <w:qFormat/>
    <w:rsid w:val="00FC7E49"/>
    <w:pPr>
      <w:spacing w:line="360" w:lineRule="auto"/>
      <w:jc w:val="both"/>
      <w:outlineLvl w:val="3"/>
    </w:pPr>
    <w:rPr>
      <w:rFonts w:ascii="Times New Roman" w:hAnsi="Times New Roman" w:cs="Times New Roman"/>
      <w:b/>
      <w:sz w:val="24"/>
      <w:szCs w:val="24"/>
    </w:rPr>
  </w:style>
  <w:style w:type="paragraph" w:styleId="Balk5">
    <w:name w:val="heading 5"/>
    <w:basedOn w:val="Normal"/>
    <w:next w:val="Normal"/>
    <w:link w:val="Balk5Char"/>
    <w:uiPriority w:val="9"/>
    <w:unhideWhenUsed/>
    <w:qFormat/>
    <w:rsid w:val="00FC7E49"/>
    <w:pPr>
      <w:spacing w:line="360" w:lineRule="auto"/>
      <w:jc w:val="both"/>
      <w:outlineLvl w:val="4"/>
    </w:pPr>
    <w:rPr>
      <w:rFonts w:ascii="Times New Roman" w:hAnsi="Times New Roman" w:cs="Times New Roman"/>
      <w:b/>
      <w:i/>
      <w:sz w:val="24"/>
      <w:szCs w:val="24"/>
    </w:rPr>
  </w:style>
  <w:style w:type="paragraph" w:styleId="Balk6">
    <w:name w:val="heading 6"/>
    <w:basedOn w:val="Normal"/>
    <w:next w:val="Normal"/>
    <w:link w:val="Balk6Char"/>
    <w:uiPriority w:val="9"/>
    <w:unhideWhenUsed/>
    <w:qFormat/>
    <w:rsid w:val="00FC7E49"/>
    <w:pPr>
      <w:spacing w:line="360" w:lineRule="auto"/>
      <w:jc w:val="both"/>
      <w:outlineLvl w:val="5"/>
    </w:pPr>
    <w:rPr>
      <w:rFonts w:ascii="Times New Roman" w:hAnsi="Times New Roman" w:cs="Times New Roman"/>
      <w:b/>
      <w:i/>
      <w:sz w:val="24"/>
      <w:szCs w:val="24"/>
    </w:rPr>
  </w:style>
  <w:style w:type="paragraph" w:styleId="Balk7">
    <w:name w:val="heading 7"/>
    <w:basedOn w:val="Normal"/>
    <w:next w:val="Normal"/>
    <w:link w:val="Balk7Char"/>
    <w:uiPriority w:val="9"/>
    <w:unhideWhenUsed/>
    <w:qFormat/>
    <w:rsid w:val="00FC7E49"/>
    <w:pPr>
      <w:spacing w:line="360" w:lineRule="auto"/>
      <w:jc w:val="both"/>
      <w:outlineLvl w:val="6"/>
    </w:pPr>
    <w:rPr>
      <w:rFonts w:ascii="Times New Roman" w:hAnsi="Times New Roman" w:cs="Times New Roman"/>
      <w:b/>
      <w:i/>
      <w:sz w:val="24"/>
      <w:szCs w:val="24"/>
    </w:rPr>
  </w:style>
  <w:style w:type="paragraph" w:styleId="Balk8">
    <w:name w:val="heading 8"/>
    <w:basedOn w:val="Normal"/>
    <w:next w:val="Normal"/>
    <w:link w:val="Balk8Char"/>
    <w:uiPriority w:val="9"/>
    <w:unhideWhenUsed/>
    <w:qFormat/>
    <w:rsid w:val="00FC7E49"/>
    <w:pPr>
      <w:autoSpaceDE w:val="0"/>
      <w:autoSpaceDN w:val="0"/>
      <w:adjustRightInd w:val="0"/>
      <w:spacing w:after="0" w:line="240" w:lineRule="auto"/>
      <w:jc w:val="both"/>
      <w:outlineLvl w:val="7"/>
    </w:pPr>
    <w:rPr>
      <w:rFonts w:ascii="Times New Roman" w:hAnsi="Times New Roman" w:cs="Times New Roman"/>
      <w:b/>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6E81"/>
    <w:pPr>
      <w:ind w:left="720"/>
      <w:contextualSpacing/>
    </w:pPr>
  </w:style>
  <w:style w:type="paragraph" w:styleId="BalonMetni">
    <w:name w:val="Balloon Text"/>
    <w:basedOn w:val="Normal"/>
    <w:link w:val="BalonMetniChar"/>
    <w:uiPriority w:val="99"/>
    <w:semiHidden/>
    <w:unhideWhenUsed/>
    <w:rsid w:val="00CD32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32AD"/>
    <w:rPr>
      <w:rFonts w:ascii="Tahoma" w:hAnsi="Tahoma" w:cs="Tahoma"/>
      <w:sz w:val="16"/>
      <w:szCs w:val="16"/>
      <w:lang w:val="tr-TR"/>
    </w:rPr>
  </w:style>
  <w:style w:type="paragraph" w:customStyle="1" w:styleId="Default">
    <w:name w:val="Default"/>
    <w:link w:val="DefaultChar"/>
    <w:rsid w:val="0094328E"/>
    <w:pPr>
      <w:autoSpaceDE w:val="0"/>
      <w:autoSpaceDN w:val="0"/>
      <w:adjustRightInd w:val="0"/>
      <w:spacing w:after="0" w:line="240" w:lineRule="auto"/>
    </w:pPr>
    <w:rPr>
      <w:rFonts w:ascii="Times New Roman" w:hAnsi="Times New Roman" w:cs="Times New Roman"/>
      <w:color w:val="000000"/>
      <w:sz w:val="24"/>
      <w:szCs w:val="24"/>
      <w:lang w:val="tr-TR"/>
    </w:rPr>
  </w:style>
  <w:style w:type="table" w:styleId="AkGlgeleme">
    <w:name w:val="Light Shading"/>
    <w:basedOn w:val="NormalTablo"/>
    <w:uiPriority w:val="60"/>
    <w:rsid w:val="001B10A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ipnotMetni">
    <w:name w:val="footnote text"/>
    <w:basedOn w:val="Normal"/>
    <w:link w:val="DipnotMetniChar"/>
    <w:uiPriority w:val="99"/>
    <w:semiHidden/>
    <w:unhideWhenUsed/>
    <w:rsid w:val="007579B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79B7"/>
    <w:rPr>
      <w:sz w:val="20"/>
      <w:szCs w:val="20"/>
      <w:lang w:val="tr-TR"/>
    </w:rPr>
  </w:style>
  <w:style w:type="character" w:styleId="DipnotBavurusu">
    <w:name w:val="footnote reference"/>
    <w:basedOn w:val="VarsaylanParagrafYazTipi"/>
    <w:uiPriority w:val="99"/>
    <w:semiHidden/>
    <w:unhideWhenUsed/>
    <w:rsid w:val="007579B7"/>
    <w:rPr>
      <w:vertAlign w:val="superscript"/>
    </w:rPr>
  </w:style>
  <w:style w:type="character" w:customStyle="1" w:styleId="apple-converted-space">
    <w:name w:val="apple-converted-space"/>
    <w:basedOn w:val="VarsaylanParagrafYazTipi"/>
    <w:rsid w:val="008733A2"/>
  </w:style>
  <w:style w:type="character" w:customStyle="1" w:styleId="Balk1Char">
    <w:name w:val="Başlık 1 Char"/>
    <w:basedOn w:val="VarsaylanParagrafYazTipi"/>
    <w:link w:val="Balk1"/>
    <w:uiPriority w:val="9"/>
    <w:rsid w:val="00FC7E49"/>
    <w:rPr>
      <w:rFonts w:ascii="Times New Roman" w:eastAsiaTheme="majorEastAsia" w:hAnsi="Times New Roman" w:cs="Times New Roman"/>
      <w:b/>
      <w:bCs/>
      <w:color w:val="000000" w:themeColor="text1"/>
      <w:sz w:val="24"/>
      <w:szCs w:val="28"/>
      <w:lang w:val="tr-TR"/>
    </w:rPr>
  </w:style>
  <w:style w:type="paragraph" w:styleId="TBal">
    <w:name w:val="TOC Heading"/>
    <w:basedOn w:val="Balk1"/>
    <w:next w:val="Normal"/>
    <w:uiPriority w:val="39"/>
    <w:semiHidden/>
    <w:unhideWhenUsed/>
    <w:qFormat/>
    <w:rsid w:val="00FC7E49"/>
    <w:pPr>
      <w:outlineLvl w:val="9"/>
    </w:pPr>
    <w:rPr>
      <w:lang w:eastAsia="tr-TR"/>
    </w:rPr>
  </w:style>
  <w:style w:type="paragraph" w:styleId="T2">
    <w:name w:val="toc 2"/>
    <w:basedOn w:val="Normal"/>
    <w:next w:val="Normal"/>
    <w:autoRedefine/>
    <w:uiPriority w:val="39"/>
    <w:unhideWhenUsed/>
    <w:qFormat/>
    <w:rsid w:val="00FC7E49"/>
    <w:pPr>
      <w:spacing w:after="100"/>
      <w:ind w:left="220"/>
    </w:pPr>
    <w:rPr>
      <w:rFonts w:eastAsiaTheme="minorEastAsia"/>
      <w:lang w:eastAsia="tr-TR"/>
    </w:rPr>
  </w:style>
  <w:style w:type="paragraph" w:styleId="T1">
    <w:name w:val="toc 1"/>
    <w:basedOn w:val="Normal"/>
    <w:next w:val="Normal"/>
    <w:autoRedefine/>
    <w:uiPriority w:val="39"/>
    <w:unhideWhenUsed/>
    <w:qFormat/>
    <w:rsid w:val="00FC7E49"/>
    <w:pPr>
      <w:spacing w:after="100"/>
    </w:pPr>
    <w:rPr>
      <w:rFonts w:eastAsiaTheme="minorEastAsia"/>
      <w:lang w:eastAsia="tr-TR"/>
    </w:rPr>
  </w:style>
  <w:style w:type="paragraph" w:styleId="T3">
    <w:name w:val="toc 3"/>
    <w:basedOn w:val="Normal"/>
    <w:next w:val="Normal"/>
    <w:autoRedefine/>
    <w:uiPriority w:val="39"/>
    <w:unhideWhenUsed/>
    <w:qFormat/>
    <w:rsid w:val="00FC7E49"/>
    <w:pPr>
      <w:spacing w:after="100"/>
      <w:ind w:left="440"/>
    </w:pPr>
    <w:rPr>
      <w:rFonts w:eastAsiaTheme="minorEastAsia"/>
      <w:lang w:eastAsia="tr-TR"/>
    </w:rPr>
  </w:style>
  <w:style w:type="character" w:customStyle="1" w:styleId="Balk2Char">
    <w:name w:val="Başlık 2 Char"/>
    <w:basedOn w:val="VarsaylanParagrafYazTipi"/>
    <w:link w:val="Balk2"/>
    <w:uiPriority w:val="9"/>
    <w:rsid w:val="00FC7E49"/>
    <w:rPr>
      <w:rFonts w:ascii="Times New Roman" w:eastAsiaTheme="majorEastAsia" w:hAnsi="Times New Roman" w:cs="Times New Roman"/>
      <w:b/>
      <w:bCs/>
      <w:color w:val="000000" w:themeColor="text1"/>
      <w:sz w:val="24"/>
      <w:szCs w:val="28"/>
      <w:lang w:val="tr-TR"/>
    </w:rPr>
  </w:style>
  <w:style w:type="character" w:customStyle="1" w:styleId="Balk3Char">
    <w:name w:val="Başlık 3 Char"/>
    <w:basedOn w:val="VarsaylanParagrafYazTipi"/>
    <w:link w:val="Balk3"/>
    <w:uiPriority w:val="9"/>
    <w:rsid w:val="00EE0CCC"/>
    <w:rPr>
      <w:rFonts w:ascii="Times New Roman" w:hAnsi="Times New Roman" w:cs="Times New Roman"/>
      <w:b/>
      <w:iCs/>
      <w:color w:val="0D0D0D"/>
      <w:sz w:val="28"/>
      <w:lang w:val="tr-TR"/>
    </w:rPr>
  </w:style>
  <w:style w:type="character" w:customStyle="1" w:styleId="Balk4Char">
    <w:name w:val="Başlık 4 Char"/>
    <w:basedOn w:val="VarsaylanParagrafYazTipi"/>
    <w:link w:val="Balk4"/>
    <w:uiPriority w:val="9"/>
    <w:rsid w:val="00FC7E49"/>
    <w:rPr>
      <w:rFonts w:ascii="Times New Roman" w:hAnsi="Times New Roman" w:cs="Times New Roman"/>
      <w:b/>
      <w:sz w:val="24"/>
      <w:szCs w:val="24"/>
      <w:lang w:val="tr-TR"/>
    </w:rPr>
  </w:style>
  <w:style w:type="character" w:customStyle="1" w:styleId="Balk5Char">
    <w:name w:val="Başlık 5 Char"/>
    <w:basedOn w:val="VarsaylanParagrafYazTipi"/>
    <w:link w:val="Balk5"/>
    <w:uiPriority w:val="9"/>
    <w:rsid w:val="00FC7E49"/>
    <w:rPr>
      <w:rFonts w:ascii="Times New Roman" w:hAnsi="Times New Roman" w:cs="Times New Roman"/>
      <w:b/>
      <w:i/>
      <w:sz w:val="24"/>
      <w:szCs w:val="24"/>
      <w:lang w:val="tr-TR"/>
    </w:rPr>
  </w:style>
  <w:style w:type="character" w:customStyle="1" w:styleId="Balk6Char">
    <w:name w:val="Başlık 6 Char"/>
    <w:basedOn w:val="VarsaylanParagrafYazTipi"/>
    <w:link w:val="Balk6"/>
    <w:uiPriority w:val="9"/>
    <w:rsid w:val="00FC7E49"/>
    <w:rPr>
      <w:rFonts w:ascii="Times New Roman" w:hAnsi="Times New Roman" w:cs="Times New Roman"/>
      <w:b/>
      <w:i/>
      <w:sz w:val="24"/>
      <w:szCs w:val="24"/>
      <w:lang w:val="tr-TR"/>
    </w:rPr>
  </w:style>
  <w:style w:type="character" w:customStyle="1" w:styleId="Balk7Char">
    <w:name w:val="Başlık 7 Char"/>
    <w:basedOn w:val="VarsaylanParagrafYazTipi"/>
    <w:link w:val="Balk7"/>
    <w:uiPriority w:val="9"/>
    <w:rsid w:val="00FC7E49"/>
    <w:rPr>
      <w:rFonts w:ascii="Times New Roman" w:hAnsi="Times New Roman" w:cs="Times New Roman"/>
      <w:b/>
      <w:i/>
      <w:sz w:val="24"/>
      <w:szCs w:val="24"/>
      <w:lang w:val="tr-TR"/>
    </w:rPr>
  </w:style>
  <w:style w:type="character" w:customStyle="1" w:styleId="Balk8Char">
    <w:name w:val="Başlık 8 Char"/>
    <w:basedOn w:val="VarsaylanParagrafYazTipi"/>
    <w:link w:val="Balk8"/>
    <w:uiPriority w:val="9"/>
    <w:rsid w:val="00FC7E49"/>
    <w:rPr>
      <w:rFonts w:ascii="Times New Roman" w:hAnsi="Times New Roman" w:cs="Times New Roman"/>
      <w:b/>
      <w:i/>
      <w:sz w:val="24"/>
      <w:szCs w:val="24"/>
      <w:lang w:val="tr-TR"/>
    </w:rPr>
  </w:style>
  <w:style w:type="character" w:styleId="Kpr">
    <w:name w:val="Hyperlink"/>
    <w:basedOn w:val="VarsaylanParagrafYazTipi"/>
    <w:uiPriority w:val="99"/>
    <w:unhideWhenUsed/>
    <w:rsid w:val="00FC7E49"/>
    <w:rPr>
      <w:color w:val="0000FF" w:themeColor="hyperlink"/>
      <w:u w:val="single"/>
    </w:rPr>
  </w:style>
  <w:style w:type="paragraph" w:styleId="stBilgi">
    <w:name w:val="header"/>
    <w:basedOn w:val="Normal"/>
    <w:link w:val="stBilgiChar"/>
    <w:uiPriority w:val="99"/>
    <w:unhideWhenUsed/>
    <w:rsid w:val="00EE0C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0CCC"/>
    <w:rPr>
      <w:lang w:val="tr-TR"/>
    </w:rPr>
  </w:style>
  <w:style w:type="paragraph" w:styleId="AltBilgi">
    <w:name w:val="footer"/>
    <w:basedOn w:val="Normal"/>
    <w:link w:val="AltBilgiChar"/>
    <w:uiPriority w:val="99"/>
    <w:unhideWhenUsed/>
    <w:rsid w:val="00EE0C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0CCC"/>
    <w:rPr>
      <w:lang w:val="tr-TR"/>
    </w:rPr>
  </w:style>
  <w:style w:type="paragraph" w:styleId="NormalWeb">
    <w:name w:val="Normal (Web)"/>
    <w:basedOn w:val="Normal"/>
    <w:uiPriority w:val="99"/>
    <w:unhideWhenUsed/>
    <w:rsid w:val="000F2F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17360"/>
    <w:rPr>
      <w:b/>
      <w:bCs/>
    </w:rPr>
  </w:style>
  <w:style w:type="paragraph" w:styleId="ResimYazs">
    <w:name w:val="caption"/>
    <w:basedOn w:val="Normal"/>
    <w:next w:val="Normal"/>
    <w:uiPriority w:val="35"/>
    <w:unhideWhenUsed/>
    <w:qFormat/>
    <w:rsid w:val="00E52C13"/>
    <w:pPr>
      <w:spacing w:line="240" w:lineRule="auto"/>
    </w:pPr>
    <w:rPr>
      <w:b/>
      <w:bCs/>
      <w:color w:val="4F81BD" w:themeColor="accent1"/>
      <w:sz w:val="18"/>
      <w:szCs w:val="18"/>
    </w:rPr>
  </w:style>
  <w:style w:type="character" w:customStyle="1" w:styleId="authors">
    <w:name w:val="authors"/>
    <w:basedOn w:val="VarsaylanParagrafYazTipi"/>
    <w:rsid w:val="00DC40C5"/>
  </w:style>
  <w:style w:type="character" w:styleId="Vurgu">
    <w:name w:val="Emphasis"/>
    <w:basedOn w:val="VarsaylanParagrafYazTipi"/>
    <w:uiPriority w:val="20"/>
    <w:qFormat/>
    <w:rsid w:val="00DC40C5"/>
    <w:rPr>
      <w:i/>
      <w:iCs/>
    </w:rPr>
  </w:style>
  <w:style w:type="paragraph" w:styleId="HTMLncedenBiimlendirilmi">
    <w:name w:val="HTML Preformatted"/>
    <w:basedOn w:val="Normal"/>
    <w:link w:val="HTMLncedenBiimlendirilmiChar"/>
    <w:uiPriority w:val="99"/>
    <w:unhideWhenUsed/>
    <w:rsid w:val="000B0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ncedenBiimlendirilmiChar">
    <w:name w:val="HTML Önceden Biçimlendirilmiş Char"/>
    <w:basedOn w:val="VarsaylanParagrafYazTipi"/>
    <w:link w:val="HTMLncedenBiimlendirilmi"/>
    <w:uiPriority w:val="99"/>
    <w:rsid w:val="000B08E2"/>
    <w:rPr>
      <w:rFonts w:ascii="Courier New" w:eastAsia="Times New Roman" w:hAnsi="Courier New" w:cs="Courier New"/>
      <w:sz w:val="20"/>
      <w:szCs w:val="20"/>
    </w:rPr>
  </w:style>
  <w:style w:type="paragraph" w:customStyle="1" w:styleId="MTDisplayEquation">
    <w:name w:val="MTDisplayEquation"/>
    <w:basedOn w:val="Default"/>
    <w:next w:val="Normal"/>
    <w:link w:val="MTDisplayEquationChar"/>
    <w:rsid w:val="00BF1F4D"/>
    <w:pPr>
      <w:tabs>
        <w:tab w:val="center" w:pos="4140"/>
        <w:tab w:val="right" w:pos="8280"/>
      </w:tabs>
    </w:pPr>
  </w:style>
  <w:style w:type="character" w:customStyle="1" w:styleId="DefaultChar">
    <w:name w:val="Default Char"/>
    <w:basedOn w:val="VarsaylanParagrafYazTipi"/>
    <w:link w:val="Default"/>
    <w:rsid w:val="00BF1F4D"/>
    <w:rPr>
      <w:rFonts w:ascii="Times New Roman" w:hAnsi="Times New Roman" w:cs="Times New Roman"/>
      <w:color w:val="000000"/>
      <w:sz w:val="24"/>
      <w:szCs w:val="24"/>
      <w:lang w:val="tr-TR"/>
    </w:rPr>
  </w:style>
  <w:style w:type="character" w:customStyle="1" w:styleId="MTDisplayEquationChar">
    <w:name w:val="MTDisplayEquation Char"/>
    <w:basedOn w:val="DefaultChar"/>
    <w:link w:val="MTDisplayEquation"/>
    <w:rsid w:val="00BF1F4D"/>
    <w:rPr>
      <w:rFonts w:ascii="Times New Roman" w:hAnsi="Times New Roman" w:cs="Times New Roman"/>
      <w:color w:val="000000"/>
      <w:sz w:val="24"/>
      <w:szCs w:val="24"/>
      <w:lang w:val="tr-TR"/>
    </w:rPr>
  </w:style>
  <w:style w:type="table" w:styleId="TabloKlavuzu">
    <w:name w:val="Table Grid"/>
    <w:basedOn w:val="NormalTablo"/>
    <w:uiPriority w:val="59"/>
    <w:rsid w:val="00E1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t-value">
    <w:name w:val="table-chart-value"/>
    <w:basedOn w:val="VarsaylanParagrafYazTipi"/>
    <w:rsid w:val="008C277D"/>
  </w:style>
  <w:style w:type="character" w:customStyle="1" w:styleId="reference-accessdate">
    <w:name w:val="reference-accessdate"/>
    <w:basedOn w:val="VarsaylanParagrafYazTipi"/>
    <w:rsid w:val="00B244AA"/>
  </w:style>
  <w:style w:type="character" w:customStyle="1" w:styleId="nowrap">
    <w:name w:val="nowrap"/>
    <w:basedOn w:val="VarsaylanParagrafYazTipi"/>
    <w:rsid w:val="00B2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071">
      <w:bodyDiv w:val="1"/>
      <w:marLeft w:val="0"/>
      <w:marRight w:val="0"/>
      <w:marTop w:val="0"/>
      <w:marBottom w:val="0"/>
      <w:divBdr>
        <w:top w:val="none" w:sz="0" w:space="0" w:color="auto"/>
        <w:left w:val="none" w:sz="0" w:space="0" w:color="auto"/>
        <w:bottom w:val="none" w:sz="0" w:space="0" w:color="auto"/>
        <w:right w:val="none" w:sz="0" w:space="0" w:color="auto"/>
      </w:divBdr>
    </w:div>
    <w:div w:id="117647152">
      <w:bodyDiv w:val="1"/>
      <w:marLeft w:val="0"/>
      <w:marRight w:val="0"/>
      <w:marTop w:val="0"/>
      <w:marBottom w:val="0"/>
      <w:divBdr>
        <w:top w:val="none" w:sz="0" w:space="0" w:color="auto"/>
        <w:left w:val="none" w:sz="0" w:space="0" w:color="auto"/>
        <w:bottom w:val="none" w:sz="0" w:space="0" w:color="auto"/>
        <w:right w:val="none" w:sz="0" w:space="0" w:color="auto"/>
      </w:divBdr>
    </w:div>
    <w:div w:id="140541836">
      <w:bodyDiv w:val="1"/>
      <w:marLeft w:val="0"/>
      <w:marRight w:val="0"/>
      <w:marTop w:val="0"/>
      <w:marBottom w:val="0"/>
      <w:divBdr>
        <w:top w:val="none" w:sz="0" w:space="0" w:color="auto"/>
        <w:left w:val="none" w:sz="0" w:space="0" w:color="auto"/>
        <w:bottom w:val="none" w:sz="0" w:space="0" w:color="auto"/>
        <w:right w:val="none" w:sz="0" w:space="0" w:color="auto"/>
      </w:divBdr>
    </w:div>
    <w:div w:id="183255671">
      <w:bodyDiv w:val="1"/>
      <w:marLeft w:val="0"/>
      <w:marRight w:val="0"/>
      <w:marTop w:val="0"/>
      <w:marBottom w:val="0"/>
      <w:divBdr>
        <w:top w:val="none" w:sz="0" w:space="0" w:color="auto"/>
        <w:left w:val="none" w:sz="0" w:space="0" w:color="auto"/>
        <w:bottom w:val="none" w:sz="0" w:space="0" w:color="auto"/>
        <w:right w:val="none" w:sz="0" w:space="0" w:color="auto"/>
      </w:divBdr>
    </w:div>
    <w:div w:id="189992467">
      <w:bodyDiv w:val="1"/>
      <w:marLeft w:val="0"/>
      <w:marRight w:val="0"/>
      <w:marTop w:val="0"/>
      <w:marBottom w:val="0"/>
      <w:divBdr>
        <w:top w:val="none" w:sz="0" w:space="0" w:color="auto"/>
        <w:left w:val="none" w:sz="0" w:space="0" w:color="auto"/>
        <w:bottom w:val="none" w:sz="0" w:space="0" w:color="auto"/>
        <w:right w:val="none" w:sz="0" w:space="0" w:color="auto"/>
      </w:divBdr>
    </w:div>
    <w:div w:id="446896430">
      <w:bodyDiv w:val="1"/>
      <w:marLeft w:val="0"/>
      <w:marRight w:val="0"/>
      <w:marTop w:val="0"/>
      <w:marBottom w:val="0"/>
      <w:divBdr>
        <w:top w:val="none" w:sz="0" w:space="0" w:color="auto"/>
        <w:left w:val="none" w:sz="0" w:space="0" w:color="auto"/>
        <w:bottom w:val="none" w:sz="0" w:space="0" w:color="auto"/>
        <w:right w:val="none" w:sz="0" w:space="0" w:color="auto"/>
      </w:divBdr>
    </w:div>
    <w:div w:id="569733981">
      <w:bodyDiv w:val="1"/>
      <w:marLeft w:val="0"/>
      <w:marRight w:val="0"/>
      <w:marTop w:val="0"/>
      <w:marBottom w:val="0"/>
      <w:divBdr>
        <w:top w:val="none" w:sz="0" w:space="0" w:color="auto"/>
        <w:left w:val="none" w:sz="0" w:space="0" w:color="auto"/>
        <w:bottom w:val="none" w:sz="0" w:space="0" w:color="auto"/>
        <w:right w:val="none" w:sz="0" w:space="0" w:color="auto"/>
      </w:divBdr>
    </w:div>
    <w:div w:id="607199327">
      <w:bodyDiv w:val="1"/>
      <w:marLeft w:val="0"/>
      <w:marRight w:val="0"/>
      <w:marTop w:val="0"/>
      <w:marBottom w:val="0"/>
      <w:divBdr>
        <w:top w:val="none" w:sz="0" w:space="0" w:color="auto"/>
        <w:left w:val="none" w:sz="0" w:space="0" w:color="auto"/>
        <w:bottom w:val="none" w:sz="0" w:space="0" w:color="auto"/>
        <w:right w:val="none" w:sz="0" w:space="0" w:color="auto"/>
      </w:divBdr>
    </w:div>
    <w:div w:id="636255954">
      <w:bodyDiv w:val="1"/>
      <w:marLeft w:val="0"/>
      <w:marRight w:val="0"/>
      <w:marTop w:val="0"/>
      <w:marBottom w:val="0"/>
      <w:divBdr>
        <w:top w:val="none" w:sz="0" w:space="0" w:color="auto"/>
        <w:left w:val="none" w:sz="0" w:space="0" w:color="auto"/>
        <w:bottom w:val="none" w:sz="0" w:space="0" w:color="auto"/>
        <w:right w:val="none" w:sz="0" w:space="0" w:color="auto"/>
      </w:divBdr>
    </w:div>
    <w:div w:id="639265532">
      <w:bodyDiv w:val="1"/>
      <w:marLeft w:val="0"/>
      <w:marRight w:val="0"/>
      <w:marTop w:val="0"/>
      <w:marBottom w:val="0"/>
      <w:divBdr>
        <w:top w:val="none" w:sz="0" w:space="0" w:color="auto"/>
        <w:left w:val="none" w:sz="0" w:space="0" w:color="auto"/>
        <w:bottom w:val="none" w:sz="0" w:space="0" w:color="auto"/>
        <w:right w:val="none" w:sz="0" w:space="0" w:color="auto"/>
      </w:divBdr>
    </w:div>
    <w:div w:id="754980924">
      <w:bodyDiv w:val="1"/>
      <w:marLeft w:val="0"/>
      <w:marRight w:val="0"/>
      <w:marTop w:val="0"/>
      <w:marBottom w:val="0"/>
      <w:divBdr>
        <w:top w:val="none" w:sz="0" w:space="0" w:color="auto"/>
        <w:left w:val="none" w:sz="0" w:space="0" w:color="auto"/>
        <w:bottom w:val="none" w:sz="0" w:space="0" w:color="auto"/>
        <w:right w:val="none" w:sz="0" w:space="0" w:color="auto"/>
      </w:divBdr>
    </w:div>
    <w:div w:id="763960156">
      <w:bodyDiv w:val="1"/>
      <w:marLeft w:val="0"/>
      <w:marRight w:val="0"/>
      <w:marTop w:val="0"/>
      <w:marBottom w:val="0"/>
      <w:divBdr>
        <w:top w:val="none" w:sz="0" w:space="0" w:color="auto"/>
        <w:left w:val="none" w:sz="0" w:space="0" w:color="auto"/>
        <w:bottom w:val="none" w:sz="0" w:space="0" w:color="auto"/>
        <w:right w:val="none" w:sz="0" w:space="0" w:color="auto"/>
      </w:divBdr>
    </w:div>
    <w:div w:id="779027477">
      <w:bodyDiv w:val="1"/>
      <w:marLeft w:val="0"/>
      <w:marRight w:val="0"/>
      <w:marTop w:val="0"/>
      <w:marBottom w:val="0"/>
      <w:divBdr>
        <w:top w:val="none" w:sz="0" w:space="0" w:color="auto"/>
        <w:left w:val="none" w:sz="0" w:space="0" w:color="auto"/>
        <w:bottom w:val="none" w:sz="0" w:space="0" w:color="auto"/>
        <w:right w:val="none" w:sz="0" w:space="0" w:color="auto"/>
      </w:divBdr>
    </w:div>
    <w:div w:id="801117838">
      <w:bodyDiv w:val="1"/>
      <w:marLeft w:val="0"/>
      <w:marRight w:val="0"/>
      <w:marTop w:val="0"/>
      <w:marBottom w:val="0"/>
      <w:divBdr>
        <w:top w:val="none" w:sz="0" w:space="0" w:color="auto"/>
        <w:left w:val="none" w:sz="0" w:space="0" w:color="auto"/>
        <w:bottom w:val="none" w:sz="0" w:space="0" w:color="auto"/>
        <w:right w:val="none" w:sz="0" w:space="0" w:color="auto"/>
      </w:divBdr>
    </w:div>
    <w:div w:id="926113140">
      <w:bodyDiv w:val="1"/>
      <w:marLeft w:val="0"/>
      <w:marRight w:val="0"/>
      <w:marTop w:val="0"/>
      <w:marBottom w:val="0"/>
      <w:divBdr>
        <w:top w:val="none" w:sz="0" w:space="0" w:color="auto"/>
        <w:left w:val="none" w:sz="0" w:space="0" w:color="auto"/>
        <w:bottom w:val="none" w:sz="0" w:space="0" w:color="auto"/>
        <w:right w:val="none" w:sz="0" w:space="0" w:color="auto"/>
      </w:divBdr>
    </w:div>
    <w:div w:id="1059087152">
      <w:bodyDiv w:val="1"/>
      <w:marLeft w:val="0"/>
      <w:marRight w:val="0"/>
      <w:marTop w:val="0"/>
      <w:marBottom w:val="0"/>
      <w:divBdr>
        <w:top w:val="none" w:sz="0" w:space="0" w:color="auto"/>
        <w:left w:val="none" w:sz="0" w:space="0" w:color="auto"/>
        <w:bottom w:val="none" w:sz="0" w:space="0" w:color="auto"/>
        <w:right w:val="none" w:sz="0" w:space="0" w:color="auto"/>
      </w:divBdr>
    </w:div>
    <w:div w:id="1141924241">
      <w:bodyDiv w:val="1"/>
      <w:marLeft w:val="0"/>
      <w:marRight w:val="0"/>
      <w:marTop w:val="0"/>
      <w:marBottom w:val="0"/>
      <w:divBdr>
        <w:top w:val="none" w:sz="0" w:space="0" w:color="auto"/>
        <w:left w:val="none" w:sz="0" w:space="0" w:color="auto"/>
        <w:bottom w:val="none" w:sz="0" w:space="0" w:color="auto"/>
        <w:right w:val="none" w:sz="0" w:space="0" w:color="auto"/>
      </w:divBdr>
    </w:div>
    <w:div w:id="1167868821">
      <w:bodyDiv w:val="1"/>
      <w:marLeft w:val="0"/>
      <w:marRight w:val="0"/>
      <w:marTop w:val="0"/>
      <w:marBottom w:val="0"/>
      <w:divBdr>
        <w:top w:val="none" w:sz="0" w:space="0" w:color="auto"/>
        <w:left w:val="none" w:sz="0" w:space="0" w:color="auto"/>
        <w:bottom w:val="none" w:sz="0" w:space="0" w:color="auto"/>
        <w:right w:val="none" w:sz="0" w:space="0" w:color="auto"/>
      </w:divBdr>
    </w:div>
    <w:div w:id="1213342580">
      <w:bodyDiv w:val="1"/>
      <w:marLeft w:val="0"/>
      <w:marRight w:val="0"/>
      <w:marTop w:val="0"/>
      <w:marBottom w:val="0"/>
      <w:divBdr>
        <w:top w:val="none" w:sz="0" w:space="0" w:color="auto"/>
        <w:left w:val="none" w:sz="0" w:space="0" w:color="auto"/>
        <w:bottom w:val="none" w:sz="0" w:space="0" w:color="auto"/>
        <w:right w:val="none" w:sz="0" w:space="0" w:color="auto"/>
      </w:divBdr>
    </w:div>
    <w:div w:id="1248149803">
      <w:bodyDiv w:val="1"/>
      <w:marLeft w:val="0"/>
      <w:marRight w:val="0"/>
      <w:marTop w:val="0"/>
      <w:marBottom w:val="0"/>
      <w:divBdr>
        <w:top w:val="none" w:sz="0" w:space="0" w:color="auto"/>
        <w:left w:val="none" w:sz="0" w:space="0" w:color="auto"/>
        <w:bottom w:val="none" w:sz="0" w:space="0" w:color="auto"/>
        <w:right w:val="none" w:sz="0" w:space="0" w:color="auto"/>
      </w:divBdr>
    </w:div>
    <w:div w:id="1379403588">
      <w:bodyDiv w:val="1"/>
      <w:marLeft w:val="0"/>
      <w:marRight w:val="0"/>
      <w:marTop w:val="0"/>
      <w:marBottom w:val="0"/>
      <w:divBdr>
        <w:top w:val="none" w:sz="0" w:space="0" w:color="auto"/>
        <w:left w:val="none" w:sz="0" w:space="0" w:color="auto"/>
        <w:bottom w:val="none" w:sz="0" w:space="0" w:color="auto"/>
        <w:right w:val="none" w:sz="0" w:space="0" w:color="auto"/>
      </w:divBdr>
    </w:div>
    <w:div w:id="1394887750">
      <w:bodyDiv w:val="1"/>
      <w:marLeft w:val="0"/>
      <w:marRight w:val="0"/>
      <w:marTop w:val="0"/>
      <w:marBottom w:val="0"/>
      <w:divBdr>
        <w:top w:val="none" w:sz="0" w:space="0" w:color="auto"/>
        <w:left w:val="none" w:sz="0" w:space="0" w:color="auto"/>
        <w:bottom w:val="none" w:sz="0" w:space="0" w:color="auto"/>
        <w:right w:val="none" w:sz="0" w:space="0" w:color="auto"/>
      </w:divBdr>
    </w:div>
    <w:div w:id="1437945532">
      <w:bodyDiv w:val="1"/>
      <w:marLeft w:val="0"/>
      <w:marRight w:val="0"/>
      <w:marTop w:val="0"/>
      <w:marBottom w:val="0"/>
      <w:divBdr>
        <w:top w:val="none" w:sz="0" w:space="0" w:color="auto"/>
        <w:left w:val="none" w:sz="0" w:space="0" w:color="auto"/>
        <w:bottom w:val="none" w:sz="0" w:space="0" w:color="auto"/>
        <w:right w:val="none" w:sz="0" w:space="0" w:color="auto"/>
      </w:divBdr>
    </w:div>
    <w:div w:id="1546866345">
      <w:bodyDiv w:val="1"/>
      <w:marLeft w:val="0"/>
      <w:marRight w:val="0"/>
      <w:marTop w:val="0"/>
      <w:marBottom w:val="0"/>
      <w:divBdr>
        <w:top w:val="none" w:sz="0" w:space="0" w:color="auto"/>
        <w:left w:val="none" w:sz="0" w:space="0" w:color="auto"/>
        <w:bottom w:val="none" w:sz="0" w:space="0" w:color="auto"/>
        <w:right w:val="none" w:sz="0" w:space="0" w:color="auto"/>
      </w:divBdr>
    </w:div>
    <w:div w:id="1548881178">
      <w:bodyDiv w:val="1"/>
      <w:marLeft w:val="0"/>
      <w:marRight w:val="0"/>
      <w:marTop w:val="0"/>
      <w:marBottom w:val="0"/>
      <w:divBdr>
        <w:top w:val="none" w:sz="0" w:space="0" w:color="auto"/>
        <w:left w:val="none" w:sz="0" w:space="0" w:color="auto"/>
        <w:bottom w:val="none" w:sz="0" w:space="0" w:color="auto"/>
        <w:right w:val="none" w:sz="0" w:space="0" w:color="auto"/>
      </w:divBdr>
    </w:div>
    <w:div w:id="1589121208">
      <w:bodyDiv w:val="1"/>
      <w:marLeft w:val="0"/>
      <w:marRight w:val="0"/>
      <w:marTop w:val="0"/>
      <w:marBottom w:val="0"/>
      <w:divBdr>
        <w:top w:val="none" w:sz="0" w:space="0" w:color="auto"/>
        <w:left w:val="none" w:sz="0" w:space="0" w:color="auto"/>
        <w:bottom w:val="none" w:sz="0" w:space="0" w:color="auto"/>
        <w:right w:val="none" w:sz="0" w:space="0" w:color="auto"/>
      </w:divBdr>
    </w:div>
    <w:div w:id="1664773586">
      <w:bodyDiv w:val="1"/>
      <w:marLeft w:val="0"/>
      <w:marRight w:val="0"/>
      <w:marTop w:val="0"/>
      <w:marBottom w:val="0"/>
      <w:divBdr>
        <w:top w:val="none" w:sz="0" w:space="0" w:color="auto"/>
        <w:left w:val="none" w:sz="0" w:space="0" w:color="auto"/>
        <w:bottom w:val="none" w:sz="0" w:space="0" w:color="auto"/>
        <w:right w:val="none" w:sz="0" w:space="0" w:color="auto"/>
      </w:divBdr>
    </w:div>
    <w:div w:id="1681085458">
      <w:bodyDiv w:val="1"/>
      <w:marLeft w:val="0"/>
      <w:marRight w:val="0"/>
      <w:marTop w:val="0"/>
      <w:marBottom w:val="0"/>
      <w:divBdr>
        <w:top w:val="none" w:sz="0" w:space="0" w:color="auto"/>
        <w:left w:val="none" w:sz="0" w:space="0" w:color="auto"/>
        <w:bottom w:val="none" w:sz="0" w:space="0" w:color="auto"/>
        <w:right w:val="none" w:sz="0" w:space="0" w:color="auto"/>
      </w:divBdr>
    </w:div>
    <w:div w:id="1774863602">
      <w:bodyDiv w:val="1"/>
      <w:marLeft w:val="0"/>
      <w:marRight w:val="0"/>
      <w:marTop w:val="0"/>
      <w:marBottom w:val="0"/>
      <w:divBdr>
        <w:top w:val="none" w:sz="0" w:space="0" w:color="auto"/>
        <w:left w:val="none" w:sz="0" w:space="0" w:color="auto"/>
        <w:bottom w:val="none" w:sz="0" w:space="0" w:color="auto"/>
        <w:right w:val="none" w:sz="0" w:space="0" w:color="auto"/>
      </w:divBdr>
    </w:div>
    <w:div w:id="1785036289">
      <w:bodyDiv w:val="1"/>
      <w:marLeft w:val="0"/>
      <w:marRight w:val="0"/>
      <w:marTop w:val="0"/>
      <w:marBottom w:val="0"/>
      <w:divBdr>
        <w:top w:val="none" w:sz="0" w:space="0" w:color="auto"/>
        <w:left w:val="none" w:sz="0" w:space="0" w:color="auto"/>
        <w:bottom w:val="none" w:sz="0" w:space="0" w:color="auto"/>
        <w:right w:val="none" w:sz="0" w:space="0" w:color="auto"/>
      </w:divBdr>
    </w:div>
    <w:div w:id="1797597097">
      <w:bodyDiv w:val="1"/>
      <w:marLeft w:val="0"/>
      <w:marRight w:val="0"/>
      <w:marTop w:val="0"/>
      <w:marBottom w:val="0"/>
      <w:divBdr>
        <w:top w:val="none" w:sz="0" w:space="0" w:color="auto"/>
        <w:left w:val="none" w:sz="0" w:space="0" w:color="auto"/>
        <w:bottom w:val="none" w:sz="0" w:space="0" w:color="auto"/>
        <w:right w:val="none" w:sz="0" w:space="0" w:color="auto"/>
      </w:divBdr>
      <w:divsChild>
        <w:div w:id="1313145602">
          <w:marLeft w:val="547"/>
          <w:marRight w:val="0"/>
          <w:marTop w:val="134"/>
          <w:marBottom w:val="0"/>
          <w:divBdr>
            <w:top w:val="none" w:sz="0" w:space="0" w:color="auto"/>
            <w:left w:val="none" w:sz="0" w:space="0" w:color="auto"/>
            <w:bottom w:val="none" w:sz="0" w:space="0" w:color="auto"/>
            <w:right w:val="none" w:sz="0" w:space="0" w:color="auto"/>
          </w:divBdr>
        </w:div>
      </w:divsChild>
    </w:div>
    <w:div w:id="1849633617">
      <w:bodyDiv w:val="1"/>
      <w:marLeft w:val="0"/>
      <w:marRight w:val="0"/>
      <w:marTop w:val="0"/>
      <w:marBottom w:val="0"/>
      <w:divBdr>
        <w:top w:val="none" w:sz="0" w:space="0" w:color="auto"/>
        <w:left w:val="none" w:sz="0" w:space="0" w:color="auto"/>
        <w:bottom w:val="none" w:sz="0" w:space="0" w:color="auto"/>
        <w:right w:val="none" w:sz="0" w:space="0" w:color="auto"/>
      </w:divBdr>
    </w:div>
    <w:div w:id="1887064111">
      <w:bodyDiv w:val="1"/>
      <w:marLeft w:val="0"/>
      <w:marRight w:val="0"/>
      <w:marTop w:val="0"/>
      <w:marBottom w:val="0"/>
      <w:divBdr>
        <w:top w:val="none" w:sz="0" w:space="0" w:color="auto"/>
        <w:left w:val="none" w:sz="0" w:space="0" w:color="auto"/>
        <w:bottom w:val="none" w:sz="0" w:space="0" w:color="auto"/>
        <w:right w:val="none" w:sz="0" w:space="0" w:color="auto"/>
      </w:divBdr>
    </w:div>
    <w:div w:id="1975021620">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 w:id="2099404958">
      <w:bodyDiv w:val="1"/>
      <w:marLeft w:val="0"/>
      <w:marRight w:val="0"/>
      <w:marTop w:val="0"/>
      <w:marBottom w:val="0"/>
      <w:divBdr>
        <w:top w:val="none" w:sz="0" w:space="0" w:color="auto"/>
        <w:left w:val="none" w:sz="0" w:space="0" w:color="auto"/>
        <w:bottom w:val="none" w:sz="0" w:space="0" w:color="auto"/>
        <w:right w:val="none" w:sz="0" w:space="0" w:color="auto"/>
      </w:divBdr>
    </w:div>
    <w:div w:id="21208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697F-600D-4C10-BA7E-B890559C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7045</TotalTime>
  <Pages>1</Pages>
  <Words>3970</Words>
  <Characters>22630</Characters>
  <Application>Microsoft Office Word</Application>
  <DocSecurity>0</DocSecurity>
  <Lines>188</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yarogullarininzeynep</cp:lastModifiedBy>
  <cp:revision>144</cp:revision>
  <cp:lastPrinted>2017-11-07T13:28:00Z</cp:lastPrinted>
  <dcterms:created xsi:type="dcterms:W3CDTF">2016-12-02T11:59:00Z</dcterms:created>
  <dcterms:modified xsi:type="dcterms:W3CDTF">2018-09-17T13:43:00Z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kuzu_x@hotmail.com@www.mendeley.com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TWinEqns">
    <vt:bool>true</vt:bool>
  </property>
</Properties>
</file>