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6A" w:rsidRPr="00B07EED" w:rsidRDefault="00A62E57" w:rsidP="00362768">
      <w:pPr>
        <w:spacing w:before="120" w:after="120"/>
        <w:jc w:val="center"/>
        <w:rPr>
          <w:rFonts w:ascii="Arial" w:hAnsi="Arial" w:cs="Arial"/>
          <w:b/>
          <w:color w:val="FFFFFF" w:themeColor="background1"/>
          <w:sz w:val="20"/>
          <w:szCs w:val="20"/>
          <w:lang w:val="en-US"/>
        </w:rPr>
      </w:pPr>
      <w:r w:rsidRPr="00B07EED">
        <w:rPr>
          <w:rFonts w:ascii="Arial" w:hAnsi="Arial" w:cs="Arial"/>
          <w:i/>
          <w:noProof/>
          <w:sz w:val="20"/>
          <w:szCs w:val="20"/>
          <w:highlight w:val="black"/>
          <w:lang w:eastAsia="tr-TR"/>
        </w:rPr>
        <mc:AlternateContent>
          <mc:Choice Requires="wps">
            <w:drawing>
              <wp:anchor distT="0" distB="0" distL="114300" distR="114300" simplePos="0" relativeHeight="251658240" behindDoc="0" locked="0" layoutInCell="1" allowOverlap="1" wp14:anchorId="7CBBCCCC" wp14:editId="4BACB26F">
                <wp:simplePos x="0" y="0"/>
                <wp:positionH relativeFrom="column">
                  <wp:posOffset>-18266</wp:posOffset>
                </wp:positionH>
                <wp:positionV relativeFrom="paragraph">
                  <wp:posOffset>208698</wp:posOffset>
                </wp:positionV>
                <wp:extent cx="5939790" cy="0"/>
                <wp:effectExtent l="9525" t="8890" r="13335" b="1016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6.45pt" to="46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"/>
            </w:pict>
          </mc:Fallback>
        </mc:AlternateContent>
      </w:r>
      <w:r w:rsidR="00AC096A" w:rsidRPr="00B07EED">
        <w:rPr>
          <w:rFonts w:ascii="Arial" w:hAnsi="Arial" w:cs="Arial"/>
          <w:b/>
          <w:color w:val="FFFFFF" w:themeColor="background1"/>
          <w:sz w:val="20"/>
          <w:szCs w:val="20"/>
          <w:highlight w:val="black"/>
          <w:lang w:val="en-US"/>
        </w:rPr>
        <w:t>RESEARCH ARTICLE</w:t>
      </w:r>
    </w:p>
    <w:p w:rsidR="008D4FFF" w:rsidRPr="00B07EED" w:rsidRDefault="00B07EED" w:rsidP="00362768">
      <w:pPr>
        <w:spacing w:before="120" w:after="120"/>
        <w:jc w:val="center"/>
        <w:rPr>
          <w:rFonts w:ascii="Arial" w:hAnsi="Arial" w:cs="Arial"/>
          <w:b/>
          <w:sz w:val="26"/>
          <w:szCs w:val="26"/>
          <w:highlight w:val="yellow"/>
          <w:lang w:val="en-US"/>
        </w:rPr>
      </w:pPr>
      <w:r w:rsidRPr="00B07EED">
        <w:rPr>
          <w:rFonts w:ascii="Arial" w:hAnsi="Arial" w:cs="Arial"/>
          <w:b/>
          <w:sz w:val="26"/>
          <w:szCs w:val="26"/>
          <w:lang w:val="en-US"/>
        </w:rPr>
        <w:t xml:space="preserve">Epidemiology and </w:t>
      </w:r>
      <w:r w:rsidR="00463A9D">
        <w:rPr>
          <w:rFonts w:ascii="Arial" w:hAnsi="Arial" w:cs="Arial"/>
          <w:b/>
          <w:sz w:val="26"/>
          <w:szCs w:val="26"/>
          <w:lang w:val="en-US"/>
        </w:rPr>
        <w:t>A</w:t>
      </w:r>
      <w:r w:rsidRPr="00B07EED">
        <w:rPr>
          <w:rFonts w:ascii="Arial" w:hAnsi="Arial" w:cs="Arial"/>
          <w:b/>
          <w:sz w:val="26"/>
          <w:szCs w:val="26"/>
          <w:lang w:val="en-US"/>
        </w:rPr>
        <w:t xml:space="preserve">ntimicrobial </w:t>
      </w:r>
      <w:r w:rsidR="00463A9D">
        <w:rPr>
          <w:rFonts w:ascii="Arial" w:hAnsi="Arial" w:cs="Arial"/>
          <w:b/>
          <w:sz w:val="26"/>
          <w:szCs w:val="26"/>
          <w:lang w:val="en-US"/>
        </w:rPr>
        <w:t>S</w:t>
      </w:r>
      <w:r w:rsidRPr="00B07EED">
        <w:rPr>
          <w:rFonts w:ascii="Arial" w:hAnsi="Arial" w:cs="Arial"/>
          <w:b/>
          <w:sz w:val="26"/>
          <w:szCs w:val="26"/>
          <w:lang w:val="en-US"/>
        </w:rPr>
        <w:t xml:space="preserve">usceptibility of </w:t>
      </w:r>
      <w:r w:rsidR="00463A9D">
        <w:rPr>
          <w:rFonts w:ascii="Arial" w:hAnsi="Arial" w:cs="Arial"/>
          <w:b/>
          <w:sz w:val="26"/>
          <w:szCs w:val="26"/>
          <w:lang w:val="en-US"/>
        </w:rPr>
        <w:t>A</w:t>
      </w:r>
      <w:r w:rsidRPr="00B07EED">
        <w:rPr>
          <w:rFonts w:ascii="Arial" w:hAnsi="Arial" w:cs="Arial"/>
          <w:b/>
          <w:sz w:val="26"/>
          <w:szCs w:val="26"/>
          <w:lang w:val="en-US"/>
        </w:rPr>
        <w:t xml:space="preserve">naerobic </w:t>
      </w:r>
      <w:r w:rsidR="00463A9D">
        <w:rPr>
          <w:rFonts w:ascii="Arial" w:hAnsi="Arial" w:cs="Arial"/>
          <w:b/>
          <w:sz w:val="26"/>
          <w:szCs w:val="26"/>
          <w:lang w:val="en-US"/>
        </w:rPr>
        <w:t>B</w:t>
      </w:r>
      <w:r w:rsidRPr="00B07EED">
        <w:rPr>
          <w:rFonts w:ascii="Arial" w:hAnsi="Arial" w:cs="Arial"/>
          <w:b/>
          <w:sz w:val="26"/>
          <w:szCs w:val="26"/>
          <w:lang w:val="en-US"/>
        </w:rPr>
        <w:t xml:space="preserve">loodstream </w:t>
      </w:r>
      <w:r w:rsidR="00463A9D">
        <w:rPr>
          <w:rFonts w:ascii="Arial" w:hAnsi="Arial" w:cs="Arial"/>
          <w:b/>
          <w:sz w:val="26"/>
          <w:szCs w:val="26"/>
          <w:lang w:val="en-US"/>
        </w:rPr>
        <w:t>I</w:t>
      </w:r>
      <w:r w:rsidRPr="00B07EED">
        <w:rPr>
          <w:rFonts w:ascii="Arial" w:hAnsi="Arial" w:cs="Arial"/>
          <w:b/>
          <w:sz w:val="26"/>
          <w:szCs w:val="26"/>
          <w:lang w:val="en-US"/>
        </w:rPr>
        <w:t xml:space="preserve">nfections: A 10 </w:t>
      </w:r>
      <w:r w:rsidR="00463A9D">
        <w:rPr>
          <w:rFonts w:ascii="Arial" w:hAnsi="Arial" w:cs="Arial"/>
          <w:b/>
          <w:sz w:val="26"/>
          <w:szCs w:val="26"/>
          <w:lang w:val="en-US"/>
        </w:rPr>
        <w:t>Years S</w:t>
      </w:r>
      <w:r w:rsidRPr="00B07EED">
        <w:rPr>
          <w:rFonts w:ascii="Arial" w:hAnsi="Arial" w:cs="Arial"/>
          <w:b/>
          <w:sz w:val="26"/>
          <w:szCs w:val="26"/>
          <w:lang w:val="en-US"/>
        </w:rPr>
        <w:t>tudy</w:t>
      </w:r>
    </w:p>
    <w:p w:rsidR="008D4FFF" w:rsidRPr="00B07EED" w:rsidRDefault="00B07EED" w:rsidP="00362768">
      <w:pPr>
        <w:spacing w:before="120" w:after="120"/>
        <w:jc w:val="center"/>
        <w:rPr>
          <w:rFonts w:ascii="Arial" w:hAnsi="Arial" w:cs="Arial"/>
          <w:sz w:val="20"/>
          <w:szCs w:val="20"/>
          <w:highlight w:val="yellow"/>
          <w:lang w:val="en-US"/>
        </w:rPr>
      </w:pPr>
      <w:r w:rsidRPr="00B07EED">
        <w:rPr>
          <w:rFonts w:ascii="Arial" w:eastAsia="Arial Unicode MS" w:hAnsi="Arial" w:cs="Arial"/>
          <w:sz w:val="20"/>
          <w:szCs w:val="20"/>
          <w:lang w:val="en-US"/>
        </w:rPr>
        <w:t xml:space="preserve">Nadeem </w:t>
      </w:r>
      <w:proofErr w:type="spellStart"/>
      <w:r w:rsidRPr="00B07EED">
        <w:rPr>
          <w:rFonts w:ascii="Arial" w:eastAsia="Arial Unicode MS" w:hAnsi="Arial" w:cs="Arial"/>
          <w:sz w:val="20"/>
          <w:szCs w:val="20"/>
          <w:lang w:val="en-US"/>
        </w:rPr>
        <w:t>Sajjad</w:t>
      </w:r>
      <w:proofErr w:type="spellEnd"/>
      <w:r w:rsidRPr="00B07EED">
        <w:rPr>
          <w:rFonts w:ascii="Arial" w:eastAsia="Arial Unicode MS" w:hAnsi="Arial" w:cs="Arial"/>
          <w:sz w:val="20"/>
          <w:szCs w:val="20"/>
          <w:lang w:val="en-US"/>
        </w:rPr>
        <w:t xml:space="preserve"> Raja</w:t>
      </w:r>
    </w:p>
    <w:p w:rsidR="009C6B25" w:rsidRPr="00B07EED" w:rsidRDefault="00B07EED" w:rsidP="00362768">
      <w:pPr>
        <w:pStyle w:val="Fuzeile"/>
        <w:jc w:val="center"/>
        <w:rPr>
          <w:rStyle w:val="10-AltBilgiYazismaAdresiChar"/>
          <w:rFonts w:ascii="Arial" w:eastAsiaTheme="minorHAnsi" w:hAnsi="Arial" w:cs="Arial"/>
          <w:i/>
          <w:highlight w:val="yellow"/>
        </w:rPr>
      </w:pPr>
      <w:r w:rsidRPr="00B07EED">
        <w:rPr>
          <w:rStyle w:val="10-AltBilgiYazismaAdresiChar"/>
          <w:rFonts w:ascii="Arial" w:eastAsiaTheme="minorHAnsi" w:hAnsi="Arial" w:cs="Arial"/>
          <w:i/>
        </w:rPr>
        <w:t>Department of Microbiology, East Sussex Healthcare Trust, Hastings, England, UK</w:t>
      </w:r>
    </w:p>
    <w:p w:rsidR="00AC096A" w:rsidRPr="00B07EED" w:rsidRDefault="00AC096A" w:rsidP="00362768">
      <w:pPr>
        <w:spacing w:before="120" w:after="120"/>
        <w:jc w:val="both"/>
        <w:rPr>
          <w:rFonts w:ascii="Arial" w:hAnsi="Arial" w:cs="Arial"/>
          <w:sz w:val="20"/>
          <w:szCs w:val="20"/>
          <w:highlight w:val="yellow"/>
          <w:lang w:val="en-US"/>
        </w:rPr>
      </w:pPr>
    </w:p>
    <w:p w:rsidR="00AC096A" w:rsidRPr="00DB5095" w:rsidRDefault="00AC096A" w:rsidP="00362768">
      <w:pPr>
        <w:spacing w:before="120" w:after="120"/>
        <w:jc w:val="both"/>
        <w:rPr>
          <w:rFonts w:ascii="Arial" w:hAnsi="Arial" w:cs="Arial"/>
          <w:b/>
          <w:sz w:val="20"/>
          <w:szCs w:val="20"/>
          <w:lang w:val="en-US"/>
        </w:rPr>
      </w:pPr>
      <w:r w:rsidRPr="00DB5095">
        <w:rPr>
          <w:rFonts w:ascii="Arial" w:hAnsi="Arial" w:cs="Arial"/>
          <w:b/>
          <w:sz w:val="20"/>
          <w:szCs w:val="20"/>
          <w:lang w:val="en-US"/>
        </w:rPr>
        <w:t>ABSTRACT</w:t>
      </w:r>
    </w:p>
    <w:p w:rsidR="00FB2043" w:rsidRPr="00DB5095" w:rsidRDefault="00951803" w:rsidP="00FB2043">
      <w:pPr>
        <w:spacing w:before="120" w:after="120"/>
        <w:jc w:val="both"/>
        <w:rPr>
          <w:rFonts w:ascii="Arial" w:hAnsi="Arial" w:cs="Arial"/>
          <w:sz w:val="18"/>
          <w:szCs w:val="18"/>
          <w:lang w:val="en-US"/>
        </w:rPr>
      </w:pPr>
      <w:r w:rsidRPr="00DB5095">
        <w:rPr>
          <w:rFonts w:ascii="Arial" w:hAnsi="Arial" w:cs="Arial"/>
          <w:b/>
          <w:sz w:val="18"/>
          <w:szCs w:val="18"/>
          <w:lang w:val="en-US"/>
        </w:rPr>
        <w:t xml:space="preserve">Objective: </w:t>
      </w:r>
      <w:r w:rsidR="00B07EED" w:rsidRPr="00DB5095">
        <w:rPr>
          <w:rFonts w:ascii="Arial" w:hAnsi="Arial" w:cs="Arial"/>
          <w:sz w:val="18"/>
          <w:szCs w:val="18"/>
          <w:lang w:val="en-US"/>
        </w:rPr>
        <w:t>The majority of patients with anaerobic bloodstream infections (BSIs) do not receive appropriate empirical antimicrobial treatment as this infection remains unsuspected on clinical basis. This study determines the incidence rate, the prevalence and antibiotic susceptibility pattern of anaerobes causing BSIs in East Sussex Healthcare Trust, England.</w:t>
      </w:r>
    </w:p>
    <w:p w:rsidR="00B07EED" w:rsidRPr="00DB5095" w:rsidRDefault="00FB2043" w:rsidP="00B07EED">
      <w:pPr>
        <w:spacing w:before="120" w:after="120"/>
        <w:jc w:val="both"/>
        <w:rPr>
          <w:rFonts w:ascii="Arial" w:hAnsi="Arial" w:cs="Arial"/>
          <w:sz w:val="18"/>
          <w:szCs w:val="18"/>
          <w:lang w:val="en-US"/>
        </w:rPr>
      </w:pPr>
      <w:r w:rsidRPr="00DB5095">
        <w:rPr>
          <w:rFonts w:ascii="Arial" w:hAnsi="Arial" w:cs="Arial"/>
          <w:b/>
          <w:sz w:val="18"/>
          <w:szCs w:val="18"/>
          <w:lang w:val="en-US"/>
        </w:rPr>
        <w:t xml:space="preserve">Methods: </w:t>
      </w:r>
      <w:r w:rsidR="00B07EED" w:rsidRPr="00DB5095">
        <w:rPr>
          <w:rFonts w:ascii="Arial" w:hAnsi="Arial" w:cs="Arial"/>
          <w:sz w:val="18"/>
          <w:szCs w:val="18"/>
          <w:lang w:val="en-US"/>
        </w:rPr>
        <w:t xml:space="preserve">It is a retrospective study from July 2007 to July 2017. Demographic and laboratory data were collected on all microbiologically proven anaerobic BSIs. </w:t>
      </w:r>
    </w:p>
    <w:p w:rsidR="00B07EED" w:rsidRPr="00DB5095" w:rsidRDefault="00B07EED" w:rsidP="00B07EED">
      <w:pPr>
        <w:spacing w:before="120" w:after="120"/>
        <w:jc w:val="both"/>
        <w:rPr>
          <w:rFonts w:ascii="Arial" w:hAnsi="Arial" w:cs="Arial"/>
          <w:sz w:val="18"/>
          <w:szCs w:val="18"/>
          <w:lang w:val="en-US"/>
        </w:rPr>
      </w:pPr>
      <w:r w:rsidRPr="00DB5095">
        <w:rPr>
          <w:rFonts w:ascii="Arial" w:hAnsi="Arial" w:cs="Arial"/>
          <w:b/>
          <w:sz w:val="18"/>
          <w:szCs w:val="18"/>
          <w:lang w:val="en-US"/>
        </w:rPr>
        <w:t>Results:</w:t>
      </w:r>
      <w:r w:rsidRPr="00DB5095">
        <w:rPr>
          <w:rFonts w:ascii="Arial" w:hAnsi="Arial" w:cs="Arial"/>
          <w:sz w:val="18"/>
          <w:szCs w:val="18"/>
          <w:lang w:val="en-US"/>
        </w:rPr>
        <w:t xml:space="preserve"> During the study period, 106,905 blood cultures were processed in the laboratory. A total of 324 anaerobic organisms were isolated from 312 blood cultures on 310 patients (167 males), representing a positivity rate of 0.30% of total blood cultures and 2.41% of total positive blood cultures (13,425). Approximately 76% (238 episodes) of anaerobic bacteremia occurred in &gt;60 years old (236) patients. The admitting services were: emergency department (ED) (42%), medical (25%), surgical (16%) critical care unit (7%), and hematology (5%). The most frequent isolates were </w:t>
      </w:r>
      <w:proofErr w:type="spellStart"/>
      <w:r w:rsidR="00A50A9D" w:rsidRPr="00DB5095">
        <w:rPr>
          <w:rFonts w:ascii="Arial" w:hAnsi="Arial" w:cs="Arial"/>
          <w:i/>
          <w:sz w:val="18"/>
          <w:szCs w:val="18"/>
          <w:lang w:val="en-US"/>
        </w:rPr>
        <w:t>Bacteroides</w:t>
      </w:r>
      <w:proofErr w:type="spellEnd"/>
      <w:r w:rsidRPr="00DB5095">
        <w:rPr>
          <w:rFonts w:ascii="Arial" w:hAnsi="Arial" w:cs="Arial"/>
          <w:sz w:val="18"/>
          <w:szCs w:val="18"/>
          <w:lang w:val="en-US"/>
        </w:rPr>
        <w:t xml:space="preserve"> </w:t>
      </w:r>
      <w:r w:rsidR="00EC4D65" w:rsidRPr="00DB5095">
        <w:rPr>
          <w:rFonts w:ascii="Arial" w:hAnsi="Arial" w:cs="Arial"/>
          <w:i/>
          <w:sz w:val="18"/>
          <w:szCs w:val="18"/>
          <w:lang w:val="en-US"/>
        </w:rPr>
        <w:t>spp.</w:t>
      </w:r>
      <w:r w:rsidRPr="00DB5095">
        <w:rPr>
          <w:rFonts w:ascii="Arial" w:hAnsi="Arial" w:cs="Arial"/>
          <w:sz w:val="18"/>
          <w:szCs w:val="18"/>
          <w:lang w:val="en-US"/>
        </w:rPr>
        <w:t xml:space="preserve"> (42%), Clostridium </w:t>
      </w:r>
      <w:r w:rsidR="00EC4D65" w:rsidRPr="00DB5095">
        <w:rPr>
          <w:rFonts w:ascii="Arial" w:hAnsi="Arial" w:cs="Arial"/>
          <w:i/>
          <w:sz w:val="18"/>
          <w:szCs w:val="18"/>
          <w:lang w:val="en-US"/>
        </w:rPr>
        <w:t>spp.</w:t>
      </w:r>
      <w:r w:rsidRPr="00DB5095">
        <w:rPr>
          <w:rFonts w:ascii="Arial" w:hAnsi="Arial" w:cs="Arial"/>
          <w:sz w:val="18"/>
          <w:szCs w:val="18"/>
          <w:lang w:val="en-US"/>
        </w:rPr>
        <w:t xml:space="preserve"> (24%), and Propionibacterium </w:t>
      </w:r>
      <w:r w:rsidR="00EC4D65" w:rsidRPr="00DB5095">
        <w:rPr>
          <w:rFonts w:ascii="Arial" w:hAnsi="Arial" w:cs="Arial"/>
          <w:i/>
          <w:sz w:val="18"/>
          <w:szCs w:val="18"/>
          <w:lang w:val="en-US"/>
        </w:rPr>
        <w:t>spp.</w:t>
      </w:r>
      <w:r w:rsidRPr="00DB5095">
        <w:rPr>
          <w:rFonts w:ascii="Arial" w:hAnsi="Arial" w:cs="Arial"/>
          <w:sz w:val="18"/>
          <w:szCs w:val="18"/>
          <w:lang w:val="en-US"/>
        </w:rPr>
        <w:t xml:space="preserve"> (9%).  </w:t>
      </w:r>
      <w:proofErr w:type="spellStart"/>
      <w:r w:rsidRPr="00DB5095">
        <w:rPr>
          <w:rFonts w:ascii="Arial" w:hAnsi="Arial" w:cs="Arial"/>
          <w:sz w:val="18"/>
          <w:szCs w:val="18"/>
          <w:lang w:val="en-US"/>
        </w:rPr>
        <w:t>Polymicrobial</w:t>
      </w:r>
      <w:proofErr w:type="spellEnd"/>
      <w:r w:rsidRPr="00DB5095">
        <w:rPr>
          <w:rFonts w:ascii="Arial" w:hAnsi="Arial" w:cs="Arial"/>
          <w:sz w:val="18"/>
          <w:szCs w:val="18"/>
          <w:lang w:val="en-US"/>
        </w:rPr>
        <w:t xml:space="preserve"> bloodstream infections were recorded in 45 episodes. Amoxicillin/clavulanic acid, metronidazole, clindamycin remained most effective antibiotics against anaerobes with a sensitivity rate of 93%, 92%, and 81% respectively. Penicillin was least sensitive (43%) against anaerobes. </w:t>
      </w:r>
    </w:p>
    <w:p w:rsidR="008D4FFF" w:rsidRPr="00DB5095" w:rsidRDefault="00B07EED" w:rsidP="00B07EED">
      <w:pPr>
        <w:spacing w:before="120" w:after="120"/>
        <w:jc w:val="both"/>
        <w:rPr>
          <w:rFonts w:ascii="Arial" w:hAnsi="Arial" w:cs="Arial"/>
          <w:bCs/>
          <w:i/>
          <w:sz w:val="18"/>
          <w:szCs w:val="18"/>
          <w:lang w:val="en-US"/>
        </w:rPr>
      </w:pPr>
      <w:r w:rsidRPr="00DB5095">
        <w:rPr>
          <w:rFonts w:ascii="Arial" w:hAnsi="Arial" w:cs="Arial"/>
          <w:b/>
          <w:sz w:val="18"/>
          <w:szCs w:val="18"/>
          <w:lang w:val="en-US"/>
        </w:rPr>
        <w:t>Conclusions:</w:t>
      </w:r>
      <w:r w:rsidRPr="00DB5095">
        <w:rPr>
          <w:rFonts w:ascii="Arial" w:hAnsi="Arial" w:cs="Arial"/>
          <w:sz w:val="18"/>
          <w:szCs w:val="18"/>
          <w:lang w:val="en-US"/>
        </w:rPr>
        <w:t xml:space="preserve"> This study highlights a low rate of anaerobic bacteremia during 10 years with </w:t>
      </w:r>
      <w:proofErr w:type="spellStart"/>
      <w:r w:rsidR="00A50A9D" w:rsidRPr="00DB5095">
        <w:rPr>
          <w:rFonts w:ascii="Arial" w:hAnsi="Arial" w:cs="Arial"/>
          <w:i/>
          <w:sz w:val="18"/>
          <w:szCs w:val="18"/>
          <w:lang w:val="en-US"/>
        </w:rPr>
        <w:t>Bacteroides</w:t>
      </w:r>
      <w:proofErr w:type="spellEnd"/>
      <w:r w:rsidRPr="00DB5095">
        <w:rPr>
          <w:rFonts w:ascii="Arial" w:hAnsi="Arial" w:cs="Arial"/>
          <w:sz w:val="18"/>
          <w:szCs w:val="18"/>
          <w:lang w:val="en-US"/>
        </w:rPr>
        <w:t xml:space="preserve"> </w:t>
      </w:r>
      <w:r w:rsidR="00EC4D65" w:rsidRPr="00DB5095">
        <w:rPr>
          <w:rFonts w:ascii="Arial" w:hAnsi="Arial" w:cs="Arial"/>
          <w:i/>
          <w:sz w:val="18"/>
          <w:szCs w:val="18"/>
          <w:lang w:val="en-US"/>
        </w:rPr>
        <w:t>spp.</w:t>
      </w:r>
      <w:r w:rsidRPr="00DB5095">
        <w:rPr>
          <w:rFonts w:ascii="Arial" w:hAnsi="Arial" w:cs="Arial"/>
          <w:sz w:val="18"/>
          <w:szCs w:val="18"/>
          <w:lang w:val="en-US"/>
        </w:rPr>
        <w:t xml:space="preserve"> as the predominant organism. This study also confirms that the empirical antibiotic therapy used in our hospital remains appropriate as more than 92% isolates were sensitive to amoxicillin/clavulanic acid and metronidazole.</w:t>
      </w:r>
      <w:r w:rsidR="00657A0E" w:rsidRPr="00DB5095">
        <w:rPr>
          <w:rFonts w:ascii="Arial" w:hAnsi="Arial" w:cs="Arial"/>
          <w:sz w:val="18"/>
          <w:szCs w:val="18"/>
          <w:lang w:val="en-US"/>
        </w:rPr>
        <w:t xml:space="preserve"> </w:t>
      </w:r>
      <w:r w:rsidR="00657A0E" w:rsidRPr="00DB5095">
        <w:rPr>
          <w:rFonts w:ascii="Arial" w:hAnsi="Arial" w:cs="Arial"/>
          <w:i/>
          <w:sz w:val="18"/>
          <w:szCs w:val="18"/>
          <w:lang w:val="en-US"/>
        </w:rPr>
        <w:t xml:space="preserve">J </w:t>
      </w:r>
      <w:proofErr w:type="spellStart"/>
      <w:r w:rsidR="00657A0E" w:rsidRPr="00DB5095">
        <w:rPr>
          <w:rFonts w:ascii="Arial" w:hAnsi="Arial" w:cs="Arial"/>
          <w:i/>
          <w:sz w:val="18"/>
          <w:szCs w:val="18"/>
          <w:lang w:val="en-US"/>
        </w:rPr>
        <w:t>Microbiol</w:t>
      </w:r>
      <w:proofErr w:type="spellEnd"/>
      <w:r w:rsidR="00657A0E" w:rsidRPr="00DB5095">
        <w:rPr>
          <w:rFonts w:ascii="Arial" w:hAnsi="Arial" w:cs="Arial"/>
          <w:i/>
          <w:sz w:val="18"/>
          <w:szCs w:val="18"/>
          <w:lang w:val="en-US"/>
        </w:rPr>
        <w:t xml:space="preserve"> Infect Dis 201</w:t>
      </w:r>
      <w:r w:rsidR="00381DDF" w:rsidRPr="00DB5095">
        <w:rPr>
          <w:rFonts w:ascii="Arial" w:hAnsi="Arial" w:cs="Arial"/>
          <w:i/>
          <w:sz w:val="18"/>
          <w:szCs w:val="18"/>
          <w:lang w:val="en-US"/>
        </w:rPr>
        <w:t>8</w:t>
      </w:r>
      <w:r w:rsidR="00657A0E" w:rsidRPr="00DB5095">
        <w:rPr>
          <w:rFonts w:ascii="Arial" w:hAnsi="Arial" w:cs="Arial"/>
          <w:i/>
          <w:sz w:val="18"/>
          <w:szCs w:val="18"/>
          <w:lang w:val="en-US"/>
        </w:rPr>
        <w:t xml:space="preserve">; </w:t>
      </w:r>
      <w:r w:rsidR="00381DDF" w:rsidRPr="00DB5095">
        <w:rPr>
          <w:rFonts w:ascii="Arial" w:hAnsi="Arial" w:cs="Arial"/>
          <w:i/>
          <w:sz w:val="18"/>
          <w:szCs w:val="18"/>
          <w:lang w:val="en-US"/>
        </w:rPr>
        <w:t>8</w:t>
      </w:r>
      <w:r w:rsidR="00657A0E" w:rsidRPr="00DB5095">
        <w:rPr>
          <w:rFonts w:ascii="Arial" w:hAnsi="Arial" w:cs="Arial"/>
          <w:i/>
          <w:sz w:val="18"/>
          <w:szCs w:val="18"/>
          <w:lang w:val="en-US"/>
        </w:rPr>
        <w:t>(</w:t>
      </w:r>
      <w:r w:rsidRPr="00DB5095">
        <w:rPr>
          <w:rFonts w:ascii="Arial" w:hAnsi="Arial" w:cs="Arial"/>
          <w:i/>
          <w:sz w:val="18"/>
          <w:szCs w:val="18"/>
          <w:lang w:val="en-US"/>
        </w:rPr>
        <w:t>4</w:t>
      </w:r>
      <w:r w:rsidR="00E15A52" w:rsidRPr="00DB5095">
        <w:rPr>
          <w:rFonts w:ascii="Arial" w:hAnsi="Arial" w:cs="Arial"/>
          <w:i/>
          <w:sz w:val="18"/>
          <w:szCs w:val="18"/>
          <w:lang w:val="en-US"/>
        </w:rPr>
        <w:t>):</w:t>
      </w:r>
      <w:r w:rsidR="009402D5">
        <w:rPr>
          <w:rFonts w:ascii="Arial" w:hAnsi="Arial" w:cs="Arial"/>
          <w:i/>
          <w:sz w:val="18"/>
          <w:szCs w:val="18"/>
          <w:lang w:val="en-US"/>
        </w:rPr>
        <w:t xml:space="preserve"> 135-139</w:t>
      </w:r>
    </w:p>
    <w:p w:rsidR="008D4FFF" w:rsidRPr="00DB5095" w:rsidRDefault="00AC096A" w:rsidP="00362768">
      <w:pPr>
        <w:spacing w:before="120" w:after="120"/>
        <w:jc w:val="both"/>
        <w:rPr>
          <w:rFonts w:ascii="Arial" w:hAnsi="Arial" w:cs="Arial"/>
          <w:bCs/>
          <w:sz w:val="18"/>
          <w:szCs w:val="18"/>
          <w:lang w:val="en-US"/>
        </w:rPr>
      </w:pPr>
      <w:r w:rsidRPr="00DB5095">
        <w:rPr>
          <w:rFonts w:ascii="Arial" w:hAnsi="Arial" w:cs="Arial"/>
          <w:b/>
          <w:sz w:val="18"/>
          <w:szCs w:val="18"/>
          <w:lang w:val="en-US"/>
        </w:rPr>
        <w:t>Keywords:</w:t>
      </w:r>
      <w:r w:rsidRPr="00DB5095">
        <w:rPr>
          <w:rFonts w:ascii="Arial" w:hAnsi="Arial" w:cs="Arial"/>
          <w:sz w:val="18"/>
          <w:szCs w:val="18"/>
          <w:lang w:val="en-US"/>
        </w:rPr>
        <w:t xml:space="preserve"> </w:t>
      </w:r>
      <w:r w:rsidR="00B07EED" w:rsidRPr="00DB5095">
        <w:rPr>
          <w:rFonts w:ascii="Arial" w:hAnsi="Arial" w:cs="Arial"/>
          <w:bCs/>
          <w:i/>
          <w:sz w:val="18"/>
          <w:szCs w:val="18"/>
          <w:lang w:val="en-US"/>
        </w:rPr>
        <w:t xml:space="preserve">Anaerobes, </w:t>
      </w:r>
      <w:r w:rsidR="009402D5" w:rsidRPr="00DB5095">
        <w:rPr>
          <w:rFonts w:ascii="Arial" w:hAnsi="Arial" w:cs="Arial"/>
          <w:bCs/>
          <w:i/>
          <w:sz w:val="18"/>
          <w:szCs w:val="18"/>
          <w:lang w:val="en-US"/>
        </w:rPr>
        <w:t>antibiotics</w:t>
      </w:r>
      <w:r w:rsidR="009402D5">
        <w:rPr>
          <w:rFonts w:ascii="Arial" w:hAnsi="Arial" w:cs="Arial"/>
          <w:bCs/>
          <w:i/>
          <w:sz w:val="18"/>
          <w:szCs w:val="18"/>
          <w:lang w:val="en-US"/>
        </w:rPr>
        <w:t xml:space="preserve">, </w:t>
      </w:r>
      <w:r w:rsidR="00B07EED" w:rsidRPr="00DB5095">
        <w:rPr>
          <w:rFonts w:ascii="Arial" w:hAnsi="Arial" w:cs="Arial"/>
          <w:bCs/>
          <w:i/>
          <w:sz w:val="18"/>
          <w:szCs w:val="18"/>
          <w:lang w:val="en-US"/>
        </w:rPr>
        <w:t xml:space="preserve">bloodstream infections, </w:t>
      </w:r>
      <w:r w:rsidR="009402D5">
        <w:rPr>
          <w:rFonts w:ascii="Arial" w:hAnsi="Arial" w:cs="Arial"/>
          <w:bCs/>
          <w:i/>
          <w:sz w:val="18"/>
          <w:szCs w:val="18"/>
          <w:lang w:val="en-US"/>
        </w:rPr>
        <w:t>susceptibility</w:t>
      </w:r>
    </w:p>
    <w:p w:rsidR="00AC096A" w:rsidRPr="00DB5095" w:rsidRDefault="00AC096A" w:rsidP="00362768">
      <w:pPr>
        <w:spacing w:before="120" w:after="120"/>
        <w:jc w:val="both"/>
        <w:rPr>
          <w:rFonts w:ascii="Arial" w:hAnsi="Arial" w:cs="Arial"/>
          <w:sz w:val="20"/>
          <w:szCs w:val="20"/>
          <w:lang w:val="en-US"/>
        </w:rPr>
      </w:pPr>
    </w:p>
    <w:p w:rsidR="001B4203" w:rsidRPr="00DB5095" w:rsidRDefault="001B4203" w:rsidP="00362768">
      <w:pPr>
        <w:spacing w:before="120" w:after="120"/>
        <w:jc w:val="both"/>
        <w:rPr>
          <w:rFonts w:ascii="Arial" w:hAnsi="Arial" w:cs="Arial"/>
          <w:sz w:val="20"/>
          <w:szCs w:val="20"/>
          <w:lang w:val="en-US"/>
        </w:rPr>
      </w:pPr>
    </w:p>
    <w:p w:rsidR="00AC096A" w:rsidRPr="00DB5095" w:rsidRDefault="00AC096A" w:rsidP="00362768">
      <w:pPr>
        <w:spacing w:before="120" w:after="120"/>
        <w:jc w:val="both"/>
        <w:rPr>
          <w:rFonts w:ascii="Arial" w:hAnsi="Arial" w:cs="Arial"/>
          <w:sz w:val="20"/>
          <w:szCs w:val="20"/>
          <w:lang w:val="en-US"/>
        </w:rPr>
        <w:sectPr w:rsidR="00AC096A" w:rsidRPr="00DB5095" w:rsidSect="00EA3D2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14" w:right="1247" w:bottom="1758" w:left="1304" w:header="1304" w:footer="1361" w:gutter="0"/>
          <w:pgNumType w:start="229"/>
          <w:cols w:space="708"/>
          <w:noEndnote/>
          <w:titlePg/>
          <w:docGrid w:linePitch="326"/>
        </w:sectPr>
      </w:pPr>
    </w:p>
    <w:p w:rsidR="00AC096A" w:rsidRPr="00DB5095" w:rsidRDefault="00AC096A" w:rsidP="00362768">
      <w:pPr>
        <w:spacing w:before="120" w:after="120"/>
        <w:jc w:val="both"/>
        <w:rPr>
          <w:rFonts w:ascii="Arial" w:hAnsi="Arial" w:cs="Arial"/>
          <w:b/>
          <w:sz w:val="20"/>
          <w:szCs w:val="20"/>
          <w:lang w:val="en-US"/>
        </w:rPr>
      </w:pPr>
      <w:r w:rsidRPr="00DB5095">
        <w:rPr>
          <w:rFonts w:ascii="Arial" w:hAnsi="Arial" w:cs="Arial"/>
          <w:b/>
          <w:sz w:val="20"/>
          <w:szCs w:val="20"/>
          <w:lang w:val="en-US"/>
        </w:rPr>
        <w:lastRenderedPageBreak/>
        <w:t>INTRODUCTION</w:t>
      </w:r>
    </w:p>
    <w:p w:rsidR="00BE0E94" w:rsidRPr="00DB5095" w:rsidRDefault="00B07EED" w:rsidP="00FB2043">
      <w:pPr>
        <w:spacing w:before="120" w:after="0"/>
        <w:jc w:val="both"/>
        <w:rPr>
          <w:rFonts w:ascii="Arial" w:hAnsi="Arial" w:cs="Arial"/>
          <w:sz w:val="20"/>
          <w:szCs w:val="20"/>
          <w:lang w:val="en-US"/>
        </w:rPr>
      </w:pPr>
      <w:r w:rsidRPr="00DB5095">
        <w:rPr>
          <w:rFonts w:ascii="Arial" w:hAnsi="Arial" w:cs="Arial"/>
          <w:sz w:val="20"/>
          <w:szCs w:val="20"/>
          <w:lang w:val="en-US"/>
        </w:rPr>
        <w:t>Despite the low incidence of anaerobic bloodstream infections (4%) around the world, the mortality in anaerobic bloodstream infections has been reported between 20</w:t>
      </w:r>
      <w:r w:rsidR="00045425" w:rsidRPr="00DB5095">
        <w:rPr>
          <w:rFonts w:ascii="Arial" w:hAnsi="Arial" w:cs="Arial"/>
          <w:sz w:val="20"/>
          <w:szCs w:val="20"/>
          <w:lang w:val="en-US"/>
        </w:rPr>
        <w:t>%</w:t>
      </w:r>
      <w:r w:rsidRPr="00DB5095">
        <w:rPr>
          <w:rFonts w:ascii="Arial" w:hAnsi="Arial" w:cs="Arial"/>
          <w:sz w:val="20"/>
          <w:szCs w:val="20"/>
          <w:lang w:val="en-US"/>
        </w:rPr>
        <w:t xml:space="preserve"> </w:t>
      </w:r>
      <w:r w:rsidR="00045425" w:rsidRPr="00DB5095">
        <w:rPr>
          <w:rFonts w:ascii="Arial" w:hAnsi="Arial" w:cs="Arial"/>
          <w:sz w:val="20"/>
          <w:szCs w:val="20"/>
          <w:lang w:val="en-US"/>
        </w:rPr>
        <w:t>and</w:t>
      </w:r>
      <w:r w:rsidRPr="00DB5095">
        <w:rPr>
          <w:rFonts w:ascii="Arial" w:hAnsi="Arial" w:cs="Arial"/>
          <w:sz w:val="20"/>
          <w:szCs w:val="20"/>
          <w:lang w:val="en-US"/>
        </w:rPr>
        <w:t xml:space="preserve"> 38%. Anaerobic bloodstream infections are uncommon in the community and hospital patients. Anaerobic bacteria are usually considered as normal flora in various sites particularly over mucosal surface areas in the body. The anaerobes require anaerobic condition conditions (the absence of oxygen) to grow and they grow slowly as compared to aerobic organisms. One study from the United States reported the re-emergence of anaerobic </w:t>
      </w:r>
      <w:r w:rsidRPr="00DB5095">
        <w:rPr>
          <w:rFonts w:ascii="Arial" w:hAnsi="Arial" w:cs="Arial"/>
          <w:sz w:val="20"/>
          <w:szCs w:val="20"/>
          <w:lang w:val="en-US"/>
        </w:rPr>
        <w:lastRenderedPageBreak/>
        <w:t xml:space="preserve">bacteremia. The isolation of anaerobes from blood cultures is usually associated with high mortality. Anaerobic bacteria can cause </w:t>
      </w:r>
      <w:proofErr w:type="spellStart"/>
      <w:r w:rsidRPr="00DB5095">
        <w:rPr>
          <w:rFonts w:ascii="Arial" w:hAnsi="Arial" w:cs="Arial"/>
          <w:sz w:val="20"/>
          <w:szCs w:val="20"/>
          <w:lang w:val="en-US"/>
        </w:rPr>
        <w:t>multiorgan</w:t>
      </w:r>
      <w:proofErr w:type="spellEnd"/>
      <w:r w:rsidRPr="00DB5095">
        <w:rPr>
          <w:rFonts w:ascii="Arial" w:hAnsi="Arial" w:cs="Arial"/>
          <w:sz w:val="20"/>
          <w:szCs w:val="20"/>
          <w:lang w:val="en-US"/>
        </w:rPr>
        <w:t xml:space="preserve"> failure [1-5]. Majority of patients with anaerobic bloodstream infections do not receive appropriate empirical antimicrobial treatment as this infection remains unsuspected on clinical basis [6]. One study investigated the impact of inappropriate therapy, such as delay in starting antibiotic or choosing the resistant antibiotic despite availability of the results, in anaerobic bloodstream infections on mortality rates. Higher mortality rate was recorded due to inappropriate anti</w:t>
      </w:r>
      <w:r w:rsidR="00EB247D" w:rsidRPr="00DB5095">
        <w:rPr>
          <w:rFonts w:ascii="Arial" w:hAnsi="Arial" w:cs="Arial"/>
          <w:sz w:val="20"/>
          <w:szCs w:val="20"/>
          <w:lang w:val="en-US"/>
        </w:rPr>
        <w:t>microbial therapy in this study</w:t>
      </w:r>
      <w:r w:rsidRPr="00DB5095">
        <w:rPr>
          <w:rFonts w:ascii="Arial" w:hAnsi="Arial" w:cs="Arial"/>
          <w:sz w:val="20"/>
          <w:szCs w:val="20"/>
          <w:lang w:val="en-US"/>
        </w:rPr>
        <w:t xml:space="preserve"> [7]. Antibiotic susceptibility testing on anaerobic organisms is </w:t>
      </w:r>
      <w:r w:rsidRPr="00DB5095">
        <w:rPr>
          <w:rFonts w:ascii="Arial" w:hAnsi="Arial" w:cs="Arial"/>
          <w:sz w:val="20"/>
          <w:szCs w:val="20"/>
          <w:lang w:val="en-US"/>
        </w:rPr>
        <w:lastRenderedPageBreak/>
        <w:t>usually not carried out as it is technically difficult to perform, expensive and the results are available late because of slow growth of anaerobes. Some studies reported the rise in antimicrobial resistance in an</w:t>
      </w:r>
      <w:r w:rsidR="00045425" w:rsidRPr="00DB5095">
        <w:rPr>
          <w:rFonts w:ascii="Arial" w:hAnsi="Arial" w:cs="Arial"/>
          <w:sz w:val="20"/>
          <w:szCs w:val="20"/>
          <w:lang w:val="en-US"/>
        </w:rPr>
        <w:t>aerobic organisms [8</w:t>
      </w:r>
      <w:proofErr w:type="gramStart"/>
      <w:r w:rsidR="00045425" w:rsidRPr="00DB5095">
        <w:rPr>
          <w:rFonts w:ascii="Arial" w:hAnsi="Arial" w:cs="Arial"/>
          <w:sz w:val="20"/>
          <w:szCs w:val="20"/>
          <w:lang w:val="en-US"/>
        </w:rPr>
        <w:t>,</w:t>
      </w:r>
      <w:r w:rsidRPr="00DB5095">
        <w:rPr>
          <w:rFonts w:ascii="Arial" w:hAnsi="Arial" w:cs="Arial"/>
          <w:sz w:val="20"/>
          <w:szCs w:val="20"/>
          <w:lang w:val="en-US"/>
        </w:rPr>
        <w:t>9</w:t>
      </w:r>
      <w:proofErr w:type="gramEnd"/>
      <w:r w:rsidRPr="00DB5095">
        <w:rPr>
          <w:rFonts w:ascii="Arial" w:hAnsi="Arial" w:cs="Arial"/>
          <w:sz w:val="20"/>
          <w:szCs w:val="20"/>
          <w:lang w:val="en-US"/>
        </w:rPr>
        <w:t>]. Adverse outcome in anaerobic blood stream infections is associated with the use of inappropriate therapy or delay in therapy or delay in the sensitivity results availability. The main objective of our study was to examine the prevalence and antibiotic susceptibility pattern of anaerobic organisms causing bloodstream infections in East Sussex Healthcare Trust, England and evaluate the efficacy of empirical antimicrobial therapy.</w:t>
      </w:r>
    </w:p>
    <w:p w:rsidR="00471D1A" w:rsidRPr="00DB5095" w:rsidRDefault="00471D1A" w:rsidP="00362768">
      <w:pPr>
        <w:spacing w:before="120" w:after="0"/>
        <w:jc w:val="both"/>
        <w:rPr>
          <w:rFonts w:ascii="Arial" w:hAnsi="Arial" w:cs="Arial"/>
          <w:b/>
          <w:sz w:val="20"/>
          <w:szCs w:val="20"/>
          <w:lang w:val="en-US"/>
        </w:rPr>
      </w:pPr>
      <w:r w:rsidRPr="00DB5095">
        <w:rPr>
          <w:rFonts w:ascii="Arial" w:hAnsi="Arial" w:cs="Arial"/>
          <w:b/>
          <w:sz w:val="20"/>
          <w:szCs w:val="20"/>
          <w:lang w:val="en-US"/>
        </w:rPr>
        <w:t>METHODS</w:t>
      </w:r>
    </w:p>
    <w:p w:rsidR="00B07EED" w:rsidRPr="00DB5095" w:rsidRDefault="00B07EED" w:rsidP="00B07EED">
      <w:pPr>
        <w:spacing w:before="120" w:after="120"/>
        <w:jc w:val="both"/>
        <w:rPr>
          <w:rFonts w:ascii="Arial" w:hAnsi="Arial" w:cs="Arial"/>
          <w:sz w:val="20"/>
          <w:szCs w:val="20"/>
          <w:lang w:val="en-US"/>
        </w:rPr>
      </w:pPr>
      <w:r w:rsidRPr="00DB5095">
        <w:rPr>
          <w:rFonts w:ascii="Arial" w:hAnsi="Arial" w:cs="Arial"/>
          <w:sz w:val="20"/>
          <w:szCs w:val="20"/>
          <w:lang w:val="en-US"/>
        </w:rPr>
        <w:t>We conducted a retrospective study on patients from the East Sussex area who were admitted in East Sussex Healthcare Trust with blood culture</w:t>
      </w:r>
      <w:r w:rsidR="00045425" w:rsidRPr="00DB5095">
        <w:rPr>
          <w:rFonts w:ascii="Arial" w:hAnsi="Arial" w:cs="Arial"/>
          <w:sz w:val="20"/>
          <w:szCs w:val="20"/>
          <w:lang w:val="en-US"/>
        </w:rPr>
        <w:t>s diagnostic workup during July</w:t>
      </w:r>
      <w:r w:rsidRPr="00DB5095">
        <w:rPr>
          <w:rFonts w:ascii="Arial" w:hAnsi="Arial" w:cs="Arial"/>
          <w:sz w:val="20"/>
          <w:szCs w:val="20"/>
          <w:lang w:val="en-US"/>
        </w:rPr>
        <w:t xml:space="preserve"> 2007 and June 2017. East Sussex Healthcare Trust is comprised of two acute hospitals (</w:t>
      </w:r>
      <w:proofErr w:type="spellStart"/>
      <w:r w:rsidRPr="00DB5095">
        <w:rPr>
          <w:rFonts w:ascii="Arial" w:hAnsi="Arial" w:cs="Arial"/>
          <w:sz w:val="20"/>
          <w:szCs w:val="20"/>
          <w:lang w:val="en-US"/>
        </w:rPr>
        <w:t>Eastbourne</w:t>
      </w:r>
      <w:proofErr w:type="spellEnd"/>
      <w:r w:rsidRPr="00DB5095">
        <w:rPr>
          <w:rFonts w:ascii="Arial" w:hAnsi="Arial" w:cs="Arial"/>
          <w:sz w:val="20"/>
          <w:szCs w:val="20"/>
          <w:lang w:val="en-US"/>
        </w:rPr>
        <w:t xml:space="preserve"> District General Hospital and The Conquest Hospital) with a total of 800 beds. </w:t>
      </w:r>
    </w:p>
    <w:p w:rsidR="00B07EED" w:rsidRPr="00DB5095" w:rsidRDefault="00B07EED" w:rsidP="00B07EED">
      <w:pPr>
        <w:spacing w:before="120" w:after="120"/>
        <w:jc w:val="both"/>
        <w:rPr>
          <w:rFonts w:ascii="Arial" w:hAnsi="Arial" w:cs="Arial"/>
          <w:sz w:val="20"/>
          <w:szCs w:val="20"/>
          <w:lang w:val="en-US"/>
        </w:rPr>
      </w:pPr>
      <w:r w:rsidRPr="00DB5095">
        <w:rPr>
          <w:rFonts w:ascii="Arial" w:hAnsi="Arial" w:cs="Arial"/>
          <w:sz w:val="20"/>
          <w:szCs w:val="20"/>
          <w:lang w:val="en-US"/>
        </w:rPr>
        <w:t>During the study period, attending physicians ordered a pair of blood culture on patients with bloodstream infections. A pair of blood culture consists of one aerobic and one anaerobic bottle. The blood cultures were collected by the medics, nursing staff or dedicated phlebotomy teams. Blood samples were added into blood culture bottles and loaded into an automated blood culture system (</w:t>
      </w:r>
      <w:proofErr w:type="spellStart"/>
      <w:r w:rsidRPr="00DB5095">
        <w:rPr>
          <w:rFonts w:ascii="Arial" w:hAnsi="Arial" w:cs="Arial"/>
          <w:sz w:val="20"/>
          <w:szCs w:val="20"/>
          <w:lang w:val="en-US"/>
        </w:rPr>
        <w:t>BacT</w:t>
      </w:r>
      <w:proofErr w:type="spellEnd"/>
      <w:r w:rsidRPr="00DB5095">
        <w:rPr>
          <w:rFonts w:ascii="Arial" w:hAnsi="Arial" w:cs="Arial"/>
          <w:sz w:val="20"/>
          <w:szCs w:val="20"/>
          <w:lang w:val="en-US"/>
        </w:rPr>
        <w:t xml:space="preserve">/ALERT, </w:t>
      </w:r>
      <w:proofErr w:type="spellStart"/>
      <w:r w:rsidRPr="00DB5095">
        <w:rPr>
          <w:rFonts w:ascii="Arial" w:hAnsi="Arial" w:cs="Arial"/>
          <w:sz w:val="20"/>
          <w:szCs w:val="20"/>
          <w:lang w:val="en-US"/>
        </w:rPr>
        <w:t>Biomerieux</w:t>
      </w:r>
      <w:proofErr w:type="spellEnd"/>
      <w:r w:rsidRPr="00DB5095">
        <w:rPr>
          <w:rFonts w:ascii="Arial" w:hAnsi="Arial" w:cs="Arial"/>
          <w:sz w:val="20"/>
          <w:szCs w:val="20"/>
          <w:lang w:val="en-US"/>
        </w:rPr>
        <w:t xml:space="preserve">, </w:t>
      </w:r>
      <w:proofErr w:type="gramStart"/>
      <w:r w:rsidRPr="00DB5095">
        <w:rPr>
          <w:rFonts w:ascii="Arial" w:hAnsi="Arial" w:cs="Arial"/>
          <w:sz w:val="20"/>
          <w:szCs w:val="20"/>
          <w:lang w:val="en-US"/>
        </w:rPr>
        <w:t>Durham</w:t>
      </w:r>
      <w:proofErr w:type="gramEnd"/>
      <w:r w:rsidRPr="00DB5095">
        <w:rPr>
          <w:rFonts w:ascii="Arial" w:hAnsi="Arial" w:cs="Arial"/>
          <w:sz w:val="20"/>
          <w:szCs w:val="20"/>
          <w:lang w:val="en-US"/>
        </w:rPr>
        <w:t xml:space="preserve">, NC, USA) and incubated at 37 </w:t>
      </w:r>
      <w:r w:rsidR="00045425" w:rsidRPr="00DB5095">
        <w:rPr>
          <w:rFonts w:ascii="Arial" w:hAnsi="Arial" w:cs="Arial"/>
          <w:sz w:val="20"/>
          <w:szCs w:val="20"/>
          <w:vertAlign w:val="superscript"/>
          <w:lang w:val="en-US"/>
        </w:rPr>
        <w:t>0</w:t>
      </w:r>
      <w:r w:rsidRPr="00DB5095">
        <w:rPr>
          <w:rFonts w:ascii="Arial" w:hAnsi="Arial" w:cs="Arial"/>
          <w:sz w:val="20"/>
          <w:szCs w:val="20"/>
          <w:lang w:val="en-US"/>
        </w:rPr>
        <w:t xml:space="preserve">C for </w:t>
      </w:r>
      <w:r w:rsidR="00045425" w:rsidRPr="00DB5095">
        <w:rPr>
          <w:rFonts w:ascii="Arial" w:hAnsi="Arial" w:cs="Arial"/>
          <w:sz w:val="20"/>
          <w:szCs w:val="20"/>
          <w:lang w:val="en-US"/>
        </w:rPr>
        <w:t>five</w:t>
      </w:r>
      <w:r w:rsidRPr="00DB5095">
        <w:rPr>
          <w:rFonts w:ascii="Arial" w:hAnsi="Arial" w:cs="Arial"/>
          <w:sz w:val="20"/>
          <w:szCs w:val="20"/>
          <w:lang w:val="en-US"/>
        </w:rPr>
        <w:t xml:space="preserve"> days. All bottles showing bacterial growth were </w:t>
      </w:r>
      <w:proofErr w:type="spellStart"/>
      <w:r w:rsidRPr="00DB5095">
        <w:rPr>
          <w:rFonts w:ascii="Arial" w:hAnsi="Arial" w:cs="Arial"/>
          <w:sz w:val="20"/>
          <w:szCs w:val="20"/>
          <w:lang w:val="en-US"/>
        </w:rPr>
        <w:t>subcultured</w:t>
      </w:r>
      <w:proofErr w:type="spellEnd"/>
      <w:r w:rsidRPr="00DB5095">
        <w:rPr>
          <w:rFonts w:ascii="Arial" w:hAnsi="Arial" w:cs="Arial"/>
          <w:sz w:val="20"/>
          <w:szCs w:val="20"/>
          <w:lang w:val="en-US"/>
        </w:rPr>
        <w:t xml:space="preserve"> on to agar (nutrient, chocolate) plates and incubated under both aerobic and anaerobic conditions (FAA or blood containing metronidazole 5 µg disc). Isolated </w:t>
      </w:r>
      <w:proofErr w:type="spellStart"/>
      <w:r w:rsidRPr="00DB5095">
        <w:rPr>
          <w:rFonts w:ascii="Arial" w:hAnsi="Arial" w:cs="Arial"/>
          <w:sz w:val="20"/>
          <w:szCs w:val="20"/>
          <w:lang w:val="en-US"/>
        </w:rPr>
        <w:t>anerobic</w:t>
      </w:r>
      <w:proofErr w:type="spellEnd"/>
      <w:r w:rsidRPr="00DB5095">
        <w:rPr>
          <w:rFonts w:ascii="Arial" w:hAnsi="Arial" w:cs="Arial"/>
          <w:sz w:val="20"/>
          <w:szCs w:val="20"/>
          <w:lang w:val="en-US"/>
        </w:rPr>
        <w:t xml:space="preserve"> bacteria were identified by the conventional and automated method systems such as API, VITEK II (</w:t>
      </w:r>
      <w:proofErr w:type="spellStart"/>
      <w:r w:rsidRPr="00DB5095">
        <w:rPr>
          <w:rFonts w:ascii="Arial" w:hAnsi="Arial" w:cs="Arial"/>
          <w:sz w:val="20"/>
          <w:szCs w:val="20"/>
          <w:lang w:val="en-US"/>
        </w:rPr>
        <w:t>BioMeurex</w:t>
      </w:r>
      <w:proofErr w:type="spellEnd"/>
      <w:r w:rsidRPr="00DB5095">
        <w:rPr>
          <w:rFonts w:ascii="Arial" w:hAnsi="Arial" w:cs="Arial"/>
          <w:sz w:val="20"/>
          <w:szCs w:val="20"/>
          <w:lang w:val="en-US"/>
        </w:rPr>
        <w:t xml:space="preserve">) and MALDI-TOF MS (Bruker </w:t>
      </w:r>
      <w:proofErr w:type="spellStart"/>
      <w:r w:rsidRPr="00DB5095">
        <w:rPr>
          <w:rFonts w:ascii="Arial" w:hAnsi="Arial" w:cs="Arial"/>
          <w:sz w:val="20"/>
          <w:szCs w:val="20"/>
          <w:lang w:val="en-US"/>
        </w:rPr>
        <w:t>Daltonik</w:t>
      </w:r>
      <w:proofErr w:type="spellEnd"/>
      <w:r w:rsidRPr="00DB5095">
        <w:rPr>
          <w:rFonts w:ascii="Arial" w:hAnsi="Arial" w:cs="Arial"/>
          <w:sz w:val="20"/>
          <w:szCs w:val="20"/>
          <w:lang w:val="en-US"/>
        </w:rPr>
        <w:t>, Bremen, Germany).</w:t>
      </w:r>
    </w:p>
    <w:p w:rsidR="00B07EED" w:rsidRPr="00DB5095" w:rsidRDefault="00B07EED" w:rsidP="00B07EED">
      <w:pPr>
        <w:spacing w:before="120" w:after="120"/>
        <w:jc w:val="both"/>
        <w:rPr>
          <w:rFonts w:ascii="Arial" w:hAnsi="Arial" w:cs="Arial"/>
          <w:sz w:val="20"/>
          <w:szCs w:val="20"/>
          <w:lang w:val="en-US"/>
        </w:rPr>
      </w:pPr>
      <w:r w:rsidRPr="00DB5095">
        <w:rPr>
          <w:rFonts w:ascii="Arial" w:hAnsi="Arial" w:cs="Arial"/>
          <w:sz w:val="20"/>
          <w:szCs w:val="20"/>
          <w:lang w:val="en-US"/>
        </w:rPr>
        <w:t xml:space="preserve">Antibiotic susceptibility testing on anaerobic organisms was done by the disc diffusion method and the results were interpreted in accordance with EUCAST (The European Committee on Antimicrobial Susceptibility Testing) [10]. Antibiotic sensitivity was done by using clindamycin, amoxicillin/clavulanic acid, metronidazole, penicillin discs and E-test strips </w:t>
      </w:r>
      <w:r w:rsidRPr="00DB5095">
        <w:rPr>
          <w:rFonts w:ascii="Arial" w:hAnsi="Arial" w:cs="Arial"/>
          <w:sz w:val="20"/>
          <w:szCs w:val="20"/>
          <w:lang w:val="en-US"/>
        </w:rPr>
        <w:lastRenderedPageBreak/>
        <w:t xml:space="preserve">were also used on Muller-Hinton agar plates where indicated to determine the antibiotic sensitivity on anaerobes (EUCAST). </w:t>
      </w:r>
    </w:p>
    <w:p w:rsidR="00B07EED" w:rsidRPr="00DB5095" w:rsidRDefault="00B07EED" w:rsidP="00B07EED">
      <w:pPr>
        <w:spacing w:before="120" w:after="120"/>
        <w:jc w:val="both"/>
        <w:rPr>
          <w:rFonts w:ascii="Arial" w:hAnsi="Arial" w:cs="Arial"/>
          <w:b/>
          <w:i/>
          <w:sz w:val="20"/>
          <w:szCs w:val="20"/>
          <w:lang w:val="en-US"/>
        </w:rPr>
      </w:pPr>
      <w:r w:rsidRPr="00DB5095">
        <w:rPr>
          <w:rFonts w:ascii="Arial" w:hAnsi="Arial" w:cs="Arial"/>
          <w:b/>
          <w:i/>
          <w:sz w:val="20"/>
          <w:szCs w:val="20"/>
          <w:lang w:val="en-US"/>
        </w:rPr>
        <w:t>Standards / guidelines / evidence base</w:t>
      </w:r>
    </w:p>
    <w:p w:rsidR="009E3E1C" w:rsidRPr="00DB5095" w:rsidRDefault="00B07EED" w:rsidP="00B07EED">
      <w:pPr>
        <w:spacing w:before="120" w:after="120"/>
        <w:jc w:val="both"/>
        <w:rPr>
          <w:rFonts w:ascii="Arial" w:hAnsi="Arial" w:cs="Arial"/>
          <w:bCs/>
          <w:sz w:val="20"/>
          <w:szCs w:val="20"/>
          <w:lang w:val="en-US"/>
        </w:rPr>
      </w:pPr>
      <w:r w:rsidRPr="00DB5095">
        <w:rPr>
          <w:rFonts w:ascii="Arial" w:hAnsi="Arial" w:cs="Arial"/>
          <w:sz w:val="20"/>
          <w:szCs w:val="20"/>
          <w:lang w:val="en-US"/>
        </w:rPr>
        <w:t>The antibiotic guidelines at East Sussex Healthcare Trust for the management of sepsis in patient suggest amoxicillin/clavulanic acid and gentamicin as first line therapy. It is also recommended to take microbiology specimens for culture and sensitivity before initiation of antimicrobial therapy. Alternative therapies included piperacillin/</w:t>
      </w:r>
      <w:proofErr w:type="spellStart"/>
      <w:r w:rsidRPr="00DB5095">
        <w:rPr>
          <w:rFonts w:ascii="Arial" w:hAnsi="Arial" w:cs="Arial"/>
          <w:sz w:val="20"/>
          <w:szCs w:val="20"/>
          <w:lang w:val="en-US"/>
        </w:rPr>
        <w:t>tazobactam</w:t>
      </w:r>
      <w:proofErr w:type="spellEnd"/>
      <w:r w:rsidRPr="00DB5095">
        <w:rPr>
          <w:rFonts w:ascii="Arial" w:hAnsi="Arial" w:cs="Arial"/>
          <w:sz w:val="20"/>
          <w:szCs w:val="20"/>
          <w:lang w:val="en-US"/>
        </w:rPr>
        <w:t xml:space="preserve">, or </w:t>
      </w:r>
      <w:proofErr w:type="spellStart"/>
      <w:r w:rsidRPr="00DB5095">
        <w:rPr>
          <w:rFonts w:ascii="Arial" w:hAnsi="Arial" w:cs="Arial"/>
          <w:sz w:val="20"/>
          <w:szCs w:val="20"/>
          <w:lang w:val="en-US"/>
        </w:rPr>
        <w:t>meropenem</w:t>
      </w:r>
      <w:proofErr w:type="spellEnd"/>
      <w:r w:rsidRPr="00DB5095">
        <w:rPr>
          <w:rFonts w:ascii="Arial" w:hAnsi="Arial" w:cs="Arial"/>
          <w:sz w:val="20"/>
          <w:szCs w:val="20"/>
          <w:lang w:val="en-US"/>
        </w:rPr>
        <w:t xml:space="preserve"> or metronidazole and either vancomycin and gentamicin or vancomycin and ciprofloxacin.</w:t>
      </w:r>
    </w:p>
    <w:p w:rsidR="00AC096A" w:rsidRPr="00DB5095" w:rsidRDefault="00AC096A" w:rsidP="00362768">
      <w:pPr>
        <w:spacing w:before="120" w:after="120"/>
        <w:jc w:val="both"/>
        <w:rPr>
          <w:rFonts w:ascii="Arial" w:hAnsi="Arial" w:cs="Arial"/>
          <w:b/>
          <w:sz w:val="20"/>
          <w:szCs w:val="20"/>
          <w:lang w:val="en-US"/>
        </w:rPr>
      </w:pPr>
      <w:r w:rsidRPr="00DB5095">
        <w:rPr>
          <w:rFonts w:ascii="Arial" w:hAnsi="Arial" w:cs="Arial"/>
          <w:b/>
          <w:sz w:val="20"/>
          <w:szCs w:val="20"/>
          <w:lang w:val="en-US"/>
        </w:rPr>
        <w:t>RESULTS</w:t>
      </w:r>
    </w:p>
    <w:p w:rsidR="00B07EED" w:rsidRPr="00DB5095" w:rsidRDefault="00B07EED" w:rsidP="00B07EED">
      <w:pPr>
        <w:spacing w:before="120" w:after="120"/>
        <w:jc w:val="both"/>
        <w:rPr>
          <w:rFonts w:ascii="Arial" w:hAnsi="Arial" w:cs="Arial"/>
          <w:bCs/>
          <w:sz w:val="20"/>
          <w:szCs w:val="20"/>
          <w:lang w:val="en-US"/>
        </w:rPr>
      </w:pPr>
      <w:r w:rsidRPr="00DB5095">
        <w:rPr>
          <w:rFonts w:ascii="Arial" w:hAnsi="Arial" w:cs="Arial"/>
          <w:bCs/>
          <w:sz w:val="20"/>
          <w:szCs w:val="20"/>
          <w:lang w:val="en-US"/>
        </w:rPr>
        <w:t>During the study period, 106,905 blood cultures were processed in the microbiology laboratory. A total of 324 anaerobic organisms were isolated from 312 blood cultures on 310 patients (167 males), representing a positivity rate of 0.30% of total blood cultures and 2.41% of positive blood cultures (13,425). Approximately 76% (238 episodes) of anaerobic bacteremia occurred in &gt;60 years old (236) patients. Figure 1 illustrates the age distribution of all patients with anaerobic blood stream infections. The incidence of anaerobic BSI fluctuated every year during the study period by reaching up to 42 cases in 2010 and 2016 and hitting as low as 17 cases in 2014. Nineteen, 23, 35, 31, 20, 26, 32 and 25 cases were reported in 2007, 2008, 2009, 2011, 2012, 2013, 2015 and 2017</w:t>
      </w:r>
      <w:r w:rsidR="00B83168" w:rsidRPr="00DB5095">
        <w:rPr>
          <w:rFonts w:ascii="Arial" w:hAnsi="Arial" w:cs="Arial"/>
          <w:bCs/>
          <w:sz w:val="20"/>
          <w:szCs w:val="20"/>
          <w:lang w:val="en-US"/>
        </w:rPr>
        <w:t>,</w:t>
      </w:r>
      <w:r w:rsidRPr="00DB5095">
        <w:rPr>
          <w:rFonts w:ascii="Arial" w:hAnsi="Arial" w:cs="Arial"/>
          <w:bCs/>
          <w:sz w:val="20"/>
          <w:szCs w:val="20"/>
          <w:lang w:val="en-US"/>
        </w:rPr>
        <w:t xml:space="preserve"> respectively. </w:t>
      </w:r>
    </w:p>
    <w:p w:rsidR="00B07EED" w:rsidRPr="00DB5095" w:rsidRDefault="00B07EED" w:rsidP="00B07EED">
      <w:pPr>
        <w:spacing w:before="120" w:after="120"/>
        <w:jc w:val="both"/>
        <w:rPr>
          <w:rFonts w:ascii="Arial" w:hAnsi="Arial" w:cs="Arial"/>
          <w:bCs/>
          <w:sz w:val="20"/>
          <w:szCs w:val="20"/>
          <w:lang w:val="en-US"/>
        </w:rPr>
      </w:pPr>
      <w:r w:rsidRPr="00DB5095">
        <w:rPr>
          <w:rFonts w:ascii="Arial" w:hAnsi="Arial" w:cs="Arial"/>
          <w:bCs/>
          <w:sz w:val="20"/>
          <w:szCs w:val="20"/>
          <w:lang w:val="en-US"/>
        </w:rPr>
        <w:t>The admitting services were: emergency department (ED) (40%, 125), medical (25%, 78), surgical (</w:t>
      </w:r>
      <w:r w:rsidR="00045425" w:rsidRPr="00DB5095">
        <w:rPr>
          <w:rFonts w:ascii="Arial" w:hAnsi="Arial" w:cs="Arial"/>
          <w:bCs/>
          <w:sz w:val="20"/>
          <w:szCs w:val="20"/>
          <w:lang w:val="en-US"/>
        </w:rPr>
        <w:t xml:space="preserve">56, </w:t>
      </w:r>
      <w:r w:rsidRPr="00DB5095">
        <w:rPr>
          <w:rFonts w:ascii="Arial" w:hAnsi="Arial" w:cs="Arial"/>
          <w:bCs/>
          <w:sz w:val="20"/>
          <w:szCs w:val="20"/>
          <w:lang w:val="en-US"/>
        </w:rPr>
        <w:t>16%) critical care unit (</w:t>
      </w:r>
      <w:r w:rsidR="00045425" w:rsidRPr="00DB5095">
        <w:rPr>
          <w:rFonts w:ascii="Arial" w:hAnsi="Arial" w:cs="Arial"/>
          <w:bCs/>
          <w:sz w:val="20"/>
          <w:szCs w:val="20"/>
          <w:lang w:val="en-US"/>
        </w:rPr>
        <w:t xml:space="preserve">21, </w:t>
      </w:r>
      <w:r w:rsidRPr="00DB5095">
        <w:rPr>
          <w:rFonts w:ascii="Arial" w:hAnsi="Arial" w:cs="Arial"/>
          <w:bCs/>
          <w:sz w:val="20"/>
          <w:szCs w:val="20"/>
          <w:lang w:val="en-US"/>
        </w:rPr>
        <w:t>7%), hematology (17</w:t>
      </w:r>
      <w:r w:rsidR="00045425" w:rsidRPr="00DB5095">
        <w:rPr>
          <w:rFonts w:ascii="Arial" w:hAnsi="Arial" w:cs="Arial"/>
          <w:bCs/>
          <w:sz w:val="20"/>
          <w:szCs w:val="20"/>
          <w:lang w:val="en-US"/>
        </w:rPr>
        <w:t>, 5%</w:t>
      </w:r>
      <w:r w:rsidRPr="00DB5095">
        <w:rPr>
          <w:rFonts w:ascii="Arial" w:hAnsi="Arial" w:cs="Arial"/>
          <w:bCs/>
          <w:sz w:val="20"/>
          <w:szCs w:val="20"/>
          <w:lang w:val="en-US"/>
        </w:rPr>
        <w:t>), urology (</w:t>
      </w:r>
      <w:r w:rsidR="00045425" w:rsidRPr="00DB5095">
        <w:rPr>
          <w:rFonts w:ascii="Arial" w:hAnsi="Arial" w:cs="Arial"/>
          <w:bCs/>
          <w:sz w:val="20"/>
          <w:szCs w:val="20"/>
          <w:lang w:val="en-US"/>
        </w:rPr>
        <w:t xml:space="preserve">8, </w:t>
      </w:r>
      <w:r w:rsidRPr="00DB5095">
        <w:rPr>
          <w:rFonts w:ascii="Arial" w:hAnsi="Arial" w:cs="Arial"/>
          <w:bCs/>
          <w:sz w:val="20"/>
          <w:szCs w:val="20"/>
          <w:lang w:val="en-US"/>
        </w:rPr>
        <w:t>3%), and others (</w:t>
      </w:r>
      <w:r w:rsidR="00045425" w:rsidRPr="00DB5095">
        <w:rPr>
          <w:rFonts w:ascii="Arial" w:hAnsi="Arial" w:cs="Arial"/>
          <w:bCs/>
          <w:sz w:val="20"/>
          <w:szCs w:val="20"/>
          <w:lang w:val="en-US"/>
        </w:rPr>
        <w:t xml:space="preserve">7, </w:t>
      </w:r>
      <w:r w:rsidRPr="00DB5095">
        <w:rPr>
          <w:rFonts w:ascii="Arial" w:hAnsi="Arial" w:cs="Arial"/>
          <w:bCs/>
          <w:sz w:val="20"/>
          <w:szCs w:val="20"/>
          <w:lang w:val="en-US"/>
        </w:rPr>
        <w:t xml:space="preserve">3%). </w:t>
      </w:r>
    </w:p>
    <w:p w:rsidR="00B07EED" w:rsidRPr="00DB5095" w:rsidRDefault="00B07EED" w:rsidP="00B07EED">
      <w:pPr>
        <w:spacing w:before="120" w:after="120"/>
        <w:jc w:val="both"/>
        <w:rPr>
          <w:rFonts w:ascii="Arial" w:hAnsi="Arial" w:cs="Arial"/>
          <w:bCs/>
          <w:sz w:val="20"/>
          <w:szCs w:val="20"/>
          <w:lang w:val="en-US"/>
        </w:rPr>
      </w:pPr>
      <w:r w:rsidRPr="00DB5095">
        <w:rPr>
          <w:rFonts w:ascii="Arial" w:hAnsi="Arial" w:cs="Arial"/>
          <w:bCs/>
          <w:sz w:val="20"/>
          <w:szCs w:val="20"/>
          <w:lang w:val="en-US"/>
        </w:rPr>
        <w:t xml:space="preserve">Of 324 anaerobic organisms, the most frequent isolates were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(135, 42%), Clostridium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(79, 24%), and Propionibacterium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(28, 9%). Other 78 organisms included anaerobic Gram negative bacilli, </w:t>
      </w:r>
      <w:r w:rsidRPr="00DB5095">
        <w:rPr>
          <w:rFonts w:ascii="Arial" w:hAnsi="Arial" w:cs="Arial"/>
          <w:bCs/>
          <w:i/>
          <w:sz w:val="20"/>
          <w:szCs w:val="20"/>
          <w:lang w:val="en-US"/>
        </w:rPr>
        <w:t xml:space="preserve">Fusobacterium </w:t>
      </w:r>
      <w:r w:rsidR="00EC4D65" w:rsidRPr="00DB5095">
        <w:rPr>
          <w:rFonts w:ascii="Arial" w:hAnsi="Arial" w:cs="Arial"/>
          <w:bCs/>
          <w:i/>
          <w:sz w:val="20"/>
          <w:szCs w:val="20"/>
          <w:lang w:val="en-US"/>
        </w:rPr>
        <w:t>spp.</w:t>
      </w:r>
      <w:r w:rsidRPr="00DB5095">
        <w:rPr>
          <w:rFonts w:ascii="Arial" w:hAnsi="Arial" w:cs="Arial"/>
          <w:bCs/>
          <w:i/>
          <w:sz w:val="20"/>
          <w:szCs w:val="20"/>
          <w:lang w:val="en-US"/>
        </w:rPr>
        <w:t xml:space="preserve">, </w:t>
      </w:r>
      <w:proofErr w:type="spellStart"/>
      <w:r w:rsidRPr="00DB5095">
        <w:rPr>
          <w:rFonts w:ascii="Arial" w:hAnsi="Arial" w:cs="Arial"/>
          <w:bCs/>
          <w:i/>
          <w:sz w:val="20"/>
          <w:szCs w:val="20"/>
          <w:lang w:val="en-US"/>
        </w:rPr>
        <w:t>Prevotella</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i/>
          <w:sz w:val="20"/>
          <w:szCs w:val="20"/>
          <w:lang w:val="en-US"/>
        </w:rPr>
        <w:t>,</w:t>
      </w:r>
      <w:r w:rsidRPr="00DB5095">
        <w:rPr>
          <w:rFonts w:ascii="Arial" w:hAnsi="Arial" w:cs="Arial"/>
          <w:bCs/>
          <w:sz w:val="20"/>
          <w:szCs w:val="20"/>
          <w:lang w:val="en-US"/>
        </w:rPr>
        <w:t xml:space="preserve"> anaerobic cocci, </w:t>
      </w:r>
      <w:proofErr w:type="spellStart"/>
      <w:r w:rsidRPr="00DB5095">
        <w:rPr>
          <w:rFonts w:ascii="Arial" w:hAnsi="Arial" w:cs="Arial"/>
          <w:bCs/>
          <w:i/>
          <w:sz w:val="20"/>
          <w:szCs w:val="20"/>
          <w:lang w:val="en-US"/>
        </w:rPr>
        <w:t>Veilleonella</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i/>
          <w:sz w:val="20"/>
          <w:szCs w:val="20"/>
          <w:lang w:val="en-US"/>
        </w:rPr>
        <w:t xml:space="preserve">, and </w:t>
      </w:r>
      <w:proofErr w:type="spellStart"/>
      <w:r w:rsidRPr="00DB5095">
        <w:rPr>
          <w:rFonts w:ascii="Arial" w:hAnsi="Arial" w:cs="Arial"/>
          <w:bCs/>
          <w:i/>
          <w:sz w:val="20"/>
          <w:szCs w:val="20"/>
          <w:lang w:val="en-US"/>
        </w:rPr>
        <w:t>Peptostreptococcus</w:t>
      </w:r>
      <w:proofErr w:type="spellEnd"/>
      <w:r w:rsidRPr="00DB5095">
        <w:rPr>
          <w:rFonts w:ascii="Arial" w:hAnsi="Arial" w:cs="Arial"/>
          <w:bCs/>
          <w:sz w:val="20"/>
          <w:szCs w:val="20"/>
          <w:lang w:val="en-US"/>
        </w:rPr>
        <w:t xml:space="preserve"> </w:t>
      </w:r>
      <w:r w:rsidR="00EC4D65" w:rsidRPr="00DB5095">
        <w:rPr>
          <w:rFonts w:ascii="Arial" w:hAnsi="Arial" w:cs="Arial"/>
          <w:bCs/>
          <w:sz w:val="20"/>
          <w:szCs w:val="20"/>
          <w:lang w:val="en-US"/>
        </w:rPr>
        <w:t>spp.</w:t>
      </w:r>
      <w:r w:rsidRPr="00DB5095">
        <w:rPr>
          <w:rFonts w:ascii="Arial" w:hAnsi="Arial" w:cs="Arial"/>
          <w:bCs/>
          <w:sz w:val="20"/>
          <w:szCs w:val="20"/>
          <w:lang w:val="en-US"/>
        </w:rPr>
        <w:t xml:space="preserve"> (Table 1). A total of 175 Gram negative bacilli were isolated. Of 175 Gram negative bacilli,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w:t>
      </w:r>
      <w:proofErr w:type="gramStart"/>
      <w:r w:rsidRPr="00DB5095">
        <w:rPr>
          <w:rFonts w:ascii="Arial" w:hAnsi="Arial" w:cs="Arial"/>
          <w:bCs/>
          <w:sz w:val="20"/>
          <w:szCs w:val="20"/>
          <w:lang w:val="en-US"/>
        </w:rPr>
        <w:t>were</w:t>
      </w:r>
      <w:proofErr w:type="gramEnd"/>
      <w:r w:rsidRPr="00DB5095">
        <w:rPr>
          <w:rFonts w:ascii="Arial" w:hAnsi="Arial" w:cs="Arial"/>
          <w:bCs/>
          <w:sz w:val="20"/>
          <w:szCs w:val="20"/>
          <w:lang w:val="en-US"/>
        </w:rPr>
        <w:t xml:space="preserve"> predominant (135, 77%). Twenty-two Gram negative bacilli remained unidentified. Among </w:t>
      </w:r>
      <w:r w:rsidRPr="00DB5095">
        <w:rPr>
          <w:rFonts w:ascii="Arial" w:hAnsi="Arial" w:cs="Arial"/>
          <w:bCs/>
          <w:sz w:val="20"/>
          <w:szCs w:val="20"/>
          <w:lang w:val="en-US"/>
        </w:rPr>
        <w:lastRenderedPageBreak/>
        <w:t xml:space="preserve">the spore forming organisms (79), Clostridium perfringens were the most commonly isolated organism. </w:t>
      </w:r>
      <w:proofErr w:type="spellStart"/>
      <w:r w:rsidRPr="00DB5095">
        <w:rPr>
          <w:rFonts w:ascii="Arial" w:hAnsi="Arial" w:cs="Arial"/>
          <w:bCs/>
          <w:sz w:val="20"/>
          <w:szCs w:val="20"/>
          <w:lang w:val="en-US"/>
        </w:rPr>
        <w:t>Polymicrobial</w:t>
      </w:r>
      <w:proofErr w:type="spellEnd"/>
      <w:r w:rsidRPr="00DB5095">
        <w:rPr>
          <w:rFonts w:ascii="Arial" w:hAnsi="Arial" w:cs="Arial"/>
          <w:bCs/>
          <w:sz w:val="20"/>
          <w:szCs w:val="20"/>
          <w:lang w:val="en-US"/>
        </w:rPr>
        <w:t xml:space="preserve"> anaerobic infections were recorded in 45 episodes and 60 aerobic organisms were isolated. Most commonly isolated organisms along with anaerobes were </w:t>
      </w:r>
      <w:r w:rsidR="00A50A9D" w:rsidRPr="00DB5095">
        <w:rPr>
          <w:rFonts w:ascii="Arial" w:hAnsi="Arial" w:cs="Arial"/>
          <w:bCs/>
          <w:i/>
          <w:sz w:val="20"/>
          <w:szCs w:val="20"/>
          <w:lang w:val="en-US"/>
        </w:rPr>
        <w:t>Escherichia coli</w:t>
      </w:r>
      <w:r w:rsidRPr="00DB5095">
        <w:rPr>
          <w:rFonts w:ascii="Arial" w:hAnsi="Arial" w:cs="Arial"/>
          <w:bCs/>
          <w:sz w:val="20"/>
          <w:szCs w:val="20"/>
          <w:lang w:val="en-US"/>
        </w:rPr>
        <w:t xml:space="preserve"> (19), </w:t>
      </w:r>
      <w:proofErr w:type="spellStart"/>
      <w:r w:rsidRPr="00DB5095">
        <w:rPr>
          <w:rFonts w:ascii="Arial" w:hAnsi="Arial" w:cs="Arial"/>
          <w:bCs/>
          <w:i/>
          <w:sz w:val="20"/>
          <w:szCs w:val="20"/>
          <w:lang w:val="en-US"/>
        </w:rPr>
        <w:t>Klebsiella</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(9), </w:t>
      </w:r>
      <w:r w:rsidRPr="00DB5095">
        <w:rPr>
          <w:rFonts w:ascii="Arial" w:hAnsi="Arial" w:cs="Arial"/>
          <w:bCs/>
          <w:i/>
          <w:sz w:val="20"/>
          <w:szCs w:val="20"/>
          <w:lang w:val="en-US"/>
        </w:rPr>
        <w:t xml:space="preserve">Streptococcus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(8), Coagulase negative </w:t>
      </w:r>
      <w:r w:rsidRPr="00DB5095">
        <w:rPr>
          <w:rFonts w:ascii="Arial" w:hAnsi="Arial" w:cs="Arial"/>
          <w:bCs/>
          <w:i/>
          <w:sz w:val="20"/>
          <w:szCs w:val="20"/>
          <w:lang w:val="en-US"/>
        </w:rPr>
        <w:t>Staphylococcus</w:t>
      </w:r>
      <w:r w:rsidRPr="00DB5095">
        <w:rPr>
          <w:rFonts w:ascii="Arial" w:hAnsi="Arial" w:cs="Arial"/>
          <w:bCs/>
          <w:sz w:val="20"/>
          <w:szCs w:val="20"/>
          <w:lang w:val="en-US"/>
        </w:rPr>
        <w:t xml:space="preserve"> (6), </w:t>
      </w:r>
      <w:r w:rsidRPr="00DB5095">
        <w:rPr>
          <w:rFonts w:ascii="Arial" w:hAnsi="Arial" w:cs="Arial"/>
          <w:bCs/>
          <w:i/>
          <w:sz w:val="20"/>
          <w:szCs w:val="20"/>
          <w:lang w:val="en-US"/>
        </w:rPr>
        <w:t xml:space="preserve">Enterococcus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(5) and </w:t>
      </w:r>
      <w:r w:rsidRPr="00DB5095">
        <w:rPr>
          <w:rFonts w:ascii="Arial" w:hAnsi="Arial" w:cs="Arial"/>
          <w:bCs/>
          <w:i/>
          <w:sz w:val="20"/>
          <w:szCs w:val="20"/>
          <w:lang w:val="en-US"/>
        </w:rPr>
        <w:t>Staphylococcus aureus</w:t>
      </w:r>
      <w:r w:rsidRPr="00DB5095">
        <w:rPr>
          <w:rFonts w:ascii="Arial" w:hAnsi="Arial" w:cs="Arial"/>
          <w:bCs/>
          <w:sz w:val="20"/>
          <w:szCs w:val="20"/>
          <w:lang w:val="en-US"/>
        </w:rPr>
        <w:t xml:space="preserve"> (3). </w:t>
      </w:r>
    </w:p>
    <w:p w:rsidR="00B07EED" w:rsidRPr="00DB5095" w:rsidRDefault="00B07EED" w:rsidP="00B07EED">
      <w:pPr>
        <w:spacing w:before="120" w:after="120"/>
        <w:jc w:val="both"/>
        <w:rPr>
          <w:rFonts w:ascii="Arial" w:hAnsi="Arial" w:cs="Arial"/>
          <w:b/>
          <w:bCs/>
          <w:i/>
          <w:sz w:val="20"/>
          <w:szCs w:val="20"/>
          <w:lang w:val="en-US"/>
        </w:rPr>
      </w:pPr>
      <w:r w:rsidRPr="00DB5095">
        <w:rPr>
          <w:rFonts w:ascii="Arial" w:hAnsi="Arial" w:cs="Arial"/>
          <w:b/>
          <w:bCs/>
          <w:i/>
          <w:sz w:val="20"/>
          <w:szCs w:val="20"/>
          <w:lang w:val="en-US"/>
        </w:rPr>
        <w:t>Antibiotic sensitivity</w:t>
      </w:r>
    </w:p>
    <w:p w:rsidR="00452A95" w:rsidRDefault="00B07EED" w:rsidP="00452A95">
      <w:pPr>
        <w:spacing w:before="120" w:after="120"/>
        <w:jc w:val="both"/>
        <w:rPr>
          <w:rFonts w:ascii="Arial" w:hAnsi="Arial" w:cs="Arial"/>
          <w:bCs/>
          <w:sz w:val="20"/>
          <w:szCs w:val="20"/>
          <w:lang w:val="en-US"/>
        </w:rPr>
      </w:pPr>
      <w:r w:rsidRPr="00DB5095">
        <w:rPr>
          <w:rFonts w:ascii="Arial" w:hAnsi="Arial" w:cs="Arial"/>
          <w:bCs/>
          <w:sz w:val="20"/>
          <w:szCs w:val="20"/>
          <w:lang w:val="en-US"/>
        </w:rPr>
        <w:t xml:space="preserve">Metronidazole was highly effective against </w:t>
      </w:r>
      <w:r w:rsidRPr="00DB5095">
        <w:rPr>
          <w:rFonts w:ascii="Arial" w:hAnsi="Arial" w:cs="Arial"/>
          <w:bCs/>
          <w:i/>
          <w:sz w:val="20"/>
          <w:szCs w:val="20"/>
          <w:lang w:val="en-US"/>
        </w:rPr>
        <w:t xml:space="preserve">Clostridium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(99%),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(99%), </w:t>
      </w:r>
      <w:r w:rsidRPr="00DB5095">
        <w:rPr>
          <w:rFonts w:ascii="Arial" w:hAnsi="Arial" w:cs="Arial"/>
          <w:bCs/>
          <w:i/>
          <w:sz w:val="20"/>
          <w:szCs w:val="20"/>
          <w:lang w:val="en-US"/>
        </w:rPr>
        <w:t xml:space="preserve">Fusobacterium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(91%) </w:t>
      </w:r>
      <w:r w:rsidR="00A50A9D" w:rsidRPr="00DB5095">
        <w:rPr>
          <w:rFonts w:ascii="Arial" w:hAnsi="Arial" w:cs="Arial"/>
          <w:bCs/>
          <w:sz w:val="20"/>
          <w:szCs w:val="20"/>
          <w:lang w:val="en-US"/>
        </w:rPr>
        <w:t xml:space="preserve">and </w:t>
      </w:r>
      <w:proofErr w:type="spellStart"/>
      <w:r w:rsidR="00A50A9D" w:rsidRPr="00DB5095">
        <w:rPr>
          <w:rFonts w:ascii="Arial" w:hAnsi="Arial" w:cs="Arial"/>
          <w:bCs/>
          <w:i/>
          <w:sz w:val="20"/>
          <w:szCs w:val="20"/>
          <w:lang w:val="en-US"/>
        </w:rPr>
        <w:t>Prevotella</w:t>
      </w:r>
      <w:proofErr w:type="spellEnd"/>
      <w:r w:rsidR="00A50A9D"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00A50A9D" w:rsidRPr="00DB5095">
        <w:rPr>
          <w:rFonts w:ascii="Arial" w:hAnsi="Arial" w:cs="Arial"/>
          <w:bCs/>
          <w:sz w:val="20"/>
          <w:szCs w:val="20"/>
          <w:lang w:val="en-US"/>
        </w:rPr>
        <w:t xml:space="preserve"> (100%). </w:t>
      </w:r>
      <w:r w:rsidRPr="00DB5095">
        <w:rPr>
          <w:rFonts w:ascii="Arial" w:hAnsi="Arial" w:cs="Arial"/>
          <w:bCs/>
          <w:sz w:val="20"/>
          <w:szCs w:val="20"/>
          <w:lang w:val="en-US"/>
        </w:rPr>
        <w:t xml:space="preserve">On the other hand, 99% </w:t>
      </w:r>
      <w:r w:rsidRPr="00DB5095">
        <w:rPr>
          <w:rFonts w:ascii="Arial" w:hAnsi="Arial" w:cs="Arial"/>
          <w:bCs/>
          <w:i/>
          <w:sz w:val="20"/>
          <w:szCs w:val="20"/>
          <w:lang w:val="en-US"/>
        </w:rPr>
        <w:t xml:space="preserve">Clostridium </w:t>
      </w:r>
      <w:r w:rsidR="00EC4D65" w:rsidRPr="00DB5095">
        <w:rPr>
          <w:rFonts w:ascii="Arial" w:hAnsi="Arial" w:cs="Arial"/>
          <w:bCs/>
          <w:i/>
          <w:sz w:val="20"/>
          <w:szCs w:val="20"/>
          <w:lang w:val="en-US"/>
        </w:rPr>
        <w:t>spp.</w:t>
      </w:r>
      <w:r w:rsidR="00A50A9D" w:rsidRPr="00DB5095">
        <w:rPr>
          <w:rFonts w:ascii="Arial" w:hAnsi="Arial" w:cs="Arial"/>
          <w:bCs/>
          <w:sz w:val="20"/>
          <w:szCs w:val="20"/>
          <w:lang w:val="en-US"/>
        </w:rPr>
        <w:t xml:space="preserve">, 92% </w:t>
      </w:r>
      <w:proofErr w:type="spellStart"/>
      <w:r w:rsidR="00A50A9D" w:rsidRPr="00DB5095">
        <w:rPr>
          <w:rFonts w:ascii="Arial" w:hAnsi="Arial" w:cs="Arial"/>
          <w:bCs/>
          <w:i/>
          <w:sz w:val="20"/>
          <w:szCs w:val="20"/>
          <w:lang w:val="en-US"/>
        </w:rPr>
        <w:t>Bacteroides</w:t>
      </w:r>
      <w:proofErr w:type="spellEnd"/>
      <w:r w:rsidR="00A50A9D" w:rsidRPr="00DB5095">
        <w:rPr>
          <w:rFonts w:ascii="Arial" w:hAnsi="Arial" w:cs="Arial"/>
          <w:bCs/>
          <w:sz w:val="20"/>
          <w:szCs w:val="20"/>
          <w:lang w:val="en-US"/>
        </w:rPr>
        <w:t xml:space="preserve"> </w:t>
      </w:r>
      <w:r w:rsidR="00EC4D65" w:rsidRPr="00DB5095">
        <w:rPr>
          <w:rFonts w:ascii="Arial" w:hAnsi="Arial" w:cs="Arial"/>
          <w:bCs/>
          <w:i/>
          <w:sz w:val="20"/>
          <w:szCs w:val="20"/>
          <w:lang w:val="en-US"/>
        </w:rPr>
        <w:t>spp.</w:t>
      </w:r>
      <w:r w:rsidR="00A50A9D" w:rsidRPr="00DB5095">
        <w:rPr>
          <w:rFonts w:ascii="Arial" w:hAnsi="Arial" w:cs="Arial"/>
          <w:bCs/>
          <w:sz w:val="20"/>
          <w:szCs w:val="20"/>
          <w:lang w:val="en-US"/>
        </w:rPr>
        <w:t>, 83</w:t>
      </w:r>
      <w:r w:rsidRPr="00DB5095">
        <w:rPr>
          <w:rFonts w:ascii="Arial" w:hAnsi="Arial" w:cs="Arial"/>
          <w:bCs/>
          <w:sz w:val="20"/>
          <w:szCs w:val="20"/>
          <w:lang w:val="en-US"/>
        </w:rPr>
        <w:t xml:space="preserve">% </w:t>
      </w:r>
      <w:proofErr w:type="spellStart"/>
      <w:r w:rsidRPr="00DB5095">
        <w:rPr>
          <w:rFonts w:ascii="Arial" w:hAnsi="Arial" w:cs="Arial"/>
          <w:bCs/>
          <w:i/>
          <w:sz w:val="20"/>
          <w:szCs w:val="20"/>
          <w:lang w:val="en-US"/>
        </w:rPr>
        <w:t>Prevotella</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and 82% </w:t>
      </w:r>
      <w:r w:rsidRPr="00DB5095">
        <w:rPr>
          <w:rFonts w:ascii="Arial" w:hAnsi="Arial" w:cs="Arial"/>
          <w:bCs/>
          <w:i/>
          <w:sz w:val="20"/>
          <w:szCs w:val="20"/>
          <w:lang w:val="en-US"/>
        </w:rPr>
        <w:t xml:space="preserve">Fusobacterium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were sensitive to amoxicillin/clavulanic acid respectively. Antibiotic </w:t>
      </w:r>
      <w:r w:rsidR="00A50A9D" w:rsidRPr="00DB5095">
        <w:rPr>
          <w:rFonts w:ascii="Arial" w:hAnsi="Arial" w:cs="Arial"/>
          <w:bCs/>
          <w:sz w:val="20"/>
          <w:szCs w:val="20"/>
          <w:lang w:val="en-US"/>
        </w:rPr>
        <w:t>sensitivity rates of important</w:t>
      </w:r>
      <w:r w:rsidRPr="00DB5095">
        <w:rPr>
          <w:rFonts w:ascii="Arial" w:hAnsi="Arial" w:cs="Arial"/>
          <w:bCs/>
          <w:sz w:val="20"/>
          <w:szCs w:val="20"/>
          <w:lang w:val="en-US"/>
        </w:rPr>
        <w:t xml:space="preserve"> causing blood stream infections are summari</w:t>
      </w:r>
      <w:r w:rsidR="00A50A9D" w:rsidRPr="00DB5095">
        <w:rPr>
          <w:rFonts w:ascii="Arial" w:hAnsi="Arial" w:cs="Arial"/>
          <w:bCs/>
          <w:sz w:val="20"/>
          <w:szCs w:val="20"/>
          <w:lang w:val="en-US"/>
        </w:rPr>
        <w:t>z</w:t>
      </w:r>
      <w:r w:rsidR="00EC4D65" w:rsidRPr="00DB5095">
        <w:rPr>
          <w:rFonts w:ascii="Arial" w:hAnsi="Arial" w:cs="Arial"/>
          <w:bCs/>
          <w:sz w:val="20"/>
          <w:szCs w:val="20"/>
          <w:lang w:val="en-US"/>
        </w:rPr>
        <w:t xml:space="preserve">ed in Table 2. </w:t>
      </w:r>
      <w:r w:rsidRPr="00DB5095">
        <w:rPr>
          <w:rFonts w:ascii="Arial" w:hAnsi="Arial" w:cs="Arial"/>
          <w:bCs/>
          <w:sz w:val="20"/>
          <w:szCs w:val="20"/>
          <w:lang w:val="en-US"/>
        </w:rPr>
        <w:t>Amoxicillin/clavulanic acid, metronidazole, clindamycin remained most effective antibiotics against anaerobes with a sensitivity rate of 93%, 92%, and 81% respectively. On the contrary penicillin was least sensitive (43%) against anaerobes (Figure 2).</w:t>
      </w:r>
    </w:p>
    <w:p w:rsidR="003946D0" w:rsidRDefault="003946D0" w:rsidP="00452A95">
      <w:pPr>
        <w:spacing w:before="120" w:after="120"/>
        <w:jc w:val="both"/>
        <w:rPr>
          <w:rFonts w:ascii="Arial" w:hAnsi="Arial" w:cs="Arial"/>
          <w:bCs/>
          <w:sz w:val="20"/>
          <w:szCs w:val="20"/>
          <w:lang w:val="en-US"/>
        </w:rPr>
      </w:pPr>
      <w:r>
        <w:rPr>
          <w:rFonts w:ascii="Arial" w:hAnsi="Arial" w:cs="Arial"/>
          <w:bCs/>
          <w:noProof/>
          <w:sz w:val="20"/>
          <w:szCs w:val="20"/>
          <w:lang w:eastAsia="tr-TR"/>
        </w:rPr>
        <w:drawing>
          <wp:inline distT="0" distB="0" distL="0" distR="0" wp14:anchorId="54E1FE64" wp14:editId="7CE92382">
            <wp:extent cx="2745740" cy="10140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igure 1.jpg"/>
                    <pic:cNvPicPr/>
                  </pic:nvPicPr>
                  <pic:blipFill>
                    <a:blip r:embed="rId15">
                      <a:extLst>
                        <a:ext uri="{28A0092B-C50C-407E-A947-70E740481C1C}">
                          <a14:useLocalDpi xmlns:a14="http://schemas.microsoft.com/office/drawing/2010/main" val="0"/>
                        </a:ext>
                      </a:extLst>
                    </a:blip>
                    <a:stretch>
                      <a:fillRect/>
                    </a:stretch>
                  </pic:blipFill>
                  <pic:spPr>
                    <a:xfrm>
                      <a:off x="0" y="0"/>
                      <a:ext cx="2745740" cy="1014095"/>
                    </a:xfrm>
                    <a:prstGeom prst="rect">
                      <a:avLst/>
                    </a:prstGeom>
                  </pic:spPr>
                </pic:pic>
              </a:graphicData>
            </a:graphic>
          </wp:inline>
        </w:drawing>
      </w:r>
    </w:p>
    <w:p w:rsidR="003946D0" w:rsidRPr="00824DE7" w:rsidRDefault="003946D0" w:rsidP="003946D0">
      <w:pPr>
        <w:spacing w:before="120" w:after="120"/>
        <w:jc w:val="both"/>
        <w:rPr>
          <w:rFonts w:cs="Arial"/>
          <w:bCs/>
          <w:sz w:val="18"/>
          <w:szCs w:val="20"/>
          <w:lang w:val="en-US"/>
        </w:rPr>
      </w:pPr>
      <w:proofErr w:type="gramStart"/>
      <w:r w:rsidRPr="00824DE7">
        <w:rPr>
          <w:rFonts w:cs="Arial"/>
          <w:bCs/>
          <w:sz w:val="18"/>
          <w:szCs w:val="20"/>
          <w:lang w:val="en-US"/>
        </w:rPr>
        <w:t>Figure 1.</w:t>
      </w:r>
      <w:proofErr w:type="gramEnd"/>
      <w:r w:rsidRPr="00824DE7">
        <w:rPr>
          <w:rFonts w:cs="Arial"/>
          <w:bCs/>
          <w:sz w:val="18"/>
          <w:szCs w:val="20"/>
          <w:lang w:val="en-US"/>
        </w:rPr>
        <w:t xml:space="preserve"> </w:t>
      </w:r>
      <w:proofErr w:type="gramStart"/>
      <w:r w:rsidRPr="00824DE7">
        <w:rPr>
          <w:rFonts w:cs="Arial"/>
          <w:bCs/>
          <w:sz w:val="18"/>
          <w:szCs w:val="20"/>
          <w:lang w:val="en-US"/>
        </w:rPr>
        <w:t xml:space="preserve">Age distribution of 310 patients with anaerobic </w:t>
      </w:r>
      <w:r>
        <w:rPr>
          <w:rFonts w:cs="Arial"/>
          <w:bCs/>
          <w:sz w:val="18"/>
          <w:szCs w:val="20"/>
          <w:lang w:val="en-US"/>
        </w:rPr>
        <w:t>bacteremia.</w:t>
      </w:r>
      <w:proofErr w:type="gramEnd"/>
    </w:p>
    <w:p w:rsidR="007F41E4" w:rsidRPr="00902B11" w:rsidRDefault="007F41E4" w:rsidP="007F41E4">
      <w:pPr>
        <w:spacing w:before="120" w:after="120"/>
        <w:jc w:val="both"/>
        <w:rPr>
          <w:rFonts w:ascii="Calibri" w:hAnsi="Calibri" w:cs="Arial"/>
          <w:bCs/>
          <w:sz w:val="18"/>
          <w:szCs w:val="20"/>
          <w:lang w:val="en-US"/>
        </w:rPr>
      </w:pPr>
      <w:proofErr w:type="gramStart"/>
      <w:r w:rsidRPr="00902B11">
        <w:rPr>
          <w:rFonts w:ascii="Calibri" w:hAnsi="Calibri" w:cs="Arial"/>
          <w:bCs/>
          <w:sz w:val="18"/>
          <w:szCs w:val="20"/>
          <w:lang w:val="en-US"/>
        </w:rPr>
        <w:lastRenderedPageBreak/>
        <w:t>Table 1.</w:t>
      </w:r>
      <w:proofErr w:type="gramEnd"/>
      <w:r w:rsidRPr="00902B11">
        <w:rPr>
          <w:rFonts w:ascii="Calibri" w:hAnsi="Calibri" w:cs="Arial"/>
          <w:bCs/>
          <w:sz w:val="18"/>
          <w:szCs w:val="20"/>
          <w:lang w:val="en-US"/>
        </w:rPr>
        <w:t xml:space="preserve"> </w:t>
      </w:r>
      <w:proofErr w:type="gramStart"/>
      <w:r w:rsidRPr="00902B11">
        <w:rPr>
          <w:rFonts w:ascii="Calibri" w:hAnsi="Calibri" w:cs="Arial"/>
          <w:bCs/>
          <w:sz w:val="18"/>
          <w:szCs w:val="20"/>
          <w:lang w:val="en-US"/>
        </w:rPr>
        <w:t xml:space="preserve">Distribution of anaerobic </w:t>
      </w:r>
      <w:r w:rsidR="00EC4D65" w:rsidRPr="00902B11">
        <w:rPr>
          <w:rFonts w:ascii="Calibri" w:hAnsi="Calibri" w:cs="Arial"/>
          <w:bCs/>
          <w:i/>
          <w:sz w:val="18"/>
          <w:szCs w:val="20"/>
          <w:lang w:val="en-US"/>
        </w:rPr>
        <w:t>spp.</w:t>
      </w:r>
      <w:r w:rsidRPr="00902B11">
        <w:rPr>
          <w:rFonts w:ascii="Calibri" w:hAnsi="Calibri" w:cs="Arial"/>
          <w:bCs/>
          <w:sz w:val="18"/>
          <w:szCs w:val="20"/>
          <w:lang w:val="en-US"/>
        </w:rPr>
        <w:t xml:space="preserve"> among the 312 anaerobic bacteremia episodes.</w:t>
      </w:r>
      <w:proofErr w:type="gramEnd"/>
    </w:p>
    <w:tbl>
      <w:tblPr>
        <w:tblW w:w="5000" w:type="pct"/>
        <w:tblBorders>
          <w:top w:val="single" w:sz="4" w:space="0" w:color="auto"/>
          <w:bottom w:val="single" w:sz="4" w:space="0" w:color="auto"/>
        </w:tblBorders>
        <w:tblLook w:val="04A0" w:firstRow="1" w:lastRow="0" w:firstColumn="1" w:lastColumn="0" w:noHBand="0" w:noVBand="1"/>
      </w:tblPr>
      <w:tblGrid>
        <w:gridCol w:w="2639"/>
        <w:gridCol w:w="1901"/>
      </w:tblGrid>
      <w:tr w:rsidR="007F41E4" w:rsidRPr="00DB5095" w:rsidTr="00A64F61">
        <w:tc>
          <w:tcPr>
            <w:tcW w:w="2906" w:type="pct"/>
            <w:tcBorders>
              <w:top w:val="single" w:sz="4" w:space="0" w:color="auto"/>
              <w:bottom w:val="single" w:sz="4" w:space="0" w:color="auto"/>
            </w:tcBorders>
            <w:shd w:val="clear" w:color="auto" w:fill="auto"/>
            <w:vAlign w:val="center"/>
          </w:tcPr>
          <w:p w:rsidR="007F41E4" w:rsidRPr="00DB5095" w:rsidRDefault="007F41E4" w:rsidP="007F41E4">
            <w:pPr>
              <w:spacing w:after="100" w:afterAutospacing="1" w:line="24" w:lineRule="atLeast"/>
              <w:jc w:val="both"/>
              <w:rPr>
                <w:rFonts w:cs="Arial"/>
                <w:b/>
                <w:bCs/>
                <w:sz w:val="18"/>
                <w:szCs w:val="18"/>
                <w:lang w:val="en-US"/>
              </w:rPr>
            </w:pPr>
            <w:r w:rsidRPr="00DB5095">
              <w:rPr>
                <w:rFonts w:cs="Arial"/>
                <w:b/>
                <w:bCs/>
                <w:sz w:val="18"/>
                <w:szCs w:val="18"/>
                <w:lang w:val="en-US"/>
              </w:rPr>
              <w:t>Organism</w:t>
            </w:r>
          </w:p>
        </w:tc>
        <w:tc>
          <w:tcPr>
            <w:tcW w:w="2094" w:type="pct"/>
            <w:tcBorders>
              <w:top w:val="single" w:sz="4" w:space="0" w:color="auto"/>
              <w:bottom w:val="single" w:sz="4" w:space="0" w:color="auto"/>
            </w:tcBorders>
            <w:shd w:val="clear" w:color="auto" w:fill="auto"/>
            <w:vAlign w:val="center"/>
          </w:tcPr>
          <w:p w:rsidR="007F41E4" w:rsidRPr="00DB5095" w:rsidRDefault="007F41E4" w:rsidP="007F41E4">
            <w:pPr>
              <w:spacing w:after="100" w:afterAutospacing="1" w:line="24" w:lineRule="atLeast"/>
              <w:jc w:val="center"/>
              <w:rPr>
                <w:rFonts w:cs="Arial"/>
                <w:b/>
                <w:bCs/>
                <w:sz w:val="18"/>
                <w:szCs w:val="18"/>
                <w:lang w:val="en-US"/>
              </w:rPr>
            </w:pPr>
            <w:r w:rsidRPr="00DB5095">
              <w:rPr>
                <w:rFonts w:cs="Arial"/>
                <w:b/>
                <w:bCs/>
                <w:sz w:val="18"/>
                <w:szCs w:val="18"/>
                <w:lang w:val="en-US"/>
              </w:rPr>
              <w:t>Total (%) n=324</w:t>
            </w:r>
          </w:p>
        </w:tc>
      </w:tr>
      <w:tr w:rsidR="007F41E4" w:rsidRPr="00DB5095" w:rsidTr="00A64F61">
        <w:tc>
          <w:tcPr>
            <w:tcW w:w="5000" w:type="pct"/>
            <w:gridSpan w:val="2"/>
            <w:tcBorders>
              <w:top w:val="single" w:sz="4" w:space="0" w:color="auto"/>
            </w:tcBorders>
            <w:shd w:val="clear" w:color="auto" w:fill="auto"/>
            <w:vAlign w:val="center"/>
          </w:tcPr>
          <w:p w:rsidR="007F41E4" w:rsidRPr="00DB5095" w:rsidRDefault="007F41E4" w:rsidP="007F41E4">
            <w:pPr>
              <w:spacing w:after="100" w:afterAutospacing="1" w:line="24" w:lineRule="atLeast"/>
              <w:jc w:val="both"/>
              <w:rPr>
                <w:rFonts w:cs="Arial"/>
                <w:b/>
                <w:bCs/>
                <w:i/>
                <w:sz w:val="18"/>
                <w:szCs w:val="18"/>
                <w:lang w:val="en-US"/>
              </w:rPr>
            </w:pPr>
            <w:r w:rsidRPr="00DB5095">
              <w:rPr>
                <w:rFonts w:cs="Arial"/>
                <w:b/>
                <w:bCs/>
                <w:i/>
                <w:sz w:val="18"/>
                <w:szCs w:val="18"/>
                <w:lang w:val="en-US"/>
              </w:rPr>
              <w:t>Gram (-)bacilli</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sz w:val="18"/>
                <w:szCs w:val="18"/>
                <w:lang w:val="en-US"/>
              </w:rPr>
              <w:t xml:space="preserve">All </w:t>
            </w:r>
            <w:proofErr w:type="spellStart"/>
            <w:r w:rsidR="00A50A9D" w:rsidRPr="00DB5095">
              <w:rPr>
                <w:rFonts w:cs="Arial"/>
                <w:bCs/>
                <w:i/>
                <w:sz w:val="18"/>
                <w:szCs w:val="18"/>
                <w:lang w:val="en-US"/>
              </w:rPr>
              <w:t>Bacteroides</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135 (42)</w:t>
            </w:r>
          </w:p>
        </w:tc>
      </w:tr>
      <w:tr w:rsidR="007F41E4" w:rsidRPr="00DB5095" w:rsidTr="00A64F61">
        <w:tc>
          <w:tcPr>
            <w:tcW w:w="2906" w:type="pct"/>
            <w:shd w:val="clear" w:color="auto" w:fill="auto"/>
            <w:vAlign w:val="center"/>
          </w:tcPr>
          <w:p w:rsidR="007F41E4" w:rsidRPr="00DB5095" w:rsidRDefault="00A50A9D" w:rsidP="007F41E4">
            <w:pPr>
              <w:spacing w:after="100" w:afterAutospacing="1" w:line="24" w:lineRule="atLeast"/>
              <w:jc w:val="both"/>
              <w:rPr>
                <w:rFonts w:cs="Arial"/>
                <w:bCs/>
                <w:i/>
                <w:sz w:val="18"/>
                <w:szCs w:val="18"/>
                <w:lang w:val="en-US"/>
              </w:rPr>
            </w:pPr>
            <w:proofErr w:type="spellStart"/>
            <w:r w:rsidRPr="00DB5095">
              <w:rPr>
                <w:rFonts w:cs="Arial"/>
                <w:bCs/>
                <w:i/>
                <w:sz w:val="18"/>
                <w:szCs w:val="18"/>
                <w:lang w:val="en-US"/>
              </w:rPr>
              <w:t>Bacteroides</w:t>
            </w:r>
            <w:proofErr w:type="spellEnd"/>
            <w:r w:rsidR="007F41E4" w:rsidRPr="00DB5095">
              <w:rPr>
                <w:rFonts w:cs="Arial"/>
                <w:bCs/>
                <w:i/>
                <w:sz w:val="18"/>
                <w:szCs w:val="18"/>
                <w:lang w:val="en-US"/>
              </w:rPr>
              <w:t xml:space="preserve"> </w:t>
            </w:r>
            <w:proofErr w:type="spellStart"/>
            <w:r w:rsidR="007F41E4" w:rsidRPr="00DB5095">
              <w:rPr>
                <w:rFonts w:cs="Arial"/>
                <w:bCs/>
                <w:i/>
                <w:sz w:val="18"/>
                <w:szCs w:val="18"/>
                <w:lang w:val="en-US"/>
              </w:rPr>
              <w:t>fragilis</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118 (36)</w:t>
            </w:r>
          </w:p>
        </w:tc>
      </w:tr>
      <w:tr w:rsidR="007F41E4" w:rsidRPr="00DB5095" w:rsidTr="00A64F61">
        <w:tc>
          <w:tcPr>
            <w:tcW w:w="2906" w:type="pct"/>
            <w:shd w:val="clear" w:color="auto" w:fill="auto"/>
            <w:vAlign w:val="center"/>
          </w:tcPr>
          <w:p w:rsidR="007F41E4" w:rsidRPr="00DB5095" w:rsidRDefault="00A50A9D" w:rsidP="007F41E4">
            <w:pPr>
              <w:spacing w:after="100" w:afterAutospacing="1" w:line="24" w:lineRule="atLeast"/>
              <w:jc w:val="both"/>
              <w:rPr>
                <w:rFonts w:cs="Arial"/>
                <w:bCs/>
                <w:sz w:val="18"/>
                <w:szCs w:val="18"/>
                <w:lang w:val="en-US"/>
              </w:rPr>
            </w:pPr>
            <w:proofErr w:type="spellStart"/>
            <w:r w:rsidRPr="00DB5095">
              <w:rPr>
                <w:rFonts w:cs="Arial"/>
                <w:bCs/>
                <w:i/>
                <w:sz w:val="18"/>
                <w:szCs w:val="18"/>
                <w:lang w:val="en-US"/>
              </w:rPr>
              <w:t>Bacteroides</w:t>
            </w:r>
            <w:proofErr w:type="spellEnd"/>
            <w:r w:rsidR="007F41E4" w:rsidRPr="00DB5095">
              <w:rPr>
                <w:rFonts w:cs="Arial"/>
                <w:bCs/>
                <w:i/>
                <w:sz w:val="18"/>
                <w:szCs w:val="18"/>
                <w:lang w:val="en-US"/>
              </w:rPr>
              <w:t xml:space="preserve"> </w:t>
            </w:r>
            <w:r w:rsidR="00EC4D65" w:rsidRPr="00DB5095">
              <w:rPr>
                <w:rFonts w:cs="Arial"/>
                <w:bCs/>
                <w:i/>
                <w:sz w:val="18"/>
                <w:szCs w:val="18"/>
                <w:lang w:val="en-US"/>
              </w:rPr>
              <w:t>spp.</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17 (5)</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i/>
                <w:sz w:val="18"/>
                <w:szCs w:val="18"/>
                <w:lang w:val="en-US"/>
              </w:rPr>
              <w:t xml:space="preserve">Fusobacterium </w:t>
            </w:r>
            <w:r w:rsidR="00EC4D65" w:rsidRPr="00DB5095">
              <w:rPr>
                <w:rFonts w:cs="Arial"/>
                <w:bCs/>
                <w:i/>
                <w:sz w:val="18"/>
                <w:szCs w:val="18"/>
                <w:lang w:val="en-US"/>
              </w:rPr>
              <w:t>spp.</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11 (3)</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proofErr w:type="spellStart"/>
            <w:r w:rsidRPr="00DB5095">
              <w:rPr>
                <w:rFonts w:cs="Arial"/>
                <w:bCs/>
                <w:i/>
                <w:sz w:val="18"/>
                <w:szCs w:val="18"/>
                <w:lang w:val="en-US"/>
              </w:rPr>
              <w:t>Prevotella</w:t>
            </w:r>
            <w:proofErr w:type="spellEnd"/>
            <w:r w:rsidRPr="00DB5095">
              <w:rPr>
                <w:rFonts w:cs="Arial"/>
                <w:bCs/>
                <w:sz w:val="18"/>
                <w:szCs w:val="18"/>
                <w:lang w:val="en-US"/>
              </w:rPr>
              <w:t xml:space="preserve"> </w:t>
            </w:r>
            <w:r w:rsidR="00EC4D65" w:rsidRPr="00DB5095">
              <w:rPr>
                <w:rFonts w:cs="Arial"/>
                <w:bCs/>
                <w:i/>
                <w:sz w:val="18"/>
                <w:szCs w:val="18"/>
                <w:lang w:val="en-US"/>
              </w:rPr>
              <w:t>spp.</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7 (2)</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sz w:val="18"/>
                <w:szCs w:val="18"/>
                <w:lang w:val="en-US"/>
              </w:rPr>
              <w:t>Others</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22 (6)</w:t>
            </w:r>
          </w:p>
        </w:tc>
      </w:tr>
      <w:tr w:rsidR="007F41E4" w:rsidRPr="00DB5095" w:rsidTr="00A64F61">
        <w:tc>
          <w:tcPr>
            <w:tcW w:w="5000" w:type="pct"/>
            <w:gridSpan w:val="2"/>
            <w:shd w:val="clear" w:color="auto" w:fill="auto"/>
            <w:vAlign w:val="center"/>
          </w:tcPr>
          <w:p w:rsidR="007F41E4" w:rsidRPr="00DB5095" w:rsidRDefault="007F41E4" w:rsidP="007F41E4">
            <w:pPr>
              <w:spacing w:after="100" w:afterAutospacing="1" w:line="24" w:lineRule="atLeast"/>
              <w:jc w:val="both"/>
              <w:rPr>
                <w:rFonts w:cs="Arial"/>
                <w:b/>
                <w:bCs/>
                <w:i/>
                <w:sz w:val="18"/>
                <w:szCs w:val="18"/>
                <w:lang w:val="en-US"/>
              </w:rPr>
            </w:pPr>
            <w:r w:rsidRPr="00DB5095">
              <w:rPr>
                <w:rFonts w:cs="Arial"/>
                <w:b/>
                <w:bCs/>
                <w:i/>
                <w:sz w:val="18"/>
                <w:szCs w:val="18"/>
                <w:lang w:val="en-US"/>
              </w:rPr>
              <w:t>Spore forming Gram (+) bacilli</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sz w:val="18"/>
                <w:szCs w:val="18"/>
                <w:lang w:val="en-US"/>
              </w:rPr>
              <w:t xml:space="preserve">All </w:t>
            </w:r>
            <w:r w:rsidRPr="00DB5095">
              <w:rPr>
                <w:rFonts w:cs="Arial"/>
                <w:bCs/>
                <w:i/>
                <w:sz w:val="18"/>
                <w:szCs w:val="18"/>
                <w:lang w:val="en-US"/>
              </w:rPr>
              <w:t>Clostridium</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79 (24)</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r w:rsidRPr="00DB5095">
              <w:rPr>
                <w:rFonts w:cs="Arial"/>
                <w:bCs/>
                <w:i/>
                <w:sz w:val="18"/>
                <w:szCs w:val="18"/>
                <w:lang w:val="en-US"/>
              </w:rPr>
              <w:t>Clostridium perfringens</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35 (11)</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r w:rsidRPr="00DB5095">
              <w:rPr>
                <w:rFonts w:cs="Arial"/>
                <w:bCs/>
                <w:i/>
                <w:sz w:val="18"/>
                <w:szCs w:val="18"/>
                <w:lang w:val="en-US"/>
              </w:rPr>
              <w:t xml:space="preserve">Clostridium </w:t>
            </w:r>
            <w:proofErr w:type="spellStart"/>
            <w:r w:rsidRPr="00DB5095">
              <w:rPr>
                <w:rFonts w:cs="Arial"/>
                <w:bCs/>
                <w:i/>
                <w:sz w:val="18"/>
                <w:szCs w:val="18"/>
                <w:lang w:val="en-US"/>
              </w:rPr>
              <w:t>septicum</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13 (4)</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r w:rsidRPr="00DB5095">
              <w:rPr>
                <w:rFonts w:cs="Arial"/>
                <w:bCs/>
                <w:i/>
                <w:sz w:val="18"/>
                <w:szCs w:val="18"/>
                <w:lang w:val="en-US"/>
              </w:rPr>
              <w:t xml:space="preserve">Clostridium </w:t>
            </w:r>
            <w:proofErr w:type="spellStart"/>
            <w:r w:rsidRPr="00DB5095">
              <w:rPr>
                <w:rFonts w:cs="Arial"/>
                <w:bCs/>
                <w:i/>
                <w:sz w:val="18"/>
                <w:szCs w:val="18"/>
                <w:lang w:val="en-US"/>
              </w:rPr>
              <w:t>ramosum</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13 (4)</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i/>
                <w:sz w:val="18"/>
                <w:szCs w:val="18"/>
                <w:lang w:val="en-US"/>
              </w:rPr>
              <w:t>Clostridium</w:t>
            </w:r>
            <w:r w:rsidRPr="00DB5095">
              <w:rPr>
                <w:rFonts w:cs="Arial"/>
                <w:bCs/>
                <w:sz w:val="18"/>
                <w:szCs w:val="18"/>
                <w:lang w:val="en-US"/>
              </w:rPr>
              <w:t xml:space="preserve"> </w:t>
            </w:r>
            <w:r w:rsidR="00EC4D65" w:rsidRPr="00DB5095">
              <w:rPr>
                <w:rFonts w:cs="Arial"/>
                <w:bCs/>
                <w:i/>
                <w:sz w:val="18"/>
                <w:szCs w:val="18"/>
                <w:lang w:val="en-US"/>
              </w:rPr>
              <w:t>spp.</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18 (6)</w:t>
            </w:r>
          </w:p>
        </w:tc>
      </w:tr>
      <w:tr w:rsidR="007F41E4" w:rsidRPr="00DB5095" w:rsidTr="00A64F61">
        <w:tc>
          <w:tcPr>
            <w:tcW w:w="5000" w:type="pct"/>
            <w:gridSpan w:val="2"/>
            <w:shd w:val="clear" w:color="auto" w:fill="auto"/>
            <w:vAlign w:val="center"/>
          </w:tcPr>
          <w:p w:rsidR="007F41E4" w:rsidRPr="00DB5095" w:rsidRDefault="007F41E4" w:rsidP="007F41E4">
            <w:pPr>
              <w:spacing w:after="100" w:afterAutospacing="1" w:line="24" w:lineRule="atLeast"/>
              <w:jc w:val="both"/>
              <w:rPr>
                <w:rFonts w:cs="Arial"/>
                <w:b/>
                <w:bCs/>
                <w:i/>
                <w:sz w:val="18"/>
                <w:szCs w:val="18"/>
                <w:lang w:val="en-US"/>
              </w:rPr>
            </w:pPr>
            <w:r w:rsidRPr="00DB5095">
              <w:rPr>
                <w:rFonts w:cs="Arial"/>
                <w:b/>
                <w:bCs/>
                <w:i/>
                <w:sz w:val="18"/>
                <w:szCs w:val="18"/>
                <w:lang w:val="en-US"/>
              </w:rPr>
              <w:t>Anaerobic cocci</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proofErr w:type="spellStart"/>
            <w:r w:rsidRPr="00DB5095">
              <w:rPr>
                <w:rFonts w:cs="Arial"/>
                <w:bCs/>
                <w:i/>
                <w:sz w:val="18"/>
                <w:szCs w:val="18"/>
                <w:lang w:val="en-US"/>
              </w:rPr>
              <w:t>Peptostreptococcus</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8 (2)</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proofErr w:type="spellStart"/>
            <w:r w:rsidRPr="00DB5095">
              <w:rPr>
                <w:rFonts w:cs="Arial"/>
                <w:bCs/>
                <w:i/>
                <w:sz w:val="18"/>
                <w:szCs w:val="18"/>
                <w:lang w:val="en-US"/>
              </w:rPr>
              <w:t>Veillonella</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5 (2)</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sz w:val="18"/>
                <w:szCs w:val="18"/>
                <w:lang w:val="en-US"/>
              </w:rPr>
              <w:t>Other anaerobic cocci</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23 (6)</w:t>
            </w:r>
          </w:p>
        </w:tc>
      </w:tr>
      <w:tr w:rsidR="007F41E4" w:rsidRPr="00DB5095" w:rsidTr="00A64F61">
        <w:tc>
          <w:tcPr>
            <w:tcW w:w="5000" w:type="pct"/>
            <w:gridSpan w:val="2"/>
            <w:shd w:val="clear" w:color="auto" w:fill="auto"/>
            <w:vAlign w:val="center"/>
          </w:tcPr>
          <w:p w:rsidR="007F41E4" w:rsidRPr="00DB5095" w:rsidRDefault="007F41E4" w:rsidP="007F41E4">
            <w:pPr>
              <w:spacing w:after="100" w:afterAutospacing="1" w:line="24" w:lineRule="atLeast"/>
              <w:jc w:val="both"/>
              <w:rPr>
                <w:rFonts w:cs="Arial"/>
                <w:b/>
                <w:bCs/>
                <w:i/>
                <w:sz w:val="18"/>
                <w:szCs w:val="18"/>
                <w:lang w:val="en-US"/>
              </w:rPr>
            </w:pPr>
            <w:r w:rsidRPr="00DB5095">
              <w:rPr>
                <w:rFonts w:cs="Arial"/>
                <w:b/>
                <w:bCs/>
                <w:i/>
                <w:sz w:val="18"/>
                <w:szCs w:val="18"/>
                <w:lang w:val="en-US"/>
              </w:rPr>
              <w:t>Other Gram (+) bacilli</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r w:rsidRPr="00DB5095">
              <w:rPr>
                <w:rFonts w:cs="Arial"/>
                <w:bCs/>
                <w:i/>
                <w:sz w:val="18"/>
                <w:szCs w:val="18"/>
                <w:lang w:val="en-US"/>
              </w:rPr>
              <w:t>Propionibacterium</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28 (9)</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i/>
                <w:sz w:val="18"/>
                <w:szCs w:val="18"/>
                <w:lang w:val="en-US"/>
              </w:rPr>
            </w:pPr>
            <w:proofErr w:type="spellStart"/>
            <w:r w:rsidRPr="00DB5095">
              <w:rPr>
                <w:rFonts w:cs="Arial"/>
                <w:bCs/>
                <w:i/>
                <w:sz w:val="18"/>
                <w:szCs w:val="18"/>
                <w:lang w:val="en-US"/>
              </w:rPr>
              <w:t>Actinomyces</w:t>
            </w:r>
            <w:proofErr w:type="spellEnd"/>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3 (1)</w:t>
            </w:r>
          </w:p>
        </w:tc>
      </w:tr>
      <w:tr w:rsidR="007F41E4" w:rsidRPr="00DB5095" w:rsidTr="00A64F61">
        <w:tc>
          <w:tcPr>
            <w:tcW w:w="2906" w:type="pct"/>
            <w:shd w:val="clear" w:color="auto" w:fill="auto"/>
            <w:vAlign w:val="center"/>
          </w:tcPr>
          <w:p w:rsidR="007F41E4" w:rsidRPr="00DB5095" w:rsidRDefault="007F41E4" w:rsidP="007F41E4">
            <w:pPr>
              <w:spacing w:after="100" w:afterAutospacing="1" w:line="24" w:lineRule="atLeast"/>
              <w:jc w:val="both"/>
              <w:rPr>
                <w:rFonts w:cs="Arial"/>
                <w:bCs/>
                <w:sz w:val="18"/>
                <w:szCs w:val="18"/>
                <w:lang w:val="en-US"/>
              </w:rPr>
            </w:pPr>
            <w:r w:rsidRPr="00DB5095">
              <w:rPr>
                <w:rFonts w:cs="Arial"/>
                <w:bCs/>
                <w:sz w:val="18"/>
                <w:szCs w:val="18"/>
                <w:lang w:val="en-US"/>
              </w:rPr>
              <w:t xml:space="preserve">Others </w:t>
            </w:r>
          </w:p>
        </w:tc>
        <w:tc>
          <w:tcPr>
            <w:tcW w:w="2094" w:type="pct"/>
            <w:shd w:val="clear" w:color="auto" w:fill="auto"/>
            <w:vAlign w:val="center"/>
          </w:tcPr>
          <w:p w:rsidR="007F41E4" w:rsidRPr="00DB5095" w:rsidRDefault="007F41E4" w:rsidP="007F41E4">
            <w:pPr>
              <w:spacing w:after="100" w:afterAutospacing="1" w:line="24" w:lineRule="atLeast"/>
              <w:jc w:val="center"/>
              <w:rPr>
                <w:rFonts w:cs="Arial"/>
                <w:bCs/>
                <w:sz w:val="18"/>
                <w:szCs w:val="18"/>
                <w:lang w:val="en-US"/>
              </w:rPr>
            </w:pPr>
            <w:r w:rsidRPr="00DB5095">
              <w:rPr>
                <w:rFonts w:cs="Arial"/>
                <w:bCs/>
                <w:sz w:val="18"/>
                <w:szCs w:val="18"/>
                <w:lang w:val="en-US"/>
              </w:rPr>
              <w:t>3 (1)</w:t>
            </w:r>
          </w:p>
        </w:tc>
      </w:tr>
    </w:tbl>
    <w:p w:rsidR="00824DE7" w:rsidRDefault="00824DE7" w:rsidP="00452A95">
      <w:pPr>
        <w:spacing w:before="120" w:after="120"/>
        <w:jc w:val="both"/>
        <w:rPr>
          <w:rFonts w:ascii="Arial" w:hAnsi="Arial" w:cs="Arial"/>
          <w:bCs/>
          <w:sz w:val="20"/>
          <w:szCs w:val="20"/>
          <w:lang w:val="en-US"/>
        </w:rPr>
      </w:pPr>
    </w:p>
    <w:p w:rsidR="00824DE7" w:rsidRDefault="00824DE7" w:rsidP="00452A95">
      <w:pPr>
        <w:spacing w:before="120" w:after="120"/>
        <w:jc w:val="both"/>
        <w:rPr>
          <w:rFonts w:ascii="Arial" w:hAnsi="Arial" w:cs="Arial"/>
          <w:bCs/>
          <w:sz w:val="20"/>
          <w:szCs w:val="20"/>
          <w:lang w:val="en-US"/>
        </w:rPr>
      </w:pPr>
      <w:r>
        <w:rPr>
          <w:rFonts w:ascii="Arial" w:hAnsi="Arial" w:cs="Arial"/>
          <w:bCs/>
          <w:noProof/>
          <w:sz w:val="20"/>
          <w:szCs w:val="20"/>
          <w:lang w:eastAsia="tr-TR"/>
        </w:rPr>
        <w:drawing>
          <wp:inline distT="0" distB="0" distL="0" distR="0">
            <wp:extent cx="2552700" cy="1333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igure 2.jpg"/>
                    <pic:cNvPicPr/>
                  </pic:nvPicPr>
                  <pic:blipFill>
                    <a:blip r:embed="rId16">
                      <a:extLst>
                        <a:ext uri="{28A0092B-C50C-407E-A947-70E740481C1C}">
                          <a14:useLocalDpi xmlns:a14="http://schemas.microsoft.com/office/drawing/2010/main" val="0"/>
                        </a:ext>
                      </a:extLst>
                    </a:blip>
                    <a:stretch>
                      <a:fillRect/>
                    </a:stretch>
                  </pic:blipFill>
                  <pic:spPr>
                    <a:xfrm>
                      <a:off x="0" y="0"/>
                      <a:ext cx="2552700" cy="1333500"/>
                    </a:xfrm>
                    <a:prstGeom prst="rect">
                      <a:avLst/>
                    </a:prstGeom>
                  </pic:spPr>
                </pic:pic>
              </a:graphicData>
            </a:graphic>
          </wp:inline>
        </w:drawing>
      </w:r>
    </w:p>
    <w:p w:rsidR="00824DE7" w:rsidRPr="003946D0" w:rsidRDefault="003946D0" w:rsidP="00452A95">
      <w:pPr>
        <w:spacing w:before="120" w:after="120"/>
        <w:jc w:val="both"/>
        <w:rPr>
          <w:rFonts w:ascii="Calibri" w:hAnsi="Calibri" w:cs="Arial"/>
          <w:bCs/>
          <w:sz w:val="18"/>
          <w:szCs w:val="20"/>
          <w:lang w:val="en-US"/>
        </w:rPr>
      </w:pPr>
      <w:proofErr w:type="gramStart"/>
      <w:r w:rsidRPr="003946D0">
        <w:rPr>
          <w:rFonts w:ascii="Calibri" w:hAnsi="Calibri" w:cs="Arial"/>
          <w:bCs/>
          <w:sz w:val="18"/>
          <w:szCs w:val="20"/>
          <w:lang w:val="en-US"/>
        </w:rPr>
        <w:t>Figure 2.</w:t>
      </w:r>
      <w:proofErr w:type="gramEnd"/>
      <w:r w:rsidRPr="003946D0">
        <w:rPr>
          <w:rFonts w:ascii="Calibri" w:hAnsi="Calibri" w:cs="Arial"/>
          <w:bCs/>
          <w:sz w:val="18"/>
          <w:szCs w:val="20"/>
          <w:lang w:val="en-US"/>
        </w:rPr>
        <w:t xml:space="preserve"> Antibiotic sensitivity rates in anaerobes causing blood stream infections.</w:t>
      </w:r>
    </w:p>
    <w:p w:rsidR="00C42AF6" w:rsidRDefault="00C42AF6" w:rsidP="00452A95">
      <w:pPr>
        <w:spacing w:before="120" w:after="120"/>
        <w:jc w:val="both"/>
        <w:rPr>
          <w:rFonts w:ascii="Arial" w:hAnsi="Arial" w:cs="Arial"/>
          <w:bCs/>
          <w:sz w:val="20"/>
          <w:szCs w:val="20"/>
          <w:lang w:val="en-US"/>
        </w:rPr>
      </w:pPr>
    </w:p>
    <w:p w:rsidR="003946D0" w:rsidRPr="00DB5095" w:rsidRDefault="003946D0" w:rsidP="00452A95">
      <w:pPr>
        <w:spacing w:before="120" w:after="120"/>
        <w:jc w:val="both"/>
        <w:rPr>
          <w:rFonts w:ascii="Arial" w:hAnsi="Arial" w:cs="Arial"/>
          <w:bCs/>
          <w:sz w:val="20"/>
          <w:szCs w:val="20"/>
          <w:lang w:val="en-US"/>
        </w:rPr>
        <w:sectPr w:rsidR="003946D0" w:rsidRPr="00DB5095" w:rsidSect="00EB247D">
          <w:headerReference w:type="first" r:id="rId17"/>
          <w:type w:val="continuous"/>
          <w:pgSz w:w="11907" w:h="16840" w:code="9"/>
          <w:pgMar w:top="1814" w:right="1247" w:bottom="1758" w:left="1304" w:header="1304" w:footer="1361" w:gutter="0"/>
          <w:pgNumType w:start="135" w:chapStyle="1"/>
          <w:cols w:num="2" w:space="708"/>
          <w:noEndnote/>
          <w:docGrid w:linePitch="326"/>
        </w:sectPr>
      </w:pPr>
    </w:p>
    <w:p w:rsidR="009946E2" w:rsidRDefault="009946E2" w:rsidP="00452A95">
      <w:pPr>
        <w:spacing w:before="120" w:after="120"/>
        <w:jc w:val="both"/>
        <w:rPr>
          <w:rFonts w:ascii="Arial" w:hAnsi="Arial" w:cs="Arial"/>
          <w:bCs/>
          <w:sz w:val="20"/>
          <w:szCs w:val="20"/>
          <w:lang w:val="en-US"/>
        </w:rPr>
      </w:pPr>
    </w:p>
    <w:p w:rsidR="00902B11" w:rsidRDefault="00902B11" w:rsidP="00452A95">
      <w:pPr>
        <w:spacing w:before="120" w:after="120"/>
        <w:jc w:val="both"/>
        <w:rPr>
          <w:rFonts w:cs="Arial"/>
          <w:bCs/>
          <w:sz w:val="18"/>
          <w:szCs w:val="18"/>
          <w:lang w:val="en-US"/>
        </w:rPr>
        <w:sectPr w:rsidR="00902B11" w:rsidSect="00587F0B">
          <w:type w:val="continuous"/>
          <w:pgSz w:w="11907" w:h="16840" w:code="9"/>
          <w:pgMar w:top="1814" w:right="1247" w:bottom="1758" w:left="1304" w:header="1304" w:footer="1361" w:gutter="0"/>
          <w:pgNumType w:start="85" w:chapStyle="1"/>
          <w:cols w:num="2" w:space="708"/>
          <w:noEndnote/>
          <w:docGrid w:linePitch="326"/>
        </w:sectPr>
      </w:pPr>
    </w:p>
    <w:p w:rsidR="00902B11" w:rsidRPr="00902B11" w:rsidRDefault="00902B11" w:rsidP="00452A95">
      <w:pPr>
        <w:spacing w:before="120" w:after="120"/>
        <w:jc w:val="both"/>
        <w:rPr>
          <w:rFonts w:cs="Arial"/>
          <w:bCs/>
          <w:sz w:val="18"/>
          <w:szCs w:val="18"/>
          <w:lang w:val="en-US"/>
        </w:rPr>
      </w:pPr>
      <w:proofErr w:type="gramStart"/>
      <w:r w:rsidRPr="00902B11">
        <w:rPr>
          <w:rFonts w:cs="Arial"/>
          <w:bCs/>
          <w:sz w:val="18"/>
          <w:szCs w:val="18"/>
          <w:lang w:val="en-US"/>
        </w:rPr>
        <w:lastRenderedPageBreak/>
        <w:t>Table 2.</w:t>
      </w:r>
      <w:proofErr w:type="gramEnd"/>
      <w:r w:rsidRPr="00902B11">
        <w:rPr>
          <w:rFonts w:cs="Arial"/>
          <w:bCs/>
          <w:sz w:val="18"/>
          <w:szCs w:val="18"/>
          <w:lang w:val="en-US"/>
        </w:rPr>
        <w:t xml:space="preserve"> </w:t>
      </w:r>
      <w:r w:rsidRPr="00902B11">
        <w:rPr>
          <w:rFonts w:cs="Arial"/>
          <w:color w:val="000000" w:themeColor="text1"/>
          <w:sz w:val="18"/>
          <w:szCs w:val="18"/>
          <w:lang w:val="en-US"/>
        </w:rPr>
        <w:t>Antibiotic sensitivity profile of most common anaerobes from blood culture</w:t>
      </w:r>
    </w:p>
    <w:tbl>
      <w:tblPr>
        <w:tblStyle w:val="Tabellenrast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268"/>
        <w:gridCol w:w="1559"/>
        <w:gridCol w:w="1384"/>
      </w:tblGrid>
      <w:tr w:rsidR="008A403E" w:rsidRPr="00DB5095" w:rsidTr="00EC4D65">
        <w:tc>
          <w:tcPr>
            <w:tcW w:w="2376" w:type="dxa"/>
            <w:tcBorders>
              <w:top w:val="single" w:sz="4" w:space="0" w:color="auto"/>
              <w:bottom w:val="nil"/>
            </w:tcBorders>
          </w:tcPr>
          <w:p w:rsidR="008A403E" w:rsidRPr="00DB5095" w:rsidRDefault="008A403E" w:rsidP="00C42AF6">
            <w:pPr>
              <w:spacing w:line="24" w:lineRule="atLeast"/>
              <w:jc w:val="both"/>
              <w:rPr>
                <w:rFonts w:cs="Arial"/>
                <w:b/>
                <w:bCs/>
                <w:sz w:val="18"/>
                <w:szCs w:val="18"/>
              </w:rPr>
            </w:pPr>
            <w:r w:rsidRPr="00DB5095">
              <w:rPr>
                <w:rFonts w:cs="Arial"/>
                <w:b/>
                <w:bCs/>
                <w:sz w:val="18"/>
                <w:szCs w:val="18"/>
              </w:rPr>
              <w:t>Variables</w:t>
            </w:r>
          </w:p>
        </w:tc>
        <w:tc>
          <w:tcPr>
            <w:tcW w:w="1985" w:type="dxa"/>
            <w:vMerge w:val="restart"/>
            <w:tcBorders>
              <w:top w:val="single" w:sz="4" w:space="0" w:color="auto"/>
            </w:tcBorders>
          </w:tcPr>
          <w:p w:rsidR="008A403E" w:rsidRPr="00DB5095" w:rsidRDefault="008A403E" w:rsidP="00C42AF6">
            <w:pPr>
              <w:spacing w:line="24" w:lineRule="atLeast"/>
              <w:jc w:val="center"/>
              <w:rPr>
                <w:rFonts w:cs="Arial"/>
                <w:b/>
                <w:bCs/>
                <w:sz w:val="18"/>
                <w:szCs w:val="18"/>
              </w:rPr>
            </w:pPr>
            <w:r w:rsidRPr="00DB5095">
              <w:rPr>
                <w:rFonts w:cs="Arial"/>
                <w:b/>
                <w:bCs/>
                <w:sz w:val="18"/>
                <w:szCs w:val="18"/>
              </w:rPr>
              <w:t>Clindamycin, Sensitivity (%)</w:t>
            </w:r>
          </w:p>
        </w:tc>
        <w:tc>
          <w:tcPr>
            <w:tcW w:w="2268" w:type="dxa"/>
            <w:vMerge w:val="restart"/>
            <w:tcBorders>
              <w:top w:val="single" w:sz="4" w:space="0" w:color="auto"/>
            </w:tcBorders>
          </w:tcPr>
          <w:p w:rsidR="008A403E" w:rsidRPr="00DB5095" w:rsidRDefault="008A403E" w:rsidP="00C42AF6">
            <w:pPr>
              <w:spacing w:line="24" w:lineRule="atLeast"/>
              <w:jc w:val="center"/>
              <w:rPr>
                <w:rFonts w:cs="Arial"/>
                <w:b/>
                <w:bCs/>
                <w:sz w:val="18"/>
                <w:szCs w:val="18"/>
              </w:rPr>
            </w:pPr>
            <w:r w:rsidRPr="00DB5095">
              <w:rPr>
                <w:rFonts w:cs="Arial"/>
                <w:b/>
                <w:bCs/>
                <w:sz w:val="18"/>
                <w:szCs w:val="18"/>
              </w:rPr>
              <w:t>Amoxicillin/clavulanic acid Sensitivity (%)</w:t>
            </w:r>
          </w:p>
        </w:tc>
        <w:tc>
          <w:tcPr>
            <w:tcW w:w="1559" w:type="dxa"/>
            <w:vMerge w:val="restart"/>
            <w:tcBorders>
              <w:top w:val="single" w:sz="4" w:space="0" w:color="auto"/>
            </w:tcBorders>
          </w:tcPr>
          <w:p w:rsidR="008A403E" w:rsidRPr="00DB5095" w:rsidRDefault="008A403E" w:rsidP="008A403E">
            <w:pPr>
              <w:spacing w:line="24" w:lineRule="atLeast"/>
              <w:jc w:val="center"/>
              <w:rPr>
                <w:rFonts w:cs="Arial"/>
                <w:b/>
                <w:bCs/>
                <w:sz w:val="18"/>
                <w:szCs w:val="18"/>
              </w:rPr>
            </w:pPr>
            <w:r w:rsidRPr="00DB5095">
              <w:rPr>
                <w:rFonts w:cs="Arial"/>
                <w:b/>
                <w:bCs/>
                <w:sz w:val="18"/>
                <w:szCs w:val="18"/>
              </w:rPr>
              <w:t>Metronidazole Sensitivity (%)</w:t>
            </w:r>
          </w:p>
        </w:tc>
        <w:tc>
          <w:tcPr>
            <w:tcW w:w="1384" w:type="dxa"/>
            <w:vMerge w:val="restart"/>
            <w:tcBorders>
              <w:top w:val="single" w:sz="4" w:space="0" w:color="auto"/>
            </w:tcBorders>
          </w:tcPr>
          <w:p w:rsidR="008A403E" w:rsidRPr="00DB5095" w:rsidRDefault="008A403E" w:rsidP="008A403E">
            <w:pPr>
              <w:spacing w:line="24" w:lineRule="atLeast"/>
              <w:jc w:val="center"/>
              <w:rPr>
                <w:rFonts w:cs="Arial"/>
                <w:b/>
                <w:bCs/>
                <w:sz w:val="18"/>
                <w:szCs w:val="18"/>
              </w:rPr>
            </w:pPr>
            <w:r w:rsidRPr="00DB5095">
              <w:rPr>
                <w:rFonts w:cs="Arial"/>
                <w:b/>
                <w:bCs/>
                <w:sz w:val="18"/>
                <w:szCs w:val="18"/>
              </w:rPr>
              <w:t>Penicillin Sensitivity (%)</w:t>
            </w:r>
          </w:p>
        </w:tc>
      </w:tr>
      <w:tr w:rsidR="008A403E" w:rsidRPr="00DB5095" w:rsidTr="00EC4D65">
        <w:tc>
          <w:tcPr>
            <w:tcW w:w="2376" w:type="dxa"/>
            <w:tcBorders>
              <w:top w:val="nil"/>
              <w:bottom w:val="single" w:sz="4" w:space="0" w:color="auto"/>
            </w:tcBorders>
          </w:tcPr>
          <w:p w:rsidR="008A403E" w:rsidRPr="00DB5095" w:rsidRDefault="008A403E" w:rsidP="00C42AF6">
            <w:pPr>
              <w:spacing w:line="24" w:lineRule="atLeast"/>
              <w:jc w:val="both"/>
              <w:rPr>
                <w:rFonts w:cs="Arial"/>
                <w:b/>
                <w:bCs/>
                <w:sz w:val="18"/>
                <w:szCs w:val="18"/>
              </w:rPr>
            </w:pPr>
          </w:p>
        </w:tc>
        <w:tc>
          <w:tcPr>
            <w:tcW w:w="1985" w:type="dxa"/>
            <w:vMerge/>
            <w:tcBorders>
              <w:bottom w:val="single" w:sz="4" w:space="0" w:color="auto"/>
            </w:tcBorders>
          </w:tcPr>
          <w:p w:rsidR="008A403E" w:rsidRPr="00DB5095" w:rsidRDefault="008A403E" w:rsidP="00C42AF6">
            <w:pPr>
              <w:spacing w:line="24" w:lineRule="atLeast"/>
              <w:jc w:val="center"/>
              <w:rPr>
                <w:rFonts w:cs="Arial"/>
                <w:b/>
                <w:bCs/>
                <w:sz w:val="18"/>
                <w:szCs w:val="18"/>
              </w:rPr>
            </w:pPr>
          </w:p>
        </w:tc>
        <w:tc>
          <w:tcPr>
            <w:tcW w:w="2268" w:type="dxa"/>
            <w:vMerge/>
            <w:tcBorders>
              <w:bottom w:val="single" w:sz="4" w:space="0" w:color="auto"/>
            </w:tcBorders>
          </w:tcPr>
          <w:p w:rsidR="008A403E" w:rsidRPr="00DB5095" w:rsidRDefault="008A403E" w:rsidP="00C42AF6">
            <w:pPr>
              <w:spacing w:line="24" w:lineRule="atLeast"/>
              <w:jc w:val="center"/>
              <w:rPr>
                <w:rFonts w:cs="Arial"/>
                <w:b/>
                <w:bCs/>
                <w:sz w:val="18"/>
                <w:szCs w:val="18"/>
              </w:rPr>
            </w:pPr>
          </w:p>
        </w:tc>
        <w:tc>
          <w:tcPr>
            <w:tcW w:w="1559" w:type="dxa"/>
            <w:vMerge/>
            <w:tcBorders>
              <w:bottom w:val="single" w:sz="4" w:space="0" w:color="auto"/>
            </w:tcBorders>
          </w:tcPr>
          <w:p w:rsidR="008A403E" w:rsidRPr="00DB5095" w:rsidRDefault="008A403E" w:rsidP="00C42AF6">
            <w:pPr>
              <w:spacing w:line="24" w:lineRule="atLeast"/>
              <w:jc w:val="center"/>
              <w:rPr>
                <w:rFonts w:cs="Arial"/>
                <w:b/>
                <w:bCs/>
                <w:sz w:val="18"/>
                <w:szCs w:val="18"/>
              </w:rPr>
            </w:pPr>
          </w:p>
        </w:tc>
        <w:tc>
          <w:tcPr>
            <w:tcW w:w="1384" w:type="dxa"/>
            <w:vMerge/>
            <w:tcBorders>
              <w:bottom w:val="single" w:sz="4" w:space="0" w:color="auto"/>
            </w:tcBorders>
          </w:tcPr>
          <w:p w:rsidR="008A403E" w:rsidRPr="00DB5095" w:rsidRDefault="008A403E" w:rsidP="00C42AF6">
            <w:pPr>
              <w:spacing w:line="24" w:lineRule="atLeast"/>
              <w:jc w:val="center"/>
              <w:rPr>
                <w:rFonts w:cs="Arial"/>
                <w:b/>
                <w:bCs/>
                <w:sz w:val="18"/>
                <w:szCs w:val="18"/>
              </w:rPr>
            </w:pPr>
          </w:p>
        </w:tc>
      </w:tr>
      <w:tr w:rsidR="008A403E" w:rsidRPr="00DB5095" w:rsidTr="00EC4D65">
        <w:tc>
          <w:tcPr>
            <w:tcW w:w="2376" w:type="dxa"/>
            <w:tcBorders>
              <w:top w:val="single" w:sz="4" w:space="0" w:color="auto"/>
            </w:tcBorders>
          </w:tcPr>
          <w:p w:rsidR="008A403E" w:rsidRPr="00DB5095" w:rsidRDefault="008A403E" w:rsidP="00C42AF6">
            <w:pPr>
              <w:spacing w:line="24" w:lineRule="atLeast"/>
              <w:jc w:val="both"/>
              <w:rPr>
                <w:rFonts w:cs="Arial"/>
                <w:bCs/>
                <w:sz w:val="18"/>
                <w:szCs w:val="18"/>
              </w:rPr>
            </w:pPr>
            <w:r w:rsidRPr="00DB5095">
              <w:rPr>
                <w:rFonts w:cs="Arial"/>
                <w:bCs/>
                <w:sz w:val="18"/>
                <w:szCs w:val="18"/>
              </w:rPr>
              <w:t xml:space="preserve">All </w:t>
            </w:r>
            <w:proofErr w:type="spellStart"/>
            <w:r w:rsidR="00A50A9D" w:rsidRPr="00DB5095">
              <w:rPr>
                <w:rFonts w:cs="Arial"/>
                <w:bCs/>
                <w:i/>
                <w:sz w:val="18"/>
                <w:szCs w:val="18"/>
              </w:rPr>
              <w:t>Bacteroides</w:t>
            </w:r>
            <w:proofErr w:type="spellEnd"/>
            <w:r w:rsidRPr="00DB5095">
              <w:rPr>
                <w:rFonts w:cs="Arial"/>
                <w:bCs/>
                <w:i/>
                <w:sz w:val="18"/>
                <w:szCs w:val="18"/>
              </w:rPr>
              <w:t xml:space="preserve"> </w:t>
            </w:r>
          </w:p>
        </w:tc>
        <w:tc>
          <w:tcPr>
            <w:tcW w:w="1985" w:type="dxa"/>
            <w:tcBorders>
              <w:top w:val="single" w:sz="4" w:space="0" w:color="auto"/>
            </w:tcBorders>
          </w:tcPr>
          <w:p w:rsidR="008A403E" w:rsidRPr="00DB5095" w:rsidRDefault="008A403E" w:rsidP="00C42AF6">
            <w:pPr>
              <w:spacing w:line="24" w:lineRule="atLeast"/>
              <w:jc w:val="center"/>
              <w:rPr>
                <w:rFonts w:cs="Arial"/>
                <w:bCs/>
                <w:sz w:val="18"/>
                <w:szCs w:val="18"/>
              </w:rPr>
            </w:pPr>
            <w:r w:rsidRPr="00DB5095">
              <w:rPr>
                <w:rFonts w:cs="Arial"/>
                <w:bCs/>
                <w:sz w:val="18"/>
                <w:szCs w:val="18"/>
              </w:rPr>
              <w:t>102/135 (75)</w:t>
            </w:r>
          </w:p>
        </w:tc>
        <w:tc>
          <w:tcPr>
            <w:tcW w:w="2268" w:type="dxa"/>
            <w:tcBorders>
              <w:top w:val="single" w:sz="4" w:space="0" w:color="auto"/>
            </w:tcBorders>
          </w:tcPr>
          <w:p w:rsidR="008A403E" w:rsidRPr="00DB5095" w:rsidRDefault="008A403E" w:rsidP="00C42AF6">
            <w:pPr>
              <w:spacing w:line="24" w:lineRule="atLeast"/>
              <w:jc w:val="center"/>
              <w:rPr>
                <w:rFonts w:cs="Arial"/>
                <w:bCs/>
                <w:sz w:val="18"/>
                <w:szCs w:val="18"/>
              </w:rPr>
            </w:pPr>
            <w:r w:rsidRPr="00DB5095">
              <w:rPr>
                <w:rFonts w:cs="Arial"/>
                <w:bCs/>
                <w:sz w:val="18"/>
                <w:szCs w:val="18"/>
              </w:rPr>
              <w:t>124/135 (92)</w:t>
            </w:r>
          </w:p>
        </w:tc>
        <w:tc>
          <w:tcPr>
            <w:tcW w:w="1559" w:type="dxa"/>
            <w:tcBorders>
              <w:top w:val="single" w:sz="4" w:space="0" w:color="auto"/>
            </w:tcBorders>
          </w:tcPr>
          <w:p w:rsidR="008A403E" w:rsidRPr="00DB5095" w:rsidRDefault="008A403E" w:rsidP="008A403E">
            <w:pPr>
              <w:spacing w:line="24" w:lineRule="atLeast"/>
              <w:jc w:val="center"/>
              <w:rPr>
                <w:rFonts w:cs="Arial"/>
                <w:bCs/>
                <w:sz w:val="18"/>
                <w:szCs w:val="18"/>
              </w:rPr>
            </w:pPr>
            <w:r w:rsidRPr="00DB5095">
              <w:rPr>
                <w:rFonts w:cs="Arial"/>
                <w:bCs/>
                <w:sz w:val="18"/>
                <w:szCs w:val="18"/>
              </w:rPr>
              <w:t>134/135 (99)</w:t>
            </w:r>
          </w:p>
        </w:tc>
        <w:tc>
          <w:tcPr>
            <w:tcW w:w="1384" w:type="dxa"/>
            <w:tcBorders>
              <w:top w:val="single" w:sz="4" w:space="0" w:color="auto"/>
            </w:tcBorders>
          </w:tcPr>
          <w:p w:rsidR="008A403E" w:rsidRPr="00DB5095" w:rsidRDefault="008A403E" w:rsidP="006C6E65">
            <w:pPr>
              <w:spacing w:line="24" w:lineRule="atLeast"/>
              <w:jc w:val="center"/>
              <w:rPr>
                <w:rFonts w:cs="Arial"/>
                <w:bCs/>
                <w:sz w:val="18"/>
                <w:szCs w:val="18"/>
              </w:rPr>
            </w:pPr>
            <w:r w:rsidRPr="00DB5095">
              <w:rPr>
                <w:rFonts w:cs="Arial"/>
                <w:bCs/>
                <w:sz w:val="18"/>
                <w:szCs w:val="18"/>
              </w:rPr>
              <w:t>7/135</w:t>
            </w:r>
            <w:r w:rsidR="006C6E65" w:rsidRPr="00DB5095">
              <w:rPr>
                <w:rFonts w:cs="Arial"/>
                <w:bCs/>
                <w:sz w:val="18"/>
                <w:szCs w:val="18"/>
              </w:rPr>
              <w:t xml:space="preserve"> (</w:t>
            </w:r>
            <w:r w:rsidRPr="00DB5095">
              <w:rPr>
                <w:rFonts w:cs="Arial"/>
                <w:bCs/>
                <w:sz w:val="18"/>
                <w:szCs w:val="18"/>
              </w:rPr>
              <w:t>5</w:t>
            </w:r>
            <w:r w:rsidR="006C6E65" w:rsidRPr="00DB5095">
              <w:rPr>
                <w:rFonts w:cs="Arial"/>
                <w:bCs/>
                <w:sz w:val="18"/>
                <w:szCs w:val="18"/>
              </w:rPr>
              <w:t>)</w:t>
            </w:r>
          </w:p>
        </w:tc>
      </w:tr>
      <w:tr w:rsidR="008A403E" w:rsidRPr="00DB5095" w:rsidTr="00EC4D65">
        <w:tc>
          <w:tcPr>
            <w:tcW w:w="2376" w:type="dxa"/>
          </w:tcPr>
          <w:p w:rsidR="008A403E" w:rsidRPr="00DB5095" w:rsidRDefault="00A50A9D" w:rsidP="00C42AF6">
            <w:pPr>
              <w:spacing w:line="24" w:lineRule="atLeast"/>
              <w:jc w:val="both"/>
              <w:rPr>
                <w:rFonts w:cs="Arial"/>
                <w:bCs/>
                <w:i/>
                <w:sz w:val="18"/>
                <w:szCs w:val="18"/>
              </w:rPr>
            </w:pPr>
            <w:proofErr w:type="spellStart"/>
            <w:r w:rsidRPr="00DB5095">
              <w:rPr>
                <w:rFonts w:cs="Arial"/>
                <w:bCs/>
                <w:i/>
                <w:sz w:val="18"/>
                <w:szCs w:val="18"/>
              </w:rPr>
              <w:t>Bacteroides</w:t>
            </w:r>
            <w:proofErr w:type="spellEnd"/>
            <w:r w:rsidR="008A403E" w:rsidRPr="00DB5095">
              <w:rPr>
                <w:rFonts w:cs="Arial"/>
                <w:bCs/>
                <w:i/>
                <w:sz w:val="18"/>
                <w:szCs w:val="18"/>
              </w:rPr>
              <w:t xml:space="preserve"> </w:t>
            </w:r>
            <w:proofErr w:type="spellStart"/>
            <w:r w:rsidR="008A403E" w:rsidRPr="00DB5095">
              <w:rPr>
                <w:rFonts w:cs="Arial"/>
                <w:bCs/>
                <w:i/>
                <w:sz w:val="18"/>
                <w:szCs w:val="18"/>
              </w:rPr>
              <w:t>fragilis</w:t>
            </w:r>
            <w:proofErr w:type="spellEnd"/>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89/118 (75)</w:t>
            </w:r>
          </w:p>
        </w:tc>
        <w:tc>
          <w:tcPr>
            <w:tcW w:w="2268"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108/118 (84)</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116/117 (99)</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2118</w:t>
            </w:r>
            <w:r w:rsidR="006C6E65" w:rsidRPr="00DB5095">
              <w:rPr>
                <w:rFonts w:cs="Arial"/>
                <w:bCs/>
                <w:sz w:val="18"/>
                <w:szCs w:val="18"/>
              </w:rPr>
              <w:t xml:space="preserve"> (</w:t>
            </w:r>
            <w:r w:rsidRPr="00DB5095">
              <w:rPr>
                <w:rFonts w:cs="Arial"/>
                <w:bCs/>
                <w:sz w:val="18"/>
                <w:szCs w:val="18"/>
              </w:rPr>
              <w:t>2</w:t>
            </w:r>
            <w:r w:rsidR="006C6E65" w:rsidRPr="00DB5095">
              <w:rPr>
                <w:rFonts w:cs="Arial"/>
                <w:bCs/>
                <w:sz w:val="18"/>
                <w:szCs w:val="18"/>
              </w:rPr>
              <w:t>)</w:t>
            </w:r>
          </w:p>
        </w:tc>
      </w:tr>
      <w:tr w:rsidR="008A403E" w:rsidRPr="00DB5095" w:rsidTr="00EC4D65">
        <w:tc>
          <w:tcPr>
            <w:tcW w:w="2376" w:type="dxa"/>
          </w:tcPr>
          <w:p w:rsidR="008A403E" w:rsidRPr="00DB5095" w:rsidRDefault="00A50A9D" w:rsidP="00C42AF6">
            <w:pPr>
              <w:spacing w:line="24" w:lineRule="atLeast"/>
              <w:jc w:val="both"/>
              <w:rPr>
                <w:rFonts w:cs="Arial"/>
                <w:bCs/>
                <w:sz w:val="18"/>
                <w:szCs w:val="18"/>
              </w:rPr>
            </w:pPr>
            <w:proofErr w:type="spellStart"/>
            <w:r w:rsidRPr="00DB5095">
              <w:rPr>
                <w:rFonts w:cs="Arial"/>
                <w:bCs/>
                <w:i/>
                <w:sz w:val="18"/>
                <w:szCs w:val="18"/>
              </w:rPr>
              <w:t>Bacteroides</w:t>
            </w:r>
            <w:proofErr w:type="spellEnd"/>
            <w:r w:rsidR="008A403E" w:rsidRPr="00DB5095">
              <w:rPr>
                <w:rFonts w:cs="Arial"/>
                <w:bCs/>
                <w:i/>
                <w:sz w:val="18"/>
                <w:szCs w:val="18"/>
              </w:rPr>
              <w:t xml:space="preserve"> </w:t>
            </w:r>
            <w:r w:rsidR="00EC4D65" w:rsidRPr="00DB5095">
              <w:rPr>
                <w:rFonts w:cs="Arial"/>
                <w:bCs/>
                <w:i/>
                <w:sz w:val="18"/>
                <w:szCs w:val="18"/>
              </w:rPr>
              <w:t>spp.</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13/18 (72)</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16/17 (94)</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18/18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5/17</w:t>
            </w:r>
            <w:r w:rsidR="006C6E65" w:rsidRPr="00DB5095">
              <w:rPr>
                <w:rFonts w:cs="Arial"/>
                <w:bCs/>
                <w:sz w:val="18"/>
                <w:szCs w:val="18"/>
              </w:rPr>
              <w:t xml:space="preserve"> (</w:t>
            </w:r>
            <w:r w:rsidRPr="00DB5095">
              <w:rPr>
                <w:rFonts w:cs="Arial"/>
                <w:bCs/>
                <w:sz w:val="18"/>
                <w:szCs w:val="18"/>
              </w:rPr>
              <w:t>29</w:t>
            </w:r>
            <w:r w:rsidR="006C6E65" w:rsidRPr="00DB5095">
              <w:rPr>
                <w:rFonts w:cs="Arial"/>
                <w:bCs/>
                <w:sz w:val="18"/>
                <w:szCs w:val="18"/>
              </w:rPr>
              <w:t>)</w:t>
            </w:r>
          </w:p>
        </w:tc>
      </w:tr>
      <w:tr w:rsidR="008A403E" w:rsidRPr="00DB5095" w:rsidTr="00EC4D65">
        <w:tc>
          <w:tcPr>
            <w:tcW w:w="2376" w:type="dxa"/>
          </w:tcPr>
          <w:p w:rsidR="008A403E" w:rsidRPr="00DB5095" w:rsidRDefault="008A403E" w:rsidP="00C42AF6">
            <w:pPr>
              <w:spacing w:line="24" w:lineRule="atLeast"/>
              <w:jc w:val="both"/>
              <w:rPr>
                <w:rFonts w:cs="Arial"/>
                <w:bCs/>
                <w:sz w:val="18"/>
                <w:szCs w:val="18"/>
              </w:rPr>
            </w:pPr>
            <w:r w:rsidRPr="00DB5095">
              <w:rPr>
                <w:rFonts w:cs="Arial"/>
                <w:bCs/>
                <w:sz w:val="18"/>
                <w:szCs w:val="18"/>
              </w:rPr>
              <w:t xml:space="preserve">All </w:t>
            </w:r>
            <w:r w:rsidRPr="00DB5095">
              <w:rPr>
                <w:rFonts w:cs="Arial"/>
                <w:bCs/>
                <w:i/>
                <w:sz w:val="18"/>
                <w:szCs w:val="18"/>
              </w:rPr>
              <w:t>Clostridium</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56/78 (72)</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77/78 (99)</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77/78 (99)</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72/78</w:t>
            </w:r>
            <w:r w:rsidR="006C6E65" w:rsidRPr="00DB5095">
              <w:rPr>
                <w:rFonts w:cs="Arial"/>
                <w:bCs/>
                <w:sz w:val="18"/>
                <w:szCs w:val="18"/>
              </w:rPr>
              <w:t xml:space="preserve"> (</w:t>
            </w:r>
            <w:r w:rsidRPr="00DB5095">
              <w:rPr>
                <w:rFonts w:cs="Arial"/>
                <w:bCs/>
                <w:sz w:val="18"/>
                <w:szCs w:val="18"/>
              </w:rPr>
              <w:t>92</w:t>
            </w:r>
            <w:r w:rsidR="006C6E65" w:rsidRPr="00DB5095">
              <w:rPr>
                <w:rFonts w:cs="Arial"/>
                <w:bCs/>
                <w:sz w:val="18"/>
                <w:szCs w:val="18"/>
              </w:rPr>
              <w:t>)</w:t>
            </w:r>
          </w:p>
        </w:tc>
      </w:tr>
      <w:tr w:rsidR="008A403E" w:rsidRPr="00DB5095" w:rsidTr="00EC4D65">
        <w:tc>
          <w:tcPr>
            <w:tcW w:w="2376" w:type="dxa"/>
          </w:tcPr>
          <w:p w:rsidR="008A403E" w:rsidRPr="00DB5095" w:rsidRDefault="008A403E" w:rsidP="00C42AF6">
            <w:pPr>
              <w:spacing w:line="24" w:lineRule="atLeast"/>
              <w:jc w:val="both"/>
              <w:rPr>
                <w:rFonts w:cs="Arial"/>
                <w:bCs/>
                <w:i/>
                <w:sz w:val="18"/>
                <w:szCs w:val="18"/>
              </w:rPr>
            </w:pPr>
            <w:r w:rsidRPr="00DB5095">
              <w:rPr>
                <w:rFonts w:cs="Arial"/>
                <w:bCs/>
                <w:i/>
                <w:sz w:val="18"/>
                <w:szCs w:val="18"/>
              </w:rPr>
              <w:t xml:space="preserve">Clostridium </w:t>
            </w:r>
            <w:proofErr w:type="spellStart"/>
            <w:r w:rsidRPr="00DB5095">
              <w:rPr>
                <w:rFonts w:cs="Arial"/>
                <w:bCs/>
                <w:i/>
                <w:sz w:val="18"/>
                <w:szCs w:val="18"/>
              </w:rPr>
              <w:t>perfringems</w:t>
            </w:r>
            <w:proofErr w:type="spellEnd"/>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27/35 (77)</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34/35 (97)</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35/35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35/35</w:t>
            </w:r>
            <w:r w:rsidR="006C6E65" w:rsidRPr="00DB5095">
              <w:rPr>
                <w:rFonts w:cs="Arial"/>
                <w:bCs/>
                <w:sz w:val="18"/>
                <w:szCs w:val="18"/>
              </w:rPr>
              <w:t xml:space="preserve"> (</w:t>
            </w:r>
            <w:r w:rsidRPr="00DB5095">
              <w:rPr>
                <w:rFonts w:cs="Arial"/>
                <w:bCs/>
                <w:sz w:val="18"/>
                <w:szCs w:val="18"/>
              </w:rPr>
              <w:t>100</w:t>
            </w:r>
            <w:r w:rsidR="006C6E65" w:rsidRPr="00DB5095">
              <w:rPr>
                <w:rFonts w:cs="Arial"/>
                <w:bCs/>
                <w:sz w:val="18"/>
                <w:szCs w:val="18"/>
              </w:rPr>
              <w:t>)</w:t>
            </w:r>
          </w:p>
        </w:tc>
      </w:tr>
      <w:tr w:rsidR="008A403E" w:rsidRPr="00DB5095" w:rsidTr="00EC4D65">
        <w:tc>
          <w:tcPr>
            <w:tcW w:w="2376" w:type="dxa"/>
          </w:tcPr>
          <w:p w:rsidR="008A403E" w:rsidRPr="00DB5095" w:rsidRDefault="008A403E" w:rsidP="00C42AF6">
            <w:pPr>
              <w:spacing w:line="24" w:lineRule="atLeast"/>
              <w:jc w:val="both"/>
              <w:rPr>
                <w:rFonts w:cs="Arial"/>
                <w:bCs/>
                <w:sz w:val="18"/>
                <w:szCs w:val="18"/>
              </w:rPr>
            </w:pPr>
            <w:r w:rsidRPr="00DB5095">
              <w:rPr>
                <w:rFonts w:cs="Arial"/>
                <w:bCs/>
                <w:sz w:val="18"/>
                <w:szCs w:val="18"/>
              </w:rPr>
              <w:t xml:space="preserve">Clostridium </w:t>
            </w:r>
            <w:proofErr w:type="spellStart"/>
            <w:r w:rsidRPr="00DB5095">
              <w:rPr>
                <w:rFonts w:cs="Arial"/>
                <w:bCs/>
                <w:sz w:val="18"/>
                <w:szCs w:val="18"/>
              </w:rPr>
              <w:t>ramosum</w:t>
            </w:r>
            <w:proofErr w:type="spellEnd"/>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2/12 (17)</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13/13 (100)</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14/14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12/13</w:t>
            </w:r>
            <w:r w:rsidR="006C6E65" w:rsidRPr="00DB5095">
              <w:rPr>
                <w:rFonts w:cs="Arial"/>
                <w:bCs/>
                <w:sz w:val="18"/>
                <w:szCs w:val="18"/>
              </w:rPr>
              <w:t xml:space="preserve"> (</w:t>
            </w:r>
            <w:r w:rsidRPr="00DB5095">
              <w:rPr>
                <w:rFonts w:cs="Arial"/>
                <w:bCs/>
                <w:sz w:val="18"/>
                <w:szCs w:val="18"/>
              </w:rPr>
              <w:t>92</w:t>
            </w:r>
            <w:r w:rsidR="006C6E65" w:rsidRPr="00DB5095">
              <w:rPr>
                <w:rFonts w:cs="Arial"/>
                <w:bCs/>
                <w:sz w:val="18"/>
                <w:szCs w:val="18"/>
              </w:rPr>
              <w:t>)</w:t>
            </w:r>
          </w:p>
        </w:tc>
      </w:tr>
      <w:tr w:rsidR="008A403E" w:rsidRPr="00DB5095" w:rsidTr="00EC4D65">
        <w:tc>
          <w:tcPr>
            <w:tcW w:w="2376" w:type="dxa"/>
          </w:tcPr>
          <w:p w:rsidR="008A403E" w:rsidRPr="00DB5095" w:rsidRDefault="008A403E" w:rsidP="00C42AF6">
            <w:pPr>
              <w:spacing w:line="24" w:lineRule="atLeast"/>
              <w:jc w:val="both"/>
              <w:rPr>
                <w:rFonts w:cs="Arial"/>
                <w:bCs/>
                <w:i/>
                <w:sz w:val="18"/>
                <w:szCs w:val="18"/>
              </w:rPr>
            </w:pPr>
            <w:r w:rsidRPr="00DB5095">
              <w:rPr>
                <w:rFonts w:cs="Arial"/>
                <w:bCs/>
                <w:i/>
                <w:sz w:val="18"/>
                <w:szCs w:val="18"/>
              </w:rPr>
              <w:t xml:space="preserve">Clostridium </w:t>
            </w:r>
            <w:proofErr w:type="spellStart"/>
            <w:r w:rsidRPr="00DB5095">
              <w:rPr>
                <w:rFonts w:cs="Arial"/>
                <w:bCs/>
                <w:i/>
                <w:sz w:val="18"/>
                <w:szCs w:val="18"/>
              </w:rPr>
              <w:t>septicum</w:t>
            </w:r>
            <w:proofErr w:type="spellEnd"/>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13/13 (100)</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13/13 (100)</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13/14 (93)</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13/13</w:t>
            </w:r>
            <w:r w:rsidR="006C6E65" w:rsidRPr="00DB5095">
              <w:rPr>
                <w:rFonts w:cs="Arial"/>
                <w:bCs/>
                <w:sz w:val="18"/>
                <w:szCs w:val="18"/>
              </w:rPr>
              <w:t xml:space="preserve"> (</w:t>
            </w:r>
            <w:r w:rsidRPr="00DB5095">
              <w:rPr>
                <w:rFonts w:cs="Arial"/>
                <w:bCs/>
                <w:sz w:val="18"/>
                <w:szCs w:val="18"/>
              </w:rPr>
              <w:t>100</w:t>
            </w:r>
            <w:r w:rsidR="006C6E65" w:rsidRPr="00DB5095">
              <w:rPr>
                <w:rFonts w:cs="Arial"/>
                <w:bCs/>
                <w:sz w:val="18"/>
                <w:szCs w:val="18"/>
              </w:rPr>
              <w:t>)</w:t>
            </w:r>
          </w:p>
        </w:tc>
      </w:tr>
      <w:tr w:rsidR="008A403E" w:rsidRPr="00DB5095" w:rsidTr="00EC4D65">
        <w:tc>
          <w:tcPr>
            <w:tcW w:w="2376" w:type="dxa"/>
          </w:tcPr>
          <w:p w:rsidR="008A403E" w:rsidRPr="00DB5095" w:rsidRDefault="008A403E" w:rsidP="00C42AF6">
            <w:pPr>
              <w:spacing w:line="24" w:lineRule="atLeast"/>
              <w:jc w:val="both"/>
              <w:rPr>
                <w:rFonts w:cs="Arial"/>
                <w:bCs/>
                <w:sz w:val="18"/>
                <w:szCs w:val="18"/>
              </w:rPr>
            </w:pPr>
            <w:r w:rsidRPr="00DB5095">
              <w:rPr>
                <w:rFonts w:cs="Arial"/>
                <w:bCs/>
                <w:i/>
                <w:sz w:val="18"/>
                <w:szCs w:val="18"/>
              </w:rPr>
              <w:t>Clostridium</w:t>
            </w:r>
            <w:r w:rsidRPr="00DB5095">
              <w:rPr>
                <w:rFonts w:cs="Arial"/>
                <w:bCs/>
                <w:sz w:val="18"/>
                <w:szCs w:val="18"/>
              </w:rPr>
              <w:t xml:space="preserve"> </w:t>
            </w:r>
            <w:r w:rsidR="00EC4D65" w:rsidRPr="00DB5095">
              <w:rPr>
                <w:rFonts w:cs="Arial"/>
                <w:bCs/>
                <w:i/>
                <w:sz w:val="18"/>
                <w:szCs w:val="18"/>
              </w:rPr>
              <w:t>spp.</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14/18 (78)</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17/17 (100)</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1717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12</w:t>
            </w:r>
            <w:r w:rsidR="006C6E65" w:rsidRPr="00DB5095">
              <w:rPr>
                <w:rFonts w:cs="Arial"/>
                <w:bCs/>
                <w:sz w:val="18"/>
                <w:szCs w:val="18"/>
              </w:rPr>
              <w:t>/</w:t>
            </w:r>
            <w:r w:rsidRPr="00DB5095">
              <w:rPr>
                <w:rFonts w:cs="Arial"/>
                <w:bCs/>
                <w:sz w:val="18"/>
                <w:szCs w:val="18"/>
              </w:rPr>
              <w:t>18</w:t>
            </w:r>
            <w:r w:rsidR="006C6E65" w:rsidRPr="00DB5095">
              <w:rPr>
                <w:rFonts w:cs="Arial"/>
                <w:bCs/>
                <w:sz w:val="18"/>
                <w:szCs w:val="18"/>
              </w:rPr>
              <w:t xml:space="preserve"> (</w:t>
            </w:r>
            <w:r w:rsidRPr="00DB5095">
              <w:rPr>
                <w:rFonts w:cs="Arial"/>
                <w:bCs/>
                <w:sz w:val="18"/>
                <w:szCs w:val="18"/>
              </w:rPr>
              <w:t>67</w:t>
            </w:r>
            <w:r w:rsidR="006C6E65" w:rsidRPr="00DB5095">
              <w:rPr>
                <w:rFonts w:cs="Arial"/>
                <w:bCs/>
                <w:sz w:val="18"/>
                <w:szCs w:val="18"/>
              </w:rPr>
              <w:t>)</w:t>
            </w:r>
          </w:p>
        </w:tc>
      </w:tr>
      <w:tr w:rsidR="008A403E" w:rsidRPr="00DB5095" w:rsidTr="00EC4D65">
        <w:tc>
          <w:tcPr>
            <w:tcW w:w="2376" w:type="dxa"/>
          </w:tcPr>
          <w:p w:rsidR="008A403E" w:rsidRPr="00DB5095" w:rsidRDefault="008A403E" w:rsidP="00C42AF6">
            <w:pPr>
              <w:spacing w:line="24" w:lineRule="atLeast"/>
              <w:jc w:val="both"/>
              <w:rPr>
                <w:rFonts w:cs="Arial"/>
                <w:bCs/>
                <w:sz w:val="18"/>
                <w:szCs w:val="18"/>
              </w:rPr>
            </w:pPr>
            <w:r w:rsidRPr="00DB5095">
              <w:rPr>
                <w:rFonts w:cs="Arial"/>
                <w:bCs/>
                <w:i/>
                <w:sz w:val="18"/>
                <w:szCs w:val="18"/>
              </w:rPr>
              <w:t>Propionibacterium</w:t>
            </w:r>
            <w:r w:rsidRPr="00DB5095">
              <w:rPr>
                <w:rFonts w:cs="Arial"/>
                <w:bCs/>
                <w:sz w:val="18"/>
                <w:szCs w:val="18"/>
              </w:rPr>
              <w:t xml:space="preserve"> </w:t>
            </w:r>
            <w:r w:rsidR="00EC4D65" w:rsidRPr="00DB5095">
              <w:rPr>
                <w:rFonts w:cs="Arial"/>
                <w:bCs/>
                <w:i/>
                <w:sz w:val="18"/>
                <w:szCs w:val="18"/>
              </w:rPr>
              <w:t>spp.</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5/7 (71)</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24/24 (100)</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4/26 (18)</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26/26</w:t>
            </w:r>
            <w:r w:rsidR="006C6E65" w:rsidRPr="00DB5095">
              <w:rPr>
                <w:rFonts w:cs="Arial"/>
                <w:bCs/>
                <w:sz w:val="18"/>
                <w:szCs w:val="18"/>
              </w:rPr>
              <w:t xml:space="preserve"> (</w:t>
            </w:r>
            <w:r w:rsidRPr="00DB5095">
              <w:rPr>
                <w:rFonts w:cs="Arial"/>
                <w:bCs/>
                <w:sz w:val="18"/>
                <w:szCs w:val="18"/>
              </w:rPr>
              <w:t>100</w:t>
            </w:r>
            <w:r w:rsidR="006C6E65" w:rsidRPr="00DB5095">
              <w:rPr>
                <w:rFonts w:cs="Arial"/>
                <w:bCs/>
                <w:sz w:val="18"/>
                <w:szCs w:val="18"/>
              </w:rPr>
              <w:t>)</w:t>
            </w:r>
          </w:p>
        </w:tc>
      </w:tr>
      <w:tr w:rsidR="008A403E" w:rsidRPr="00DB5095" w:rsidTr="00EC4D65">
        <w:tc>
          <w:tcPr>
            <w:tcW w:w="2376" w:type="dxa"/>
          </w:tcPr>
          <w:p w:rsidR="008A403E" w:rsidRPr="00DB5095" w:rsidRDefault="008A403E" w:rsidP="00EC4D65">
            <w:pPr>
              <w:spacing w:line="24" w:lineRule="atLeast"/>
              <w:jc w:val="both"/>
              <w:rPr>
                <w:rFonts w:cs="Arial"/>
                <w:bCs/>
                <w:sz w:val="18"/>
                <w:szCs w:val="18"/>
              </w:rPr>
            </w:pPr>
            <w:proofErr w:type="spellStart"/>
            <w:r w:rsidRPr="00DB5095">
              <w:rPr>
                <w:rFonts w:cs="Arial"/>
                <w:bCs/>
                <w:i/>
                <w:sz w:val="18"/>
                <w:szCs w:val="18"/>
              </w:rPr>
              <w:t>Fusobactrium</w:t>
            </w:r>
            <w:proofErr w:type="spellEnd"/>
            <w:r w:rsidR="00EC4D65" w:rsidRPr="00DB5095">
              <w:rPr>
                <w:rFonts w:cs="Arial"/>
                <w:bCs/>
                <w:i/>
                <w:sz w:val="18"/>
                <w:szCs w:val="18"/>
              </w:rPr>
              <w:t xml:space="preserve"> spp.</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9/10 (90)</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9/11 (82)</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10/11 (91)</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8/11</w:t>
            </w:r>
            <w:r w:rsidR="006C6E65" w:rsidRPr="00DB5095">
              <w:rPr>
                <w:rFonts w:cs="Arial"/>
                <w:bCs/>
                <w:sz w:val="18"/>
                <w:szCs w:val="18"/>
              </w:rPr>
              <w:t xml:space="preserve"> (</w:t>
            </w:r>
            <w:r w:rsidRPr="00DB5095">
              <w:rPr>
                <w:rFonts w:cs="Arial"/>
                <w:bCs/>
                <w:sz w:val="18"/>
                <w:szCs w:val="18"/>
              </w:rPr>
              <w:t>73</w:t>
            </w:r>
            <w:r w:rsidR="006C6E65" w:rsidRPr="00DB5095">
              <w:rPr>
                <w:rFonts w:cs="Arial"/>
                <w:bCs/>
                <w:sz w:val="18"/>
                <w:szCs w:val="18"/>
              </w:rPr>
              <w:t>)</w:t>
            </w:r>
          </w:p>
        </w:tc>
      </w:tr>
      <w:tr w:rsidR="008A403E" w:rsidRPr="00DB5095" w:rsidTr="00EC4D65">
        <w:tc>
          <w:tcPr>
            <w:tcW w:w="2376" w:type="dxa"/>
          </w:tcPr>
          <w:p w:rsidR="008A403E" w:rsidRPr="00DB5095" w:rsidRDefault="008A403E" w:rsidP="00EC4D65">
            <w:pPr>
              <w:spacing w:line="24" w:lineRule="atLeast"/>
              <w:jc w:val="both"/>
              <w:rPr>
                <w:rFonts w:cs="Arial"/>
                <w:bCs/>
                <w:sz w:val="18"/>
                <w:szCs w:val="18"/>
              </w:rPr>
            </w:pPr>
            <w:proofErr w:type="spellStart"/>
            <w:r w:rsidRPr="00DB5095">
              <w:rPr>
                <w:rFonts w:cs="Arial"/>
                <w:bCs/>
                <w:i/>
                <w:sz w:val="18"/>
                <w:szCs w:val="18"/>
              </w:rPr>
              <w:t>Prevotella</w:t>
            </w:r>
            <w:proofErr w:type="spellEnd"/>
            <w:r w:rsidR="00EC4D65" w:rsidRPr="00DB5095">
              <w:rPr>
                <w:rFonts w:cs="Arial"/>
                <w:bCs/>
                <w:i/>
                <w:sz w:val="18"/>
                <w:szCs w:val="18"/>
              </w:rPr>
              <w:t xml:space="preserve"> spp.</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5/7 (71)</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5/6 (83)</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7/7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2/6</w:t>
            </w:r>
            <w:r w:rsidR="006C6E65" w:rsidRPr="00DB5095">
              <w:rPr>
                <w:rFonts w:cs="Arial"/>
                <w:bCs/>
                <w:sz w:val="18"/>
                <w:szCs w:val="18"/>
              </w:rPr>
              <w:t xml:space="preserve"> (</w:t>
            </w:r>
            <w:r w:rsidRPr="00DB5095">
              <w:rPr>
                <w:rFonts w:cs="Arial"/>
                <w:bCs/>
                <w:sz w:val="18"/>
                <w:szCs w:val="18"/>
              </w:rPr>
              <w:t>33</w:t>
            </w:r>
            <w:r w:rsidR="006C6E65" w:rsidRPr="00DB5095">
              <w:rPr>
                <w:rFonts w:cs="Arial"/>
                <w:bCs/>
                <w:sz w:val="18"/>
                <w:szCs w:val="18"/>
              </w:rPr>
              <w:t>)</w:t>
            </w:r>
          </w:p>
        </w:tc>
      </w:tr>
      <w:tr w:rsidR="008A403E" w:rsidRPr="00DB5095" w:rsidTr="00EC4D65">
        <w:tc>
          <w:tcPr>
            <w:tcW w:w="2376" w:type="dxa"/>
          </w:tcPr>
          <w:p w:rsidR="008A403E" w:rsidRPr="00DB5095" w:rsidRDefault="008A403E" w:rsidP="00EC4D65">
            <w:pPr>
              <w:spacing w:line="24" w:lineRule="atLeast"/>
              <w:jc w:val="both"/>
              <w:rPr>
                <w:rFonts w:cs="Arial"/>
                <w:bCs/>
                <w:sz w:val="18"/>
                <w:szCs w:val="18"/>
              </w:rPr>
            </w:pPr>
            <w:proofErr w:type="spellStart"/>
            <w:r w:rsidRPr="00DB5095">
              <w:rPr>
                <w:rFonts w:cs="Arial"/>
                <w:bCs/>
                <w:i/>
                <w:sz w:val="18"/>
                <w:szCs w:val="18"/>
              </w:rPr>
              <w:t>Veilleonella</w:t>
            </w:r>
            <w:proofErr w:type="spellEnd"/>
            <w:r w:rsidR="00EC4D65" w:rsidRPr="00DB5095">
              <w:rPr>
                <w:rFonts w:cs="Arial"/>
                <w:bCs/>
                <w:i/>
                <w:sz w:val="18"/>
                <w:szCs w:val="18"/>
              </w:rPr>
              <w:t xml:space="preserve"> spp.</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5/5 (100)</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5/5 (100)</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4/4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2/5</w:t>
            </w:r>
            <w:r w:rsidR="006C6E65" w:rsidRPr="00DB5095">
              <w:rPr>
                <w:rFonts w:cs="Arial"/>
                <w:bCs/>
                <w:sz w:val="18"/>
                <w:szCs w:val="18"/>
              </w:rPr>
              <w:t xml:space="preserve"> (</w:t>
            </w:r>
            <w:r w:rsidRPr="00DB5095">
              <w:rPr>
                <w:rFonts w:cs="Arial"/>
                <w:bCs/>
                <w:sz w:val="18"/>
                <w:szCs w:val="18"/>
              </w:rPr>
              <w:t>40</w:t>
            </w:r>
            <w:r w:rsidR="006C6E65" w:rsidRPr="00DB5095">
              <w:rPr>
                <w:rFonts w:cs="Arial"/>
                <w:bCs/>
                <w:sz w:val="18"/>
                <w:szCs w:val="18"/>
              </w:rPr>
              <w:t>)</w:t>
            </w:r>
          </w:p>
        </w:tc>
      </w:tr>
      <w:tr w:rsidR="008A403E" w:rsidRPr="00DB5095" w:rsidTr="00EC4D65">
        <w:tc>
          <w:tcPr>
            <w:tcW w:w="2376" w:type="dxa"/>
          </w:tcPr>
          <w:p w:rsidR="008A403E" w:rsidRPr="00DB5095" w:rsidRDefault="008A403E" w:rsidP="00EC4D65">
            <w:pPr>
              <w:spacing w:line="24" w:lineRule="atLeast"/>
              <w:jc w:val="both"/>
              <w:rPr>
                <w:rFonts w:cs="Arial"/>
                <w:bCs/>
                <w:sz w:val="18"/>
                <w:szCs w:val="18"/>
              </w:rPr>
            </w:pPr>
            <w:r w:rsidRPr="00DB5095">
              <w:rPr>
                <w:rFonts w:cs="Arial"/>
                <w:bCs/>
                <w:sz w:val="18"/>
                <w:szCs w:val="18"/>
              </w:rPr>
              <w:t xml:space="preserve">Other Gram </w:t>
            </w:r>
            <w:r w:rsidR="00EC4D65" w:rsidRPr="00DB5095">
              <w:rPr>
                <w:rFonts w:cs="Arial"/>
                <w:bCs/>
                <w:sz w:val="18"/>
                <w:szCs w:val="18"/>
              </w:rPr>
              <w:t>(-)</w:t>
            </w:r>
            <w:r w:rsidRPr="00DB5095">
              <w:rPr>
                <w:rFonts w:cs="Arial"/>
                <w:bCs/>
                <w:sz w:val="18"/>
                <w:szCs w:val="18"/>
              </w:rPr>
              <w:t xml:space="preserve"> organisms</w:t>
            </w:r>
          </w:p>
        </w:tc>
        <w:tc>
          <w:tcPr>
            <w:tcW w:w="1985" w:type="dxa"/>
          </w:tcPr>
          <w:p w:rsidR="008A403E" w:rsidRPr="00DB5095" w:rsidRDefault="008A403E" w:rsidP="00C42AF6">
            <w:pPr>
              <w:spacing w:line="24" w:lineRule="atLeast"/>
              <w:jc w:val="center"/>
              <w:rPr>
                <w:rFonts w:cs="Arial"/>
                <w:bCs/>
                <w:sz w:val="18"/>
                <w:szCs w:val="18"/>
              </w:rPr>
            </w:pPr>
            <w:r w:rsidRPr="00DB5095">
              <w:rPr>
                <w:rFonts w:cs="Arial"/>
                <w:bCs/>
                <w:sz w:val="18"/>
                <w:szCs w:val="18"/>
              </w:rPr>
              <w:t>11/14 (79)</w:t>
            </w:r>
          </w:p>
        </w:tc>
        <w:tc>
          <w:tcPr>
            <w:tcW w:w="2268"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13/14 (93)</w:t>
            </w:r>
          </w:p>
        </w:tc>
        <w:tc>
          <w:tcPr>
            <w:tcW w:w="1559" w:type="dxa"/>
          </w:tcPr>
          <w:p w:rsidR="008A403E" w:rsidRPr="00DB5095" w:rsidRDefault="008A403E" w:rsidP="008A403E">
            <w:pPr>
              <w:spacing w:line="24" w:lineRule="atLeast"/>
              <w:jc w:val="center"/>
              <w:rPr>
                <w:rFonts w:cs="Arial"/>
                <w:bCs/>
                <w:sz w:val="18"/>
                <w:szCs w:val="18"/>
              </w:rPr>
            </w:pPr>
            <w:r w:rsidRPr="00DB5095">
              <w:rPr>
                <w:rFonts w:cs="Arial"/>
                <w:bCs/>
                <w:sz w:val="18"/>
                <w:szCs w:val="18"/>
              </w:rPr>
              <w:t>15/15 (100)</w:t>
            </w:r>
          </w:p>
        </w:tc>
        <w:tc>
          <w:tcPr>
            <w:tcW w:w="1384" w:type="dxa"/>
          </w:tcPr>
          <w:p w:rsidR="008A403E" w:rsidRPr="00DB5095" w:rsidRDefault="008A403E" w:rsidP="006C6E65">
            <w:pPr>
              <w:spacing w:line="24" w:lineRule="atLeast"/>
              <w:jc w:val="center"/>
              <w:rPr>
                <w:rFonts w:cs="Arial"/>
                <w:bCs/>
                <w:sz w:val="18"/>
                <w:szCs w:val="18"/>
              </w:rPr>
            </w:pPr>
            <w:r w:rsidRPr="00DB5095">
              <w:rPr>
                <w:rFonts w:cs="Arial"/>
                <w:bCs/>
                <w:sz w:val="18"/>
                <w:szCs w:val="18"/>
              </w:rPr>
              <w:t>5/18</w:t>
            </w:r>
            <w:r w:rsidR="006C6E65" w:rsidRPr="00DB5095">
              <w:rPr>
                <w:rFonts w:cs="Arial"/>
                <w:bCs/>
                <w:sz w:val="18"/>
                <w:szCs w:val="18"/>
              </w:rPr>
              <w:t xml:space="preserve"> (</w:t>
            </w:r>
            <w:r w:rsidRPr="00DB5095">
              <w:rPr>
                <w:rFonts w:cs="Arial"/>
                <w:bCs/>
                <w:sz w:val="18"/>
                <w:szCs w:val="18"/>
              </w:rPr>
              <w:t>28</w:t>
            </w:r>
            <w:r w:rsidR="006C6E65" w:rsidRPr="00DB5095">
              <w:rPr>
                <w:rFonts w:cs="Arial"/>
                <w:bCs/>
                <w:sz w:val="18"/>
                <w:szCs w:val="18"/>
              </w:rPr>
              <w:t>)</w:t>
            </w:r>
          </w:p>
        </w:tc>
      </w:tr>
    </w:tbl>
    <w:p w:rsidR="009946E2" w:rsidRPr="00DB5095" w:rsidRDefault="009946E2" w:rsidP="00452A95">
      <w:pPr>
        <w:spacing w:before="120" w:after="120"/>
        <w:jc w:val="both"/>
        <w:rPr>
          <w:rFonts w:ascii="Arial" w:hAnsi="Arial" w:cs="Arial"/>
          <w:bCs/>
          <w:sz w:val="20"/>
          <w:szCs w:val="20"/>
          <w:lang w:val="en-US"/>
        </w:rPr>
        <w:sectPr w:rsidR="009946E2" w:rsidRPr="00DB5095" w:rsidSect="00902B11">
          <w:type w:val="continuous"/>
          <w:pgSz w:w="11907" w:h="16840" w:code="9"/>
          <w:pgMar w:top="1814" w:right="1247" w:bottom="1758" w:left="1304" w:header="1304" w:footer="1361" w:gutter="0"/>
          <w:pgNumType w:start="85" w:chapStyle="1"/>
          <w:cols w:space="708"/>
          <w:noEndnote/>
          <w:docGrid w:linePitch="326"/>
        </w:sectPr>
      </w:pPr>
    </w:p>
    <w:p w:rsidR="00045425" w:rsidRPr="00DB5095" w:rsidRDefault="00045425" w:rsidP="00452A95">
      <w:pPr>
        <w:spacing w:before="120" w:after="120"/>
        <w:jc w:val="both"/>
        <w:rPr>
          <w:rFonts w:ascii="Arial" w:hAnsi="Arial" w:cs="Arial"/>
          <w:bCs/>
          <w:sz w:val="20"/>
          <w:szCs w:val="20"/>
          <w:lang w:val="en-US"/>
        </w:rPr>
        <w:sectPr w:rsidR="00045425" w:rsidRPr="00DB5095" w:rsidSect="00587F0B">
          <w:type w:val="continuous"/>
          <w:pgSz w:w="11907" w:h="16840" w:code="9"/>
          <w:pgMar w:top="1814" w:right="1247" w:bottom="1758" w:left="1304" w:header="1304" w:footer="1361" w:gutter="0"/>
          <w:pgNumType w:start="85" w:chapStyle="1"/>
          <w:cols w:num="2" w:space="708"/>
          <w:noEndnote/>
          <w:docGrid w:linePitch="326"/>
        </w:sectPr>
      </w:pPr>
    </w:p>
    <w:p w:rsidR="00452A95" w:rsidRPr="00DB5095" w:rsidRDefault="00452A95" w:rsidP="00452A95">
      <w:pPr>
        <w:spacing w:before="120" w:after="120"/>
        <w:jc w:val="both"/>
        <w:rPr>
          <w:rFonts w:ascii="Arial" w:hAnsi="Arial" w:cs="Arial"/>
          <w:b/>
          <w:bCs/>
          <w:sz w:val="20"/>
          <w:szCs w:val="20"/>
          <w:lang w:val="en-US"/>
        </w:rPr>
      </w:pPr>
      <w:r w:rsidRPr="00DB5095">
        <w:rPr>
          <w:rFonts w:ascii="Arial" w:hAnsi="Arial" w:cs="Arial"/>
          <w:b/>
          <w:bCs/>
          <w:sz w:val="20"/>
          <w:szCs w:val="20"/>
          <w:lang w:val="en-US"/>
        </w:rPr>
        <w:lastRenderedPageBreak/>
        <w:t>DISCUSSION</w:t>
      </w:r>
    </w:p>
    <w:p w:rsidR="00452A95" w:rsidRPr="00DB5095" w:rsidRDefault="00452A95" w:rsidP="00452A95">
      <w:pPr>
        <w:spacing w:before="120" w:after="120"/>
        <w:jc w:val="both"/>
        <w:rPr>
          <w:rFonts w:ascii="Arial" w:hAnsi="Arial" w:cs="Arial"/>
          <w:bCs/>
          <w:sz w:val="20"/>
          <w:szCs w:val="20"/>
          <w:lang w:val="en-US"/>
        </w:rPr>
      </w:pPr>
      <w:r w:rsidRPr="00DB5095">
        <w:rPr>
          <w:rFonts w:ascii="Arial" w:hAnsi="Arial" w:cs="Arial"/>
          <w:bCs/>
          <w:sz w:val="20"/>
          <w:szCs w:val="20"/>
          <w:lang w:val="en-US"/>
        </w:rPr>
        <w:t xml:space="preserve">Anaerobic blood stream infections are rare in the </w:t>
      </w:r>
      <w:r w:rsidR="00045425" w:rsidRPr="00DB5095">
        <w:rPr>
          <w:rFonts w:ascii="Arial" w:hAnsi="Arial" w:cs="Arial"/>
          <w:bCs/>
          <w:sz w:val="20"/>
          <w:szCs w:val="20"/>
          <w:lang w:val="en-US"/>
        </w:rPr>
        <w:t>hospitalized</w:t>
      </w:r>
      <w:r w:rsidRPr="00DB5095">
        <w:rPr>
          <w:rFonts w:ascii="Arial" w:hAnsi="Arial" w:cs="Arial"/>
          <w:bCs/>
          <w:sz w:val="20"/>
          <w:szCs w:val="20"/>
          <w:lang w:val="en-US"/>
        </w:rPr>
        <w:t xml:space="preserve"> patients, however several risk factors such as recent abdominal surgery, cancer, intensive cancer therapy, bone marrow transplant, increased age, pre-existing heart, kidney and liver disease, have been identified for anaerobic bloodstream infections [5]. Studies around the world reported the significant decline in the occurrence of anaerob</w:t>
      </w:r>
      <w:r w:rsidR="00045425" w:rsidRPr="00DB5095">
        <w:rPr>
          <w:rFonts w:ascii="Arial" w:hAnsi="Arial" w:cs="Arial"/>
          <w:bCs/>
          <w:sz w:val="20"/>
          <w:szCs w:val="20"/>
          <w:lang w:val="en-US"/>
        </w:rPr>
        <w:t>ic blood stream infections [11</w:t>
      </w:r>
      <w:proofErr w:type="gramStart"/>
      <w:r w:rsidR="00045425" w:rsidRPr="00DB5095">
        <w:rPr>
          <w:rFonts w:ascii="Arial" w:hAnsi="Arial" w:cs="Arial"/>
          <w:bCs/>
          <w:sz w:val="20"/>
          <w:szCs w:val="20"/>
          <w:lang w:val="en-US"/>
        </w:rPr>
        <w:t>,</w:t>
      </w:r>
      <w:r w:rsidRPr="00DB5095">
        <w:rPr>
          <w:rFonts w:ascii="Arial" w:hAnsi="Arial" w:cs="Arial"/>
          <w:bCs/>
          <w:sz w:val="20"/>
          <w:szCs w:val="20"/>
          <w:lang w:val="en-US"/>
        </w:rPr>
        <w:t>12</w:t>
      </w:r>
      <w:proofErr w:type="gramEnd"/>
      <w:r w:rsidRPr="00DB5095">
        <w:rPr>
          <w:rFonts w:ascii="Arial" w:hAnsi="Arial" w:cs="Arial"/>
          <w:bCs/>
          <w:sz w:val="20"/>
          <w:szCs w:val="20"/>
          <w:lang w:val="en-US"/>
        </w:rPr>
        <w:t xml:space="preserve">]. The incidence of anaerobic bloodstream infections in this study was low (average 31/year). It accounted only 0.30% of all total blood cultures which is much lower than previous studies [1-3]. One study reported only 4% anaerobic bloodstream infections of all positive blood culture [13]. The anaerobic blood stream infections positive rate of all positive blood culture in this study was 2.4% which was lower than previous study [13]. There could be several reasons of low rate of anaerobic blood stream infections  now a days such as routine bowel preparation before surgery, appropriate use of antibiotic prophylaxis and use of empirical antibiotics which are effective against anaerobes. In the past, use of anaerobic blood culture bottle was questioned in the literature. One study from Malaysia reported that facultative anaerobes and aerobes were more frequently isolated from the anaerobic bottle of blood culture set. The authors in this study recommended the use of aerobic-anaerobic pair of bottles rather than aerobic-aerobic pair of blood culture [14]. In our Trust, aerobic and anaerobic blood culture bottle are used for adults and only aerobic bottle for pediatric patients. Anaerobic blood stream infections are uncommon in children; however elderly population is at risk of this infection. In this study, 76% episode occurred in more than 60 years old patients.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accounted for 41% to all anaerobic blood stream infections; followed by </w:t>
      </w:r>
      <w:r w:rsidRPr="00DB5095">
        <w:rPr>
          <w:rFonts w:ascii="Arial" w:hAnsi="Arial" w:cs="Arial"/>
          <w:bCs/>
          <w:i/>
          <w:sz w:val="20"/>
          <w:szCs w:val="20"/>
          <w:lang w:val="en-US"/>
        </w:rPr>
        <w:t xml:space="preserve">Clostridium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and Propionibacterium </w:t>
      </w:r>
      <w:proofErr w:type="gramStart"/>
      <w:r w:rsidR="00EC4D65" w:rsidRPr="00DB5095">
        <w:rPr>
          <w:rFonts w:ascii="Arial" w:hAnsi="Arial" w:cs="Arial"/>
          <w:bCs/>
          <w:i/>
          <w:sz w:val="20"/>
          <w:szCs w:val="20"/>
          <w:lang w:val="en-US"/>
        </w:rPr>
        <w:t>spp.</w:t>
      </w:r>
      <w:r w:rsidRPr="00DB5095">
        <w:rPr>
          <w:rFonts w:ascii="Arial" w:hAnsi="Arial" w:cs="Arial"/>
          <w:bCs/>
          <w:sz w:val="20"/>
          <w:szCs w:val="20"/>
          <w:lang w:val="en-US"/>
        </w:rPr>
        <w:t>.</w:t>
      </w:r>
      <w:proofErr w:type="gramEnd"/>
      <w:r w:rsidRPr="00DB5095">
        <w:rPr>
          <w:rFonts w:ascii="Arial" w:hAnsi="Arial" w:cs="Arial"/>
          <w:bCs/>
          <w:sz w:val="20"/>
          <w:szCs w:val="20"/>
          <w:lang w:val="en-US"/>
        </w:rPr>
        <w:t xml:space="preserve"> Tan T et al [15] from Singapore described the similar prevalence of anaerobes from bloodstream infections. Bloodstream infections due to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and </w:t>
      </w:r>
      <w:r w:rsidRPr="00DB5095">
        <w:rPr>
          <w:rFonts w:ascii="Arial" w:hAnsi="Arial" w:cs="Arial"/>
          <w:bCs/>
          <w:i/>
          <w:sz w:val="20"/>
          <w:szCs w:val="20"/>
          <w:lang w:val="en-US"/>
        </w:rPr>
        <w:t xml:space="preserve">Clostridium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are usually considered as significant bacteremia. The mortality rates in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and </w:t>
      </w:r>
      <w:r w:rsidRPr="00DB5095">
        <w:rPr>
          <w:rFonts w:ascii="Arial" w:hAnsi="Arial" w:cs="Arial"/>
          <w:bCs/>
          <w:i/>
          <w:sz w:val="20"/>
          <w:szCs w:val="20"/>
          <w:lang w:val="en-US"/>
        </w:rPr>
        <w:t xml:space="preserve">Clostridium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have be</w:t>
      </w:r>
      <w:r w:rsidR="00EB247D" w:rsidRPr="00DB5095">
        <w:rPr>
          <w:rFonts w:ascii="Arial" w:hAnsi="Arial" w:cs="Arial"/>
          <w:bCs/>
          <w:sz w:val="20"/>
          <w:szCs w:val="20"/>
          <w:lang w:val="en-US"/>
        </w:rPr>
        <w:t>en reported between 20-30% [16</w:t>
      </w:r>
      <w:proofErr w:type="gramStart"/>
      <w:r w:rsidR="00EB247D" w:rsidRPr="00DB5095">
        <w:rPr>
          <w:rFonts w:ascii="Arial" w:hAnsi="Arial" w:cs="Arial"/>
          <w:bCs/>
          <w:sz w:val="20"/>
          <w:szCs w:val="20"/>
          <w:lang w:val="en-US"/>
        </w:rPr>
        <w:t>,</w:t>
      </w:r>
      <w:r w:rsidRPr="00DB5095">
        <w:rPr>
          <w:rFonts w:ascii="Arial" w:hAnsi="Arial" w:cs="Arial"/>
          <w:bCs/>
          <w:sz w:val="20"/>
          <w:szCs w:val="20"/>
          <w:lang w:val="en-US"/>
        </w:rPr>
        <w:t>17</w:t>
      </w:r>
      <w:proofErr w:type="gramEnd"/>
      <w:r w:rsidRPr="00DB5095">
        <w:rPr>
          <w:rFonts w:ascii="Arial" w:hAnsi="Arial" w:cs="Arial"/>
          <w:bCs/>
          <w:sz w:val="20"/>
          <w:szCs w:val="20"/>
          <w:lang w:val="en-US"/>
        </w:rPr>
        <w:t xml:space="preserve">]. Other anaerobes such as Fusobacterium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w:t>
      </w:r>
      <w:proofErr w:type="spellStart"/>
      <w:r w:rsidRPr="00DB5095">
        <w:rPr>
          <w:rFonts w:ascii="Arial" w:hAnsi="Arial" w:cs="Arial"/>
          <w:bCs/>
          <w:i/>
          <w:sz w:val="20"/>
          <w:szCs w:val="20"/>
          <w:lang w:val="en-US"/>
        </w:rPr>
        <w:lastRenderedPageBreak/>
        <w:t>Veilleonella</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i/>
          <w:sz w:val="20"/>
          <w:szCs w:val="20"/>
          <w:lang w:val="en-US"/>
        </w:rPr>
        <w:t xml:space="preserve">, </w:t>
      </w:r>
      <w:proofErr w:type="spellStart"/>
      <w:r w:rsidRPr="00DB5095">
        <w:rPr>
          <w:rFonts w:ascii="Arial" w:hAnsi="Arial" w:cs="Arial"/>
          <w:bCs/>
          <w:i/>
          <w:sz w:val="20"/>
          <w:szCs w:val="20"/>
          <w:lang w:val="en-US"/>
        </w:rPr>
        <w:t>Prevotella</w:t>
      </w:r>
      <w:proofErr w:type="spellEnd"/>
      <w:r w:rsidRPr="00DB5095">
        <w:rPr>
          <w:rFonts w:ascii="Arial" w:hAnsi="Arial" w:cs="Arial"/>
          <w:bCs/>
          <w:i/>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i/>
          <w:sz w:val="20"/>
          <w:szCs w:val="20"/>
          <w:lang w:val="en-US"/>
        </w:rPr>
        <w:t xml:space="preserve">, </w:t>
      </w:r>
      <w:proofErr w:type="spellStart"/>
      <w:r w:rsidRPr="00DB5095">
        <w:rPr>
          <w:rFonts w:ascii="Arial" w:hAnsi="Arial" w:cs="Arial"/>
          <w:bCs/>
          <w:i/>
          <w:sz w:val="20"/>
          <w:szCs w:val="20"/>
          <w:lang w:val="en-US"/>
        </w:rPr>
        <w:t>Peptostreptococcus</w:t>
      </w:r>
      <w:proofErr w:type="spellEnd"/>
      <w:r w:rsidRPr="00DB5095">
        <w:rPr>
          <w:rFonts w:ascii="Arial" w:hAnsi="Arial" w:cs="Arial"/>
          <w:bCs/>
          <w:sz w:val="20"/>
          <w:szCs w:val="20"/>
          <w:lang w:val="en-US"/>
        </w:rPr>
        <w:t xml:space="preserve"> and anaerobic cocci also cause significant bacteremia. On the contrary, Propionibacterium are usually considered as skin contaminant. </w:t>
      </w:r>
    </w:p>
    <w:p w:rsidR="00452A95" w:rsidRPr="00DB5095" w:rsidRDefault="00452A95" w:rsidP="00452A95">
      <w:pPr>
        <w:spacing w:before="120" w:after="120"/>
        <w:jc w:val="both"/>
        <w:rPr>
          <w:rFonts w:ascii="Arial" w:hAnsi="Arial" w:cs="Arial"/>
          <w:bCs/>
          <w:sz w:val="20"/>
          <w:szCs w:val="20"/>
          <w:lang w:val="en-US"/>
        </w:rPr>
      </w:pPr>
      <w:r w:rsidRPr="00DB5095">
        <w:rPr>
          <w:rFonts w:ascii="Arial" w:hAnsi="Arial" w:cs="Arial"/>
          <w:bCs/>
          <w:sz w:val="20"/>
          <w:szCs w:val="20"/>
          <w:lang w:val="en-US"/>
        </w:rPr>
        <w:t>Antimicrobial susceptibility testing on the isolated anaerobes showed that metronidazole, amoxicillin/clavulanic acid (beta lactamase inhibitor) and clindamycin are effective against the isolated anaerobes. One study from Norway reported high sensitivity rates in anaerobes causing bloodstream infections to metronidazole, beta-lactam/beta-lactamase inhibitors and imipenem and reduced sensitivity to clindamycin and penicillin [18]. In our study, majority of the anaerobes were sensitive to beta-lactam/beta-lactamase inhibitors (amoxicillin/</w:t>
      </w:r>
      <w:r w:rsidR="00EB247D" w:rsidRPr="00DB5095">
        <w:rPr>
          <w:rFonts w:ascii="Arial" w:hAnsi="Arial" w:cs="Arial"/>
          <w:bCs/>
          <w:sz w:val="20"/>
          <w:szCs w:val="20"/>
          <w:lang w:val="en-US"/>
        </w:rPr>
        <w:t xml:space="preserve"> </w:t>
      </w:r>
      <w:r w:rsidRPr="00DB5095">
        <w:rPr>
          <w:rFonts w:ascii="Arial" w:hAnsi="Arial" w:cs="Arial"/>
          <w:bCs/>
          <w:sz w:val="20"/>
          <w:szCs w:val="20"/>
          <w:lang w:val="en-US"/>
        </w:rPr>
        <w:t>clavulanic acid) and metronidazole. So other beta-lactam/beta-lactamase inhibitor such as piperacillin/</w:t>
      </w:r>
      <w:proofErr w:type="spellStart"/>
      <w:r w:rsidRPr="00DB5095">
        <w:rPr>
          <w:rFonts w:ascii="Arial" w:hAnsi="Arial" w:cs="Arial"/>
          <w:bCs/>
          <w:sz w:val="20"/>
          <w:szCs w:val="20"/>
          <w:lang w:val="en-US"/>
        </w:rPr>
        <w:t>tazobactam</w:t>
      </w:r>
      <w:proofErr w:type="spellEnd"/>
      <w:r w:rsidRPr="00DB5095">
        <w:rPr>
          <w:rFonts w:ascii="Arial" w:hAnsi="Arial" w:cs="Arial"/>
          <w:bCs/>
          <w:sz w:val="20"/>
          <w:szCs w:val="20"/>
          <w:lang w:val="en-US"/>
        </w:rPr>
        <w:t xml:space="preserve"> or </w:t>
      </w:r>
      <w:proofErr w:type="spellStart"/>
      <w:r w:rsidRPr="00DB5095">
        <w:rPr>
          <w:rFonts w:ascii="Arial" w:hAnsi="Arial" w:cs="Arial"/>
          <w:bCs/>
          <w:sz w:val="20"/>
          <w:szCs w:val="20"/>
          <w:lang w:val="en-US"/>
        </w:rPr>
        <w:t>carbapenems</w:t>
      </w:r>
      <w:proofErr w:type="spellEnd"/>
      <w:r w:rsidRPr="00DB5095">
        <w:rPr>
          <w:rFonts w:ascii="Arial" w:hAnsi="Arial" w:cs="Arial"/>
          <w:bCs/>
          <w:sz w:val="20"/>
          <w:szCs w:val="20"/>
          <w:lang w:val="en-US"/>
        </w:rPr>
        <w:t xml:space="preserve"> and metronidazole can be effective. These antibiotics can be used as empirically where there is suspicion of anaerobic infection. Non-spore forming Gram positive rods such as Propionibacterium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usually considered as a </w:t>
      </w:r>
      <w:r w:rsidR="00A50A9D" w:rsidRPr="00DB5095">
        <w:rPr>
          <w:rFonts w:ascii="Arial" w:hAnsi="Arial" w:cs="Arial"/>
          <w:bCs/>
          <w:sz w:val="20"/>
          <w:szCs w:val="20"/>
          <w:lang w:val="en-US"/>
        </w:rPr>
        <w:t>colonizer</w:t>
      </w:r>
      <w:r w:rsidRPr="00DB5095">
        <w:rPr>
          <w:rFonts w:ascii="Arial" w:hAnsi="Arial" w:cs="Arial"/>
          <w:bCs/>
          <w:sz w:val="20"/>
          <w:szCs w:val="20"/>
          <w:lang w:val="en-US"/>
        </w:rPr>
        <w:t xml:space="preserve">, are intrinsically resistant to metronidazole [19]. Metronidazole sensitivity rate excluding </w:t>
      </w:r>
      <w:r w:rsidRPr="00DB5095">
        <w:rPr>
          <w:rFonts w:ascii="Arial" w:hAnsi="Arial" w:cs="Arial"/>
          <w:bCs/>
          <w:i/>
          <w:sz w:val="20"/>
          <w:szCs w:val="20"/>
          <w:lang w:val="en-US"/>
        </w:rPr>
        <w:t xml:space="preserve">Propionibacterium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was much higher (99%). On the contrary penicillin was least effective (43%) against anaerobes (Table 2) and our findings are consistent with previous study [18]. This means that the empirical use of penicillin is not a good option. Appropriate antimicrobial therapy in anaerobic blood stream infections remains essential to achieve desirable outcome and increase the chances of survival.</w:t>
      </w:r>
    </w:p>
    <w:p w:rsidR="00452A95" w:rsidRPr="00DB5095" w:rsidRDefault="00452A95" w:rsidP="00452A95">
      <w:pPr>
        <w:spacing w:before="120" w:after="120"/>
        <w:jc w:val="both"/>
        <w:rPr>
          <w:rFonts w:ascii="Arial" w:hAnsi="Arial" w:cs="Arial"/>
          <w:bCs/>
          <w:sz w:val="20"/>
          <w:szCs w:val="20"/>
          <w:lang w:val="en-US"/>
        </w:rPr>
      </w:pPr>
      <w:r w:rsidRPr="00DB5095">
        <w:rPr>
          <w:rFonts w:ascii="Arial" w:hAnsi="Arial" w:cs="Arial"/>
          <w:bCs/>
          <w:sz w:val="20"/>
          <w:szCs w:val="20"/>
          <w:lang w:val="en-US"/>
        </w:rPr>
        <w:t xml:space="preserve">This study highlights a low rate of anaerobic bacteremia during 10 years with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r w:rsidR="00EC4D65" w:rsidRPr="00DB5095">
        <w:rPr>
          <w:rFonts w:ascii="Arial" w:hAnsi="Arial" w:cs="Arial"/>
          <w:bCs/>
          <w:i/>
          <w:sz w:val="20"/>
          <w:szCs w:val="20"/>
          <w:lang w:val="en-US"/>
        </w:rPr>
        <w:t>spp.</w:t>
      </w:r>
      <w:r w:rsidRPr="00DB5095">
        <w:rPr>
          <w:rFonts w:ascii="Arial" w:hAnsi="Arial" w:cs="Arial"/>
          <w:bCs/>
          <w:sz w:val="20"/>
          <w:szCs w:val="20"/>
          <w:lang w:val="en-US"/>
        </w:rPr>
        <w:t xml:space="preserve"> as the predominant organism. Most episodes occurred in elderly population which may be due to their co-morbidities. A total of 40% episodes occurred in ED, empirical agents active against anaerobes should be considered in patients presenting with bacteremia in ED. This study also confirms that the empirical antibiotic therapy used in our Trust remains appropriate as more than 92% isolates were sensitive to amoxicillin/clavulanic acid and metronidazole. We recommend periodic epidemiology and resistance surveillance in anaerobic bacteremia to guide empirical antibiotic therapy.</w:t>
      </w:r>
    </w:p>
    <w:p w:rsidR="00452A95" w:rsidRPr="00DB5095" w:rsidRDefault="00452A95" w:rsidP="00452A95">
      <w:pPr>
        <w:spacing w:before="120" w:after="120"/>
        <w:jc w:val="both"/>
        <w:rPr>
          <w:rFonts w:ascii="Arial" w:hAnsi="Arial" w:cs="Arial"/>
          <w:b/>
          <w:bCs/>
          <w:sz w:val="20"/>
          <w:szCs w:val="20"/>
          <w:lang w:val="en-US"/>
        </w:rPr>
      </w:pPr>
      <w:r w:rsidRPr="00DB5095">
        <w:rPr>
          <w:rFonts w:ascii="Arial" w:hAnsi="Arial" w:cs="Arial"/>
          <w:b/>
          <w:bCs/>
          <w:sz w:val="20"/>
          <w:szCs w:val="20"/>
          <w:lang w:val="en-US"/>
        </w:rPr>
        <w:lastRenderedPageBreak/>
        <w:t>ACKNOWLEDGMENTS</w:t>
      </w:r>
    </w:p>
    <w:p w:rsidR="00452A95" w:rsidRPr="00DB5095" w:rsidRDefault="00452A95" w:rsidP="00452A95">
      <w:pPr>
        <w:spacing w:before="120" w:after="120"/>
        <w:jc w:val="both"/>
        <w:rPr>
          <w:rFonts w:ascii="Arial" w:hAnsi="Arial" w:cs="Arial"/>
          <w:bCs/>
          <w:sz w:val="20"/>
          <w:szCs w:val="20"/>
          <w:lang w:val="en-US"/>
        </w:rPr>
      </w:pPr>
      <w:r w:rsidRPr="00DB5095">
        <w:rPr>
          <w:rFonts w:ascii="Arial" w:hAnsi="Arial" w:cs="Arial"/>
          <w:b/>
          <w:bCs/>
          <w:sz w:val="20"/>
          <w:szCs w:val="20"/>
          <w:lang w:val="en-US"/>
        </w:rPr>
        <w:t>Declaration of Conflicting Interests:</w:t>
      </w:r>
      <w:r w:rsidRPr="00DB5095">
        <w:rPr>
          <w:rFonts w:ascii="Arial" w:hAnsi="Arial" w:cs="Arial"/>
          <w:bCs/>
          <w:sz w:val="20"/>
          <w:szCs w:val="20"/>
          <w:lang w:val="en-US"/>
        </w:rPr>
        <w:t xml:space="preserve"> The authors</w:t>
      </w:r>
      <w:r w:rsidR="00A50A9D" w:rsidRPr="00DB5095">
        <w:rPr>
          <w:rFonts w:ascii="Arial" w:hAnsi="Arial" w:cs="Arial"/>
          <w:bCs/>
          <w:sz w:val="20"/>
          <w:szCs w:val="20"/>
          <w:lang w:val="en-US"/>
        </w:rPr>
        <w:t xml:space="preserve"> </w:t>
      </w:r>
      <w:r w:rsidRPr="00DB5095">
        <w:rPr>
          <w:rFonts w:ascii="Arial" w:hAnsi="Arial" w:cs="Arial"/>
          <w:bCs/>
          <w:sz w:val="20"/>
          <w:szCs w:val="20"/>
          <w:lang w:val="en-US"/>
        </w:rPr>
        <w:t>declare that they have no conflict of interest.</w:t>
      </w:r>
    </w:p>
    <w:p w:rsidR="00452A95" w:rsidRPr="00DB5095" w:rsidRDefault="00452A95" w:rsidP="00452A95">
      <w:pPr>
        <w:spacing w:before="120" w:after="120"/>
        <w:jc w:val="both"/>
        <w:rPr>
          <w:rFonts w:ascii="Arial" w:hAnsi="Arial" w:cs="Arial"/>
          <w:bCs/>
          <w:sz w:val="20"/>
          <w:szCs w:val="20"/>
          <w:lang w:val="en-US"/>
        </w:rPr>
      </w:pPr>
      <w:r w:rsidRPr="00DB5095">
        <w:rPr>
          <w:rFonts w:ascii="Arial" w:hAnsi="Arial" w:cs="Arial"/>
          <w:b/>
          <w:bCs/>
          <w:sz w:val="20"/>
          <w:szCs w:val="20"/>
          <w:lang w:val="en-US"/>
        </w:rPr>
        <w:t>Financial Disclosure:</w:t>
      </w:r>
      <w:r w:rsidRPr="00DB5095">
        <w:rPr>
          <w:rFonts w:ascii="Arial" w:hAnsi="Arial" w:cs="Arial"/>
          <w:bCs/>
          <w:sz w:val="20"/>
          <w:szCs w:val="20"/>
          <w:lang w:val="en-US"/>
        </w:rPr>
        <w:t xml:space="preserve"> No financial support was received.</w:t>
      </w:r>
    </w:p>
    <w:p w:rsidR="00A50A9D" w:rsidRPr="00DB5095" w:rsidRDefault="00A50A9D" w:rsidP="00452A95">
      <w:pPr>
        <w:spacing w:before="120" w:after="120"/>
        <w:jc w:val="both"/>
        <w:rPr>
          <w:rFonts w:ascii="Arial" w:hAnsi="Arial" w:cs="Arial"/>
          <w:bCs/>
          <w:sz w:val="20"/>
          <w:szCs w:val="20"/>
          <w:lang w:val="en-US"/>
        </w:rPr>
      </w:pPr>
    </w:p>
    <w:p w:rsidR="00452A95" w:rsidRPr="00DB5095" w:rsidRDefault="00452A95" w:rsidP="00452A95">
      <w:pPr>
        <w:spacing w:before="120" w:after="120"/>
        <w:jc w:val="both"/>
        <w:rPr>
          <w:rFonts w:ascii="Arial" w:hAnsi="Arial" w:cs="Arial"/>
          <w:b/>
          <w:bCs/>
          <w:sz w:val="20"/>
          <w:szCs w:val="20"/>
          <w:lang w:val="en-US"/>
        </w:rPr>
      </w:pPr>
      <w:r w:rsidRPr="00DB5095">
        <w:rPr>
          <w:rFonts w:ascii="Arial" w:hAnsi="Arial" w:cs="Arial"/>
          <w:b/>
          <w:bCs/>
          <w:sz w:val="20"/>
          <w:szCs w:val="20"/>
          <w:lang w:val="en-US"/>
        </w:rPr>
        <w:t>REFERENCES</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1.</w:t>
      </w:r>
      <w:r w:rsidRPr="00DB5095">
        <w:rPr>
          <w:rFonts w:ascii="Arial" w:hAnsi="Arial" w:cs="Arial"/>
          <w:bCs/>
          <w:sz w:val="20"/>
          <w:szCs w:val="20"/>
          <w:lang w:val="en-US"/>
        </w:rPr>
        <w:tab/>
      </w:r>
      <w:proofErr w:type="spellStart"/>
      <w:r w:rsidRPr="00DB5095">
        <w:rPr>
          <w:rFonts w:ascii="Arial" w:hAnsi="Arial" w:cs="Arial"/>
          <w:bCs/>
          <w:sz w:val="20"/>
          <w:szCs w:val="20"/>
          <w:lang w:val="en-US"/>
        </w:rPr>
        <w:t>Finegold</w:t>
      </w:r>
      <w:proofErr w:type="spellEnd"/>
      <w:r w:rsidRPr="00DB5095">
        <w:rPr>
          <w:rFonts w:ascii="Arial" w:hAnsi="Arial" w:cs="Arial"/>
          <w:bCs/>
          <w:sz w:val="20"/>
          <w:szCs w:val="20"/>
          <w:lang w:val="en-US"/>
        </w:rPr>
        <w:t xml:space="preserve"> SM. Overview of clinically important anaerobes.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Infect Dis 1995; 20 (Suppl. 2):S205e7.</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2.</w:t>
      </w:r>
      <w:r w:rsidRPr="00DB5095">
        <w:rPr>
          <w:rFonts w:ascii="Arial" w:hAnsi="Arial" w:cs="Arial"/>
          <w:bCs/>
          <w:sz w:val="20"/>
          <w:szCs w:val="20"/>
          <w:lang w:val="en-US"/>
        </w:rPr>
        <w:tab/>
        <w:t xml:space="preserve">Goldstein EJ. </w:t>
      </w:r>
      <w:proofErr w:type="gramStart"/>
      <w:r w:rsidRPr="00DB5095">
        <w:rPr>
          <w:rFonts w:ascii="Arial" w:hAnsi="Arial" w:cs="Arial"/>
          <w:bCs/>
          <w:sz w:val="20"/>
          <w:szCs w:val="20"/>
          <w:lang w:val="en-US"/>
        </w:rPr>
        <w:t>Anaerobic bacteremia.</w:t>
      </w:r>
      <w:proofErr w:type="gram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Infect Dis 1996; 23:S97-S101.</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de-DE"/>
        </w:rPr>
        <w:t>3.</w:t>
      </w:r>
      <w:r w:rsidRPr="00DB5095">
        <w:rPr>
          <w:rFonts w:ascii="Arial" w:hAnsi="Arial" w:cs="Arial"/>
          <w:bCs/>
          <w:sz w:val="20"/>
          <w:szCs w:val="20"/>
          <w:lang w:val="de-DE"/>
        </w:rPr>
        <w:tab/>
      </w:r>
      <w:proofErr w:type="spellStart"/>
      <w:r w:rsidRPr="00DB5095">
        <w:rPr>
          <w:rFonts w:ascii="Arial" w:hAnsi="Arial" w:cs="Arial"/>
          <w:bCs/>
          <w:sz w:val="20"/>
          <w:szCs w:val="20"/>
          <w:lang w:val="de-DE"/>
        </w:rPr>
        <w:t>Dorsher</w:t>
      </w:r>
      <w:proofErr w:type="spellEnd"/>
      <w:r w:rsidRPr="00DB5095">
        <w:rPr>
          <w:rFonts w:ascii="Arial" w:hAnsi="Arial" w:cs="Arial"/>
          <w:bCs/>
          <w:sz w:val="20"/>
          <w:szCs w:val="20"/>
          <w:lang w:val="de-DE"/>
        </w:rPr>
        <w:t xml:space="preserve"> CW, Rosenblatt JE, Wilson WR, </w:t>
      </w:r>
      <w:proofErr w:type="spellStart"/>
      <w:r w:rsidRPr="00DB5095">
        <w:rPr>
          <w:rFonts w:ascii="Arial" w:hAnsi="Arial" w:cs="Arial"/>
          <w:bCs/>
          <w:sz w:val="20"/>
          <w:szCs w:val="20"/>
          <w:lang w:val="de-DE"/>
        </w:rPr>
        <w:t>Ilstrup</w:t>
      </w:r>
      <w:proofErr w:type="spellEnd"/>
      <w:r w:rsidRPr="00DB5095">
        <w:rPr>
          <w:rFonts w:ascii="Arial" w:hAnsi="Arial" w:cs="Arial"/>
          <w:bCs/>
          <w:sz w:val="20"/>
          <w:szCs w:val="20"/>
          <w:lang w:val="de-DE"/>
        </w:rPr>
        <w:t xml:space="preserve"> DM. </w:t>
      </w:r>
      <w:r w:rsidRPr="00DB5095">
        <w:rPr>
          <w:rFonts w:ascii="Arial" w:hAnsi="Arial" w:cs="Arial"/>
          <w:bCs/>
          <w:sz w:val="20"/>
          <w:szCs w:val="20"/>
          <w:lang w:val="en-US"/>
        </w:rPr>
        <w:t>Anaerobic bacteremia: decreasing rate over a 15-year period. Rev Infect Dis 1991; 13(4):633-636.</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de-DE"/>
        </w:rPr>
        <w:t>4.</w:t>
      </w:r>
      <w:r w:rsidRPr="00DB5095">
        <w:rPr>
          <w:rFonts w:ascii="Arial" w:hAnsi="Arial" w:cs="Arial"/>
          <w:bCs/>
          <w:sz w:val="20"/>
          <w:szCs w:val="20"/>
          <w:lang w:val="de-DE"/>
        </w:rPr>
        <w:tab/>
      </w:r>
      <w:proofErr w:type="spellStart"/>
      <w:r w:rsidRPr="00DB5095">
        <w:rPr>
          <w:rFonts w:ascii="Arial" w:hAnsi="Arial" w:cs="Arial"/>
          <w:bCs/>
          <w:sz w:val="20"/>
          <w:szCs w:val="20"/>
          <w:lang w:val="de-DE"/>
        </w:rPr>
        <w:t>Lassmann</w:t>
      </w:r>
      <w:proofErr w:type="spellEnd"/>
      <w:r w:rsidRPr="00DB5095">
        <w:rPr>
          <w:rFonts w:ascii="Arial" w:hAnsi="Arial" w:cs="Arial"/>
          <w:bCs/>
          <w:sz w:val="20"/>
          <w:szCs w:val="20"/>
          <w:lang w:val="de-DE"/>
        </w:rPr>
        <w:t xml:space="preserve"> B, </w:t>
      </w:r>
      <w:proofErr w:type="spellStart"/>
      <w:r w:rsidRPr="00DB5095">
        <w:rPr>
          <w:rFonts w:ascii="Arial" w:hAnsi="Arial" w:cs="Arial"/>
          <w:bCs/>
          <w:sz w:val="20"/>
          <w:szCs w:val="20"/>
          <w:lang w:val="de-DE"/>
        </w:rPr>
        <w:t>Gustafson</w:t>
      </w:r>
      <w:proofErr w:type="spellEnd"/>
      <w:r w:rsidRPr="00DB5095">
        <w:rPr>
          <w:rFonts w:ascii="Arial" w:hAnsi="Arial" w:cs="Arial"/>
          <w:bCs/>
          <w:sz w:val="20"/>
          <w:szCs w:val="20"/>
          <w:lang w:val="de-DE"/>
        </w:rPr>
        <w:t xml:space="preserve"> DR, Wood CM, Rosenblatt JE. </w:t>
      </w:r>
      <w:proofErr w:type="gramStart"/>
      <w:r w:rsidRPr="00DB5095">
        <w:rPr>
          <w:rFonts w:ascii="Arial" w:hAnsi="Arial" w:cs="Arial"/>
          <w:bCs/>
          <w:sz w:val="20"/>
          <w:szCs w:val="20"/>
          <w:lang w:val="en-US"/>
        </w:rPr>
        <w:t>Reemergence of anaerobic bacteremia.</w:t>
      </w:r>
      <w:proofErr w:type="gram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Infect Dis 2007; 44: 895-900.</w:t>
      </w:r>
    </w:p>
    <w:p w:rsidR="00452A95" w:rsidRPr="00DB5095" w:rsidRDefault="00A50A9D"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5.</w:t>
      </w:r>
      <w:r w:rsidRPr="00DB5095">
        <w:rPr>
          <w:rFonts w:ascii="Arial" w:hAnsi="Arial" w:cs="Arial"/>
          <w:bCs/>
          <w:sz w:val="20"/>
          <w:szCs w:val="20"/>
          <w:lang w:val="en-US"/>
        </w:rPr>
        <w:tab/>
        <w:t xml:space="preserve">Robert R, </w:t>
      </w:r>
      <w:proofErr w:type="spellStart"/>
      <w:r w:rsidRPr="00DB5095">
        <w:rPr>
          <w:rFonts w:ascii="Arial" w:hAnsi="Arial" w:cs="Arial"/>
          <w:bCs/>
          <w:sz w:val="20"/>
          <w:szCs w:val="20"/>
          <w:lang w:val="en-US"/>
        </w:rPr>
        <w:t>DeRaignac</w:t>
      </w:r>
      <w:proofErr w:type="spellEnd"/>
      <w:r w:rsidRPr="00DB5095">
        <w:rPr>
          <w:rFonts w:ascii="Arial" w:hAnsi="Arial" w:cs="Arial"/>
          <w:bCs/>
          <w:sz w:val="20"/>
          <w:szCs w:val="20"/>
          <w:lang w:val="en-US"/>
        </w:rPr>
        <w:t xml:space="preserve"> A, Le </w:t>
      </w:r>
      <w:proofErr w:type="spellStart"/>
      <w:r w:rsidRPr="00DB5095">
        <w:rPr>
          <w:rFonts w:ascii="Arial" w:hAnsi="Arial" w:cs="Arial"/>
          <w:bCs/>
          <w:sz w:val="20"/>
          <w:szCs w:val="20"/>
          <w:lang w:val="en-US"/>
        </w:rPr>
        <w:t>Moal</w:t>
      </w:r>
      <w:proofErr w:type="spellEnd"/>
      <w:r w:rsidRPr="00DB5095">
        <w:rPr>
          <w:rFonts w:ascii="Arial" w:hAnsi="Arial" w:cs="Arial"/>
          <w:bCs/>
          <w:sz w:val="20"/>
          <w:szCs w:val="20"/>
          <w:lang w:val="en-US"/>
        </w:rPr>
        <w:t xml:space="preserve"> G,</w:t>
      </w:r>
      <w:r w:rsidR="00452A95" w:rsidRPr="00DB5095">
        <w:rPr>
          <w:rFonts w:ascii="Arial" w:hAnsi="Arial" w:cs="Arial"/>
          <w:bCs/>
          <w:sz w:val="20"/>
          <w:szCs w:val="20"/>
          <w:lang w:val="en-US"/>
        </w:rPr>
        <w:t xml:space="preserve"> </w:t>
      </w:r>
      <w:proofErr w:type="spellStart"/>
      <w:r w:rsidR="00452A95" w:rsidRPr="00DB5095">
        <w:rPr>
          <w:rFonts w:ascii="Arial" w:hAnsi="Arial" w:cs="Arial"/>
          <w:bCs/>
          <w:sz w:val="20"/>
          <w:szCs w:val="20"/>
          <w:lang w:val="en-US"/>
        </w:rPr>
        <w:t>Ragot</w:t>
      </w:r>
      <w:proofErr w:type="spellEnd"/>
      <w:r w:rsidR="00452A95" w:rsidRPr="00DB5095">
        <w:rPr>
          <w:rFonts w:ascii="Arial" w:hAnsi="Arial" w:cs="Arial"/>
          <w:bCs/>
          <w:sz w:val="20"/>
          <w:szCs w:val="20"/>
          <w:lang w:val="en-US"/>
        </w:rPr>
        <w:t xml:space="preserve"> S, </w:t>
      </w:r>
      <w:proofErr w:type="spellStart"/>
      <w:r w:rsidR="00452A95" w:rsidRPr="00DB5095">
        <w:rPr>
          <w:rFonts w:ascii="Arial" w:hAnsi="Arial" w:cs="Arial"/>
          <w:bCs/>
          <w:sz w:val="20"/>
          <w:szCs w:val="20"/>
          <w:lang w:val="en-US"/>
        </w:rPr>
        <w:t>Grollier</w:t>
      </w:r>
      <w:proofErr w:type="spellEnd"/>
      <w:r w:rsidR="00452A95" w:rsidRPr="00DB5095">
        <w:rPr>
          <w:rFonts w:ascii="Arial" w:hAnsi="Arial" w:cs="Arial"/>
          <w:bCs/>
          <w:sz w:val="20"/>
          <w:szCs w:val="20"/>
          <w:lang w:val="en-US"/>
        </w:rPr>
        <w:t xml:space="preserve"> G. Prognostic factors and impact of </w:t>
      </w:r>
      <w:proofErr w:type="spellStart"/>
      <w:r w:rsidR="00452A95" w:rsidRPr="00DB5095">
        <w:rPr>
          <w:rFonts w:ascii="Arial" w:hAnsi="Arial" w:cs="Arial"/>
          <w:bCs/>
          <w:sz w:val="20"/>
          <w:szCs w:val="20"/>
          <w:lang w:val="en-US"/>
        </w:rPr>
        <w:t>antibiotherapy</w:t>
      </w:r>
      <w:proofErr w:type="spellEnd"/>
      <w:r w:rsidR="00452A95" w:rsidRPr="00DB5095">
        <w:rPr>
          <w:rFonts w:ascii="Arial" w:hAnsi="Arial" w:cs="Arial"/>
          <w:bCs/>
          <w:sz w:val="20"/>
          <w:szCs w:val="20"/>
          <w:lang w:val="en-US"/>
        </w:rPr>
        <w:t xml:space="preserve"> in 117 cases of anaerobic </w:t>
      </w:r>
      <w:proofErr w:type="spellStart"/>
      <w:r w:rsidR="00452A95" w:rsidRPr="00DB5095">
        <w:rPr>
          <w:rFonts w:ascii="Arial" w:hAnsi="Arial" w:cs="Arial"/>
          <w:bCs/>
          <w:sz w:val="20"/>
          <w:szCs w:val="20"/>
          <w:lang w:val="en-US"/>
        </w:rPr>
        <w:t>bacteraemia</w:t>
      </w:r>
      <w:proofErr w:type="spellEnd"/>
      <w:r w:rsidR="00452A95" w:rsidRPr="00DB5095">
        <w:rPr>
          <w:rFonts w:ascii="Arial" w:hAnsi="Arial" w:cs="Arial"/>
          <w:bCs/>
          <w:sz w:val="20"/>
          <w:szCs w:val="20"/>
          <w:lang w:val="en-US"/>
        </w:rPr>
        <w:t xml:space="preserve">. </w:t>
      </w:r>
      <w:proofErr w:type="spellStart"/>
      <w:r w:rsidR="00452A95" w:rsidRPr="00DB5095">
        <w:rPr>
          <w:rFonts w:ascii="Arial" w:hAnsi="Arial" w:cs="Arial"/>
          <w:bCs/>
          <w:sz w:val="20"/>
          <w:szCs w:val="20"/>
          <w:lang w:val="en-US"/>
        </w:rPr>
        <w:t>Eur</w:t>
      </w:r>
      <w:proofErr w:type="spellEnd"/>
      <w:r w:rsidR="00452A95" w:rsidRPr="00DB5095">
        <w:rPr>
          <w:rFonts w:ascii="Arial" w:hAnsi="Arial" w:cs="Arial"/>
          <w:bCs/>
          <w:sz w:val="20"/>
          <w:szCs w:val="20"/>
          <w:lang w:val="en-US"/>
        </w:rPr>
        <w:t xml:space="preserve"> J </w:t>
      </w:r>
      <w:proofErr w:type="spellStart"/>
      <w:r w:rsidR="00452A95" w:rsidRPr="00DB5095">
        <w:rPr>
          <w:rFonts w:ascii="Arial" w:hAnsi="Arial" w:cs="Arial"/>
          <w:bCs/>
          <w:sz w:val="20"/>
          <w:szCs w:val="20"/>
          <w:lang w:val="en-US"/>
        </w:rPr>
        <w:t>Clin</w:t>
      </w:r>
      <w:proofErr w:type="spellEnd"/>
      <w:r w:rsidR="00452A95" w:rsidRPr="00DB5095">
        <w:rPr>
          <w:rFonts w:ascii="Arial" w:hAnsi="Arial" w:cs="Arial"/>
          <w:bCs/>
          <w:sz w:val="20"/>
          <w:szCs w:val="20"/>
          <w:lang w:val="en-US"/>
        </w:rPr>
        <w:t xml:space="preserve"> </w:t>
      </w:r>
      <w:proofErr w:type="spellStart"/>
      <w:r w:rsidR="00452A95" w:rsidRPr="00DB5095">
        <w:rPr>
          <w:rFonts w:ascii="Arial" w:hAnsi="Arial" w:cs="Arial"/>
          <w:bCs/>
          <w:sz w:val="20"/>
          <w:szCs w:val="20"/>
          <w:lang w:val="en-US"/>
        </w:rPr>
        <w:t>Microbiol</w:t>
      </w:r>
      <w:proofErr w:type="spellEnd"/>
      <w:r w:rsidR="00452A95" w:rsidRPr="00DB5095">
        <w:rPr>
          <w:rFonts w:ascii="Arial" w:hAnsi="Arial" w:cs="Arial"/>
          <w:bCs/>
          <w:sz w:val="20"/>
          <w:szCs w:val="20"/>
          <w:lang w:val="en-US"/>
        </w:rPr>
        <w:t xml:space="preserve"> Infect Dis 2008; 27:671-678. </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6.</w:t>
      </w:r>
      <w:r w:rsidRPr="00DB5095">
        <w:rPr>
          <w:rFonts w:ascii="Arial" w:hAnsi="Arial" w:cs="Arial"/>
          <w:bCs/>
          <w:sz w:val="20"/>
          <w:szCs w:val="20"/>
          <w:lang w:val="en-US"/>
        </w:rPr>
        <w:tab/>
      </w:r>
      <w:proofErr w:type="spellStart"/>
      <w:r w:rsidRPr="00DB5095">
        <w:rPr>
          <w:rFonts w:ascii="Arial" w:hAnsi="Arial" w:cs="Arial"/>
          <w:bCs/>
          <w:sz w:val="20"/>
          <w:szCs w:val="20"/>
          <w:lang w:val="en-US"/>
        </w:rPr>
        <w:t>Blairon</w:t>
      </w:r>
      <w:proofErr w:type="spellEnd"/>
      <w:r w:rsidRPr="00DB5095">
        <w:rPr>
          <w:rFonts w:ascii="Arial" w:hAnsi="Arial" w:cs="Arial"/>
          <w:bCs/>
          <w:sz w:val="20"/>
          <w:szCs w:val="20"/>
          <w:lang w:val="en-US"/>
        </w:rPr>
        <w:t xml:space="preserve"> L, De </w:t>
      </w:r>
      <w:proofErr w:type="spellStart"/>
      <w:r w:rsidRPr="00DB5095">
        <w:rPr>
          <w:rFonts w:ascii="Arial" w:hAnsi="Arial" w:cs="Arial"/>
          <w:bCs/>
          <w:sz w:val="20"/>
          <w:szCs w:val="20"/>
          <w:lang w:val="en-US"/>
        </w:rPr>
        <w:t>Gheldre</w:t>
      </w:r>
      <w:proofErr w:type="spellEnd"/>
      <w:r w:rsidRPr="00DB5095">
        <w:rPr>
          <w:rFonts w:ascii="Arial" w:hAnsi="Arial" w:cs="Arial"/>
          <w:bCs/>
          <w:sz w:val="20"/>
          <w:szCs w:val="20"/>
          <w:lang w:val="en-US"/>
        </w:rPr>
        <w:t xml:space="preserve"> Y, </w:t>
      </w:r>
      <w:proofErr w:type="spellStart"/>
      <w:r w:rsidRPr="00DB5095">
        <w:rPr>
          <w:rFonts w:ascii="Arial" w:hAnsi="Arial" w:cs="Arial"/>
          <w:bCs/>
          <w:sz w:val="20"/>
          <w:szCs w:val="20"/>
          <w:lang w:val="en-US"/>
        </w:rPr>
        <w:t>Delaere</w:t>
      </w:r>
      <w:proofErr w:type="spellEnd"/>
      <w:r w:rsidRPr="00DB5095">
        <w:rPr>
          <w:rFonts w:ascii="Arial" w:hAnsi="Arial" w:cs="Arial"/>
          <w:bCs/>
          <w:sz w:val="20"/>
          <w:szCs w:val="20"/>
          <w:lang w:val="en-US"/>
        </w:rPr>
        <w:t xml:space="preserve"> B, </w:t>
      </w:r>
      <w:proofErr w:type="spellStart"/>
      <w:r w:rsidRPr="00DB5095">
        <w:rPr>
          <w:rFonts w:ascii="Arial" w:hAnsi="Arial" w:cs="Arial"/>
          <w:bCs/>
          <w:sz w:val="20"/>
          <w:szCs w:val="20"/>
          <w:lang w:val="en-US"/>
        </w:rPr>
        <w:t>Sonet</w:t>
      </w:r>
      <w:proofErr w:type="spellEnd"/>
      <w:r w:rsidRPr="00DB5095">
        <w:rPr>
          <w:rFonts w:ascii="Arial" w:hAnsi="Arial" w:cs="Arial"/>
          <w:bCs/>
          <w:sz w:val="20"/>
          <w:szCs w:val="20"/>
          <w:lang w:val="en-US"/>
        </w:rPr>
        <w:t xml:space="preserve"> A, </w:t>
      </w:r>
      <w:proofErr w:type="spellStart"/>
      <w:r w:rsidRPr="00DB5095">
        <w:rPr>
          <w:rFonts w:ascii="Arial" w:hAnsi="Arial" w:cs="Arial"/>
          <w:bCs/>
          <w:sz w:val="20"/>
          <w:szCs w:val="20"/>
          <w:lang w:val="en-US"/>
        </w:rPr>
        <w:t>Bosly</w:t>
      </w:r>
      <w:proofErr w:type="spellEnd"/>
      <w:r w:rsidRPr="00DB5095">
        <w:rPr>
          <w:rFonts w:ascii="Arial" w:hAnsi="Arial" w:cs="Arial"/>
          <w:bCs/>
          <w:sz w:val="20"/>
          <w:szCs w:val="20"/>
          <w:lang w:val="en-US"/>
        </w:rPr>
        <w:t xml:space="preserve"> A, </w:t>
      </w:r>
      <w:proofErr w:type="spellStart"/>
      <w:r w:rsidRPr="00DB5095">
        <w:rPr>
          <w:rFonts w:ascii="Arial" w:hAnsi="Arial" w:cs="Arial"/>
          <w:bCs/>
          <w:sz w:val="20"/>
          <w:szCs w:val="20"/>
          <w:lang w:val="en-US"/>
        </w:rPr>
        <w:t>Glupczynski</w:t>
      </w:r>
      <w:proofErr w:type="spellEnd"/>
      <w:r w:rsidRPr="00DB5095">
        <w:rPr>
          <w:rFonts w:ascii="Arial" w:hAnsi="Arial" w:cs="Arial"/>
          <w:bCs/>
          <w:sz w:val="20"/>
          <w:szCs w:val="20"/>
          <w:lang w:val="en-US"/>
        </w:rPr>
        <w:t xml:space="preserve"> Y. </w:t>
      </w:r>
      <w:proofErr w:type="gramStart"/>
      <w:r w:rsidRPr="00DB5095">
        <w:rPr>
          <w:rFonts w:ascii="Arial" w:hAnsi="Arial" w:cs="Arial"/>
          <w:bCs/>
          <w:sz w:val="20"/>
          <w:szCs w:val="20"/>
          <w:lang w:val="en-US"/>
        </w:rPr>
        <w:t xml:space="preserve">A 62-month retrospective epidemiological survey of anaerobic </w:t>
      </w:r>
      <w:proofErr w:type="spellStart"/>
      <w:r w:rsidRPr="00DB5095">
        <w:rPr>
          <w:rFonts w:ascii="Arial" w:hAnsi="Arial" w:cs="Arial"/>
          <w:bCs/>
          <w:sz w:val="20"/>
          <w:szCs w:val="20"/>
          <w:lang w:val="en-US"/>
        </w:rPr>
        <w:t>bacteraemia</w:t>
      </w:r>
      <w:proofErr w:type="spellEnd"/>
      <w:r w:rsidRPr="00DB5095">
        <w:rPr>
          <w:rFonts w:ascii="Arial" w:hAnsi="Arial" w:cs="Arial"/>
          <w:bCs/>
          <w:sz w:val="20"/>
          <w:szCs w:val="20"/>
          <w:lang w:val="en-US"/>
        </w:rPr>
        <w:t xml:space="preserve"> in a university hospital</w:t>
      </w:r>
      <w:r w:rsidR="00A50A9D" w:rsidRPr="00DB5095">
        <w:rPr>
          <w:rFonts w:ascii="Arial" w:hAnsi="Arial" w:cs="Arial"/>
          <w:bCs/>
          <w:sz w:val="20"/>
          <w:szCs w:val="20"/>
          <w:lang w:val="en-US"/>
        </w:rPr>
        <w:t>.</w:t>
      </w:r>
      <w:proofErr w:type="gramEnd"/>
      <w:r w:rsidR="00A50A9D" w:rsidRPr="00DB5095">
        <w:rPr>
          <w:rFonts w:ascii="Arial" w:hAnsi="Arial" w:cs="Arial"/>
          <w:bCs/>
          <w:sz w:val="20"/>
          <w:szCs w:val="20"/>
          <w:lang w:val="en-US"/>
        </w:rPr>
        <w:t xml:space="preserve"> </w:t>
      </w:r>
      <w:proofErr w:type="spellStart"/>
      <w:r w:rsidR="00A50A9D" w:rsidRPr="00DB5095">
        <w:rPr>
          <w:rFonts w:ascii="Arial" w:hAnsi="Arial" w:cs="Arial"/>
          <w:bCs/>
          <w:sz w:val="20"/>
          <w:szCs w:val="20"/>
          <w:lang w:val="en-US"/>
        </w:rPr>
        <w:t>Clin</w:t>
      </w:r>
      <w:proofErr w:type="spellEnd"/>
      <w:r w:rsidR="00A50A9D" w:rsidRPr="00DB5095">
        <w:rPr>
          <w:rFonts w:ascii="Arial" w:hAnsi="Arial" w:cs="Arial"/>
          <w:bCs/>
          <w:sz w:val="20"/>
          <w:szCs w:val="20"/>
          <w:lang w:val="en-US"/>
        </w:rPr>
        <w:t xml:space="preserve"> </w:t>
      </w:r>
      <w:proofErr w:type="spellStart"/>
      <w:r w:rsidR="00A50A9D" w:rsidRPr="00DB5095">
        <w:rPr>
          <w:rFonts w:ascii="Arial" w:hAnsi="Arial" w:cs="Arial"/>
          <w:bCs/>
          <w:sz w:val="20"/>
          <w:szCs w:val="20"/>
          <w:lang w:val="en-US"/>
        </w:rPr>
        <w:t>Microbiol</w:t>
      </w:r>
      <w:proofErr w:type="spellEnd"/>
      <w:r w:rsidR="00A50A9D" w:rsidRPr="00DB5095">
        <w:rPr>
          <w:rFonts w:ascii="Arial" w:hAnsi="Arial" w:cs="Arial"/>
          <w:bCs/>
          <w:sz w:val="20"/>
          <w:szCs w:val="20"/>
          <w:lang w:val="en-US"/>
        </w:rPr>
        <w:t xml:space="preserve"> Infect 2006</w:t>
      </w:r>
      <w:r w:rsidRPr="00DB5095">
        <w:rPr>
          <w:rFonts w:ascii="Arial" w:hAnsi="Arial" w:cs="Arial"/>
          <w:bCs/>
          <w:sz w:val="20"/>
          <w:szCs w:val="20"/>
          <w:lang w:val="en-US"/>
        </w:rPr>
        <w:t>; 12(6):527-32.</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7.</w:t>
      </w:r>
      <w:r w:rsidRPr="00DB5095">
        <w:rPr>
          <w:rFonts w:ascii="Arial" w:hAnsi="Arial" w:cs="Arial"/>
          <w:bCs/>
          <w:sz w:val="20"/>
          <w:szCs w:val="20"/>
          <w:lang w:val="en-US"/>
        </w:rPr>
        <w:tab/>
        <w:t xml:space="preserve">Kim J, Lee Y, Park Y, et al. Anaerobic bacteremia: impact of inappropriate therapy on mortality. Infect </w:t>
      </w:r>
      <w:proofErr w:type="spellStart"/>
      <w:r w:rsidRPr="00DB5095">
        <w:rPr>
          <w:rFonts w:ascii="Arial" w:hAnsi="Arial" w:cs="Arial"/>
          <w:bCs/>
          <w:sz w:val="20"/>
          <w:szCs w:val="20"/>
          <w:lang w:val="en-US"/>
        </w:rPr>
        <w:t>Chemother</w:t>
      </w:r>
      <w:proofErr w:type="spellEnd"/>
      <w:r w:rsidRPr="00DB5095">
        <w:rPr>
          <w:rFonts w:ascii="Arial" w:hAnsi="Arial" w:cs="Arial"/>
          <w:bCs/>
          <w:sz w:val="20"/>
          <w:szCs w:val="20"/>
          <w:lang w:val="en-US"/>
        </w:rPr>
        <w:t xml:space="preserve"> 2016; 48:91-98.</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8.</w:t>
      </w:r>
      <w:r w:rsidRPr="00DB5095">
        <w:rPr>
          <w:rFonts w:ascii="Arial" w:hAnsi="Arial" w:cs="Arial"/>
          <w:bCs/>
          <w:sz w:val="20"/>
          <w:szCs w:val="20"/>
          <w:lang w:val="en-US"/>
        </w:rPr>
        <w:tab/>
        <w:t xml:space="preserve">Goldstein E, Citron D, Resistance trends in antimicrobial susceptibility of anaerobic bacteria, Part </w:t>
      </w:r>
      <w:proofErr w:type="spellStart"/>
      <w:r w:rsidRPr="00DB5095">
        <w:rPr>
          <w:rFonts w:ascii="Arial" w:hAnsi="Arial" w:cs="Arial"/>
          <w:bCs/>
          <w:sz w:val="20"/>
          <w:szCs w:val="20"/>
          <w:lang w:val="en-US"/>
        </w:rPr>
        <w:t>i</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Microbiol</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Newsl</w:t>
      </w:r>
      <w:proofErr w:type="spellEnd"/>
      <w:r w:rsidRPr="00DB5095">
        <w:rPr>
          <w:rFonts w:ascii="Arial" w:hAnsi="Arial" w:cs="Arial"/>
          <w:bCs/>
          <w:sz w:val="20"/>
          <w:szCs w:val="20"/>
          <w:lang w:val="en-US"/>
        </w:rPr>
        <w:t xml:space="preserve"> 2011; 33:1-8. </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9.</w:t>
      </w:r>
      <w:r w:rsidRPr="00DB5095">
        <w:rPr>
          <w:rFonts w:ascii="Arial" w:hAnsi="Arial" w:cs="Arial"/>
          <w:bCs/>
          <w:sz w:val="20"/>
          <w:szCs w:val="20"/>
          <w:lang w:val="en-US"/>
        </w:rPr>
        <w:tab/>
        <w:t xml:space="preserve">Liu C, Huang Y, Liao C, Yen L, </w:t>
      </w:r>
      <w:proofErr w:type="gramStart"/>
      <w:r w:rsidRPr="00DB5095">
        <w:rPr>
          <w:rFonts w:ascii="Arial" w:hAnsi="Arial" w:cs="Arial"/>
          <w:bCs/>
          <w:sz w:val="20"/>
          <w:szCs w:val="20"/>
          <w:lang w:val="en-US"/>
        </w:rPr>
        <w:t>Lin</w:t>
      </w:r>
      <w:proofErr w:type="gramEnd"/>
      <w:r w:rsidRPr="00DB5095">
        <w:rPr>
          <w:rFonts w:ascii="Arial" w:hAnsi="Arial" w:cs="Arial"/>
          <w:bCs/>
          <w:sz w:val="20"/>
          <w:szCs w:val="20"/>
          <w:lang w:val="en-US"/>
        </w:rPr>
        <w:t xml:space="preserve"> H, Hsueh P. Increasing trends in antimicrobial resistance among clinically important anaerobes and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fragilis</w:t>
      </w:r>
      <w:proofErr w:type="spellEnd"/>
      <w:r w:rsidRPr="00DB5095">
        <w:rPr>
          <w:rFonts w:ascii="Arial" w:hAnsi="Arial" w:cs="Arial"/>
          <w:bCs/>
          <w:sz w:val="20"/>
          <w:szCs w:val="20"/>
          <w:lang w:val="en-US"/>
        </w:rPr>
        <w:t xml:space="preserve"> isolates causing nosocomial infections: emerging resistance to </w:t>
      </w:r>
      <w:proofErr w:type="spellStart"/>
      <w:r w:rsidRPr="00DB5095">
        <w:rPr>
          <w:rFonts w:ascii="Arial" w:hAnsi="Arial" w:cs="Arial"/>
          <w:bCs/>
          <w:sz w:val="20"/>
          <w:szCs w:val="20"/>
          <w:lang w:val="en-US"/>
        </w:rPr>
        <w:t>carbapenems</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Antimicr</w:t>
      </w:r>
      <w:r w:rsidR="00886B79" w:rsidRPr="00DB5095">
        <w:rPr>
          <w:rFonts w:ascii="Arial" w:hAnsi="Arial" w:cs="Arial"/>
          <w:bCs/>
          <w:sz w:val="20"/>
          <w:szCs w:val="20"/>
          <w:lang w:val="en-US"/>
        </w:rPr>
        <w:t>ob</w:t>
      </w:r>
      <w:proofErr w:type="spellEnd"/>
      <w:r w:rsidR="00886B79" w:rsidRPr="00DB5095">
        <w:rPr>
          <w:rFonts w:ascii="Arial" w:hAnsi="Arial" w:cs="Arial"/>
          <w:bCs/>
          <w:sz w:val="20"/>
          <w:szCs w:val="20"/>
          <w:lang w:val="en-US"/>
        </w:rPr>
        <w:t xml:space="preserve"> Agents </w:t>
      </w:r>
      <w:proofErr w:type="spellStart"/>
      <w:r w:rsidR="00886B79" w:rsidRPr="00DB5095">
        <w:rPr>
          <w:rFonts w:ascii="Arial" w:hAnsi="Arial" w:cs="Arial"/>
          <w:bCs/>
          <w:sz w:val="20"/>
          <w:szCs w:val="20"/>
          <w:lang w:val="en-US"/>
        </w:rPr>
        <w:t>Chemother</w:t>
      </w:r>
      <w:proofErr w:type="spellEnd"/>
      <w:r w:rsidR="00886B79" w:rsidRPr="00DB5095">
        <w:rPr>
          <w:rFonts w:ascii="Arial" w:hAnsi="Arial" w:cs="Arial"/>
          <w:bCs/>
          <w:sz w:val="20"/>
          <w:szCs w:val="20"/>
          <w:lang w:val="en-US"/>
        </w:rPr>
        <w:t xml:space="preserve"> 2008; 52:</w:t>
      </w:r>
      <w:r w:rsidRPr="00DB5095">
        <w:rPr>
          <w:rFonts w:ascii="Arial" w:hAnsi="Arial" w:cs="Arial"/>
          <w:bCs/>
          <w:sz w:val="20"/>
          <w:szCs w:val="20"/>
          <w:lang w:val="en-US"/>
        </w:rPr>
        <w:t>3161</w:t>
      </w:r>
      <w:r w:rsidR="00A50A9D" w:rsidRPr="00DB5095">
        <w:rPr>
          <w:rFonts w:ascii="Arial" w:hAnsi="Arial" w:cs="Arial"/>
          <w:bCs/>
          <w:sz w:val="20"/>
          <w:szCs w:val="20"/>
          <w:lang w:val="en-US"/>
        </w:rPr>
        <w:t>-</w:t>
      </w:r>
      <w:r w:rsidRPr="00DB5095">
        <w:rPr>
          <w:rFonts w:ascii="Arial" w:hAnsi="Arial" w:cs="Arial"/>
          <w:bCs/>
          <w:sz w:val="20"/>
          <w:szCs w:val="20"/>
          <w:lang w:val="en-US"/>
        </w:rPr>
        <w:t xml:space="preserve">3168. </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t>10.</w:t>
      </w:r>
      <w:r w:rsidRPr="00DB5095">
        <w:rPr>
          <w:rFonts w:ascii="Arial" w:hAnsi="Arial" w:cs="Arial"/>
          <w:bCs/>
          <w:sz w:val="20"/>
          <w:szCs w:val="20"/>
          <w:lang w:val="en-US"/>
        </w:rPr>
        <w:tab/>
        <w:t>The European Committee on Antimicrobial Susceptibility Testing (EUCAST). http://www.eucast.org/</w:t>
      </w:r>
    </w:p>
    <w:p w:rsidR="00452A95" w:rsidRPr="00DB5095" w:rsidRDefault="00452A95" w:rsidP="00A50A9D">
      <w:pPr>
        <w:tabs>
          <w:tab w:val="left" w:pos="284"/>
        </w:tabs>
        <w:spacing w:before="120" w:after="120"/>
        <w:jc w:val="both"/>
        <w:rPr>
          <w:rFonts w:ascii="Arial" w:hAnsi="Arial" w:cs="Arial"/>
          <w:bCs/>
          <w:sz w:val="20"/>
          <w:szCs w:val="20"/>
          <w:lang w:val="en-US"/>
        </w:rPr>
      </w:pPr>
      <w:r w:rsidRPr="00DB5095">
        <w:rPr>
          <w:rFonts w:ascii="Arial" w:hAnsi="Arial" w:cs="Arial"/>
          <w:bCs/>
          <w:sz w:val="20"/>
          <w:szCs w:val="20"/>
          <w:lang w:val="en-US"/>
        </w:rPr>
        <w:lastRenderedPageBreak/>
        <w:t>11.</w:t>
      </w:r>
      <w:r w:rsidRPr="00DB5095">
        <w:rPr>
          <w:rFonts w:ascii="Arial" w:hAnsi="Arial" w:cs="Arial"/>
          <w:bCs/>
          <w:sz w:val="20"/>
          <w:szCs w:val="20"/>
          <w:lang w:val="en-US"/>
        </w:rPr>
        <w:tab/>
        <w:t>Ortiz E, Sande MA. Routine use of anaerobic blood cultures: are they still indicated? Am J Med 2000; 108 (6):445-447.</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12.</w:t>
      </w:r>
      <w:r w:rsidRPr="00DB5095">
        <w:rPr>
          <w:rFonts w:ascii="Arial" w:hAnsi="Arial" w:cs="Arial"/>
          <w:bCs/>
          <w:sz w:val="20"/>
          <w:szCs w:val="20"/>
          <w:lang w:val="en-US"/>
        </w:rPr>
        <w:tab/>
        <w:t xml:space="preserve">Weinstein MP, Towns ML, </w:t>
      </w:r>
      <w:proofErr w:type="spellStart"/>
      <w:r w:rsidRPr="00DB5095">
        <w:rPr>
          <w:rFonts w:ascii="Arial" w:hAnsi="Arial" w:cs="Arial"/>
          <w:bCs/>
          <w:sz w:val="20"/>
          <w:szCs w:val="20"/>
          <w:lang w:val="en-US"/>
        </w:rPr>
        <w:t>Quartey</w:t>
      </w:r>
      <w:proofErr w:type="spellEnd"/>
      <w:r w:rsidRPr="00DB5095">
        <w:rPr>
          <w:rFonts w:ascii="Arial" w:hAnsi="Arial" w:cs="Arial"/>
          <w:bCs/>
          <w:sz w:val="20"/>
          <w:szCs w:val="20"/>
          <w:lang w:val="en-US"/>
        </w:rPr>
        <w:t xml:space="preserve"> SM, et al. The clinical significance of positive blood cultures in the 1990s: a prospective comprehensive evaluation of the microbiology, epidemiology, and outcome of bacteremia and </w:t>
      </w:r>
      <w:proofErr w:type="spellStart"/>
      <w:r w:rsidRPr="00DB5095">
        <w:rPr>
          <w:rFonts w:ascii="Arial" w:hAnsi="Arial" w:cs="Arial"/>
          <w:bCs/>
          <w:sz w:val="20"/>
          <w:szCs w:val="20"/>
          <w:lang w:val="en-US"/>
        </w:rPr>
        <w:t>fungemia</w:t>
      </w:r>
      <w:proofErr w:type="spellEnd"/>
      <w:r w:rsidRPr="00DB5095">
        <w:rPr>
          <w:rFonts w:ascii="Arial" w:hAnsi="Arial" w:cs="Arial"/>
          <w:bCs/>
          <w:sz w:val="20"/>
          <w:szCs w:val="20"/>
          <w:lang w:val="en-US"/>
        </w:rPr>
        <w:t xml:space="preserve"> in adults.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Infect Dis 1997; 24(4):584-602.</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13.</w:t>
      </w:r>
      <w:r w:rsidRPr="00DB5095">
        <w:rPr>
          <w:rFonts w:ascii="Arial" w:hAnsi="Arial" w:cs="Arial"/>
          <w:bCs/>
          <w:sz w:val="20"/>
          <w:szCs w:val="20"/>
          <w:lang w:val="en-US"/>
        </w:rPr>
        <w:tab/>
      </w:r>
      <w:proofErr w:type="spellStart"/>
      <w:r w:rsidRPr="00DB5095">
        <w:rPr>
          <w:rFonts w:ascii="Arial" w:hAnsi="Arial" w:cs="Arial"/>
          <w:bCs/>
          <w:sz w:val="20"/>
          <w:szCs w:val="20"/>
          <w:lang w:val="en-US"/>
        </w:rPr>
        <w:t>Zahar</w:t>
      </w:r>
      <w:proofErr w:type="spellEnd"/>
      <w:r w:rsidRPr="00DB5095">
        <w:rPr>
          <w:rFonts w:ascii="Arial" w:hAnsi="Arial" w:cs="Arial"/>
          <w:bCs/>
          <w:sz w:val="20"/>
          <w:szCs w:val="20"/>
          <w:lang w:val="en-US"/>
        </w:rPr>
        <w:t xml:space="preserve"> JR, </w:t>
      </w:r>
      <w:proofErr w:type="spellStart"/>
      <w:r w:rsidRPr="00DB5095">
        <w:rPr>
          <w:rFonts w:ascii="Arial" w:hAnsi="Arial" w:cs="Arial"/>
          <w:bCs/>
          <w:sz w:val="20"/>
          <w:szCs w:val="20"/>
          <w:lang w:val="en-US"/>
        </w:rPr>
        <w:t>Farhat</w:t>
      </w:r>
      <w:proofErr w:type="spellEnd"/>
      <w:r w:rsidRPr="00DB5095">
        <w:rPr>
          <w:rFonts w:ascii="Arial" w:hAnsi="Arial" w:cs="Arial"/>
          <w:bCs/>
          <w:sz w:val="20"/>
          <w:szCs w:val="20"/>
          <w:lang w:val="en-US"/>
        </w:rPr>
        <w:t xml:space="preserve"> H, </w:t>
      </w:r>
      <w:proofErr w:type="spellStart"/>
      <w:r w:rsidRPr="00DB5095">
        <w:rPr>
          <w:rFonts w:ascii="Arial" w:hAnsi="Arial" w:cs="Arial"/>
          <w:bCs/>
          <w:sz w:val="20"/>
          <w:szCs w:val="20"/>
          <w:lang w:val="en-US"/>
        </w:rPr>
        <w:t>Chachaty</w:t>
      </w:r>
      <w:proofErr w:type="spellEnd"/>
      <w:r w:rsidRPr="00DB5095">
        <w:rPr>
          <w:rFonts w:ascii="Arial" w:hAnsi="Arial" w:cs="Arial"/>
          <w:bCs/>
          <w:sz w:val="20"/>
          <w:szCs w:val="20"/>
          <w:lang w:val="en-US"/>
        </w:rPr>
        <w:t xml:space="preserve"> E, </w:t>
      </w:r>
      <w:proofErr w:type="spellStart"/>
      <w:r w:rsidRPr="00DB5095">
        <w:rPr>
          <w:rFonts w:ascii="Arial" w:hAnsi="Arial" w:cs="Arial"/>
          <w:bCs/>
          <w:sz w:val="20"/>
          <w:szCs w:val="20"/>
          <w:lang w:val="en-US"/>
        </w:rPr>
        <w:t>Meshaka</w:t>
      </w:r>
      <w:proofErr w:type="spellEnd"/>
      <w:r w:rsidRPr="00DB5095">
        <w:rPr>
          <w:rFonts w:ascii="Arial" w:hAnsi="Arial" w:cs="Arial"/>
          <w:bCs/>
          <w:sz w:val="20"/>
          <w:szCs w:val="20"/>
          <w:lang w:val="en-US"/>
        </w:rPr>
        <w:t xml:space="preserve"> P, </w:t>
      </w:r>
      <w:proofErr w:type="spellStart"/>
      <w:r w:rsidRPr="00DB5095">
        <w:rPr>
          <w:rFonts w:ascii="Arial" w:hAnsi="Arial" w:cs="Arial"/>
          <w:bCs/>
          <w:sz w:val="20"/>
          <w:szCs w:val="20"/>
          <w:lang w:val="en-US"/>
        </w:rPr>
        <w:t>Antoun</w:t>
      </w:r>
      <w:proofErr w:type="spellEnd"/>
      <w:r w:rsidRPr="00DB5095">
        <w:rPr>
          <w:rFonts w:ascii="Arial" w:hAnsi="Arial" w:cs="Arial"/>
          <w:bCs/>
          <w:sz w:val="20"/>
          <w:szCs w:val="20"/>
          <w:lang w:val="en-US"/>
        </w:rPr>
        <w:t xml:space="preserve"> S, </w:t>
      </w:r>
      <w:proofErr w:type="spellStart"/>
      <w:r w:rsidRPr="00DB5095">
        <w:rPr>
          <w:rFonts w:ascii="Arial" w:hAnsi="Arial" w:cs="Arial"/>
          <w:bCs/>
          <w:sz w:val="20"/>
          <w:szCs w:val="20"/>
          <w:lang w:val="en-US"/>
        </w:rPr>
        <w:t>Nitenberg</w:t>
      </w:r>
      <w:proofErr w:type="spellEnd"/>
      <w:r w:rsidRPr="00DB5095">
        <w:rPr>
          <w:rFonts w:ascii="Arial" w:hAnsi="Arial" w:cs="Arial"/>
          <w:bCs/>
          <w:sz w:val="20"/>
          <w:szCs w:val="20"/>
          <w:lang w:val="en-US"/>
        </w:rPr>
        <w:t xml:space="preserve"> G. Incidence and clinical significance of anaerobic </w:t>
      </w:r>
      <w:proofErr w:type="spellStart"/>
      <w:r w:rsidRPr="00DB5095">
        <w:rPr>
          <w:rFonts w:ascii="Arial" w:hAnsi="Arial" w:cs="Arial"/>
          <w:bCs/>
          <w:sz w:val="20"/>
          <w:szCs w:val="20"/>
          <w:lang w:val="en-US"/>
        </w:rPr>
        <w:t>bacteraemia</w:t>
      </w:r>
      <w:proofErr w:type="spellEnd"/>
      <w:r w:rsidRPr="00DB5095">
        <w:rPr>
          <w:rFonts w:ascii="Arial" w:hAnsi="Arial" w:cs="Arial"/>
          <w:bCs/>
          <w:sz w:val="20"/>
          <w:szCs w:val="20"/>
          <w:lang w:val="en-US"/>
        </w:rPr>
        <w:t xml:space="preserve"> in cancer patients: a 6-year retrospective study.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Microbiol</w:t>
      </w:r>
      <w:proofErr w:type="spellEnd"/>
      <w:r w:rsidRPr="00DB5095">
        <w:rPr>
          <w:rFonts w:ascii="Arial" w:hAnsi="Arial" w:cs="Arial"/>
          <w:bCs/>
          <w:sz w:val="20"/>
          <w:szCs w:val="20"/>
          <w:lang w:val="en-US"/>
        </w:rPr>
        <w:t xml:space="preserve"> Infect 2005; 11(9): 724-729.</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14.</w:t>
      </w:r>
      <w:r w:rsidRPr="00DB5095">
        <w:rPr>
          <w:rFonts w:ascii="Arial" w:hAnsi="Arial" w:cs="Arial"/>
          <w:bCs/>
          <w:sz w:val="20"/>
          <w:szCs w:val="20"/>
          <w:lang w:val="en-US"/>
        </w:rPr>
        <w:tab/>
      </w:r>
      <w:proofErr w:type="spellStart"/>
      <w:r w:rsidRPr="00DB5095">
        <w:rPr>
          <w:rFonts w:ascii="Arial" w:hAnsi="Arial" w:cs="Arial"/>
          <w:bCs/>
          <w:sz w:val="20"/>
          <w:szCs w:val="20"/>
          <w:lang w:val="en-US"/>
        </w:rPr>
        <w:t>Karunakaran</w:t>
      </w:r>
      <w:proofErr w:type="spellEnd"/>
      <w:r w:rsidRPr="00DB5095">
        <w:rPr>
          <w:rFonts w:ascii="Arial" w:hAnsi="Arial" w:cs="Arial"/>
          <w:bCs/>
          <w:sz w:val="20"/>
          <w:szCs w:val="20"/>
          <w:lang w:val="en-US"/>
        </w:rPr>
        <w:t xml:space="preserve"> R, Raja NS, </w:t>
      </w:r>
      <w:proofErr w:type="spellStart"/>
      <w:r w:rsidRPr="00DB5095">
        <w:rPr>
          <w:rFonts w:ascii="Arial" w:hAnsi="Arial" w:cs="Arial"/>
          <w:bCs/>
          <w:sz w:val="20"/>
          <w:szCs w:val="20"/>
          <w:lang w:val="en-US"/>
        </w:rPr>
        <w:t>Quek</w:t>
      </w:r>
      <w:proofErr w:type="spellEnd"/>
      <w:r w:rsidRPr="00DB5095">
        <w:rPr>
          <w:rFonts w:ascii="Arial" w:hAnsi="Arial" w:cs="Arial"/>
          <w:bCs/>
          <w:sz w:val="20"/>
          <w:szCs w:val="20"/>
          <w:lang w:val="en-US"/>
        </w:rPr>
        <w:t xml:space="preserve"> KF, Hoe VC, </w:t>
      </w:r>
      <w:proofErr w:type="spellStart"/>
      <w:r w:rsidRPr="00DB5095">
        <w:rPr>
          <w:rFonts w:ascii="Arial" w:hAnsi="Arial" w:cs="Arial"/>
          <w:bCs/>
          <w:sz w:val="20"/>
          <w:szCs w:val="20"/>
          <w:lang w:val="en-US"/>
        </w:rPr>
        <w:t>Navaratnam</w:t>
      </w:r>
      <w:proofErr w:type="spellEnd"/>
      <w:r w:rsidRPr="00DB5095">
        <w:rPr>
          <w:rFonts w:ascii="Arial" w:hAnsi="Arial" w:cs="Arial"/>
          <w:bCs/>
          <w:sz w:val="20"/>
          <w:szCs w:val="20"/>
          <w:lang w:val="en-US"/>
        </w:rPr>
        <w:t xml:space="preserve"> P. Evaluation of the routine use of the anaerobic bottle when using the BACTEC blood culture system. J </w:t>
      </w:r>
      <w:proofErr w:type="spellStart"/>
      <w:r w:rsidRPr="00DB5095">
        <w:rPr>
          <w:rFonts w:ascii="Arial" w:hAnsi="Arial" w:cs="Arial"/>
          <w:bCs/>
          <w:sz w:val="20"/>
          <w:szCs w:val="20"/>
          <w:lang w:val="en-US"/>
        </w:rPr>
        <w:t>Microbiol</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Immunol</w:t>
      </w:r>
      <w:proofErr w:type="spellEnd"/>
      <w:r w:rsidRPr="00DB5095">
        <w:rPr>
          <w:rFonts w:ascii="Arial" w:hAnsi="Arial" w:cs="Arial"/>
          <w:bCs/>
          <w:sz w:val="20"/>
          <w:szCs w:val="20"/>
          <w:lang w:val="en-US"/>
        </w:rPr>
        <w:t xml:space="preserve"> Infect. 2007; 40(5): 445-</w:t>
      </w:r>
      <w:r w:rsidR="00886B79" w:rsidRPr="00DB5095">
        <w:rPr>
          <w:rFonts w:ascii="Arial" w:hAnsi="Arial" w:cs="Arial"/>
          <w:bCs/>
          <w:sz w:val="20"/>
          <w:szCs w:val="20"/>
          <w:lang w:val="en-US"/>
        </w:rPr>
        <w:t>44</w:t>
      </w:r>
      <w:r w:rsidRPr="00DB5095">
        <w:rPr>
          <w:rFonts w:ascii="Arial" w:hAnsi="Arial" w:cs="Arial"/>
          <w:bCs/>
          <w:sz w:val="20"/>
          <w:szCs w:val="20"/>
          <w:lang w:val="en-US"/>
        </w:rPr>
        <w:t>9.</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15.</w:t>
      </w:r>
      <w:r w:rsidRPr="00DB5095">
        <w:rPr>
          <w:rFonts w:ascii="Arial" w:hAnsi="Arial" w:cs="Arial"/>
          <w:bCs/>
          <w:sz w:val="20"/>
          <w:szCs w:val="20"/>
          <w:lang w:val="en-US"/>
        </w:rPr>
        <w:tab/>
        <w:t xml:space="preserve">Tan T, Ng L, Kwan L, Rao S, </w:t>
      </w:r>
      <w:proofErr w:type="spellStart"/>
      <w:r w:rsidRPr="00DB5095">
        <w:rPr>
          <w:rFonts w:ascii="Arial" w:hAnsi="Arial" w:cs="Arial"/>
          <w:bCs/>
          <w:sz w:val="20"/>
          <w:szCs w:val="20"/>
          <w:lang w:val="en-US"/>
        </w:rPr>
        <w:t>Eng</w:t>
      </w:r>
      <w:proofErr w:type="spellEnd"/>
      <w:r w:rsidRPr="00DB5095">
        <w:rPr>
          <w:rFonts w:ascii="Arial" w:hAnsi="Arial" w:cs="Arial"/>
          <w:bCs/>
          <w:sz w:val="20"/>
          <w:szCs w:val="20"/>
          <w:lang w:val="en-US"/>
        </w:rPr>
        <w:t xml:space="preserve"> L. Clinical characteristics and antimicrobial susceptibilities of anaerobic bacteremia in an acute care hospital. Anaerobes 2017; 43: 69-74.</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16.</w:t>
      </w:r>
      <w:r w:rsidRPr="00DB5095">
        <w:rPr>
          <w:rFonts w:ascii="Arial" w:hAnsi="Arial" w:cs="Arial"/>
          <w:bCs/>
          <w:sz w:val="20"/>
          <w:szCs w:val="20"/>
          <w:lang w:val="en-US"/>
        </w:rPr>
        <w:tab/>
        <w:t xml:space="preserve">Benjamin B, </w:t>
      </w:r>
      <w:proofErr w:type="spellStart"/>
      <w:r w:rsidRPr="00DB5095">
        <w:rPr>
          <w:rFonts w:ascii="Arial" w:hAnsi="Arial" w:cs="Arial"/>
          <w:bCs/>
          <w:sz w:val="20"/>
          <w:szCs w:val="20"/>
          <w:lang w:val="en-US"/>
        </w:rPr>
        <w:t>Kan</w:t>
      </w:r>
      <w:proofErr w:type="spellEnd"/>
      <w:r w:rsidRPr="00DB5095">
        <w:rPr>
          <w:rFonts w:ascii="Arial" w:hAnsi="Arial" w:cs="Arial"/>
          <w:bCs/>
          <w:sz w:val="20"/>
          <w:szCs w:val="20"/>
          <w:lang w:val="en-US"/>
        </w:rPr>
        <w:t xml:space="preserve"> M, Schwartz D, </w:t>
      </w:r>
      <w:proofErr w:type="spellStart"/>
      <w:r w:rsidRPr="00DB5095">
        <w:rPr>
          <w:rFonts w:ascii="Arial" w:hAnsi="Arial" w:cs="Arial"/>
          <w:bCs/>
          <w:sz w:val="20"/>
          <w:szCs w:val="20"/>
          <w:lang w:val="en-US"/>
        </w:rPr>
        <w:t>Siegman-Igra</w:t>
      </w:r>
      <w:proofErr w:type="spellEnd"/>
      <w:r w:rsidRPr="00DB5095">
        <w:rPr>
          <w:rFonts w:ascii="Arial" w:hAnsi="Arial" w:cs="Arial"/>
          <w:bCs/>
          <w:sz w:val="20"/>
          <w:szCs w:val="20"/>
          <w:lang w:val="en-US"/>
        </w:rPr>
        <w:t xml:space="preserve"> Y. </w:t>
      </w:r>
      <w:proofErr w:type="gramStart"/>
      <w:r w:rsidRPr="00DB5095">
        <w:rPr>
          <w:rFonts w:ascii="Arial" w:hAnsi="Arial" w:cs="Arial"/>
          <w:bCs/>
          <w:sz w:val="20"/>
          <w:szCs w:val="20"/>
          <w:lang w:val="en-US"/>
        </w:rPr>
        <w:t>The possible significance of Clostridium spp. in blood cultures.</w:t>
      </w:r>
      <w:proofErr w:type="gram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Microbiol</w:t>
      </w:r>
      <w:proofErr w:type="spellEnd"/>
      <w:r w:rsidRPr="00DB5095">
        <w:rPr>
          <w:rFonts w:ascii="Arial" w:hAnsi="Arial" w:cs="Arial"/>
          <w:bCs/>
          <w:sz w:val="20"/>
          <w:szCs w:val="20"/>
          <w:lang w:val="en-US"/>
        </w:rPr>
        <w:t xml:space="preserve"> Infect 2006; 12:1006-</w:t>
      </w:r>
      <w:r w:rsidR="00886B79" w:rsidRPr="00DB5095">
        <w:rPr>
          <w:rFonts w:ascii="Arial" w:hAnsi="Arial" w:cs="Arial"/>
          <w:bCs/>
          <w:sz w:val="20"/>
          <w:szCs w:val="20"/>
          <w:lang w:val="en-US"/>
        </w:rPr>
        <w:t>10</w:t>
      </w:r>
      <w:r w:rsidRPr="00DB5095">
        <w:rPr>
          <w:rFonts w:ascii="Arial" w:hAnsi="Arial" w:cs="Arial"/>
          <w:bCs/>
          <w:sz w:val="20"/>
          <w:szCs w:val="20"/>
          <w:lang w:val="en-US"/>
        </w:rPr>
        <w:t xml:space="preserve">12. </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17.</w:t>
      </w:r>
      <w:r w:rsidRPr="00DB5095">
        <w:rPr>
          <w:rFonts w:ascii="Arial" w:hAnsi="Arial" w:cs="Arial"/>
          <w:bCs/>
          <w:sz w:val="20"/>
          <w:szCs w:val="20"/>
          <w:lang w:val="en-US"/>
        </w:rPr>
        <w:tab/>
        <w:t xml:space="preserve">Redondo MC, </w:t>
      </w:r>
      <w:proofErr w:type="spellStart"/>
      <w:r w:rsidRPr="00DB5095">
        <w:rPr>
          <w:rFonts w:ascii="Arial" w:hAnsi="Arial" w:cs="Arial"/>
          <w:bCs/>
          <w:sz w:val="20"/>
          <w:szCs w:val="20"/>
          <w:lang w:val="en-US"/>
        </w:rPr>
        <w:t>Arbo</w:t>
      </w:r>
      <w:proofErr w:type="spellEnd"/>
      <w:r w:rsidRPr="00DB5095">
        <w:rPr>
          <w:rFonts w:ascii="Arial" w:hAnsi="Arial" w:cs="Arial"/>
          <w:bCs/>
          <w:sz w:val="20"/>
          <w:szCs w:val="20"/>
          <w:lang w:val="en-US"/>
        </w:rPr>
        <w:t xml:space="preserve"> MD, </w:t>
      </w:r>
      <w:proofErr w:type="spellStart"/>
      <w:r w:rsidRPr="00DB5095">
        <w:rPr>
          <w:rFonts w:ascii="Arial" w:hAnsi="Arial" w:cs="Arial"/>
          <w:bCs/>
          <w:sz w:val="20"/>
          <w:szCs w:val="20"/>
          <w:lang w:val="en-US"/>
        </w:rPr>
        <w:t>Grindlinger</w:t>
      </w:r>
      <w:proofErr w:type="spellEnd"/>
      <w:r w:rsidRPr="00DB5095">
        <w:rPr>
          <w:rFonts w:ascii="Arial" w:hAnsi="Arial" w:cs="Arial"/>
          <w:bCs/>
          <w:sz w:val="20"/>
          <w:szCs w:val="20"/>
          <w:lang w:val="en-US"/>
        </w:rPr>
        <w:t xml:space="preserve"> J, </w:t>
      </w:r>
      <w:proofErr w:type="spellStart"/>
      <w:r w:rsidRPr="00DB5095">
        <w:rPr>
          <w:rFonts w:ascii="Arial" w:hAnsi="Arial" w:cs="Arial"/>
          <w:bCs/>
          <w:sz w:val="20"/>
          <w:szCs w:val="20"/>
          <w:lang w:val="en-US"/>
        </w:rPr>
        <w:t>Snydman</w:t>
      </w:r>
      <w:proofErr w:type="spellEnd"/>
      <w:r w:rsidRPr="00DB5095">
        <w:rPr>
          <w:rFonts w:ascii="Arial" w:hAnsi="Arial" w:cs="Arial"/>
          <w:bCs/>
          <w:sz w:val="20"/>
          <w:szCs w:val="20"/>
          <w:lang w:val="en-US"/>
        </w:rPr>
        <w:t xml:space="preserve"> DR. Attributable mortality of bacteremia associated with the </w:t>
      </w:r>
      <w:proofErr w:type="spellStart"/>
      <w:r w:rsidR="00A50A9D" w:rsidRPr="00DB5095">
        <w:rPr>
          <w:rFonts w:ascii="Arial" w:hAnsi="Arial" w:cs="Arial"/>
          <w:bCs/>
          <w:i/>
          <w:sz w:val="20"/>
          <w:szCs w:val="20"/>
          <w:lang w:val="en-US"/>
        </w:rPr>
        <w:t>Bacteroides</w:t>
      </w:r>
      <w:proofErr w:type="spellEnd"/>
      <w:r w:rsidRPr="00DB5095">
        <w:rPr>
          <w:rFonts w:ascii="Arial" w:hAnsi="Arial" w:cs="Arial"/>
          <w:bCs/>
          <w:sz w:val="20"/>
          <w:szCs w:val="20"/>
          <w:lang w:val="en-US"/>
        </w:rPr>
        <w:t xml:space="preserve"> </w:t>
      </w:r>
      <w:proofErr w:type="spellStart"/>
      <w:r w:rsidRPr="00DB5095">
        <w:rPr>
          <w:rFonts w:ascii="Arial" w:hAnsi="Arial" w:cs="Arial"/>
          <w:bCs/>
          <w:sz w:val="20"/>
          <w:szCs w:val="20"/>
          <w:lang w:val="en-US"/>
        </w:rPr>
        <w:t>fragilis</w:t>
      </w:r>
      <w:proofErr w:type="spellEnd"/>
      <w:r w:rsidRPr="00DB5095">
        <w:rPr>
          <w:rFonts w:ascii="Arial" w:hAnsi="Arial" w:cs="Arial"/>
          <w:bCs/>
          <w:sz w:val="20"/>
          <w:szCs w:val="20"/>
          <w:lang w:val="en-US"/>
        </w:rPr>
        <w:t xml:space="preserve"> group. </w:t>
      </w:r>
      <w:proofErr w:type="spellStart"/>
      <w:r w:rsidRPr="00DB5095">
        <w:rPr>
          <w:rFonts w:ascii="Arial" w:hAnsi="Arial" w:cs="Arial"/>
          <w:bCs/>
          <w:sz w:val="20"/>
          <w:szCs w:val="20"/>
          <w:lang w:val="en-US"/>
        </w:rPr>
        <w:t>Clin</w:t>
      </w:r>
      <w:proofErr w:type="spellEnd"/>
      <w:r w:rsidRPr="00DB5095">
        <w:rPr>
          <w:rFonts w:ascii="Arial" w:hAnsi="Arial" w:cs="Arial"/>
          <w:bCs/>
          <w:sz w:val="20"/>
          <w:szCs w:val="20"/>
          <w:lang w:val="en-US"/>
        </w:rPr>
        <w:t xml:space="preserve"> Infect Dis 1995; 20:1492-1496. </w:t>
      </w:r>
    </w:p>
    <w:p w:rsidR="00452A95" w:rsidRPr="00DB50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18.</w:t>
      </w:r>
      <w:r w:rsidRPr="00DB5095">
        <w:rPr>
          <w:rFonts w:ascii="Arial" w:hAnsi="Arial" w:cs="Arial"/>
          <w:bCs/>
          <w:sz w:val="20"/>
          <w:szCs w:val="20"/>
          <w:lang w:val="en-US"/>
        </w:rPr>
        <w:tab/>
      </w:r>
      <w:proofErr w:type="spellStart"/>
      <w:r w:rsidRPr="00DB5095">
        <w:rPr>
          <w:rFonts w:ascii="Arial" w:hAnsi="Arial" w:cs="Arial"/>
          <w:bCs/>
          <w:sz w:val="20"/>
          <w:szCs w:val="20"/>
          <w:lang w:val="en-US"/>
        </w:rPr>
        <w:t>Kommedal</w:t>
      </w:r>
      <w:proofErr w:type="spellEnd"/>
      <w:r w:rsidRPr="00DB5095">
        <w:rPr>
          <w:rFonts w:ascii="Arial" w:hAnsi="Arial" w:cs="Arial"/>
          <w:bCs/>
          <w:sz w:val="20"/>
          <w:szCs w:val="20"/>
          <w:lang w:val="en-US"/>
        </w:rPr>
        <w:t xml:space="preserve"> O, </w:t>
      </w:r>
      <w:proofErr w:type="spellStart"/>
      <w:r w:rsidRPr="00DB5095">
        <w:rPr>
          <w:rFonts w:ascii="Arial" w:hAnsi="Arial" w:cs="Arial"/>
          <w:bCs/>
          <w:sz w:val="20"/>
          <w:szCs w:val="20"/>
          <w:lang w:val="en-US"/>
        </w:rPr>
        <w:t>Nystad</w:t>
      </w:r>
      <w:proofErr w:type="spellEnd"/>
      <w:r w:rsidRPr="00DB5095">
        <w:rPr>
          <w:rFonts w:ascii="Arial" w:hAnsi="Arial" w:cs="Arial"/>
          <w:bCs/>
          <w:sz w:val="20"/>
          <w:szCs w:val="20"/>
          <w:lang w:val="en-US"/>
        </w:rPr>
        <w:t xml:space="preserve"> TW, </w:t>
      </w:r>
      <w:proofErr w:type="spellStart"/>
      <w:r w:rsidRPr="00DB5095">
        <w:rPr>
          <w:rFonts w:ascii="Arial" w:hAnsi="Arial" w:cs="Arial"/>
          <w:bCs/>
          <w:sz w:val="20"/>
          <w:szCs w:val="20"/>
          <w:lang w:val="en-US"/>
        </w:rPr>
        <w:t>Bølstad</w:t>
      </w:r>
      <w:proofErr w:type="spellEnd"/>
      <w:r w:rsidRPr="00DB5095">
        <w:rPr>
          <w:rFonts w:ascii="Arial" w:hAnsi="Arial" w:cs="Arial"/>
          <w:bCs/>
          <w:sz w:val="20"/>
          <w:szCs w:val="20"/>
          <w:lang w:val="en-US"/>
        </w:rPr>
        <w:t xml:space="preserve"> B, </w:t>
      </w:r>
      <w:proofErr w:type="spellStart"/>
      <w:r w:rsidRPr="00DB5095">
        <w:rPr>
          <w:rFonts w:ascii="Arial" w:hAnsi="Arial" w:cs="Arial"/>
          <w:bCs/>
          <w:sz w:val="20"/>
          <w:szCs w:val="20"/>
          <w:lang w:val="en-US"/>
        </w:rPr>
        <w:t>Digranes</w:t>
      </w:r>
      <w:proofErr w:type="spellEnd"/>
      <w:r w:rsidRPr="00DB5095">
        <w:rPr>
          <w:rFonts w:ascii="Arial" w:hAnsi="Arial" w:cs="Arial"/>
          <w:bCs/>
          <w:sz w:val="20"/>
          <w:szCs w:val="20"/>
          <w:lang w:val="en-US"/>
        </w:rPr>
        <w:t xml:space="preserve"> A. Antibiotic susceptibility of blood culture isolates of anaerobic bacteria at a Norwegian university hospital. APMIS 2007; 115(8):956-961.</w:t>
      </w:r>
    </w:p>
    <w:p w:rsidR="003A35D5" w:rsidRPr="00452A95" w:rsidRDefault="00452A95" w:rsidP="00886B79">
      <w:pPr>
        <w:tabs>
          <w:tab w:val="left" w:pos="426"/>
        </w:tabs>
        <w:spacing w:before="120" w:after="120"/>
        <w:jc w:val="both"/>
        <w:rPr>
          <w:rFonts w:ascii="Arial" w:hAnsi="Arial" w:cs="Arial"/>
          <w:bCs/>
          <w:sz w:val="20"/>
          <w:szCs w:val="20"/>
          <w:lang w:val="en-US"/>
        </w:rPr>
      </w:pPr>
      <w:r w:rsidRPr="00DB5095">
        <w:rPr>
          <w:rFonts w:ascii="Arial" w:hAnsi="Arial" w:cs="Arial"/>
          <w:bCs/>
          <w:sz w:val="20"/>
          <w:szCs w:val="20"/>
          <w:lang w:val="en-US"/>
        </w:rPr>
        <w:t>19.</w:t>
      </w:r>
      <w:r w:rsidRPr="00DB5095">
        <w:rPr>
          <w:rFonts w:ascii="Arial" w:hAnsi="Arial" w:cs="Arial"/>
          <w:bCs/>
          <w:sz w:val="20"/>
          <w:szCs w:val="20"/>
          <w:lang w:val="en-US"/>
        </w:rPr>
        <w:tab/>
      </w:r>
      <w:proofErr w:type="spellStart"/>
      <w:r w:rsidRPr="00DB5095">
        <w:rPr>
          <w:rFonts w:ascii="Arial" w:hAnsi="Arial" w:cs="Arial"/>
          <w:bCs/>
          <w:sz w:val="20"/>
          <w:szCs w:val="20"/>
          <w:lang w:val="en-US"/>
        </w:rPr>
        <w:t>Jeverica</w:t>
      </w:r>
      <w:proofErr w:type="spellEnd"/>
      <w:r w:rsidRPr="00DB5095">
        <w:rPr>
          <w:rFonts w:ascii="Arial" w:hAnsi="Arial" w:cs="Arial"/>
          <w:bCs/>
          <w:sz w:val="20"/>
          <w:szCs w:val="20"/>
          <w:lang w:val="en-US"/>
        </w:rPr>
        <w:t xml:space="preserve"> S, </w:t>
      </w:r>
      <w:proofErr w:type="spellStart"/>
      <w:r w:rsidRPr="00DB5095">
        <w:rPr>
          <w:rFonts w:ascii="Arial" w:hAnsi="Arial" w:cs="Arial"/>
          <w:bCs/>
          <w:sz w:val="20"/>
          <w:szCs w:val="20"/>
          <w:lang w:val="en-US"/>
        </w:rPr>
        <w:t>Kolenc</w:t>
      </w:r>
      <w:proofErr w:type="spellEnd"/>
      <w:r w:rsidRPr="00DB5095">
        <w:rPr>
          <w:rFonts w:ascii="Arial" w:hAnsi="Arial" w:cs="Arial"/>
          <w:bCs/>
          <w:sz w:val="20"/>
          <w:szCs w:val="20"/>
          <w:lang w:val="en-US"/>
        </w:rPr>
        <w:t xml:space="preserve"> U, Mueller-</w:t>
      </w:r>
      <w:proofErr w:type="spellStart"/>
      <w:r w:rsidRPr="00DB5095">
        <w:rPr>
          <w:rFonts w:ascii="Arial" w:hAnsi="Arial" w:cs="Arial"/>
          <w:bCs/>
          <w:sz w:val="20"/>
          <w:szCs w:val="20"/>
          <w:lang w:val="en-US"/>
        </w:rPr>
        <w:t>Premru</w:t>
      </w:r>
      <w:proofErr w:type="spellEnd"/>
      <w:r w:rsidRPr="00DB5095">
        <w:rPr>
          <w:rFonts w:ascii="Arial" w:hAnsi="Arial" w:cs="Arial"/>
          <w:bCs/>
          <w:sz w:val="20"/>
          <w:szCs w:val="20"/>
          <w:lang w:val="en-US"/>
        </w:rPr>
        <w:t xml:space="preserve"> M, </w:t>
      </w:r>
      <w:proofErr w:type="spellStart"/>
      <w:r w:rsidRPr="00DB5095">
        <w:rPr>
          <w:rFonts w:ascii="Arial" w:hAnsi="Arial" w:cs="Arial"/>
          <w:bCs/>
          <w:sz w:val="20"/>
          <w:szCs w:val="20"/>
          <w:lang w:val="en-US"/>
        </w:rPr>
        <w:t>Papst</w:t>
      </w:r>
      <w:proofErr w:type="spellEnd"/>
      <w:r w:rsidRPr="00DB5095">
        <w:rPr>
          <w:rFonts w:ascii="Arial" w:hAnsi="Arial" w:cs="Arial"/>
          <w:bCs/>
          <w:sz w:val="20"/>
          <w:szCs w:val="20"/>
          <w:lang w:val="en-US"/>
        </w:rPr>
        <w:t xml:space="preserve"> L. Evaluation of the routine antimicrobial susceptibility testing results of clinically significant anaerobic bacteria in a Sloven</w:t>
      </w:r>
      <w:r w:rsidR="007F41E4" w:rsidRPr="00DB5095">
        <w:rPr>
          <w:rFonts w:ascii="Arial" w:hAnsi="Arial" w:cs="Arial"/>
          <w:bCs/>
          <w:sz w:val="20"/>
          <w:szCs w:val="20"/>
          <w:lang w:val="en-US"/>
        </w:rPr>
        <w:t>ian tertiary-care hospital in 2</w:t>
      </w:r>
      <w:r w:rsidRPr="00DB5095">
        <w:rPr>
          <w:rFonts w:ascii="Arial" w:hAnsi="Arial" w:cs="Arial"/>
          <w:bCs/>
          <w:sz w:val="20"/>
          <w:szCs w:val="20"/>
          <w:lang w:val="en-US"/>
        </w:rPr>
        <w:t xml:space="preserve">015. </w:t>
      </w:r>
      <w:proofErr w:type="spellStart"/>
      <w:r w:rsidRPr="00DB5095">
        <w:rPr>
          <w:rFonts w:ascii="Arial" w:hAnsi="Arial" w:cs="Arial"/>
          <w:bCs/>
          <w:sz w:val="20"/>
          <w:szCs w:val="20"/>
          <w:lang w:val="en-US"/>
        </w:rPr>
        <w:t>Anaerob</w:t>
      </w:r>
      <w:proofErr w:type="spellEnd"/>
      <w:r w:rsidRPr="00DB5095">
        <w:rPr>
          <w:rFonts w:ascii="Arial" w:hAnsi="Arial" w:cs="Arial"/>
          <w:bCs/>
          <w:sz w:val="20"/>
          <w:szCs w:val="20"/>
          <w:lang w:val="en-US"/>
        </w:rPr>
        <w:t xml:space="preserve"> 2017; 47:64-69.</w:t>
      </w:r>
    </w:p>
    <w:sectPr w:rsidR="003A35D5" w:rsidRPr="00452A95" w:rsidSect="009402D5">
      <w:type w:val="continuous"/>
      <w:pgSz w:w="11907" w:h="16840" w:code="9"/>
      <w:pgMar w:top="1814" w:right="1247" w:bottom="1758" w:left="1304" w:header="1304" w:footer="1361" w:gutter="0"/>
      <w:pgNumType w:start="138" w:chapStyle="1"/>
      <w:cols w:num="2"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60" w:rsidRDefault="00352A60" w:rsidP="00AC096A">
      <w:pPr>
        <w:spacing w:after="0" w:line="240" w:lineRule="auto"/>
      </w:pPr>
      <w:r>
        <w:separator/>
      </w:r>
    </w:p>
  </w:endnote>
  <w:endnote w:type="continuationSeparator" w:id="0">
    <w:p w:rsidR="00352A60" w:rsidRDefault="00352A60" w:rsidP="00AC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D5" w:rsidRDefault="009402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C3" w:rsidRDefault="00F071C3">
    <w:pPr>
      <w:pStyle w:val="Fuzeile"/>
      <w:rPr>
        <w:sz w:val="18"/>
        <w:szCs w:val="18"/>
      </w:rPr>
    </w:pPr>
    <w:r>
      <w:rPr>
        <w:noProof/>
        <w:sz w:val="18"/>
        <w:szCs w:val="18"/>
        <w:lang w:eastAsia="tr-TR"/>
      </w:rPr>
      <mc:AlternateContent>
        <mc:Choice Requires="wps">
          <w:drawing>
            <wp:anchor distT="0" distB="0" distL="114300" distR="114300" simplePos="0" relativeHeight="251662336" behindDoc="0" locked="0" layoutInCell="1" allowOverlap="1" wp14:anchorId="2FAB6AD9" wp14:editId="5E2ED6C7">
              <wp:simplePos x="0" y="0"/>
              <wp:positionH relativeFrom="column">
                <wp:posOffset>-29183</wp:posOffset>
              </wp:positionH>
              <wp:positionV relativeFrom="paragraph">
                <wp:posOffset>66621</wp:posOffset>
              </wp:positionV>
              <wp:extent cx="5939790" cy="0"/>
              <wp:effectExtent l="9525" t="8890" r="13335" b="1016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25pt" to="465.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tzKA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"/>
          </w:pict>
        </mc:Fallback>
      </mc:AlternateContent>
    </w:r>
    <w:r>
      <w:rPr>
        <w:noProof/>
        <w:sz w:val="18"/>
        <w:szCs w:val="18"/>
        <w:lang w:eastAsia="tr-TR"/>
      </w:rPr>
      <mc:AlternateContent>
        <mc:Choice Requires="wps">
          <w:drawing>
            <wp:anchor distT="0" distB="0" distL="114300" distR="114300" simplePos="0" relativeHeight="251660288" behindDoc="0" locked="0" layoutInCell="1" allowOverlap="1" wp14:anchorId="45F2893A" wp14:editId="0487565B">
              <wp:simplePos x="0" y="0"/>
              <wp:positionH relativeFrom="column">
                <wp:posOffset>807720</wp:posOffset>
              </wp:positionH>
              <wp:positionV relativeFrom="paragraph">
                <wp:posOffset>5344795</wp:posOffset>
              </wp:positionV>
              <wp:extent cx="5939790" cy="0"/>
              <wp:effectExtent l="9525" t="8890" r="13335" b="1016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20.85pt" to="531.3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YKQ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"/>
          </w:pict>
        </mc:Fallback>
      </mc:AlternateContent>
    </w:r>
  </w:p>
  <w:p w:rsidR="00F071C3" w:rsidRPr="003F5547" w:rsidRDefault="00F071C3">
    <w:pPr>
      <w:pStyle w:val="Fuzeile"/>
      <w:rPr>
        <w:sz w:val="18"/>
        <w:szCs w:val="18"/>
      </w:rPr>
    </w:pPr>
    <w:r>
      <w:rPr>
        <w:sz w:val="18"/>
        <w:szCs w:val="18"/>
      </w:rPr>
      <w:t>J Microbiol Infect Dis</w:t>
    </w:r>
    <w:r>
      <w:rPr>
        <w:sz w:val="18"/>
        <w:szCs w:val="18"/>
      </w:rPr>
      <w:tab/>
      <w:t>www.jmid</w:t>
    </w:r>
    <w:r w:rsidRPr="003F5547">
      <w:rPr>
        <w:sz w:val="18"/>
        <w:szCs w:val="18"/>
      </w:rPr>
      <w:t>online.org</w:t>
    </w:r>
    <w:r w:rsidRPr="003F5547">
      <w:rPr>
        <w:sz w:val="18"/>
        <w:szCs w:val="18"/>
      </w:rPr>
      <w:tab/>
      <w:t xml:space="preserve">Vol </w:t>
    </w:r>
    <w:r w:rsidR="00381DDF">
      <w:rPr>
        <w:sz w:val="18"/>
        <w:szCs w:val="18"/>
      </w:rPr>
      <w:t>8</w:t>
    </w:r>
    <w:r w:rsidRPr="003F5547">
      <w:rPr>
        <w:sz w:val="18"/>
        <w:szCs w:val="18"/>
      </w:rPr>
      <w:t>, No</w:t>
    </w:r>
    <w:r w:rsidR="00D91D74">
      <w:rPr>
        <w:sz w:val="18"/>
        <w:szCs w:val="18"/>
      </w:rPr>
      <w:t xml:space="preserve"> </w:t>
    </w:r>
    <w:r w:rsidR="00CC4621">
      <w:rPr>
        <w:sz w:val="18"/>
        <w:szCs w:val="18"/>
      </w:rPr>
      <w:t>4</w:t>
    </w:r>
    <w:r w:rsidRPr="003F5547">
      <w:rPr>
        <w:sz w:val="18"/>
        <w:szCs w:val="18"/>
      </w:rPr>
      <w:t xml:space="preserve">, </w:t>
    </w:r>
    <w:r w:rsidR="00CC4621">
      <w:rPr>
        <w:sz w:val="18"/>
        <w:szCs w:val="18"/>
      </w:rPr>
      <w:t>Dec</w:t>
    </w:r>
    <w:r w:rsidR="00D91D74">
      <w:rPr>
        <w:sz w:val="18"/>
        <w:szCs w:val="18"/>
      </w:rPr>
      <w:t>ember</w:t>
    </w:r>
    <w:r>
      <w:rPr>
        <w:sz w:val="18"/>
        <w:szCs w:val="18"/>
      </w:rPr>
      <w:t xml:space="preserve"> 201</w:t>
    </w:r>
    <w:r w:rsidR="00381DDF">
      <w:rPr>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C3" w:rsidRDefault="00F071C3" w:rsidP="0017252B">
    <w:pPr>
      <w:pStyle w:val="Fuzeile"/>
      <w:jc w:val="center"/>
      <w:rPr>
        <w:rStyle w:val="10-AltBilgiYazismaAdresiChar"/>
        <w:rFonts w:eastAsiaTheme="minorHAnsi"/>
        <w:vertAlign w:val="superscript"/>
        <w:lang w:val="de-DE"/>
      </w:rPr>
    </w:pPr>
    <w:r>
      <w:rPr>
        <w:noProof/>
        <w:sz w:val="18"/>
        <w:szCs w:val="18"/>
        <w:lang w:eastAsia="tr-TR"/>
      </w:rPr>
      <mc:AlternateContent>
        <mc:Choice Requires="wps">
          <w:drawing>
            <wp:anchor distT="0" distB="0" distL="114300" distR="114300" simplePos="0" relativeHeight="251658240" behindDoc="0" locked="0" layoutInCell="1" allowOverlap="1" wp14:anchorId="5708A431" wp14:editId="018FE26B">
              <wp:simplePos x="0" y="0"/>
              <wp:positionH relativeFrom="column">
                <wp:posOffset>-18266</wp:posOffset>
              </wp:positionH>
              <wp:positionV relativeFrom="paragraph">
                <wp:posOffset>113435</wp:posOffset>
              </wp:positionV>
              <wp:extent cx="5939790" cy="0"/>
              <wp:effectExtent l="9525" t="8890" r="13335" b="1016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46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"/>
          </w:pict>
        </mc:Fallback>
      </mc:AlternateContent>
    </w:r>
  </w:p>
  <w:p w:rsidR="009D7D78" w:rsidRPr="009D7D78" w:rsidRDefault="00F071C3" w:rsidP="009D7D78">
    <w:pPr>
      <w:pStyle w:val="10-AltBilgiYazismaAdresi"/>
      <w:rPr>
        <w:rStyle w:val="10-AltBilgiYazismaAdresiChar"/>
      </w:rPr>
    </w:pPr>
    <w:r w:rsidRPr="00837227">
      <w:rPr>
        <w:rStyle w:val="10-AltBilgiYazismaAdresiChar"/>
        <w:b/>
      </w:rPr>
      <w:t>Correspondence:</w:t>
    </w:r>
    <w:r w:rsidRPr="009273CC">
      <w:rPr>
        <w:rStyle w:val="10-AltBilgiYazismaAdresiChar"/>
      </w:rPr>
      <w:t xml:space="preserve"> </w:t>
    </w:r>
    <w:r w:rsidR="00845BEB" w:rsidRPr="00845BEB">
      <w:rPr>
        <w:rStyle w:val="10-AltBilgiYazismaAdresiChar"/>
      </w:rPr>
      <w:t xml:space="preserve">Dr. </w:t>
    </w:r>
    <w:r w:rsidR="009D7D78" w:rsidRPr="009D7D78">
      <w:rPr>
        <w:rStyle w:val="10-AltBilgiYazismaAdresiChar"/>
      </w:rPr>
      <w:t xml:space="preserve">Nadeem </w:t>
    </w:r>
    <w:proofErr w:type="spellStart"/>
    <w:r w:rsidR="009D7D78" w:rsidRPr="009D7D78">
      <w:rPr>
        <w:rStyle w:val="10-AltBilgiYazismaAdresiChar"/>
      </w:rPr>
      <w:t>Sajjad</w:t>
    </w:r>
    <w:proofErr w:type="spellEnd"/>
    <w:r w:rsidR="009D7D78" w:rsidRPr="009D7D78">
      <w:rPr>
        <w:rStyle w:val="10-AltBilgiYazismaAdresiChar"/>
      </w:rPr>
      <w:t xml:space="preserve"> Raja</w:t>
    </w:r>
    <w:r w:rsidR="00FB2043">
      <w:rPr>
        <w:rStyle w:val="10-AltBilgiYazismaAdresiChar"/>
      </w:rPr>
      <w:t xml:space="preserve">, </w:t>
    </w:r>
    <w:r w:rsidR="009D7D78" w:rsidRPr="009D7D78">
      <w:rPr>
        <w:rStyle w:val="10-AltBilgiYazismaAdresiChar"/>
      </w:rPr>
      <w:t>Department of Microbiology, East Sussex Healthcare Trust, Hastings, TN37 7RD, East Sussex, England, UK</w:t>
    </w:r>
  </w:p>
  <w:p w:rsidR="00F071C3" w:rsidRPr="009D7D78" w:rsidRDefault="009D7D78" w:rsidP="009D7D78">
    <w:pPr>
      <w:pStyle w:val="10-AltBilgiYazismaAdresi"/>
      <w:rPr>
        <w:rStyle w:val="10-AltBilgiYazismaAdresiChar"/>
        <w:lang w:val="de-DE"/>
      </w:rPr>
    </w:pPr>
    <w:proofErr w:type="spellStart"/>
    <w:r w:rsidRPr="009D7D78">
      <w:rPr>
        <w:rStyle w:val="10-AltBilgiYazismaAdresiChar"/>
        <w:lang w:val="de-DE"/>
      </w:rPr>
      <w:t>E-mail</w:t>
    </w:r>
    <w:proofErr w:type="spellEnd"/>
    <w:r w:rsidRPr="009D7D78">
      <w:rPr>
        <w:rStyle w:val="10-AltBilgiYazismaAdresiChar"/>
        <w:lang w:val="de-DE"/>
      </w:rPr>
      <w:t>: nadeem.raja@nhs.net</w:t>
    </w:r>
  </w:p>
  <w:p w:rsidR="00F071C3" w:rsidRPr="009273CC" w:rsidRDefault="003C2ED9" w:rsidP="003C2ED9">
    <w:pPr>
      <w:pStyle w:val="10-AltBilgiYazismaAdresi"/>
      <w:rPr>
        <w:rStyle w:val="10-AltBilgiYazismaAdresiChar"/>
      </w:rPr>
    </w:pPr>
    <w:r w:rsidRPr="003C2ED9">
      <w:rPr>
        <w:rStyle w:val="10-AltBilgiYazismaAdresiChar"/>
      </w:rPr>
      <w:t xml:space="preserve">Received: </w:t>
    </w:r>
    <w:r w:rsidR="00EC4D65">
      <w:rPr>
        <w:rStyle w:val="10-AltBilgiYazismaAdresiChar"/>
      </w:rPr>
      <w:t>08</w:t>
    </w:r>
    <w:r w:rsidR="00845BEB">
      <w:rPr>
        <w:rStyle w:val="10-AltBilgiYazismaAdresiChar"/>
      </w:rPr>
      <w:t xml:space="preserve"> </w:t>
    </w:r>
    <w:r w:rsidR="00EC4D65">
      <w:rPr>
        <w:rStyle w:val="10-AltBilgiYazismaAdresiChar"/>
      </w:rPr>
      <w:t>June</w:t>
    </w:r>
    <w:r w:rsidR="00FB2043">
      <w:rPr>
        <w:rStyle w:val="10-AltBilgiYazismaAdresiChar"/>
      </w:rPr>
      <w:t xml:space="preserve"> </w:t>
    </w:r>
    <w:proofErr w:type="gramStart"/>
    <w:r w:rsidR="00FB2043">
      <w:rPr>
        <w:rStyle w:val="10-AltBilgiYazismaAdresiChar"/>
      </w:rPr>
      <w:t>2018</w:t>
    </w:r>
    <w:r>
      <w:rPr>
        <w:rStyle w:val="10-AltBilgiYazismaAdresiChar"/>
      </w:rPr>
      <w:t xml:space="preserve">  </w:t>
    </w:r>
    <w:r w:rsidRPr="003C2ED9">
      <w:rPr>
        <w:rStyle w:val="10-AltBilgiYazismaAdresiChar"/>
      </w:rPr>
      <w:t>Accepted</w:t>
    </w:r>
    <w:proofErr w:type="gramEnd"/>
    <w:r w:rsidRPr="003C2ED9">
      <w:rPr>
        <w:rStyle w:val="10-AltBilgiYazismaAdresiChar"/>
      </w:rPr>
      <w:t xml:space="preserve">: </w:t>
    </w:r>
    <w:r w:rsidR="00EC4D65">
      <w:rPr>
        <w:rStyle w:val="10-AltBilgiYazismaAdresiChar"/>
      </w:rPr>
      <w:t>10</w:t>
    </w:r>
    <w:r w:rsidRPr="003C2ED9">
      <w:rPr>
        <w:rStyle w:val="10-AltBilgiYazismaAdresiChar"/>
      </w:rPr>
      <w:t xml:space="preserve"> </w:t>
    </w:r>
    <w:r w:rsidR="00EC4D65">
      <w:rPr>
        <w:rStyle w:val="10-AltBilgiYazismaAdresiChar"/>
      </w:rPr>
      <w:t>September</w:t>
    </w:r>
    <w:r w:rsidR="00845BEB">
      <w:rPr>
        <w:rStyle w:val="10-AltBilgiYazismaAdresiChar"/>
      </w:rPr>
      <w:t xml:space="preserve"> 2018</w:t>
    </w:r>
  </w:p>
  <w:p w:rsidR="00F071C3" w:rsidRPr="009273CC" w:rsidRDefault="00F071C3" w:rsidP="009273CC">
    <w:pPr>
      <w:pStyle w:val="10-AltBilgiYazismaAdresi"/>
    </w:pPr>
    <w:r w:rsidRPr="009273CC">
      <w:rPr>
        <w:rStyle w:val="10-AltBilgiYazismaAdresiChar"/>
      </w:rPr>
      <w:t>Copyright ©</w:t>
    </w:r>
    <w:r>
      <w:rPr>
        <w:rStyle w:val="10-AltBilgiYazismaAdresiChar"/>
      </w:rPr>
      <w:t xml:space="preserve"> JMID /</w:t>
    </w:r>
    <w:r w:rsidRPr="009273CC">
      <w:rPr>
        <w:rStyle w:val="10-AltBilgiYazismaAdresiChar"/>
      </w:rPr>
      <w:t xml:space="preserve"> Journal of Microbiology and Infectious Diseases 201</w:t>
    </w:r>
    <w:r w:rsidR="00C3269D">
      <w:rPr>
        <w:rStyle w:val="10-AltBilgiYazismaAdresiChar"/>
      </w:rPr>
      <w:t>8</w:t>
    </w:r>
    <w:r w:rsidRPr="009273CC">
      <w:rPr>
        <w:rStyle w:val="10-AltBilgiYazismaAdresiChar"/>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60" w:rsidRDefault="00352A60" w:rsidP="00AC096A">
      <w:pPr>
        <w:spacing w:after="0" w:line="240" w:lineRule="auto"/>
      </w:pPr>
      <w:r>
        <w:separator/>
      </w:r>
    </w:p>
  </w:footnote>
  <w:footnote w:type="continuationSeparator" w:id="0">
    <w:p w:rsidR="00352A60" w:rsidRDefault="00352A60" w:rsidP="00AC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D5" w:rsidRDefault="009402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C3" w:rsidRPr="008D4FFF" w:rsidRDefault="00F071C3" w:rsidP="00AC096A">
    <w:pPr>
      <w:pStyle w:val="Kopfzeile"/>
      <w:rPr>
        <w:b/>
        <w:sz w:val="18"/>
        <w:szCs w:val="18"/>
        <w:lang w:val="en-US"/>
      </w:rPr>
    </w:pPr>
    <w:r w:rsidRPr="008A0732">
      <w:rPr>
        <w:sz w:val="18"/>
        <w:szCs w:val="18"/>
      </w:rPr>
      <w:fldChar w:fldCharType="begin"/>
    </w:r>
    <w:r w:rsidRPr="008A0732">
      <w:rPr>
        <w:sz w:val="18"/>
        <w:szCs w:val="18"/>
      </w:rPr>
      <w:instrText>PAGE   \* MERGEFORMAT</w:instrText>
    </w:r>
    <w:r w:rsidRPr="008A0732">
      <w:rPr>
        <w:sz w:val="18"/>
        <w:szCs w:val="18"/>
      </w:rPr>
      <w:fldChar w:fldCharType="separate"/>
    </w:r>
    <w:r w:rsidR="001641A8">
      <w:rPr>
        <w:noProof/>
        <w:sz w:val="18"/>
        <w:szCs w:val="18"/>
      </w:rPr>
      <w:t>139</w:t>
    </w:r>
    <w:r w:rsidRPr="008A0732">
      <w:rPr>
        <w:sz w:val="18"/>
        <w:szCs w:val="18"/>
      </w:rPr>
      <w:fldChar w:fldCharType="end"/>
    </w:r>
    <w:r>
      <w:rPr>
        <w:sz w:val="18"/>
        <w:szCs w:val="18"/>
      </w:rPr>
      <w:tab/>
    </w:r>
    <w:r w:rsidR="009D7D78">
      <w:rPr>
        <w:sz w:val="18"/>
        <w:szCs w:val="18"/>
      </w:rPr>
      <w:t>Raja NS</w:t>
    </w:r>
    <w:r w:rsidR="00D91D74">
      <w:rPr>
        <w:sz w:val="18"/>
        <w:szCs w:val="18"/>
      </w:rPr>
      <w:t>,</w:t>
    </w:r>
    <w:r w:rsidR="00587F0B">
      <w:rPr>
        <w:sz w:val="18"/>
        <w:szCs w:val="18"/>
      </w:rPr>
      <w:t xml:space="preserve"> </w:t>
    </w:r>
    <w:r w:rsidR="009D7D78" w:rsidRPr="009D7D78">
      <w:rPr>
        <w:sz w:val="18"/>
        <w:szCs w:val="18"/>
        <w:lang w:val="en-US"/>
      </w:rPr>
      <w:t>Epidemiology of anaerobic bloodstream infections</w:t>
    </w:r>
  </w:p>
  <w:p w:rsidR="00F071C3" w:rsidRPr="003F5547" w:rsidRDefault="00F071C3" w:rsidP="00AC096A">
    <w:pPr>
      <w:pStyle w:val="Kopfzeile"/>
      <w:rPr>
        <w:sz w:val="18"/>
        <w:szCs w:val="18"/>
      </w:rPr>
    </w:pPr>
    <w:r>
      <w:rPr>
        <w:noProof/>
        <w:sz w:val="18"/>
        <w:szCs w:val="18"/>
        <w:lang w:eastAsia="tr-TR"/>
      </w:rPr>
      <mc:AlternateContent>
        <mc:Choice Requires="wps">
          <w:drawing>
            <wp:anchor distT="0" distB="0" distL="114300" distR="114300" simplePos="0" relativeHeight="251659264" behindDoc="0" locked="0" layoutInCell="1" allowOverlap="1" wp14:anchorId="3E089EDA" wp14:editId="6BC2EA82">
              <wp:simplePos x="0" y="0"/>
              <wp:positionH relativeFrom="column">
                <wp:posOffset>-28858</wp:posOffset>
              </wp:positionH>
              <wp:positionV relativeFrom="paragraph">
                <wp:posOffset>43221</wp:posOffset>
              </wp:positionV>
              <wp:extent cx="5939790" cy="0"/>
              <wp:effectExtent l="9525" t="8890" r="13335" b="1016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kjP3PikCAAA1BAAADgAAAAAAAAAAAAAAAAAuAgAAZHJzL2Uyb0Rv&#10;Yy54bWxQSwECLQAUAAYACAAAACEAhv7SQdsAAAAGAQAADwAAAAAAAAAAAAAAAACDBAAAZHJzL2Rv&#10;d25yZXYueG1sUEsFBgAAAAAEAAQA8wAAAIs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A6A" w:rsidRPr="00F01A6A" w:rsidRDefault="00F071C3" w:rsidP="00AC096A">
    <w:pPr>
      <w:pStyle w:val="Kopfzeile"/>
      <w:rPr>
        <w:sz w:val="18"/>
        <w:szCs w:val="18"/>
      </w:rPr>
    </w:pPr>
    <w:r>
      <w:rPr>
        <w:sz w:val="18"/>
        <w:szCs w:val="18"/>
      </w:rPr>
      <w:t xml:space="preserve">JMID/ </w:t>
    </w:r>
    <w:r>
      <w:rPr>
        <w:sz w:val="18"/>
        <w:szCs w:val="18"/>
      </w:rPr>
      <w:tab/>
    </w:r>
    <w:r>
      <w:rPr>
        <w:sz w:val="18"/>
        <w:szCs w:val="18"/>
      </w:rPr>
      <w:tab/>
      <w:t xml:space="preserve">              </w:t>
    </w:r>
    <w:r w:rsidR="009402D5">
      <w:rPr>
        <w:sz w:val="18"/>
        <w:szCs w:val="18"/>
      </w:rPr>
      <w:t xml:space="preserve">                            </w:t>
    </w:r>
    <w:r>
      <w:rPr>
        <w:sz w:val="18"/>
        <w:szCs w:val="18"/>
      </w:rPr>
      <w:t xml:space="preserve">     </w:t>
    </w:r>
    <w:r w:rsidR="00F01A6A">
      <w:rPr>
        <w:sz w:val="18"/>
        <w:szCs w:val="18"/>
      </w:rPr>
      <w:t xml:space="preserve">    </w:t>
    </w:r>
    <w:r w:rsidR="00E6333A">
      <w:rPr>
        <w:sz w:val="18"/>
        <w:szCs w:val="18"/>
      </w:rPr>
      <w:t xml:space="preserve">    </w:t>
    </w:r>
    <w:r w:rsidR="00F01A6A">
      <w:rPr>
        <w:sz w:val="18"/>
        <w:szCs w:val="18"/>
      </w:rPr>
      <w:t xml:space="preserve">               </w:t>
    </w:r>
    <w:r w:rsidR="004A3652">
      <w:rPr>
        <w:sz w:val="18"/>
        <w:szCs w:val="18"/>
      </w:rPr>
      <w:t xml:space="preserve"> </w:t>
    </w:r>
    <w:r w:rsidR="00F01A6A">
      <w:rPr>
        <w:sz w:val="18"/>
        <w:szCs w:val="18"/>
      </w:rPr>
      <w:t xml:space="preserve">         </w:t>
    </w:r>
    <w:r>
      <w:rPr>
        <w:sz w:val="18"/>
        <w:szCs w:val="18"/>
      </w:rPr>
      <w:t xml:space="preserve">   </w:t>
    </w:r>
    <w:r w:rsidRPr="00F01A6A">
      <w:rPr>
        <w:sz w:val="18"/>
        <w:szCs w:val="18"/>
      </w:rPr>
      <w:t>201</w:t>
    </w:r>
    <w:r w:rsidR="00951803">
      <w:rPr>
        <w:sz w:val="18"/>
        <w:szCs w:val="18"/>
      </w:rPr>
      <w:t>8</w:t>
    </w:r>
    <w:r w:rsidRPr="00F01A6A">
      <w:rPr>
        <w:sz w:val="18"/>
        <w:szCs w:val="18"/>
      </w:rPr>
      <w:t xml:space="preserve">; </w:t>
    </w:r>
    <w:r w:rsidR="00951803">
      <w:rPr>
        <w:sz w:val="18"/>
        <w:szCs w:val="18"/>
      </w:rPr>
      <w:t>8</w:t>
    </w:r>
    <w:r w:rsidRPr="00F01A6A">
      <w:rPr>
        <w:sz w:val="18"/>
        <w:szCs w:val="18"/>
      </w:rPr>
      <w:t xml:space="preserve"> </w:t>
    </w:r>
    <w:r w:rsidRPr="00746774">
      <w:rPr>
        <w:sz w:val="18"/>
        <w:szCs w:val="18"/>
      </w:rPr>
      <w:t>(</w:t>
    </w:r>
    <w:r w:rsidR="00B07EED">
      <w:rPr>
        <w:sz w:val="18"/>
        <w:szCs w:val="18"/>
      </w:rPr>
      <w:t>4</w:t>
    </w:r>
    <w:r w:rsidR="004A3652" w:rsidRPr="00DA6AC8">
      <w:rPr>
        <w:sz w:val="18"/>
        <w:szCs w:val="18"/>
      </w:rPr>
      <w:t>):</w:t>
    </w:r>
    <w:r w:rsidR="00B07EED">
      <w:rPr>
        <w:sz w:val="18"/>
        <w:szCs w:val="18"/>
      </w:rPr>
      <w:t>135-</w:t>
    </w:r>
    <w:r w:rsidR="009402D5">
      <w:rPr>
        <w:sz w:val="18"/>
        <w:szCs w:val="18"/>
      </w:rPr>
      <w:t>139</w:t>
    </w:r>
  </w:p>
  <w:p w:rsidR="00F071C3" w:rsidRPr="003F5547" w:rsidRDefault="00F071C3" w:rsidP="00AC096A">
    <w:pPr>
      <w:pStyle w:val="Kopfzeile"/>
      <w:rPr>
        <w:sz w:val="18"/>
        <w:szCs w:val="18"/>
      </w:rPr>
    </w:pPr>
    <w:r w:rsidRPr="00F01A6A">
      <w:rPr>
        <w:sz w:val="18"/>
        <w:szCs w:val="18"/>
      </w:rPr>
      <w:t xml:space="preserve">Journal of Microbiology and Infectious Diseases     </w:t>
    </w:r>
    <w:r w:rsidRPr="00F01A6A">
      <w:rPr>
        <w:sz w:val="18"/>
        <w:szCs w:val="18"/>
      </w:rPr>
      <w:tab/>
      <w:t xml:space="preserve">                                                  </w:t>
    </w:r>
    <w:r w:rsidR="000452C4">
      <w:rPr>
        <w:sz w:val="18"/>
        <w:szCs w:val="18"/>
      </w:rPr>
      <w:t xml:space="preserve">        </w:t>
    </w:r>
    <w:r w:rsidR="00E6333A">
      <w:rPr>
        <w:sz w:val="18"/>
        <w:szCs w:val="18"/>
      </w:rPr>
      <w:t xml:space="preserve">          </w:t>
    </w:r>
    <w:r w:rsidR="000452C4">
      <w:rPr>
        <w:sz w:val="18"/>
        <w:szCs w:val="18"/>
      </w:rPr>
      <w:t xml:space="preserve">          </w:t>
    </w:r>
    <w:r w:rsidRPr="00F01A6A">
      <w:rPr>
        <w:sz w:val="18"/>
        <w:szCs w:val="18"/>
      </w:rPr>
      <w:t xml:space="preserve"> </w:t>
    </w:r>
    <w:bookmarkStart w:id="0" w:name="_GoBack"/>
    <w:bookmarkEnd w:id="0"/>
    <w:r w:rsidRPr="00F01A6A">
      <w:rPr>
        <w:sz w:val="18"/>
        <w:szCs w:val="18"/>
      </w:rPr>
      <w:t xml:space="preserve">             doi: </w:t>
    </w:r>
    <w:r w:rsidR="00BE6C72" w:rsidRPr="00BE6C72">
      <w:rPr>
        <w:sz w:val="18"/>
        <w:szCs w:val="18"/>
      </w:rPr>
      <w:t>10.5799/</w:t>
    </w:r>
    <w:r w:rsidR="001641A8" w:rsidRPr="001641A8">
      <w:rPr>
        <w:sz w:val="18"/>
        <w:szCs w:val="18"/>
      </w:rPr>
      <w:t>jmid.493845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C3" w:rsidRPr="008D4FFF" w:rsidRDefault="00F071C3" w:rsidP="001E574E">
    <w:pPr>
      <w:pStyle w:val="Kopfzeile"/>
      <w:rPr>
        <w:b/>
        <w:sz w:val="18"/>
        <w:szCs w:val="18"/>
        <w:lang w:val="en-US"/>
      </w:rPr>
    </w:pPr>
    <w:r w:rsidRPr="003F5547">
      <w:rPr>
        <w:sz w:val="18"/>
        <w:szCs w:val="18"/>
      </w:rPr>
      <w:fldChar w:fldCharType="begin"/>
    </w:r>
    <w:r w:rsidRPr="003F5547">
      <w:rPr>
        <w:sz w:val="18"/>
        <w:szCs w:val="18"/>
      </w:rPr>
      <w:instrText>PAGE   \* MERGEFORMAT</w:instrText>
    </w:r>
    <w:r w:rsidRPr="003F5547">
      <w:rPr>
        <w:sz w:val="18"/>
        <w:szCs w:val="18"/>
      </w:rPr>
      <w:fldChar w:fldCharType="separate"/>
    </w:r>
    <w:r>
      <w:rPr>
        <w:noProof/>
        <w:sz w:val="18"/>
        <w:szCs w:val="18"/>
      </w:rPr>
      <w:t>1</w:t>
    </w:r>
    <w:r w:rsidRPr="003F5547">
      <w:rPr>
        <w:sz w:val="18"/>
        <w:szCs w:val="18"/>
      </w:rPr>
      <w:fldChar w:fldCharType="end"/>
    </w:r>
    <w:r>
      <w:rPr>
        <w:sz w:val="18"/>
        <w:szCs w:val="18"/>
      </w:rPr>
      <w:t xml:space="preserve"> </w:t>
    </w:r>
    <w:r>
      <w:rPr>
        <w:sz w:val="18"/>
        <w:szCs w:val="18"/>
      </w:rPr>
      <w:tab/>
      <w:t>Deşer SB &amp; Demirağ MK,</w:t>
    </w:r>
    <w:r w:rsidRPr="008D4FFF">
      <w:rPr>
        <w:sz w:val="18"/>
        <w:szCs w:val="18"/>
      </w:rPr>
      <w:t xml:space="preserve"> </w:t>
    </w:r>
    <w:r w:rsidRPr="00B36ED8">
      <w:rPr>
        <w:sz w:val="18"/>
        <w:szCs w:val="18"/>
        <w:lang w:val="en-US"/>
      </w:rPr>
      <w:t>Management of Atrial Thrombus</w:t>
    </w:r>
  </w:p>
  <w:p w:rsidR="00F071C3" w:rsidRPr="003F5547" w:rsidRDefault="00F071C3" w:rsidP="001E574E">
    <w:pPr>
      <w:pStyle w:val="Kopfzeile"/>
      <w:rPr>
        <w:sz w:val="18"/>
        <w:szCs w:val="18"/>
      </w:rPr>
    </w:pPr>
    <w:r>
      <w:rPr>
        <w:noProof/>
        <w:sz w:val="18"/>
        <w:szCs w:val="18"/>
        <w:lang w:eastAsia="tr-TR"/>
      </w:rPr>
      <mc:AlternateContent>
        <mc:Choice Requires="wps">
          <w:drawing>
            <wp:anchor distT="0" distB="0" distL="114300" distR="114300" simplePos="0" relativeHeight="251664384" behindDoc="0" locked="0" layoutInCell="1" allowOverlap="1" wp14:anchorId="3B6E37F3" wp14:editId="0E653946">
              <wp:simplePos x="0" y="0"/>
              <wp:positionH relativeFrom="column">
                <wp:posOffset>-28858</wp:posOffset>
              </wp:positionH>
              <wp:positionV relativeFrom="paragraph">
                <wp:posOffset>43221</wp:posOffset>
              </wp:positionV>
              <wp:extent cx="5939790" cy="0"/>
              <wp:effectExtent l="9525" t="8890" r="13335" b="101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QXOVVSkCAAA1BAAADgAAAAAAAAAAAAAAAAAuAgAAZHJzL2Uyb0Rv&#10;Yy54bWxQSwECLQAUAAYACAAAACEAhv7SQd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997"/>
    <w:multiLevelType w:val="hybridMultilevel"/>
    <w:tmpl w:val="C14A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F180A"/>
    <w:multiLevelType w:val="hybridMultilevel"/>
    <w:tmpl w:val="F33AB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24"/>
    <w:rsid w:val="00003B0E"/>
    <w:rsid w:val="00030A2B"/>
    <w:rsid w:val="000343A5"/>
    <w:rsid w:val="00040F5B"/>
    <w:rsid w:val="000452C4"/>
    <w:rsid w:val="00045425"/>
    <w:rsid w:val="00045879"/>
    <w:rsid w:val="00045B2C"/>
    <w:rsid w:val="00045F0F"/>
    <w:rsid w:val="000514C8"/>
    <w:rsid w:val="00064AAC"/>
    <w:rsid w:val="00065A46"/>
    <w:rsid w:val="000818B5"/>
    <w:rsid w:val="00096E5B"/>
    <w:rsid w:val="000A5FB7"/>
    <w:rsid w:val="000B5DAA"/>
    <w:rsid w:val="000C0257"/>
    <w:rsid w:val="000C1F12"/>
    <w:rsid w:val="000D1B35"/>
    <w:rsid w:val="000D7970"/>
    <w:rsid w:val="000F1315"/>
    <w:rsid w:val="000F3628"/>
    <w:rsid w:val="000F50EC"/>
    <w:rsid w:val="000F5207"/>
    <w:rsid w:val="00104A0D"/>
    <w:rsid w:val="0011012F"/>
    <w:rsid w:val="0011443B"/>
    <w:rsid w:val="0012463F"/>
    <w:rsid w:val="0012536C"/>
    <w:rsid w:val="0013628C"/>
    <w:rsid w:val="001415F1"/>
    <w:rsid w:val="00144302"/>
    <w:rsid w:val="0014462D"/>
    <w:rsid w:val="001559F2"/>
    <w:rsid w:val="00156F95"/>
    <w:rsid w:val="00161795"/>
    <w:rsid w:val="00161FDB"/>
    <w:rsid w:val="0016287B"/>
    <w:rsid w:val="00163624"/>
    <w:rsid w:val="001641A8"/>
    <w:rsid w:val="00166847"/>
    <w:rsid w:val="0017252B"/>
    <w:rsid w:val="00174F06"/>
    <w:rsid w:val="00184412"/>
    <w:rsid w:val="00197666"/>
    <w:rsid w:val="001A11EE"/>
    <w:rsid w:val="001A2E85"/>
    <w:rsid w:val="001A4DB2"/>
    <w:rsid w:val="001B0CE5"/>
    <w:rsid w:val="001B30C0"/>
    <w:rsid w:val="001B4203"/>
    <w:rsid w:val="001D39F6"/>
    <w:rsid w:val="001E574E"/>
    <w:rsid w:val="001F0918"/>
    <w:rsid w:val="001F4A92"/>
    <w:rsid w:val="00210CA8"/>
    <w:rsid w:val="002150E0"/>
    <w:rsid w:val="002159A9"/>
    <w:rsid w:val="002212BB"/>
    <w:rsid w:val="00236B53"/>
    <w:rsid w:val="002577E3"/>
    <w:rsid w:val="002730D3"/>
    <w:rsid w:val="002A0773"/>
    <w:rsid w:val="002A0C8D"/>
    <w:rsid w:val="002A5425"/>
    <w:rsid w:val="002C4C9F"/>
    <w:rsid w:val="00303FF6"/>
    <w:rsid w:val="00305D85"/>
    <w:rsid w:val="00325631"/>
    <w:rsid w:val="00330788"/>
    <w:rsid w:val="003335C7"/>
    <w:rsid w:val="003354E7"/>
    <w:rsid w:val="00342E90"/>
    <w:rsid w:val="00343B30"/>
    <w:rsid w:val="00344DBC"/>
    <w:rsid w:val="00352A60"/>
    <w:rsid w:val="00362768"/>
    <w:rsid w:val="003648DF"/>
    <w:rsid w:val="003667CB"/>
    <w:rsid w:val="00370C1B"/>
    <w:rsid w:val="00370DC0"/>
    <w:rsid w:val="00371B17"/>
    <w:rsid w:val="00377BCB"/>
    <w:rsid w:val="00381DDF"/>
    <w:rsid w:val="00381FA5"/>
    <w:rsid w:val="003832FE"/>
    <w:rsid w:val="00385FC6"/>
    <w:rsid w:val="003946D0"/>
    <w:rsid w:val="00395B3B"/>
    <w:rsid w:val="003A35D5"/>
    <w:rsid w:val="003A3B75"/>
    <w:rsid w:val="003A57B2"/>
    <w:rsid w:val="003A7F10"/>
    <w:rsid w:val="003B6996"/>
    <w:rsid w:val="003C2ED9"/>
    <w:rsid w:val="003C668C"/>
    <w:rsid w:val="003D29FE"/>
    <w:rsid w:val="003E103C"/>
    <w:rsid w:val="003E4B4B"/>
    <w:rsid w:val="003F5547"/>
    <w:rsid w:val="003F570C"/>
    <w:rsid w:val="003F731B"/>
    <w:rsid w:val="00400891"/>
    <w:rsid w:val="0040093D"/>
    <w:rsid w:val="00407504"/>
    <w:rsid w:val="0042228A"/>
    <w:rsid w:val="00423F8F"/>
    <w:rsid w:val="00424260"/>
    <w:rsid w:val="00432B47"/>
    <w:rsid w:val="00435F20"/>
    <w:rsid w:val="004444CF"/>
    <w:rsid w:val="0044766A"/>
    <w:rsid w:val="00452A95"/>
    <w:rsid w:val="00463A9D"/>
    <w:rsid w:val="00470A54"/>
    <w:rsid w:val="00471D1A"/>
    <w:rsid w:val="0047251D"/>
    <w:rsid w:val="00474F30"/>
    <w:rsid w:val="00484C3F"/>
    <w:rsid w:val="00485D39"/>
    <w:rsid w:val="00494471"/>
    <w:rsid w:val="004A23FB"/>
    <w:rsid w:val="004A3652"/>
    <w:rsid w:val="004B0613"/>
    <w:rsid w:val="004B7AE7"/>
    <w:rsid w:val="004C5EE0"/>
    <w:rsid w:val="004D5CE1"/>
    <w:rsid w:val="005005F3"/>
    <w:rsid w:val="00501801"/>
    <w:rsid w:val="005128BC"/>
    <w:rsid w:val="00513387"/>
    <w:rsid w:val="0052445B"/>
    <w:rsid w:val="0054197B"/>
    <w:rsid w:val="00545015"/>
    <w:rsid w:val="00554C6B"/>
    <w:rsid w:val="0055677F"/>
    <w:rsid w:val="00564DFF"/>
    <w:rsid w:val="00580D92"/>
    <w:rsid w:val="00583021"/>
    <w:rsid w:val="00587F0B"/>
    <w:rsid w:val="005A0CA2"/>
    <w:rsid w:val="005A18BF"/>
    <w:rsid w:val="005B42B1"/>
    <w:rsid w:val="005B46B9"/>
    <w:rsid w:val="005D5518"/>
    <w:rsid w:val="005D7576"/>
    <w:rsid w:val="005F0EAD"/>
    <w:rsid w:val="006023A3"/>
    <w:rsid w:val="00604DA5"/>
    <w:rsid w:val="00613141"/>
    <w:rsid w:val="00614DCF"/>
    <w:rsid w:val="0062017E"/>
    <w:rsid w:val="0062080C"/>
    <w:rsid w:val="006227DB"/>
    <w:rsid w:val="0062422A"/>
    <w:rsid w:val="006269F5"/>
    <w:rsid w:val="0063510F"/>
    <w:rsid w:val="00657A0E"/>
    <w:rsid w:val="006804E5"/>
    <w:rsid w:val="00681EDD"/>
    <w:rsid w:val="006A0B11"/>
    <w:rsid w:val="006A78B3"/>
    <w:rsid w:val="006A7BD6"/>
    <w:rsid w:val="006A7FCD"/>
    <w:rsid w:val="006B7CA8"/>
    <w:rsid w:val="006C224F"/>
    <w:rsid w:val="006C4F35"/>
    <w:rsid w:val="006C6E65"/>
    <w:rsid w:val="006F6E96"/>
    <w:rsid w:val="007015C3"/>
    <w:rsid w:val="0070400A"/>
    <w:rsid w:val="0070634A"/>
    <w:rsid w:val="0071029E"/>
    <w:rsid w:val="00712A8C"/>
    <w:rsid w:val="00721F2A"/>
    <w:rsid w:val="007308B7"/>
    <w:rsid w:val="00731C2D"/>
    <w:rsid w:val="007321E8"/>
    <w:rsid w:val="00735FF1"/>
    <w:rsid w:val="00745765"/>
    <w:rsid w:val="00746774"/>
    <w:rsid w:val="00750FFB"/>
    <w:rsid w:val="007605A5"/>
    <w:rsid w:val="00762488"/>
    <w:rsid w:val="00764966"/>
    <w:rsid w:val="007B0EA8"/>
    <w:rsid w:val="007B158C"/>
    <w:rsid w:val="007B2212"/>
    <w:rsid w:val="007B52A4"/>
    <w:rsid w:val="007C3708"/>
    <w:rsid w:val="007C487C"/>
    <w:rsid w:val="007C4CDE"/>
    <w:rsid w:val="007D1E8F"/>
    <w:rsid w:val="007F0D2A"/>
    <w:rsid w:val="007F41E4"/>
    <w:rsid w:val="008153EB"/>
    <w:rsid w:val="00824DE7"/>
    <w:rsid w:val="00826AC6"/>
    <w:rsid w:val="00830F79"/>
    <w:rsid w:val="00834B47"/>
    <w:rsid w:val="00837227"/>
    <w:rsid w:val="008436ED"/>
    <w:rsid w:val="00845BEB"/>
    <w:rsid w:val="00865DDD"/>
    <w:rsid w:val="008811BA"/>
    <w:rsid w:val="00882349"/>
    <w:rsid w:val="00883184"/>
    <w:rsid w:val="00886B79"/>
    <w:rsid w:val="00894E3F"/>
    <w:rsid w:val="008A0732"/>
    <w:rsid w:val="008A2C9A"/>
    <w:rsid w:val="008A3C58"/>
    <w:rsid w:val="008A403E"/>
    <w:rsid w:val="008B3CBA"/>
    <w:rsid w:val="008D4FFF"/>
    <w:rsid w:val="008E0F4B"/>
    <w:rsid w:val="00902B11"/>
    <w:rsid w:val="00906C07"/>
    <w:rsid w:val="00913837"/>
    <w:rsid w:val="00916BFE"/>
    <w:rsid w:val="009273CC"/>
    <w:rsid w:val="00934F2B"/>
    <w:rsid w:val="009402D5"/>
    <w:rsid w:val="00951803"/>
    <w:rsid w:val="00954ED8"/>
    <w:rsid w:val="00967339"/>
    <w:rsid w:val="00977EB3"/>
    <w:rsid w:val="009822A9"/>
    <w:rsid w:val="00984D7A"/>
    <w:rsid w:val="00986DD9"/>
    <w:rsid w:val="009946E2"/>
    <w:rsid w:val="009A4F7A"/>
    <w:rsid w:val="009C09D3"/>
    <w:rsid w:val="009C6B25"/>
    <w:rsid w:val="009D7D78"/>
    <w:rsid w:val="009E3E1C"/>
    <w:rsid w:val="009F6381"/>
    <w:rsid w:val="00A04FEE"/>
    <w:rsid w:val="00A05BC2"/>
    <w:rsid w:val="00A20E6D"/>
    <w:rsid w:val="00A225B9"/>
    <w:rsid w:val="00A2302E"/>
    <w:rsid w:val="00A40F9A"/>
    <w:rsid w:val="00A50A9D"/>
    <w:rsid w:val="00A57898"/>
    <w:rsid w:val="00A62E57"/>
    <w:rsid w:val="00A815B8"/>
    <w:rsid w:val="00A9082A"/>
    <w:rsid w:val="00A94347"/>
    <w:rsid w:val="00AA327F"/>
    <w:rsid w:val="00AC096A"/>
    <w:rsid w:val="00AC3BBF"/>
    <w:rsid w:val="00AD776C"/>
    <w:rsid w:val="00AE38E1"/>
    <w:rsid w:val="00AF345B"/>
    <w:rsid w:val="00B07EED"/>
    <w:rsid w:val="00B11580"/>
    <w:rsid w:val="00B1203D"/>
    <w:rsid w:val="00B12347"/>
    <w:rsid w:val="00B35B16"/>
    <w:rsid w:val="00B36ED8"/>
    <w:rsid w:val="00B43A40"/>
    <w:rsid w:val="00B4410A"/>
    <w:rsid w:val="00B52473"/>
    <w:rsid w:val="00B5467D"/>
    <w:rsid w:val="00B55886"/>
    <w:rsid w:val="00B55F57"/>
    <w:rsid w:val="00B73D62"/>
    <w:rsid w:val="00B83168"/>
    <w:rsid w:val="00B97A24"/>
    <w:rsid w:val="00BA5459"/>
    <w:rsid w:val="00BD2899"/>
    <w:rsid w:val="00BE0E94"/>
    <w:rsid w:val="00BE4ABC"/>
    <w:rsid w:val="00BE6C72"/>
    <w:rsid w:val="00BF14D6"/>
    <w:rsid w:val="00C225BD"/>
    <w:rsid w:val="00C246BD"/>
    <w:rsid w:val="00C25552"/>
    <w:rsid w:val="00C3269D"/>
    <w:rsid w:val="00C33AB9"/>
    <w:rsid w:val="00C34C44"/>
    <w:rsid w:val="00C42AF6"/>
    <w:rsid w:val="00C50125"/>
    <w:rsid w:val="00C66362"/>
    <w:rsid w:val="00C82D0B"/>
    <w:rsid w:val="00C911A9"/>
    <w:rsid w:val="00CA2D35"/>
    <w:rsid w:val="00CA390C"/>
    <w:rsid w:val="00CB699F"/>
    <w:rsid w:val="00CB7761"/>
    <w:rsid w:val="00CC0B36"/>
    <w:rsid w:val="00CC4621"/>
    <w:rsid w:val="00CC4D1E"/>
    <w:rsid w:val="00CD67DB"/>
    <w:rsid w:val="00CF20A1"/>
    <w:rsid w:val="00CF3009"/>
    <w:rsid w:val="00CF56B8"/>
    <w:rsid w:val="00CF7012"/>
    <w:rsid w:val="00D01290"/>
    <w:rsid w:val="00D0775A"/>
    <w:rsid w:val="00D1050F"/>
    <w:rsid w:val="00D20189"/>
    <w:rsid w:val="00D337EA"/>
    <w:rsid w:val="00D46CB9"/>
    <w:rsid w:val="00D504AB"/>
    <w:rsid w:val="00D75881"/>
    <w:rsid w:val="00D84836"/>
    <w:rsid w:val="00D91D74"/>
    <w:rsid w:val="00DA09C4"/>
    <w:rsid w:val="00DA6AC8"/>
    <w:rsid w:val="00DB38C8"/>
    <w:rsid w:val="00DB5095"/>
    <w:rsid w:val="00DB5F39"/>
    <w:rsid w:val="00DB60AA"/>
    <w:rsid w:val="00DD648F"/>
    <w:rsid w:val="00E0014F"/>
    <w:rsid w:val="00E0626F"/>
    <w:rsid w:val="00E15A52"/>
    <w:rsid w:val="00E213A9"/>
    <w:rsid w:val="00E4433B"/>
    <w:rsid w:val="00E6333A"/>
    <w:rsid w:val="00E8329B"/>
    <w:rsid w:val="00EA3D25"/>
    <w:rsid w:val="00EA63C4"/>
    <w:rsid w:val="00EB247D"/>
    <w:rsid w:val="00EC4D65"/>
    <w:rsid w:val="00ED2ACA"/>
    <w:rsid w:val="00ED3F2A"/>
    <w:rsid w:val="00ED641B"/>
    <w:rsid w:val="00EE68F7"/>
    <w:rsid w:val="00F01A6A"/>
    <w:rsid w:val="00F0237B"/>
    <w:rsid w:val="00F071C3"/>
    <w:rsid w:val="00F168F3"/>
    <w:rsid w:val="00F16A8E"/>
    <w:rsid w:val="00F31A05"/>
    <w:rsid w:val="00F34D72"/>
    <w:rsid w:val="00F41773"/>
    <w:rsid w:val="00F43CA2"/>
    <w:rsid w:val="00F45BC2"/>
    <w:rsid w:val="00F50A67"/>
    <w:rsid w:val="00F716F1"/>
    <w:rsid w:val="00FA31A3"/>
    <w:rsid w:val="00FB2043"/>
    <w:rsid w:val="00FB7B82"/>
    <w:rsid w:val="00FC66EE"/>
    <w:rsid w:val="00FE0BFC"/>
    <w:rsid w:val="00FE2D7E"/>
    <w:rsid w:val="00FF4A81"/>
    <w:rsid w:val="00FF4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4C5EE0"/>
    <w:rPr>
      <w:sz w:val="16"/>
      <w:szCs w:val="16"/>
    </w:rPr>
  </w:style>
  <w:style w:type="paragraph" w:styleId="Kommentartext">
    <w:name w:val="annotation text"/>
    <w:basedOn w:val="Standard"/>
    <w:link w:val="KommentartextZchn"/>
    <w:uiPriority w:val="99"/>
    <w:semiHidden/>
    <w:unhideWhenUsed/>
    <w:rsid w:val="004C5E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5EE0"/>
    <w:rPr>
      <w:sz w:val="20"/>
      <w:szCs w:val="20"/>
    </w:rPr>
  </w:style>
  <w:style w:type="paragraph" w:styleId="Kommentarthema">
    <w:name w:val="annotation subject"/>
    <w:basedOn w:val="Kommentartext"/>
    <w:next w:val="Kommentartext"/>
    <w:link w:val="KommentarthemaZchn"/>
    <w:uiPriority w:val="99"/>
    <w:semiHidden/>
    <w:unhideWhenUsed/>
    <w:rsid w:val="004C5EE0"/>
    <w:rPr>
      <w:b/>
      <w:bCs/>
    </w:rPr>
  </w:style>
  <w:style w:type="character" w:customStyle="1" w:styleId="KommentarthemaZchn">
    <w:name w:val="Kommentarthema Zchn"/>
    <w:basedOn w:val="KommentartextZchn"/>
    <w:link w:val="Kommentarthema"/>
    <w:uiPriority w:val="99"/>
    <w:semiHidden/>
    <w:rsid w:val="004C5EE0"/>
    <w:rPr>
      <w:b/>
      <w:bCs/>
      <w:sz w:val="20"/>
      <w:szCs w:val="20"/>
    </w:rPr>
  </w:style>
  <w:style w:type="table" w:customStyle="1" w:styleId="Tabellenraster1">
    <w:name w:val="Tabellenraster1"/>
    <w:basedOn w:val="NormaleTabelle"/>
    <w:next w:val="Tabellenraster"/>
    <w:uiPriority w:val="59"/>
    <w:rsid w:val="00CC4D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4C5EE0"/>
    <w:rPr>
      <w:sz w:val="16"/>
      <w:szCs w:val="16"/>
    </w:rPr>
  </w:style>
  <w:style w:type="paragraph" w:styleId="Kommentartext">
    <w:name w:val="annotation text"/>
    <w:basedOn w:val="Standard"/>
    <w:link w:val="KommentartextZchn"/>
    <w:uiPriority w:val="99"/>
    <w:semiHidden/>
    <w:unhideWhenUsed/>
    <w:rsid w:val="004C5E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5EE0"/>
    <w:rPr>
      <w:sz w:val="20"/>
      <w:szCs w:val="20"/>
    </w:rPr>
  </w:style>
  <w:style w:type="paragraph" w:styleId="Kommentarthema">
    <w:name w:val="annotation subject"/>
    <w:basedOn w:val="Kommentartext"/>
    <w:next w:val="Kommentartext"/>
    <w:link w:val="KommentarthemaZchn"/>
    <w:uiPriority w:val="99"/>
    <w:semiHidden/>
    <w:unhideWhenUsed/>
    <w:rsid w:val="004C5EE0"/>
    <w:rPr>
      <w:b/>
      <w:bCs/>
    </w:rPr>
  </w:style>
  <w:style w:type="character" w:customStyle="1" w:styleId="KommentarthemaZchn">
    <w:name w:val="Kommentarthema Zchn"/>
    <w:basedOn w:val="KommentartextZchn"/>
    <w:link w:val="Kommentarthema"/>
    <w:uiPriority w:val="99"/>
    <w:semiHidden/>
    <w:rsid w:val="004C5EE0"/>
    <w:rPr>
      <w:b/>
      <w:bCs/>
      <w:sz w:val="20"/>
      <w:szCs w:val="20"/>
    </w:rPr>
  </w:style>
  <w:style w:type="table" w:customStyle="1" w:styleId="Tabellenraster1">
    <w:name w:val="Tabellenraster1"/>
    <w:basedOn w:val="NormaleTabelle"/>
    <w:next w:val="Tabellenraster"/>
    <w:uiPriority w:val="59"/>
    <w:rsid w:val="00CC4D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41EE-1404-4C98-A09E-6D9A5F90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2822</Words>
  <Characters>16088</Characters>
  <Application>Microsoft Office Word</Application>
  <DocSecurity>0</DocSecurity>
  <Lines>134</Lines>
  <Paragraphs>37</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Windows User</cp:lastModifiedBy>
  <cp:revision>21</cp:revision>
  <cp:lastPrinted>2018-12-07T20:53:00Z</cp:lastPrinted>
  <dcterms:created xsi:type="dcterms:W3CDTF">2018-11-29T21:24:00Z</dcterms:created>
  <dcterms:modified xsi:type="dcterms:W3CDTF">2018-12-07T23:25:00Z</dcterms:modified>
</cp:coreProperties>
</file>