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DB" w:rsidRPr="005000DB" w:rsidRDefault="005000DB" w:rsidP="00F02FD3">
      <w:pPr>
        <w:spacing w:before="240" w:after="120" w:line="200" w:lineRule="atLeast"/>
        <w:rPr>
          <w:rFonts w:ascii="Cambria" w:hAnsi="Cambria"/>
          <w:sz w:val="32"/>
          <w:szCs w:val="32"/>
        </w:rPr>
      </w:pPr>
      <w:r w:rsidRPr="005000DB">
        <w:rPr>
          <w:rFonts w:ascii="Cambria" w:hAnsi="Cambria"/>
          <w:sz w:val="32"/>
          <w:szCs w:val="32"/>
          <w:lang w:val="en-US"/>
        </w:rPr>
        <w:t>Development of Metacognitive Skills Inventory for Internet Search (MSIIS): Exploratory and Confirmator</w:t>
      </w:r>
      <w:bookmarkStart w:id="0" w:name="_GoBack"/>
      <w:bookmarkEnd w:id="0"/>
      <w:r w:rsidRPr="005000DB">
        <w:rPr>
          <w:rFonts w:ascii="Cambria" w:hAnsi="Cambria"/>
          <w:sz w:val="32"/>
          <w:szCs w:val="32"/>
          <w:lang w:val="en-US"/>
        </w:rPr>
        <w:t>y Factor Analyses</w:t>
      </w:r>
      <w:r w:rsidR="002577D0">
        <w:rPr>
          <w:rStyle w:val="FootnoteReference"/>
          <w:rFonts w:ascii="Cambria" w:hAnsi="Cambria"/>
          <w:sz w:val="32"/>
          <w:szCs w:val="32"/>
          <w:lang w:val="en-US"/>
        </w:rPr>
        <w:footnoteReference w:id="1"/>
      </w:r>
    </w:p>
    <w:p w:rsidR="005000DB" w:rsidRPr="005000DB" w:rsidRDefault="005000DB" w:rsidP="00F02FD3">
      <w:pPr>
        <w:spacing w:before="240" w:after="120" w:line="200" w:lineRule="atLeast"/>
        <w:rPr>
          <w:rFonts w:ascii="Cambria" w:hAnsi="Cambria"/>
          <w:sz w:val="32"/>
          <w:szCs w:val="32"/>
          <w:lang w:val="en-US"/>
        </w:rPr>
      </w:pPr>
      <w:r w:rsidRPr="005000DB">
        <w:rPr>
          <w:rFonts w:ascii="Cambria" w:hAnsi="Cambria"/>
          <w:sz w:val="32"/>
          <w:szCs w:val="32"/>
          <w:lang w:val="en-US"/>
        </w:rPr>
        <w:t xml:space="preserve">İnternet </w:t>
      </w:r>
      <w:proofErr w:type="spellStart"/>
      <w:r w:rsidRPr="005000DB">
        <w:rPr>
          <w:rFonts w:ascii="Cambria" w:hAnsi="Cambria"/>
          <w:sz w:val="32"/>
          <w:szCs w:val="32"/>
          <w:lang w:val="en-US"/>
        </w:rPr>
        <w:t>Aramalarında</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Üstbilişsel</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Beceriler</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Envanterinin</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Geliştirilmesi</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Açımlayıcı</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ve</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Doğrulayıcı</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Faktör</w:t>
      </w:r>
      <w:proofErr w:type="spellEnd"/>
      <w:r w:rsidRPr="005000DB">
        <w:rPr>
          <w:rFonts w:ascii="Cambria" w:hAnsi="Cambria"/>
          <w:sz w:val="32"/>
          <w:szCs w:val="32"/>
          <w:lang w:val="en-US"/>
        </w:rPr>
        <w:t xml:space="preserve"> </w:t>
      </w:r>
      <w:proofErr w:type="spellStart"/>
      <w:r w:rsidRPr="005000DB">
        <w:rPr>
          <w:rFonts w:ascii="Cambria" w:hAnsi="Cambria"/>
          <w:sz w:val="32"/>
          <w:szCs w:val="32"/>
          <w:lang w:val="en-US"/>
        </w:rPr>
        <w:t>Analizleri</w:t>
      </w:r>
      <w:proofErr w:type="spellEnd"/>
      <w:r w:rsidRPr="005000DB">
        <w:rPr>
          <w:rFonts w:ascii="Cambria" w:hAnsi="Cambria"/>
          <w:sz w:val="32"/>
          <w:szCs w:val="32"/>
          <w:lang w:val="en-US"/>
        </w:rPr>
        <w:t xml:space="preserve"> </w:t>
      </w:r>
    </w:p>
    <w:p w:rsidR="00136A0D" w:rsidRPr="00136A0D" w:rsidRDefault="00136A0D" w:rsidP="00136A0D">
      <w:pPr>
        <w:spacing w:after="0" w:line="240" w:lineRule="auto"/>
        <w:rPr>
          <w:rFonts w:ascii="Cambria" w:hAnsi="Cambria"/>
          <w:i/>
          <w:sz w:val="20"/>
          <w:szCs w:val="20"/>
        </w:rPr>
      </w:pPr>
      <w:proofErr w:type="spellStart"/>
      <w:r w:rsidRPr="00136A0D">
        <w:rPr>
          <w:rFonts w:ascii="Cambria" w:hAnsi="Cambria"/>
          <w:b/>
          <w:sz w:val="20"/>
          <w:szCs w:val="20"/>
          <w:lang w:val="en-US"/>
        </w:rPr>
        <w:t>Emine</w:t>
      </w:r>
      <w:proofErr w:type="spellEnd"/>
      <w:r w:rsidRPr="00136A0D">
        <w:rPr>
          <w:rFonts w:ascii="Cambria" w:hAnsi="Cambria"/>
          <w:b/>
          <w:sz w:val="20"/>
          <w:szCs w:val="20"/>
          <w:lang w:val="en-US"/>
        </w:rPr>
        <w:t xml:space="preserve"> </w:t>
      </w:r>
      <w:proofErr w:type="spellStart"/>
      <w:r w:rsidRPr="00136A0D">
        <w:rPr>
          <w:rFonts w:ascii="Cambria" w:hAnsi="Cambria"/>
          <w:b/>
          <w:sz w:val="20"/>
          <w:szCs w:val="20"/>
          <w:lang w:val="en-US"/>
        </w:rPr>
        <w:t>Şendurur</w:t>
      </w:r>
      <w:proofErr w:type="spellEnd"/>
      <w:r w:rsidRPr="00136A0D">
        <w:rPr>
          <w:rFonts w:ascii="Cambria" w:hAnsi="Cambria"/>
          <w:b/>
          <w:sz w:val="20"/>
          <w:szCs w:val="20"/>
          <w:lang w:val="en-US"/>
        </w:rPr>
        <w:t xml:space="preserve">, </w:t>
      </w:r>
      <w:proofErr w:type="spellStart"/>
      <w:r w:rsidRPr="00136A0D">
        <w:rPr>
          <w:rFonts w:ascii="Cambria" w:hAnsi="Cambria"/>
          <w:i/>
          <w:sz w:val="20"/>
          <w:szCs w:val="20"/>
          <w:lang w:val="en-US"/>
        </w:rPr>
        <w:t>Ondokuz</w:t>
      </w:r>
      <w:proofErr w:type="spellEnd"/>
      <w:r w:rsidRPr="00136A0D">
        <w:rPr>
          <w:rFonts w:ascii="Cambria" w:hAnsi="Cambria"/>
          <w:i/>
          <w:sz w:val="20"/>
          <w:szCs w:val="20"/>
          <w:lang w:val="en-US"/>
        </w:rPr>
        <w:t xml:space="preserve"> </w:t>
      </w:r>
      <w:proofErr w:type="spellStart"/>
      <w:r w:rsidRPr="00136A0D">
        <w:rPr>
          <w:rFonts w:ascii="Cambria" w:hAnsi="Cambria"/>
          <w:i/>
          <w:sz w:val="20"/>
          <w:szCs w:val="20"/>
          <w:lang w:val="en-US"/>
        </w:rPr>
        <w:t>Mayıs</w:t>
      </w:r>
      <w:proofErr w:type="spellEnd"/>
      <w:r w:rsidRPr="00136A0D">
        <w:rPr>
          <w:rFonts w:ascii="Cambria" w:hAnsi="Cambria"/>
          <w:i/>
          <w:sz w:val="20"/>
          <w:szCs w:val="20"/>
          <w:lang w:val="en-US"/>
        </w:rPr>
        <w:t xml:space="preserve"> </w:t>
      </w:r>
      <w:proofErr w:type="spellStart"/>
      <w:r w:rsidRPr="00136A0D">
        <w:rPr>
          <w:rFonts w:ascii="Cambria" w:hAnsi="Cambria"/>
          <w:i/>
          <w:sz w:val="20"/>
          <w:szCs w:val="20"/>
          <w:lang w:val="en-US"/>
        </w:rPr>
        <w:t>Üniversitesi</w:t>
      </w:r>
      <w:proofErr w:type="spellEnd"/>
      <w:r w:rsidRPr="00136A0D">
        <w:rPr>
          <w:rFonts w:ascii="Cambria" w:hAnsi="Cambria"/>
          <w:i/>
          <w:sz w:val="20"/>
          <w:szCs w:val="20"/>
          <w:lang w:val="en-US"/>
        </w:rPr>
        <w:t>,</w:t>
      </w:r>
      <w:r w:rsidRPr="00136A0D">
        <w:rPr>
          <w:rFonts w:ascii="Cambria" w:hAnsi="Cambria"/>
          <w:sz w:val="20"/>
          <w:szCs w:val="20"/>
          <w:lang w:val="en-US"/>
        </w:rPr>
        <w:t xml:space="preserve"> </w:t>
      </w:r>
      <w:hyperlink r:id="rId7" w:history="1">
        <w:r w:rsidR="00F02FD3" w:rsidRPr="003463ED">
          <w:rPr>
            <w:rStyle w:val="Hyperlink"/>
            <w:rFonts w:ascii="Cambria" w:hAnsi="Cambria"/>
            <w:i/>
            <w:sz w:val="20"/>
            <w:szCs w:val="20"/>
            <w:lang w:val="en-US"/>
          </w:rPr>
          <w:t>eminesendurur@gmail.com</w:t>
        </w:r>
      </w:hyperlink>
      <w:r w:rsidR="00F02FD3">
        <w:rPr>
          <w:rStyle w:val="Hyperlink"/>
          <w:rFonts w:ascii="Cambria" w:hAnsi="Cambria"/>
          <w:i/>
          <w:color w:val="auto"/>
          <w:sz w:val="20"/>
          <w:szCs w:val="20"/>
          <w:u w:val="none"/>
          <w:lang w:val="en-US"/>
        </w:rPr>
        <w:t xml:space="preserve">, </w:t>
      </w:r>
      <w:r w:rsidR="00F02FD3" w:rsidRPr="00F02FD3">
        <w:rPr>
          <w:rStyle w:val="Hyperlink"/>
          <w:rFonts w:ascii="Cambria" w:hAnsi="Cambria"/>
          <w:color w:val="auto"/>
          <w:sz w:val="20"/>
          <w:szCs w:val="20"/>
          <w:u w:val="none"/>
          <w:lang w:val="en-US"/>
        </w:rPr>
        <w:t>O</w:t>
      </w:r>
      <w:r w:rsidR="00F02FD3">
        <w:rPr>
          <w:rStyle w:val="Hyperlink"/>
          <w:rFonts w:ascii="Cambria" w:hAnsi="Cambria"/>
          <w:color w:val="auto"/>
          <w:sz w:val="20"/>
          <w:szCs w:val="20"/>
          <w:u w:val="none"/>
          <w:lang w:val="en-US"/>
        </w:rPr>
        <w:t>RCID</w:t>
      </w:r>
      <w:r w:rsidR="00F02FD3" w:rsidRPr="00F02FD3">
        <w:rPr>
          <w:rStyle w:val="Hyperlink"/>
          <w:rFonts w:ascii="Cambria" w:hAnsi="Cambria"/>
          <w:color w:val="auto"/>
          <w:sz w:val="20"/>
          <w:szCs w:val="20"/>
          <w:u w:val="none"/>
          <w:lang w:val="en-US"/>
        </w:rPr>
        <w:t>: 0000-0002-0340-6378</w:t>
      </w:r>
      <w:r w:rsidRPr="00C23312">
        <w:rPr>
          <w:rFonts w:ascii="Cambria" w:hAnsi="Cambria"/>
          <w:i/>
          <w:sz w:val="20"/>
          <w:szCs w:val="20"/>
          <w:lang w:val="en-US"/>
        </w:rPr>
        <w:t xml:space="preserve"> </w:t>
      </w:r>
    </w:p>
    <w:p w:rsidR="000F5FB8" w:rsidRPr="00391A61" w:rsidRDefault="00136A0D" w:rsidP="00136A0D">
      <w:pPr>
        <w:spacing w:after="0" w:line="240" w:lineRule="auto"/>
        <w:rPr>
          <w:rFonts w:ascii="Cambria" w:eastAsia="Calibri" w:hAnsi="Cambria" w:cs="Times New Roman"/>
          <w:i/>
          <w:sz w:val="20"/>
          <w:szCs w:val="20"/>
        </w:rPr>
      </w:pPr>
      <w:proofErr w:type="spellStart"/>
      <w:r w:rsidRPr="00136A0D">
        <w:rPr>
          <w:rFonts w:ascii="Cambria" w:hAnsi="Cambria"/>
          <w:b/>
          <w:sz w:val="20"/>
          <w:szCs w:val="20"/>
          <w:lang w:val="en-US"/>
        </w:rPr>
        <w:t>Zahide</w:t>
      </w:r>
      <w:proofErr w:type="spellEnd"/>
      <w:r w:rsidRPr="00136A0D">
        <w:rPr>
          <w:rFonts w:ascii="Cambria" w:hAnsi="Cambria"/>
          <w:b/>
          <w:sz w:val="20"/>
          <w:szCs w:val="20"/>
          <w:lang w:val="en-US"/>
        </w:rPr>
        <w:t xml:space="preserve"> </w:t>
      </w:r>
      <w:proofErr w:type="spellStart"/>
      <w:r w:rsidRPr="00136A0D">
        <w:rPr>
          <w:rFonts w:ascii="Cambria" w:hAnsi="Cambria"/>
          <w:b/>
          <w:sz w:val="20"/>
          <w:szCs w:val="20"/>
          <w:lang w:val="en-US"/>
        </w:rPr>
        <w:t>Yıldırım</w:t>
      </w:r>
      <w:proofErr w:type="spellEnd"/>
      <w:r w:rsidRPr="00136A0D">
        <w:rPr>
          <w:rFonts w:ascii="Cambria" w:hAnsi="Cambria"/>
          <w:sz w:val="20"/>
          <w:szCs w:val="20"/>
          <w:lang w:val="en-US"/>
        </w:rPr>
        <w:t xml:space="preserve">, </w:t>
      </w:r>
      <w:proofErr w:type="spellStart"/>
      <w:r w:rsidRPr="00136A0D">
        <w:rPr>
          <w:rFonts w:ascii="Cambria" w:hAnsi="Cambria"/>
          <w:i/>
          <w:sz w:val="20"/>
          <w:szCs w:val="20"/>
          <w:lang w:val="en-US"/>
        </w:rPr>
        <w:t>Orta</w:t>
      </w:r>
      <w:proofErr w:type="spellEnd"/>
      <w:r w:rsidRPr="00136A0D">
        <w:rPr>
          <w:rFonts w:ascii="Cambria" w:hAnsi="Cambria"/>
          <w:i/>
          <w:sz w:val="20"/>
          <w:szCs w:val="20"/>
          <w:lang w:val="en-US"/>
        </w:rPr>
        <w:t xml:space="preserve"> </w:t>
      </w:r>
      <w:proofErr w:type="spellStart"/>
      <w:r w:rsidRPr="00136A0D">
        <w:rPr>
          <w:rFonts w:ascii="Cambria" w:hAnsi="Cambria"/>
          <w:i/>
          <w:sz w:val="20"/>
          <w:szCs w:val="20"/>
          <w:lang w:val="en-US"/>
        </w:rPr>
        <w:t>Doğu</w:t>
      </w:r>
      <w:proofErr w:type="spellEnd"/>
      <w:r w:rsidRPr="00136A0D">
        <w:rPr>
          <w:rFonts w:ascii="Cambria" w:hAnsi="Cambria"/>
          <w:i/>
          <w:sz w:val="20"/>
          <w:szCs w:val="20"/>
          <w:lang w:val="en-US"/>
        </w:rPr>
        <w:t xml:space="preserve"> </w:t>
      </w:r>
      <w:proofErr w:type="spellStart"/>
      <w:r w:rsidRPr="00136A0D">
        <w:rPr>
          <w:rFonts w:ascii="Cambria" w:hAnsi="Cambria"/>
          <w:i/>
          <w:sz w:val="20"/>
          <w:szCs w:val="20"/>
          <w:lang w:val="en-US"/>
        </w:rPr>
        <w:t>Teknik</w:t>
      </w:r>
      <w:proofErr w:type="spellEnd"/>
      <w:r w:rsidRPr="00136A0D">
        <w:rPr>
          <w:rFonts w:ascii="Cambria" w:hAnsi="Cambria"/>
          <w:i/>
          <w:sz w:val="20"/>
          <w:szCs w:val="20"/>
          <w:lang w:val="en-US"/>
        </w:rPr>
        <w:t xml:space="preserve"> </w:t>
      </w:r>
      <w:proofErr w:type="spellStart"/>
      <w:r w:rsidRPr="00136A0D">
        <w:rPr>
          <w:rFonts w:ascii="Cambria" w:hAnsi="Cambria"/>
          <w:i/>
          <w:sz w:val="20"/>
          <w:szCs w:val="20"/>
          <w:lang w:val="en-US"/>
        </w:rPr>
        <w:t>Üniversitesi</w:t>
      </w:r>
      <w:proofErr w:type="spellEnd"/>
      <w:r w:rsidRPr="00136A0D">
        <w:rPr>
          <w:rFonts w:ascii="Cambria" w:hAnsi="Cambria"/>
          <w:sz w:val="20"/>
          <w:szCs w:val="20"/>
          <w:lang w:val="en-US"/>
        </w:rPr>
        <w:t xml:space="preserve">, </w:t>
      </w:r>
      <w:hyperlink r:id="rId8" w:history="1">
        <w:r w:rsidR="00F02FD3" w:rsidRPr="003463ED">
          <w:rPr>
            <w:rStyle w:val="Hyperlink"/>
            <w:rFonts w:ascii="Cambria" w:hAnsi="Cambria"/>
            <w:i/>
            <w:sz w:val="20"/>
            <w:szCs w:val="20"/>
            <w:lang w:val="en-US"/>
          </w:rPr>
          <w:t>zahidey@metu.edu.tr</w:t>
        </w:r>
      </w:hyperlink>
      <w:r w:rsidR="00F02FD3">
        <w:rPr>
          <w:rStyle w:val="Hyperlink"/>
          <w:rFonts w:ascii="Cambria" w:hAnsi="Cambria"/>
          <w:i/>
          <w:color w:val="auto"/>
          <w:sz w:val="20"/>
          <w:szCs w:val="20"/>
          <w:u w:val="none"/>
          <w:lang w:val="en-US"/>
        </w:rPr>
        <w:t xml:space="preserve">, </w:t>
      </w:r>
      <w:r w:rsidR="00F02FD3" w:rsidRPr="00F02FD3">
        <w:rPr>
          <w:rStyle w:val="Hyperlink"/>
          <w:rFonts w:ascii="Cambria" w:hAnsi="Cambria"/>
          <w:color w:val="auto"/>
          <w:sz w:val="20"/>
          <w:szCs w:val="20"/>
          <w:u w:val="none"/>
          <w:lang w:val="en-US"/>
        </w:rPr>
        <w:t>ORCID: 0000-0001- 9095-2977</w:t>
      </w:r>
      <w:r w:rsidRPr="00C23312">
        <w:rPr>
          <w:rFonts w:ascii="Cambria" w:hAnsi="Cambria"/>
          <w:i/>
          <w:sz w:val="20"/>
          <w:szCs w:val="20"/>
          <w:lang w:val="en-US"/>
        </w:rPr>
        <w:t xml:space="preserve"> </w:t>
      </w:r>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D15434">
        <w:trPr>
          <w:trHeight w:val="2494"/>
        </w:trPr>
        <w:tc>
          <w:tcPr>
            <w:tcW w:w="9214" w:type="dxa"/>
            <w:tcBorders>
              <w:bottom w:val="single" w:sz="2" w:space="0" w:color="auto"/>
            </w:tcBorders>
          </w:tcPr>
          <w:p w:rsidR="000F5FB8" w:rsidRDefault="00F02FD3" w:rsidP="00D15434">
            <w:pPr>
              <w:spacing w:line="200" w:lineRule="atLeast"/>
              <w:jc w:val="both"/>
              <w:rPr>
                <w:rFonts w:ascii="Cambria" w:hAnsi="Cambria" w:cs="Times New Roman"/>
                <w:sz w:val="20"/>
                <w:szCs w:val="20"/>
              </w:rPr>
            </w:pPr>
            <w:proofErr w:type="spellStart"/>
            <w:r>
              <w:rPr>
                <w:rFonts w:ascii="Cambria" w:hAnsi="Cambria" w:cs="Times New Roman"/>
                <w:b/>
                <w:sz w:val="20"/>
                <w:szCs w:val="20"/>
              </w:rPr>
              <w:t>Abstract</w:t>
            </w:r>
            <w:proofErr w:type="spellEnd"/>
            <w:r>
              <w:rPr>
                <w:rFonts w:ascii="Cambria" w:hAnsi="Cambria" w:cs="Times New Roman"/>
                <w:b/>
                <w:sz w:val="20"/>
                <w:szCs w:val="20"/>
              </w:rPr>
              <w:t>.</w:t>
            </w:r>
            <w:r w:rsidR="000F5FB8" w:rsidRPr="000F5FB8">
              <w:rPr>
                <w:rFonts w:ascii="Cambria" w:hAnsi="Cambria" w:cs="Times New Roman"/>
                <w:sz w:val="20"/>
                <w:szCs w:val="20"/>
              </w:rPr>
              <w:t xml:space="preserve"> </w:t>
            </w:r>
            <w:r w:rsidR="00136A0D" w:rsidRPr="00136A0D">
              <w:rPr>
                <w:rFonts w:ascii="Cambria" w:hAnsi="Cambria" w:cs="Times New Roman"/>
                <w:sz w:val="20"/>
                <w:szCs w:val="20"/>
                <w:lang w:val="en-US"/>
              </w:rPr>
              <w:t>This study reports the development of metacognition inventory for Internet search for middle school students. In this study, analysis and results of both exploratory and confirmatory factors are reported. Firstly, 37-items were generated considering literature review and metacognitive challenges faced during the search process, and pilot exploratory factor analysis was conducted. Secondly, the final version of the scale was distributed to 273 seventh grade students, and the existing constructs were extracted through exploratory factor analysis. Thirdly, 321 seventh graders completed the inventory, and then the data were used for confirmatory factor analysis. As a follow-up, test-retest reliability was tested with 101 sixth graders. Based on the findings, the sub-scales of the inventory included (1) reflection and regulation, (2) monitoring, (3) planning, (4) control of attention, and (5) strategy generation.</w:t>
            </w:r>
          </w:p>
          <w:p w:rsidR="00684BF8" w:rsidRPr="000F5FB8" w:rsidRDefault="00684BF8" w:rsidP="00D15434">
            <w:pPr>
              <w:spacing w:line="200" w:lineRule="atLeast"/>
              <w:jc w:val="both"/>
              <w:rPr>
                <w:rFonts w:ascii="Cambria" w:hAnsi="Cambria" w:cs="Times New Roman"/>
                <w:b/>
                <w:sz w:val="20"/>
                <w:szCs w:val="20"/>
              </w:rPr>
            </w:pPr>
          </w:p>
          <w:p w:rsidR="000F5FB8" w:rsidRPr="000F5FB8" w:rsidRDefault="000F5FB8" w:rsidP="00D15434">
            <w:pPr>
              <w:spacing w:line="200" w:lineRule="atLeast"/>
              <w:jc w:val="both"/>
              <w:rPr>
                <w:rFonts w:ascii="Cambria" w:hAnsi="Cambria" w:cs="Times New Roman"/>
                <w:sz w:val="20"/>
                <w:szCs w:val="20"/>
              </w:rPr>
            </w:pPr>
            <w:r w:rsidRPr="000F5FB8">
              <w:rPr>
                <w:rFonts w:ascii="Cambria" w:hAnsi="Cambria" w:cs="Times New Roman"/>
                <w:b/>
                <w:sz w:val="20"/>
                <w:szCs w:val="20"/>
              </w:rPr>
              <w:t>Keywords:</w:t>
            </w:r>
            <w:r w:rsidRPr="000F5FB8">
              <w:rPr>
                <w:rFonts w:ascii="Cambria" w:hAnsi="Cambria" w:cs="Times New Roman"/>
                <w:sz w:val="20"/>
                <w:szCs w:val="20"/>
              </w:rPr>
              <w:t xml:space="preserve"> </w:t>
            </w:r>
            <w:r w:rsidR="00136A0D" w:rsidRPr="00136A0D">
              <w:rPr>
                <w:rFonts w:ascii="Cambria" w:hAnsi="Cambria" w:cs="Times New Roman"/>
                <w:sz w:val="20"/>
                <w:szCs w:val="20"/>
                <w:lang w:val="en-US"/>
              </w:rPr>
              <w:t>Internet search, metacognition, metacognition inventory for Internet search.</w:t>
            </w:r>
          </w:p>
          <w:p w:rsidR="000F5FB8" w:rsidRPr="000F5FB8" w:rsidRDefault="000F5FB8" w:rsidP="00D15434">
            <w:pPr>
              <w:jc w:val="both"/>
              <w:rPr>
                <w:rFonts w:ascii="Cambria" w:hAnsi="Cambria" w:cs="Times New Roman"/>
                <w:sz w:val="20"/>
                <w:szCs w:val="20"/>
              </w:rPr>
            </w:pPr>
          </w:p>
        </w:tc>
      </w:tr>
      <w:tr w:rsidR="000F5FB8" w:rsidRPr="000F5FB8" w:rsidTr="00D15434">
        <w:trPr>
          <w:trHeight w:val="2287"/>
        </w:trPr>
        <w:tc>
          <w:tcPr>
            <w:tcW w:w="9214" w:type="dxa"/>
            <w:tcBorders>
              <w:top w:val="single" w:sz="2" w:space="0" w:color="auto"/>
            </w:tcBorders>
          </w:tcPr>
          <w:p w:rsidR="000F5FB8" w:rsidRPr="000F5FB8" w:rsidRDefault="000F5FB8" w:rsidP="00D15434">
            <w:pPr>
              <w:jc w:val="both"/>
              <w:rPr>
                <w:rFonts w:ascii="Cambria" w:hAnsi="Cambria" w:cs="Times New Roman"/>
                <w:b/>
                <w:sz w:val="20"/>
                <w:szCs w:val="20"/>
              </w:rPr>
            </w:pPr>
          </w:p>
          <w:p w:rsidR="000F5FB8" w:rsidRDefault="00F02FD3" w:rsidP="00D15434">
            <w:pPr>
              <w:jc w:val="both"/>
              <w:rPr>
                <w:rFonts w:ascii="Cambria" w:hAnsi="Cambria" w:cs="Times New Roman"/>
                <w:sz w:val="20"/>
                <w:szCs w:val="20"/>
              </w:rPr>
            </w:pPr>
            <w:r>
              <w:rPr>
                <w:rFonts w:ascii="Cambria" w:hAnsi="Cambria" w:cs="Times New Roman"/>
                <w:b/>
                <w:sz w:val="20"/>
                <w:szCs w:val="20"/>
              </w:rPr>
              <w:t>Öz.</w:t>
            </w:r>
            <w:r w:rsidR="000F5FB8" w:rsidRPr="000F5FB8">
              <w:rPr>
                <w:rFonts w:ascii="Cambria" w:hAnsi="Cambria" w:cs="Times New Roman"/>
                <w:b/>
                <w:sz w:val="20"/>
                <w:szCs w:val="20"/>
              </w:rPr>
              <w:t xml:space="preserve"> </w:t>
            </w:r>
            <w:r w:rsidR="00136A0D" w:rsidRPr="00136A0D">
              <w:rPr>
                <w:rFonts w:ascii="Cambria" w:hAnsi="Cambria" w:cs="Times New Roman"/>
                <w:sz w:val="20"/>
                <w:szCs w:val="20"/>
                <w:lang w:val="en-US"/>
              </w:rPr>
              <w:t xml:space="preserve">Bu </w:t>
            </w:r>
            <w:proofErr w:type="spellStart"/>
            <w:r w:rsidR="00136A0D" w:rsidRPr="00136A0D">
              <w:rPr>
                <w:rFonts w:ascii="Cambria" w:hAnsi="Cambria" w:cs="Times New Roman"/>
                <w:sz w:val="20"/>
                <w:szCs w:val="20"/>
                <w:lang w:val="en-US"/>
              </w:rPr>
              <w:t>çalışma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ortaokul</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öğrencileri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için</w:t>
            </w:r>
            <w:proofErr w:type="spellEnd"/>
            <w:r w:rsidR="00136A0D" w:rsidRPr="00136A0D">
              <w:rPr>
                <w:rFonts w:ascii="Cambria" w:hAnsi="Cambria" w:cs="Times New Roman"/>
                <w:sz w:val="20"/>
                <w:szCs w:val="20"/>
                <w:lang w:val="en-US"/>
              </w:rPr>
              <w:t xml:space="preserve"> İnternet </w:t>
            </w:r>
            <w:proofErr w:type="spellStart"/>
            <w:r w:rsidR="00136A0D" w:rsidRPr="00136A0D">
              <w:rPr>
                <w:rFonts w:ascii="Cambria" w:hAnsi="Cambria" w:cs="Times New Roman"/>
                <w:sz w:val="20"/>
                <w:szCs w:val="20"/>
                <w:lang w:val="en-US"/>
              </w:rPr>
              <w:t>aramalarında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üstbiliş</w:t>
            </w:r>
            <w:proofErr w:type="spellEnd"/>
            <w:r w:rsidR="00136A0D" w:rsidRPr="00136A0D">
              <w:rPr>
                <w:rFonts w:ascii="Cambria" w:hAnsi="Cambria" w:cs="Times New Roman"/>
                <w:sz w:val="20"/>
                <w:szCs w:val="20"/>
                <w:lang w:val="en-US"/>
              </w:rPr>
              <w:t xml:space="preserve"> </w:t>
            </w:r>
            <w:proofErr w:type="spellStart"/>
            <w:proofErr w:type="gramStart"/>
            <w:r w:rsidR="00136A0D" w:rsidRPr="00136A0D">
              <w:rPr>
                <w:rFonts w:ascii="Cambria" w:hAnsi="Cambria" w:cs="Times New Roman"/>
                <w:sz w:val="20"/>
                <w:szCs w:val="20"/>
                <w:lang w:val="en-US"/>
              </w:rPr>
              <w:t>envanterinin</w:t>
            </w:r>
            <w:proofErr w:type="spellEnd"/>
            <w:proofErr w:type="gram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geliştirilmesini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kapsamaktadır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Makalede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açımlayıcı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doğrulayıcı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analizleri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bulguları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sunulmuştur</w:t>
            </w:r>
            <w:proofErr w:type="spellEnd"/>
            <w:r w:rsidR="00136A0D" w:rsidRPr="00136A0D">
              <w:rPr>
                <w:rFonts w:ascii="Cambria" w:hAnsi="Cambria" w:cs="Times New Roman"/>
                <w:sz w:val="20"/>
                <w:szCs w:val="20"/>
                <w:lang w:val="en-US"/>
              </w:rPr>
              <w:t xml:space="preserve">. İlk </w:t>
            </w:r>
            <w:proofErr w:type="spellStart"/>
            <w:r w:rsidR="00136A0D" w:rsidRPr="00136A0D">
              <w:rPr>
                <w:rFonts w:ascii="Cambria" w:hAnsi="Cambria" w:cs="Times New Roman"/>
                <w:sz w:val="20"/>
                <w:szCs w:val="20"/>
                <w:lang w:val="en-US"/>
              </w:rPr>
              <w:t>olarak</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alanyazın</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taraması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İnternet </w:t>
            </w:r>
            <w:proofErr w:type="spellStart"/>
            <w:r w:rsidR="00136A0D" w:rsidRPr="00136A0D">
              <w:rPr>
                <w:rFonts w:ascii="Cambria" w:hAnsi="Cambria" w:cs="Times New Roman"/>
                <w:sz w:val="20"/>
                <w:szCs w:val="20"/>
                <w:lang w:val="en-US"/>
              </w:rPr>
              <w:t>aramaları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sırasında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karşılaşılan</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güçlükler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dikkate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alınarak</w:t>
            </w:r>
            <w:proofErr w:type="spellEnd"/>
            <w:r w:rsidR="00136A0D" w:rsidRPr="00136A0D">
              <w:rPr>
                <w:rFonts w:ascii="Cambria" w:hAnsi="Cambria" w:cs="Times New Roman"/>
                <w:sz w:val="20"/>
                <w:szCs w:val="20"/>
                <w:lang w:val="en-US"/>
              </w:rPr>
              <w:t xml:space="preserve"> 37 </w:t>
            </w:r>
            <w:proofErr w:type="spellStart"/>
            <w:r w:rsidR="00136A0D" w:rsidRPr="00136A0D">
              <w:rPr>
                <w:rFonts w:ascii="Cambria" w:hAnsi="Cambria" w:cs="Times New Roman"/>
                <w:sz w:val="20"/>
                <w:szCs w:val="20"/>
                <w:lang w:val="en-US"/>
              </w:rPr>
              <w:t>madde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oluşturulmuş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pilot </w:t>
            </w:r>
            <w:proofErr w:type="spellStart"/>
            <w:r w:rsidR="00136A0D" w:rsidRPr="00136A0D">
              <w:rPr>
                <w:rFonts w:ascii="Cambria" w:hAnsi="Cambria" w:cs="Times New Roman"/>
                <w:sz w:val="20"/>
                <w:szCs w:val="20"/>
                <w:lang w:val="en-US"/>
              </w:rPr>
              <w:t>açımlayıcı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analizi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yapılmıştır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İkinci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olarak</w:t>
            </w:r>
            <w:proofErr w:type="spellEnd"/>
            <w:r w:rsidR="00136A0D" w:rsidRPr="00136A0D">
              <w:rPr>
                <w:rFonts w:ascii="Cambria" w:hAnsi="Cambria" w:cs="Times New Roman"/>
                <w:sz w:val="20"/>
                <w:szCs w:val="20"/>
                <w:lang w:val="en-US"/>
              </w:rPr>
              <w:t xml:space="preserve">, son </w:t>
            </w:r>
            <w:proofErr w:type="spellStart"/>
            <w:r w:rsidR="00136A0D" w:rsidRPr="00136A0D">
              <w:rPr>
                <w:rFonts w:ascii="Cambria" w:hAnsi="Cambria" w:cs="Times New Roman"/>
                <w:sz w:val="20"/>
                <w:szCs w:val="20"/>
                <w:lang w:val="en-US"/>
              </w:rPr>
              <w:t>haline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getirilmiş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envanter</w:t>
            </w:r>
            <w:proofErr w:type="spellEnd"/>
            <w:r w:rsidR="00136A0D" w:rsidRPr="00136A0D">
              <w:rPr>
                <w:rFonts w:ascii="Cambria" w:hAnsi="Cambria" w:cs="Times New Roman"/>
                <w:sz w:val="20"/>
                <w:szCs w:val="20"/>
                <w:lang w:val="en-US"/>
              </w:rPr>
              <w:t xml:space="preserve"> 273 </w:t>
            </w:r>
            <w:proofErr w:type="spellStart"/>
            <w:r w:rsidR="00136A0D" w:rsidRPr="00136A0D">
              <w:rPr>
                <w:rFonts w:ascii="Cambria" w:hAnsi="Cambria" w:cs="Times New Roman"/>
                <w:sz w:val="20"/>
                <w:szCs w:val="20"/>
                <w:lang w:val="en-US"/>
              </w:rPr>
              <w:t>yedinci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sınıf</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öğrencisine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uygulanmış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açımlayıcı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analizi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yapılarak</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faktörler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ortaya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konmuştur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Üçüncü</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olarak</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envanter</w:t>
            </w:r>
            <w:proofErr w:type="spellEnd"/>
            <w:r w:rsidR="00136A0D" w:rsidRPr="00136A0D">
              <w:rPr>
                <w:rFonts w:ascii="Cambria" w:hAnsi="Cambria" w:cs="Times New Roman"/>
                <w:sz w:val="20"/>
                <w:szCs w:val="20"/>
                <w:lang w:val="en-US"/>
              </w:rPr>
              <w:t xml:space="preserve">, 321 </w:t>
            </w:r>
            <w:proofErr w:type="spellStart"/>
            <w:r w:rsidR="00136A0D" w:rsidRPr="00136A0D">
              <w:rPr>
                <w:rFonts w:ascii="Cambria" w:hAnsi="Cambria" w:cs="Times New Roman"/>
                <w:sz w:val="20"/>
                <w:szCs w:val="20"/>
                <w:lang w:val="en-US"/>
              </w:rPr>
              <w:t>yedinci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sınıf</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öğrencisine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uygulanmış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doğrulayıcı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analizi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yapılmıştır</w:t>
            </w:r>
            <w:proofErr w:type="spellEnd"/>
            <w:r w:rsidR="00136A0D" w:rsidRPr="00136A0D">
              <w:rPr>
                <w:rFonts w:ascii="Cambria" w:hAnsi="Cambria" w:cs="Times New Roman"/>
                <w:sz w:val="20"/>
                <w:szCs w:val="20"/>
                <w:lang w:val="en-US"/>
              </w:rPr>
              <w:t xml:space="preserve">. Son </w:t>
            </w:r>
            <w:proofErr w:type="spellStart"/>
            <w:r w:rsidR="00136A0D" w:rsidRPr="00136A0D">
              <w:rPr>
                <w:rFonts w:ascii="Cambria" w:hAnsi="Cambria" w:cs="Times New Roman"/>
                <w:sz w:val="20"/>
                <w:szCs w:val="20"/>
                <w:lang w:val="en-US"/>
              </w:rPr>
              <w:t>olarak</w:t>
            </w:r>
            <w:proofErr w:type="spellEnd"/>
            <w:r w:rsidR="00136A0D" w:rsidRPr="00136A0D">
              <w:rPr>
                <w:rFonts w:ascii="Cambria" w:hAnsi="Cambria" w:cs="Times New Roman"/>
                <w:sz w:val="20"/>
                <w:szCs w:val="20"/>
                <w:lang w:val="en-US"/>
              </w:rPr>
              <w:t xml:space="preserve">, 101 </w:t>
            </w:r>
            <w:proofErr w:type="spellStart"/>
            <w:r w:rsidR="00136A0D" w:rsidRPr="00136A0D">
              <w:rPr>
                <w:rFonts w:ascii="Cambria" w:hAnsi="Cambria" w:cs="Times New Roman"/>
                <w:sz w:val="20"/>
                <w:szCs w:val="20"/>
                <w:lang w:val="en-US"/>
              </w:rPr>
              <w:t>altıncı</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sınıf</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öğrencisi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ile</w:t>
            </w:r>
            <w:proofErr w:type="spellEnd"/>
            <w:r w:rsidR="00136A0D" w:rsidRPr="00136A0D">
              <w:rPr>
                <w:rFonts w:ascii="Cambria" w:hAnsi="Cambria" w:cs="Times New Roman"/>
                <w:sz w:val="20"/>
                <w:szCs w:val="20"/>
                <w:lang w:val="en-US"/>
              </w:rPr>
              <w:t xml:space="preserve"> test-</w:t>
            </w:r>
            <w:proofErr w:type="spellStart"/>
            <w:r w:rsidR="00136A0D" w:rsidRPr="00136A0D">
              <w:rPr>
                <w:rFonts w:ascii="Cambria" w:hAnsi="Cambria" w:cs="Times New Roman"/>
                <w:sz w:val="20"/>
                <w:szCs w:val="20"/>
                <w:lang w:val="en-US"/>
              </w:rPr>
              <w:t>tekrar</w:t>
            </w:r>
            <w:proofErr w:type="spellEnd"/>
            <w:r w:rsidR="00136A0D" w:rsidRPr="00136A0D">
              <w:rPr>
                <w:rFonts w:ascii="Cambria" w:hAnsi="Cambria" w:cs="Times New Roman"/>
                <w:sz w:val="20"/>
                <w:szCs w:val="20"/>
                <w:lang w:val="en-US"/>
              </w:rPr>
              <w:t xml:space="preserve"> test </w:t>
            </w:r>
            <w:proofErr w:type="spellStart"/>
            <w:r w:rsidR="00136A0D" w:rsidRPr="00136A0D">
              <w:rPr>
                <w:rFonts w:ascii="Cambria" w:hAnsi="Cambria" w:cs="Times New Roman"/>
                <w:sz w:val="20"/>
                <w:szCs w:val="20"/>
                <w:lang w:val="en-US"/>
              </w:rPr>
              <w:t>güvenirliği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ölçülmüştür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Bulgular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envanterde</w:t>
            </w:r>
            <w:proofErr w:type="spellEnd"/>
            <w:r w:rsidR="00136A0D" w:rsidRPr="00136A0D">
              <w:rPr>
                <w:rFonts w:ascii="Cambria" w:hAnsi="Cambria" w:cs="Times New Roman"/>
                <w:sz w:val="20"/>
                <w:szCs w:val="20"/>
                <w:lang w:val="en-US"/>
              </w:rPr>
              <w:t xml:space="preserve"> (1) </w:t>
            </w:r>
            <w:proofErr w:type="spellStart"/>
            <w:r w:rsidR="00136A0D" w:rsidRPr="00136A0D">
              <w:rPr>
                <w:rFonts w:ascii="Cambria" w:hAnsi="Cambria" w:cs="Times New Roman"/>
                <w:sz w:val="20"/>
                <w:szCs w:val="20"/>
                <w:lang w:val="en-US"/>
              </w:rPr>
              <w:t>yansıtma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düzenleme</w:t>
            </w:r>
            <w:proofErr w:type="spellEnd"/>
            <w:r w:rsidR="00136A0D" w:rsidRPr="00136A0D">
              <w:rPr>
                <w:rFonts w:ascii="Cambria" w:hAnsi="Cambria" w:cs="Times New Roman"/>
                <w:sz w:val="20"/>
                <w:szCs w:val="20"/>
                <w:lang w:val="en-US"/>
              </w:rPr>
              <w:t xml:space="preserve">, (2) control </w:t>
            </w:r>
            <w:proofErr w:type="spellStart"/>
            <w:r w:rsidR="00136A0D" w:rsidRPr="00136A0D">
              <w:rPr>
                <w:rFonts w:ascii="Cambria" w:hAnsi="Cambria" w:cs="Times New Roman"/>
                <w:sz w:val="20"/>
                <w:szCs w:val="20"/>
                <w:lang w:val="en-US"/>
              </w:rPr>
              <w:t>etme</w:t>
            </w:r>
            <w:proofErr w:type="spellEnd"/>
            <w:r w:rsidR="00136A0D" w:rsidRPr="00136A0D">
              <w:rPr>
                <w:rFonts w:ascii="Cambria" w:hAnsi="Cambria" w:cs="Times New Roman"/>
                <w:sz w:val="20"/>
                <w:szCs w:val="20"/>
                <w:lang w:val="en-US"/>
              </w:rPr>
              <w:t xml:space="preserve">, (3) </w:t>
            </w:r>
            <w:proofErr w:type="spellStart"/>
            <w:r w:rsidR="00136A0D" w:rsidRPr="00136A0D">
              <w:rPr>
                <w:rFonts w:ascii="Cambria" w:hAnsi="Cambria" w:cs="Times New Roman"/>
                <w:sz w:val="20"/>
                <w:szCs w:val="20"/>
                <w:lang w:val="en-US"/>
              </w:rPr>
              <w:t>planlama</w:t>
            </w:r>
            <w:proofErr w:type="spellEnd"/>
            <w:r w:rsidR="00136A0D" w:rsidRPr="00136A0D">
              <w:rPr>
                <w:rFonts w:ascii="Cambria" w:hAnsi="Cambria" w:cs="Times New Roman"/>
                <w:sz w:val="20"/>
                <w:szCs w:val="20"/>
                <w:lang w:val="en-US"/>
              </w:rPr>
              <w:t xml:space="preserve">, (4) </w:t>
            </w:r>
            <w:proofErr w:type="spellStart"/>
            <w:r w:rsidR="00136A0D" w:rsidRPr="00136A0D">
              <w:rPr>
                <w:rFonts w:ascii="Cambria" w:hAnsi="Cambria" w:cs="Times New Roman"/>
                <w:sz w:val="20"/>
                <w:szCs w:val="20"/>
                <w:lang w:val="en-US"/>
              </w:rPr>
              <w:t>dikkatin</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kontrolü</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ve</w:t>
            </w:r>
            <w:proofErr w:type="spellEnd"/>
            <w:r w:rsidR="00136A0D" w:rsidRPr="00136A0D">
              <w:rPr>
                <w:rFonts w:ascii="Cambria" w:hAnsi="Cambria" w:cs="Times New Roman"/>
                <w:sz w:val="20"/>
                <w:szCs w:val="20"/>
                <w:lang w:val="en-US"/>
              </w:rPr>
              <w:t xml:space="preserve"> (5) </w:t>
            </w:r>
            <w:proofErr w:type="spellStart"/>
            <w:r w:rsidR="00136A0D" w:rsidRPr="00136A0D">
              <w:rPr>
                <w:rFonts w:ascii="Cambria" w:hAnsi="Cambria" w:cs="Times New Roman"/>
                <w:sz w:val="20"/>
                <w:szCs w:val="20"/>
                <w:lang w:val="en-US"/>
              </w:rPr>
              <w:t>strateji</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oluşturma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olmak</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üzere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beş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faktör</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ortaya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koymuştur</w:t>
            </w:r>
            <w:proofErr w:type="spellEnd"/>
            <w:r w:rsidR="00136A0D" w:rsidRPr="00136A0D">
              <w:rPr>
                <w:rFonts w:ascii="Cambria" w:hAnsi="Cambria" w:cs="Times New Roman"/>
                <w:sz w:val="20"/>
                <w:szCs w:val="20"/>
                <w:lang w:val="en-US"/>
              </w:rPr>
              <w:t>.</w:t>
            </w:r>
          </w:p>
          <w:p w:rsidR="00684BF8" w:rsidRPr="000F5FB8" w:rsidRDefault="00684BF8" w:rsidP="00D15434">
            <w:pPr>
              <w:jc w:val="both"/>
              <w:rPr>
                <w:rFonts w:ascii="Cambria" w:hAnsi="Cambria" w:cs="Times New Roman"/>
                <w:b/>
                <w:sz w:val="20"/>
                <w:szCs w:val="20"/>
              </w:rPr>
            </w:pPr>
          </w:p>
          <w:p w:rsidR="000F5FB8" w:rsidRPr="000F5FB8" w:rsidRDefault="00ED6641" w:rsidP="00D15434">
            <w:pPr>
              <w:tabs>
                <w:tab w:val="left" w:pos="3227"/>
              </w:tabs>
              <w:rPr>
                <w:rFonts w:ascii="Cambria" w:hAnsi="Cambria" w:cs="Times New Roman"/>
                <w:sz w:val="20"/>
                <w:szCs w:val="20"/>
              </w:rPr>
            </w:pPr>
            <w:r>
              <w:rPr>
                <w:rFonts w:ascii="Cambria" w:hAnsi="Cambria" w:cs="Times New Roman"/>
                <w:b/>
                <w:sz w:val="20"/>
                <w:szCs w:val="20"/>
              </w:rPr>
              <w:t>Anahtar Sözcük</w:t>
            </w:r>
            <w:r w:rsidR="000F5FB8" w:rsidRPr="000F5FB8">
              <w:rPr>
                <w:rFonts w:ascii="Cambria" w:hAnsi="Cambria" w:cs="Times New Roman"/>
                <w:b/>
                <w:sz w:val="20"/>
                <w:szCs w:val="20"/>
              </w:rPr>
              <w:t xml:space="preserve">ler: </w:t>
            </w:r>
            <w:proofErr w:type="spellStart"/>
            <w:r w:rsidR="00136A0D" w:rsidRPr="00136A0D">
              <w:rPr>
                <w:rFonts w:ascii="Cambria" w:hAnsi="Cambria" w:cs="Times New Roman"/>
                <w:sz w:val="20"/>
                <w:szCs w:val="20"/>
                <w:lang w:val="en-US"/>
              </w:rPr>
              <w:t>İnternette</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arama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üstbiliş</w:t>
            </w:r>
            <w:proofErr w:type="spellEnd"/>
            <w:r w:rsidR="00136A0D" w:rsidRPr="00136A0D">
              <w:rPr>
                <w:rFonts w:ascii="Cambria" w:hAnsi="Cambria" w:cs="Times New Roman"/>
                <w:sz w:val="20"/>
                <w:szCs w:val="20"/>
                <w:lang w:val="en-US"/>
              </w:rPr>
              <w:t xml:space="preserve">, İnternet </w:t>
            </w:r>
            <w:proofErr w:type="spellStart"/>
            <w:r w:rsidR="00136A0D" w:rsidRPr="00136A0D">
              <w:rPr>
                <w:rFonts w:ascii="Cambria" w:hAnsi="Cambria" w:cs="Times New Roman"/>
                <w:sz w:val="20"/>
                <w:szCs w:val="20"/>
                <w:lang w:val="en-US"/>
              </w:rPr>
              <w:t>aramalarında</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üstbiliş</w:t>
            </w:r>
            <w:proofErr w:type="spellEnd"/>
            <w:r w:rsidR="00136A0D" w:rsidRPr="00136A0D">
              <w:rPr>
                <w:rFonts w:ascii="Cambria" w:hAnsi="Cambria" w:cs="Times New Roman"/>
                <w:sz w:val="20"/>
                <w:szCs w:val="20"/>
                <w:lang w:val="en-US"/>
              </w:rPr>
              <w:t xml:space="preserve"> </w:t>
            </w:r>
            <w:proofErr w:type="spellStart"/>
            <w:r w:rsidR="00136A0D" w:rsidRPr="00136A0D">
              <w:rPr>
                <w:rFonts w:ascii="Cambria" w:hAnsi="Cambria" w:cs="Times New Roman"/>
                <w:sz w:val="20"/>
                <w:szCs w:val="20"/>
                <w:lang w:val="en-US"/>
              </w:rPr>
              <w:t>envanteri</w:t>
            </w:r>
            <w:proofErr w:type="spellEnd"/>
            <w:r w:rsidR="00136A0D" w:rsidRPr="00136A0D">
              <w:rPr>
                <w:rFonts w:ascii="Cambria" w:hAnsi="Cambria" w:cs="Times New Roman"/>
                <w:sz w:val="20"/>
                <w:szCs w:val="20"/>
              </w:rPr>
              <w:t xml:space="preserve"> </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2D5974" w:rsidRPr="000F5FB8" w:rsidRDefault="002D5974" w:rsidP="000F5FB8">
      <w:pPr>
        <w:pStyle w:val="Heading2"/>
        <w:spacing w:before="120" w:after="120" w:line="240" w:lineRule="auto"/>
        <w:rPr>
          <w:rFonts w:ascii="Cambria" w:hAnsi="Cambria" w:cs="Times New Roman"/>
          <w:b/>
          <w:color w:val="auto"/>
          <w:sz w:val="22"/>
          <w:szCs w:val="22"/>
        </w:rPr>
      </w:pPr>
      <w:r w:rsidRPr="000F5FB8">
        <w:rPr>
          <w:rFonts w:ascii="Cambria" w:hAnsi="Cambria" w:cs="Times New Roman"/>
          <w:b/>
          <w:color w:val="auto"/>
          <w:sz w:val="22"/>
          <w:szCs w:val="22"/>
        </w:rPr>
        <w:lastRenderedPageBreak/>
        <w:t>INTRODUCTION</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Searching the Internet is one of the most challenging tasks for users since it requires a series of decision-making processes. As online information resources become more popular day by day, the density of available information on the Internet increases. In turn, it brings about more complex Internet searches. Considering such a sophisticated environment, metacognitive skills are more essential than ever for Internet users, especially for the younger ones. </w:t>
      </w:r>
      <w:proofErr w:type="spellStart"/>
      <w:r w:rsidRPr="00D32999">
        <w:rPr>
          <w:rFonts w:ascii="Cambria" w:eastAsia="Times New Roman" w:hAnsi="Cambria" w:cs="Times New Roman"/>
          <w:color w:val="000000" w:themeColor="text1"/>
          <w:lang w:val="en-US" w:eastAsia="tr-TR"/>
        </w:rPr>
        <w:t>Flavell</w:t>
      </w:r>
      <w:proofErr w:type="spellEnd"/>
      <w:r w:rsidRPr="00D32999">
        <w:rPr>
          <w:rFonts w:ascii="Cambria" w:eastAsia="Times New Roman" w:hAnsi="Cambria" w:cs="Times New Roman"/>
          <w:color w:val="000000" w:themeColor="text1"/>
          <w:lang w:val="en-US" w:eastAsia="tr-TR"/>
        </w:rPr>
        <w:t xml:space="preserve"> (1976) emphasizes the importance of external storage and retrieval resources, which are obvious in our daily online tasks. Internet search for homework purposes can be an example for the use of external resources as well as the interval ones. There is a huge amount of data externally stored on the Web. The critical point for students is to learn how, where, and when to store them in addition to learn how, where, and when to retrieve them in order to achieve the objectives or goals. The objectives are generally external, but the student individually selects and decides on what to use, which information should be stored, which information should be skipped, how to interpret differences in the same information, what to trust, and how to use and combine what is already known and recently searched online. </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In his attempts to create the term metacognition, </w:t>
      </w:r>
      <w:proofErr w:type="spellStart"/>
      <w:r w:rsidRPr="00D32999">
        <w:rPr>
          <w:rFonts w:ascii="Cambria" w:eastAsia="Times New Roman" w:hAnsi="Cambria" w:cs="Times New Roman"/>
          <w:color w:val="000000" w:themeColor="text1"/>
          <w:lang w:val="en-US" w:eastAsia="tr-TR"/>
        </w:rPr>
        <w:t>Flavell</w:t>
      </w:r>
      <w:proofErr w:type="spellEnd"/>
      <w:r w:rsidRPr="00D32999">
        <w:rPr>
          <w:rFonts w:ascii="Cambria" w:eastAsia="Times New Roman" w:hAnsi="Cambria" w:cs="Times New Roman"/>
          <w:color w:val="000000" w:themeColor="text1"/>
          <w:lang w:val="en-US" w:eastAsia="tr-TR"/>
        </w:rPr>
        <w:t xml:space="preserve"> (1976) defines it as “active monitoring and consequent regulation and orchestration of these processes in relation to the cognitive objects or data on which they bear, usually in the service of some concrete goal or objective” (p. 232).</w:t>
      </w:r>
      <w:r w:rsidRPr="00D32999">
        <w:rPr>
          <w:rFonts w:ascii="Cambria" w:eastAsia="Times New Roman" w:hAnsi="Cambria" w:cs="Times New Roman"/>
          <w:iCs/>
          <w:color w:val="000000" w:themeColor="text1"/>
          <w:lang w:val="en-US" w:eastAsia="tr-TR"/>
        </w:rPr>
        <w:t xml:space="preserve"> More specifically, metacognition is </w:t>
      </w:r>
      <w:r w:rsidRPr="00D32999">
        <w:rPr>
          <w:rFonts w:ascii="Cambria" w:eastAsia="Times New Roman" w:hAnsi="Cambria" w:cs="Times New Roman"/>
          <w:color w:val="000000" w:themeColor="text1"/>
          <w:lang w:val="en-US" w:eastAsia="tr-TR"/>
        </w:rPr>
        <w:t>“the deliberate conscious control of cognitive activity” (</w:t>
      </w:r>
      <w:proofErr w:type="spellStart"/>
      <w:r w:rsidRPr="00D32999">
        <w:rPr>
          <w:rFonts w:ascii="Cambria" w:eastAsia="Times New Roman" w:hAnsi="Cambria" w:cs="Times New Roman"/>
          <w:color w:val="000000" w:themeColor="text1"/>
          <w:lang w:val="en-US" w:eastAsia="tr-TR"/>
        </w:rPr>
        <w:t>Schunk</w:t>
      </w:r>
      <w:proofErr w:type="spellEnd"/>
      <w:r w:rsidRPr="00D32999">
        <w:rPr>
          <w:rFonts w:ascii="Cambria" w:eastAsia="Times New Roman" w:hAnsi="Cambria" w:cs="Times New Roman"/>
          <w:color w:val="000000" w:themeColor="text1"/>
          <w:lang w:val="en-US" w:eastAsia="tr-TR"/>
        </w:rPr>
        <w:t xml:space="preserve">, 2012, p. 286). </w:t>
      </w:r>
      <w:proofErr w:type="spellStart"/>
      <w:r w:rsidRPr="00D32999">
        <w:rPr>
          <w:rFonts w:ascii="Cambria" w:eastAsia="Times New Roman" w:hAnsi="Cambria" w:cs="Times New Roman"/>
          <w:color w:val="000000" w:themeColor="text1"/>
          <w:lang w:val="en-US" w:eastAsia="tr-TR"/>
        </w:rPr>
        <w:t>Gredler</w:t>
      </w:r>
      <w:proofErr w:type="spellEnd"/>
      <w:r w:rsidRPr="00D32999">
        <w:rPr>
          <w:rFonts w:ascii="Cambria" w:eastAsia="Times New Roman" w:hAnsi="Cambria" w:cs="Times New Roman"/>
          <w:color w:val="000000" w:themeColor="text1"/>
          <w:lang w:val="en-US" w:eastAsia="tr-TR"/>
        </w:rPr>
        <w:t xml:space="preserve"> (2009) indicates that metacognition has two related sets of skills: (a) Knowledge about one’s own thinking and (b) knowledge of how and when to use skills and strategies to complete the task successfully (p. 228). The maturity of learners, the nature of task and the strategies employed interact with each other when students engage in metacognitive activities (</w:t>
      </w:r>
      <w:proofErr w:type="spellStart"/>
      <w:r w:rsidRPr="00D32999">
        <w:rPr>
          <w:rFonts w:ascii="Cambria" w:eastAsia="Times New Roman" w:hAnsi="Cambria" w:cs="Times New Roman"/>
          <w:color w:val="000000" w:themeColor="text1"/>
          <w:lang w:val="en-US" w:eastAsia="tr-TR"/>
        </w:rPr>
        <w:t>Dunlosky</w:t>
      </w:r>
      <w:proofErr w:type="spellEnd"/>
      <w:r w:rsidRPr="00D32999">
        <w:rPr>
          <w:rFonts w:ascii="Cambria" w:eastAsia="Times New Roman" w:hAnsi="Cambria" w:cs="Times New Roman"/>
          <w:color w:val="000000" w:themeColor="text1"/>
          <w:lang w:val="en-US" w:eastAsia="tr-TR"/>
        </w:rPr>
        <w:t xml:space="preserve"> &amp; Metcalfe, 2009; </w:t>
      </w:r>
      <w:proofErr w:type="spellStart"/>
      <w:r w:rsidRPr="00D32999">
        <w:rPr>
          <w:rFonts w:ascii="Cambria" w:eastAsia="Times New Roman" w:hAnsi="Cambria" w:cs="Times New Roman"/>
          <w:color w:val="000000" w:themeColor="text1"/>
          <w:lang w:val="en-US" w:eastAsia="tr-TR"/>
        </w:rPr>
        <w:t>Gredler</w:t>
      </w:r>
      <w:proofErr w:type="spellEnd"/>
      <w:r w:rsidRPr="00D32999">
        <w:rPr>
          <w:rFonts w:ascii="Cambria" w:eastAsia="Times New Roman" w:hAnsi="Cambria" w:cs="Times New Roman"/>
          <w:color w:val="000000" w:themeColor="text1"/>
          <w:lang w:val="en-US" w:eastAsia="tr-TR"/>
        </w:rPr>
        <w:t xml:space="preserve">, 2009; &amp; </w:t>
      </w:r>
      <w:proofErr w:type="spellStart"/>
      <w:r w:rsidRPr="00D32999">
        <w:rPr>
          <w:rFonts w:ascii="Cambria" w:eastAsia="Times New Roman" w:hAnsi="Cambria" w:cs="Times New Roman"/>
          <w:color w:val="000000" w:themeColor="text1"/>
          <w:lang w:val="en-US" w:eastAsia="tr-TR"/>
        </w:rPr>
        <w:t>Schunk</w:t>
      </w:r>
      <w:proofErr w:type="spellEnd"/>
      <w:r w:rsidRPr="00D32999">
        <w:rPr>
          <w:rFonts w:ascii="Cambria" w:eastAsia="Times New Roman" w:hAnsi="Cambria" w:cs="Times New Roman"/>
          <w:color w:val="000000" w:themeColor="text1"/>
          <w:lang w:val="en-US" w:eastAsia="tr-TR"/>
        </w:rPr>
        <w:t xml:space="preserve">, 2012). </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 </w:t>
      </w:r>
      <w:proofErr w:type="spellStart"/>
      <w:r w:rsidRPr="00D32999">
        <w:rPr>
          <w:rFonts w:ascii="Cambria" w:eastAsia="Times New Roman" w:hAnsi="Cambria" w:cs="Times New Roman"/>
          <w:color w:val="000000" w:themeColor="text1"/>
          <w:lang w:val="en-US" w:eastAsia="tr-TR"/>
        </w:rPr>
        <w:t>Tu</w:t>
      </w:r>
      <w:proofErr w:type="spellEnd"/>
      <w:r w:rsidRPr="00D32999">
        <w:rPr>
          <w:rFonts w:ascii="Cambria" w:eastAsia="Times New Roman" w:hAnsi="Cambria" w:cs="Times New Roman"/>
          <w:color w:val="000000" w:themeColor="text1"/>
          <w:lang w:val="en-US" w:eastAsia="tr-TR"/>
        </w:rPr>
        <w:t>, Shih, and Tsai (2008) indicate that metacognitive skills have important roles in successful searches especially with regards to close-ended tasks. Finding, evaluating, and synthesizing the relevant information among a large number of resources require the use of metacognitive skills, which can be defined as “the ability to plan, monitor, and evaluate one’s own actions” (</w:t>
      </w:r>
      <w:proofErr w:type="spellStart"/>
      <w:r w:rsidRPr="00D32999">
        <w:rPr>
          <w:rFonts w:ascii="Cambria" w:eastAsia="Times New Roman" w:hAnsi="Cambria" w:cs="Times New Roman"/>
          <w:color w:val="000000" w:themeColor="text1"/>
          <w:lang w:val="en-US" w:eastAsia="tr-TR"/>
        </w:rPr>
        <w:t>Lazonder</w:t>
      </w:r>
      <w:proofErr w:type="spellEnd"/>
      <w:r w:rsidRPr="00D32999">
        <w:rPr>
          <w:rFonts w:ascii="Cambria" w:eastAsia="Times New Roman" w:hAnsi="Cambria" w:cs="Times New Roman"/>
          <w:color w:val="000000" w:themeColor="text1"/>
          <w:lang w:val="en-US" w:eastAsia="tr-TR"/>
        </w:rPr>
        <w:t xml:space="preserve"> &amp; </w:t>
      </w:r>
      <w:proofErr w:type="spellStart"/>
      <w:r w:rsidRPr="00D32999">
        <w:rPr>
          <w:rFonts w:ascii="Cambria" w:eastAsia="Times New Roman" w:hAnsi="Cambria" w:cs="Times New Roman"/>
          <w:color w:val="000000" w:themeColor="text1"/>
          <w:lang w:val="en-US" w:eastAsia="tr-TR"/>
        </w:rPr>
        <w:t>Rouet</w:t>
      </w:r>
      <w:proofErr w:type="spellEnd"/>
      <w:r w:rsidRPr="00D32999">
        <w:rPr>
          <w:rFonts w:ascii="Cambria" w:eastAsia="Times New Roman" w:hAnsi="Cambria" w:cs="Times New Roman"/>
          <w:color w:val="000000" w:themeColor="text1"/>
          <w:lang w:val="en-US" w:eastAsia="tr-TR"/>
        </w:rPr>
        <w:t>, 2007, p. 7). Woolfolk (2004) defines planning as making decisions within the time allotted, as well as determining on strategies to be used, the sources needed, and sequences to be followed to perform a task. Monitoring is defined as having an awareness of the performance. Evaluating is mainly about “making judgments about the processes and outcomes of thinking and learning” (Woolfolk, 2004, p. 257).</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Metacognitive skills are different from metacognitive knowledge. The former emphasizes self-regulatory activities throughout the problem solving process (</w:t>
      </w:r>
      <w:proofErr w:type="spellStart"/>
      <w:r w:rsidRPr="00D32999">
        <w:rPr>
          <w:rFonts w:ascii="Cambria" w:eastAsia="Times New Roman" w:hAnsi="Cambria" w:cs="Times New Roman"/>
          <w:color w:val="000000" w:themeColor="text1"/>
          <w:lang w:val="en-US" w:eastAsia="tr-TR"/>
        </w:rPr>
        <w:t>Veenman</w:t>
      </w:r>
      <w:proofErr w:type="spellEnd"/>
      <w:r w:rsidRPr="00D32999">
        <w:rPr>
          <w:rFonts w:ascii="Cambria" w:eastAsia="Times New Roman" w:hAnsi="Cambria" w:cs="Times New Roman"/>
          <w:color w:val="000000" w:themeColor="text1"/>
          <w:lang w:val="en-US" w:eastAsia="tr-TR"/>
        </w:rPr>
        <w:t xml:space="preserve">, </w:t>
      </w:r>
      <w:proofErr w:type="spellStart"/>
      <w:r w:rsidRPr="00D32999">
        <w:rPr>
          <w:rFonts w:ascii="Cambria" w:eastAsia="Times New Roman" w:hAnsi="Cambria" w:cs="Times New Roman"/>
          <w:color w:val="000000" w:themeColor="text1"/>
          <w:lang w:val="en-US" w:eastAsia="tr-TR"/>
        </w:rPr>
        <w:t>Prins</w:t>
      </w:r>
      <w:proofErr w:type="spellEnd"/>
      <w:r w:rsidRPr="00D32999">
        <w:rPr>
          <w:rFonts w:ascii="Cambria" w:eastAsia="Times New Roman" w:hAnsi="Cambria" w:cs="Times New Roman"/>
          <w:color w:val="000000" w:themeColor="text1"/>
          <w:lang w:val="en-US" w:eastAsia="tr-TR"/>
        </w:rPr>
        <w:t xml:space="preserve">, &amp; </w:t>
      </w:r>
      <w:proofErr w:type="spellStart"/>
      <w:r w:rsidRPr="00D32999">
        <w:rPr>
          <w:rFonts w:ascii="Cambria" w:eastAsia="Times New Roman" w:hAnsi="Cambria" w:cs="Times New Roman"/>
          <w:color w:val="000000" w:themeColor="text1"/>
          <w:lang w:val="en-US" w:eastAsia="tr-TR"/>
        </w:rPr>
        <w:t>Elshout</w:t>
      </w:r>
      <w:proofErr w:type="spellEnd"/>
      <w:r w:rsidRPr="00D32999">
        <w:rPr>
          <w:rFonts w:ascii="Cambria" w:eastAsia="Times New Roman" w:hAnsi="Cambria" w:cs="Times New Roman"/>
          <w:color w:val="000000" w:themeColor="text1"/>
          <w:lang w:val="en-US" w:eastAsia="tr-TR"/>
        </w:rPr>
        <w:t>, 2002), whereas the latter is contingent upon the interaction among characteristics of a person, the task, and his/her available strategies (</w:t>
      </w:r>
      <w:proofErr w:type="spellStart"/>
      <w:r w:rsidRPr="00D32999">
        <w:rPr>
          <w:rFonts w:ascii="Cambria" w:eastAsia="Times New Roman" w:hAnsi="Cambria" w:cs="Times New Roman"/>
          <w:color w:val="000000" w:themeColor="text1"/>
          <w:lang w:val="en-US" w:eastAsia="tr-TR"/>
        </w:rPr>
        <w:t>Flavell</w:t>
      </w:r>
      <w:proofErr w:type="spellEnd"/>
      <w:r w:rsidRPr="00D32999">
        <w:rPr>
          <w:rFonts w:ascii="Cambria" w:eastAsia="Times New Roman" w:hAnsi="Cambria" w:cs="Times New Roman"/>
          <w:color w:val="000000" w:themeColor="text1"/>
          <w:lang w:val="en-US" w:eastAsia="tr-TR"/>
        </w:rPr>
        <w:t>, 1979). While metacognitive skills require procedural knowledge, metacognitive knowledge typically deals with declarative knowledge (</w:t>
      </w:r>
      <w:proofErr w:type="spellStart"/>
      <w:r w:rsidRPr="00D32999">
        <w:rPr>
          <w:rFonts w:ascii="Cambria" w:eastAsia="Times New Roman" w:hAnsi="Cambria" w:cs="Times New Roman"/>
          <w:color w:val="000000" w:themeColor="text1"/>
          <w:lang w:val="en-US" w:eastAsia="tr-TR"/>
        </w:rPr>
        <w:t>Veenman</w:t>
      </w:r>
      <w:proofErr w:type="spellEnd"/>
      <w:r w:rsidRPr="00D32999">
        <w:rPr>
          <w:rFonts w:ascii="Cambria" w:eastAsia="Times New Roman" w:hAnsi="Cambria" w:cs="Times New Roman"/>
          <w:color w:val="000000" w:themeColor="text1"/>
          <w:lang w:val="en-US" w:eastAsia="tr-TR"/>
        </w:rPr>
        <w:t xml:space="preserve"> &amp; </w:t>
      </w:r>
      <w:proofErr w:type="spellStart"/>
      <w:r w:rsidRPr="00D32999">
        <w:rPr>
          <w:rFonts w:ascii="Cambria" w:eastAsia="Times New Roman" w:hAnsi="Cambria" w:cs="Times New Roman"/>
          <w:color w:val="000000" w:themeColor="text1"/>
          <w:lang w:val="en-US" w:eastAsia="tr-TR"/>
        </w:rPr>
        <w:t>Spaans</w:t>
      </w:r>
      <w:proofErr w:type="spellEnd"/>
      <w:r w:rsidRPr="00D32999">
        <w:rPr>
          <w:rFonts w:ascii="Cambria" w:eastAsia="Times New Roman" w:hAnsi="Cambria" w:cs="Times New Roman"/>
          <w:color w:val="000000" w:themeColor="text1"/>
          <w:lang w:val="en-US" w:eastAsia="tr-TR"/>
        </w:rPr>
        <w:t xml:space="preserve">, 2005). Metacognitive knowledge enhances and develops between the ages of 4-6 while metacognitive skills starts to improve when children come to the age of 11-12.  An individual’s metacognitive skills have influence on both learning processes and achievement (Sánchez-Alonso &amp; </w:t>
      </w:r>
      <w:proofErr w:type="spellStart"/>
      <w:r w:rsidRPr="00D32999">
        <w:rPr>
          <w:rFonts w:ascii="Cambria" w:eastAsia="Times New Roman" w:hAnsi="Cambria" w:cs="Times New Roman"/>
          <w:color w:val="000000" w:themeColor="text1"/>
          <w:lang w:val="en-US" w:eastAsia="tr-TR"/>
        </w:rPr>
        <w:t>Vovides</w:t>
      </w:r>
      <w:proofErr w:type="spellEnd"/>
      <w:r w:rsidRPr="00D32999">
        <w:rPr>
          <w:rFonts w:ascii="Cambria" w:eastAsia="Times New Roman" w:hAnsi="Cambria" w:cs="Times New Roman"/>
          <w:color w:val="000000" w:themeColor="text1"/>
          <w:lang w:val="en-US" w:eastAsia="tr-TR"/>
        </w:rPr>
        <w:t>, 2007), and can be improved through practice (</w:t>
      </w:r>
      <w:proofErr w:type="spellStart"/>
      <w:r w:rsidRPr="00D32999">
        <w:rPr>
          <w:rFonts w:ascii="Cambria" w:eastAsia="Times New Roman" w:hAnsi="Cambria" w:cs="Times New Roman"/>
          <w:color w:val="000000" w:themeColor="text1"/>
          <w:lang w:val="en-US" w:eastAsia="tr-TR"/>
        </w:rPr>
        <w:t>Flavell</w:t>
      </w:r>
      <w:proofErr w:type="spellEnd"/>
      <w:r w:rsidRPr="00D32999">
        <w:rPr>
          <w:rFonts w:ascii="Cambria" w:eastAsia="Times New Roman" w:hAnsi="Cambria" w:cs="Times New Roman"/>
          <w:color w:val="000000" w:themeColor="text1"/>
          <w:lang w:val="en-US" w:eastAsia="tr-TR"/>
        </w:rPr>
        <w:t>, 1979). The literature provides evidence about the successful trainings of metacognitive skills (</w:t>
      </w:r>
      <w:proofErr w:type="spellStart"/>
      <w:r w:rsidRPr="00D32999">
        <w:rPr>
          <w:rFonts w:ascii="Cambria" w:eastAsia="Times New Roman" w:hAnsi="Cambria" w:cs="Times New Roman"/>
          <w:color w:val="000000" w:themeColor="text1"/>
          <w:lang w:val="en-US" w:eastAsia="tr-TR"/>
        </w:rPr>
        <w:t>Veenman</w:t>
      </w:r>
      <w:proofErr w:type="spellEnd"/>
      <w:r w:rsidRPr="00D32999">
        <w:rPr>
          <w:rFonts w:ascii="Cambria" w:eastAsia="Times New Roman" w:hAnsi="Cambria" w:cs="Times New Roman"/>
          <w:color w:val="000000" w:themeColor="text1"/>
          <w:lang w:val="en-US" w:eastAsia="tr-TR"/>
        </w:rPr>
        <w:t xml:space="preserve"> &amp; </w:t>
      </w:r>
      <w:proofErr w:type="spellStart"/>
      <w:r w:rsidRPr="00D32999">
        <w:rPr>
          <w:rFonts w:ascii="Cambria" w:eastAsia="Times New Roman" w:hAnsi="Cambria" w:cs="Times New Roman"/>
          <w:color w:val="000000" w:themeColor="text1"/>
          <w:lang w:val="en-US" w:eastAsia="tr-TR"/>
        </w:rPr>
        <w:t>Spaans</w:t>
      </w:r>
      <w:proofErr w:type="spellEnd"/>
      <w:r w:rsidRPr="00D32999">
        <w:rPr>
          <w:rFonts w:ascii="Cambria" w:eastAsia="Times New Roman" w:hAnsi="Cambria" w:cs="Times New Roman"/>
          <w:color w:val="000000" w:themeColor="text1"/>
          <w:lang w:val="en-US" w:eastAsia="tr-TR"/>
        </w:rPr>
        <w:t>, 2005).</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Although the word metacognition was not used evidently, early studies tried to measure monitoring skills under the name of feeling of knowing, judgment of learning, and etc. (Perfect &amp; Schwartz, 2002). There are some classifications used in measuring metacognitive skills in the literature (Butterfield, Nelson. &amp; Peck, 1988; </w:t>
      </w:r>
      <w:proofErr w:type="spellStart"/>
      <w:r w:rsidRPr="00D32999">
        <w:rPr>
          <w:rFonts w:ascii="Cambria" w:eastAsia="Times New Roman" w:hAnsi="Cambria" w:cs="Times New Roman"/>
          <w:color w:val="000000" w:themeColor="text1"/>
          <w:lang w:val="en-US" w:eastAsia="tr-TR"/>
        </w:rPr>
        <w:t>Mazzoni</w:t>
      </w:r>
      <w:proofErr w:type="spellEnd"/>
      <w:r w:rsidRPr="00D32999">
        <w:rPr>
          <w:rFonts w:ascii="Cambria" w:eastAsia="Times New Roman" w:hAnsi="Cambria" w:cs="Times New Roman"/>
          <w:color w:val="000000" w:themeColor="text1"/>
          <w:lang w:val="en-US" w:eastAsia="tr-TR"/>
        </w:rPr>
        <w:t xml:space="preserve"> &amp; Kirsch, 2002; Nelson &amp; </w:t>
      </w:r>
      <w:proofErr w:type="spellStart"/>
      <w:r w:rsidRPr="00D32999">
        <w:rPr>
          <w:rFonts w:ascii="Cambria" w:eastAsia="Times New Roman" w:hAnsi="Cambria" w:cs="Times New Roman"/>
          <w:color w:val="000000" w:themeColor="text1"/>
          <w:lang w:val="en-US" w:eastAsia="tr-TR"/>
        </w:rPr>
        <w:t>Naren</w:t>
      </w:r>
      <w:proofErr w:type="spellEnd"/>
      <w:r w:rsidRPr="00D32999">
        <w:rPr>
          <w:rFonts w:ascii="Cambria" w:eastAsia="Times New Roman" w:hAnsi="Cambria" w:cs="Times New Roman"/>
          <w:color w:val="000000" w:themeColor="text1"/>
          <w:lang w:val="en-US" w:eastAsia="tr-TR"/>
        </w:rPr>
        <w:t xml:space="preserve">. 1990; </w:t>
      </w:r>
      <w:proofErr w:type="spellStart"/>
      <w:r w:rsidRPr="00D32999">
        <w:rPr>
          <w:rFonts w:ascii="Cambria" w:eastAsia="Times New Roman" w:hAnsi="Cambria" w:cs="Times New Roman"/>
          <w:color w:val="000000" w:themeColor="text1"/>
          <w:lang w:val="en-US" w:eastAsia="tr-TR"/>
        </w:rPr>
        <w:t>Pintrich</w:t>
      </w:r>
      <w:proofErr w:type="spellEnd"/>
      <w:r w:rsidRPr="00D32999">
        <w:rPr>
          <w:rFonts w:ascii="Cambria" w:eastAsia="Times New Roman" w:hAnsi="Cambria" w:cs="Times New Roman"/>
          <w:color w:val="000000" w:themeColor="text1"/>
          <w:lang w:val="en-US" w:eastAsia="tr-TR"/>
        </w:rPr>
        <w:t xml:space="preserve">, Smith, Garcia, &amp; </w:t>
      </w:r>
      <w:proofErr w:type="spellStart"/>
      <w:r w:rsidRPr="00D32999">
        <w:rPr>
          <w:rFonts w:ascii="Cambria" w:eastAsia="Times New Roman" w:hAnsi="Cambria" w:cs="Times New Roman"/>
          <w:color w:val="000000" w:themeColor="text1"/>
          <w:lang w:val="en-US" w:eastAsia="tr-TR"/>
        </w:rPr>
        <w:t>McKeachie</w:t>
      </w:r>
      <w:proofErr w:type="spellEnd"/>
      <w:r w:rsidRPr="00D32999">
        <w:rPr>
          <w:rFonts w:ascii="Cambria" w:eastAsia="Times New Roman" w:hAnsi="Cambria" w:cs="Times New Roman"/>
          <w:color w:val="000000" w:themeColor="text1"/>
          <w:lang w:val="en-US" w:eastAsia="tr-TR"/>
        </w:rPr>
        <w:t>, 1991; Zimmerman &amp; Martinez-Pons, 1988). Most of these classifications generally include monitoring and control. Along with these, there are more focused classifications such as planning skills that are essential for effective Internet searching (</w:t>
      </w:r>
      <w:proofErr w:type="spellStart"/>
      <w:r w:rsidRPr="00D32999">
        <w:rPr>
          <w:rFonts w:ascii="Cambria" w:eastAsia="Times New Roman" w:hAnsi="Cambria" w:cs="Times New Roman"/>
          <w:color w:val="000000" w:themeColor="text1"/>
          <w:lang w:val="en-US" w:eastAsia="tr-TR"/>
        </w:rPr>
        <w:t>Lazonder</w:t>
      </w:r>
      <w:proofErr w:type="spellEnd"/>
      <w:r w:rsidRPr="00D32999">
        <w:rPr>
          <w:rFonts w:ascii="Cambria" w:eastAsia="Times New Roman" w:hAnsi="Cambria" w:cs="Times New Roman"/>
          <w:color w:val="000000" w:themeColor="text1"/>
          <w:lang w:val="en-US" w:eastAsia="tr-TR"/>
        </w:rPr>
        <w:t xml:space="preserve"> &amp; </w:t>
      </w:r>
      <w:proofErr w:type="spellStart"/>
      <w:r w:rsidRPr="00D32999">
        <w:rPr>
          <w:rFonts w:ascii="Cambria" w:eastAsia="Times New Roman" w:hAnsi="Cambria" w:cs="Times New Roman"/>
          <w:color w:val="000000" w:themeColor="text1"/>
          <w:lang w:val="en-US" w:eastAsia="tr-TR"/>
        </w:rPr>
        <w:t>Rouet</w:t>
      </w:r>
      <w:proofErr w:type="spellEnd"/>
      <w:r w:rsidRPr="00D32999">
        <w:rPr>
          <w:rFonts w:ascii="Cambria" w:eastAsia="Times New Roman" w:hAnsi="Cambria" w:cs="Times New Roman"/>
          <w:color w:val="000000" w:themeColor="text1"/>
          <w:lang w:val="en-US" w:eastAsia="tr-TR"/>
        </w:rPr>
        <w:t xml:space="preserve">, 2007). In creating the metacognitive skills inventory for Internet search (MSIIS), which </w:t>
      </w:r>
      <w:r w:rsidRPr="00D32999">
        <w:rPr>
          <w:rFonts w:ascii="Cambria" w:eastAsia="Times New Roman" w:hAnsi="Cambria" w:cs="Times New Roman"/>
          <w:color w:val="000000" w:themeColor="text1"/>
          <w:lang w:val="en-US" w:eastAsia="tr-TR"/>
        </w:rPr>
        <w:lastRenderedPageBreak/>
        <w:t xml:space="preserve">aims to measure the metacognition needed for effective Internet searching, we used the framework proposed by Quintana, Zhang, and </w:t>
      </w:r>
      <w:proofErr w:type="spellStart"/>
      <w:r w:rsidRPr="00D32999">
        <w:rPr>
          <w:rFonts w:ascii="Cambria" w:eastAsia="Times New Roman" w:hAnsi="Cambria" w:cs="Times New Roman"/>
          <w:color w:val="000000" w:themeColor="text1"/>
          <w:lang w:val="en-US" w:eastAsia="tr-TR"/>
        </w:rPr>
        <w:t>Krajcik</w:t>
      </w:r>
      <w:proofErr w:type="spellEnd"/>
      <w:r w:rsidRPr="00D32999">
        <w:rPr>
          <w:rFonts w:ascii="Cambria" w:eastAsia="Times New Roman" w:hAnsi="Cambria" w:cs="Times New Roman"/>
          <w:color w:val="000000" w:themeColor="text1"/>
          <w:lang w:val="en-US" w:eastAsia="tr-TR"/>
        </w:rPr>
        <w:t xml:space="preserve"> (2005).</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In Quintana et al.’s (2005) framework, the main focus is on the metacognitive challenges of online inquiry and the target population constitutes middle and high school students. The metacognitive challenges in the framework are categorized into three: (1) task understanding and planning (TUP); (2) monitoring and regulation (MR); and (3) reflection (R). TUP consists of knowledge related to the cognitive nature, demands, and strategies needed to complete given tasks, and a series of actions that should take place. MR requires identification of the current task, evaluation of one’s progress, prediction of the outcomes and decisions for the distribution of resources, and speed and intensity of steps. R includes a deliberate thinking about both the processes invoked and the outcomes achieved. </w:t>
      </w:r>
    </w:p>
    <w:p w:rsidR="00D32999" w:rsidRPr="00D32999" w:rsidRDefault="00D32999" w:rsidP="00D32999">
      <w:pPr>
        <w:spacing w:after="0" w:line="240" w:lineRule="auto"/>
        <w:ind w:firstLine="567"/>
        <w:jc w:val="both"/>
        <w:rPr>
          <w:rFonts w:ascii="Cambria" w:eastAsia="Times New Roman" w:hAnsi="Cambria" w:cs="Times New Roman"/>
          <w:color w:val="000000" w:themeColor="text1"/>
          <w:lang w:val="en-US" w:eastAsia="tr-TR"/>
        </w:rPr>
      </w:pPr>
      <w:r w:rsidRPr="00D32999">
        <w:rPr>
          <w:rFonts w:ascii="Cambria" w:eastAsia="Times New Roman" w:hAnsi="Cambria" w:cs="Times New Roman"/>
          <w:color w:val="000000" w:themeColor="text1"/>
          <w:lang w:val="en-US" w:eastAsia="tr-TR"/>
        </w:rPr>
        <w:t xml:space="preserve">During online inquiry, learners engage in certain cognitive activities (Quintana et al. 2005). An inquiry starts with asking questions. During this time, learners, especially the novice ones, may ask poor or inappropriate questions for the aim of the inquiry, give up when needed information was not found, and have no idea about the content and the quality of their questions. The next step of online inquiry is searching; during which novice learners may expect to find everything they need on one Web site, and make no plans to complete additional sub-steps, do not develop keywords and spend time without considering other activities, and fail to reflect on the efficacy of the search process. During evaluation and reading activities, novices may not have clear purposes for reading, and the process fails to go beyond skimming. While reading, novice learners can easily be distracted and fail to monitor their comprehension. In addition, they fail to reflect on the quality of resources. The last cognitive activity is synthesizing during which novices tend to just copy and paste from a resource, use inadequate criteria for the quality of the final product, and reflect very little on gathered (rather than synthesized) information to build the final argument. </w:t>
      </w:r>
    </w:p>
    <w:p w:rsidR="009303FF" w:rsidRDefault="00D32999" w:rsidP="00D32999">
      <w:pPr>
        <w:spacing w:after="0" w:line="240" w:lineRule="auto"/>
        <w:ind w:firstLine="567"/>
        <w:jc w:val="both"/>
        <w:rPr>
          <w:rFonts w:ascii="Cambria" w:eastAsia="Times New Roman" w:hAnsi="Cambria" w:cs="Times New Roman"/>
          <w:lang w:eastAsia="tr-TR"/>
        </w:rPr>
      </w:pPr>
      <w:r w:rsidRPr="00D32999">
        <w:rPr>
          <w:rFonts w:ascii="Cambria" w:eastAsia="Times New Roman" w:hAnsi="Cambria" w:cs="Times New Roman"/>
          <w:color w:val="000000" w:themeColor="text1"/>
          <w:lang w:val="en-US" w:eastAsia="tr-TR"/>
        </w:rPr>
        <w:t>In the literature, there are varieties of instruments that measure metacognition. These include State Metacognitive Inventory, Metacognitive Awareness Inventory and Metacognitive Skills Inventory. However, most of these instruments are not specific to web search context. Hence, there is a need to develop a new instrument that measures the metacognitive skills utilized by students for the Internet search within educational boundaries. Internet search is one of the important ways to access information and therefore can be referred as basics of 21</w:t>
      </w:r>
      <w:r w:rsidRPr="00D32999">
        <w:rPr>
          <w:rFonts w:ascii="Cambria" w:eastAsia="Times New Roman" w:hAnsi="Cambria" w:cs="Times New Roman"/>
          <w:color w:val="000000" w:themeColor="text1"/>
          <w:vertAlign w:val="superscript"/>
          <w:lang w:val="en-US" w:eastAsia="tr-TR"/>
        </w:rPr>
        <w:t>st</w:t>
      </w:r>
      <w:r w:rsidRPr="00D32999">
        <w:rPr>
          <w:rFonts w:ascii="Cambria" w:eastAsia="Times New Roman" w:hAnsi="Cambria" w:cs="Times New Roman"/>
          <w:color w:val="000000" w:themeColor="text1"/>
          <w:lang w:val="en-US" w:eastAsia="tr-TR"/>
        </w:rPr>
        <w:t xml:space="preserve"> century skills. In classical information literacy, discriminating valid, reliable, current, accurate, and related information from the rest of the resources is necessary. Having its roots from that construct, digital literacy extends the boundaries of information. Online resources are very hard to manage in comparison to traditional resources such as books, periodicals, etc. Dealing with the online resources may require different skills due to the existence of such tools as search engines. As a result, this study is an attempt to shape the boundaries of metacognitive skills utilized for Internet searching. The purpose of this study is two-folded: (1) to determine and extract a set of common dimensions of metacognition among an item pool based on the framework; (2) to test and confirm the patterns of metacognition used for Internet search. The theoretical framework was used only for deciding on the content of items, thus the aim is not to confirm the group of constructs parallel to Quintana et al.’s (2005). Throughout the paper, the procedures followed in the development of the instrument, the characteristics of the subjects, and the final version of the instrument after EFA and CFA will be explained. In addition, the analysis to compare the mean scores of subscale will be reported.</w:t>
      </w:r>
      <w:r>
        <w:rPr>
          <w:rFonts w:ascii="Cambria" w:eastAsia="Times New Roman" w:hAnsi="Cambria" w:cs="Times New Roman"/>
          <w:color w:val="000000" w:themeColor="text1"/>
          <w:lang w:val="en-US" w:eastAsia="tr-TR"/>
        </w:rPr>
        <w:t xml:space="preserve"> </w:t>
      </w:r>
      <w:r w:rsidR="002D5974" w:rsidRPr="000F5FB8">
        <w:rPr>
          <w:rFonts w:ascii="Cambria" w:eastAsia="Times New Roman" w:hAnsi="Cambria" w:cs="Times New Roman"/>
          <w:color w:val="000000" w:themeColor="text1"/>
          <w:lang w:eastAsia="tr-TR"/>
        </w:rPr>
        <w:t xml:space="preserve">It includes information about the purpose, significance, conceptual – theoretical framework and study in general. </w:t>
      </w:r>
    </w:p>
    <w:p w:rsidR="002D5974" w:rsidRPr="000F5FB8" w:rsidRDefault="002D5974" w:rsidP="00C15C89">
      <w:pPr>
        <w:pStyle w:val="Heading2"/>
        <w:spacing w:before="100" w:beforeAutospacing="1" w:after="100" w:afterAutospacing="1" w:line="240" w:lineRule="auto"/>
        <w:jc w:val="center"/>
        <w:rPr>
          <w:rFonts w:ascii="Cambria" w:hAnsi="Cambria" w:cs="Times New Roman"/>
          <w:b/>
          <w:color w:val="auto"/>
          <w:sz w:val="22"/>
          <w:szCs w:val="22"/>
        </w:rPr>
      </w:pPr>
      <w:r w:rsidRPr="000F5FB8">
        <w:rPr>
          <w:rFonts w:ascii="Cambria" w:hAnsi="Cambria" w:cs="Times New Roman"/>
          <w:b/>
          <w:color w:val="auto"/>
          <w:sz w:val="22"/>
          <w:szCs w:val="22"/>
        </w:rPr>
        <w:t>METHOD</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The methodology followed in the development process of MSIIS is explained in four titles. In the first part, the development process of the items is introduced, then exploratory factor analysis and revisions are explained, and then confirmatory factor analysis is summarized. Finally, the procedures to ensure validity and reliability of the instrument are provided. The overall process of the study is demonstrated in Figure 1.</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noProof/>
          <w:color w:val="000000"/>
          <w:lang w:eastAsia="tr-TR"/>
        </w:rPr>
        <w:lastRenderedPageBreak/>
        <w:drawing>
          <wp:inline distT="0" distB="0" distL="0" distR="0" wp14:anchorId="2BC554BD" wp14:editId="4C50B179">
            <wp:extent cx="3379763" cy="2700997"/>
            <wp:effectExtent l="76200" t="38100" r="495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505C9" w:rsidRPr="007078C1" w:rsidRDefault="007078C1" w:rsidP="003505C9">
      <w:pPr>
        <w:spacing w:after="0" w:line="240" w:lineRule="auto"/>
        <w:ind w:firstLine="567"/>
        <w:jc w:val="both"/>
        <w:rPr>
          <w:rFonts w:ascii="Cambria" w:eastAsia="Times New Roman" w:hAnsi="Cambria" w:cs="Times New Roman"/>
          <w:color w:val="000000"/>
          <w:sz w:val="20"/>
          <w:szCs w:val="20"/>
          <w:lang w:val="en-US" w:eastAsia="tr-TR"/>
        </w:rPr>
      </w:pPr>
      <w:r w:rsidRPr="007078C1">
        <w:rPr>
          <w:rFonts w:ascii="Cambria" w:eastAsia="Times New Roman" w:hAnsi="Cambria" w:cs="Times New Roman"/>
          <w:b/>
          <w:color w:val="000000"/>
          <w:sz w:val="20"/>
          <w:szCs w:val="20"/>
          <w:lang w:val="en-US" w:eastAsia="tr-TR"/>
        </w:rPr>
        <w:t>FIGURE 1</w:t>
      </w:r>
      <w:r w:rsidR="003505C9" w:rsidRPr="007078C1">
        <w:rPr>
          <w:rFonts w:ascii="Cambria" w:eastAsia="Times New Roman" w:hAnsi="Cambria" w:cs="Times New Roman"/>
          <w:b/>
          <w:color w:val="000000"/>
          <w:sz w:val="20"/>
          <w:szCs w:val="20"/>
          <w:lang w:val="en-US" w:eastAsia="tr-TR"/>
        </w:rPr>
        <w:t>.</w:t>
      </w:r>
      <w:r w:rsidR="003505C9" w:rsidRPr="007078C1">
        <w:rPr>
          <w:rFonts w:ascii="Cambria" w:eastAsia="Times New Roman" w:hAnsi="Cambria" w:cs="Times New Roman"/>
          <w:color w:val="000000"/>
          <w:sz w:val="20"/>
          <w:szCs w:val="20"/>
          <w:lang w:val="en-US" w:eastAsia="tr-TR"/>
        </w:rPr>
        <w:t xml:space="preserve"> </w:t>
      </w:r>
      <w:r w:rsidR="003505C9" w:rsidRPr="007078C1">
        <w:rPr>
          <w:rFonts w:ascii="Cambria" w:eastAsia="Times New Roman" w:hAnsi="Cambria" w:cs="Times New Roman"/>
          <w:i/>
          <w:color w:val="000000"/>
          <w:sz w:val="20"/>
          <w:szCs w:val="20"/>
          <w:lang w:val="en-US" w:eastAsia="tr-TR"/>
        </w:rPr>
        <w:t>Procedures of the study</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3505C9" w:rsidRDefault="003505C9" w:rsidP="00D15434">
      <w:pPr>
        <w:spacing w:after="0" w:line="240" w:lineRule="auto"/>
        <w:contextualSpacing/>
        <w:jc w:val="both"/>
        <w:rPr>
          <w:rFonts w:ascii="Cambria" w:eastAsia="Times New Roman" w:hAnsi="Cambria" w:cs="Times New Roman"/>
          <w:b/>
          <w:color w:val="000000"/>
          <w:lang w:val="en-US" w:eastAsia="tr-TR"/>
        </w:rPr>
      </w:pPr>
      <w:r w:rsidRPr="003505C9">
        <w:rPr>
          <w:rFonts w:ascii="Cambria" w:eastAsia="Times New Roman" w:hAnsi="Cambria" w:cs="Times New Roman"/>
          <w:b/>
          <w:color w:val="000000"/>
          <w:lang w:val="en-US" w:eastAsia="tr-TR"/>
        </w:rPr>
        <w:t>MSIIS Items Pool Development Process</w:t>
      </w:r>
    </w:p>
    <w:p w:rsidR="003505C9" w:rsidRPr="003505C9" w:rsidRDefault="003505C9" w:rsidP="00D15434">
      <w:pPr>
        <w:spacing w:after="0" w:line="240" w:lineRule="auto"/>
        <w:contextualSpacing/>
        <w:jc w:val="both"/>
        <w:rPr>
          <w:rFonts w:ascii="Cambria" w:eastAsia="Times New Roman" w:hAnsi="Cambria" w:cs="Times New Roman"/>
          <w:b/>
          <w:color w:val="000000"/>
          <w:lang w:val="en-US" w:eastAsia="tr-TR"/>
        </w:rPr>
      </w:pPr>
    </w:p>
    <w:p w:rsidR="003505C9" w:rsidRDefault="003505C9" w:rsidP="008E11E2">
      <w:pPr>
        <w:spacing w:after="0" w:line="240" w:lineRule="auto"/>
        <w:contextualSpacing/>
        <w:jc w:val="both"/>
        <w:rPr>
          <w:rFonts w:ascii="Cambria" w:eastAsia="Times New Roman" w:hAnsi="Cambria" w:cs="Times New Roman"/>
          <w:b/>
          <w:i/>
          <w:color w:val="000000"/>
          <w:lang w:val="en-US" w:eastAsia="tr-TR"/>
        </w:rPr>
      </w:pPr>
      <w:r w:rsidRPr="00D15434">
        <w:rPr>
          <w:rFonts w:ascii="Cambria" w:eastAsia="Times New Roman" w:hAnsi="Cambria" w:cs="Times New Roman"/>
          <w:b/>
          <w:i/>
          <w:color w:val="000000"/>
          <w:lang w:val="en-US" w:eastAsia="tr-TR"/>
        </w:rPr>
        <w:t xml:space="preserve">Literature Review </w:t>
      </w:r>
    </w:p>
    <w:p w:rsidR="008E11E2" w:rsidRPr="008E11E2" w:rsidRDefault="008E11E2" w:rsidP="008E11E2">
      <w:pPr>
        <w:spacing w:after="0" w:line="240" w:lineRule="auto"/>
        <w:contextualSpacing/>
        <w:jc w:val="both"/>
        <w:rPr>
          <w:rFonts w:ascii="Cambria" w:eastAsia="Times New Roman" w:hAnsi="Cambria" w:cs="Times New Roman"/>
          <w:b/>
          <w:i/>
          <w:color w:val="000000"/>
          <w:lang w:val="en-US" w:eastAsia="tr-TR"/>
        </w:rPr>
      </w:pPr>
    </w:p>
    <w:p w:rsidR="003505C9" w:rsidRPr="008E11E2" w:rsidRDefault="003505C9" w:rsidP="008E11E2">
      <w:pPr>
        <w:spacing w:after="0" w:line="240" w:lineRule="auto"/>
        <w:ind w:firstLine="567"/>
        <w:contextualSpacing/>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The first stage of the development of the current instrument was to write an inclusive item pool. In order to find out subcategories related to metacognitive skills, the literature was reviewed (Butterfield, Nelson. &amp; Peck, 1988; </w:t>
      </w:r>
      <w:proofErr w:type="spellStart"/>
      <w:r w:rsidRPr="003505C9">
        <w:rPr>
          <w:rFonts w:ascii="Cambria" w:eastAsia="Times New Roman" w:hAnsi="Cambria" w:cs="Times New Roman"/>
          <w:color w:val="000000"/>
          <w:lang w:val="en-US" w:eastAsia="tr-TR"/>
        </w:rPr>
        <w:t>Lazonder</w:t>
      </w:r>
      <w:proofErr w:type="spellEnd"/>
      <w:r w:rsidRPr="003505C9">
        <w:rPr>
          <w:rFonts w:ascii="Cambria" w:eastAsia="Times New Roman" w:hAnsi="Cambria" w:cs="Times New Roman"/>
          <w:color w:val="000000"/>
          <w:lang w:val="en-US" w:eastAsia="tr-TR"/>
        </w:rPr>
        <w:t xml:space="preserve"> &amp; </w:t>
      </w:r>
      <w:proofErr w:type="spellStart"/>
      <w:r w:rsidRPr="003505C9">
        <w:rPr>
          <w:rFonts w:ascii="Cambria" w:eastAsia="Times New Roman" w:hAnsi="Cambria" w:cs="Times New Roman"/>
          <w:color w:val="000000"/>
          <w:lang w:val="en-US" w:eastAsia="tr-TR"/>
        </w:rPr>
        <w:t>Rouet</w:t>
      </w:r>
      <w:proofErr w:type="spellEnd"/>
      <w:r w:rsidRPr="003505C9">
        <w:rPr>
          <w:rFonts w:ascii="Cambria" w:eastAsia="Times New Roman" w:hAnsi="Cambria" w:cs="Times New Roman"/>
          <w:color w:val="000000"/>
          <w:lang w:val="en-US" w:eastAsia="tr-TR"/>
        </w:rPr>
        <w:t xml:space="preserve">, 2007; </w:t>
      </w:r>
      <w:proofErr w:type="spellStart"/>
      <w:r w:rsidRPr="003505C9">
        <w:rPr>
          <w:rFonts w:ascii="Cambria" w:eastAsia="Times New Roman" w:hAnsi="Cambria" w:cs="Times New Roman"/>
          <w:color w:val="000000"/>
          <w:lang w:val="en-US" w:eastAsia="tr-TR"/>
        </w:rPr>
        <w:t>Mazzoni</w:t>
      </w:r>
      <w:proofErr w:type="spellEnd"/>
      <w:r w:rsidRPr="003505C9">
        <w:rPr>
          <w:rFonts w:ascii="Cambria" w:eastAsia="Times New Roman" w:hAnsi="Cambria" w:cs="Times New Roman"/>
          <w:color w:val="000000"/>
          <w:lang w:val="en-US" w:eastAsia="tr-TR"/>
        </w:rPr>
        <w:t xml:space="preserve"> &amp; Kirsch, 2002; Nelson &amp; </w:t>
      </w:r>
      <w:proofErr w:type="spellStart"/>
      <w:r w:rsidRPr="003505C9">
        <w:rPr>
          <w:rFonts w:ascii="Cambria" w:eastAsia="Times New Roman" w:hAnsi="Cambria" w:cs="Times New Roman"/>
          <w:color w:val="000000"/>
          <w:lang w:val="en-US" w:eastAsia="tr-TR"/>
        </w:rPr>
        <w:t>Naren</w:t>
      </w:r>
      <w:proofErr w:type="spellEnd"/>
      <w:r w:rsidRPr="003505C9">
        <w:rPr>
          <w:rFonts w:ascii="Cambria" w:eastAsia="Times New Roman" w:hAnsi="Cambria" w:cs="Times New Roman"/>
          <w:color w:val="000000"/>
          <w:lang w:val="en-US" w:eastAsia="tr-TR"/>
        </w:rPr>
        <w:t xml:space="preserve">, 1990; </w:t>
      </w:r>
      <w:proofErr w:type="spellStart"/>
      <w:r w:rsidRPr="003505C9">
        <w:rPr>
          <w:rFonts w:ascii="Cambria" w:eastAsia="Times New Roman" w:hAnsi="Cambria" w:cs="Times New Roman"/>
          <w:color w:val="000000"/>
          <w:lang w:val="en-US" w:eastAsia="tr-TR"/>
        </w:rPr>
        <w:t>Pintrich</w:t>
      </w:r>
      <w:proofErr w:type="spellEnd"/>
      <w:r w:rsidRPr="003505C9">
        <w:rPr>
          <w:rFonts w:ascii="Cambria" w:eastAsia="Times New Roman" w:hAnsi="Cambria" w:cs="Times New Roman"/>
          <w:color w:val="000000"/>
          <w:lang w:val="en-US" w:eastAsia="tr-TR"/>
        </w:rPr>
        <w:t xml:space="preserve"> et al., 1991; Quintana et al., 2005; Zimmerman &amp; Martinez-Pons, 1988). It was explored that Quintana et al.’s (2005) framework includes all metacognitive categories specified in the literature. Moreover, this framework was designed specifically for the Internet search process completed by middle and high school students, and therefore the categories were more specific.  Considering that framework, metacognitive skills used during the Internet search were classified into five categories: task understanding, planning, monitoring, regulation, and reflection. Based on five categories, 57 items were developed. During this process, </w:t>
      </w:r>
      <w:proofErr w:type="spellStart"/>
      <w:r w:rsidRPr="003505C9">
        <w:rPr>
          <w:rFonts w:ascii="Cambria" w:eastAsia="Times New Roman" w:hAnsi="Cambria" w:cs="Times New Roman"/>
          <w:color w:val="000000"/>
          <w:lang w:val="en-US" w:eastAsia="tr-TR"/>
        </w:rPr>
        <w:t>Roedel</w:t>
      </w:r>
      <w:proofErr w:type="spellEnd"/>
      <w:r w:rsidRPr="003505C9">
        <w:rPr>
          <w:rFonts w:ascii="Cambria" w:eastAsia="Times New Roman" w:hAnsi="Cambria" w:cs="Times New Roman"/>
          <w:color w:val="000000"/>
          <w:lang w:val="en-US" w:eastAsia="tr-TR"/>
        </w:rPr>
        <w:t xml:space="preserve">, Schraw, and </w:t>
      </w:r>
      <w:proofErr w:type="spellStart"/>
      <w:r w:rsidRPr="003505C9">
        <w:rPr>
          <w:rFonts w:ascii="Cambria" w:eastAsia="Times New Roman" w:hAnsi="Cambria" w:cs="Times New Roman"/>
          <w:color w:val="000000"/>
          <w:lang w:val="en-US" w:eastAsia="tr-TR"/>
        </w:rPr>
        <w:t>Plake’s</w:t>
      </w:r>
      <w:proofErr w:type="spellEnd"/>
      <w:r w:rsidRPr="003505C9">
        <w:rPr>
          <w:rFonts w:ascii="Cambria" w:eastAsia="Times New Roman" w:hAnsi="Cambria" w:cs="Times New Roman"/>
          <w:color w:val="000000"/>
          <w:lang w:val="en-US" w:eastAsia="tr-TR"/>
        </w:rPr>
        <w:t xml:space="preserve"> (1994) mastery goal items, Schraw and Dennison’s (1994) metacognitive awareness inventory items, O’Neil and </w:t>
      </w:r>
      <w:proofErr w:type="spellStart"/>
      <w:r w:rsidRPr="003505C9">
        <w:rPr>
          <w:rFonts w:ascii="Cambria" w:eastAsia="Times New Roman" w:hAnsi="Cambria" w:cs="Times New Roman"/>
          <w:color w:val="000000"/>
          <w:lang w:val="en-US" w:eastAsia="tr-TR"/>
        </w:rPr>
        <w:t>Abedi’s</w:t>
      </w:r>
      <w:proofErr w:type="spellEnd"/>
      <w:r w:rsidRPr="003505C9">
        <w:rPr>
          <w:rFonts w:ascii="Cambria" w:eastAsia="Times New Roman" w:hAnsi="Cambria" w:cs="Times New Roman"/>
          <w:color w:val="000000"/>
          <w:lang w:val="en-US" w:eastAsia="tr-TR"/>
        </w:rPr>
        <w:t xml:space="preserve"> (1996) state metacognitive inventory items, and the strategic teaching and reading project guidebook (</w:t>
      </w:r>
      <w:proofErr w:type="spellStart"/>
      <w:r w:rsidRPr="003505C9">
        <w:rPr>
          <w:rFonts w:ascii="Cambria" w:eastAsia="Times New Roman" w:hAnsi="Cambria" w:cs="Times New Roman"/>
          <w:color w:val="000000"/>
          <w:lang w:val="en-US" w:eastAsia="tr-TR"/>
        </w:rPr>
        <w:t>Kujawa</w:t>
      </w:r>
      <w:proofErr w:type="spellEnd"/>
      <w:r w:rsidRPr="003505C9">
        <w:rPr>
          <w:rFonts w:ascii="Cambria" w:eastAsia="Times New Roman" w:hAnsi="Cambria" w:cs="Times New Roman"/>
          <w:color w:val="000000"/>
          <w:lang w:val="en-US" w:eastAsia="tr-TR"/>
        </w:rPr>
        <w:t xml:space="preserve"> &amp; </w:t>
      </w:r>
      <w:proofErr w:type="spellStart"/>
      <w:r w:rsidRPr="003505C9">
        <w:rPr>
          <w:rFonts w:ascii="Cambria" w:eastAsia="Times New Roman" w:hAnsi="Cambria" w:cs="Times New Roman"/>
          <w:color w:val="000000"/>
          <w:lang w:val="en-US" w:eastAsia="tr-TR"/>
        </w:rPr>
        <w:t>Huske</w:t>
      </w:r>
      <w:proofErr w:type="spellEnd"/>
      <w:r w:rsidRPr="003505C9">
        <w:rPr>
          <w:rFonts w:ascii="Cambria" w:eastAsia="Times New Roman" w:hAnsi="Cambria" w:cs="Times New Roman"/>
          <w:color w:val="000000"/>
          <w:lang w:val="en-US" w:eastAsia="tr-TR"/>
        </w:rPr>
        <w:t xml:space="preserve">, 1995) were reviewed. Following this, some of the items, especially the ones related to monitoring and control were adapted for our purposes. </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Experts Reviews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A language expert checked the items for the clarity of language and recommended certain changes on 10 items, and suggested elimination of two items from the inventory. In order to adjust the level of statements for middle school (six to eight grade levels) students, the items were examined by a middle school instructional technology teacher. Considering the feedback, four items were revised and four items were deleted. Following this, two measurement and evaluation experts reviewed the items. Based on their recommendations, eight items were excluded, four items were revised, and one item with two dimensions was divided into two items.  Lastly, three instructional technology experts examined the items and recommended revisions of seven items and elimination of 11 items. The revisions offered by language expert were similar to proof reading, but other experts’ revisions were all based on the relevance of the constructs. They warned the researchers if there is a danger of misunderstanding/misconception. Therefore, the items were reworded, split, or paraphrased.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lastRenderedPageBreak/>
        <w:t>Cognitive Interviews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After making all the changes recommended by our expert reviewers, the final version comprised a 39-item scale, which was piloted with one 7th grader and one 8th grader through individual cognitive interviews. During the interviews, students explained their understandings of each statement and the reasons for their answers. The observations indicated that one of the statements was difficult to understand for the 8</w:t>
      </w:r>
      <w:r w:rsidRPr="003505C9">
        <w:rPr>
          <w:rFonts w:ascii="Cambria" w:eastAsia="Times New Roman" w:hAnsi="Cambria" w:cs="Times New Roman"/>
          <w:color w:val="000000"/>
          <w:vertAlign w:val="superscript"/>
          <w:lang w:val="en-US" w:eastAsia="tr-TR"/>
        </w:rPr>
        <w:t>th</w:t>
      </w:r>
      <w:r w:rsidRPr="003505C9">
        <w:rPr>
          <w:rFonts w:ascii="Cambria" w:eastAsia="Times New Roman" w:hAnsi="Cambria" w:cs="Times New Roman"/>
          <w:color w:val="000000"/>
          <w:lang w:val="en-US" w:eastAsia="tr-TR"/>
        </w:rPr>
        <w:t xml:space="preserve"> grade student. In addition, the 7th grader read the same item three times and stated that the item was hard to understand. Instead of removing the statement, the item was revised and simplified due to its theoretical importance. Two of the statements were eliminated since they were understood in ways different from their intended meanings. Some problematic or advanced words in five items were replaced with terms more familiar to the interviewees. Two of the items were revised due to misunderstandings and complex sentence structures. After the necessary revisions, the scale consisted of 37 4-point (1 refers to ‘never’; 2 refers to ‘sometimes’; 3 refers to ‘often’; and 4 refers to ‘always’) Likert type items.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 xml:space="preserve">Piloting </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With the permission of the parents, six teachers administered the instrument with 251 seventh and eighth grade students. All teachers were informed about the instrument and the issues to be considered during the implementation process. The aim of the instrument and directions were provided with written format at the beginning of the instrument. Students were asked to rate how often they experienced the statements in the instrument during their searches on the Internet. Survey completion lasted about 15 minutes for eighth graders and about 25 minutes for seventh graders.</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The gathered data were analyzed through EFA. The results of this pilot study revealed that the five basic constructs of metacognition experienced during Internet searches exist. However, because they referred to a similar dimension, regulation and reflection factors were combined. As a result, four factors were titled as follows: (factor 1) “critical investigation with respect to awareness and strategies”, (factor 2) “level of distraction during Internet search”, (factor 3) “task understanding and purpose of search”, and (factor 4) “regulation and reflection on search process”. Seven items were removed due to their low correlations. According to the findings, some of the items were revised to minimize close loadings and low loadings.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3505C9" w:rsidRDefault="003505C9" w:rsidP="008E11E2">
      <w:pPr>
        <w:spacing w:after="0" w:line="240" w:lineRule="auto"/>
        <w:jc w:val="both"/>
        <w:rPr>
          <w:rFonts w:ascii="Cambria" w:eastAsia="Times New Roman" w:hAnsi="Cambria" w:cs="Times New Roman"/>
          <w:b/>
          <w:color w:val="000000"/>
          <w:lang w:val="en-US" w:eastAsia="tr-TR"/>
        </w:rPr>
      </w:pPr>
      <w:r w:rsidRPr="003505C9">
        <w:rPr>
          <w:rFonts w:ascii="Cambria" w:eastAsia="Times New Roman" w:hAnsi="Cambria" w:cs="Times New Roman"/>
          <w:b/>
          <w:color w:val="000000"/>
          <w:lang w:val="en-US" w:eastAsia="tr-TR"/>
        </w:rPr>
        <w:t>Exploratory Factor Analysis &amp; Revisions</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Participants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273 (111 female and 162 male) seventh grade students were randomly selected from two urban elementary schools. Socio-economic-status of the students enrolled in the two schools was very similar, and both schools had Internet access. Because of the constructivist curriculum, the teachers frequently assigned performance tasks to students that required Internet searches.  The data gathered from the students indicated that 47.4 % of the students used the computer more than six hours a week, 26.8 % of them used the computer about 4-6 hours, and 25.8% of them used the computer less than four hours in a week.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Procedure</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MSIIS had 30 4-point Likert type items (1 refers to ‘never’; 2 refers to ‘sometimes’; 3 refers to ‘often’; and 4 refers to ‘always’). Since the instrument aims to discover general trends and specific metacognitive skills used for searching the Web, it was administered in a content- and context-free environment, i.e. no tasks were assigned to participants. Students were expected to answer according to their previous Internet search experiences. In this way, it is expected to find out specific metacognitive constructs that are experienced throughout any Internet search event. </w:t>
      </w:r>
      <w:r w:rsidRPr="003505C9">
        <w:rPr>
          <w:rFonts w:ascii="Cambria" w:eastAsia="Times New Roman" w:hAnsi="Cambria" w:cs="Times New Roman"/>
          <w:color w:val="000000"/>
          <w:lang w:val="en-US" w:eastAsia="tr-TR"/>
        </w:rPr>
        <w:lastRenderedPageBreak/>
        <w:t>After getting permissions from parents, students were asked to complete the instrument. The students completed the instrument in their regular classrooms based on paper-pencil procedures. The instrument was completed between 10 to 25 minutes depending on the reading speed of the students.</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Data Analysis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EFA was conducted by using SPSS 15.0. First, missing value analysis was performed to find the percentage of missing data. There were less than 10 %, thus no manipulation on them was performed. Second, assumptions were checked to see whether the data were appropriate for factor analysis. After deciding on sampling adequacy, common factor analysis was conducted through principal axis factors (PAF) because of its iterative and inclusive nature regarding correlations and </w:t>
      </w:r>
      <w:proofErr w:type="spellStart"/>
      <w:r w:rsidRPr="003505C9">
        <w:rPr>
          <w:rFonts w:ascii="Cambria" w:eastAsia="Times New Roman" w:hAnsi="Cambria" w:cs="Times New Roman"/>
          <w:color w:val="000000"/>
          <w:lang w:val="en-US" w:eastAsia="tr-TR"/>
        </w:rPr>
        <w:t>covariances</w:t>
      </w:r>
      <w:proofErr w:type="spellEnd"/>
      <w:r w:rsidRPr="003505C9">
        <w:rPr>
          <w:rFonts w:ascii="Cambria" w:eastAsia="Times New Roman" w:hAnsi="Cambria" w:cs="Times New Roman"/>
          <w:color w:val="000000"/>
          <w:lang w:val="en-US" w:eastAsia="tr-TR"/>
        </w:rPr>
        <w:t xml:space="preserve">. The PAF with oblique rotation was run due to expected correlations among factors. All analyses were performed at .05 alpha level.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Although there are no strict rules for sampling adequacy, at least 5 observations per item are acceptable according to Hair, Anderson, Tatham, and Black (2005).  In this study, there were 9.1 observations per item. Kaiser-Meyer-</w:t>
      </w:r>
      <w:proofErr w:type="spellStart"/>
      <w:r w:rsidRPr="003505C9">
        <w:rPr>
          <w:rFonts w:ascii="Cambria" w:eastAsia="Times New Roman" w:hAnsi="Cambria" w:cs="Times New Roman"/>
          <w:color w:val="000000"/>
          <w:lang w:val="en-US" w:eastAsia="tr-TR"/>
        </w:rPr>
        <w:t>Olkin</w:t>
      </w:r>
      <w:proofErr w:type="spellEnd"/>
      <w:r w:rsidRPr="003505C9">
        <w:rPr>
          <w:rFonts w:ascii="Cambria" w:eastAsia="Times New Roman" w:hAnsi="Cambria" w:cs="Times New Roman"/>
          <w:color w:val="000000"/>
          <w:lang w:val="en-US" w:eastAsia="tr-TR"/>
        </w:rPr>
        <w:t xml:space="preserve"> (KMO) Measure of Sampling Adequacy equaled .85, which is above Kaiser’s recommendation of .60, indicating adequate sample size to produce distinct and reliable factors. Bartlett's Test of </w:t>
      </w:r>
      <w:proofErr w:type="spellStart"/>
      <w:r w:rsidRPr="003505C9">
        <w:rPr>
          <w:rFonts w:ascii="Cambria" w:eastAsia="Times New Roman" w:hAnsi="Cambria" w:cs="Times New Roman"/>
          <w:color w:val="000000"/>
          <w:lang w:val="en-US" w:eastAsia="tr-TR"/>
        </w:rPr>
        <w:t>Sphericity</w:t>
      </w:r>
      <w:proofErr w:type="spellEnd"/>
      <w:r w:rsidRPr="003505C9">
        <w:rPr>
          <w:rFonts w:ascii="Cambria" w:eastAsia="Times New Roman" w:hAnsi="Cambria" w:cs="Times New Roman"/>
          <w:color w:val="000000"/>
          <w:lang w:val="en-US" w:eastAsia="tr-TR"/>
        </w:rPr>
        <w:t xml:space="preserve"> was found to be significant (χ² (435) = 2389, p &lt; .001), which refers to the presence of correlations among variables. Correlation matrix coefficients were also examined since the tests are known for their sensitivity to large sample size. Except for item 14, all items were above the cut-off level of .30.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Histograms, Q-Q plots, skewness and kurtosis values, and Kolmogorov-Smirnov normality tests were all checked for normality. All histograms and Q-Q plots were examined for each item and no violations were observed. Skewness and kurtosis values were within the range of -1.00 and +1.00, except for two items: Item 2 (Skewness=-1.37, Kurtosis=1.47) and Item 14 (Kurtosis=1.57). However, since their histograms and Q-Q plots showed normal distribution patterns, they can be assumed to be normal. According to </w:t>
      </w:r>
      <w:proofErr w:type="spellStart"/>
      <w:r w:rsidRPr="003505C9">
        <w:rPr>
          <w:rFonts w:ascii="Cambria" w:eastAsia="Times New Roman" w:hAnsi="Cambria" w:cs="Times New Roman"/>
          <w:color w:val="000000"/>
          <w:lang w:val="en-US" w:eastAsia="tr-TR"/>
        </w:rPr>
        <w:t>Tabachnick</w:t>
      </w:r>
      <w:proofErr w:type="spellEnd"/>
      <w:r w:rsidRPr="003505C9">
        <w:rPr>
          <w:rFonts w:ascii="Cambria" w:eastAsia="Times New Roman" w:hAnsi="Cambria" w:cs="Times New Roman"/>
          <w:color w:val="000000"/>
          <w:lang w:val="en-US" w:eastAsia="tr-TR"/>
        </w:rPr>
        <w:t xml:space="preserve"> and </w:t>
      </w:r>
      <w:proofErr w:type="spellStart"/>
      <w:r w:rsidRPr="003505C9">
        <w:rPr>
          <w:rFonts w:ascii="Cambria" w:eastAsia="Times New Roman" w:hAnsi="Cambria" w:cs="Times New Roman"/>
          <w:color w:val="000000"/>
          <w:lang w:val="en-US" w:eastAsia="tr-TR"/>
        </w:rPr>
        <w:t>Fidell</w:t>
      </w:r>
      <w:proofErr w:type="spellEnd"/>
      <w:r w:rsidRPr="003505C9">
        <w:rPr>
          <w:rFonts w:ascii="Cambria" w:eastAsia="Times New Roman" w:hAnsi="Cambria" w:cs="Times New Roman"/>
          <w:color w:val="000000"/>
          <w:lang w:val="en-US" w:eastAsia="tr-TR"/>
        </w:rPr>
        <w:t xml:space="preserve"> (2007), the items can be considered as normally distributed. Finally, a few outliers were detected in some of the items (items 1, 2, 6, 9, 10, 16, 24, 26, 29) but they were ignored because of not affecting the normal distribution. </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8E11E2">
      <w:pPr>
        <w:spacing w:after="0" w:line="240" w:lineRule="auto"/>
        <w:jc w:val="both"/>
        <w:rPr>
          <w:rFonts w:ascii="Cambria" w:eastAsia="Times New Roman" w:hAnsi="Cambria" w:cs="Times New Roman"/>
          <w:b/>
          <w:color w:val="000000"/>
          <w:lang w:val="en-US" w:eastAsia="tr-TR"/>
        </w:rPr>
      </w:pPr>
      <w:r w:rsidRPr="003505C9">
        <w:rPr>
          <w:rFonts w:ascii="Cambria" w:eastAsia="Times New Roman" w:hAnsi="Cambria" w:cs="Times New Roman"/>
          <w:b/>
          <w:color w:val="000000"/>
          <w:lang w:val="en-US" w:eastAsia="tr-TR"/>
        </w:rPr>
        <w:t>Confirmatory Factor Analysis</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Participants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Data for CFA were collected from 321 7</w:t>
      </w:r>
      <w:r w:rsidRPr="003505C9">
        <w:rPr>
          <w:rFonts w:ascii="Cambria" w:eastAsia="Times New Roman" w:hAnsi="Cambria" w:cs="Times New Roman"/>
          <w:color w:val="000000"/>
          <w:vertAlign w:val="superscript"/>
          <w:lang w:val="en-US" w:eastAsia="tr-TR"/>
        </w:rPr>
        <w:t>th</w:t>
      </w:r>
      <w:r w:rsidRPr="003505C9">
        <w:rPr>
          <w:rFonts w:ascii="Cambria" w:eastAsia="Times New Roman" w:hAnsi="Cambria" w:cs="Times New Roman"/>
          <w:color w:val="000000"/>
          <w:lang w:val="en-US" w:eastAsia="tr-TR"/>
        </w:rPr>
        <w:t xml:space="preserve"> grade students from one public and one private school in Ankara. About half of the students were from public school. Distribution of females (47 %) and males (53%) was very close. Almost all of the participants had computer access (99%) and most of them used computers more than 6 hours in a week (71%).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Procedure</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The purpose of this phase is to explore how the determined dimensions of MSIIS in EFA fit the model. A teacher who had training for data collection administered the instrument in addition to a researcher. All possible scenarios were discussed with the teacher and assistance was provided whenever needed. The data were collected during Information Technology classes. It took about 10 to 20 minutes to complete the instrument for both samples.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Data Analysis</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In order to check the consistency of the collected data within the determined constructs of MSIIS, confirmatory factor analysis (CFA) was conducted with the help of LISREL 8.51 (</w:t>
      </w:r>
      <w:proofErr w:type="spellStart"/>
      <w:r w:rsidRPr="003505C9">
        <w:rPr>
          <w:rFonts w:ascii="Cambria" w:eastAsia="Times New Roman" w:hAnsi="Cambria" w:cs="Times New Roman"/>
          <w:color w:val="000000"/>
          <w:lang w:val="en-US" w:eastAsia="tr-TR"/>
        </w:rPr>
        <w:t>Jöreskog</w:t>
      </w:r>
      <w:proofErr w:type="spellEnd"/>
      <w:r w:rsidRPr="003505C9">
        <w:rPr>
          <w:rFonts w:ascii="Cambria" w:eastAsia="Times New Roman" w:hAnsi="Cambria" w:cs="Times New Roman"/>
          <w:color w:val="000000"/>
          <w:lang w:val="en-US" w:eastAsia="tr-TR"/>
        </w:rPr>
        <w:t xml:space="preserve"> &amp; </w:t>
      </w:r>
      <w:proofErr w:type="spellStart"/>
      <w:r w:rsidRPr="003505C9">
        <w:rPr>
          <w:rFonts w:ascii="Cambria" w:eastAsia="Times New Roman" w:hAnsi="Cambria" w:cs="Times New Roman"/>
          <w:color w:val="000000"/>
          <w:lang w:val="en-US" w:eastAsia="tr-TR"/>
        </w:rPr>
        <w:t>Sörbom</w:t>
      </w:r>
      <w:proofErr w:type="spellEnd"/>
      <w:r w:rsidRPr="003505C9">
        <w:rPr>
          <w:rFonts w:ascii="Cambria" w:eastAsia="Times New Roman" w:hAnsi="Cambria" w:cs="Times New Roman"/>
          <w:color w:val="000000"/>
          <w:lang w:val="en-US" w:eastAsia="tr-TR"/>
        </w:rPr>
        <w:t xml:space="preserve">, 1993). Using maximum likelihood (ML) estimation, 30 items were examined to see </w:t>
      </w:r>
      <w:r w:rsidRPr="003505C9">
        <w:rPr>
          <w:rFonts w:ascii="Cambria" w:eastAsia="Times New Roman" w:hAnsi="Cambria" w:cs="Times New Roman"/>
          <w:color w:val="000000"/>
          <w:lang w:val="en-US" w:eastAsia="tr-TR"/>
        </w:rPr>
        <w:lastRenderedPageBreak/>
        <w:t xml:space="preserve">whether they fit well with the 5 latent factors which were previously determined through EFA. ML was used due to its unbiased and consistent nature within multivariate normal distribution. Those factors were called reflection and regulation, monitoring, planning, control of attention, and generating strategies. Through CFA, we aimed to support construct validity.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p>
    <w:p w:rsidR="003505C9" w:rsidRPr="003505C9" w:rsidRDefault="003505C9" w:rsidP="008E11E2">
      <w:pPr>
        <w:spacing w:after="0" w:line="240" w:lineRule="auto"/>
        <w:jc w:val="both"/>
        <w:rPr>
          <w:rFonts w:ascii="Cambria" w:eastAsia="Times New Roman" w:hAnsi="Cambria" w:cs="Times New Roman"/>
          <w:b/>
          <w:color w:val="000000"/>
          <w:lang w:val="en-US" w:eastAsia="tr-TR"/>
        </w:rPr>
      </w:pPr>
      <w:r w:rsidRPr="003505C9">
        <w:rPr>
          <w:rFonts w:ascii="Cambria" w:eastAsia="Times New Roman" w:hAnsi="Cambria" w:cs="Times New Roman"/>
          <w:b/>
          <w:color w:val="000000"/>
          <w:lang w:val="en-US" w:eastAsia="tr-TR"/>
        </w:rPr>
        <w:t>Procedures for Reliability &amp; Validity</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 xml:space="preserve">Reliability </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In order to ensure the reliability of the developed inventory, we considered delivering and redelivering the instrument within 4 weeks interval. In this way, the test-retest reliability was confirmed. Moreover, we applied split-half reliability test to ensure the internal consistency. </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101 6</w:t>
      </w:r>
      <w:r w:rsidRPr="003505C9">
        <w:rPr>
          <w:rFonts w:ascii="Cambria" w:eastAsia="Times New Roman" w:hAnsi="Cambria" w:cs="Times New Roman"/>
          <w:color w:val="000000"/>
          <w:vertAlign w:val="superscript"/>
          <w:lang w:val="en-US" w:eastAsia="tr-TR"/>
        </w:rPr>
        <w:t>th</w:t>
      </w:r>
      <w:r w:rsidRPr="003505C9">
        <w:rPr>
          <w:rFonts w:ascii="Cambria" w:eastAsia="Times New Roman" w:hAnsi="Cambria" w:cs="Times New Roman"/>
          <w:color w:val="000000"/>
          <w:lang w:val="en-US" w:eastAsia="tr-TR"/>
        </w:rPr>
        <w:t xml:space="preserve"> graders participated to the smaller study and data were used for test-retest reliability of the instrument. Participants were all from a public school in Ankara. This data set was also used for split-half reliability test. Necessary permissions were taken, and then the instrument was administered with 101 students from this school.  Available class hours and classrooms were used during this process. The trained researcher collected the data. It lasted 15 to 30 minutes to complete the instrument for the sixth graders.  After the first delivery of the MSIIS to that sample, 4 weeks were counted. The same test was delivered again to the same sample under the same conditions after 4 weeks.</w:t>
      </w:r>
    </w:p>
    <w:p w:rsidR="003505C9" w:rsidRPr="003505C9" w:rsidRDefault="003505C9" w:rsidP="003505C9">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For test-retest reliability, Pearson correlation coefficient (r) was used. In addition, the internal consistency was tested through split-half test. In other words, the correlation between two halves of the same form was calculated, and then Spearman-Brown test provided with the internal consistency coefficient.</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3505C9" w:rsidRPr="008E11E2" w:rsidRDefault="003505C9" w:rsidP="008E11E2">
      <w:pPr>
        <w:spacing w:after="0" w:line="240" w:lineRule="auto"/>
        <w:jc w:val="both"/>
        <w:rPr>
          <w:rFonts w:ascii="Cambria" w:eastAsia="Times New Roman" w:hAnsi="Cambria" w:cs="Times New Roman"/>
          <w:b/>
          <w:i/>
          <w:color w:val="000000"/>
          <w:lang w:val="en-US" w:eastAsia="tr-TR"/>
        </w:rPr>
      </w:pPr>
      <w:r w:rsidRPr="008E11E2">
        <w:rPr>
          <w:rFonts w:ascii="Cambria" w:eastAsia="Times New Roman" w:hAnsi="Cambria" w:cs="Times New Roman"/>
          <w:b/>
          <w:i/>
          <w:color w:val="000000"/>
          <w:lang w:val="en-US" w:eastAsia="tr-TR"/>
        </w:rPr>
        <w:t>Validity</w:t>
      </w:r>
    </w:p>
    <w:p w:rsidR="003505C9" w:rsidRPr="003505C9" w:rsidRDefault="003505C9" w:rsidP="003505C9">
      <w:pPr>
        <w:spacing w:after="0" w:line="240" w:lineRule="auto"/>
        <w:ind w:firstLine="567"/>
        <w:jc w:val="both"/>
        <w:rPr>
          <w:rFonts w:ascii="Cambria" w:eastAsia="Times New Roman" w:hAnsi="Cambria" w:cs="Times New Roman"/>
          <w:b/>
          <w:color w:val="000000"/>
          <w:lang w:val="en-US" w:eastAsia="tr-TR"/>
        </w:rPr>
      </w:pPr>
    </w:p>
    <w:p w:rsidR="00D15434" w:rsidRPr="008E11E2" w:rsidRDefault="003505C9" w:rsidP="008E11E2">
      <w:pPr>
        <w:spacing w:after="0" w:line="240" w:lineRule="auto"/>
        <w:ind w:firstLine="567"/>
        <w:jc w:val="both"/>
        <w:rPr>
          <w:rFonts w:ascii="Cambria" w:eastAsia="Times New Roman" w:hAnsi="Cambria" w:cs="Times New Roman"/>
          <w:color w:val="000000"/>
          <w:lang w:val="en-US" w:eastAsia="tr-TR"/>
        </w:rPr>
      </w:pPr>
      <w:r w:rsidRPr="003505C9">
        <w:rPr>
          <w:rFonts w:ascii="Cambria" w:eastAsia="Times New Roman" w:hAnsi="Cambria" w:cs="Times New Roman"/>
          <w:color w:val="000000"/>
          <w:lang w:val="en-US" w:eastAsia="tr-TR"/>
        </w:rPr>
        <w:t xml:space="preserve">The validity of the developed inventory was evaluated through focusing on both content and construct validity. Experts’ opinions were sought for content validity. A language expert reviewed the items in the pool, and advised certain changes. Since the items appeal to the middle school students, the statements should be clear to them, and that’ s why a teacher’ s revision was needed to ensure if they were all appropriate. The teachers advised a few changes, too. Two measurement and evaluation experts and three subject matter experts also reviewed the items in the pool, and thus final revisions were completed. For construct validity, exploratory and then confirmatory factor analysis were utilized and the inventory had reached its final version. </w:t>
      </w:r>
    </w:p>
    <w:p w:rsidR="002D5974" w:rsidRPr="009303FF" w:rsidRDefault="00D45A9B" w:rsidP="00C71F46">
      <w:pPr>
        <w:pStyle w:val="Heading2"/>
        <w:spacing w:before="100" w:beforeAutospacing="1" w:after="100" w:afterAutospacing="1" w:line="240" w:lineRule="auto"/>
        <w:jc w:val="center"/>
        <w:rPr>
          <w:rFonts w:ascii="Cambria" w:hAnsi="Cambria" w:cs="Times New Roman"/>
          <w:color w:val="auto"/>
          <w:sz w:val="22"/>
          <w:szCs w:val="22"/>
        </w:rPr>
      </w:pPr>
      <w:r w:rsidRPr="000F5FB8">
        <w:rPr>
          <w:rFonts w:ascii="Cambria" w:hAnsi="Cambria" w:cs="Times New Roman"/>
          <w:b/>
          <w:color w:val="auto"/>
          <w:sz w:val="22"/>
          <w:szCs w:val="22"/>
        </w:rPr>
        <w:t>RESULTS</w:t>
      </w:r>
    </w:p>
    <w:p w:rsidR="00210497" w:rsidRPr="00210497" w:rsidRDefault="0034583A" w:rsidP="0034583A">
      <w:pPr>
        <w:spacing w:after="0" w:line="240" w:lineRule="auto"/>
        <w:jc w:val="both"/>
        <w:rPr>
          <w:rFonts w:ascii="Cambria" w:eastAsia="Times New Roman" w:hAnsi="Cambria" w:cs="Times New Roman"/>
          <w:b/>
          <w:color w:val="000000"/>
          <w:lang w:val="en-US" w:eastAsia="tr-TR"/>
        </w:rPr>
      </w:pPr>
      <w:r w:rsidRPr="00210497">
        <w:rPr>
          <w:rFonts w:ascii="Cambria" w:eastAsia="Times New Roman" w:hAnsi="Cambria" w:cs="Times New Roman"/>
          <w:b/>
          <w:color w:val="000000"/>
          <w:lang w:val="en-US" w:eastAsia="tr-TR"/>
        </w:rPr>
        <w:t xml:space="preserve">Results </w:t>
      </w:r>
      <w:r>
        <w:rPr>
          <w:rFonts w:ascii="Cambria" w:eastAsia="Times New Roman" w:hAnsi="Cambria" w:cs="Times New Roman"/>
          <w:b/>
          <w:color w:val="000000"/>
          <w:lang w:val="en-US" w:eastAsia="tr-TR"/>
        </w:rPr>
        <w:t>f</w:t>
      </w:r>
      <w:r w:rsidRPr="00210497">
        <w:rPr>
          <w:rFonts w:ascii="Cambria" w:eastAsia="Times New Roman" w:hAnsi="Cambria" w:cs="Times New Roman"/>
          <w:b/>
          <w:color w:val="000000"/>
          <w:lang w:val="en-US" w:eastAsia="tr-TR"/>
        </w:rPr>
        <w:t>or Exploratory Factor Analysis</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EFA was performed by using PAF extraction. Because of the expected correlation among the factors, oblique rotation was chosen (</w:t>
      </w:r>
      <w:proofErr w:type="spellStart"/>
      <w:r w:rsidRPr="00210497">
        <w:rPr>
          <w:rFonts w:ascii="Cambria" w:eastAsia="Times New Roman" w:hAnsi="Cambria" w:cs="Times New Roman"/>
          <w:color w:val="000000"/>
          <w:lang w:val="en-US" w:eastAsia="tr-TR"/>
        </w:rPr>
        <w:t>Tabachnick</w:t>
      </w:r>
      <w:proofErr w:type="spellEnd"/>
      <w:r w:rsidRPr="00210497">
        <w:rPr>
          <w:rFonts w:ascii="Cambria" w:eastAsia="Times New Roman" w:hAnsi="Cambria" w:cs="Times New Roman"/>
          <w:color w:val="000000"/>
          <w:lang w:val="en-US" w:eastAsia="tr-TR"/>
        </w:rPr>
        <w:t xml:space="preserve"> &amp; </w:t>
      </w:r>
      <w:proofErr w:type="spellStart"/>
      <w:r w:rsidRPr="00210497">
        <w:rPr>
          <w:rFonts w:ascii="Cambria" w:eastAsia="Times New Roman" w:hAnsi="Cambria" w:cs="Times New Roman"/>
          <w:color w:val="000000"/>
          <w:lang w:val="en-US" w:eastAsia="tr-TR"/>
        </w:rPr>
        <w:t>Fidell</w:t>
      </w:r>
      <w:proofErr w:type="spellEnd"/>
      <w:r w:rsidRPr="00210497">
        <w:rPr>
          <w:rFonts w:ascii="Cambria" w:eastAsia="Times New Roman" w:hAnsi="Cambria" w:cs="Times New Roman"/>
          <w:color w:val="000000"/>
          <w:lang w:val="en-US" w:eastAsia="tr-TR"/>
        </w:rPr>
        <w:t>, 2007). This expectation was confirmed after examining the factor correlation matrix, that is, there were correlations ranging from</w:t>
      </w:r>
      <w:r w:rsidRPr="00210497">
        <w:rPr>
          <w:rFonts w:ascii="Cambria" w:eastAsia="Times New Roman" w:hAnsi="Cambria" w:cs="Times New Roman"/>
          <w:i/>
          <w:color w:val="000000"/>
          <w:lang w:val="en-US" w:eastAsia="tr-TR"/>
        </w:rPr>
        <w:t xml:space="preserve"> r </w:t>
      </w:r>
      <w:r w:rsidRPr="00210497">
        <w:rPr>
          <w:rFonts w:ascii="Cambria" w:eastAsia="Times New Roman" w:hAnsi="Cambria" w:cs="Times New Roman"/>
          <w:color w:val="000000"/>
          <w:lang w:val="en-US" w:eastAsia="tr-TR"/>
        </w:rPr>
        <w:t>= -.002 to</w:t>
      </w:r>
      <w:r w:rsidRPr="00210497">
        <w:rPr>
          <w:rFonts w:ascii="Cambria" w:eastAsia="Times New Roman" w:hAnsi="Cambria" w:cs="Times New Roman"/>
          <w:i/>
          <w:color w:val="000000"/>
          <w:lang w:val="en-US" w:eastAsia="tr-TR"/>
        </w:rPr>
        <w:t xml:space="preserve"> r </w:t>
      </w:r>
      <w:r w:rsidRPr="00210497">
        <w:rPr>
          <w:rFonts w:ascii="Cambria" w:eastAsia="Times New Roman" w:hAnsi="Cambria" w:cs="Times New Roman"/>
          <w:color w:val="000000"/>
          <w:lang w:val="en-US" w:eastAsia="tr-TR"/>
        </w:rPr>
        <w:t xml:space="preserve">= .43 between the five factors (see Table 1). For discovering the number of factors, Eigenvalues and Scree Plot were examined. Eight factors fit the data well when Eigenvalues exceeding 1.00 are considered. Those eight factors explain 56.81 % of total variance which can be considered high. When the scree plot is inspected, after six factors, small declines are observed. When pattern matrix is scanned, 8 factor loadings do not make sense in addition to very small number of items per some of the factors that might decrease the reliability values of the factors. In the pilot EFA, 5 factors had been generated and two of them had been integrated. By considering all, a 5 factor extraction was performed to be consistent with the theoretical framework. It was found that these factors explain 45.83 % of variance. The most contributing factor is the first one (see Table 2). After the fifth factor, contributions move very slightly. A six-factor solution was also run, but some of the factors had small numbers of items. Since goodness of fit value is significant </w:t>
      </w:r>
      <w:r w:rsidRPr="00210497">
        <w:rPr>
          <w:rFonts w:ascii="Cambria" w:eastAsia="Times New Roman" w:hAnsi="Cambria" w:cs="Times New Roman"/>
          <w:color w:val="000000"/>
          <w:lang w:val="en-US" w:eastAsia="tr-TR"/>
        </w:rPr>
        <w:lastRenderedPageBreak/>
        <w:t xml:space="preserve">(χ² (295) = 499, p &lt; .001), it can be interpreted that the overall model fits well. In addition, when </w:t>
      </w:r>
      <w:proofErr w:type="spellStart"/>
      <w:r w:rsidRPr="00210497">
        <w:rPr>
          <w:rFonts w:ascii="Cambria" w:eastAsia="Times New Roman" w:hAnsi="Cambria" w:cs="Times New Roman"/>
          <w:color w:val="000000"/>
          <w:lang w:val="en-US" w:eastAsia="tr-TR"/>
        </w:rPr>
        <w:t>Velicer’s</w:t>
      </w:r>
      <w:proofErr w:type="spellEnd"/>
      <w:r w:rsidRPr="00210497">
        <w:rPr>
          <w:rFonts w:ascii="Cambria" w:eastAsia="Times New Roman" w:hAnsi="Cambria" w:cs="Times New Roman"/>
          <w:color w:val="000000"/>
          <w:lang w:val="en-US" w:eastAsia="tr-TR"/>
        </w:rPr>
        <w:t xml:space="preserve"> MAP and parallel analysis tests were run, the results also point the 5-factor structure. The smallest average squared partial correlation is .0946 placed at five factor. Moreover, the Eigenvalues that are greater than 1 of actual data were found all greater than the Eigenvalues of the random data. The comparison of these values was listed in Table 2. </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9B7420" w:rsidRDefault="00210497" w:rsidP="009B7420">
      <w:pPr>
        <w:spacing w:after="0" w:line="240" w:lineRule="auto"/>
        <w:jc w:val="both"/>
        <w:rPr>
          <w:rFonts w:ascii="Cambria" w:eastAsia="Times New Roman" w:hAnsi="Cambria" w:cs="Times New Roman"/>
          <w:i/>
          <w:color w:val="000000"/>
          <w:sz w:val="20"/>
          <w:szCs w:val="20"/>
          <w:lang w:val="en-US" w:eastAsia="tr-TR"/>
        </w:rPr>
      </w:pPr>
      <w:r w:rsidRPr="009B7420">
        <w:rPr>
          <w:rFonts w:ascii="Cambria" w:eastAsia="Times New Roman" w:hAnsi="Cambria" w:cs="Times New Roman"/>
          <w:b/>
          <w:color w:val="000000"/>
          <w:sz w:val="20"/>
          <w:szCs w:val="20"/>
          <w:lang w:val="en-US" w:eastAsia="tr-TR"/>
        </w:rPr>
        <w:t>Table 1</w:t>
      </w:r>
      <w:r w:rsidR="009B7420">
        <w:rPr>
          <w:rFonts w:ascii="Cambria" w:eastAsia="Times New Roman" w:hAnsi="Cambria" w:cs="Times New Roman"/>
          <w:b/>
          <w:color w:val="000000"/>
          <w:sz w:val="20"/>
          <w:szCs w:val="20"/>
          <w:lang w:val="en-US" w:eastAsia="tr-TR"/>
        </w:rPr>
        <w:t xml:space="preserve">. </w:t>
      </w:r>
      <w:r w:rsidRPr="009B7420">
        <w:rPr>
          <w:rFonts w:ascii="Cambria" w:eastAsia="Times New Roman" w:hAnsi="Cambria" w:cs="Times New Roman"/>
          <w:i/>
          <w:color w:val="000000"/>
          <w:sz w:val="20"/>
          <w:szCs w:val="20"/>
          <w:lang w:val="en-US" w:eastAsia="tr-TR"/>
        </w:rPr>
        <w:t>Factor Correlation Matrix</w:t>
      </w:r>
    </w:p>
    <w:p w:rsidR="00210497" w:rsidRPr="00210497" w:rsidRDefault="00210497" w:rsidP="009B7420">
      <w:pPr>
        <w:spacing w:after="0" w:line="240" w:lineRule="auto"/>
        <w:jc w:val="both"/>
        <w:rPr>
          <w:rFonts w:ascii="Cambria" w:eastAsia="Times New Roman" w:hAnsi="Cambria" w:cs="Times New Roman"/>
          <w:i/>
          <w:color w:val="000000"/>
          <w:lang w:val="en-US" w:eastAsia="tr-TR"/>
        </w:rPr>
      </w:pPr>
      <w:r w:rsidRPr="00210497">
        <w:rPr>
          <w:rFonts w:ascii="Cambria" w:eastAsia="Times New Roman" w:hAnsi="Cambria" w:cs="Times New Roman"/>
          <w:b/>
          <w:bCs/>
          <w:color w:val="000000"/>
          <w:lang w:val="en-US" w:eastAsia="tr-TR"/>
        </w:rPr>
        <w:tab/>
      </w:r>
    </w:p>
    <w:tbl>
      <w:tblPr>
        <w:tblW w:w="0" w:type="auto"/>
        <w:tblInd w:w="93" w:type="dxa"/>
        <w:tblLayout w:type="fixed"/>
        <w:tblCellMar>
          <w:left w:w="93" w:type="dxa"/>
          <w:right w:w="93" w:type="dxa"/>
        </w:tblCellMar>
        <w:tblLook w:val="0000" w:firstRow="0" w:lastRow="0" w:firstColumn="0" w:lastColumn="0" w:noHBand="0" w:noVBand="0"/>
      </w:tblPr>
      <w:tblGrid>
        <w:gridCol w:w="1110"/>
        <w:gridCol w:w="1111"/>
        <w:gridCol w:w="1110"/>
        <w:gridCol w:w="1111"/>
        <w:gridCol w:w="1110"/>
      </w:tblGrid>
      <w:tr w:rsidR="009B7420" w:rsidRPr="009B7420" w:rsidTr="009B7420">
        <w:trPr>
          <w:trHeight w:val="268"/>
        </w:trPr>
        <w:tc>
          <w:tcPr>
            <w:tcW w:w="1110" w:type="dxa"/>
            <w:tcBorders>
              <w:top w:val="single" w:sz="2" w:space="0" w:color="000000"/>
              <w:left w:val="nil"/>
              <w:bottom w:val="single" w:sz="2" w:space="0" w:color="000000"/>
              <w:right w:val="nil"/>
            </w:tcBorders>
            <w:shd w:val="clear" w:color="000000" w:fill="FFFFFF"/>
            <w:vAlign w:val="bottom"/>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Factor</w:t>
            </w:r>
          </w:p>
        </w:tc>
        <w:tc>
          <w:tcPr>
            <w:tcW w:w="1111" w:type="dxa"/>
            <w:tcBorders>
              <w:top w:val="single" w:sz="2" w:space="0" w:color="000000"/>
              <w:left w:val="nil"/>
              <w:bottom w:val="single" w:sz="2" w:space="0" w:color="000000"/>
              <w:right w:val="nil"/>
            </w:tcBorders>
            <w:shd w:val="clear" w:color="000000" w:fill="FFFFFF"/>
            <w:vAlign w:val="bottom"/>
          </w:tcPr>
          <w:p w:rsidR="009B7420" w:rsidRPr="009B7420" w:rsidRDefault="009B7420" w:rsidP="009B7420">
            <w:pPr>
              <w:spacing w:after="0" w:line="240" w:lineRule="auto"/>
              <w:ind w:hanging="636"/>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w:t>
            </w:r>
          </w:p>
        </w:tc>
        <w:tc>
          <w:tcPr>
            <w:tcW w:w="1110" w:type="dxa"/>
            <w:tcBorders>
              <w:top w:val="single" w:sz="2" w:space="0" w:color="000000"/>
              <w:left w:val="nil"/>
              <w:bottom w:val="single" w:sz="2" w:space="0" w:color="000000"/>
              <w:right w:val="nil"/>
            </w:tcBorders>
            <w:shd w:val="clear" w:color="000000" w:fill="FFFFFF"/>
            <w:vAlign w:val="bottom"/>
          </w:tcPr>
          <w:p w:rsidR="009B7420" w:rsidRPr="009B7420" w:rsidRDefault="009B7420" w:rsidP="009B7420">
            <w:pPr>
              <w:spacing w:after="0" w:line="240" w:lineRule="auto"/>
              <w:ind w:hanging="636"/>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2</w:t>
            </w:r>
          </w:p>
        </w:tc>
        <w:tc>
          <w:tcPr>
            <w:tcW w:w="1111" w:type="dxa"/>
            <w:tcBorders>
              <w:top w:val="single" w:sz="2" w:space="0" w:color="000000"/>
              <w:left w:val="nil"/>
              <w:bottom w:val="single" w:sz="2" w:space="0" w:color="000000"/>
              <w:right w:val="nil"/>
            </w:tcBorders>
            <w:shd w:val="clear" w:color="000000" w:fill="FFFFFF"/>
            <w:vAlign w:val="bottom"/>
          </w:tcPr>
          <w:p w:rsidR="009B7420" w:rsidRPr="009B7420" w:rsidRDefault="009B7420" w:rsidP="009B7420">
            <w:pPr>
              <w:spacing w:after="0" w:line="240" w:lineRule="auto"/>
              <w:ind w:hanging="636"/>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3</w:t>
            </w:r>
          </w:p>
        </w:tc>
        <w:tc>
          <w:tcPr>
            <w:tcW w:w="1110" w:type="dxa"/>
            <w:tcBorders>
              <w:top w:val="single" w:sz="2" w:space="0" w:color="000000"/>
              <w:left w:val="nil"/>
              <w:bottom w:val="single" w:sz="2" w:space="0" w:color="000000"/>
              <w:right w:val="nil"/>
            </w:tcBorders>
            <w:shd w:val="clear" w:color="000000" w:fill="FFFFFF"/>
            <w:vAlign w:val="bottom"/>
          </w:tcPr>
          <w:p w:rsidR="009B7420" w:rsidRPr="009B7420" w:rsidRDefault="009B7420" w:rsidP="009B7420">
            <w:pPr>
              <w:spacing w:after="0" w:line="240" w:lineRule="auto"/>
              <w:ind w:hanging="636"/>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4</w:t>
            </w:r>
          </w:p>
        </w:tc>
      </w:tr>
      <w:tr w:rsidR="009B7420" w:rsidRPr="009B7420" w:rsidTr="009B7420">
        <w:trPr>
          <w:trHeight w:val="469"/>
        </w:trPr>
        <w:tc>
          <w:tcPr>
            <w:tcW w:w="1110" w:type="dxa"/>
            <w:tcBorders>
              <w:top w:val="single" w:sz="2" w:space="0" w:color="000000"/>
              <w:left w:val="nil"/>
              <w:bottom w:val="nil"/>
              <w:right w:val="nil"/>
            </w:tcBorders>
            <w:shd w:val="clear" w:color="000000" w:fill="FFFFFF"/>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w:t>
            </w:r>
          </w:p>
        </w:tc>
        <w:tc>
          <w:tcPr>
            <w:tcW w:w="1111" w:type="dxa"/>
            <w:tcBorders>
              <w:top w:val="single" w:sz="2" w:space="0" w:color="000000"/>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1.00</w:t>
            </w:r>
          </w:p>
        </w:tc>
        <w:tc>
          <w:tcPr>
            <w:tcW w:w="1110" w:type="dxa"/>
            <w:tcBorders>
              <w:top w:val="single" w:sz="2" w:space="0" w:color="000000"/>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c>
          <w:tcPr>
            <w:tcW w:w="1111" w:type="dxa"/>
            <w:tcBorders>
              <w:top w:val="single" w:sz="2" w:space="0" w:color="000000"/>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c>
          <w:tcPr>
            <w:tcW w:w="1110" w:type="dxa"/>
            <w:tcBorders>
              <w:top w:val="single" w:sz="2" w:space="0" w:color="000000"/>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r>
      <w:tr w:rsidR="009B7420" w:rsidRPr="009B7420" w:rsidTr="009B7420">
        <w:trPr>
          <w:trHeight w:val="469"/>
        </w:trPr>
        <w:tc>
          <w:tcPr>
            <w:tcW w:w="1110" w:type="dxa"/>
            <w:tcBorders>
              <w:top w:val="nil"/>
              <w:left w:val="nil"/>
              <w:bottom w:val="nil"/>
              <w:right w:val="nil"/>
            </w:tcBorders>
            <w:shd w:val="clear" w:color="000000" w:fill="FFFFFF"/>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2</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-.15</w:t>
            </w: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1.00</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r>
      <w:tr w:rsidR="009B7420" w:rsidRPr="009B7420" w:rsidTr="009B7420">
        <w:trPr>
          <w:trHeight w:val="469"/>
        </w:trPr>
        <w:tc>
          <w:tcPr>
            <w:tcW w:w="1110" w:type="dxa"/>
            <w:tcBorders>
              <w:top w:val="nil"/>
              <w:left w:val="nil"/>
              <w:bottom w:val="nil"/>
              <w:right w:val="nil"/>
            </w:tcBorders>
            <w:shd w:val="clear" w:color="000000" w:fill="FFFFFF"/>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3</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-.29</w:t>
            </w: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.18</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1.00</w:t>
            </w: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p>
        </w:tc>
      </w:tr>
      <w:tr w:rsidR="009B7420" w:rsidRPr="009B7420" w:rsidTr="009B7420">
        <w:trPr>
          <w:trHeight w:val="469"/>
        </w:trPr>
        <w:tc>
          <w:tcPr>
            <w:tcW w:w="1110" w:type="dxa"/>
            <w:tcBorders>
              <w:top w:val="nil"/>
              <w:left w:val="nil"/>
              <w:bottom w:val="nil"/>
              <w:right w:val="nil"/>
            </w:tcBorders>
            <w:shd w:val="clear" w:color="000000" w:fill="FFFFFF"/>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4</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-.42</w:t>
            </w: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-.02</w:t>
            </w:r>
          </w:p>
        </w:tc>
        <w:tc>
          <w:tcPr>
            <w:tcW w:w="1111"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.14</w:t>
            </w:r>
          </w:p>
        </w:tc>
        <w:tc>
          <w:tcPr>
            <w:tcW w:w="1110" w:type="dxa"/>
            <w:tcBorders>
              <w:top w:val="nil"/>
              <w:left w:val="nil"/>
              <w:bottom w:val="nil"/>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1.00</w:t>
            </w:r>
          </w:p>
        </w:tc>
      </w:tr>
      <w:tr w:rsidR="009B7420" w:rsidRPr="009B7420" w:rsidTr="009B7420">
        <w:trPr>
          <w:trHeight w:val="469"/>
        </w:trPr>
        <w:tc>
          <w:tcPr>
            <w:tcW w:w="1110" w:type="dxa"/>
            <w:tcBorders>
              <w:top w:val="nil"/>
              <w:left w:val="nil"/>
              <w:bottom w:val="single" w:sz="2" w:space="0" w:color="000000"/>
              <w:right w:val="nil"/>
            </w:tcBorders>
            <w:shd w:val="clear" w:color="000000" w:fill="FFFFFF"/>
          </w:tcPr>
          <w:p w:rsidR="009B7420" w:rsidRPr="009B7420" w:rsidRDefault="009B7420" w:rsidP="009B7420">
            <w:pPr>
              <w:spacing w:after="0" w:line="240" w:lineRule="auto"/>
              <w:jc w:val="center"/>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5</w:t>
            </w:r>
          </w:p>
        </w:tc>
        <w:tc>
          <w:tcPr>
            <w:tcW w:w="1111" w:type="dxa"/>
            <w:tcBorders>
              <w:top w:val="nil"/>
              <w:left w:val="nil"/>
              <w:bottom w:val="single" w:sz="2" w:space="0" w:color="000000"/>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.43</w:t>
            </w:r>
          </w:p>
        </w:tc>
        <w:tc>
          <w:tcPr>
            <w:tcW w:w="1110" w:type="dxa"/>
            <w:tcBorders>
              <w:top w:val="nil"/>
              <w:left w:val="nil"/>
              <w:bottom w:val="single" w:sz="2" w:space="0" w:color="000000"/>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-.002</w:t>
            </w:r>
          </w:p>
        </w:tc>
        <w:tc>
          <w:tcPr>
            <w:tcW w:w="1111" w:type="dxa"/>
            <w:tcBorders>
              <w:top w:val="nil"/>
              <w:left w:val="nil"/>
              <w:bottom w:val="single" w:sz="2" w:space="0" w:color="000000"/>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-.21</w:t>
            </w:r>
          </w:p>
        </w:tc>
        <w:tc>
          <w:tcPr>
            <w:tcW w:w="1110" w:type="dxa"/>
            <w:tcBorders>
              <w:top w:val="nil"/>
              <w:left w:val="nil"/>
              <w:bottom w:val="single" w:sz="2" w:space="0" w:color="000000"/>
              <w:right w:val="nil"/>
            </w:tcBorders>
            <w:shd w:val="clear" w:color="000000" w:fill="FFFFFF"/>
            <w:vAlign w:val="center"/>
          </w:tcPr>
          <w:p w:rsidR="009B7420" w:rsidRPr="009B7420" w:rsidRDefault="009B7420" w:rsidP="009B7420">
            <w:pPr>
              <w:spacing w:after="0" w:line="240" w:lineRule="auto"/>
              <w:jc w:val="both"/>
              <w:rPr>
                <w:rFonts w:ascii="Cambria" w:eastAsia="Times New Roman" w:hAnsi="Cambria" w:cs="Times New Roman"/>
                <w:color w:val="000000"/>
                <w:sz w:val="20"/>
                <w:szCs w:val="20"/>
                <w:lang w:val="en-US" w:eastAsia="tr-TR"/>
              </w:rPr>
            </w:pPr>
            <w:r w:rsidRPr="009B7420">
              <w:rPr>
                <w:rFonts w:ascii="Cambria" w:eastAsia="Times New Roman" w:hAnsi="Cambria" w:cs="Times New Roman"/>
                <w:color w:val="000000"/>
                <w:sz w:val="20"/>
                <w:szCs w:val="20"/>
                <w:lang w:val="en-US" w:eastAsia="tr-TR"/>
              </w:rPr>
              <w:t>-.42</w:t>
            </w:r>
          </w:p>
        </w:tc>
      </w:tr>
    </w:tbl>
    <w:p w:rsidR="00210497" w:rsidRPr="009B7420" w:rsidRDefault="00210497" w:rsidP="009B7420">
      <w:pPr>
        <w:spacing w:after="0" w:line="240" w:lineRule="auto"/>
        <w:jc w:val="both"/>
        <w:rPr>
          <w:rFonts w:ascii="Cambria" w:eastAsia="Times New Roman" w:hAnsi="Cambria" w:cs="Times New Roman"/>
          <w:color w:val="000000"/>
          <w:sz w:val="18"/>
          <w:szCs w:val="18"/>
          <w:lang w:val="en-US" w:eastAsia="tr-TR"/>
        </w:rPr>
      </w:pPr>
      <w:r w:rsidRPr="009B7420">
        <w:rPr>
          <w:rFonts w:ascii="Cambria" w:eastAsia="Times New Roman" w:hAnsi="Cambria" w:cs="Times New Roman"/>
          <w:color w:val="000000"/>
          <w:sz w:val="18"/>
          <w:szCs w:val="18"/>
          <w:lang w:val="en-US" w:eastAsia="tr-TR"/>
        </w:rPr>
        <w:t xml:space="preserve">Extraction Method: Principal Axis Factoring.  </w:t>
      </w:r>
    </w:p>
    <w:p w:rsidR="00210497" w:rsidRPr="009B7420" w:rsidRDefault="00210497" w:rsidP="009B7420">
      <w:pPr>
        <w:spacing w:after="0" w:line="240" w:lineRule="auto"/>
        <w:jc w:val="both"/>
        <w:rPr>
          <w:rFonts w:ascii="Cambria" w:eastAsia="Times New Roman" w:hAnsi="Cambria" w:cs="Times New Roman"/>
          <w:color w:val="000000"/>
          <w:sz w:val="18"/>
          <w:szCs w:val="18"/>
          <w:lang w:val="en-US" w:eastAsia="tr-TR"/>
        </w:rPr>
      </w:pPr>
      <w:r w:rsidRPr="009B7420">
        <w:rPr>
          <w:rFonts w:ascii="Cambria" w:eastAsia="Times New Roman" w:hAnsi="Cambria" w:cs="Times New Roman"/>
          <w:color w:val="000000"/>
          <w:sz w:val="18"/>
          <w:szCs w:val="18"/>
          <w:lang w:val="en-US" w:eastAsia="tr-TR"/>
        </w:rPr>
        <w:t xml:space="preserve">Rotation Method: </w:t>
      </w:r>
      <w:proofErr w:type="spellStart"/>
      <w:r w:rsidRPr="009B7420">
        <w:rPr>
          <w:rFonts w:ascii="Cambria" w:eastAsia="Times New Roman" w:hAnsi="Cambria" w:cs="Times New Roman"/>
          <w:color w:val="000000"/>
          <w:sz w:val="18"/>
          <w:szCs w:val="18"/>
          <w:lang w:val="en-US" w:eastAsia="tr-TR"/>
        </w:rPr>
        <w:t>Oblimin</w:t>
      </w:r>
      <w:proofErr w:type="spellEnd"/>
      <w:r w:rsidRPr="009B7420">
        <w:rPr>
          <w:rFonts w:ascii="Cambria" w:eastAsia="Times New Roman" w:hAnsi="Cambria" w:cs="Times New Roman"/>
          <w:color w:val="000000"/>
          <w:sz w:val="18"/>
          <w:szCs w:val="18"/>
          <w:lang w:val="en-US" w:eastAsia="tr-TR"/>
        </w:rPr>
        <w:t xml:space="preserve"> with Kaiser Normalization.</w:t>
      </w: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7F15E8" w:rsidRDefault="00210497" w:rsidP="009B7420">
      <w:pPr>
        <w:spacing w:after="0" w:line="240" w:lineRule="auto"/>
        <w:jc w:val="both"/>
        <w:rPr>
          <w:rFonts w:ascii="Cambria" w:eastAsia="Times New Roman" w:hAnsi="Cambria" w:cs="Times New Roman"/>
          <w:i/>
          <w:color w:val="000000"/>
          <w:sz w:val="20"/>
          <w:szCs w:val="20"/>
          <w:lang w:val="en-US" w:eastAsia="tr-TR"/>
        </w:rPr>
      </w:pPr>
      <w:r w:rsidRPr="007F15E8">
        <w:rPr>
          <w:rFonts w:ascii="Cambria" w:eastAsia="Times New Roman" w:hAnsi="Cambria" w:cs="Times New Roman"/>
          <w:b/>
          <w:color w:val="000000"/>
          <w:sz w:val="20"/>
          <w:szCs w:val="20"/>
          <w:lang w:val="en-US" w:eastAsia="tr-TR"/>
        </w:rPr>
        <w:t>Table 2</w:t>
      </w:r>
      <w:r w:rsidR="007F15E8" w:rsidRPr="007F15E8">
        <w:rPr>
          <w:rFonts w:ascii="Cambria" w:eastAsia="Times New Roman" w:hAnsi="Cambria" w:cs="Times New Roman"/>
          <w:b/>
          <w:color w:val="000000"/>
          <w:sz w:val="20"/>
          <w:szCs w:val="20"/>
          <w:lang w:val="en-US" w:eastAsia="tr-TR"/>
        </w:rPr>
        <w:t xml:space="preserve">. </w:t>
      </w:r>
      <w:r w:rsidRPr="007F15E8">
        <w:rPr>
          <w:rFonts w:ascii="Cambria" w:eastAsia="Times New Roman" w:hAnsi="Cambria" w:cs="Times New Roman"/>
          <w:i/>
          <w:color w:val="000000"/>
          <w:sz w:val="20"/>
          <w:szCs w:val="20"/>
          <w:lang w:val="en-US" w:eastAsia="tr-TR"/>
        </w:rPr>
        <w:t>Number of Factors</w:t>
      </w:r>
    </w:p>
    <w:p w:rsidR="009B7420" w:rsidRPr="009B7420" w:rsidRDefault="009B7420" w:rsidP="009B7420">
      <w:pPr>
        <w:spacing w:after="0" w:line="240" w:lineRule="auto"/>
        <w:jc w:val="both"/>
        <w:rPr>
          <w:rFonts w:ascii="Cambria" w:eastAsia="Times New Roman" w:hAnsi="Cambria" w:cs="Times New Roman"/>
          <w:i/>
          <w:color w:val="000000"/>
          <w:sz w:val="20"/>
          <w:szCs w:val="20"/>
          <w:lang w:val="en-US" w:eastAsia="tr-TR"/>
        </w:rPr>
      </w:pPr>
    </w:p>
    <w:tbl>
      <w:tblPr>
        <w:tblW w:w="8789" w:type="dxa"/>
        <w:tblInd w:w="93" w:type="dxa"/>
        <w:tblLayout w:type="fixed"/>
        <w:tblCellMar>
          <w:left w:w="93" w:type="dxa"/>
          <w:right w:w="93" w:type="dxa"/>
        </w:tblCellMar>
        <w:tblLook w:val="0000" w:firstRow="0" w:lastRow="0" w:firstColumn="0" w:lastColumn="0" w:noHBand="0" w:noVBand="0"/>
      </w:tblPr>
      <w:tblGrid>
        <w:gridCol w:w="851"/>
        <w:gridCol w:w="1457"/>
        <w:gridCol w:w="1418"/>
        <w:gridCol w:w="1377"/>
        <w:gridCol w:w="1559"/>
        <w:gridCol w:w="2127"/>
      </w:tblGrid>
      <w:tr w:rsidR="00210497" w:rsidRPr="007F15E8" w:rsidTr="007F15E8">
        <w:trPr>
          <w:trHeight w:val="331"/>
        </w:trPr>
        <w:tc>
          <w:tcPr>
            <w:tcW w:w="851"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ind w:firstLine="49"/>
              <w:jc w:val="center"/>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Factor</w:t>
            </w:r>
          </w:p>
        </w:tc>
        <w:tc>
          <w:tcPr>
            <w:tcW w:w="1457"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jc w:val="center"/>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Actual Data Eigenvalues</w:t>
            </w:r>
          </w:p>
        </w:tc>
        <w:tc>
          <w:tcPr>
            <w:tcW w:w="1418"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ind w:firstLine="9"/>
              <w:jc w:val="center"/>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w:t>
            </w:r>
            <w:r w:rsidR="007F15E8">
              <w:rPr>
                <w:rFonts w:ascii="Cambria" w:eastAsia="Times New Roman" w:hAnsi="Cambria" w:cs="Times New Roman"/>
                <w:color w:val="000000"/>
                <w:sz w:val="20"/>
                <w:szCs w:val="20"/>
                <w:lang w:val="en-US" w:eastAsia="tr-TR"/>
              </w:rPr>
              <w:t xml:space="preserve"> </w:t>
            </w:r>
            <w:r w:rsidRPr="007F15E8">
              <w:rPr>
                <w:rFonts w:ascii="Cambria" w:eastAsia="Times New Roman" w:hAnsi="Cambria" w:cs="Times New Roman"/>
                <w:color w:val="000000"/>
                <w:sz w:val="20"/>
                <w:szCs w:val="20"/>
                <w:lang w:val="en-US" w:eastAsia="tr-TR"/>
              </w:rPr>
              <w:t>of Variance</w:t>
            </w:r>
          </w:p>
        </w:tc>
        <w:tc>
          <w:tcPr>
            <w:tcW w:w="1377"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jc w:val="center"/>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Cumulative%</w:t>
            </w:r>
          </w:p>
        </w:tc>
        <w:tc>
          <w:tcPr>
            <w:tcW w:w="1559"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jc w:val="center"/>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Random Data Eigenvalues</w:t>
            </w:r>
          </w:p>
        </w:tc>
        <w:tc>
          <w:tcPr>
            <w:tcW w:w="2127" w:type="dxa"/>
            <w:tcBorders>
              <w:top w:val="single" w:sz="2" w:space="0" w:color="000000"/>
              <w:left w:val="nil"/>
              <w:bottom w:val="single" w:sz="2" w:space="0" w:color="000000"/>
              <w:right w:val="nil"/>
            </w:tcBorders>
            <w:shd w:val="clear" w:color="000000" w:fill="FFFFFF"/>
            <w:vAlign w:val="bottom"/>
          </w:tcPr>
          <w:p w:rsidR="00210497" w:rsidRPr="007F15E8" w:rsidRDefault="00210497" w:rsidP="007F15E8">
            <w:pPr>
              <w:spacing w:after="0" w:line="240" w:lineRule="auto"/>
              <w:jc w:val="center"/>
              <w:rPr>
                <w:rFonts w:ascii="Cambria" w:eastAsia="Times New Roman" w:hAnsi="Cambria" w:cs="Times New Roman"/>
                <w:color w:val="000000"/>
                <w:sz w:val="20"/>
                <w:szCs w:val="20"/>
                <w:lang w:val="en-US" w:eastAsia="tr-TR"/>
              </w:rPr>
            </w:pPr>
            <w:proofErr w:type="spellStart"/>
            <w:r w:rsidRPr="007F15E8">
              <w:rPr>
                <w:rFonts w:ascii="Cambria" w:eastAsia="Times New Roman" w:hAnsi="Cambria" w:cs="Times New Roman"/>
                <w:color w:val="000000"/>
                <w:sz w:val="20"/>
                <w:szCs w:val="20"/>
                <w:lang w:val="en-US" w:eastAsia="tr-TR"/>
              </w:rPr>
              <w:t>Velicer’s</w:t>
            </w:r>
            <w:proofErr w:type="spellEnd"/>
            <w:r w:rsidRPr="007F15E8">
              <w:rPr>
                <w:rFonts w:ascii="Cambria" w:eastAsia="Times New Roman" w:hAnsi="Cambria" w:cs="Times New Roman"/>
                <w:color w:val="000000"/>
                <w:sz w:val="20"/>
                <w:szCs w:val="20"/>
                <w:lang w:val="en-US" w:eastAsia="tr-TR"/>
              </w:rPr>
              <w:t xml:space="preserve"> </w:t>
            </w:r>
            <w:proofErr w:type="spellStart"/>
            <w:r w:rsidRPr="007F15E8">
              <w:rPr>
                <w:rFonts w:ascii="Cambria" w:eastAsia="Times New Roman" w:hAnsi="Cambria" w:cs="Times New Roman"/>
                <w:color w:val="000000"/>
                <w:sz w:val="20"/>
                <w:szCs w:val="20"/>
                <w:lang w:val="en-US" w:eastAsia="tr-TR"/>
              </w:rPr>
              <w:t>Avarage</w:t>
            </w:r>
            <w:proofErr w:type="spellEnd"/>
            <w:r w:rsidRPr="007F15E8">
              <w:rPr>
                <w:rFonts w:ascii="Cambria" w:eastAsia="Times New Roman" w:hAnsi="Cambria" w:cs="Times New Roman"/>
                <w:color w:val="000000"/>
                <w:sz w:val="20"/>
                <w:szCs w:val="20"/>
                <w:lang w:val="en-US" w:eastAsia="tr-TR"/>
              </w:rPr>
              <w:t xml:space="preserve"> </w:t>
            </w:r>
            <w:proofErr w:type="spellStart"/>
            <w:r w:rsidRPr="007F15E8">
              <w:rPr>
                <w:rFonts w:ascii="Cambria" w:eastAsia="Times New Roman" w:hAnsi="Cambria" w:cs="Times New Roman"/>
                <w:color w:val="000000"/>
                <w:sz w:val="20"/>
                <w:szCs w:val="20"/>
                <w:lang w:val="en-US" w:eastAsia="tr-TR"/>
              </w:rPr>
              <w:t>Squarred</w:t>
            </w:r>
            <w:proofErr w:type="spellEnd"/>
            <w:r w:rsidRPr="007F15E8">
              <w:rPr>
                <w:rFonts w:ascii="Cambria" w:eastAsia="Times New Roman" w:hAnsi="Cambria" w:cs="Times New Roman"/>
                <w:color w:val="000000"/>
                <w:sz w:val="20"/>
                <w:szCs w:val="20"/>
                <w:lang w:val="en-US" w:eastAsia="tr-TR"/>
              </w:rPr>
              <w:t xml:space="preserve"> </w:t>
            </w:r>
            <w:r w:rsidR="007F15E8">
              <w:rPr>
                <w:rFonts w:ascii="Cambria" w:eastAsia="Times New Roman" w:hAnsi="Cambria" w:cs="Times New Roman"/>
                <w:color w:val="000000"/>
                <w:sz w:val="20"/>
                <w:szCs w:val="20"/>
                <w:lang w:val="en-US" w:eastAsia="tr-TR"/>
              </w:rPr>
              <w:t>C</w:t>
            </w:r>
            <w:r w:rsidRPr="007F15E8">
              <w:rPr>
                <w:rFonts w:ascii="Cambria" w:eastAsia="Times New Roman" w:hAnsi="Cambria" w:cs="Times New Roman"/>
                <w:color w:val="000000"/>
                <w:sz w:val="20"/>
                <w:szCs w:val="20"/>
                <w:lang w:val="en-US" w:eastAsia="tr-TR"/>
              </w:rPr>
              <w:t>orrelation</w:t>
            </w:r>
          </w:p>
        </w:tc>
      </w:tr>
      <w:tr w:rsidR="00210497" w:rsidRPr="007F15E8" w:rsidTr="007F15E8">
        <w:trPr>
          <w:trHeight w:val="331"/>
        </w:trPr>
        <w:tc>
          <w:tcPr>
            <w:tcW w:w="851" w:type="dxa"/>
            <w:tcBorders>
              <w:top w:val="single" w:sz="2" w:space="0" w:color="000000"/>
              <w:left w:val="nil"/>
              <w:bottom w:val="nil"/>
              <w:right w:val="nil"/>
            </w:tcBorders>
            <w:shd w:val="clear" w:color="000000" w:fill="FFFFFF"/>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w:t>
            </w:r>
          </w:p>
        </w:tc>
        <w:tc>
          <w:tcPr>
            <w:tcW w:w="1457" w:type="dxa"/>
            <w:tcBorders>
              <w:top w:val="single" w:sz="2" w:space="0" w:color="000000"/>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7.341</w:t>
            </w:r>
          </w:p>
        </w:tc>
        <w:tc>
          <w:tcPr>
            <w:tcW w:w="1418" w:type="dxa"/>
            <w:tcBorders>
              <w:top w:val="single" w:sz="2" w:space="0" w:color="000000"/>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24.470</w:t>
            </w:r>
          </w:p>
        </w:tc>
        <w:tc>
          <w:tcPr>
            <w:tcW w:w="1377" w:type="dxa"/>
            <w:tcBorders>
              <w:top w:val="single" w:sz="2" w:space="0" w:color="000000"/>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24.470</w:t>
            </w:r>
          </w:p>
        </w:tc>
        <w:tc>
          <w:tcPr>
            <w:tcW w:w="1559" w:type="dxa"/>
            <w:tcBorders>
              <w:top w:val="single" w:sz="2" w:space="0" w:color="000000"/>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1.890</w:t>
            </w:r>
          </w:p>
        </w:tc>
        <w:tc>
          <w:tcPr>
            <w:tcW w:w="2127" w:type="dxa"/>
            <w:tcBorders>
              <w:top w:val="single" w:sz="2" w:space="0" w:color="000000"/>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.309</w:t>
            </w:r>
          </w:p>
        </w:tc>
      </w:tr>
      <w:tr w:rsidR="00210497" w:rsidRPr="007F15E8" w:rsidTr="007F15E8">
        <w:trPr>
          <w:trHeight w:val="331"/>
        </w:trPr>
        <w:tc>
          <w:tcPr>
            <w:tcW w:w="851" w:type="dxa"/>
            <w:tcBorders>
              <w:top w:val="nil"/>
              <w:left w:val="nil"/>
              <w:bottom w:val="nil"/>
              <w:right w:val="nil"/>
            </w:tcBorders>
            <w:shd w:val="clear" w:color="000000" w:fill="FFFFFF"/>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2</w:t>
            </w:r>
          </w:p>
        </w:tc>
        <w:tc>
          <w:tcPr>
            <w:tcW w:w="145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2.272</w:t>
            </w:r>
          </w:p>
        </w:tc>
        <w:tc>
          <w:tcPr>
            <w:tcW w:w="1418"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7.572</w:t>
            </w:r>
          </w:p>
        </w:tc>
        <w:tc>
          <w:tcPr>
            <w:tcW w:w="137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32.042</w:t>
            </w:r>
          </w:p>
        </w:tc>
        <w:tc>
          <w:tcPr>
            <w:tcW w:w="1559"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1.579</w:t>
            </w:r>
          </w:p>
        </w:tc>
        <w:tc>
          <w:tcPr>
            <w:tcW w:w="212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.310</w:t>
            </w:r>
          </w:p>
        </w:tc>
      </w:tr>
      <w:tr w:rsidR="00210497" w:rsidRPr="007F15E8" w:rsidTr="007F15E8">
        <w:trPr>
          <w:trHeight w:val="331"/>
        </w:trPr>
        <w:tc>
          <w:tcPr>
            <w:tcW w:w="851" w:type="dxa"/>
            <w:tcBorders>
              <w:top w:val="nil"/>
              <w:left w:val="nil"/>
              <w:bottom w:val="nil"/>
              <w:right w:val="nil"/>
            </w:tcBorders>
            <w:shd w:val="clear" w:color="000000" w:fill="FFFFFF"/>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3</w:t>
            </w:r>
          </w:p>
        </w:tc>
        <w:tc>
          <w:tcPr>
            <w:tcW w:w="145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1.526</w:t>
            </w:r>
          </w:p>
        </w:tc>
        <w:tc>
          <w:tcPr>
            <w:tcW w:w="1418"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5.086</w:t>
            </w:r>
          </w:p>
        </w:tc>
        <w:tc>
          <w:tcPr>
            <w:tcW w:w="137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37.128</w:t>
            </w:r>
          </w:p>
        </w:tc>
        <w:tc>
          <w:tcPr>
            <w:tcW w:w="1559"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1.506</w:t>
            </w:r>
          </w:p>
        </w:tc>
        <w:tc>
          <w:tcPr>
            <w:tcW w:w="212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.270</w:t>
            </w:r>
          </w:p>
        </w:tc>
      </w:tr>
      <w:tr w:rsidR="00210497" w:rsidRPr="007F15E8" w:rsidTr="007F15E8">
        <w:trPr>
          <w:trHeight w:val="331"/>
        </w:trPr>
        <w:tc>
          <w:tcPr>
            <w:tcW w:w="851" w:type="dxa"/>
            <w:tcBorders>
              <w:top w:val="nil"/>
              <w:left w:val="nil"/>
              <w:bottom w:val="nil"/>
              <w:right w:val="nil"/>
            </w:tcBorders>
            <w:shd w:val="clear" w:color="000000" w:fill="FFFFFF"/>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4</w:t>
            </w:r>
          </w:p>
        </w:tc>
        <w:tc>
          <w:tcPr>
            <w:tcW w:w="145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1.340</w:t>
            </w:r>
          </w:p>
        </w:tc>
        <w:tc>
          <w:tcPr>
            <w:tcW w:w="1418"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4.466</w:t>
            </w:r>
          </w:p>
        </w:tc>
        <w:tc>
          <w:tcPr>
            <w:tcW w:w="137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41.594</w:t>
            </w:r>
          </w:p>
        </w:tc>
        <w:tc>
          <w:tcPr>
            <w:tcW w:w="1559"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1.140</w:t>
            </w:r>
          </w:p>
        </w:tc>
        <w:tc>
          <w:tcPr>
            <w:tcW w:w="2127" w:type="dxa"/>
            <w:tcBorders>
              <w:top w:val="nil"/>
              <w:left w:val="nil"/>
              <w:bottom w:val="nil"/>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.152</w:t>
            </w:r>
          </w:p>
        </w:tc>
      </w:tr>
      <w:tr w:rsidR="00210497" w:rsidRPr="007F15E8" w:rsidTr="007F15E8">
        <w:trPr>
          <w:trHeight w:val="331"/>
        </w:trPr>
        <w:tc>
          <w:tcPr>
            <w:tcW w:w="851" w:type="dxa"/>
            <w:tcBorders>
              <w:top w:val="nil"/>
              <w:left w:val="nil"/>
              <w:bottom w:val="single" w:sz="2" w:space="0" w:color="000000"/>
              <w:right w:val="nil"/>
            </w:tcBorders>
            <w:shd w:val="clear" w:color="000000" w:fill="FFFFFF"/>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5</w:t>
            </w:r>
          </w:p>
        </w:tc>
        <w:tc>
          <w:tcPr>
            <w:tcW w:w="1457" w:type="dxa"/>
            <w:tcBorders>
              <w:top w:val="nil"/>
              <w:left w:val="nil"/>
              <w:bottom w:val="single" w:sz="2" w:space="0" w:color="000000"/>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1.270</w:t>
            </w:r>
          </w:p>
        </w:tc>
        <w:tc>
          <w:tcPr>
            <w:tcW w:w="1418" w:type="dxa"/>
            <w:tcBorders>
              <w:top w:val="nil"/>
              <w:left w:val="nil"/>
              <w:bottom w:val="single" w:sz="2" w:space="0" w:color="000000"/>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4.234</w:t>
            </w:r>
          </w:p>
        </w:tc>
        <w:tc>
          <w:tcPr>
            <w:tcW w:w="1377" w:type="dxa"/>
            <w:tcBorders>
              <w:top w:val="nil"/>
              <w:left w:val="nil"/>
              <w:bottom w:val="single" w:sz="2" w:space="0" w:color="000000"/>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45.828</w:t>
            </w:r>
          </w:p>
        </w:tc>
        <w:tc>
          <w:tcPr>
            <w:tcW w:w="1559" w:type="dxa"/>
            <w:tcBorders>
              <w:top w:val="nil"/>
              <w:left w:val="nil"/>
              <w:bottom w:val="single" w:sz="2" w:space="0" w:color="000000"/>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1.078</w:t>
            </w:r>
          </w:p>
        </w:tc>
        <w:tc>
          <w:tcPr>
            <w:tcW w:w="2127" w:type="dxa"/>
            <w:tcBorders>
              <w:top w:val="nil"/>
              <w:left w:val="nil"/>
              <w:bottom w:val="single" w:sz="2" w:space="0" w:color="000000"/>
              <w:right w:val="nil"/>
            </w:tcBorders>
            <w:shd w:val="clear" w:color="000000" w:fill="FFFFFF"/>
            <w:vAlign w:val="center"/>
          </w:tcPr>
          <w:p w:rsidR="00210497" w:rsidRPr="007F15E8"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7F15E8">
              <w:rPr>
                <w:rFonts w:ascii="Cambria" w:eastAsia="Times New Roman" w:hAnsi="Cambria" w:cs="Times New Roman"/>
                <w:color w:val="000000"/>
                <w:sz w:val="20"/>
                <w:szCs w:val="20"/>
                <w:lang w:val="en-US" w:eastAsia="tr-TR"/>
              </w:rPr>
              <w:t>.095*</w:t>
            </w:r>
          </w:p>
        </w:tc>
      </w:tr>
    </w:tbl>
    <w:p w:rsidR="00210497" w:rsidRPr="009B7420" w:rsidRDefault="00210497" w:rsidP="009B7420">
      <w:pPr>
        <w:spacing w:after="0" w:line="240" w:lineRule="auto"/>
        <w:jc w:val="both"/>
        <w:rPr>
          <w:rFonts w:ascii="Cambria" w:eastAsia="Times New Roman" w:hAnsi="Cambria" w:cs="Times New Roman"/>
          <w:color w:val="000000"/>
          <w:sz w:val="18"/>
          <w:szCs w:val="18"/>
          <w:lang w:val="en-US" w:eastAsia="tr-TR"/>
        </w:rPr>
      </w:pPr>
      <w:r w:rsidRPr="009B7420">
        <w:rPr>
          <w:rFonts w:ascii="Cambria" w:eastAsia="Times New Roman" w:hAnsi="Cambria" w:cs="Times New Roman"/>
          <w:color w:val="000000"/>
          <w:sz w:val="18"/>
          <w:szCs w:val="18"/>
          <w:lang w:val="en-US" w:eastAsia="tr-TR"/>
        </w:rPr>
        <w:t>* The smallest average squared partial correlation is .0946 &amp; The Number of Components According to the Original (2000) MAP Test is 5</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i/>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Table 3 summarizes factor loadings of the items.  The findings indicate that there are no considerable close loadings, except for item 13. The range of loadings is between .38 and .85. According to Hair et al. (2005), unless the sample size and the number of variables are large, smaller loadings can be acceptable. In this case, there are 273 sample and 30 observed variables, which means that factor loadings greater than .35 are significant. There were no items below this range.</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r w:rsidRPr="00210497">
        <w:rPr>
          <w:rFonts w:ascii="Cambria" w:eastAsia="Times New Roman" w:hAnsi="Cambria" w:cs="Times New Roman"/>
          <w:b/>
          <w:color w:val="000000"/>
          <w:lang w:val="en-US" w:eastAsia="tr-TR"/>
        </w:rPr>
        <w:br w:type="page"/>
      </w:r>
    </w:p>
    <w:p w:rsidR="00210497" w:rsidRPr="007F15E8" w:rsidRDefault="00210497" w:rsidP="004630F7">
      <w:pPr>
        <w:spacing w:after="0" w:line="240" w:lineRule="auto"/>
        <w:jc w:val="both"/>
        <w:rPr>
          <w:rFonts w:ascii="Cambria" w:eastAsia="Times New Roman" w:hAnsi="Cambria" w:cs="Times New Roman"/>
          <w:i/>
          <w:color w:val="000000"/>
          <w:sz w:val="20"/>
          <w:szCs w:val="20"/>
          <w:lang w:val="en-US" w:eastAsia="tr-TR"/>
        </w:rPr>
      </w:pPr>
      <w:r w:rsidRPr="007F15E8">
        <w:rPr>
          <w:rFonts w:ascii="Cambria" w:eastAsia="Times New Roman" w:hAnsi="Cambria" w:cs="Times New Roman"/>
          <w:b/>
          <w:color w:val="000000"/>
          <w:sz w:val="20"/>
          <w:szCs w:val="20"/>
          <w:lang w:val="en-US" w:eastAsia="tr-TR"/>
        </w:rPr>
        <w:lastRenderedPageBreak/>
        <w:t>Table 3</w:t>
      </w:r>
      <w:r w:rsidR="004630F7" w:rsidRPr="007F15E8">
        <w:rPr>
          <w:rFonts w:ascii="Cambria" w:eastAsia="Times New Roman" w:hAnsi="Cambria" w:cs="Times New Roman"/>
          <w:b/>
          <w:color w:val="000000"/>
          <w:sz w:val="20"/>
          <w:szCs w:val="20"/>
          <w:lang w:val="en-US" w:eastAsia="tr-TR"/>
        </w:rPr>
        <w:t xml:space="preserve">. </w:t>
      </w:r>
      <w:r w:rsidR="004630F7" w:rsidRPr="007F15E8">
        <w:rPr>
          <w:rFonts w:ascii="Cambria" w:eastAsia="Times New Roman" w:hAnsi="Cambria" w:cs="Times New Roman"/>
          <w:i/>
          <w:color w:val="000000"/>
          <w:sz w:val="20"/>
          <w:szCs w:val="20"/>
          <w:lang w:val="en-US" w:eastAsia="tr-TR"/>
        </w:rPr>
        <w:t>Factor l</w:t>
      </w:r>
      <w:r w:rsidRPr="007F15E8">
        <w:rPr>
          <w:rFonts w:ascii="Cambria" w:eastAsia="Times New Roman" w:hAnsi="Cambria" w:cs="Times New Roman"/>
          <w:i/>
          <w:color w:val="000000"/>
          <w:sz w:val="20"/>
          <w:szCs w:val="20"/>
          <w:lang w:val="en-US" w:eastAsia="tr-TR"/>
        </w:rPr>
        <w:t>oadings</w:t>
      </w:r>
    </w:p>
    <w:p w:rsidR="004630F7" w:rsidRPr="00210497" w:rsidRDefault="004630F7" w:rsidP="004630F7">
      <w:pPr>
        <w:spacing w:after="0" w:line="240" w:lineRule="auto"/>
        <w:jc w:val="both"/>
        <w:rPr>
          <w:rFonts w:ascii="Cambria" w:eastAsia="Times New Roman" w:hAnsi="Cambria" w:cs="Times New Roman"/>
          <w:color w:val="000000"/>
          <w:lang w:val="en-US" w:eastAsia="tr-TR"/>
        </w:rPr>
      </w:pPr>
    </w:p>
    <w:tbl>
      <w:tblPr>
        <w:tblStyle w:val="TableGrid"/>
        <w:tblW w:w="8051"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1087"/>
        <w:gridCol w:w="540"/>
        <w:gridCol w:w="850"/>
        <w:gridCol w:w="784"/>
        <w:gridCol w:w="518"/>
      </w:tblGrid>
      <w:tr w:rsidR="004630F7" w:rsidRPr="00820FFF" w:rsidTr="004630F7">
        <w:trPr>
          <w:trHeight w:val="469"/>
        </w:trPr>
        <w:tc>
          <w:tcPr>
            <w:tcW w:w="5211" w:type="dxa"/>
            <w:tcBorders>
              <w:top w:val="single" w:sz="4" w:space="0" w:color="auto"/>
            </w:tcBorders>
          </w:tcPr>
          <w:p w:rsidR="004630F7" w:rsidRPr="00820FFF" w:rsidRDefault="004630F7" w:rsidP="0034583A">
            <w:pPr>
              <w:rPr>
                <w:rFonts w:ascii="Cambria" w:eastAsia="Times New Roman" w:hAnsi="Cambria" w:cs="Times New Roman"/>
                <w:color w:val="000000"/>
                <w:sz w:val="20"/>
                <w:szCs w:val="20"/>
                <w:lang w:eastAsia="tr-TR"/>
              </w:rPr>
            </w:pPr>
          </w:p>
        </w:tc>
        <w:tc>
          <w:tcPr>
            <w:tcW w:w="2840" w:type="dxa"/>
            <w:gridSpan w:val="5"/>
            <w:tcBorders>
              <w:top w:val="single" w:sz="4" w:space="0" w:color="auto"/>
              <w:bottom w:val="single" w:sz="4" w:space="0" w:color="auto"/>
            </w:tcBorders>
          </w:tcPr>
          <w:p w:rsidR="004630F7" w:rsidRPr="00820FFF" w:rsidRDefault="004630F7" w:rsidP="0034583A">
            <w:pPr>
              <w:jc w:val="center"/>
              <w:rPr>
                <w:rFonts w:ascii="Cambria" w:eastAsia="Times New Roman" w:hAnsi="Cambria" w:cs="Times New Roman"/>
                <w:b/>
                <w:color w:val="000000"/>
                <w:sz w:val="20"/>
                <w:szCs w:val="20"/>
                <w:lang w:eastAsia="tr-TR"/>
              </w:rPr>
            </w:pPr>
            <w:r w:rsidRPr="00820FFF">
              <w:rPr>
                <w:rFonts w:ascii="Cambria" w:eastAsia="Times New Roman" w:hAnsi="Cambria" w:cs="Times New Roman"/>
                <w:b/>
                <w:color w:val="000000"/>
                <w:sz w:val="20"/>
                <w:szCs w:val="20"/>
                <w:lang w:eastAsia="tr-TR"/>
              </w:rPr>
              <w:t>Factors</w:t>
            </w:r>
          </w:p>
        </w:tc>
      </w:tr>
      <w:tr w:rsidR="004630F7" w:rsidRPr="00820FFF" w:rsidTr="004630F7">
        <w:trPr>
          <w:trHeight w:val="469"/>
        </w:trPr>
        <w:tc>
          <w:tcPr>
            <w:tcW w:w="5211" w:type="dxa"/>
            <w:tcBorders>
              <w:bottom w:val="single" w:sz="4" w:space="0" w:color="auto"/>
            </w:tcBorders>
          </w:tcPr>
          <w:p w:rsidR="004630F7" w:rsidRPr="00820FFF" w:rsidRDefault="004630F7" w:rsidP="004630F7">
            <w:pPr>
              <w:rPr>
                <w:rFonts w:ascii="Cambria" w:eastAsia="Times New Roman" w:hAnsi="Cambria" w:cs="Times New Roman"/>
                <w:b/>
                <w:color w:val="000000"/>
                <w:sz w:val="20"/>
                <w:szCs w:val="20"/>
                <w:lang w:eastAsia="tr-TR"/>
              </w:rPr>
            </w:pPr>
            <w:r w:rsidRPr="00820FFF">
              <w:rPr>
                <w:rFonts w:ascii="Cambria" w:eastAsia="Times New Roman" w:hAnsi="Cambria" w:cs="Times New Roman"/>
                <w:b/>
                <w:color w:val="000000"/>
                <w:sz w:val="20"/>
                <w:szCs w:val="20"/>
                <w:lang w:eastAsia="tr-TR"/>
              </w:rPr>
              <w:t>Items</w:t>
            </w:r>
          </w:p>
        </w:tc>
        <w:tc>
          <w:tcPr>
            <w:tcW w:w="614" w:type="dxa"/>
            <w:tcBorders>
              <w:top w:val="single" w:sz="4" w:space="0" w:color="auto"/>
              <w:bottom w:val="single" w:sz="4" w:space="0" w:color="auto"/>
            </w:tcBorders>
          </w:tcPr>
          <w:p w:rsidR="004630F7" w:rsidRPr="00820FFF" w:rsidRDefault="004630F7" w:rsidP="0034583A">
            <w:pPr>
              <w:jc w:val="center"/>
              <w:rPr>
                <w:rFonts w:ascii="Cambria" w:eastAsia="Times New Roman" w:hAnsi="Cambria" w:cs="Times New Roman"/>
                <w:b/>
                <w:color w:val="000000"/>
                <w:sz w:val="20"/>
                <w:szCs w:val="20"/>
                <w:lang w:eastAsia="tr-TR"/>
              </w:rPr>
            </w:pPr>
            <w:r w:rsidRPr="00820FFF">
              <w:rPr>
                <w:rFonts w:ascii="Cambria" w:eastAsia="Times New Roman" w:hAnsi="Cambria" w:cs="Times New Roman"/>
                <w:b/>
                <w:color w:val="000000"/>
                <w:sz w:val="20"/>
                <w:szCs w:val="20"/>
                <w:lang w:eastAsia="tr-TR"/>
              </w:rPr>
              <w:t>1</w:t>
            </w:r>
          </w:p>
        </w:tc>
        <w:tc>
          <w:tcPr>
            <w:tcW w:w="561" w:type="dxa"/>
            <w:tcBorders>
              <w:top w:val="single" w:sz="4" w:space="0" w:color="auto"/>
              <w:bottom w:val="single" w:sz="4" w:space="0" w:color="auto"/>
            </w:tcBorders>
          </w:tcPr>
          <w:p w:rsidR="004630F7" w:rsidRPr="00820FFF" w:rsidRDefault="004630F7" w:rsidP="0034583A">
            <w:pPr>
              <w:ind w:left="-580" w:firstLine="567"/>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73" w:type="dxa"/>
            <w:tcBorders>
              <w:top w:val="single" w:sz="4" w:space="0" w:color="auto"/>
              <w:bottom w:val="single" w:sz="4" w:space="0" w:color="auto"/>
            </w:tcBorders>
          </w:tcPr>
          <w:p w:rsidR="004630F7" w:rsidRPr="00820FFF" w:rsidRDefault="004630F7" w:rsidP="0034583A">
            <w:pPr>
              <w:ind w:left="-574" w:firstLine="567"/>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61" w:type="dxa"/>
            <w:tcBorders>
              <w:top w:val="single" w:sz="4" w:space="0" w:color="auto"/>
              <w:bottom w:val="single" w:sz="4" w:space="0" w:color="auto"/>
            </w:tcBorders>
          </w:tcPr>
          <w:p w:rsidR="004630F7" w:rsidRPr="00820FFF" w:rsidRDefault="004630F7" w:rsidP="0034583A">
            <w:pPr>
              <w:ind w:left="-580" w:firstLine="567"/>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31" w:type="dxa"/>
            <w:tcBorders>
              <w:top w:val="single" w:sz="4" w:space="0" w:color="auto"/>
              <w:bottom w:val="single" w:sz="4" w:space="0" w:color="auto"/>
            </w:tcBorders>
          </w:tcPr>
          <w:p w:rsidR="004630F7" w:rsidRPr="00820FFF" w:rsidRDefault="004630F7" w:rsidP="0034583A">
            <w:pPr>
              <w:ind w:left="-574" w:firstLine="567"/>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r>
      <w:tr w:rsidR="004630F7" w:rsidRPr="00820FFF" w:rsidTr="004630F7">
        <w:trPr>
          <w:trHeight w:val="469"/>
        </w:trPr>
        <w:tc>
          <w:tcPr>
            <w:tcW w:w="5211" w:type="dxa"/>
            <w:tcBorders>
              <w:top w:val="single" w:sz="4" w:space="0" w:color="auto"/>
            </w:tcBorders>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7. I deeply examine the contents of the sites that are found after Internet search.</w:t>
            </w:r>
          </w:p>
        </w:tc>
        <w:tc>
          <w:tcPr>
            <w:tcW w:w="614" w:type="dxa"/>
            <w:tcBorders>
              <w:top w:val="single" w:sz="4" w:space="0" w:color="auto"/>
            </w:tcBorders>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.62</w:t>
            </w:r>
          </w:p>
        </w:tc>
        <w:tc>
          <w:tcPr>
            <w:tcW w:w="561" w:type="dxa"/>
            <w:tcBorders>
              <w:top w:val="single" w:sz="4" w:space="0" w:color="auto"/>
            </w:tcBorders>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Borders>
              <w:top w:val="single" w:sz="4" w:space="0" w:color="auto"/>
            </w:tcBorders>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Borders>
              <w:top w:val="single" w:sz="4" w:space="0" w:color="auto"/>
            </w:tcBorders>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31" w:type="dxa"/>
            <w:tcBorders>
              <w:top w:val="single" w:sz="4" w:space="0" w:color="auto"/>
            </w:tcBorders>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10. After completing my homework, I check for correctness of my expressions.</w:t>
            </w:r>
          </w:p>
        </w:tc>
        <w:tc>
          <w:tcPr>
            <w:tcW w:w="614"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.57</w:t>
            </w: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13. I take some notes about examined Web sites.</w:t>
            </w:r>
          </w:p>
        </w:tc>
        <w:tc>
          <w:tcPr>
            <w:tcW w:w="614"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.52</w:t>
            </w: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  After completing the search, I think of the steps that I have followed.</w:t>
            </w:r>
          </w:p>
        </w:tc>
        <w:tc>
          <w:tcPr>
            <w:tcW w:w="614"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.50</w:t>
            </w: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18.  If different Web sites include inconsistent information about the same topic, I think of its reasons.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..49</w:t>
            </w: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3.  I complete my homework by adding reflections of my own.</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..44</w:t>
            </w: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12.  After finishing my Internet search, I think about whether found information is adequate for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..41</w:t>
            </w: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  I know that Internet search is just a part of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..38</w:t>
            </w: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9.  While searching on the Internet, instead of clicking on each found site, I prefer to select the ones that make sense.</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.70</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  While examining the sites, I check for relatedness of found information with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.62</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19.  The time that I spend for Internet search depends on the topic of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.51</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6.  While examining the sites, I easily distinguish between related and unrelated information.</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.50</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26.  When I find important information, I start to examine more deeply and carefully.</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.48</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29. While examining the sites, I realize how much I understood so far.</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.43</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27.  While examining the sites, I try to link the new information with my previous knowledge.</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.42</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30.  While examining a site, I easily distinguish the information that can be used in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.39</w:t>
            </w: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21.  When I did not find any related site on my first attempt, I try other key words.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-.85</w:t>
            </w: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20.  Before starting Internet search, I generate certain questions about the topic.</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-.55</w:t>
            </w: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16.  Before starting to search, I examine my homework’s content.</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-.49</w:t>
            </w: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 Before starting the Internet search, I determine my exact goals.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-.42</w:t>
            </w: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8.  Before starting the Internet search, I decide on basic key words.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-.39</w:t>
            </w: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15.  During the examination of sites related to my homework, I check my e-mails.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 xml:space="preserve"> .62</w:t>
            </w: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22.  During the examination of sites related to my homework, I chat with my friends.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 xml:space="preserve"> .51</w:t>
            </w: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lastRenderedPageBreak/>
              <w:t>25.  If I find the whole information in one site that I search for, I do not need further search of more sites.</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 xml:space="preserve"> .49</w:t>
            </w: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17.  The Internet search is the most time consuming part of my homework.</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 xml:space="preserve"> .42</w:t>
            </w: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14.  If I do not find any related site, I give up searching any more.</w:t>
            </w:r>
          </w:p>
        </w:tc>
        <w:tc>
          <w:tcPr>
            <w:tcW w:w="614"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73"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c>
          <w:tcPr>
            <w:tcW w:w="56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r w:rsidRPr="00820FFF">
              <w:rPr>
                <w:rFonts w:ascii="Cambria" w:eastAsia="Times New Roman" w:hAnsi="Cambria" w:cs="Times New Roman"/>
                <w:color w:val="000000"/>
                <w:sz w:val="20"/>
                <w:szCs w:val="20"/>
                <w:lang w:val="en-US" w:eastAsia="tr-TR"/>
              </w:rPr>
              <w:t xml:space="preserve"> .38</w:t>
            </w:r>
          </w:p>
        </w:tc>
        <w:tc>
          <w:tcPr>
            <w:tcW w:w="531" w:type="dxa"/>
          </w:tcPr>
          <w:p w:rsidR="004630F7" w:rsidRPr="00820FFF" w:rsidRDefault="004630F7" w:rsidP="0034583A">
            <w:pPr>
              <w:ind w:firstLine="567"/>
              <w:jc w:val="both"/>
              <w:rPr>
                <w:rFonts w:ascii="Cambria" w:eastAsia="Times New Roman" w:hAnsi="Cambria" w:cs="Times New Roman"/>
                <w:color w:val="000000"/>
                <w:sz w:val="20"/>
                <w:szCs w:val="20"/>
                <w:lang w:val="en-US" w:eastAsia="tr-TR"/>
              </w:rPr>
            </w:pPr>
          </w:p>
        </w:tc>
      </w:tr>
      <w:tr w:rsidR="004630F7" w:rsidRPr="00820FFF" w:rsidTr="004630F7">
        <w:trPr>
          <w:trHeight w:val="469"/>
        </w:trPr>
        <w:tc>
          <w:tcPr>
            <w:tcW w:w="5211" w:type="dxa"/>
          </w:tcPr>
          <w:p w:rsidR="004630F7" w:rsidRPr="00820FFF" w:rsidRDefault="004630F7" w:rsidP="0034583A">
            <w:pPr>
              <w:rPr>
                <w:rFonts w:ascii="Cambria" w:hAnsi="Cambria"/>
                <w:sz w:val="20"/>
                <w:szCs w:val="20"/>
              </w:rPr>
            </w:pPr>
            <w:r w:rsidRPr="00820FFF">
              <w:rPr>
                <w:rFonts w:ascii="Cambria" w:eastAsia="Times New Roman" w:hAnsi="Cambria" w:cs="Times New Roman"/>
                <w:color w:val="000000"/>
                <w:sz w:val="20"/>
                <w:szCs w:val="20"/>
                <w:lang w:val="en-US" w:eastAsia="tr-TR"/>
              </w:rPr>
              <w:t>11.  I know approximately how much time to spend on Internet search.</w:t>
            </w:r>
          </w:p>
        </w:tc>
        <w:tc>
          <w:tcPr>
            <w:tcW w:w="614"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r w:rsidRPr="00820FFF">
              <w:rPr>
                <w:rFonts w:ascii="Cambria" w:hAnsi="Cambria"/>
                <w:sz w:val="20"/>
                <w:szCs w:val="20"/>
              </w:rPr>
              <w:t>.66</w:t>
            </w:r>
          </w:p>
        </w:tc>
      </w:tr>
      <w:tr w:rsidR="004630F7" w:rsidRPr="00820FFF" w:rsidTr="004630F7">
        <w:trPr>
          <w:trHeight w:val="469"/>
        </w:trPr>
        <w:tc>
          <w:tcPr>
            <w:tcW w:w="5211" w:type="dxa"/>
          </w:tcPr>
          <w:p w:rsidR="004630F7" w:rsidRPr="00820FFF" w:rsidRDefault="004630F7" w:rsidP="0034583A">
            <w:pPr>
              <w:rPr>
                <w:rFonts w:ascii="Cambria" w:hAnsi="Cambria"/>
                <w:sz w:val="20"/>
                <w:szCs w:val="20"/>
              </w:rPr>
            </w:pPr>
            <w:r w:rsidRPr="00820FFF">
              <w:rPr>
                <w:rFonts w:ascii="Cambria" w:eastAsia="Times New Roman" w:hAnsi="Cambria" w:cs="Times New Roman"/>
                <w:color w:val="000000"/>
                <w:sz w:val="20"/>
                <w:szCs w:val="20"/>
                <w:lang w:val="en-US" w:eastAsia="tr-TR"/>
              </w:rPr>
              <w:t>28.  While integrating different information, I generate my own strategies.</w:t>
            </w:r>
          </w:p>
        </w:tc>
        <w:tc>
          <w:tcPr>
            <w:tcW w:w="614"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r w:rsidRPr="00820FFF">
              <w:rPr>
                <w:rFonts w:ascii="Cambria" w:hAnsi="Cambria"/>
                <w:sz w:val="20"/>
                <w:szCs w:val="20"/>
              </w:rPr>
              <w:t>.59</w:t>
            </w:r>
          </w:p>
        </w:tc>
      </w:tr>
      <w:tr w:rsidR="004630F7" w:rsidRPr="00820FFF" w:rsidTr="004630F7">
        <w:trPr>
          <w:trHeight w:val="469"/>
        </w:trPr>
        <w:tc>
          <w:tcPr>
            <w:tcW w:w="5211" w:type="dxa"/>
          </w:tcPr>
          <w:p w:rsidR="004630F7" w:rsidRPr="00820FFF" w:rsidRDefault="004630F7" w:rsidP="0034583A">
            <w:pPr>
              <w:rPr>
                <w:rFonts w:ascii="Cambria" w:hAnsi="Cambria"/>
                <w:sz w:val="20"/>
                <w:szCs w:val="20"/>
              </w:rPr>
            </w:pPr>
            <w:r w:rsidRPr="00820FFF">
              <w:rPr>
                <w:rFonts w:ascii="Cambria" w:eastAsia="Times New Roman" w:hAnsi="Cambria" w:cs="Times New Roman"/>
                <w:color w:val="000000"/>
                <w:sz w:val="20"/>
                <w:szCs w:val="20"/>
                <w:lang w:val="en-US" w:eastAsia="tr-TR"/>
              </w:rPr>
              <w:t>24.  While searching, I quickly scan the sites.</w:t>
            </w:r>
          </w:p>
        </w:tc>
        <w:tc>
          <w:tcPr>
            <w:tcW w:w="614"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73" w:type="dxa"/>
          </w:tcPr>
          <w:p w:rsidR="004630F7" w:rsidRPr="00820FFF" w:rsidRDefault="004630F7" w:rsidP="0034583A">
            <w:pPr>
              <w:rPr>
                <w:rFonts w:ascii="Cambria" w:hAnsi="Cambria"/>
                <w:sz w:val="20"/>
                <w:szCs w:val="20"/>
              </w:rPr>
            </w:pPr>
          </w:p>
        </w:tc>
        <w:tc>
          <w:tcPr>
            <w:tcW w:w="561" w:type="dxa"/>
          </w:tcPr>
          <w:p w:rsidR="004630F7" w:rsidRPr="00820FFF" w:rsidRDefault="004630F7" w:rsidP="0034583A">
            <w:pPr>
              <w:rPr>
                <w:rFonts w:ascii="Cambria" w:hAnsi="Cambria"/>
                <w:sz w:val="20"/>
                <w:szCs w:val="20"/>
              </w:rPr>
            </w:pPr>
          </w:p>
        </w:tc>
        <w:tc>
          <w:tcPr>
            <w:tcW w:w="531" w:type="dxa"/>
          </w:tcPr>
          <w:p w:rsidR="004630F7" w:rsidRPr="00820FFF" w:rsidRDefault="004630F7" w:rsidP="0034583A">
            <w:pPr>
              <w:rPr>
                <w:rFonts w:ascii="Cambria" w:hAnsi="Cambria"/>
                <w:sz w:val="20"/>
                <w:szCs w:val="20"/>
              </w:rPr>
            </w:pPr>
            <w:r w:rsidRPr="00820FFF">
              <w:rPr>
                <w:rFonts w:ascii="Cambria" w:hAnsi="Cambria"/>
                <w:sz w:val="20"/>
                <w:szCs w:val="20"/>
              </w:rPr>
              <w:t>.56</w:t>
            </w:r>
          </w:p>
        </w:tc>
      </w:tr>
      <w:tr w:rsidR="004630F7" w:rsidRPr="00820FFF" w:rsidTr="004630F7">
        <w:trPr>
          <w:trHeight w:val="469"/>
        </w:trPr>
        <w:tc>
          <w:tcPr>
            <w:tcW w:w="5211" w:type="dxa"/>
            <w:tcBorders>
              <w:bottom w:val="single" w:sz="4" w:space="0" w:color="auto"/>
            </w:tcBorders>
          </w:tcPr>
          <w:p w:rsidR="004630F7" w:rsidRPr="00820FFF" w:rsidRDefault="004630F7" w:rsidP="0034583A">
            <w:pPr>
              <w:rPr>
                <w:rFonts w:ascii="Cambria" w:hAnsi="Cambria"/>
                <w:sz w:val="20"/>
                <w:szCs w:val="20"/>
              </w:rPr>
            </w:pPr>
            <w:r w:rsidRPr="00820FFF">
              <w:rPr>
                <w:rFonts w:ascii="Cambria" w:eastAsia="Times New Roman" w:hAnsi="Cambria" w:cs="Times New Roman"/>
                <w:color w:val="000000"/>
                <w:sz w:val="20"/>
                <w:szCs w:val="20"/>
                <w:lang w:val="en-US" w:eastAsia="tr-TR"/>
              </w:rPr>
              <w:t>23.  While examining the sites, I generate special strategies to understand easily.</w:t>
            </w:r>
          </w:p>
        </w:tc>
        <w:tc>
          <w:tcPr>
            <w:tcW w:w="614" w:type="dxa"/>
            <w:tcBorders>
              <w:bottom w:val="single" w:sz="4" w:space="0" w:color="auto"/>
            </w:tcBorders>
          </w:tcPr>
          <w:p w:rsidR="004630F7" w:rsidRPr="00820FFF" w:rsidRDefault="004630F7" w:rsidP="0034583A">
            <w:pPr>
              <w:rPr>
                <w:rFonts w:ascii="Cambria" w:hAnsi="Cambria"/>
                <w:sz w:val="20"/>
                <w:szCs w:val="20"/>
              </w:rPr>
            </w:pPr>
          </w:p>
        </w:tc>
        <w:tc>
          <w:tcPr>
            <w:tcW w:w="561" w:type="dxa"/>
            <w:tcBorders>
              <w:bottom w:val="single" w:sz="4" w:space="0" w:color="auto"/>
            </w:tcBorders>
          </w:tcPr>
          <w:p w:rsidR="004630F7" w:rsidRPr="00820FFF" w:rsidRDefault="004630F7" w:rsidP="0034583A">
            <w:pPr>
              <w:rPr>
                <w:rFonts w:ascii="Cambria" w:hAnsi="Cambria"/>
                <w:sz w:val="20"/>
                <w:szCs w:val="20"/>
              </w:rPr>
            </w:pPr>
          </w:p>
        </w:tc>
        <w:tc>
          <w:tcPr>
            <w:tcW w:w="573" w:type="dxa"/>
            <w:tcBorders>
              <w:bottom w:val="single" w:sz="4" w:space="0" w:color="auto"/>
            </w:tcBorders>
          </w:tcPr>
          <w:p w:rsidR="004630F7" w:rsidRPr="00820FFF" w:rsidRDefault="004630F7" w:rsidP="0034583A">
            <w:pPr>
              <w:rPr>
                <w:rFonts w:ascii="Cambria" w:hAnsi="Cambria"/>
                <w:sz w:val="20"/>
                <w:szCs w:val="20"/>
              </w:rPr>
            </w:pPr>
          </w:p>
        </w:tc>
        <w:tc>
          <w:tcPr>
            <w:tcW w:w="561" w:type="dxa"/>
            <w:tcBorders>
              <w:bottom w:val="single" w:sz="4" w:space="0" w:color="auto"/>
            </w:tcBorders>
          </w:tcPr>
          <w:p w:rsidR="004630F7" w:rsidRPr="00820FFF" w:rsidRDefault="004630F7" w:rsidP="0034583A">
            <w:pPr>
              <w:rPr>
                <w:rFonts w:ascii="Cambria" w:hAnsi="Cambria"/>
                <w:sz w:val="20"/>
                <w:szCs w:val="20"/>
              </w:rPr>
            </w:pPr>
          </w:p>
        </w:tc>
        <w:tc>
          <w:tcPr>
            <w:tcW w:w="531" w:type="dxa"/>
            <w:tcBorders>
              <w:bottom w:val="single" w:sz="4" w:space="0" w:color="auto"/>
            </w:tcBorders>
          </w:tcPr>
          <w:p w:rsidR="004630F7" w:rsidRPr="00820FFF" w:rsidRDefault="004630F7" w:rsidP="0034583A">
            <w:pPr>
              <w:rPr>
                <w:rFonts w:ascii="Cambria" w:hAnsi="Cambria"/>
                <w:sz w:val="20"/>
                <w:szCs w:val="20"/>
              </w:rPr>
            </w:pPr>
            <w:r w:rsidRPr="00820FFF">
              <w:rPr>
                <w:rFonts w:ascii="Cambria" w:hAnsi="Cambria"/>
                <w:sz w:val="20"/>
                <w:szCs w:val="20"/>
              </w:rPr>
              <w:t>.48</w:t>
            </w:r>
          </w:p>
        </w:tc>
      </w:tr>
    </w:tbl>
    <w:p w:rsidR="00210497" w:rsidRPr="00210497" w:rsidRDefault="00210497" w:rsidP="00210497">
      <w:pPr>
        <w:spacing w:after="0" w:line="240" w:lineRule="auto"/>
        <w:ind w:firstLine="567"/>
        <w:jc w:val="both"/>
        <w:rPr>
          <w:rFonts w:ascii="Cambria" w:eastAsia="Times New Roman" w:hAnsi="Cambria" w:cs="Times New Roman"/>
          <w:color w:val="000000"/>
          <w:sz w:val="18"/>
          <w:szCs w:val="18"/>
          <w:lang w:val="en-US" w:eastAsia="tr-TR"/>
        </w:rPr>
      </w:pPr>
      <w:r w:rsidRPr="00210497">
        <w:rPr>
          <w:rFonts w:ascii="Cambria" w:eastAsia="Times New Roman" w:hAnsi="Cambria" w:cs="Times New Roman"/>
          <w:color w:val="000000"/>
          <w:sz w:val="18"/>
          <w:szCs w:val="18"/>
          <w:lang w:val="en-US" w:eastAsia="tr-TR"/>
        </w:rPr>
        <w:t xml:space="preserve">Extraction Method: Principal Axis Factoring. </w:t>
      </w:r>
    </w:p>
    <w:p w:rsidR="00210497" w:rsidRPr="00210497" w:rsidRDefault="00210497" w:rsidP="00210497">
      <w:pPr>
        <w:spacing w:after="0" w:line="240" w:lineRule="auto"/>
        <w:ind w:firstLine="567"/>
        <w:jc w:val="both"/>
        <w:rPr>
          <w:rFonts w:ascii="Cambria" w:eastAsia="Times New Roman" w:hAnsi="Cambria" w:cs="Times New Roman"/>
          <w:color w:val="000000"/>
          <w:sz w:val="18"/>
          <w:szCs w:val="18"/>
          <w:lang w:val="en-US" w:eastAsia="tr-TR"/>
        </w:rPr>
      </w:pPr>
      <w:r w:rsidRPr="00210497">
        <w:rPr>
          <w:rFonts w:ascii="Cambria" w:eastAsia="Times New Roman" w:hAnsi="Cambria" w:cs="Times New Roman"/>
          <w:color w:val="000000"/>
          <w:sz w:val="18"/>
          <w:szCs w:val="18"/>
          <w:lang w:val="en-US" w:eastAsia="tr-TR"/>
        </w:rPr>
        <w:t xml:space="preserve">Rotation Method: </w:t>
      </w:r>
      <w:proofErr w:type="spellStart"/>
      <w:r w:rsidRPr="00210497">
        <w:rPr>
          <w:rFonts w:ascii="Cambria" w:eastAsia="Times New Roman" w:hAnsi="Cambria" w:cs="Times New Roman"/>
          <w:color w:val="000000"/>
          <w:sz w:val="18"/>
          <w:szCs w:val="18"/>
          <w:lang w:val="en-US" w:eastAsia="tr-TR"/>
        </w:rPr>
        <w:t>Oblimin</w:t>
      </w:r>
      <w:proofErr w:type="spellEnd"/>
      <w:r w:rsidRPr="00210497">
        <w:rPr>
          <w:rFonts w:ascii="Cambria" w:eastAsia="Times New Roman" w:hAnsi="Cambria" w:cs="Times New Roman"/>
          <w:color w:val="000000"/>
          <w:sz w:val="18"/>
          <w:szCs w:val="18"/>
          <w:lang w:val="en-US" w:eastAsia="tr-TR"/>
        </w:rPr>
        <w:t xml:space="preserve"> with Kaiser Normalization.</w:t>
      </w:r>
    </w:p>
    <w:p w:rsidR="00210497" w:rsidRPr="00210497" w:rsidRDefault="00210497" w:rsidP="00001478">
      <w:pPr>
        <w:spacing w:after="0" w:line="240" w:lineRule="auto"/>
        <w:ind w:firstLine="720"/>
        <w:jc w:val="both"/>
        <w:rPr>
          <w:rFonts w:ascii="Cambria" w:eastAsia="Times New Roman" w:hAnsi="Cambria" w:cs="Times New Roman"/>
          <w:color w:val="000000"/>
          <w:sz w:val="18"/>
          <w:szCs w:val="18"/>
          <w:lang w:val="en-US" w:eastAsia="tr-TR"/>
        </w:rPr>
      </w:pPr>
      <w:r w:rsidRPr="00210497">
        <w:rPr>
          <w:rFonts w:ascii="Cambria" w:eastAsia="Times New Roman" w:hAnsi="Cambria" w:cs="Times New Roman"/>
          <w:color w:val="000000"/>
          <w:sz w:val="18"/>
          <w:szCs w:val="18"/>
          <w:lang w:val="en-US" w:eastAsia="tr-TR"/>
        </w:rPr>
        <w:t>a</w:t>
      </w:r>
      <w:r w:rsidR="00001478">
        <w:rPr>
          <w:rFonts w:ascii="Cambria" w:eastAsia="Times New Roman" w:hAnsi="Cambria" w:cs="Times New Roman"/>
          <w:color w:val="000000"/>
          <w:sz w:val="18"/>
          <w:szCs w:val="18"/>
          <w:lang w:val="en-US" w:eastAsia="tr-TR"/>
        </w:rPr>
        <w:t>.</w:t>
      </w:r>
      <w:r w:rsidRPr="00210497">
        <w:rPr>
          <w:rFonts w:ascii="Cambria" w:eastAsia="Times New Roman" w:hAnsi="Cambria" w:cs="Times New Roman"/>
          <w:color w:val="000000"/>
          <w:sz w:val="18"/>
          <w:szCs w:val="18"/>
          <w:lang w:val="en-US" w:eastAsia="tr-TR"/>
        </w:rPr>
        <w:t xml:space="preserve"> Rotation converged in 53 iterations.</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The main aim of the instrument is to explore the pattern of self-ratings of 7</w:t>
      </w:r>
      <w:r w:rsidRPr="00210497">
        <w:rPr>
          <w:rFonts w:ascii="Cambria" w:eastAsia="Times New Roman" w:hAnsi="Cambria" w:cs="Times New Roman"/>
          <w:color w:val="000000"/>
          <w:vertAlign w:val="superscript"/>
          <w:lang w:val="en-US" w:eastAsia="tr-TR"/>
        </w:rPr>
        <w:t>th</w:t>
      </w:r>
      <w:r w:rsidRPr="00210497">
        <w:rPr>
          <w:rFonts w:ascii="Cambria" w:eastAsia="Times New Roman" w:hAnsi="Cambria" w:cs="Times New Roman"/>
          <w:color w:val="000000"/>
          <w:lang w:val="en-US" w:eastAsia="tr-TR"/>
        </w:rPr>
        <w:t xml:space="preserve"> graders in terms of metacognition experienced throughout an Internet search. The first dimension that included items 3, 4, 5, 7, 10, 12, 13, and 18 was entitled “reflection and regulation”. The second dimension involved items 2, 6, 9, 19, 26, 27, 29, and 30, all of which related to monitoring skills. Therefore, it is entitled “monitoring”. The third dimension includes items 1, 8, 16, 20, and 21 which are all representative of planning the search, thus it was named “planning”.  Items 14, 15, 17, 22, and 25 loaded to “control of attention” factor. “Generating strategies” is the last factor consisting of items 11, 23, 24, and 28.</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Reliability coefficients for factors were calculated. Cronbach’s alpha values for the first three factors are above the lower limit that is .70 (Hair et al., 2005) (α</w:t>
      </w:r>
      <w:r w:rsidRPr="00210497">
        <w:rPr>
          <w:rFonts w:ascii="Cambria" w:eastAsia="Times New Roman" w:hAnsi="Cambria" w:cs="Times New Roman"/>
          <w:color w:val="000000"/>
          <w:vertAlign w:val="subscript"/>
          <w:lang w:val="en-US" w:eastAsia="tr-TR"/>
        </w:rPr>
        <w:t>factor1</w:t>
      </w:r>
      <w:r w:rsidRPr="00210497">
        <w:rPr>
          <w:rFonts w:ascii="Cambria" w:eastAsia="Times New Roman" w:hAnsi="Cambria" w:cs="Times New Roman"/>
          <w:color w:val="000000"/>
          <w:lang w:val="en-US" w:eastAsia="tr-TR"/>
        </w:rPr>
        <w:t xml:space="preserve"> = .78, α</w:t>
      </w:r>
      <w:r w:rsidRPr="00210497">
        <w:rPr>
          <w:rFonts w:ascii="Cambria" w:eastAsia="Times New Roman" w:hAnsi="Cambria" w:cs="Times New Roman"/>
          <w:color w:val="000000"/>
          <w:vertAlign w:val="subscript"/>
          <w:lang w:val="en-US" w:eastAsia="tr-TR"/>
        </w:rPr>
        <w:t>factor2</w:t>
      </w:r>
      <w:r w:rsidRPr="00210497">
        <w:rPr>
          <w:rFonts w:ascii="Cambria" w:eastAsia="Times New Roman" w:hAnsi="Cambria" w:cs="Times New Roman"/>
          <w:color w:val="000000"/>
          <w:lang w:val="en-US" w:eastAsia="tr-TR"/>
        </w:rPr>
        <w:t xml:space="preserve"> = .76, and α</w:t>
      </w:r>
      <w:r w:rsidRPr="00210497">
        <w:rPr>
          <w:rFonts w:ascii="Cambria" w:eastAsia="Times New Roman" w:hAnsi="Cambria" w:cs="Times New Roman"/>
          <w:color w:val="000000"/>
          <w:vertAlign w:val="subscript"/>
          <w:lang w:val="en-US" w:eastAsia="tr-TR"/>
        </w:rPr>
        <w:t>factor3</w:t>
      </w:r>
      <w:r w:rsidRPr="00210497">
        <w:rPr>
          <w:rFonts w:ascii="Cambria" w:eastAsia="Times New Roman" w:hAnsi="Cambria" w:cs="Times New Roman"/>
          <w:color w:val="000000"/>
          <w:lang w:val="en-US" w:eastAsia="tr-TR"/>
        </w:rPr>
        <w:t xml:space="preserve"> = .76). The fourth and fifth factors are below this cut-off, nevertheless, they are still within acceptable range (α</w:t>
      </w:r>
      <w:r w:rsidRPr="00210497">
        <w:rPr>
          <w:rFonts w:ascii="Cambria" w:eastAsia="Times New Roman" w:hAnsi="Cambria" w:cs="Times New Roman"/>
          <w:color w:val="000000"/>
          <w:vertAlign w:val="subscript"/>
          <w:lang w:val="en-US" w:eastAsia="tr-TR"/>
        </w:rPr>
        <w:t>factor4</w:t>
      </w:r>
      <w:r w:rsidRPr="00210497">
        <w:rPr>
          <w:rFonts w:ascii="Cambria" w:eastAsia="Times New Roman" w:hAnsi="Cambria" w:cs="Times New Roman"/>
          <w:color w:val="000000"/>
          <w:lang w:val="en-US" w:eastAsia="tr-TR"/>
        </w:rPr>
        <w:t xml:space="preserve"> = .64, and α</w:t>
      </w:r>
      <w:r w:rsidRPr="00210497">
        <w:rPr>
          <w:rFonts w:ascii="Cambria" w:eastAsia="Times New Roman" w:hAnsi="Cambria" w:cs="Times New Roman"/>
          <w:color w:val="000000"/>
          <w:vertAlign w:val="subscript"/>
          <w:lang w:val="en-US" w:eastAsia="tr-TR"/>
        </w:rPr>
        <w:t>factor5</w:t>
      </w:r>
      <w:r w:rsidRPr="00210497">
        <w:rPr>
          <w:rFonts w:ascii="Cambria" w:eastAsia="Times New Roman" w:hAnsi="Cambria" w:cs="Times New Roman"/>
          <w:color w:val="000000"/>
          <w:lang w:val="en-US" w:eastAsia="tr-TR"/>
        </w:rPr>
        <w:t xml:space="preserve"> = .62). Overall reliability of the scale was found to be .83 which is quite acceptable.</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BB5DDC" w:rsidP="00BB5DDC">
      <w:pPr>
        <w:spacing w:after="0" w:line="240" w:lineRule="auto"/>
        <w:jc w:val="both"/>
        <w:rPr>
          <w:rFonts w:ascii="Cambria" w:eastAsia="Times New Roman" w:hAnsi="Cambria" w:cs="Times New Roman"/>
          <w:b/>
          <w:color w:val="000000"/>
          <w:lang w:val="en-US" w:eastAsia="tr-TR"/>
        </w:rPr>
      </w:pPr>
      <w:r>
        <w:rPr>
          <w:rFonts w:ascii="Cambria" w:eastAsia="Times New Roman" w:hAnsi="Cambria" w:cs="Times New Roman"/>
          <w:b/>
          <w:color w:val="000000"/>
          <w:lang w:val="en-US" w:eastAsia="tr-TR"/>
        </w:rPr>
        <w:t>Results for Confirmatory Factor Ana</w:t>
      </w:r>
      <w:r w:rsidRPr="00210497">
        <w:rPr>
          <w:rFonts w:ascii="Cambria" w:eastAsia="Times New Roman" w:hAnsi="Cambria" w:cs="Times New Roman"/>
          <w:b/>
          <w:color w:val="000000"/>
          <w:lang w:val="en-US" w:eastAsia="tr-TR"/>
        </w:rPr>
        <w:t>l</w:t>
      </w:r>
      <w:r>
        <w:rPr>
          <w:rFonts w:ascii="Cambria" w:eastAsia="Times New Roman" w:hAnsi="Cambria" w:cs="Times New Roman"/>
          <w:b/>
          <w:color w:val="000000"/>
          <w:lang w:val="en-US" w:eastAsia="tr-TR"/>
        </w:rPr>
        <w:t>y</w:t>
      </w:r>
      <w:r w:rsidRPr="00210497">
        <w:rPr>
          <w:rFonts w:ascii="Cambria" w:eastAsia="Times New Roman" w:hAnsi="Cambria" w:cs="Times New Roman"/>
          <w:b/>
          <w:color w:val="000000"/>
          <w:lang w:val="en-US" w:eastAsia="tr-TR"/>
        </w:rPr>
        <w:t>sis</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The results of the analysis showed significant χ</w:t>
      </w:r>
      <w:r w:rsidRPr="00210497">
        <w:rPr>
          <w:rFonts w:ascii="Cambria" w:eastAsia="Times New Roman" w:hAnsi="Cambria" w:cs="Times New Roman"/>
          <w:color w:val="000000"/>
          <w:vertAlign w:val="superscript"/>
          <w:lang w:val="en-US" w:eastAsia="tr-TR"/>
        </w:rPr>
        <w:t xml:space="preserve">2 </w:t>
      </w:r>
      <w:r w:rsidRPr="00210497">
        <w:rPr>
          <w:rFonts w:ascii="Cambria" w:eastAsia="Times New Roman" w:hAnsi="Cambria" w:cs="Times New Roman"/>
          <w:color w:val="000000"/>
          <w:lang w:val="en-US" w:eastAsia="tr-TR"/>
        </w:rPr>
        <w:t>value (χ</w:t>
      </w:r>
      <w:r w:rsidRPr="00210497">
        <w:rPr>
          <w:rFonts w:ascii="Cambria" w:eastAsia="Times New Roman" w:hAnsi="Cambria" w:cs="Times New Roman"/>
          <w:color w:val="000000"/>
          <w:vertAlign w:val="superscript"/>
          <w:lang w:val="en-US" w:eastAsia="tr-TR"/>
        </w:rPr>
        <w:t xml:space="preserve">2 </w:t>
      </w:r>
      <w:r w:rsidRPr="00210497">
        <w:rPr>
          <w:rFonts w:ascii="Cambria" w:eastAsia="Times New Roman" w:hAnsi="Cambria" w:cs="Times New Roman"/>
          <w:color w:val="000000"/>
          <w:lang w:val="en-US" w:eastAsia="tr-TR"/>
        </w:rPr>
        <w:t>(</w:t>
      </w:r>
      <w:proofErr w:type="spellStart"/>
      <w:r w:rsidRPr="00210497">
        <w:rPr>
          <w:rFonts w:ascii="Cambria" w:eastAsia="Times New Roman" w:hAnsi="Cambria" w:cs="Times New Roman"/>
          <w:color w:val="000000"/>
          <w:lang w:val="en-US" w:eastAsia="tr-TR"/>
        </w:rPr>
        <w:t>df</w:t>
      </w:r>
      <w:proofErr w:type="spellEnd"/>
      <w:r w:rsidRPr="00210497">
        <w:rPr>
          <w:rFonts w:ascii="Cambria" w:eastAsia="Times New Roman" w:hAnsi="Cambria" w:cs="Times New Roman"/>
          <w:color w:val="000000"/>
          <w:lang w:val="en-US" w:eastAsia="tr-TR"/>
        </w:rPr>
        <w:t xml:space="preserve"> = 394) = 920. p &lt; .001). However, due to its sensitivity to the sample size, other fit indexes were investigated to decide on goodness of fit. χ</w:t>
      </w:r>
      <w:r w:rsidRPr="00210497">
        <w:rPr>
          <w:rFonts w:ascii="Cambria" w:eastAsia="Times New Roman" w:hAnsi="Cambria" w:cs="Times New Roman"/>
          <w:color w:val="000000"/>
          <w:vertAlign w:val="superscript"/>
          <w:lang w:val="en-US" w:eastAsia="tr-TR"/>
        </w:rPr>
        <w:t>2</w:t>
      </w:r>
      <w:r w:rsidRPr="00210497">
        <w:rPr>
          <w:rFonts w:ascii="Cambria" w:eastAsia="Times New Roman" w:hAnsi="Cambria" w:cs="Times New Roman"/>
          <w:color w:val="000000"/>
          <w:lang w:val="en-US" w:eastAsia="tr-TR"/>
        </w:rPr>
        <w:t xml:space="preserve">/ </w:t>
      </w:r>
      <w:proofErr w:type="spellStart"/>
      <w:r w:rsidRPr="00210497">
        <w:rPr>
          <w:rFonts w:ascii="Cambria" w:eastAsia="Times New Roman" w:hAnsi="Cambria" w:cs="Times New Roman"/>
          <w:color w:val="000000"/>
          <w:lang w:val="en-US" w:eastAsia="tr-TR"/>
        </w:rPr>
        <w:t>df</w:t>
      </w:r>
      <w:proofErr w:type="spellEnd"/>
      <w:r w:rsidRPr="00210497">
        <w:rPr>
          <w:rFonts w:ascii="Cambria" w:eastAsia="Times New Roman" w:hAnsi="Cambria" w:cs="Times New Roman"/>
          <w:color w:val="000000"/>
          <w:lang w:val="en-US" w:eastAsia="tr-TR"/>
        </w:rPr>
        <w:t xml:space="preserve"> ratio was calculated to be 2.34. According to Hair et al. (2005), when sample size is large and the number of observed variables is equal to or greater than 30, chi square test</w:t>
      </w:r>
      <w:r w:rsidRPr="00210497">
        <w:rPr>
          <w:rFonts w:ascii="Cambria" w:eastAsia="Times New Roman" w:hAnsi="Cambria" w:cs="Times New Roman"/>
          <w:color w:val="000000"/>
          <w:vertAlign w:val="superscript"/>
          <w:lang w:val="en-US" w:eastAsia="tr-TR"/>
        </w:rPr>
        <w:t xml:space="preserve"> </w:t>
      </w:r>
      <w:r w:rsidRPr="00210497">
        <w:rPr>
          <w:rFonts w:ascii="Cambria" w:eastAsia="Times New Roman" w:hAnsi="Cambria" w:cs="Times New Roman"/>
          <w:color w:val="000000"/>
          <w:lang w:val="en-US" w:eastAsia="tr-TR"/>
        </w:rPr>
        <w:t xml:space="preserve">is likely to produce significant p values. Then, exploring at least one absolute and one incremental fit index is recommended. Within absolute fit indexes, root mean square error of approximation index (RMSEA = .052, LO90 = .040, HI90 = .057, &lt;.06) and standardized root mean square residual index (SRMR = .06, &lt; .08) indicated satisfactory values. Although goodness of fit index is slightly below the cut-off point (GFI = .89, &lt;.90), adjusted goodness of fit index suggested an acceptable fit (AGFI = .91, &gt;.90). Within incremental fit indexes, normed fit index (NFI = .92, &gt; .90) and comparative fit index (CFI = .95, &gt;.90) confirmed the goodness of the model fit. According to Hair et al. (2005), if the number of cases are greater than 250 and the number of observed variable are greater than or equal to 30, then RMSEA values below .07 with CFI values higher than .90 can be acceptable for model fit. </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 xml:space="preserve">All items except for item 13 were tested under the factors that were previously found in EFA. Item 13 were defined under generating strategies factor because it conveys the closest meaning for that category. Standardized loadings of the latent variables range from .51 to .74 (see Figure 2). All loadings were above the suggested cutoff value that is .50 (Hair et al., 2005). Moreover, their standardized and unstandardized loadings were found significant (p &lt; .001). Internal consistencies of each dimension and the instrument were assessed by Cronbach’s alpha. The values were listed in Table 4. Overall reliability of the scale was computed .83. </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noProof/>
          <w:color w:val="000000"/>
          <w:lang w:eastAsia="tr-TR"/>
        </w:rPr>
        <w:drawing>
          <wp:inline distT="0" distB="0" distL="0" distR="0" wp14:anchorId="01F7D4FB" wp14:editId="1BB23FFB">
            <wp:extent cx="5659120" cy="8220710"/>
            <wp:effectExtent l="19050" t="0" r="0" b="0"/>
            <wp:docPr id="4" name="Resim 1" descr="C:\Users\Emine\Dropbox\instruments\MSIIS\confirma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ne\Dropbox\instruments\MSIIS\confirmatory.gif"/>
                    <pic:cNvPicPr>
                      <a:picLocks noChangeAspect="1" noChangeArrowheads="1"/>
                    </pic:cNvPicPr>
                  </pic:nvPicPr>
                  <pic:blipFill>
                    <a:blip r:embed="rId14" cstate="print"/>
                    <a:srcRect/>
                    <a:stretch>
                      <a:fillRect/>
                    </a:stretch>
                  </pic:blipFill>
                  <pic:spPr bwMode="auto">
                    <a:xfrm>
                      <a:off x="0" y="0"/>
                      <a:ext cx="5659120" cy="8220710"/>
                    </a:xfrm>
                    <a:prstGeom prst="rect">
                      <a:avLst/>
                    </a:prstGeom>
                    <a:noFill/>
                    <a:ln w="9525">
                      <a:noFill/>
                      <a:miter lim="800000"/>
                      <a:headEnd/>
                      <a:tailEnd/>
                    </a:ln>
                  </pic:spPr>
                </pic:pic>
              </a:graphicData>
            </a:graphic>
          </wp:inline>
        </w:drawing>
      </w:r>
    </w:p>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b/>
          <w:color w:val="000000"/>
          <w:sz w:val="20"/>
          <w:szCs w:val="20"/>
          <w:lang w:val="en-US" w:eastAsia="tr-TR"/>
        </w:rPr>
        <w:t>FIGURE 2.</w:t>
      </w:r>
      <w:r w:rsidRPr="00210497">
        <w:rPr>
          <w:rFonts w:ascii="Cambria" w:eastAsia="Times New Roman" w:hAnsi="Cambria" w:cs="Times New Roman"/>
          <w:color w:val="000000"/>
          <w:sz w:val="20"/>
          <w:szCs w:val="20"/>
          <w:lang w:val="en-US" w:eastAsia="tr-TR"/>
        </w:rPr>
        <w:t xml:space="preserve"> </w:t>
      </w:r>
      <w:r w:rsidRPr="00210497">
        <w:rPr>
          <w:rFonts w:ascii="Cambria" w:eastAsia="Times New Roman" w:hAnsi="Cambria" w:cs="Times New Roman"/>
          <w:i/>
          <w:color w:val="000000"/>
          <w:sz w:val="20"/>
          <w:szCs w:val="20"/>
          <w:lang w:val="en-US" w:eastAsia="tr-TR"/>
        </w:rPr>
        <w:t>Standardized Loadings of Each Item of MSIIS</w:t>
      </w: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0C1A44" w:rsidRDefault="000C1A44" w:rsidP="00BB5DDC">
      <w:pPr>
        <w:spacing w:after="0" w:line="240" w:lineRule="auto"/>
        <w:jc w:val="both"/>
        <w:rPr>
          <w:rFonts w:ascii="Cambria" w:eastAsia="Times New Roman" w:hAnsi="Cambria" w:cs="Times New Roman"/>
          <w:b/>
          <w:color w:val="000000"/>
          <w:lang w:val="en-US" w:eastAsia="tr-TR"/>
        </w:rPr>
      </w:pPr>
    </w:p>
    <w:p w:rsidR="00210497" w:rsidRPr="00210497" w:rsidRDefault="00BB5DDC" w:rsidP="00BB5DDC">
      <w:pPr>
        <w:spacing w:after="0" w:line="240" w:lineRule="auto"/>
        <w:jc w:val="both"/>
        <w:rPr>
          <w:rFonts w:ascii="Cambria" w:eastAsia="Times New Roman" w:hAnsi="Cambria" w:cs="Times New Roman"/>
          <w:b/>
          <w:color w:val="000000"/>
          <w:lang w:val="en-US" w:eastAsia="tr-TR"/>
        </w:rPr>
      </w:pPr>
      <w:r>
        <w:rPr>
          <w:rFonts w:ascii="Cambria" w:eastAsia="Times New Roman" w:hAnsi="Cambria" w:cs="Times New Roman"/>
          <w:b/>
          <w:color w:val="000000"/>
          <w:lang w:val="en-US" w:eastAsia="tr-TR"/>
        </w:rPr>
        <w:t>Results f</w:t>
      </w:r>
      <w:r w:rsidRPr="00210497">
        <w:rPr>
          <w:rFonts w:ascii="Cambria" w:eastAsia="Times New Roman" w:hAnsi="Cambria" w:cs="Times New Roman"/>
          <w:b/>
          <w:color w:val="000000"/>
          <w:lang w:val="en-US" w:eastAsia="tr-TR"/>
        </w:rPr>
        <w:t>or Reliability</w:t>
      </w: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In order to explore how reliable the instrument across a certain time interval, test-retest reliability was performed. Pearson correlation coefficient (r) was used to calculate the relations. Correlation between the results of first administration of the whole scale and the second administration, after 4 weeks, was found to be significant (</w:t>
      </w:r>
      <w:proofErr w:type="spellStart"/>
      <w:r w:rsidRPr="00210497">
        <w:rPr>
          <w:rFonts w:ascii="Cambria" w:eastAsia="Times New Roman" w:hAnsi="Cambria" w:cs="Times New Roman"/>
          <w:color w:val="000000"/>
          <w:lang w:val="en-US" w:eastAsia="tr-TR"/>
        </w:rPr>
        <w:t>r</w:t>
      </w:r>
      <w:r w:rsidRPr="00210497">
        <w:rPr>
          <w:rFonts w:ascii="Cambria" w:eastAsia="Times New Roman" w:hAnsi="Cambria" w:cs="Times New Roman"/>
          <w:color w:val="000000"/>
          <w:vertAlign w:val="subscript"/>
          <w:lang w:val="en-US" w:eastAsia="tr-TR"/>
        </w:rPr>
        <w:t>MSIIS</w:t>
      </w:r>
      <w:proofErr w:type="spellEnd"/>
      <w:r w:rsidRPr="00210497">
        <w:rPr>
          <w:rFonts w:ascii="Cambria" w:eastAsia="Times New Roman" w:hAnsi="Cambria" w:cs="Times New Roman"/>
          <w:color w:val="000000"/>
          <w:vertAlign w:val="subscript"/>
          <w:lang w:val="en-US" w:eastAsia="tr-TR"/>
        </w:rPr>
        <w:t xml:space="preserve"> </w:t>
      </w:r>
      <w:r w:rsidRPr="00210497">
        <w:rPr>
          <w:rFonts w:ascii="Cambria" w:eastAsia="Times New Roman" w:hAnsi="Cambria" w:cs="Times New Roman"/>
          <w:color w:val="000000"/>
          <w:lang w:val="en-US" w:eastAsia="tr-TR"/>
        </w:rPr>
        <w:t>= .84, p &lt; .01). Correlation coefficients for factors were also significant. The summary of test-retest results can be examined in Table 4.</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jc w:val="both"/>
        <w:rPr>
          <w:rFonts w:ascii="Cambria" w:eastAsia="Times New Roman" w:hAnsi="Cambria" w:cs="Times New Roman"/>
          <w:i/>
          <w:color w:val="000000"/>
          <w:sz w:val="20"/>
          <w:szCs w:val="20"/>
          <w:lang w:val="en-US" w:eastAsia="tr-TR"/>
        </w:rPr>
      </w:pPr>
      <w:r w:rsidRPr="00210497">
        <w:rPr>
          <w:rFonts w:ascii="Cambria" w:eastAsia="Times New Roman" w:hAnsi="Cambria" w:cs="Times New Roman"/>
          <w:b/>
          <w:color w:val="000000"/>
          <w:sz w:val="20"/>
          <w:szCs w:val="20"/>
          <w:lang w:val="en-US" w:eastAsia="tr-TR"/>
        </w:rPr>
        <w:t xml:space="preserve">Table 4. </w:t>
      </w:r>
      <w:r w:rsidRPr="00210497">
        <w:rPr>
          <w:rFonts w:ascii="Cambria" w:eastAsia="Times New Roman" w:hAnsi="Cambria" w:cs="Times New Roman"/>
          <w:i/>
          <w:color w:val="000000"/>
          <w:sz w:val="20"/>
          <w:szCs w:val="20"/>
          <w:lang w:val="en-US" w:eastAsia="tr-TR"/>
        </w:rPr>
        <w:t>Reliabilities, Correlation Coefficients, and Test-Retest Reliabilities</w:t>
      </w:r>
    </w:p>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p>
    <w:tbl>
      <w:tblPr>
        <w:tblW w:w="0" w:type="auto"/>
        <w:tblLayout w:type="fixed"/>
        <w:tblLook w:val="0000" w:firstRow="0" w:lastRow="0" w:firstColumn="0" w:lastColumn="0" w:noHBand="0" w:noVBand="0"/>
      </w:tblPr>
      <w:tblGrid>
        <w:gridCol w:w="3085"/>
        <w:gridCol w:w="884"/>
        <w:gridCol w:w="1171"/>
        <w:gridCol w:w="1800"/>
      </w:tblGrid>
      <w:tr w:rsidR="00210497" w:rsidRPr="00210497" w:rsidTr="00210497">
        <w:trPr>
          <w:cantSplit/>
          <w:trHeight w:val="440"/>
        </w:trPr>
        <w:tc>
          <w:tcPr>
            <w:tcW w:w="3085"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 xml:space="preserve">Factors                                                                                   </w:t>
            </w:r>
          </w:p>
        </w:tc>
        <w:tc>
          <w:tcPr>
            <w:tcW w:w="884"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vAlign w:val="center"/>
          </w:tcPr>
          <w:p w:rsidR="00210497" w:rsidRPr="00210497" w:rsidRDefault="00210497" w:rsidP="00210497">
            <w:pPr>
              <w:spacing w:after="0" w:line="240" w:lineRule="auto"/>
              <w:jc w:val="both"/>
              <w:rPr>
                <w:rFonts w:ascii="Cambria" w:eastAsia="Times New Roman" w:hAnsi="Cambria" w:cs="Times New Roman"/>
                <w:color w:val="000000"/>
                <w:sz w:val="20"/>
                <w:szCs w:val="20"/>
                <w:lang w:val="en-US" w:eastAsia="tr-TR"/>
              </w:rPr>
            </w:pPr>
            <w:r>
              <w:rPr>
                <w:rFonts w:ascii="Cambria" w:eastAsia="Times New Roman" w:hAnsi="Cambria" w:cs="Times New Roman"/>
                <w:color w:val="000000"/>
                <w:sz w:val="20"/>
                <w:szCs w:val="20"/>
                <w:lang w:val="en-US" w:eastAsia="tr-TR"/>
              </w:rPr>
              <w:t xml:space="preserve">Cronbach </w:t>
            </w:r>
            <w:r w:rsidRPr="00210497">
              <w:rPr>
                <w:rFonts w:ascii="Cambria" w:eastAsia="Times New Roman" w:hAnsi="Cambria" w:cs="Times New Roman"/>
                <w:color w:val="000000"/>
                <w:sz w:val="20"/>
                <w:szCs w:val="20"/>
                <w:lang w:val="en-US" w:eastAsia="tr-TR"/>
              </w:rPr>
              <w:t>α for  EFA</w:t>
            </w:r>
          </w:p>
        </w:tc>
        <w:tc>
          <w:tcPr>
            <w:tcW w:w="1171"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vAlign w:val="center"/>
          </w:tcPr>
          <w:p w:rsidR="00210497" w:rsidRPr="00210497" w:rsidRDefault="00210497" w:rsidP="00210497">
            <w:pPr>
              <w:spacing w:after="0" w:line="240" w:lineRule="auto"/>
              <w:ind w:left="284"/>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Cronbach α for CFA</w:t>
            </w:r>
          </w:p>
        </w:tc>
        <w:tc>
          <w:tcPr>
            <w:tcW w:w="180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vAlign w:val="center"/>
          </w:tcPr>
          <w:p w:rsidR="00210497" w:rsidRPr="00210497" w:rsidRDefault="00210497" w:rsidP="00210497">
            <w:pPr>
              <w:spacing w:after="0" w:line="240" w:lineRule="auto"/>
              <w:ind w:left="24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 xml:space="preserve">4 weeks interval Test-Retest (r) </w:t>
            </w:r>
          </w:p>
        </w:tc>
      </w:tr>
      <w:tr w:rsidR="00210497" w:rsidRPr="00210497" w:rsidTr="00210497">
        <w:trPr>
          <w:cantSplit/>
          <w:trHeight w:val="274"/>
        </w:trPr>
        <w:tc>
          <w:tcPr>
            <w:tcW w:w="3085"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 xml:space="preserve">(1) Reflection and Regulation </w:t>
            </w:r>
          </w:p>
        </w:tc>
        <w:tc>
          <w:tcPr>
            <w:tcW w:w="88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.76</w:t>
            </w:r>
          </w:p>
        </w:tc>
        <w:tc>
          <w:tcPr>
            <w:tcW w:w="1171"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.74</w:t>
            </w:r>
          </w:p>
        </w:tc>
        <w:tc>
          <w:tcPr>
            <w:tcW w:w="1800"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.87</w:t>
            </w:r>
            <w:r w:rsidRPr="00210497">
              <w:rPr>
                <w:rFonts w:ascii="Cambria" w:eastAsia="Times New Roman" w:hAnsi="Cambria" w:cs="Times New Roman"/>
                <w:color w:val="000000"/>
                <w:sz w:val="20"/>
                <w:szCs w:val="20"/>
                <w:vertAlign w:val="superscript"/>
                <w:lang w:val="en-US" w:eastAsia="tr-TR"/>
              </w:rPr>
              <w:t>**</w:t>
            </w:r>
          </w:p>
        </w:tc>
      </w:tr>
      <w:tr w:rsidR="00210497" w:rsidRPr="00210497" w:rsidTr="00210497">
        <w:trPr>
          <w:cantSplit/>
          <w:trHeight w:val="264"/>
        </w:trPr>
        <w:tc>
          <w:tcPr>
            <w:tcW w:w="308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(2) Monitoring</w:t>
            </w:r>
          </w:p>
        </w:tc>
        <w:tc>
          <w:tcPr>
            <w:tcW w:w="88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.78</w:t>
            </w:r>
          </w:p>
        </w:tc>
        <w:tc>
          <w:tcPr>
            <w:tcW w:w="117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.76</w:t>
            </w:r>
          </w:p>
        </w:tc>
        <w:tc>
          <w:tcPr>
            <w:tcW w:w="180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.90</w:t>
            </w:r>
            <w:r w:rsidRPr="00210497">
              <w:rPr>
                <w:rFonts w:ascii="Cambria" w:eastAsia="Times New Roman" w:hAnsi="Cambria" w:cs="Times New Roman"/>
                <w:color w:val="000000"/>
                <w:sz w:val="20"/>
                <w:szCs w:val="20"/>
                <w:vertAlign w:val="superscript"/>
                <w:lang w:val="en-US" w:eastAsia="tr-TR"/>
              </w:rPr>
              <w:t>**</w:t>
            </w:r>
          </w:p>
        </w:tc>
      </w:tr>
      <w:tr w:rsidR="00210497" w:rsidRPr="00210497" w:rsidTr="00210497">
        <w:trPr>
          <w:cantSplit/>
          <w:trHeight w:val="264"/>
        </w:trPr>
        <w:tc>
          <w:tcPr>
            <w:tcW w:w="308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(3) Planning</w:t>
            </w:r>
          </w:p>
        </w:tc>
        <w:tc>
          <w:tcPr>
            <w:tcW w:w="88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.76</w:t>
            </w:r>
          </w:p>
        </w:tc>
        <w:tc>
          <w:tcPr>
            <w:tcW w:w="117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.75</w:t>
            </w:r>
          </w:p>
        </w:tc>
        <w:tc>
          <w:tcPr>
            <w:tcW w:w="180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.93</w:t>
            </w:r>
            <w:r w:rsidRPr="00210497">
              <w:rPr>
                <w:rFonts w:ascii="Cambria" w:eastAsia="Times New Roman" w:hAnsi="Cambria" w:cs="Times New Roman"/>
                <w:color w:val="000000"/>
                <w:sz w:val="20"/>
                <w:szCs w:val="20"/>
                <w:vertAlign w:val="superscript"/>
                <w:lang w:val="en-US" w:eastAsia="tr-TR"/>
              </w:rPr>
              <w:t>**</w:t>
            </w:r>
          </w:p>
        </w:tc>
      </w:tr>
      <w:tr w:rsidR="00210497" w:rsidRPr="00210497" w:rsidTr="00210497">
        <w:trPr>
          <w:cantSplit/>
          <w:trHeight w:val="264"/>
        </w:trPr>
        <w:tc>
          <w:tcPr>
            <w:tcW w:w="308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(4) Coping with Distracters</w:t>
            </w:r>
          </w:p>
        </w:tc>
        <w:tc>
          <w:tcPr>
            <w:tcW w:w="88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.64</w:t>
            </w:r>
          </w:p>
        </w:tc>
        <w:tc>
          <w:tcPr>
            <w:tcW w:w="117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.70</w:t>
            </w:r>
          </w:p>
        </w:tc>
        <w:tc>
          <w:tcPr>
            <w:tcW w:w="180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.89</w:t>
            </w:r>
            <w:r w:rsidRPr="00210497">
              <w:rPr>
                <w:rFonts w:ascii="Cambria" w:eastAsia="Times New Roman" w:hAnsi="Cambria" w:cs="Times New Roman"/>
                <w:color w:val="000000"/>
                <w:sz w:val="20"/>
                <w:szCs w:val="20"/>
                <w:vertAlign w:val="superscript"/>
                <w:lang w:val="en-US" w:eastAsia="tr-TR"/>
              </w:rPr>
              <w:t>**</w:t>
            </w:r>
          </w:p>
        </w:tc>
      </w:tr>
      <w:tr w:rsidR="00210497" w:rsidRPr="00210497" w:rsidTr="00210497">
        <w:trPr>
          <w:cantSplit/>
          <w:trHeight w:val="264"/>
        </w:trPr>
        <w:tc>
          <w:tcPr>
            <w:tcW w:w="308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(5) Generating Strategies</w:t>
            </w:r>
          </w:p>
        </w:tc>
        <w:tc>
          <w:tcPr>
            <w:tcW w:w="88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.62</w:t>
            </w:r>
          </w:p>
        </w:tc>
        <w:tc>
          <w:tcPr>
            <w:tcW w:w="117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.68</w:t>
            </w:r>
          </w:p>
        </w:tc>
        <w:tc>
          <w:tcPr>
            <w:tcW w:w="180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.86</w:t>
            </w:r>
            <w:r w:rsidRPr="00210497">
              <w:rPr>
                <w:rFonts w:ascii="Cambria" w:eastAsia="Times New Roman" w:hAnsi="Cambria" w:cs="Times New Roman"/>
                <w:color w:val="000000"/>
                <w:sz w:val="20"/>
                <w:szCs w:val="20"/>
                <w:vertAlign w:val="superscript"/>
                <w:lang w:val="en-US" w:eastAsia="tr-TR"/>
              </w:rPr>
              <w:t>**</w:t>
            </w:r>
          </w:p>
        </w:tc>
      </w:tr>
      <w:tr w:rsidR="00210497" w:rsidRPr="00210497" w:rsidTr="00210497">
        <w:trPr>
          <w:cantSplit/>
          <w:trHeight w:val="264"/>
        </w:trPr>
        <w:tc>
          <w:tcPr>
            <w:tcW w:w="3085"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Instrument</w:t>
            </w:r>
          </w:p>
        </w:tc>
        <w:tc>
          <w:tcPr>
            <w:tcW w:w="88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.83</w:t>
            </w:r>
          </w:p>
        </w:tc>
        <w:tc>
          <w:tcPr>
            <w:tcW w:w="1171"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.83</w:t>
            </w:r>
          </w:p>
        </w:tc>
        <w:tc>
          <w:tcPr>
            <w:tcW w:w="1800"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210497" w:rsidRPr="00210497" w:rsidRDefault="00210497" w:rsidP="00210497">
            <w:pPr>
              <w:spacing w:after="0" w:line="240" w:lineRule="auto"/>
              <w:ind w:firstLine="567"/>
              <w:jc w:val="both"/>
              <w:rPr>
                <w:rFonts w:ascii="Cambria" w:eastAsia="Times New Roman" w:hAnsi="Cambria" w:cs="Times New Roman"/>
                <w:color w:val="000000"/>
                <w:sz w:val="20"/>
                <w:szCs w:val="20"/>
                <w:vertAlign w:val="superscript"/>
                <w:lang w:val="en-US" w:eastAsia="tr-TR"/>
              </w:rPr>
            </w:pPr>
            <w:r w:rsidRPr="00210497">
              <w:rPr>
                <w:rFonts w:ascii="Cambria" w:eastAsia="Times New Roman" w:hAnsi="Cambria" w:cs="Times New Roman"/>
                <w:color w:val="000000"/>
                <w:sz w:val="20"/>
                <w:szCs w:val="20"/>
                <w:lang w:val="en-US" w:eastAsia="tr-TR"/>
              </w:rPr>
              <w:t>.84</w:t>
            </w:r>
            <w:r w:rsidRPr="00210497">
              <w:rPr>
                <w:rFonts w:ascii="Cambria" w:eastAsia="Times New Roman" w:hAnsi="Cambria" w:cs="Times New Roman"/>
                <w:color w:val="000000"/>
                <w:sz w:val="20"/>
                <w:szCs w:val="20"/>
                <w:vertAlign w:val="superscript"/>
                <w:lang w:val="en-US" w:eastAsia="tr-TR"/>
              </w:rPr>
              <w:t>**</w:t>
            </w:r>
          </w:p>
        </w:tc>
      </w:tr>
    </w:tbl>
    <w:p w:rsidR="00210497" w:rsidRPr="00210497" w:rsidRDefault="00210497" w:rsidP="00210497">
      <w:pPr>
        <w:spacing w:after="0" w:line="240" w:lineRule="auto"/>
        <w:ind w:firstLine="567"/>
        <w:jc w:val="both"/>
        <w:rPr>
          <w:rFonts w:ascii="Cambria" w:eastAsia="Times New Roman" w:hAnsi="Cambria" w:cs="Times New Roman"/>
          <w:color w:val="000000"/>
          <w:sz w:val="20"/>
          <w:szCs w:val="20"/>
          <w:lang w:val="en-US" w:eastAsia="tr-TR"/>
        </w:rPr>
      </w:pPr>
      <w:r w:rsidRPr="00210497">
        <w:rPr>
          <w:rFonts w:ascii="Cambria" w:eastAsia="Times New Roman" w:hAnsi="Cambria" w:cs="Times New Roman"/>
          <w:color w:val="000000"/>
          <w:sz w:val="20"/>
          <w:szCs w:val="20"/>
          <w:lang w:val="en-US" w:eastAsia="tr-TR"/>
        </w:rPr>
        <w:t>**Correlation is significant at the 0.01 level.</w:t>
      </w: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The same data set was split into two to find the correlation between two halves. SPSS 15.0 was used to calculate the Spearman-Brown coefficient. The results revealed that there is a correlation between forms (</w:t>
      </w:r>
      <w:r w:rsidRPr="00210497">
        <w:rPr>
          <w:rFonts w:ascii="Cambria" w:eastAsia="Times New Roman" w:hAnsi="Cambria" w:cs="Times New Roman"/>
          <w:i/>
          <w:color w:val="000000"/>
          <w:lang w:val="en-US" w:eastAsia="tr-TR"/>
        </w:rPr>
        <w:t>r</w:t>
      </w:r>
      <w:r w:rsidRPr="00210497">
        <w:rPr>
          <w:rFonts w:ascii="Cambria" w:eastAsia="Times New Roman" w:hAnsi="Cambria" w:cs="Times New Roman"/>
          <w:color w:val="000000"/>
          <w:lang w:val="en-US" w:eastAsia="tr-TR"/>
        </w:rPr>
        <w:t>=.593), and the Spearman-Brown coefficient was within acceptable range (</w:t>
      </w:r>
      <w:proofErr w:type="spellStart"/>
      <w:r w:rsidRPr="00210497">
        <w:rPr>
          <w:rFonts w:ascii="Cambria" w:eastAsia="Times New Roman" w:hAnsi="Cambria" w:cs="Times New Roman"/>
          <w:i/>
          <w:color w:val="000000"/>
          <w:lang w:val="en-US" w:eastAsia="tr-TR"/>
        </w:rPr>
        <w:t>r</w:t>
      </w:r>
      <w:r w:rsidRPr="00210497">
        <w:rPr>
          <w:rFonts w:ascii="Cambria" w:eastAsia="Times New Roman" w:hAnsi="Cambria" w:cs="Times New Roman"/>
          <w:i/>
          <w:color w:val="000000"/>
          <w:vertAlign w:val="subscript"/>
          <w:lang w:val="en-US" w:eastAsia="tr-TR"/>
        </w:rPr>
        <w:t>SB</w:t>
      </w:r>
      <w:proofErr w:type="spellEnd"/>
      <w:r w:rsidRPr="00210497">
        <w:rPr>
          <w:rFonts w:ascii="Cambria" w:eastAsia="Times New Roman" w:hAnsi="Cambria" w:cs="Times New Roman"/>
          <w:color w:val="000000"/>
          <w:lang w:val="en-US" w:eastAsia="tr-TR"/>
        </w:rPr>
        <w:t>=.80).</w:t>
      </w: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210497" w:rsidRPr="00210497" w:rsidRDefault="00BB5DDC" w:rsidP="00BB5DDC">
      <w:pPr>
        <w:spacing w:after="0" w:line="240" w:lineRule="auto"/>
        <w:jc w:val="both"/>
        <w:rPr>
          <w:rFonts w:ascii="Cambria" w:eastAsia="Times New Roman" w:hAnsi="Cambria" w:cs="Times New Roman"/>
          <w:b/>
          <w:color w:val="000000"/>
          <w:lang w:val="en-US" w:eastAsia="tr-TR"/>
        </w:rPr>
      </w:pPr>
      <w:r>
        <w:rPr>
          <w:rFonts w:ascii="Cambria" w:eastAsia="Times New Roman" w:hAnsi="Cambria" w:cs="Times New Roman"/>
          <w:b/>
          <w:color w:val="000000"/>
          <w:lang w:val="en-US" w:eastAsia="tr-TR"/>
        </w:rPr>
        <w:t>Results f</w:t>
      </w:r>
      <w:r w:rsidRPr="00210497">
        <w:rPr>
          <w:rFonts w:ascii="Cambria" w:eastAsia="Times New Roman" w:hAnsi="Cambria" w:cs="Times New Roman"/>
          <w:b/>
          <w:color w:val="000000"/>
          <w:lang w:val="en-US" w:eastAsia="tr-TR"/>
        </w:rPr>
        <w:t>or Validity</w:t>
      </w:r>
    </w:p>
    <w:p w:rsidR="00210497" w:rsidRPr="00210497" w:rsidRDefault="00210497" w:rsidP="00210497">
      <w:pPr>
        <w:spacing w:after="0" w:line="240" w:lineRule="auto"/>
        <w:ind w:firstLine="567"/>
        <w:jc w:val="both"/>
        <w:rPr>
          <w:rFonts w:ascii="Cambria" w:eastAsia="Times New Roman" w:hAnsi="Cambria" w:cs="Times New Roman"/>
          <w:b/>
          <w:color w:val="000000"/>
          <w:lang w:val="en-US" w:eastAsia="tr-TR"/>
        </w:rPr>
      </w:pPr>
    </w:p>
    <w:p w:rsidR="00210497" w:rsidRPr="00210497" w:rsidRDefault="00210497" w:rsidP="00210497">
      <w:pPr>
        <w:spacing w:after="0" w:line="240" w:lineRule="auto"/>
        <w:ind w:firstLine="567"/>
        <w:jc w:val="both"/>
        <w:rPr>
          <w:rFonts w:ascii="Cambria" w:eastAsia="Times New Roman" w:hAnsi="Cambria" w:cs="Times New Roman"/>
          <w:color w:val="000000"/>
          <w:lang w:val="en-US" w:eastAsia="tr-TR"/>
        </w:rPr>
      </w:pPr>
      <w:r w:rsidRPr="00210497">
        <w:rPr>
          <w:rFonts w:ascii="Cambria" w:eastAsia="Times New Roman" w:hAnsi="Cambria" w:cs="Times New Roman"/>
          <w:color w:val="000000"/>
          <w:lang w:val="en-US" w:eastAsia="tr-TR"/>
        </w:rPr>
        <w:t xml:space="preserve">In order to explore the content validity, 7 experts reviewed the first item pool, which contains 57 items. After all dropped, revised or split items, there were 39 items before the cognitive interview. Each expert separately worked on items, and advised which one should be revised or deleted completely. Taking all comments together, content validity indexes were calculated for both items and the inventory. Items having a content validity index less than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=.78, which is the appropriate cut-off value according to Lynn (1986) were deleted. There were 11 items having considerably low I-CVI values (2 items with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=.14; 6 items with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=.29; 3 items with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=.57). 8 items having moderate I-CVI values were also removed from the pool (5 items with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=.67; 3 items with </w:t>
      </w:r>
      <w:r w:rsidRPr="00210497">
        <w:rPr>
          <w:rFonts w:ascii="Cambria" w:eastAsia="Times New Roman" w:hAnsi="Cambria" w:cs="Times New Roman"/>
          <w:i/>
          <w:color w:val="000000"/>
          <w:lang w:val="en-US" w:eastAsia="tr-TR"/>
        </w:rPr>
        <w:t>I-CVI</w:t>
      </w:r>
      <w:r w:rsidRPr="00210497">
        <w:rPr>
          <w:rFonts w:ascii="Cambria" w:eastAsia="Times New Roman" w:hAnsi="Cambria" w:cs="Times New Roman"/>
          <w:color w:val="000000"/>
          <w:lang w:val="en-US" w:eastAsia="tr-TR"/>
        </w:rPr>
        <w:t xml:space="preserve">=.71). The rest of the items were above the cut-off, but not all of them reached the full agreement of experts. In other words, some items needed small revisions and one item was split into two statements. Finally, the scale content validity was calculated as </w:t>
      </w:r>
      <w:r w:rsidRPr="00210497">
        <w:rPr>
          <w:rFonts w:ascii="Cambria" w:eastAsia="Times New Roman" w:hAnsi="Cambria" w:cs="Times New Roman"/>
          <w:i/>
          <w:color w:val="000000"/>
          <w:lang w:val="en-US" w:eastAsia="tr-TR"/>
        </w:rPr>
        <w:t>S-CVI</w:t>
      </w:r>
      <w:r w:rsidRPr="00210497">
        <w:rPr>
          <w:rFonts w:ascii="Cambria" w:eastAsia="Times New Roman" w:hAnsi="Cambria" w:cs="Times New Roman"/>
          <w:color w:val="000000"/>
          <w:lang w:val="en-US" w:eastAsia="tr-TR"/>
        </w:rPr>
        <w:t xml:space="preserve">=.89, which is acceptable. </w:t>
      </w:r>
    </w:p>
    <w:p w:rsidR="002D5974" w:rsidRPr="00C71F46" w:rsidRDefault="001E14C5" w:rsidP="00C71F46">
      <w:pPr>
        <w:pStyle w:val="Heading2"/>
        <w:spacing w:before="100" w:beforeAutospacing="1" w:after="100" w:afterAutospacing="1" w:line="240" w:lineRule="auto"/>
        <w:jc w:val="center"/>
        <w:rPr>
          <w:rFonts w:ascii="Cambria" w:hAnsi="Cambria" w:cs="Times New Roman"/>
          <w:b/>
          <w:color w:val="auto"/>
          <w:sz w:val="22"/>
          <w:szCs w:val="22"/>
        </w:rPr>
      </w:pPr>
      <w:r w:rsidRPr="00C71F46">
        <w:rPr>
          <w:rFonts w:ascii="Cambria" w:hAnsi="Cambria" w:cs="Times New Roman"/>
          <w:b/>
          <w:color w:val="auto"/>
          <w:sz w:val="22"/>
          <w:szCs w:val="22"/>
        </w:rPr>
        <w:t xml:space="preserve">DISCUSSION </w:t>
      </w:r>
      <w:r w:rsidR="00E61895" w:rsidRPr="00C71F46">
        <w:rPr>
          <w:rFonts w:ascii="Cambria" w:hAnsi="Cambria" w:cs="Times New Roman"/>
          <w:b/>
          <w:color w:val="auto"/>
          <w:sz w:val="22"/>
          <w:szCs w:val="22"/>
        </w:rPr>
        <w:t xml:space="preserve">and </w:t>
      </w:r>
      <w:r w:rsidRPr="00C71F46">
        <w:rPr>
          <w:rFonts w:ascii="Cambria" w:hAnsi="Cambria" w:cs="Times New Roman"/>
          <w:b/>
          <w:color w:val="auto"/>
          <w:sz w:val="22"/>
          <w:szCs w:val="22"/>
        </w:rPr>
        <w:t>CONCLUSION</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lang w:val="en-US" w:eastAsia="tr-TR"/>
        </w:rPr>
        <w:t>The MSIIS instrument was developed and piloted with 251 7</w:t>
      </w:r>
      <w:r w:rsidRPr="00FB4F02">
        <w:rPr>
          <w:rFonts w:ascii="Cambria" w:eastAsia="Times New Roman" w:hAnsi="Cambria" w:cs="Times New Roman"/>
          <w:vertAlign w:val="superscript"/>
          <w:lang w:val="en-US" w:eastAsia="tr-TR"/>
        </w:rPr>
        <w:t>th</w:t>
      </w:r>
      <w:r w:rsidRPr="00FB4F02">
        <w:rPr>
          <w:rFonts w:ascii="Cambria" w:eastAsia="Times New Roman" w:hAnsi="Cambria" w:cs="Times New Roman"/>
          <w:lang w:val="en-US" w:eastAsia="tr-TR"/>
        </w:rPr>
        <w:t xml:space="preserve"> and 8</w:t>
      </w:r>
      <w:r w:rsidRPr="00FB4F02">
        <w:rPr>
          <w:rFonts w:ascii="Cambria" w:eastAsia="Times New Roman" w:hAnsi="Cambria" w:cs="Times New Roman"/>
          <w:vertAlign w:val="superscript"/>
          <w:lang w:val="en-US" w:eastAsia="tr-TR"/>
        </w:rPr>
        <w:t>th</w:t>
      </w:r>
      <w:r w:rsidRPr="00FB4F02">
        <w:rPr>
          <w:rFonts w:ascii="Cambria" w:eastAsia="Times New Roman" w:hAnsi="Cambria" w:cs="Times New Roman"/>
          <w:lang w:val="en-US" w:eastAsia="tr-TR"/>
        </w:rPr>
        <w:t xml:space="preserve"> graders. An EFA of the 37 items revealed a 5-factor solution. However, two factors were combined because of their similarities with respect to metacognitive skills. In that study, 7 items were removed due to their low loadings and 4 items were revised due to close loadings. After the revisions, the first version of the scale was administered to 273 7</w:t>
      </w:r>
      <w:r w:rsidRPr="00FB4F02">
        <w:rPr>
          <w:rFonts w:ascii="Cambria" w:eastAsia="Times New Roman" w:hAnsi="Cambria" w:cs="Times New Roman"/>
          <w:vertAlign w:val="superscript"/>
          <w:lang w:val="en-US" w:eastAsia="tr-TR"/>
        </w:rPr>
        <w:t>th</w:t>
      </w:r>
      <w:r w:rsidRPr="00FB4F02">
        <w:rPr>
          <w:rFonts w:ascii="Cambria" w:eastAsia="Times New Roman" w:hAnsi="Cambria" w:cs="Times New Roman"/>
          <w:lang w:val="en-US" w:eastAsia="tr-TR"/>
        </w:rPr>
        <w:t xml:space="preserve"> graders. Again a 5-factor solution was decided as appropriate through EFA. The loadings and reliability coefficients showed that the scale was reliable and items fit factors within an acceptable range. Finally, to prove the consistency of the constructs, the inventory was distributed to 321 7</w:t>
      </w:r>
      <w:r w:rsidRPr="00FB4F02">
        <w:rPr>
          <w:rFonts w:ascii="Cambria" w:eastAsia="Times New Roman" w:hAnsi="Cambria" w:cs="Times New Roman"/>
          <w:vertAlign w:val="superscript"/>
          <w:lang w:val="en-US" w:eastAsia="tr-TR"/>
        </w:rPr>
        <w:t>th</w:t>
      </w:r>
      <w:r w:rsidRPr="00FB4F02">
        <w:rPr>
          <w:rFonts w:ascii="Cambria" w:eastAsia="Times New Roman" w:hAnsi="Cambria" w:cs="Times New Roman"/>
          <w:lang w:val="en-US" w:eastAsia="tr-TR"/>
        </w:rPr>
        <w:t xml:space="preserve"> graders. In addition, a 4-week interval test-</w:t>
      </w:r>
      <w:r w:rsidRPr="00FB4F02">
        <w:rPr>
          <w:rFonts w:ascii="Cambria" w:eastAsia="Times New Roman" w:hAnsi="Cambria" w:cs="Times New Roman"/>
          <w:lang w:val="en-US" w:eastAsia="tr-TR"/>
        </w:rPr>
        <w:lastRenderedPageBreak/>
        <w:t>retest reliability was also administered with 101 6</w:t>
      </w:r>
      <w:r w:rsidRPr="00FB4F02">
        <w:rPr>
          <w:rFonts w:ascii="Cambria" w:eastAsia="Times New Roman" w:hAnsi="Cambria" w:cs="Times New Roman"/>
          <w:vertAlign w:val="superscript"/>
          <w:lang w:val="en-US" w:eastAsia="tr-TR"/>
        </w:rPr>
        <w:t>th</w:t>
      </w:r>
      <w:r w:rsidRPr="00FB4F02">
        <w:rPr>
          <w:rFonts w:ascii="Cambria" w:eastAsia="Times New Roman" w:hAnsi="Cambria" w:cs="Times New Roman"/>
          <w:lang w:val="en-US" w:eastAsia="tr-TR"/>
        </w:rPr>
        <w:t xml:space="preserve"> graders. The results confirmed the consistent structure of MSIIS.</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lang w:val="en-US" w:eastAsia="tr-TR"/>
        </w:rPr>
        <w:t xml:space="preserve">The nature of measured constructs is very complex because the phenomenon is completely internal. What is supposed to be achieved with MSIIS is to rely on self-ratings of individuals, which makes the measurement very complex. For this study, only one instrument was used to measure metacognition since the aim is just to develop and confirm constructs, but it would be safer including various types of data collection. Literature reveals various facets of metacognitive skills. Therefore, deciding on consistent definitions and categorization of constructs is not so easy. Despite these limitations, the generated and confirmed factors were found meaningful. </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lang w:val="en-US" w:eastAsia="tr-TR"/>
        </w:rPr>
        <w:t xml:space="preserve">Items in the </w:t>
      </w:r>
      <w:r w:rsidRPr="00FB4F02">
        <w:rPr>
          <w:rFonts w:ascii="Cambria" w:eastAsia="Times New Roman" w:hAnsi="Cambria" w:cs="Times New Roman"/>
          <w:i/>
          <w:lang w:val="en-US" w:eastAsia="tr-TR"/>
        </w:rPr>
        <w:t xml:space="preserve">reflection and regulation </w:t>
      </w:r>
      <w:r w:rsidRPr="00FB4F02">
        <w:rPr>
          <w:rFonts w:ascii="Cambria" w:eastAsia="Times New Roman" w:hAnsi="Cambria" w:cs="Times New Roman"/>
          <w:lang w:val="en-US" w:eastAsia="tr-TR"/>
        </w:rPr>
        <w:t xml:space="preserve">category convey some typical attributes. According to </w:t>
      </w:r>
      <w:proofErr w:type="spellStart"/>
      <w:r w:rsidRPr="00FB4F02">
        <w:rPr>
          <w:rFonts w:ascii="Cambria" w:eastAsia="Times New Roman" w:hAnsi="Cambria" w:cs="Times New Roman"/>
          <w:lang w:val="en-US" w:eastAsia="tr-TR"/>
        </w:rPr>
        <w:t>Kluwe</w:t>
      </w:r>
      <w:proofErr w:type="spellEnd"/>
      <w:r w:rsidRPr="00FB4F02">
        <w:rPr>
          <w:rFonts w:ascii="Cambria" w:eastAsia="Times New Roman" w:hAnsi="Cambria" w:cs="Times New Roman"/>
          <w:lang w:val="en-US" w:eastAsia="tr-TR"/>
        </w:rPr>
        <w:t xml:space="preserve"> (1982), allocation of resources, ordering the steps, deciding on the intensity, and speed of the studying are some characteristics of regulation. In addition, this skill is needed whenever the task requirements change (Ross, Salisbury-</w:t>
      </w:r>
      <w:proofErr w:type="spellStart"/>
      <w:r w:rsidRPr="00FB4F02">
        <w:rPr>
          <w:rFonts w:ascii="Cambria" w:eastAsia="Times New Roman" w:hAnsi="Cambria" w:cs="Times New Roman"/>
          <w:lang w:val="en-US" w:eastAsia="tr-TR"/>
        </w:rPr>
        <w:t>Glennon</w:t>
      </w:r>
      <w:proofErr w:type="spellEnd"/>
      <w:r w:rsidRPr="00FB4F02">
        <w:rPr>
          <w:rFonts w:ascii="Cambria" w:eastAsia="Times New Roman" w:hAnsi="Cambria" w:cs="Times New Roman"/>
          <w:lang w:val="en-US" w:eastAsia="tr-TR"/>
        </w:rPr>
        <w:t xml:space="preserve">, &amp; </w:t>
      </w:r>
      <w:proofErr w:type="spellStart"/>
      <w:r w:rsidRPr="00FB4F02">
        <w:rPr>
          <w:rFonts w:ascii="Cambria" w:eastAsia="Times New Roman" w:hAnsi="Cambria" w:cs="Times New Roman"/>
          <w:lang w:val="en-US" w:eastAsia="tr-TR"/>
        </w:rPr>
        <w:t>Tollefson</w:t>
      </w:r>
      <w:proofErr w:type="spellEnd"/>
      <w:r w:rsidRPr="00FB4F02">
        <w:rPr>
          <w:rFonts w:ascii="Cambria" w:eastAsia="Times New Roman" w:hAnsi="Cambria" w:cs="Times New Roman"/>
          <w:lang w:val="en-US" w:eastAsia="tr-TR"/>
        </w:rPr>
        <w:t xml:space="preserve">, 2006). Item 4 is an example for allocation of resources because the item refers to that Internet search is just a means to complete the homework, so s/he knows that s/he should go further by other actions such as interpreting the found information. Item 7 exemplifies how intense should be the work at that time. In their metacognitive model of reflection, </w:t>
      </w:r>
      <w:proofErr w:type="spellStart"/>
      <w:r w:rsidRPr="00FB4F02">
        <w:rPr>
          <w:rFonts w:ascii="Cambria" w:eastAsia="Times New Roman" w:hAnsi="Cambria" w:cs="Times New Roman"/>
          <w:lang w:val="en-US" w:eastAsia="tr-TR"/>
        </w:rPr>
        <w:t>Mcalpine</w:t>
      </w:r>
      <w:proofErr w:type="spellEnd"/>
      <w:r w:rsidRPr="00FB4F02">
        <w:rPr>
          <w:rFonts w:ascii="Cambria" w:eastAsia="Times New Roman" w:hAnsi="Cambria" w:cs="Times New Roman"/>
          <w:lang w:val="en-US" w:eastAsia="tr-TR"/>
        </w:rPr>
        <w:t>, Weston, Beauchamp, Wiseman, and Beauchamp (1999) deﬁne reﬂection as “a process of thinking about teaching and learning by monitoring cues for the extent to which they are within a corridor of tolerance and making decisions to adjust teaching as appropriate to better achieve teaching and learning goals.” (p. 110). Considering that kids in our study aim to achieve a learning goal, items 3, 5, 10, 12, and 18 can be included into reflection category. Item 3 and item 12 are about the reflection of the content whereas item 10 is about the reflection of the meanings. Item 5 focus on the evaluation of the followed steps. Finally, item 18 evaluates the inconsistencies between new upcoming information.</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i/>
          <w:lang w:val="en-US" w:eastAsia="tr-TR"/>
        </w:rPr>
        <w:t xml:space="preserve">Monitoring </w:t>
      </w:r>
      <w:r w:rsidRPr="00FB4F02">
        <w:rPr>
          <w:rFonts w:ascii="Cambria" w:eastAsia="Times New Roman" w:hAnsi="Cambria" w:cs="Times New Roman"/>
          <w:lang w:val="en-US" w:eastAsia="tr-TR"/>
        </w:rPr>
        <w:t xml:space="preserve">is a crucial skill to deal with online information (Mason, </w:t>
      </w:r>
      <w:proofErr w:type="spellStart"/>
      <w:r w:rsidRPr="00FB4F02">
        <w:rPr>
          <w:rFonts w:ascii="Cambria" w:eastAsia="Times New Roman" w:hAnsi="Cambria" w:cs="Times New Roman"/>
          <w:lang w:val="en-US" w:eastAsia="tr-TR"/>
        </w:rPr>
        <w:t>Boldrin</w:t>
      </w:r>
      <w:proofErr w:type="spellEnd"/>
      <w:r w:rsidRPr="00FB4F02">
        <w:rPr>
          <w:rFonts w:ascii="Cambria" w:eastAsia="Times New Roman" w:hAnsi="Cambria" w:cs="Times New Roman"/>
          <w:lang w:val="en-US" w:eastAsia="tr-TR"/>
        </w:rPr>
        <w:t xml:space="preserve">, &amp; </w:t>
      </w:r>
      <w:proofErr w:type="spellStart"/>
      <w:r w:rsidRPr="00FB4F02">
        <w:rPr>
          <w:rFonts w:ascii="Cambria" w:eastAsia="Times New Roman" w:hAnsi="Cambria" w:cs="Times New Roman"/>
          <w:lang w:val="en-US" w:eastAsia="tr-TR"/>
        </w:rPr>
        <w:t>Ariasi</w:t>
      </w:r>
      <w:proofErr w:type="spellEnd"/>
      <w:r w:rsidRPr="00FB4F02">
        <w:rPr>
          <w:rFonts w:ascii="Cambria" w:eastAsia="Times New Roman" w:hAnsi="Cambria" w:cs="Times New Roman"/>
          <w:lang w:val="en-US" w:eastAsia="tr-TR"/>
        </w:rPr>
        <w:t>, 2010). It</w:t>
      </w:r>
      <w:r w:rsidRPr="00FB4F02">
        <w:rPr>
          <w:rFonts w:ascii="Cambria" w:eastAsia="Times New Roman" w:hAnsi="Cambria" w:cs="Times New Roman"/>
          <w:i/>
          <w:lang w:val="en-US" w:eastAsia="tr-TR"/>
        </w:rPr>
        <w:t xml:space="preserve"> </w:t>
      </w:r>
      <w:r w:rsidRPr="00FB4F02">
        <w:rPr>
          <w:rFonts w:ascii="Cambria" w:eastAsia="Times New Roman" w:hAnsi="Cambria" w:cs="Times New Roman"/>
          <w:lang w:val="en-US" w:eastAsia="tr-TR"/>
        </w:rPr>
        <w:t>has generally the following parts (</w:t>
      </w:r>
      <w:proofErr w:type="spellStart"/>
      <w:r w:rsidRPr="00FB4F02">
        <w:rPr>
          <w:rFonts w:ascii="Cambria" w:eastAsia="Times New Roman" w:hAnsi="Cambria" w:cs="Times New Roman"/>
          <w:lang w:val="en-US" w:eastAsia="tr-TR"/>
        </w:rPr>
        <w:t>Dunlosky</w:t>
      </w:r>
      <w:proofErr w:type="spellEnd"/>
      <w:r w:rsidRPr="00FB4F02">
        <w:rPr>
          <w:rFonts w:ascii="Cambria" w:eastAsia="Times New Roman" w:hAnsi="Cambria" w:cs="Times New Roman"/>
          <w:lang w:val="en-US" w:eastAsia="tr-TR"/>
        </w:rPr>
        <w:t xml:space="preserve"> &amp; Metcalfe, 2009 &amp; </w:t>
      </w:r>
      <w:proofErr w:type="spellStart"/>
      <w:r w:rsidRPr="00FB4F02">
        <w:rPr>
          <w:rFonts w:ascii="Cambria" w:eastAsia="Times New Roman" w:hAnsi="Cambria" w:cs="Times New Roman"/>
          <w:lang w:val="en-US" w:eastAsia="tr-TR"/>
        </w:rPr>
        <w:t>Kluwe</w:t>
      </w:r>
      <w:proofErr w:type="spellEnd"/>
      <w:r w:rsidRPr="00FB4F02">
        <w:rPr>
          <w:rFonts w:ascii="Cambria" w:eastAsia="Times New Roman" w:hAnsi="Cambria" w:cs="Times New Roman"/>
          <w:lang w:val="en-US" w:eastAsia="tr-TR"/>
        </w:rPr>
        <w:t xml:space="preserve">, 1982): identifying the current task, checking and evaluating the current progress, and predicting the outcome. Items 2, 6, 27, and 30 relate with checking the relatedness of the content. Items 9 and 19 are clear examples of task understanding. Item 26 can be interpreted as either regulation or checking the upcoming information. Distinguishing important information among a large amount of information can be defined as checking the current progress while the second part of the item 26 refers to some sort of regulation. Item 29 exemplifies the evaluation of current understanding. </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i/>
          <w:lang w:val="en-US" w:eastAsia="tr-TR"/>
        </w:rPr>
        <w:t xml:space="preserve">Planning </w:t>
      </w:r>
      <w:r w:rsidRPr="00FB4F02">
        <w:rPr>
          <w:rFonts w:ascii="Cambria" w:eastAsia="Times New Roman" w:hAnsi="Cambria" w:cs="Times New Roman"/>
          <w:lang w:val="en-US" w:eastAsia="tr-TR"/>
        </w:rPr>
        <w:t>can be assumed one of the regulatory skills. It involves a series of decisions about resources, strategies, and order of steps (</w:t>
      </w:r>
      <w:proofErr w:type="spellStart"/>
      <w:r w:rsidRPr="00FB4F02">
        <w:rPr>
          <w:rFonts w:ascii="Cambria" w:eastAsia="Times New Roman" w:hAnsi="Cambria" w:cs="Times New Roman"/>
          <w:lang w:val="en-US" w:eastAsia="tr-TR"/>
        </w:rPr>
        <w:t>Dunlosky</w:t>
      </w:r>
      <w:proofErr w:type="spellEnd"/>
      <w:r w:rsidRPr="00FB4F02">
        <w:rPr>
          <w:rFonts w:ascii="Cambria" w:eastAsia="Times New Roman" w:hAnsi="Cambria" w:cs="Times New Roman"/>
          <w:lang w:val="en-US" w:eastAsia="tr-TR"/>
        </w:rPr>
        <w:t xml:space="preserve"> &amp; Metcalfe, 2009 &amp; Woolfolk, 2004). </w:t>
      </w:r>
      <w:r w:rsidRPr="00FB4F02">
        <w:rPr>
          <w:rFonts w:ascii="Cambria" w:eastAsia="Times New Roman" w:hAnsi="Cambria" w:cs="Times New Roman"/>
          <w:i/>
          <w:lang w:val="en-US" w:eastAsia="tr-TR"/>
        </w:rPr>
        <w:t xml:space="preserve">Strategies </w:t>
      </w:r>
      <w:r w:rsidRPr="00FB4F02">
        <w:rPr>
          <w:rFonts w:ascii="Cambria" w:eastAsia="Times New Roman" w:hAnsi="Cambria" w:cs="Times New Roman"/>
          <w:lang w:val="en-US" w:eastAsia="tr-TR"/>
        </w:rPr>
        <w:t>can be defined as the “cognitions or other behaviors employed to achieve them (goals)” (</w:t>
      </w:r>
      <w:proofErr w:type="spellStart"/>
      <w:r w:rsidRPr="00FB4F02">
        <w:rPr>
          <w:rFonts w:ascii="Cambria" w:eastAsia="Times New Roman" w:hAnsi="Cambria" w:cs="Times New Roman"/>
          <w:lang w:val="en-US" w:eastAsia="tr-TR"/>
        </w:rPr>
        <w:t>Flavell</w:t>
      </w:r>
      <w:proofErr w:type="spellEnd"/>
      <w:r w:rsidRPr="00FB4F02">
        <w:rPr>
          <w:rFonts w:ascii="Cambria" w:eastAsia="Times New Roman" w:hAnsi="Cambria" w:cs="Times New Roman"/>
          <w:lang w:val="en-US" w:eastAsia="tr-TR"/>
        </w:rPr>
        <w:t xml:space="preserve">, 1979, p. 907). The utilization of metacognitive strategies is related to the satisfaction of the learners (Choi, 2016), and they are valuable for learning. In our inventory, two subcategories named planning and generating strategies, therefore, are </w:t>
      </w:r>
      <w:r w:rsidR="000C1A44">
        <w:rPr>
          <w:rFonts w:ascii="Cambria" w:eastAsia="Times New Roman" w:hAnsi="Cambria" w:cs="Times New Roman"/>
          <w:lang w:val="en-US" w:eastAsia="tr-TR"/>
        </w:rPr>
        <w:t>highly</w:t>
      </w:r>
      <w:r w:rsidRPr="00FB4F02">
        <w:rPr>
          <w:rFonts w:ascii="Cambria" w:eastAsia="Times New Roman" w:hAnsi="Cambria" w:cs="Times New Roman"/>
          <w:lang w:val="en-US" w:eastAsia="tr-TR"/>
        </w:rPr>
        <w:t xml:space="preserve"> related to each other. They might be combined under one factor. Items in the planning category refer basically goal setting, but only item 21 can be fall into strategy category. All items in generating strategies category relate with some kind of strategy use for the ease of Internet search. In this study, these two categories were used separately, but for further research purposes, they can be combined, too. </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lang w:val="en-US" w:eastAsia="tr-TR"/>
        </w:rPr>
        <w:t xml:space="preserve">The last sub-dimension is about </w:t>
      </w:r>
      <w:r w:rsidRPr="00FB4F02">
        <w:rPr>
          <w:rFonts w:ascii="Cambria" w:eastAsia="Times New Roman" w:hAnsi="Cambria" w:cs="Times New Roman"/>
          <w:i/>
          <w:lang w:val="en-US" w:eastAsia="tr-TR"/>
        </w:rPr>
        <w:t>control of actions or attention. “</w:t>
      </w:r>
      <w:r w:rsidRPr="00FB4F02">
        <w:rPr>
          <w:rFonts w:ascii="Cambria" w:eastAsia="Times New Roman" w:hAnsi="Cambria" w:cs="Times New Roman"/>
          <w:lang w:val="en-US" w:eastAsia="tr-TR"/>
        </w:rPr>
        <w:t xml:space="preserve">Control involves self-regulative processes that direct and modify one’s behavior, such as processes that govern the selection of strategies for accomplishing tasks.” (Cary &amp; </w:t>
      </w:r>
      <w:proofErr w:type="spellStart"/>
      <w:r w:rsidRPr="00FB4F02">
        <w:rPr>
          <w:rFonts w:ascii="Cambria" w:eastAsia="Times New Roman" w:hAnsi="Cambria" w:cs="Times New Roman"/>
          <w:lang w:val="en-US" w:eastAsia="tr-TR"/>
        </w:rPr>
        <w:t>Reder</w:t>
      </w:r>
      <w:proofErr w:type="spellEnd"/>
      <w:r w:rsidRPr="00FB4F02">
        <w:rPr>
          <w:rFonts w:ascii="Cambria" w:eastAsia="Times New Roman" w:hAnsi="Cambria" w:cs="Times New Roman"/>
          <w:lang w:val="en-US" w:eastAsia="tr-TR"/>
        </w:rPr>
        <w:t xml:space="preserve">, 2002, p.64). Items 14 and 25 refer to giving up the search easily because of searching for or finding ‘all in one’ information. Control might be considered as the reverse actions of monitoring. In the Internet search cases, if the user give up the search easily, it might refer to inadequate control of actions resulted from inadequate monitoring or reflection. Items 15, 17, and 22 indicate distractions from the task. Checking the e-mails or chatting online might inhibit the other metacognitive skills such as monitoring or regulation. </w:t>
      </w:r>
    </w:p>
    <w:p w:rsidR="00FB4F02" w:rsidRPr="00FB4F02" w:rsidRDefault="00FB4F02" w:rsidP="00FB4F02">
      <w:pPr>
        <w:spacing w:after="0" w:line="240" w:lineRule="auto"/>
        <w:ind w:firstLine="567"/>
        <w:jc w:val="both"/>
        <w:rPr>
          <w:rFonts w:ascii="Cambria" w:eastAsia="Times New Roman" w:hAnsi="Cambria" w:cs="Times New Roman"/>
          <w:lang w:val="en-US" w:eastAsia="tr-TR"/>
        </w:rPr>
      </w:pPr>
      <w:r w:rsidRPr="00FB4F02">
        <w:rPr>
          <w:rFonts w:ascii="Cambria" w:eastAsia="Times New Roman" w:hAnsi="Cambria" w:cs="Times New Roman"/>
          <w:lang w:val="en-US" w:eastAsia="tr-TR"/>
        </w:rPr>
        <w:t xml:space="preserve">In this study, a 5 factor solution was found meaningful, but for different samples, it might not be necessarily the same. In other words, various variations or distribution of items are also possible. In that case, the way to interpret the overall pattern is important. There is still some </w:t>
      </w:r>
      <w:r w:rsidRPr="00FB4F02">
        <w:rPr>
          <w:rFonts w:ascii="Cambria" w:eastAsia="Times New Roman" w:hAnsi="Cambria" w:cs="Times New Roman"/>
          <w:lang w:val="en-US" w:eastAsia="tr-TR"/>
        </w:rPr>
        <w:lastRenderedPageBreak/>
        <w:t>room for further development of the scale. It needs to be validated across middle school students within different places varying in such variables as socio-economic-status, computer access, school type, and so forth. Because of the attempt to externalize the internal phenomenon, the pure utilization of this scale might not be helpful at all. Instead, this scale can be used as an exploratory tool to discover all possible facets of metacognitive skills associated with Web searching. In addition to this instrument with various subcomponents, students’ logs, reflective journals, performance works, and some other indicators can be included with appropriate tasks in order to reveal the possessed metacognitive skills.</w:t>
      </w:r>
    </w:p>
    <w:p w:rsidR="00C71F46" w:rsidRPr="00FB4F02" w:rsidRDefault="00FB4F02" w:rsidP="00FB4F02">
      <w:pPr>
        <w:spacing w:after="0" w:line="240" w:lineRule="auto"/>
        <w:ind w:firstLine="567"/>
        <w:jc w:val="both"/>
        <w:rPr>
          <w:rFonts w:ascii="Cambria" w:eastAsia="Times New Roman" w:hAnsi="Cambria" w:cs="Times New Roman"/>
          <w:b/>
          <w:lang w:val="en-US" w:eastAsia="tr-TR"/>
        </w:rPr>
      </w:pPr>
      <w:r w:rsidRPr="00FB4F02">
        <w:rPr>
          <w:rFonts w:ascii="Cambria" w:eastAsia="Times New Roman" w:hAnsi="Cambria" w:cs="Times New Roman"/>
          <w:lang w:val="en-US" w:eastAsia="tr-TR"/>
        </w:rPr>
        <w:t>Use of metacognitive skills is essential for a successful information search on the Internet (</w:t>
      </w:r>
      <w:proofErr w:type="spellStart"/>
      <w:r w:rsidRPr="00FB4F02">
        <w:rPr>
          <w:rFonts w:ascii="Cambria" w:eastAsia="Times New Roman" w:hAnsi="Cambria" w:cs="Times New Roman"/>
          <w:lang w:val="en-US" w:eastAsia="tr-TR"/>
        </w:rPr>
        <w:t>Lazonder</w:t>
      </w:r>
      <w:proofErr w:type="spellEnd"/>
      <w:r w:rsidRPr="00FB4F02">
        <w:rPr>
          <w:rFonts w:ascii="Cambria" w:eastAsia="Times New Roman" w:hAnsi="Cambria" w:cs="Times New Roman"/>
          <w:lang w:val="en-US" w:eastAsia="tr-TR"/>
        </w:rPr>
        <w:t xml:space="preserve"> &amp; </w:t>
      </w:r>
      <w:proofErr w:type="spellStart"/>
      <w:r w:rsidRPr="00FB4F02">
        <w:rPr>
          <w:rFonts w:ascii="Cambria" w:eastAsia="Times New Roman" w:hAnsi="Cambria" w:cs="Times New Roman"/>
          <w:lang w:val="en-US" w:eastAsia="tr-TR"/>
        </w:rPr>
        <w:t>Rouet</w:t>
      </w:r>
      <w:proofErr w:type="spellEnd"/>
      <w:r w:rsidRPr="00FB4F02">
        <w:rPr>
          <w:rFonts w:ascii="Cambria" w:eastAsia="Times New Roman" w:hAnsi="Cambria" w:cs="Times New Roman"/>
          <w:lang w:val="en-US" w:eastAsia="tr-TR"/>
        </w:rPr>
        <w:t xml:space="preserve">, 2007; </w:t>
      </w:r>
      <w:proofErr w:type="spellStart"/>
      <w:r w:rsidRPr="00FB4F02">
        <w:rPr>
          <w:rFonts w:ascii="Cambria" w:eastAsia="Times New Roman" w:hAnsi="Cambria" w:cs="Times New Roman"/>
          <w:lang w:val="en-US" w:eastAsia="tr-TR"/>
        </w:rPr>
        <w:t>Tu</w:t>
      </w:r>
      <w:proofErr w:type="spellEnd"/>
      <w:r w:rsidRPr="00FB4F02">
        <w:rPr>
          <w:rFonts w:ascii="Cambria" w:eastAsia="Times New Roman" w:hAnsi="Cambria" w:cs="Times New Roman"/>
          <w:lang w:val="en-US" w:eastAsia="tr-TR"/>
        </w:rPr>
        <w:t>, Shih, &amp; Tsai, 2008), as well as to interpret the search results. Considering online search context as an informal learning environment, learners’ performance can be affected by the way they utilize metacognitive skills as epistemic tools (Mason et al., 2010). In that respect, MSIIS can help identify the potential low performing students especially within the context of conducting Internet searches. In any online learning environment, the issues related to metacognition should be considered as a key aspect of design (Choi, 2016) because the design of interaction can lead to extraneous cognitive load. That is why the interdependence of metacognitive skills with cognitive load should guide the teachers/designers (</w:t>
      </w:r>
      <w:proofErr w:type="spellStart"/>
      <w:r w:rsidRPr="00FB4F02">
        <w:rPr>
          <w:rFonts w:ascii="Cambria" w:eastAsia="Times New Roman" w:hAnsi="Cambria" w:cs="Times New Roman"/>
          <w:lang w:val="en-US" w:eastAsia="tr-TR"/>
        </w:rPr>
        <w:t>Seufert</w:t>
      </w:r>
      <w:proofErr w:type="spellEnd"/>
      <w:r w:rsidRPr="00FB4F02">
        <w:rPr>
          <w:rFonts w:ascii="Cambria" w:eastAsia="Times New Roman" w:hAnsi="Cambria" w:cs="Times New Roman"/>
          <w:lang w:val="en-US" w:eastAsia="tr-TR"/>
        </w:rPr>
        <w:t>, 2018). For example, high MSIIS scores can point automated use of metacognitive strategies, which can bring about less cognitive overload. Despite being a sophisticated process, the learner may not be able to activate metacognitive skills during the Internet search, and thus may just stay within behavioral or procedural zone (Tsai, 2009). The scale can be a starting point to decide on the level of Internet search literacy, which seems very crucial to deal with the high density of information in a deep and sophisticated maze. Analysis of MSIIS can also establish a basis for the design of metacognitive training or scaffolding. Students with low scores might need Internet search scaffolding besides metacognitive scaffolding since the constructs of MSIIS combined both dimensions. Although the main aim of the inventory is to decide on the metacognitive skills during a search performance, it can also help teachers to observe either the epistemic development or the information literacy levels of learners. MSIIS was distributed a limited sample, therefore for further studies it can be administered to a wide range of samples. This can allow multiple comparisons of samples having different technological and educational backgrounds.</w:t>
      </w:r>
    </w:p>
    <w:p w:rsidR="002D5974" w:rsidRPr="00C71F46" w:rsidRDefault="002D5974" w:rsidP="00C71F46">
      <w:pPr>
        <w:spacing w:before="100" w:beforeAutospacing="1" w:after="100" w:afterAutospacing="1" w:line="240" w:lineRule="auto"/>
        <w:rPr>
          <w:rFonts w:ascii="Cambria" w:hAnsi="Cambria" w:cs="Times New Roman"/>
          <w:b/>
        </w:rPr>
      </w:pPr>
      <w:r w:rsidRPr="00C71F46">
        <w:rPr>
          <w:rFonts w:ascii="Cambria" w:hAnsi="Cambria" w:cs="Times New Roman"/>
          <w:b/>
        </w:rPr>
        <w:t>REFERENCES</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Butterfield, E. C., Nelson, T. O. &amp; Peck, V. (1988). Developmental aspects of the feeling of knowing. Developmental Psychology. 24, 654-663.</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Cary, M. &amp; </w:t>
      </w:r>
      <w:proofErr w:type="spellStart"/>
      <w:r w:rsidRPr="00B2665D">
        <w:rPr>
          <w:rFonts w:ascii="Cambria" w:hAnsi="Cambria" w:cs="Times New Roman"/>
          <w:sz w:val="20"/>
          <w:szCs w:val="20"/>
          <w:lang w:val="en-US"/>
        </w:rPr>
        <w:t>Reder</w:t>
      </w:r>
      <w:proofErr w:type="spellEnd"/>
      <w:r w:rsidRPr="00B2665D">
        <w:rPr>
          <w:rFonts w:ascii="Cambria" w:hAnsi="Cambria" w:cs="Times New Roman"/>
          <w:sz w:val="20"/>
          <w:szCs w:val="20"/>
          <w:lang w:val="en-US"/>
        </w:rPr>
        <w:t xml:space="preserve">, L. M. (2002). Metacognition in strategy selection. In </w:t>
      </w:r>
      <w:proofErr w:type="spellStart"/>
      <w:r w:rsidRPr="00B2665D">
        <w:rPr>
          <w:rFonts w:ascii="Cambria" w:hAnsi="Cambria" w:cs="Times New Roman"/>
          <w:sz w:val="20"/>
          <w:szCs w:val="20"/>
          <w:lang w:val="en-US"/>
        </w:rPr>
        <w:t>Chambres</w:t>
      </w:r>
      <w:proofErr w:type="spellEnd"/>
      <w:r w:rsidRPr="00B2665D">
        <w:rPr>
          <w:rFonts w:ascii="Cambria" w:hAnsi="Cambria" w:cs="Times New Roman"/>
          <w:sz w:val="20"/>
          <w:szCs w:val="20"/>
          <w:lang w:val="en-US"/>
        </w:rPr>
        <w:t xml:space="preserve">, P., </w:t>
      </w:r>
      <w:proofErr w:type="spellStart"/>
      <w:r w:rsidRPr="00B2665D">
        <w:rPr>
          <w:rFonts w:ascii="Cambria" w:hAnsi="Cambria" w:cs="Times New Roman"/>
          <w:sz w:val="20"/>
          <w:szCs w:val="20"/>
          <w:lang w:val="en-US"/>
        </w:rPr>
        <w:t>Izaute</w:t>
      </w:r>
      <w:proofErr w:type="spellEnd"/>
      <w:r w:rsidRPr="00B2665D">
        <w:rPr>
          <w:rFonts w:ascii="Cambria" w:hAnsi="Cambria" w:cs="Times New Roman"/>
          <w:sz w:val="20"/>
          <w:szCs w:val="20"/>
          <w:lang w:val="en-US"/>
        </w:rPr>
        <w:t xml:space="preserve">, M., </w:t>
      </w:r>
      <w:proofErr w:type="spellStart"/>
      <w:r w:rsidRPr="00B2665D">
        <w:rPr>
          <w:rFonts w:ascii="Cambria" w:hAnsi="Cambria" w:cs="Times New Roman"/>
          <w:sz w:val="20"/>
          <w:szCs w:val="20"/>
          <w:lang w:val="en-US"/>
        </w:rPr>
        <w:t>Marescaux</w:t>
      </w:r>
      <w:proofErr w:type="spellEnd"/>
      <w:r w:rsidRPr="00B2665D">
        <w:rPr>
          <w:rFonts w:ascii="Cambria" w:hAnsi="Cambria" w:cs="Times New Roman"/>
          <w:sz w:val="20"/>
          <w:szCs w:val="20"/>
          <w:lang w:val="en-US"/>
        </w:rPr>
        <w:t xml:space="preserve">, P.-J. (Eds.), </w:t>
      </w:r>
      <w:r w:rsidRPr="00B2665D">
        <w:rPr>
          <w:rFonts w:ascii="Cambria" w:hAnsi="Cambria" w:cs="Times New Roman"/>
          <w:i/>
          <w:sz w:val="20"/>
          <w:szCs w:val="20"/>
          <w:lang w:val="en-US"/>
        </w:rPr>
        <w:t xml:space="preserve">Metacognition: Process, Function and Use. </w:t>
      </w:r>
      <w:r w:rsidRPr="00B2665D">
        <w:rPr>
          <w:rFonts w:ascii="Cambria" w:hAnsi="Cambria" w:cs="Times New Roman"/>
          <w:sz w:val="20"/>
          <w:szCs w:val="20"/>
          <w:lang w:val="en-US"/>
        </w:rPr>
        <w:t>Kluwer Academic Publishers.</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rPr>
      </w:pPr>
      <w:r w:rsidRPr="00B2665D">
        <w:rPr>
          <w:rFonts w:ascii="Cambria" w:hAnsi="Cambria" w:cs="Times New Roman"/>
          <w:sz w:val="20"/>
          <w:szCs w:val="20"/>
        </w:rPr>
        <w:t xml:space="preserve">Choi, B. (2016). How people learn in an asynchronous online learning environment: The relationships between graduate students’ learning strategies and learning satisfaction. </w:t>
      </w:r>
      <w:r w:rsidRPr="00B2665D">
        <w:rPr>
          <w:rFonts w:ascii="Cambria" w:hAnsi="Cambria" w:cs="Times New Roman"/>
          <w:i/>
          <w:iCs/>
          <w:sz w:val="20"/>
          <w:szCs w:val="20"/>
        </w:rPr>
        <w:t>Canadian Journal of Learning and Technology</w:t>
      </w:r>
      <w:r w:rsidRPr="00B2665D">
        <w:rPr>
          <w:rFonts w:ascii="Cambria" w:hAnsi="Cambria" w:cs="Times New Roman"/>
          <w:sz w:val="20"/>
          <w:szCs w:val="20"/>
        </w:rPr>
        <w:t>, </w:t>
      </w:r>
      <w:r w:rsidRPr="00B2665D">
        <w:rPr>
          <w:rFonts w:ascii="Cambria" w:hAnsi="Cambria" w:cs="Times New Roman"/>
          <w:i/>
          <w:iCs/>
          <w:sz w:val="20"/>
          <w:szCs w:val="20"/>
        </w:rPr>
        <w:t>42</w:t>
      </w:r>
      <w:r w:rsidRPr="00B2665D">
        <w:rPr>
          <w:rFonts w:ascii="Cambria" w:hAnsi="Cambria" w:cs="Times New Roman"/>
          <w:sz w:val="20"/>
          <w:szCs w:val="20"/>
        </w:rPr>
        <w:t>(1), 1-15.</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Costello, A. B. &amp; Osborne, J. W. (2005). Exploratory factor analysis: four recommendations for getting the most from your analysis. Practical Assessment, Research, and Evaluation. 10(7), 1-9.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Coll</w:t>
      </w:r>
      <w:proofErr w:type="spellEnd"/>
      <w:r w:rsidRPr="00B2665D">
        <w:rPr>
          <w:rFonts w:ascii="Cambria" w:hAnsi="Cambria" w:cs="Times New Roman"/>
          <w:sz w:val="20"/>
          <w:szCs w:val="20"/>
          <w:lang w:val="en-US"/>
        </w:rPr>
        <w:t>, R. K., France, B. &amp; Taylor, I. (2005). The role of models &amp; analogies in science education: implications from research. International Journal of Science Education. 27(2), 183-198.</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Dunlosky</w:t>
      </w:r>
      <w:proofErr w:type="spellEnd"/>
      <w:r w:rsidRPr="00B2665D">
        <w:rPr>
          <w:rFonts w:ascii="Cambria" w:hAnsi="Cambria" w:cs="Times New Roman"/>
          <w:sz w:val="20"/>
          <w:szCs w:val="20"/>
          <w:lang w:val="en-US"/>
        </w:rPr>
        <w:t xml:space="preserve">, J., &amp; Metcalfe, J. (2009). </w:t>
      </w:r>
      <w:r w:rsidRPr="00B2665D">
        <w:rPr>
          <w:rFonts w:ascii="Cambria" w:hAnsi="Cambria" w:cs="Times New Roman"/>
          <w:i/>
          <w:iCs/>
          <w:sz w:val="20"/>
          <w:szCs w:val="20"/>
          <w:lang w:val="en-US"/>
        </w:rPr>
        <w:t>Metacognition</w:t>
      </w:r>
      <w:r w:rsidRPr="00B2665D">
        <w:rPr>
          <w:rFonts w:ascii="Cambria" w:hAnsi="Cambria" w:cs="Times New Roman"/>
          <w:sz w:val="20"/>
          <w:szCs w:val="20"/>
          <w:lang w:val="en-US"/>
        </w:rPr>
        <w:t>. Beverly Hills, CA: SAGE.</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Fabrigar</w:t>
      </w:r>
      <w:proofErr w:type="spellEnd"/>
      <w:r w:rsidRPr="00B2665D">
        <w:rPr>
          <w:rFonts w:ascii="Cambria" w:hAnsi="Cambria" w:cs="Times New Roman"/>
          <w:sz w:val="20"/>
          <w:szCs w:val="20"/>
          <w:lang w:val="en-US"/>
        </w:rPr>
        <w:t xml:space="preserve">, L. R., Wegener, D. T., </w:t>
      </w:r>
      <w:proofErr w:type="spellStart"/>
      <w:r w:rsidRPr="00B2665D">
        <w:rPr>
          <w:rFonts w:ascii="Cambria" w:hAnsi="Cambria" w:cs="Times New Roman"/>
          <w:sz w:val="20"/>
          <w:szCs w:val="20"/>
          <w:lang w:val="en-US"/>
        </w:rPr>
        <w:t>MacCallum</w:t>
      </w:r>
      <w:proofErr w:type="spellEnd"/>
      <w:r w:rsidRPr="00B2665D">
        <w:rPr>
          <w:rFonts w:ascii="Cambria" w:hAnsi="Cambria" w:cs="Times New Roman"/>
          <w:sz w:val="20"/>
          <w:szCs w:val="20"/>
          <w:lang w:val="en-US"/>
        </w:rPr>
        <w:t xml:space="preserve">, R. C. &amp; </w:t>
      </w:r>
      <w:proofErr w:type="spellStart"/>
      <w:r w:rsidRPr="00B2665D">
        <w:rPr>
          <w:rFonts w:ascii="Cambria" w:hAnsi="Cambria" w:cs="Times New Roman"/>
          <w:sz w:val="20"/>
          <w:szCs w:val="20"/>
          <w:lang w:val="en-US"/>
        </w:rPr>
        <w:t>Strahan</w:t>
      </w:r>
      <w:proofErr w:type="spellEnd"/>
      <w:r w:rsidRPr="00B2665D">
        <w:rPr>
          <w:rFonts w:ascii="Cambria" w:hAnsi="Cambria" w:cs="Times New Roman"/>
          <w:sz w:val="20"/>
          <w:szCs w:val="20"/>
          <w:lang w:val="en-US"/>
        </w:rPr>
        <w:t>, E. J. (1999). Evaluating the use of exploratory factor analysis in psychological research. Psychological Methods. 4, 272-299.</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Field, A. (2005). Discovering statistics using SPSS. London: Sage.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Flavell</w:t>
      </w:r>
      <w:proofErr w:type="spellEnd"/>
      <w:r w:rsidRPr="00B2665D">
        <w:rPr>
          <w:rFonts w:ascii="Cambria" w:hAnsi="Cambria" w:cs="Times New Roman"/>
          <w:sz w:val="20"/>
          <w:szCs w:val="20"/>
          <w:lang w:val="en-US"/>
        </w:rPr>
        <w:t>, J. H. (1976) Metacognitive aspects of problem solving. In L. B. Resnick (Ed.), The nature of intelligence (pp.231-236). Hillsdale, NJ: Erlbaum</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lastRenderedPageBreak/>
        <w:t>Flavell</w:t>
      </w:r>
      <w:proofErr w:type="spellEnd"/>
      <w:r w:rsidRPr="00B2665D">
        <w:rPr>
          <w:rFonts w:ascii="Cambria" w:hAnsi="Cambria" w:cs="Times New Roman"/>
          <w:sz w:val="20"/>
          <w:szCs w:val="20"/>
          <w:lang w:val="en-US"/>
        </w:rPr>
        <w:t>, J. H. (1979). Metacognition and cognitive monitoring: a new area of cognitive-developmental inquiry. American Psychologist. 34(10), 906-911.</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Fortunato, I., Hecht, D., Tittle, C. &amp; Alvarez, L. (1991). Metacognition and problem solving. Arithmetic Teacher. 39(4), 38-40.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Garrett, A.J., </w:t>
      </w:r>
      <w:proofErr w:type="spellStart"/>
      <w:r w:rsidRPr="00B2665D">
        <w:rPr>
          <w:rFonts w:ascii="Cambria" w:hAnsi="Cambria" w:cs="Times New Roman"/>
          <w:sz w:val="20"/>
          <w:szCs w:val="20"/>
          <w:lang w:val="en-US"/>
        </w:rPr>
        <w:t>Mazzocco</w:t>
      </w:r>
      <w:proofErr w:type="spellEnd"/>
      <w:r w:rsidRPr="00B2665D">
        <w:rPr>
          <w:rFonts w:ascii="Cambria" w:hAnsi="Cambria" w:cs="Times New Roman"/>
          <w:sz w:val="20"/>
          <w:szCs w:val="20"/>
          <w:lang w:val="en-US"/>
        </w:rPr>
        <w:t>, M. M. M. &amp; Baker, L. (2006). Development of the metacognitive skills of prediction and evaluation in children with and without math disability. Learning Disabilities Research and Practice. 21(2), 77-88.</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Gredler</w:t>
      </w:r>
      <w:proofErr w:type="spellEnd"/>
      <w:r w:rsidRPr="00B2665D">
        <w:rPr>
          <w:rFonts w:ascii="Cambria" w:hAnsi="Cambria" w:cs="Times New Roman"/>
          <w:sz w:val="20"/>
          <w:szCs w:val="20"/>
          <w:lang w:val="en-US"/>
        </w:rPr>
        <w:t xml:space="preserve">, M. E. (2009). </w:t>
      </w:r>
      <w:r w:rsidRPr="00B2665D">
        <w:rPr>
          <w:rFonts w:ascii="Cambria" w:hAnsi="Cambria" w:cs="Times New Roman"/>
          <w:i/>
          <w:iCs/>
          <w:sz w:val="20"/>
          <w:szCs w:val="20"/>
          <w:lang w:val="en-US"/>
        </w:rPr>
        <w:t>Learning and instruction: Theory into practice</w:t>
      </w:r>
      <w:r w:rsidRPr="00B2665D">
        <w:rPr>
          <w:rFonts w:ascii="Cambria" w:hAnsi="Cambria" w:cs="Times New Roman"/>
          <w:sz w:val="20"/>
          <w:szCs w:val="20"/>
          <w:lang w:val="en-US"/>
        </w:rPr>
        <w:t xml:space="preserve"> (6th ed.). New York: Prentice Hall.</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Hair, J., F., Anderson, R. E., Tatham, R. L. &amp; Black, W. C. (2005). Multivariate Data Analysis (6</w:t>
      </w:r>
      <w:r w:rsidRPr="00B2665D">
        <w:rPr>
          <w:rFonts w:ascii="Cambria" w:hAnsi="Cambria" w:cs="Times New Roman"/>
          <w:sz w:val="20"/>
          <w:szCs w:val="20"/>
          <w:vertAlign w:val="superscript"/>
          <w:lang w:val="en-US"/>
        </w:rPr>
        <w:t>th</w:t>
      </w:r>
      <w:r w:rsidRPr="00B2665D">
        <w:rPr>
          <w:rFonts w:ascii="Cambria" w:hAnsi="Cambria" w:cs="Times New Roman"/>
          <w:sz w:val="20"/>
          <w:szCs w:val="20"/>
          <w:lang w:val="en-US"/>
        </w:rPr>
        <w:t xml:space="preserve"> ed.). Prentice-Hall: Upper Saddle River.</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Jöreskog</w:t>
      </w:r>
      <w:proofErr w:type="spellEnd"/>
      <w:r w:rsidRPr="00B2665D">
        <w:rPr>
          <w:rFonts w:ascii="Cambria" w:hAnsi="Cambria" w:cs="Times New Roman"/>
          <w:sz w:val="20"/>
          <w:szCs w:val="20"/>
          <w:lang w:val="en-US"/>
        </w:rPr>
        <w:t xml:space="preserve">, K. G. &amp; </w:t>
      </w:r>
      <w:proofErr w:type="spellStart"/>
      <w:r w:rsidRPr="00B2665D">
        <w:rPr>
          <w:rFonts w:ascii="Cambria" w:hAnsi="Cambria" w:cs="Times New Roman"/>
          <w:sz w:val="20"/>
          <w:szCs w:val="20"/>
          <w:lang w:val="en-US"/>
        </w:rPr>
        <w:t>Sörbom</w:t>
      </w:r>
      <w:proofErr w:type="spellEnd"/>
      <w:r w:rsidRPr="00B2665D">
        <w:rPr>
          <w:rFonts w:ascii="Cambria" w:hAnsi="Cambria" w:cs="Times New Roman"/>
          <w:sz w:val="20"/>
          <w:szCs w:val="20"/>
          <w:lang w:val="en-US"/>
        </w:rPr>
        <w:t>, D. (1993). LISREL 8: Structural equation modeling with the SIMPLIS command language. Lawrence Erlbaum Associates, Hillsdale, NJ.</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Kluwe</w:t>
      </w:r>
      <w:proofErr w:type="spellEnd"/>
      <w:r w:rsidRPr="00B2665D">
        <w:rPr>
          <w:rFonts w:ascii="Cambria" w:hAnsi="Cambria" w:cs="Times New Roman"/>
          <w:sz w:val="20"/>
          <w:szCs w:val="20"/>
          <w:lang w:val="en-US"/>
        </w:rPr>
        <w:t xml:space="preserve">, R. H. (1982). Cognitive knowledge and executive control: Metacognition. In Griffin, D. R. (Ed.), </w:t>
      </w:r>
      <w:r w:rsidRPr="00B2665D">
        <w:rPr>
          <w:rFonts w:ascii="Cambria" w:hAnsi="Cambria" w:cs="Times New Roman"/>
          <w:i/>
          <w:sz w:val="20"/>
          <w:szCs w:val="20"/>
          <w:lang w:val="en-US"/>
        </w:rPr>
        <w:t xml:space="preserve">Animal Mind-Human Mind. </w:t>
      </w:r>
      <w:r w:rsidRPr="00B2665D">
        <w:rPr>
          <w:rFonts w:ascii="Cambria" w:hAnsi="Cambria" w:cs="Times New Roman"/>
          <w:sz w:val="20"/>
          <w:szCs w:val="20"/>
          <w:lang w:val="en-US"/>
        </w:rPr>
        <w:t>New York: Springer-</w:t>
      </w:r>
      <w:proofErr w:type="spellStart"/>
      <w:r w:rsidRPr="00B2665D">
        <w:rPr>
          <w:rFonts w:ascii="Cambria" w:hAnsi="Cambria" w:cs="Times New Roman"/>
          <w:sz w:val="20"/>
          <w:szCs w:val="20"/>
          <w:lang w:val="en-US"/>
        </w:rPr>
        <w:t>Verlag</w:t>
      </w:r>
      <w:proofErr w:type="spellEnd"/>
      <w:r w:rsidRPr="00B2665D">
        <w:rPr>
          <w:rFonts w:ascii="Cambria" w:hAnsi="Cambria" w:cs="Times New Roman"/>
          <w:sz w:val="20"/>
          <w:szCs w:val="20"/>
          <w:lang w:val="en-US"/>
        </w:rPr>
        <w:t>.</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Kujawa</w:t>
      </w:r>
      <w:proofErr w:type="spellEnd"/>
      <w:r w:rsidRPr="00B2665D">
        <w:rPr>
          <w:rFonts w:ascii="Cambria" w:hAnsi="Cambria" w:cs="Times New Roman"/>
          <w:sz w:val="20"/>
          <w:szCs w:val="20"/>
          <w:lang w:val="en-US"/>
        </w:rPr>
        <w:t xml:space="preserve">, S. &amp; </w:t>
      </w:r>
      <w:proofErr w:type="spellStart"/>
      <w:r w:rsidRPr="00B2665D">
        <w:rPr>
          <w:rFonts w:ascii="Cambria" w:hAnsi="Cambria" w:cs="Times New Roman"/>
          <w:sz w:val="20"/>
          <w:szCs w:val="20"/>
          <w:lang w:val="en-US"/>
        </w:rPr>
        <w:t>Huske</w:t>
      </w:r>
      <w:proofErr w:type="spellEnd"/>
      <w:r w:rsidRPr="00B2665D">
        <w:rPr>
          <w:rFonts w:ascii="Cambria" w:hAnsi="Cambria" w:cs="Times New Roman"/>
          <w:sz w:val="20"/>
          <w:szCs w:val="20"/>
          <w:lang w:val="en-US"/>
        </w:rPr>
        <w:t>, L. (1995). The Strategic Teaching and Reading Project Guidebook (Rev. ed.). Oak Brook, IL: North Central Regional. Educational Laboratory.</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Lazonder</w:t>
      </w:r>
      <w:proofErr w:type="spellEnd"/>
      <w:r w:rsidRPr="00B2665D">
        <w:rPr>
          <w:rFonts w:ascii="Cambria" w:hAnsi="Cambria" w:cs="Times New Roman"/>
          <w:sz w:val="20"/>
          <w:szCs w:val="20"/>
          <w:lang w:val="en-US"/>
        </w:rPr>
        <w:t xml:space="preserve">, A. W. &amp; </w:t>
      </w:r>
      <w:proofErr w:type="spellStart"/>
      <w:r w:rsidRPr="00B2665D">
        <w:rPr>
          <w:rFonts w:ascii="Cambria" w:hAnsi="Cambria" w:cs="Times New Roman"/>
          <w:sz w:val="20"/>
          <w:szCs w:val="20"/>
          <w:lang w:val="en-US"/>
        </w:rPr>
        <w:t>Rouet</w:t>
      </w:r>
      <w:proofErr w:type="spellEnd"/>
      <w:r w:rsidRPr="00B2665D">
        <w:rPr>
          <w:rFonts w:ascii="Cambria" w:hAnsi="Cambria" w:cs="Times New Roman"/>
          <w:sz w:val="20"/>
          <w:szCs w:val="20"/>
          <w:lang w:val="en-US"/>
        </w:rPr>
        <w:t>, J.-F. (2007). Information problem solving instruction: some cognitive and metacognitive issues. Computers in Human Behavior. 24, 753-765.</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Lynn, M.R. (1986). Determination and quantification of content validity. Nursing Research, 35, 382– 385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rPr>
      </w:pPr>
      <w:r w:rsidRPr="00B2665D">
        <w:rPr>
          <w:rFonts w:ascii="Cambria" w:hAnsi="Cambria" w:cs="Times New Roman"/>
          <w:sz w:val="20"/>
          <w:szCs w:val="20"/>
        </w:rPr>
        <w:t>Mason, L., Boldrin, A., &amp; Ariasi, N. (2010). Searching the Web to learn about a controversial topic: are students epistemically active?. </w:t>
      </w:r>
      <w:r w:rsidRPr="00B2665D">
        <w:rPr>
          <w:rFonts w:ascii="Cambria" w:hAnsi="Cambria" w:cs="Times New Roman"/>
          <w:i/>
          <w:iCs/>
          <w:sz w:val="20"/>
          <w:szCs w:val="20"/>
        </w:rPr>
        <w:t>Instructional Science</w:t>
      </w:r>
      <w:r w:rsidRPr="00B2665D">
        <w:rPr>
          <w:rFonts w:ascii="Cambria" w:hAnsi="Cambria" w:cs="Times New Roman"/>
          <w:sz w:val="20"/>
          <w:szCs w:val="20"/>
        </w:rPr>
        <w:t>, </w:t>
      </w:r>
      <w:r w:rsidRPr="00B2665D">
        <w:rPr>
          <w:rFonts w:ascii="Cambria" w:hAnsi="Cambria" w:cs="Times New Roman"/>
          <w:i/>
          <w:iCs/>
          <w:sz w:val="20"/>
          <w:szCs w:val="20"/>
        </w:rPr>
        <w:t>38</w:t>
      </w:r>
      <w:r w:rsidRPr="00B2665D">
        <w:rPr>
          <w:rFonts w:ascii="Cambria" w:hAnsi="Cambria" w:cs="Times New Roman"/>
          <w:sz w:val="20"/>
          <w:szCs w:val="20"/>
        </w:rPr>
        <w:t>(6), 607-633.</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Mazzoni</w:t>
      </w:r>
      <w:proofErr w:type="spellEnd"/>
      <w:r w:rsidRPr="00B2665D">
        <w:rPr>
          <w:rFonts w:ascii="Cambria" w:hAnsi="Cambria" w:cs="Times New Roman"/>
          <w:sz w:val="20"/>
          <w:szCs w:val="20"/>
          <w:lang w:val="en-US"/>
        </w:rPr>
        <w:t xml:space="preserve">, G. &amp; Kirsch, I. (2002). Autobiographical memories and beliefs: A preliminary metacognitive model. In T. Perfect &amp; B. Schwartz (Eds.). </w:t>
      </w:r>
      <w:r w:rsidRPr="00B2665D">
        <w:rPr>
          <w:rFonts w:ascii="Cambria" w:hAnsi="Cambria" w:cs="Times New Roman"/>
          <w:i/>
          <w:sz w:val="20"/>
          <w:szCs w:val="20"/>
          <w:lang w:val="en-US"/>
        </w:rPr>
        <w:t xml:space="preserve">Applied Metacognition </w:t>
      </w:r>
      <w:r w:rsidRPr="00B2665D">
        <w:rPr>
          <w:rFonts w:ascii="Cambria" w:hAnsi="Cambria" w:cs="Times New Roman"/>
          <w:sz w:val="20"/>
          <w:szCs w:val="20"/>
          <w:lang w:val="en-US"/>
        </w:rPr>
        <w:t>(pp.121-145)</w:t>
      </w:r>
      <w:r w:rsidRPr="00B2665D">
        <w:rPr>
          <w:rFonts w:ascii="Cambria" w:hAnsi="Cambria" w:cs="Times New Roman"/>
          <w:i/>
          <w:sz w:val="20"/>
          <w:szCs w:val="20"/>
          <w:lang w:val="en-US"/>
        </w:rPr>
        <w:t xml:space="preserve">. </w:t>
      </w:r>
      <w:r w:rsidRPr="00B2665D">
        <w:rPr>
          <w:rFonts w:ascii="Cambria" w:hAnsi="Cambria" w:cs="Times New Roman"/>
          <w:sz w:val="20"/>
          <w:szCs w:val="20"/>
          <w:lang w:val="en-US"/>
        </w:rPr>
        <w:t>Cambridge University Press.</w:t>
      </w:r>
      <w:r w:rsidRPr="00B2665D">
        <w:rPr>
          <w:rFonts w:ascii="Cambria" w:hAnsi="Cambria" w:cs="Times New Roman"/>
          <w:i/>
          <w:sz w:val="20"/>
          <w:szCs w:val="20"/>
          <w:lang w:val="en-US"/>
        </w:rPr>
        <w:t xml:space="preserve"> </w:t>
      </w:r>
      <w:r w:rsidRPr="00B2665D">
        <w:rPr>
          <w:rFonts w:ascii="Cambria" w:hAnsi="Cambria" w:cs="Times New Roman"/>
          <w:sz w:val="20"/>
          <w:szCs w:val="20"/>
          <w:lang w:val="en-US"/>
        </w:rPr>
        <w:t xml:space="preserve">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McAlpine</w:t>
      </w:r>
      <w:proofErr w:type="spellEnd"/>
      <w:r w:rsidRPr="00B2665D">
        <w:rPr>
          <w:rFonts w:ascii="Cambria" w:hAnsi="Cambria" w:cs="Times New Roman"/>
          <w:sz w:val="20"/>
          <w:szCs w:val="20"/>
          <w:lang w:val="en-US"/>
        </w:rPr>
        <w:t xml:space="preserve">, L., Weston, C., Beauchamp, J., Wiseman, C. &amp; Beauchamp, C. (1999). Building a metacognitive model of reﬂection. </w:t>
      </w:r>
      <w:r w:rsidRPr="00B2665D">
        <w:rPr>
          <w:rFonts w:ascii="Cambria" w:hAnsi="Cambria" w:cs="Times New Roman"/>
          <w:i/>
          <w:sz w:val="20"/>
          <w:szCs w:val="20"/>
          <w:lang w:val="en-US"/>
        </w:rPr>
        <w:t xml:space="preserve">Higher Education, 37, </w:t>
      </w:r>
      <w:r w:rsidRPr="00B2665D">
        <w:rPr>
          <w:rFonts w:ascii="Cambria" w:hAnsi="Cambria" w:cs="Times New Roman"/>
          <w:sz w:val="20"/>
          <w:szCs w:val="20"/>
          <w:lang w:val="en-US"/>
        </w:rPr>
        <w:t>105-131.</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Mok</w:t>
      </w:r>
      <w:proofErr w:type="spellEnd"/>
      <w:r w:rsidRPr="00B2665D">
        <w:rPr>
          <w:rFonts w:ascii="Cambria" w:hAnsi="Cambria" w:cs="Times New Roman"/>
          <w:sz w:val="20"/>
          <w:szCs w:val="20"/>
          <w:lang w:val="en-US"/>
        </w:rPr>
        <w:t>, Y. F., Fan, R. M-T. &amp; Pang, N. S-K. (2007). Developmental patterns of school students’ motivational- and cognitive-metacognitive competencies. Educational Studies. 33(1), 81-98.</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Nelson, T. O. &amp; </w:t>
      </w:r>
      <w:proofErr w:type="spellStart"/>
      <w:r w:rsidRPr="00B2665D">
        <w:rPr>
          <w:rFonts w:ascii="Cambria" w:hAnsi="Cambria" w:cs="Times New Roman"/>
          <w:sz w:val="20"/>
          <w:szCs w:val="20"/>
          <w:lang w:val="en-US"/>
        </w:rPr>
        <w:t>Narens</w:t>
      </w:r>
      <w:proofErr w:type="spellEnd"/>
      <w:r w:rsidRPr="00B2665D">
        <w:rPr>
          <w:rFonts w:ascii="Cambria" w:hAnsi="Cambria" w:cs="Times New Roman"/>
          <w:sz w:val="20"/>
          <w:szCs w:val="20"/>
          <w:lang w:val="en-US"/>
        </w:rPr>
        <w:t xml:space="preserve">, L. (1990). </w:t>
      </w:r>
      <w:proofErr w:type="spellStart"/>
      <w:r w:rsidRPr="00B2665D">
        <w:rPr>
          <w:rFonts w:ascii="Cambria" w:hAnsi="Cambria" w:cs="Times New Roman"/>
          <w:sz w:val="20"/>
          <w:szCs w:val="20"/>
          <w:lang w:val="en-US"/>
        </w:rPr>
        <w:t>Metamemory</w:t>
      </w:r>
      <w:proofErr w:type="spellEnd"/>
      <w:r w:rsidRPr="00B2665D">
        <w:rPr>
          <w:rFonts w:ascii="Cambria" w:hAnsi="Cambria" w:cs="Times New Roman"/>
          <w:sz w:val="20"/>
          <w:szCs w:val="20"/>
          <w:lang w:val="en-US"/>
        </w:rPr>
        <w:t>: a theoretical framework and new findings. The Psychology of Learning &amp; Motivation. 26, 125-141.</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O'Connor, B. P. (2000). SPSS and SAS programs for determining the number of components using parallel analysis and </w:t>
      </w:r>
      <w:proofErr w:type="spellStart"/>
      <w:r w:rsidRPr="00B2665D">
        <w:rPr>
          <w:rFonts w:ascii="Cambria" w:hAnsi="Cambria" w:cs="Times New Roman"/>
          <w:sz w:val="20"/>
          <w:szCs w:val="20"/>
          <w:lang w:val="en-US"/>
        </w:rPr>
        <w:t>Velicer's</w:t>
      </w:r>
      <w:proofErr w:type="spellEnd"/>
      <w:r w:rsidRPr="00B2665D">
        <w:rPr>
          <w:rFonts w:ascii="Cambria" w:hAnsi="Cambria" w:cs="Times New Roman"/>
          <w:sz w:val="20"/>
          <w:szCs w:val="20"/>
          <w:lang w:val="en-US"/>
        </w:rPr>
        <w:t xml:space="preserve"> MAP test. </w:t>
      </w:r>
      <w:hyperlink r:id="rId15" w:history="1">
        <w:r w:rsidRPr="00B2665D">
          <w:rPr>
            <w:rStyle w:val="Hyperlink"/>
            <w:rFonts w:ascii="Cambria" w:hAnsi="Cambria" w:cs="Times New Roman"/>
            <w:i/>
            <w:iCs/>
            <w:sz w:val="20"/>
            <w:szCs w:val="20"/>
            <w:lang w:val="en-US"/>
          </w:rPr>
          <w:t>Behavior Research Methods, Instrumentation, and Computers</w:t>
        </w:r>
      </w:hyperlink>
      <w:r w:rsidRPr="00B2665D">
        <w:rPr>
          <w:rFonts w:ascii="Cambria" w:hAnsi="Cambria" w:cs="Times New Roman"/>
          <w:i/>
          <w:iCs/>
          <w:sz w:val="20"/>
          <w:szCs w:val="20"/>
          <w:lang w:val="en-US"/>
        </w:rPr>
        <w:t>, 32,</w:t>
      </w:r>
      <w:r w:rsidRPr="00B2665D">
        <w:rPr>
          <w:rFonts w:ascii="Cambria" w:hAnsi="Cambria" w:cs="Times New Roman"/>
          <w:sz w:val="20"/>
          <w:szCs w:val="20"/>
          <w:lang w:val="en-US"/>
        </w:rPr>
        <w:t> 396-402.</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O’Neil, Jr. H. F. &amp; </w:t>
      </w:r>
      <w:proofErr w:type="spellStart"/>
      <w:r w:rsidRPr="00B2665D">
        <w:rPr>
          <w:rFonts w:ascii="Cambria" w:hAnsi="Cambria" w:cs="Times New Roman"/>
          <w:sz w:val="20"/>
          <w:szCs w:val="20"/>
          <w:lang w:val="en-US"/>
        </w:rPr>
        <w:t>Abedi</w:t>
      </w:r>
      <w:proofErr w:type="spellEnd"/>
      <w:r w:rsidRPr="00B2665D">
        <w:rPr>
          <w:rFonts w:ascii="Cambria" w:hAnsi="Cambria" w:cs="Times New Roman"/>
          <w:sz w:val="20"/>
          <w:szCs w:val="20"/>
          <w:lang w:val="en-US"/>
        </w:rPr>
        <w:t>, J. (1996). Reliability and validity of a state metacognitive inventory: potential for alternative assessment. The Journal of Educational Research. 89(9), 234-243.</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Pallant</w:t>
      </w:r>
      <w:proofErr w:type="spellEnd"/>
      <w:r w:rsidRPr="00B2665D">
        <w:rPr>
          <w:rFonts w:ascii="Cambria" w:hAnsi="Cambria" w:cs="Times New Roman"/>
          <w:sz w:val="20"/>
          <w:szCs w:val="20"/>
          <w:lang w:val="en-US"/>
        </w:rPr>
        <w:t>, J. (2001). SPSS survival manual. Buckingham, UK: Open University.</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Perfect. T. J. &amp; Schwartz. B.L. (2002). </w:t>
      </w:r>
      <w:r w:rsidRPr="00B2665D">
        <w:rPr>
          <w:rFonts w:ascii="Cambria" w:hAnsi="Cambria" w:cs="Times New Roman"/>
          <w:i/>
          <w:sz w:val="20"/>
          <w:szCs w:val="20"/>
          <w:lang w:val="en-US"/>
        </w:rPr>
        <w:t>Applied Metacognition</w:t>
      </w:r>
      <w:r w:rsidRPr="00B2665D">
        <w:rPr>
          <w:rFonts w:ascii="Cambria" w:hAnsi="Cambria" w:cs="Times New Roman"/>
          <w:sz w:val="20"/>
          <w:szCs w:val="20"/>
          <w:lang w:val="en-US"/>
        </w:rPr>
        <w:t>. Cambridge University Press.</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Pintrich</w:t>
      </w:r>
      <w:proofErr w:type="spellEnd"/>
      <w:r w:rsidRPr="00B2665D">
        <w:rPr>
          <w:rFonts w:ascii="Cambria" w:hAnsi="Cambria" w:cs="Times New Roman"/>
          <w:sz w:val="20"/>
          <w:szCs w:val="20"/>
          <w:lang w:val="en-US"/>
        </w:rPr>
        <w:t xml:space="preserve">, P. R., Smith, D. A. F., Garcia, T. &amp; </w:t>
      </w:r>
      <w:proofErr w:type="spellStart"/>
      <w:r w:rsidRPr="00B2665D">
        <w:rPr>
          <w:rFonts w:ascii="Cambria" w:hAnsi="Cambria" w:cs="Times New Roman"/>
          <w:sz w:val="20"/>
          <w:szCs w:val="20"/>
          <w:lang w:val="en-US"/>
        </w:rPr>
        <w:t>McKeachie</w:t>
      </w:r>
      <w:proofErr w:type="spellEnd"/>
      <w:r w:rsidRPr="00B2665D">
        <w:rPr>
          <w:rFonts w:ascii="Cambria" w:hAnsi="Cambria" w:cs="Times New Roman"/>
          <w:sz w:val="20"/>
          <w:szCs w:val="20"/>
          <w:lang w:val="en-US"/>
        </w:rPr>
        <w:t xml:space="preserve">, W.J. (1991). Self-regulated learning strategies. Retrieved on Oct. 3. 2008 from </w:t>
      </w:r>
      <w:hyperlink r:id="rId16" w:history="1">
        <w:r w:rsidRPr="00B2665D">
          <w:rPr>
            <w:rStyle w:val="Hyperlink"/>
            <w:rFonts w:ascii="Cambria" w:hAnsi="Cambria" w:cs="Times New Roman"/>
            <w:sz w:val="20"/>
            <w:szCs w:val="20"/>
            <w:lang w:val="en-US"/>
          </w:rPr>
          <w:t>http://www.jan.ucc.nau.edu</w:t>
        </w:r>
      </w:hyperlink>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Preacher, K. J. &amp; </w:t>
      </w:r>
      <w:proofErr w:type="spellStart"/>
      <w:r w:rsidRPr="00B2665D">
        <w:rPr>
          <w:rFonts w:ascii="Cambria" w:hAnsi="Cambria" w:cs="Times New Roman"/>
          <w:sz w:val="20"/>
          <w:szCs w:val="20"/>
          <w:lang w:val="en-US"/>
        </w:rPr>
        <w:t>MacCallum</w:t>
      </w:r>
      <w:proofErr w:type="spellEnd"/>
      <w:r w:rsidRPr="00B2665D">
        <w:rPr>
          <w:rFonts w:ascii="Cambria" w:hAnsi="Cambria" w:cs="Times New Roman"/>
          <w:sz w:val="20"/>
          <w:szCs w:val="20"/>
          <w:lang w:val="en-US"/>
        </w:rPr>
        <w:t>, R. C. (2003). Repairing Tom Swift’s electric factor analysis machine. Understanding Statistics. 2, 13-32.</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Prins</w:t>
      </w:r>
      <w:proofErr w:type="spellEnd"/>
      <w:r w:rsidRPr="00B2665D">
        <w:rPr>
          <w:rFonts w:ascii="Cambria" w:hAnsi="Cambria" w:cs="Times New Roman"/>
          <w:sz w:val="20"/>
          <w:szCs w:val="20"/>
          <w:lang w:val="en-US"/>
        </w:rPr>
        <w:t xml:space="preserve">, F. J., </w:t>
      </w:r>
      <w:proofErr w:type="spellStart"/>
      <w:r w:rsidRPr="00B2665D">
        <w:rPr>
          <w:rFonts w:ascii="Cambria" w:hAnsi="Cambria" w:cs="Times New Roman"/>
          <w:sz w:val="20"/>
          <w:szCs w:val="20"/>
          <w:lang w:val="en-US"/>
        </w:rPr>
        <w:t>Veenman</w:t>
      </w:r>
      <w:proofErr w:type="spellEnd"/>
      <w:r w:rsidRPr="00B2665D">
        <w:rPr>
          <w:rFonts w:ascii="Cambria" w:hAnsi="Cambria" w:cs="Times New Roman"/>
          <w:sz w:val="20"/>
          <w:szCs w:val="20"/>
          <w:lang w:val="en-US"/>
        </w:rPr>
        <w:t xml:space="preserve">. M.V.J. &amp; </w:t>
      </w:r>
      <w:proofErr w:type="spellStart"/>
      <w:r w:rsidRPr="00B2665D">
        <w:rPr>
          <w:rFonts w:ascii="Cambria" w:hAnsi="Cambria" w:cs="Times New Roman"/>
          <w:sz w:val="20"/>
          <w:szCs w:val="20"/>
          <w:lang w:val="en-US"/>
        </w:rPr>
        <w:t>Elshout</w:t>
      </w:r>
      <w:proofErr w:type="spellEnd"/>
      <w:r w:rsidRPr="00B2665D">
        <w:rPr>
          <w:rFonts w:ascii="Cambria" w:hAnsi="Cambria" w:cs="Times New Roman"/>
          <w:sz w:val="20"/>
          <w:szCs w:val="20"/>
          <w:lang w:val="en-US"/>
        </w:rPr>
        <w:t xml:space="preserve">. J.J. (2006). The impact of intellectual ability and metacognition on learning: new support for the threshold of </w:t>
      </w:r>
      <w:proofErr w:type="spellStart"/>
      <w:r w:rsidRPr="00B2665D">
        <w:rPr>
          <w:rFonts w:ascii="Cambria" w:hAnsi="Cambria" w:cs="Times New Roman"/>
          <w:sz w:val="20"/>
          <w:szCs w:val="20"/>
          <w:lang w:val="en-US"/>
        </w:rPr>
        <w:t>problemacity</w:t>
      </w:r>
      <w:proofErr w:type="spellEnd"/>
      <w:r w:rsidRPr="00B2665D">
        <w:rPr>
          <w:rFonts w:ascii="Cambria" w:hAnsi="Cambria" w:cs="Times New Roman"/>
          <w:sz w:val="20"/>
          <w:szCs w:val="20"/>
          <w:lang w:val="en-US"/>
        </w:rPr>
        <w:t xml:space="preserve"> theory. Learning and Instruction. 16(4), 374-387.</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Quintana, C., Zhang, M. &amp; </w:t>
      </w:r>
      <w:proofErr w:type="spellStart"/>
      <w:r w:rsidRPr="00B2665D">
        <w:rPr>
          <w:rFonts w:ascii="Cambria" w:hAnsi="Cambria" w:cs="Times New Roman"/>
          <w:sz w:val="20"/>
          <w:szCs w:val="20"/>
          <w:lang w:val="en-US"/>
        </w:rPr>
        <w:t>Krajcik</w:t>
      </w:r>
      <w:proofErr w:type="spellEnd"/>
      <w:r w:rsidRPr="00B2665D">
        <w:rPr>
          <w:rFonts w:ascii="Cambria" w:hAnsi="Cambria" w:cs="Times New Roman"/>
          <w:sz w:val="20"/>
          <w:szCs w:val="20"/>
          <w:lang w:val="en-US"/>
        </w:rPr>
        <w:t>, J. (2005). A framework for supporting metacognitive aspects of online inquiry through software-based scaffolding. Educational Psychologist. 40(4), 235-244.</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lastRenderedPageBreak/>
        <w:t>Roedel</w:t>
      </w:r>
      <w:proofErr w:type="spellEnd"/>
      <w:r w:rsidRPr="00B2665D">
        <w:rPr>
          <w:rFonts w:ascii="Cambria" w:hAnsi="Cambria" w:cs="Times New Roman"/>
          <w:sz w:val="20"/>
          <w:szCs w:val="20"/>
          <w:lang w:val="en-US"/>
        </w:rPr>
        <w:t xml:space="preserve">, T., Schraw, G. &amp; </w:t>
      </w:r>
      <w:proofErr w:type="spellStart"/>
      <w:r w:rsidRPr="00B2665D">
        <w:rPr>
          <w:rFonts w:ascii="Cambria" w:hAnsi="Cambria" w:cs="Times New Roman"/>
          <w:sz w:val="20"/>
          <w:szCs w:val="20"/>
          <w:lang w:val="en-US"/>
        </w:rPr>
        <w:t>Plake</w:t>
      </w:r>
      <w:proofErr w:type="spellEnd"/>
      <w:r w:rsidRPr="00B2665D">
        <w:rPr>
          <w:rFonts w:ascii="Cambria" w:hAnsi="Cambria" w:cs="Times New Roman"/>
          <w:sz w:val="20"/>
          <w:szCs w:val="20"/>
          <w:lang w:val="en-US"/>
        </w:rPr>
        <w:t>, B.S. (1994). Validation of a measure of learning and performance goal orientation. Educational and Psychological Measurement. 54(4), 1013-1021.</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rPr>
      </w:pPr>
      <w:r w:rsidRPr="00B2665D">
        <w:rPr>
          <w:rFonts w:ascii="Cambria" w:hAnsi="Cambria" w:cs="Times New Roman"/>
          <w:sz w:val="20"/>
          <w:szCs w:val="20"/>
        </w:rPr>
        <w:t>Ross, M. E., Green, S. B., Salisbury-Glennon, J. D., &amp; Tollefson, N. (2006). College students' study strategies as a function of testing: An investigation into metacognitive self-regulation. </w:t>
      </w:r>
      <w:r w:rsidRPr="00B2665D">
        <w:rPr>
          <w:rFonts w:ascii="Cambria" w:hAnsi="Cambria" w:cs="Times New Roman"/>
          <w:i/>
          <w:iCs/>
          <w:sz w:val="20"/>
          <w:szCs w:val="20"/>
        </w:rPr>
        <w:t>Innovative Higher Education</w:t>
      </w:r>
      <w:r w:rsidRPr="00B2665D">
        <w:rPr>
          <w:rFonts w:ascii="Cambria" w:hAnsi="Cambria" w:cs="Times New Roman"/>
          <w:sz w:val="20"/>
          <w:szCs w:val="20"/>
        </w:rPr>
        <w:t>, </w:t>
      </w:r>
      <w:r w:rsidRPr="00B2665D">
        <w:rPr>
          <w:rFonts w:ascii="Cambria" w:hAnsi="Cambria" w:cs="Times New Roman"/>
          <w:i/>
          <w:iCs/>
          <w:sz w:val="20"/>
          <w:szCs w:val="20"/>
        </w:rPr>
        <w:t>30</w:t>
      </w:r>
      <w:r w:rsidRPr="00B2665D">
        <w:rPr>
          <w:rFonts w:ascii="Cambria" w:hAnsi="Cambria" w:cs="Times New Roman"/>
          <w:sz w:val="20"/>
          <w:szCs w:val="20"/>
        </w:rPr>
        <w:t>(5), 361-375.</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 xml:space="preserve">Sánchez-Alonso, S. &amp; </w:t>
      </w:r>
      <w:proofErr w:type="spellStart"/>
      <w:r w:rsidRPr="00B2665D">
        <w:rPr>
          <w:rFonts w:ascii="Cambria" w:hAnsi="Cambria" w:cs="Times New Roman"/>
          <w:sz w:val="20"/>
          <w:szCs w:val="20"/>
          <w:lang w:val="en-US"/>
        </w:rPr>
        <w:t>Vovides</w:t>
      </w:r>
      <w:proofErr w:type="spellEnd"/>
      <w:r w:rsidRPr="00B2665D">
        <w:rPr>
          <w:rFonts w:ascii="Cambria" w:hAnsi="Cambria" w:cs="Times New Roman"/>
          <w:sz w:val="20"/>
          <w:szCs w:val="20"/>
          <w:lang w:val="en-US"/>
        </w:rPr>
        <w:t>, Y. (2007). Integration of metacognitive skills in the design of learning objects. Computers in Human Behavior. 23, 2585-2595.</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Schunk</w:t>
      </w:r>
      <w:proofErr w:type="spellEnd"/>
      <w:r w:rsidRPr="00B2665D">
        <w:rPr>
          <w:rFonts w:ascii="Cambria" w:hAnsi="Cambria" w:cs="Times New Roman"/>
          <w:sz w:val="20"/>
          <w:szCs w:val="20"/>
          <w:lang w:val="en-US"/>
        </w:rPr>
        <w:t xml:space="preserve">, D. H. (2012). </w:t>
      </w:r>
      <w:r w:rsidRPr="00B2665D">
        <w:rPr>
          <w:rFonts w:ascii="Cambria" w:hAnsi="Cambria" w:cs="Times New Roman"/>
          <w:i/>
          <w:sz w:val="20"/>
          <w:szCs w:val="20"/>
          <w:lang w:val="en-US"/>
        </w:rPr>
        <w:t>Learning theories: An educational perspective</w:t>
      </w:r>
      <w:r w:rsidRPr="00B2665D">
        <w:rPr>
          <w:rFonts w:ascii="Cambria" w:hAnsi="Cambria" w:cs="Times New Roman"/>
          <w:sz w:val="20"/>
          <w:szCs w:val="20"/>
          <w:lang w:val="en-US"/>
        </w:rPr>
        <w:t xml:space="preserve"> (6th ed.). </w:t>
      </w:r>
      <w:r w:rsidRPr="00B2665D">
        <w:rPr>
          <w:rFonts w:ascii="Cambria" w:hAnsi="Cambria" w:cs="Times New Roman"/>
          <w:bCs/>
          <w:sz w:val="20"/>
          <w:szCs w:val="20"/>
          <w:lang w:val="en-US"/>
        </w:rPr>
        <w:t xml:space="preserve">Boston, MA: </w:t>
      </w:r>
      <w:r w:rsidRPr="00B2665D">
        <w:rPr>
          <w:rFonts w:ascii="Cambria" w:hAnsi="Cambria" w:cs="Times New Roman"/>
          <w:sz w:val="20"/>
          <w:szCs w:val="20"/>
          <w:lang w:val="en-US"/>
        </w:rPr>
        <w:t xml:space="preserve"> </w:t>
      </w:r>
      <w:r w:rsidRPr="00B2665D">
        <w:rPr>
          <w:rFonts w:ascii="Cambria" w:hAnsi="Cambria" w:cs="Times New Roman"/>
          <w:bCs/>
          <w:sz w:val="20"/>
          <w:szCs w:val="20"/>
          <w:lang w:val="en-US"/>
        </w:rPr>
        <w:t>Pearson Education, Inc.</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Schraw, G. &amp; Dennison, R.S. (1994). Assessing metacognitive awareness. Contemporary Educational Psychology. 19, 460-475.</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rPr>
      </w:pPr>
      <w:r w:rsidRPr="00B2665D">
        <w:rPr>
          <w:rFonts w:ascii="Cambria" w:hAnsi="Cambria" w:cs="Times New Roman"/>
          <w:sz w:val="20"/>
          <w:szCs w:val="20"/>
        </w:rPr>
        <w:t>Seufert, T. (2018). The interplay between self-regulation in learning and cognitive load. </w:t>
      </w:r>
      <w:r w:rsidRPr="00B2665D">
        <w:rPr>
          <w:rFonts w:ascii="Cambria" w:hAnsi="Cambria" w:cs="Times New Roman"/>
          <w:i/>
          <w:iCs/>
          <w:sz w:val="20"/>
          <w:szCs w:val="20"/>
        </w:rPr>
        <w:t>Educational Research Review</w:t>
      </w:r>
      <w:r w:rsidRPr="00B2665D">
        <w:rPr>
          <w:rFonts w:ascii="Cambria" w:hAnsi="Cambria" w:cs="Times New Roman"/>
          <w:sz w:val="20"/>
          <w:szCs w:val="20"/>
        </w:rPr>
        <w:t>, </w:t>
      </w:r>
      <w:r w:rsidRPr="00B2665D">
        <w:rPr>
          <w:rFonts w:ascii="Cambria" w:hAnsi="Cambria" w:cs="Times New Roman"/>
          <w:i/>
          <w:iCs/>
          <w:sz w:val="20"/>
          <w:szCs w:val="20"/>
        </w:rPr>
        <w:t>24</w:t>
      </w:r>
      <w:r w:rsidRPr="00B2665D">
        <w:rPr>
          <w:rFonts w:ascii="Cambria" w:hAnsi="Cambria" w:cs="Times New Roman"/>
          <w:sz w:val="20"/>
          <w:szCs w:val="20"/>
        </w:rPr>
        <w:t>, 116-129.</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Tabachnick</w:t>
      </w:r>
      <w:proofErr w:type="spellEnd"/>
      <w:r w:rsidRPr="00B2665D">
        <w:rPr>
          <w:rFonts w:ascii="Cambria" w:hAnsi="Cambria" w:cs="Times New Roman"/>
          <w:sz w:val="20"/>
          <w:szCs w:val="20"/>
          <w:lang w:val="en-US"/>
        </w:rPr>
        <w:t xml:space="preserve">, B. G. &amp; </w:t>
      </w:r>
      <w:proofErr w:type="spellStart"/>
      <w:r w:rsidRPr="00B2665D">
        <w:rPr>
          <w:rFonts w:ascii="Cambria" w:hAnsi="Cambria" w:cs="Times New Roman"/>
          <w:sz w:val="20"/>
          <w:szCs w:val="20"/>
          <w:lang w:val="en-US"/>
        </w:rPr>
        <w:t>Fidell</w:t>
      </w:r>
      <w:proofErr w:type="spellEnd"/>
      <w:r w:rsidRPr="00B2665D">
        <w:rPr>
          <w:rFonts w:ascii="Cambria" w:hAnsi="Cambria" w:cs="Times New Roman"/>
          <w:sz w:val="20"/>
          <w:szCs w:val="20"/>
          <w:lang w:val="en-US"/>
        </w:rPr>
        <w:t>, L. S., (2007). Using multivariate statistics (5</w:t>
      </w:r>
      <w:r w:rsidRPr="00B2665D">
        <w:rPr>
          <w:rFonts w:ascii="Cambria" w:hAnsi="Cambria" w:cs="Times New Roman"/>
          <w:sz w:val="20"/>
          <w:szCs w:val="20"/>
          <w:vertAlign w:val="superscript"/>
          <w:lang w:val="en-US"/>
        </w:rPr>
        <w:t>th</w:t>
      </w:r>
      <w:r w:rsidRPr="00B2665D">
        <w:rPr>
          <w:rFonts w:ascii="Cambria" w:hAnsi="Cambria" w:cs="Times New Roman"/>
          <w:sz w:val="20"/>
          <w:szCs w:val="20"/>
          <w:lang w:val="en-US"/>
        </w:rPr>
        <w:t xml:space="preserve"> ed.). Allyn Bacon Publisher.</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rPr>
      </w:pPr>
      <w:r w:rsidRPr="00B2665D">
        <w:rPr>
          <w:rFonts w:ascii="Cambria" w:hAnsi="Cambria" w:cs="Times New Roman"/>
          <w:sz w:val="20"/>
          <w:szCs w:val="20"/>
        </w:rPr>
        <w:t>Tsai, M. J. (2009). Online information searching strategy inventory (OISSI): A quick version and a complete version. </w:t>
      </w:r>
      <w:r w:rsidRPr="00B2665D">
        <w:rPr>
          <w:rFonts w:ascii="Cambria" w:hAnsi="Cambria" w:cs="Times New Roman"/>
          <w:i/>
          <w:iCs/>
          <w:sz w:val="20"/>
          <w:szCs w:val="20"/>
        </w:rPr>
        <w:t>Computers &amp; Education</w:t>
      </w:r>
      <w:r w:rsidRPr="00B2665D">
        <w:rPr>
          <w:rFonts w:ascii="Cambria" w:hAnsi="Cambria" w:cs="Times New Roman"/>
          <w:sz w:val="20"/>
          <w:szCs w:val="20"/>
        </w:rPr>
        <w:t>, </w:t>
      </w:r>
      <w:r w:rsidRPr="00B2665D">
        <w:rPr>
          <w:rFonts w:ascii="Cambria" w:hAnsi="Cambria" w:cs="Times New Roman"/>
          <w:i/>
          <w:iCs/>
          <w:sz w:val="20"/>
          <w:szCs w:val="20"/>
        </w:rPr>
        <w:t>53</w:t>
      </w:r>
      <w:r w:rsidRPr="00B2665D">
        <w:rPr>
          <w:rFonts w:ascii="Cambria" w:hAnsi="Cambria" w:cs="Times New Roman"/>
          <w:sz w:val="20"/>
          <w:szCs w:val="20"/>
        </w:rPr>
        <w:t>(2), 473-483.</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Tu</w:t>
      </w:r>
      <w:bookmarkStart w:id="1" w:name="bfn1"/>
      <w:bookmarkEnd w:id="1"/>
      <w:proofErr w:type="spellEnd"/>
      <w:r w:rsidRPr="00B2665D">
        <w:rPr>
          <w:rFonts w:ascii="Cambria" w:hAnsi="Cambria" w:cs="Times New Roman"/>
          <w:sz w:val="20"/>
          <w:szCs w:val="20"/>
          <w:lang w:val="en-US"/>
        </w:rPr>
        <w:t>, Y.-W., Shih, M., &amp; Tsai</w:t>
      </w:r>
      <w:bookmarkStart w:id="2" w:name="bcor1"/>
      <w:bookmarkEnd w:id="2"/>
      <w:r w:rsidRPr="00B2665D">
        <w:rPr>
          <w:rFonts w:ascii="Cambria" w:hAnsi="Cambria" w:cs="Times New Roman"/>
          <w:sz w:val="20"/>
          <w:szCs w:val="20"/>
          <w:lang w:val="en-US"/>
        </w:rPr>
        <w:t xml:space="preserve">, C.-C. (2008). Eighth graders’ Web searching strategies and outcomes: the role of task types, Web experiences and epistemological beliefs. Computers and Education. 51(3), 1142-1153.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Veenman</w:t>
      </w:r>
      <w:proofErr w:type="spellEnd"/>
      <w:r w:rsidRPr="00B2665D">
        <w:rPr>
          <w:rFonts w:ascii="Cambria" w:hAnsi="Cambria" w:cs="Times New Roman"/>
          <w:sz w:val="20"/>
          <w:szCs w:val="20"/>
          <w:lang w:val="en-US"/>
        </w:rPr>
        <w:t xml:space="preserve">, M. V. J., </w:t>
      </w:r>
      <w:proofErr w:type="spellStart"/>
      <w:r w:rsidRPr="00B2665D">
        <w:rPr>
          <w:rFonts w:ascii="Cambria" w:hAnsi="Cambria" w:cs="Times New Roman"/>
          <w:sz w:val="20"/>
          <w:szCs w:val="20"/>
          <w:lang w:val="en-US"/>
        </w:rPr>
        <w:t>Prins</w:t>
      </w:r>
      <w:proofErr w:type="spellEnd"/>
      <w:r w:rsidRPr="00B2665D">
        <w:rPr>
          <w:rFonts w:ascii="Cambria" w:hAnsi="Cambria" w:cs="Times New Roman"/>
          <w:sz w:val="20"/>
          <w:szCs w:val="20"/>
          <w:lang w:val="en-US"/>
        </w:rPr>
        <w:t xml:space="preserve">, F. J. &amp; </w:t>
      </w:r>
      <w:proofErr w:type="spellStart"/>
      <w:r w:rsidRPr="00B2665D">
        <w:rPr>
          <w:rFonts w:ascii="Cambria" w:hAnsi="Cambria" w:cs="Times New Roman"/>
          <w:sz w:val="20"/>
          <w:szCs w:val="20"/>
          <w:lang w:val="en-US"/>
        </w:rPr>
        <w:t>Elshout</w:t>
      </w:r>
      <w:proofErr w:type="spellEnd"/>
      <w:r w:rsidRPr="00B2665D">
        <w:rPr>
          <w:rFonts w:ascii="Cambria" w:hAnsi="Cambria" w:cs="Times New Roman"/>
          <w:sz w:val="20"/>
          <w:szCs w:val="20"/>
          <w:lang w:val="en-US"/>
        </w:rPr>
        <w:t>, J. J. (2002). Initial inductive learning in a complex computer simulated environment: the role of metacognitive skills and intellectual ability. Computers in Human Behavior. 18, 327-341.</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proofErr w:type="spellStart"/>
      <w:r w:rsidRPr="00B2665D">
        <w:rPr>
          <w:rFonts w:ascii="Cambria" w:hAnsi="Cambria" w:cs="Times New Roman"/>
          <w:sz w:val="20"/>
          <w:szCs w:val="20"/>
          <w:lang w:val="en-US"/>
        </w:rPr>
        <w:t>Veenman</w:t>
      </w:r>
      <w:proofErr w:type="spellEnd"/>
      <w:r w:rsidRPr="00B2665D">
        <w:rPr>
          <w:rFonts w:ascii="Cambria" w:hAnsi="Cambria" w:cs="Times New Roman"/>
          <w:sz w:val="20"/>
          <w:szCs w:val="20"/>
          <w:lang w:val="en-US"/>
        </w:rPr>
        <w:t xml:space="preserve">, M. V. J. &amp; </w:t>
      </w:r>
      <w:proofErr w:type="spellStart"/>
      <w:r w:rsidRPr="00B2665D">
        <w:rPr>
          <w:rFonts w:ascii="Cambria" w:hAnsi="Cambria" w:cs="Times New Roman"/>
          <w:sz w:val="20"/>
          <w:szCs w:val="20"/>
          <w:lang w:val="en-US"/>
        </w:rPr>
        <w:t>Spaans</w:t>
      </w:r>
      <w:proofErr w:type="spellEnd"/>
      <w:r w:rsidRPr="00B2665D">
        <w:rPr>
          <w:rFonts w:ascii="Cambria" w:hAnsi="Cambria" w:cs="Times New Roman"/>
          <w:sz w:val="20"/>
          <w:szCs w:val="20"/>
          <w:lang w:val="en-US"/>
        </w:rPr>
        <w:t>, M. A. (2005). Relation between intellectual and metacognitive skills: Age and task differences. Learning and Individual Differences. 15, 159-176.</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Woolfolk, A. (2004). Educational psychology (9</w:t>
      </w:r>
      <w:r w:rsidRPr="00B2665D">
        <w:rPr>
          <w:rFonts w:ascii="Cambria" w:hAnsi="Cambria" w:cs="Times New Roman"/>
          <w:sz w:val="20"/>
          <w:szCs w:val="20"/>
          <w:vertAlign w:val="superscript"/>
          <w:lang w:val="en-US"/>
        </w:rPr>
        <w:t>th</w:t>
      </w:r>
      <w:r w:rsidRPr="00B2665D">
        <w:rPr>
          <w:rFonts w:ascii="Cambria" w:hAnsi="Cambria" w:cs="Times New Roman"/>
          <w:sz w:val="20"/>
          <w:szCs w:val="20"/>
          <w:lang w:val="en-US"/>
        </w:rPr>
        <w:t xml:space="preserve"> ed.). Boston, Massachusetts: Pearson Education Inc. </w:t>
      </w:r>
    </w:p>
    <w:p w:rsidR="00B2665D" w:rsidRPr="00B2665D" w:rsidRDefault="00B2665D" w:rsidP="00B2665D">
      <w:pPr>
        <w:autoSpaceDE w:val="0"/>
        <w:autoSpaceDN w:val="0"/>
        <w:adjustRightInd w:val="0"/>
        <w:spacing w:before="120" w:after="120" w:line="240" w:lineRule="auto"/>
        <w:ind w:left="709" w:hanging="709"/>
        <w:rPr>
          <w:rFonts w:ascii="Cambria" w:hAnsi="Cambria" w:cs="Times New Roman"/>
          <w:sz w:val="20"/>
          <w:szCs w:val="20"/>
          <w:lang w:val="en-US"/>
        </w:rPr>
      </w:pPr>
      <w:r w:rsidRPr="00B2665D">
        <w:rPr>
          <w:rFonts w:ascii="Cambria" w:hAnsi="Cambria" w:cs="Times New Roman"/>
          <w:sz w:val="20"/>
          <w:szCs w:val="20"/>
          <w:lang w:val="en-US"/>
        </w:rPr>
        <w:t>Zimmerman, B. J. &amp; Martinez-Pons, M. (1988). Construct validation of a strategy model of student self-regulated learning. Journal of Educational Psychology. 80(3), 284-290.</w:t>
      </w:r>
    </w:p>
    <w:p w:rsidR="00B2665D" w:rsidRPr="00C71F46" w:rsidRDefault="00B2665D" w:rsidP="00E633E1">
      <w:pPr>
        <w:autoSpaceDE w:val="0"/>
        <w:autoSpaceDN w:val="0"/>
        <w:adjustRightInd w:val="0"/>
        <w:spacing w:before="120" w:after="120" w:line="240" w:lineRule="auto"/>
        <w:ind w:left="709" w:hanging="709"/>
        <w:rPr>
          <w:rFonts w:ascii="Cambria" w:hAnsi="Cambria" w:cs="Times New Roman"/>
          <w:sz w:val="20"/>
          <w:szCs w:val="20"/>
        </w:rPr>
      </w:pPr>
    </w:p>
    <w:sectPr w:rsidR="00B2665D" w:rsidRPr="00C71F46" w:rsidSect="00F02FD3">
      <w:headerReference w:type="even" r:id="rId17"/>
      <w:footerReference w:type="default" r:id="rId18"/>
      <w:headerReference w:type="first" r:id="rId19"/>
      <w:footerReference w:type="first" r:id="rId20"/>
      <w:footnotePr>
        <w:numFmt w:val="chicago"/>
        <w:numRestart w:val="eachPage"/>
      </w:footnotePr>
      <w:pgSz w:w="11906" w:h="16838"/>
      <w:pgMar w:top="1417" w:right="1417" w:bottom="1417" w:left="1417" w:header="708" w:footer="708" w:gutter="0"/>
      <w:pgNumType w:start="189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AA" w:rsidRDefault="003D7DAA" w:rsidP="0071079E">
      <w:pPr>
        <w:spacing w:after="0" w:line="240" w:lineRule="auto"/>
      </w:pPr>
      <w:r>
        <w:separator/>
      </w:r>
    </w:p>
  </w:endnote>
  <w:endnote w:type="continuationSeparator" w:id="0">
    <w:p w:rsidR="003D7DAA" w:rsidRDefault="003D7DAA"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2577D0" w:rsidRPr="00F02FD3" w:rsidRDefault="002577D0" w:rsidP="00F02FD3">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8A047D" w:rsidRPr="008A047D">
          <w:rPr>
            <w:rFonts w:ascii="Cambria" w:hAnsi="Cambria"/>
            <w:b/>
            <w:bCs/>
            <w:noProof/>
            <w:sz w:val="20"/>
            <w:szCs w:val="20"/>
          </w:rPr>
          <w:t>1897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F02FD3">
          <w:rPr>
            <w:rFonts w:ascii="Cambria" w:hAnsi="Cambria"/>
            <w:color w:val="767171" w:themeColor="background2" w:themeShade="80"/>
            <w:sz w:val="16"/>
            <w:szCs w:val="16"/>
          </w:rPr>
          <w:t>ŞENDURUR &amp; YILDIRIM</w:t>
        </w:r>
        <w:r w:rsidRPr="00C71F46">
          <w:rPr>
            <w:rFonts w:ascii="Cambria" w:hAnsi="Cambria"/>
            <w:color w:val="767171" w:themeColor="background2" w:themeShade="80"/>
            <w:sz w:val="16"/>
            <w:szCs w:val="16"/>
          </w:rPr>
          <w:t xml:space="preserve">                        </w:t>
        </w:r>
        <w:r w:rsidR="00F02FD3">
          <w:rPr>
            <w:rFonts w:ascii="Cambria" w:hAnsi="Cambria"/>
            <w:color w:val="767171" w:themeColor="background2" w:themeShade="80"/>
            <w:sz w:val="16"/>
            <w:szCs w:val="16"/>
          </w:rPr>
          <w:t xml:space="preserve">                              </w:t>
        </w:r>
        <w:r w:rsidR="00F02FD3">
          <w:rPr>
            <w:rFonts w:ascii="Garamond" w:hAnsi="Garamond"/>
            <w:color w:val="404040" w:themeColor="text1" w:themeTint="BF"/>
            <w:sz w:val="16"/>
            <w:szCs w:val="16"/>
          </w:rPr>
          <w:t xml:space="preserve">  </w:t>
        </w:r>
        <w:r w:rsidR="00F02FD3" w:rsidRPr="00F02FD3">
          <w:rPr>
            <w:rFonts w:ascii="Garamond" w:hAnsi="Garamond"/>
            <w:color w:val="767171" w:themeColor="background2" w:themeShade="80"/>
            <w:sz w:val="16"/>
            <w:szCs w:val="16"/>
          </w:rPr>
          <w:t xml:space="preserve">Development of </w:t>
        </w:r>
        <w:proofErr w:type="spellStart"/>
        <w:r w:rsidR="00F02FD3" w:rsidRPr="00F02FD3">
          <w:rPr>
            <w:rFonts w:ascii="Garamond" w:hAnsi="Garamond"/>
            <w:color w:val="767171" w:themeColor="background2" w:themeShade="80"/>
            <w:sz w:val="16"/>
            <w:szCs w:val="16"/>
          </w:rPr>
          <w:t>Metacognitive</w:t>
        </w:r>
        <w:proofErr w:type="spellEnd"/>
        <w:r w:rsidR="00F02FD3" w:rsidRPr="00F02FD3">
          <w:rPr>
            <w:rFonts w:ascii="Garamond" w:hAnsi="Garamond"/>
            <w:color w:val="767171" w:themeColor="background2" w:themeShade="80"/>
            <w:sz w:val="16"/>
            <w:szCs w:val="16"/>
          </w:rPr>
          <w:t xml:space="preserve"> </w:t>
        </w:r>
        <w:proofErr w:type="spellStart"/>
        <w:r w:rsidR="00F02FD3" w:rsidRPr="00F02FD3">
          <w:rPr>
            <w:rFonts w:ascii="Garamond" w:hAnsi="Garamond"/>
            <w:color w:val="767171" w:themeColor="background2" w:themeShade="80"/>
            <w:sz w:val="16"/>
            <w:szCs w:val="16"/>
          </w:rPr>
          <w:t>Skills</w:t>
        </w:r>
        <w:proofErr w:type="spellEnd"/>
        <w:r w:rsidR="00F02FD3" w:rsidRPr="00F02FD3">
          <w:rPr>
            <w:rFonts w:ascii="Garamond" w:hAnsi="Garamond"/>
            <w:color w:val="767171" w:themeColor="background2" w:themeShade="80"/>
            <w:sz w:val="16"/>
            <w:szCs w:val="16"/>
          </w:rPr>
          <w:t xml:space="preserve"> Inventory </w:t>
        </w:r>
        <w:proofErr w:type="spellStart"/>
        <w:r w:rsidR="00F02FD3" w:rsidRPr="00F02FD3">
          <w:rPr>
            <w:rFonts w:ascii="Garamond" w:hAnsi="Garamond"/>
            <w:color w:val="767171" w:themeColor="background2" w:themeShade="80"/>
            <w:sz w:val="16"/>
            <w:szCs w:val="16"/>
          </w:rPr>
          <w:t>for</w:t>
        </w:r>
        <w:proofErr w:type="spellEnd"/>
        <w:r w:rsidR="00F02FD3" w:rsidRPr="00F02FD3">
          <w:rPr>
            <w:rFonts w:ascii="Garamond" w:hAnsi="Garamond"/>
            <w:color w:val="767171" w:themeColor="background2" w:themeShade="80"/>
            <w:sz w:val="16"/>
            <w:szCs w:val="16"/>
          </w:rPr>
          <w:t xml:space="preserve"> Internet </w:t>
        </w:r>
        <w:proofErr w:type="spellStart"/>
        <w:r w:rsidR="00F02FD3" w:rsidRPr="00F02FD3">
          <w:rPr>
            <w:rFonts w:ascii="Garamond" w:hAnsi="Garamond"/>
            <w:color w:val="767171" w:themeColor="background2" w:themeShade="80"/>
            <w:sz w:val="16"/>
            <w:szCs w:val="16"/>
          </w:rPr>
          <w:t>Search</w:t>
        </w:r>
        <w:proofErr w:type="spellEnd"/>
        <w:r w:rsidR="00F02FD3" w:rsidRPr="00F02FD3">
          <w:rPr>
            <w:rFonts w:ascii="Garamond" w:hAnsi="Garamond"/>
            <w:color w:val="767171" w:themeColor="background2" w:themeShade="80"/>
            <w:sz w:val="16"/>
            <w:szCs w:val="16"/>
          </w:rPr>
          <w:t xml:space="preserve"> (MSIIS)</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577D0" w:rsidRPr="00C71F46" w:rsidTr="00C71F46">
      <w:trPr>
        <w:trHeight w:val="365"/>
      </w:trPr>
      <w:tc>
        <w:tcPr>
          <w:tcW w:w="9498" w:type="dxa"/>
        </w:tcPr>
        <w:p w:rsidR="002577D0" w:rsidRPr="002B18B3" w:rsidRDefault="002577D0" w:rsidP="00F02FD3">
          <w:pPr>
            <w:pStyle w:val="Footer"/>
            <w:rPr>
              <w:rFonts w:ascii="Cambria" w:hAnsi="Cambria"/>
              <w:sz w:val="18"/>
              <w:szCs w:val="18"/>
            </w:rPr>
          </w:pPr>
          <w:proofErr w:type="spellStart"/>
          <w:r w:rsidRPr="002B18B3">
            <w:rPr>
              <w:rFonts w:ascii="Cambria" w:hAnsi="Cambria"/>
              <w:sz w:val="18"/>
              <w:szCs w:val="18"/>
            </w:rPr>
            <w:t>Received</w:t>
          </w:r>
          <w:proofErr w:type="spellEnd"/>
          <w:r w:rsidRPr="002B18B3">
            <w:rPr>
              <w:rFonts w:ascii="Cambria" w:hAnsi="Cambria"/>
              <w:sz w:val="18"/>
              <w:szCs w:val="18"/>
            </w:rPr>
            <w:t>:</w:t>
          </w:r>
          <w:r w:rsidR="00F02FD3">
            <w:rPr>
              <w:rFonts w:ascii="Cambria" w:hAnsi="Cambria"/>
              <w:sz w:val="18"/>
              <w:szCs w:val="18"/>
            </w:rPr>
            <w:t xml:space="preserve"> 22.09.2017</w:t>
          </w:r>
          <w:r w:rsidRPr="002B18B3">
            <w:rPr>
              <w:rFonts w:ascii="Cambria" w:hAnsi="Cambria"/>
              <w:sz w:val="18"/>
              <w:szCs w:val="18"/>
            </w:rPr>
            <w:t xml:space="preserve">                                     </w:t>
          </w:r>
          <w:r w:rsidR="00F02FD3">
            <w:rPr>
              <w:rFonts w:ascii="Cambria" w:hAnsi="Cambria"/>
              <w:sz w:val="18"/>
              <w:szCs w:val="18"/>
            </w:rPr>
            <w:t xml:space="preserve">   </w:t>
          </w:r>
          <w:r w:rsidRPr="002B18B3">
            <w:rPr>
              <w:rFonts w:ascii="Cambria" w:hAnsi="Cambria"/>
              <w:sz w:val="18"/>
              <w:szCs w:val="18"/>
            </w:rPr>
            <w:t xml:space="preserve">   </w:t>
          </w:r>
          <w:proofErr w:type="spellStart"/>
          <w:r w:rsidRPr="002B18B3">
            <w:rPr>
              <w:rFonts w:ascii="Cambria" w:hAnsi="Cambria"/>
              <w:sz w:val="18"/>
              <w:szCs w:val="18"/>
            </w:rPr>
            <w:t>Accepted</w:t>
          </w:r>
          <w:proofErr w:type="spellEnd"/>
          <w:r w:rsidRPr="002B18B3">
            <w:rPr>
              <w:rFonts w:ascii="Cambria" w:hAnsi="Cambria"/>
              <w:sz w:val="18"/>
              <w:szCs w:val="18"/>
            </w:rPr>
            <w:t>:</w:t>
          </w:r>
          <w:r w:rsidR="00F02FD3">
            <w:rPr>
              <w:rFonts w:ascii="Cambria" w:hAnsi="Cambria"/>
              <w:sz w:val="18"/>
              <w:szCs w:val="18"/>
            </w:rPr>
            <w:t xml:space="preserve"> 12.09.2018</w:t>
          </w:r>
          <w:r w:rsidRPr="002B18B3">
            <w:rPr>
              <w:rFonts w:ascii="Cambria" w:hAnsi="Cambria"/>
              <w:sz w:val="18"/>
              <w:szCs w:val="18"/>
            </w:rPr>
            <w:t xml:space="preserve">                                                   </w:t>
          </w:r>
          <w:proofErr w:type="spellStart"/>
          <w:r w:rsidRPr="002B18B3">
            <w:rPr>
              <w:rFonts w:ascii="Cambria" w:hAnsi="Cambria"/>
              <w:sz w:val="18"/>
              <w:szCs w:val="18"/>
            </w:rPr>
            <w:t>Published</w:t>
          </w:r>
          <w:proofErr w:type="spellEnd"/>
          <w:r w:rsidRPr="002B18B3">
            <w:rPr>
              <w:rFonts w:ascii="Cambria" w:hAnsi="Cambria"/>
              <w:sz w:val="18"/>
              <w:szCs w:val="18"/>
            </w:rPr>
            <w:t xml:space="preserve">: </w:t>
          </w:r>
          <w:r w:rsidR="00F02FD3">
            <w:rPr>
              <w:rFonts w:ascii="Cambria" w:hAnsi="Cambria"/>
              <w:sz w:val="18"/>
              <w:szCs w:val="18"/>
            </w:rPr>
            <w:t>31.10.2018</w:t>
          </w:r>
          <w:r w:rsidRPr="002B18B3">
            <w:rPr>
              <w:rFonts w:ascii="Cambria" w:hAnsi="Cambria"/>
              <w:sz w:val="18"/>
              <w:szCs w:val="18"/>
            </w:rPr>
            <w:t xml:space="preserve">   </w:t>
          </w:r>
        </w:p>
      </w:tc>
    </w:tr>
  </w:tbl>
  <w:p w:rsidR="002577D0" w:rsidRPr="00C71F46" w:rsidRDefault="002577D0"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AA" w:rsidRDefault="003D7DAA" w:rsidP="0071079E">
      <w:pPr>
        <w:spacing w:after="0" w:line="240" w:lineRule="auto"/>
      </w:pPr>
      <w:r>
        <w:separator/>
      </w:r>
    </w:p>
  </w:footnote>
  <w:footnote w:type="continuationSeparator" w:id="0">
    <w:p w:rsidR="003D7DAA" w:rsidRDefault="003D7DAA" w:rsidP="0071079E">
      <w:pPr>
        <w:spacing w:after="0" w:line="240" w:lineRule="auto"/>
      </w:pPr>
      <w:r>
        <w:continuationSeparator/>
      </w:r>
    </w:p>
  </w:footnote>
  <w:footnote w:id="1">
    <w:p w:rsidR="003B2CB8" w:rsidRPr="00F02FD3" w:rsidRDefault="002577D0" w:rsidP="003B2CB8">
      <w:pPr>
        <w:pStyle w:val="FootnoteText"/>
        <w:rPr>
          <w:rFonts w:ascii="Cambria" w:hAnsi="Cambria"/>
          <w:sz w:val="18"/>
        </w:rPr>
      </w:pPr>
      <w:r w:rsidRPr="00F02FD3">
        <w:rPr>
          <w:rStyle w:val="FootnoteReference"/>
          <w:rFonts w:ascii="Cambria" w:hAnsi="Cambria"/>
          <w:sz w:val="18"/>
        </w:rPr>
        <w:footnoteRef/>
      </w:r>
      <w:r w:rsidRPr="00F02FD3">
        <w:rPr>
          <w:rFonts w:ascii="Cambria" w:hAnsi="Cambria"/>
          <w:sz w:val="18"/>
        </w:rPr>
        <w:t xml:space="preserve"> </w:t>
      </w:r>
      <w:r w:rsidR="00442526" w:rsidRPr="00F02FD3">
        <w:rPr>
          <w:rFonts w:ascii="Cambria" w:hAnsi="Cambria"/>
          <w:sz w:val="18"/>
        </w:rPr>
        <w:t xml:space="preserve">This study is a part of doctoral dissertation and some of its sub-steps were presented in </w:t>
      </w:r>
      <w:r w:rsidRPr="00F02FD3">
        <w:rPr>
          <w:rFonts w:ascii="Cambria" w:hAnsi="Cambria"/>
          <w:sz w:val="18"/>
        </w:rPr>
        <w:t>EDMEDIA 2008</w:t>
      </w:r>
      <w:r w:rsidR="00442526" w:rsidRPr="00F02FD3">
        <w:rPr>
          <w:rFonts w:ascii="Cambria" w:hAnsi="Cambria"/>
          <w:sz w:val="18"/>
        </w:rPr>
        <w:t xml:space="preserve"> </w:t>
      </w:r>
      <w:proofErr w:type="spellStart"/>
      <w:r w:rsidR="00442526" w:rsidRPr="00F02FD3">
        <w:rPr>
          <w:rFonts w:ascii="Cambria" w:hAnsi="Cambria"/>
          <w:sz w:val="18"/>
        </w:rPr>
        <w:t>and</w:t>
      </w:r>
      <w:proofErr w:type="spellEnd"/>
      <w:r w:rsidR="00442526" w:rsidRPr="00F02FD3">
        <w:rPr>
          <w:rFonts w:ascii="Cambria" w:hAnsi="Cambria"/>
          <w:sz w:val="18"/>
        </w:rPr>
        <w:t xml:space="preserve"> ECER 2012 </w:t>
      </w:r>
      <w:proofErr w:type="spellStart"/>
      <w:r w:rsidR="00442526" w:rsidRPr="00F02FD3">
        <w:rPr>
          <w:rFonts w:ascii="Cambria" w:hAnsi="Cambria"/>
          <w:sz w:val="18"/>
        </w:rPr>
        <w:t>conferences</w:t>
      </w:r>
      <w:proofErr w:type="spellEnd"/>
      <w:r w:rsidR="00442526" w:rsidRPr="00F02FD3">
        <w:rPr>
          <w:rFonts w:ascii="Cambria" w:hAnsi="Cambria"/>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D0" w:rsidRDefault="002577D0"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2577D0" w:rsidRDefault="002577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D3" w:rsidRPr="00817144" w:rsidRDefault="00F02FD3" w:rsidP="00F02FD3">
    <w:pPr>
      <w:pStyle w:val="Header"/>
    </w:pPr>
    <w:r>
      <w:rPr>
        <w:noProof/>
      </w:rPr>
      <mc:AlternateContent>
        <mc:Choice Requires="wpg">
          <w:drawing>
            <wp:inline distT="0" distB="0" distL="0" distR="0" wp14:anchorId="5C31D106" wp14:editId="7E2CAFF0">
              <wp:extent cx="5810250" cy="611505"/>
              <wp:effectExtent l="0" t="0" r="1905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FD3" w:rsidRPr="009F0097" w:rsidRDefault="00F02FD3" w:rsidP="00F02FD3">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18</w:t>
                              </w:r>
                              <w:r>
                                <w:rPr>
                                  <w:rFonts w:cstheme="minorHAnsi"/>
                                  <w:sz w:val="18"/>
                                  <w:szCs w:val="20"/>
                                </w:rPr>
                                <w:t>96-1911</w:t>
                              </w:r>
                            </w:p>
                            <w:p w:rsidR="00F02FD3" w:rsidRPr="009F0097" w:rsidRDefault="00F02FD3" w:rsidP="00F02FD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AB78DB">
                                <w:rPr>
                                  <w:rFonts w:cstheme="minorHAnsi"/>
                                  <w:sz w:val="18"/>
                                  <w:szCs w:val="20"/>
                                </w:rPr>
                                <w:t xml:space="preserve"> </w:t>
                              </w:r>
                              <w:r>
                                <w:rPr>
                                  <w:rFonts w:cstheme="minorHAnsi"/>
                                  <w:sz w:val="18"/>
                                  <w:szCs w:val="20"/>
                                </w:rPr>
                                <w:t>1896-1911</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F02FD3" w:rsidRPr="009F0097" w:rsidRDefault="00F02FD3" w:rsidP="00F02FD3">
                              <w:pPr>
                                <w:spacing w:after="0"/>
                                <w:rPr>
                                  <w:rStyle w:val="Hyperlink"/>
                                  <w:rFonts w:cstheme="minorHAnsi"/>
                                  <w:color w:val="00B050"/>
                                  <w:sz w:val="18"/>
                                  <w:szCs w:val="20"/>
                                </w:rPr>
                              </w:pPr>
                              <w:hyperlink r:id="rId2" w:history="1">
                                <w:proofErr w:type="spellStart"/>
                                <w:r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1D106"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opA3QQAACE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CrqKQN0EAAAh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F02FD3" w:rsidRPr="009F0097" w:rsidRDefault="00F02FD3" w:rsidP="00F02FD3">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18</w:t>
                        </w:r>
                        <w:r>
                          <w:rPr>
                            <w:rFonts w:cstheme="minorHAnsi"/>
                            <w:sz w:val="18"/>
                            <w:szCs w:val="20"/>
                          </w:rPr>
                          <w:t>96-1911</w:t>
                        </w:r>
                      </w:p>
                      <w:p w:rsidR="00F02FD3" w:rsidRPr="009F0097" w:rsidRDefault="00F02FD3" w:rsidP="00F02FD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AB78DB">
                          <w:rPr>
                            <w:rFonts w:cstheme="minorHAnsi"/>
                            <w:sz w:val="18"/>
                            <w:szCs w:val="20"/>
                          </w:rPr>
                          <w:t xml:space="preserve"> </w:t>
                        </w:r>
                        <w:r>
                          <w:rPr>
                            <w:rFonts w:cstheme="minorHAnsi"/>
                            <w:sz w:val="18"/>
                            <w:szCs w:val="20"/>
                          </w:rPr>
                          <w:t>1896-1911</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F02FD3" w:rsidRPr="009F0097" w:rsidRDefault="00F02FD3" w:rsidP="00F02FD3">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1478"/>
    <w:rsid w:val="0004041F"/>
    <w:rsid w:val="00043DD9"/>
    <w:rsid w:val="0005490C"/>
    <w:rsid w:val="00077780"/>
    <w:rsid w:val="00080CAD"/>
    <w:rsid w:val="000969C1"/>
    <w:rsid w:val="000A71AE"/>
    <w:rsid w:val="000B1986"/>
    <w:rsid w:val="000C1A44"/>
    <w:rsid w:val="000C5436"/>
    <w:rsid w:val="000F5FB8"/>
    <w:rsid w:val="00102C85"/>
    <w:rsid w:val="00136A0D"/>
    <w:rsid w:val="001C39DA"/>
    <w:rsid w:val="001E14C5"/>
    <w:rsid w:val="001F23BD"/>
    <w:rsid w:val="001F26ED"/>
    <w:rsid w:val="00210497"/>
    <w:rsid w:val="002313AC"/>
    <w:rsid w:val="002467CE"/>
    <w:rsid w:val="0025339E"/>
    <w:rsid w:val="002577D0"/>
    <w:rsid w:val="00263138"/>
    <w:rsid w:val="0028576A"/>
    <w:rsid w:val="00287960"/>
    <w:rsid w:val="002B18B3"/>
    <w:rsid w:val="002C2752"/>
    <w:rsid w:val="002D5974"/>
    <w:rsid w:val="003279A8"/>
    <w:rsid w:val="0034583A"/>
    <w:rsid w:val="003505C9"/>
    <w:rsid w:val="003848D1"/>
    <w:rsid w:val="00391A61"/>
    <w:rsid w:val="003B2CB8"/>
    <w:rsid w:val="003B706E"/>
    <w:rsid w:val="003C5800"/>
    <w:rsid w:val="003D4A01"/>
    <w:rsid w:val="003D7DAA"/>
    <w:rsid w:val="003E4D67"/>
    <w:rsid w:val="00404D45"/>
    <w:rsid w:val="00411A6F"/>
    <w:rsid w:val="00416E59"/>
    <w:rsid w:val="00433940"/>
    <w:rsid w:val="00442526"/>
    <w:rsid w:val="004630F7"/>
    <w:rsid w:val="004A74ED"/>
    <w:rsid w:val="004B704B"/>
    <w:rsid w:val="004D324C"/>
    <w:rsid w:val="004F3046"/>
    <w:rsid w:val="004F39AA"/>
    <w:rsid w:val="005000DB"/>
    <w:rsid w:val="00520EE4"/>
    <w:rsid w:val="005650E0"/>
    <w:rsid w:val="00590B4A"/>
    <w:rsid w:val="005B3935"/>
    <w:rsid w:val="005C3292"/>
    <w:rsid w:val="006251D2"/>
    <w:rsid w:val="00626026"/>
    <w:rsid w:val="0063313D"/>
    <w:rsid w:val="00655B41"/>
    <w:rsid w:val="0065713D"/>
    <w:rsid w:val="00674918"/>
    <w:rsid w:val="00683367"/>
    <w:rsid w:val="00684BF8"/>
    <w:rsid w:val="006F2979"/>
    <w:rsid w:val="007078C1"/>
    <w:rsid w:val="0071079E"/>
    <w:rsid w:val="00751A78"/>
    <w:rsid w:val="007678E7"/>
    <w:rsid w:val="007803B6"/>
    <w:rsid w:val="00781480"/>
    <w:rsid w:val="0079789C"/>
    <w:rsid w:val="007B2E6C"/>
    <w:rsid w:val="007F15E8"/>
    <w:rsid w:val="00801B05"/>
    <w:rsid w:val="00803B01"/>
    <w:rsid w:val="008139ED"/>
    <w:rsid w:val="00825C12"/>
    <w:rsid w:val="00831D02"/>
    <w:rsid w:val="008A047D"/>
    <w:rsid w:val="008A3479"/>
    <w:rsid w:val="008B6011"/>
    <w:rsid w:val="008B7EFB"/>
    <w:rsid w:val="008C2B1B"/>
    <w:rsid w:val="008E11E2"/>
    <w:rsid w:val="008E3789"/>
    <w:rsid w:val="00917C72"/>
    <w:rsid w:val="009303FF"/>
    <w:rsid w:val="00943532"/>
    <w:rsid w:val="00957E68"/>
    <w:rsid w:val="009A7E16"/>
    <w:rsid w:val="009B57B0"/>
    <w:rsid w:val="009B5EE5"/>
    <w:rsid w:val="009B7420"/>
    <w:rsid w:val="009C0514"/>
    <w:rsid w:val="009D147E"/>
    <w:rsid w:val="009D7269"/>
    <w:rsid w:val="009E434E"/>
    <w:rsid w:val="00A42C10"/>
    <w:rsid w:val="00A52A78"/>
    <w:rsid w:val="00A95958"/>
    <w:rsid w:val="00AA77D7"/>
    <w:rsid w:val="00AB7349"/>
    <w:rsid w:val="00AE6F03"/>
    <w:rsid w:val="00B13D0D"/>
    <w:rsid w:val="00B2665D"/>
    <w:rsid w:val="00B40F84"/>
    <w:rsid w:val="00B43656"/>
    <w:rsid w:val="00BB3684"/>
    <w:rsid w:val="00BB3A59"/>
    <w:rsid w:val="00BB57A9"/>
    <w:rsid w:val="00BB5DDC"/>
    <w:rsid w:val="00BE288A"/>
    <w:rsid w:val="00C15C89"/>
    <w:rsid w:val="00C23312"/>
    <w:rsid w:val="00C23705"/>
    <w:rsid w:val="00C2476E"/>
    <w:rsid w:val="00C36157"/>
    <w:rsid w:val="00C51F53"/>
    <w:rsid w:val="00C71F46"/>
    <w:rsid w:val="00C93B99"/>
    <w:rsid w:val="00CB164A"/>
    <w:rsid w:val="00CB6786"/>
    <w:rsid w:val="00CD137F"/>
    <w:rsid w:val="00CF7696"/>
    <w:rsid w:val="00D15434"/>
    <w:rsid w:val="00D32999"/>
    <w:rsid w:val="00D45A9B"/>
    <w:rsid w:val="00D531B7"/>
    <w:rsid w:val="00D647A0"/>
    <w:rsid w:val="00D775E6"/>
    <w:rsid w:val="00D860DA"/>
    <w:rsid w:val="00D90BCF"/>
    <w:rsid w:val="00D9144B"/>
    <w:rsid w:val="00DB5109"/>
    <w:rsid w:val="00DD7846"/>
    <w:rsid w:val="00DE3290"/>
    <w:rsid w:val="00E319E4"/>
    <w:rsid w:val="00E47748"/>
    <w:rsid w:val="00E55CE2"/>
    <w:rsid w:val="00E61895"/>
    <w:rsid w:val="00E633E1"/>
    <w:rsid w:val="00E63D6C"/>
    <w:rsid w:val="00E6525F"/>
    <w:rsid w:val="00E65B71"/>
    <w:rsid w:val="00E720B6"/>
    <w:rsid w:val="00E870CE"/>
    <w:rsid w:val="00EA7789"/>
    <w:rsid w:val="00EB71C0"/>
    <w:rsid w:val="00EC1C37"/>
    <w:rsid w:val="00ED6641"/>
    <w:rsid w:val="00EF0DB0"/>
    <w:rsid w:val="00EF2F26"/>
    <w:rsid w:val="00EF679E"/>
    <w:rsid w:val="00F02FD3"/>
    <w:rsid w:val="00F32F92"/>
    <w:rsid w:val="00F42F41"/>
    <w:rsid w:val="00F52AA1"/>
    <w:rsid w:val="00F8738B"/>
    <w:rsid w:val="00FB1EF4"/>
    <w:rsid w:val="00FB4F02"/>
    <w:rsid w:val="00FC1C09"/>
    <w:rsid w:val="00FC6A4A"/>
    <w:rsid w:val="00FC716E"/>
    <w:rsid w:val="00FE407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F957F"/>
  <w15:docId w15:val="{A2E6740B-9240-4512-801B-77E2007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rsid w:val="0071079E"/>
    <w:rPr>
      <w:sz w:val="20"/>
      <w:szCs w:val="20"/>
    </w:rPr>
  </w:style>
  <w:style w:type="character" w:styleId="FootnoteReference">
    <w:name w:val="footnote reference"/>
    <w:basedOn w:val="DefaultParagraphFont"/>
    <w:uiPriority w:val="99"/>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dey@metu.edu.tr"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inesendurur@gmail.com" TargetMode="Externa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an.ucc.na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psychonomic.org/BRMIC/" TargetMode="Externa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gi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466C85-9267-654F-8276-B8E5D4AC5244}" type="doc">
      <dgm:prSet loTypeId="urn:microsoft.com/office/officeart/2005/8/layout/vList2" loCatId="" qsTypeId="urn:microsoft.com/office/officeart/2005/8/quickstyle/simple5" qsCatId="simple" csTypeId="urn:microsoft.com/office/officeart/2005/8/colors/accent1_2" csCatId="accent1" phldr="1"/>
      <dgm:spPr/>
      <dgm:t>
        <a:bodyPr/>
        <a:lstStyle/>
        <a:p>
          <a:endParaRPr lang="en-US"/>
        </a:p>
      </dgm:t>
    </dgm:pt>
    <dgm:pt modelId="{FD6C7B2A-F4CC-3F4A-A457-69885C73F270}">
      <dgm:prSet phldrT="[Text]" custT="1"/>
      <dgm:spPr>
        <a:xfrm rot="5400000">
          <a:off x="-92941" y="93589"/>
          <a:ext cx="619608" cy="433726"/>
        </a:xfrm>
      </dgm:spPr>
      <dgm:t>
        <a:bodyPr/>
        <a:lstStyle/>
        <a:p>
          <a:r>
            <a:rPr lang="en-US" sz="1100">
              <a:latin typeface="Calibri"/>
              <a:ea typeface="+mn-ea"/>
              <a:cs typeface="+mn-cs"/>
            </a:rPr>
            <a:t>Item Pool</a:t>
          </a:r>
        </a:p>
      </dgm:t>
    </dgm:pt>
    <dgm:pt modelId="{685D480D-4D1B-0148-938F-B2666B916984}" type="parTrans" cxnId="{966661ED-F644-AA45-B080-062C1CA7E8C1}">
      <dgm:prSet/>
      <dgm:spPr/>
      <dgm:t>
        <a:bodyPr/>
        <a:lstStyle/>
        <a:p>
          <a:endParaRPr lang="en-US"/>
        </a:p>
      </dgm:t>
    </dgm:pt>
    <dgm:pt modelId="{05F002FF-009C-A542-917D-A7B72CC37695}" type="sibTrans" cxnId="{966661ED-F644-AA45-B080-062C1CA7E8C1}">
      <dgm:prSet/>
      <dgm:spPr/>
      <dgm:t>
        <a:bodyPr/>
        <a:lstStyle/>
        <a:p>
          <a:endParaRPr lang="en-US"/>
        </a:p>
      </dgm:t>
    </dgm:pt>
    <dgm:pt modelId="{0C183A71-B6F9-AD4E-BCEB-2BE823CA20AB}">
      <dgm:prSet phldrT="[Text]" custT="1"/>
      <dgm:spPr>
        <a:xfrm rot="5400000">
          <a:off x="2758690" y="-2324316"/>
          <a:ext cx="402745" cy="5052673"/>
        </a:xfrm>
      </dgm:spPr>
      <dgm:t>
        <a:bodyPr/>
        <a:lstStyle/>
        <a:p>
          <a:r>
            <a:rPr lang="en-US" sz="1000">
              <a:latin typeface="Calibri"/>
              <a:ea typeface="+mn-ea"/>
              <a:cs typeface="+mn-cs"/>
            </a:rPr>
            <a:t>Literature review</a:t>
          </a:r>
        </a:p>
      </dgm:t>
    </dgm:pt>
    <dgm:pt modelId="{325EE536-CDBA-EA4A-B6BC-6B2D504557A1}" type="parTrans" cxnId="{3B9FE4DD-1C6C-004B-BF37-2EAC8AF8287D}">
      <dgm:prSet/>
      <dgm:spPr/>
      <dgm:t>
        <a:bodyPr/>
        <a:lstStyle/>
        <a:p>
          <a:endParaRPr lang="en-US"/>
        </a:p>
      </dgm:t>
    </dgm:pt>
    <dgm:pt modelId="{DE91AEDB-DF81-F24F-BD66-309A4C15D4FE}" type="sibTrans" cxnId="{3B9FE4DD-1C6C-004B-BF37-2EAC8AF8287D}">
      <dgm:prSet/>
      <dgm:spPr/>
      <dgm:t>
        <a:bodyPr/>
        <a:lstStyle/>
        <a:p>
          <a:endParaRPr lang="en-US"/>
        </a:p>
      </dgm:t>
    </dgm:pt>
    <dgm:pt modelId="{AC762BD0-C498-834F-9EAE-1BA4E7FC5A0E}">
      <dgm:prSet phldrT="[Text]" custT="1"/>
      <dgm:spPr>
        <a:xfrm rot="5400000">
          <a:off x="2758690" y="-2324316"/>
          <a:ext cx="402745" cy="5052673"/>
        </a:xfrm>
      </dgm:spPr>
      <dgm:t>
        <a:bodyPr/>
        <a:lstStyle/>
        <a:p>
          <a:r>
            <a:rPr lang="en-US" sz="1000">
              <a:latin typeface="Calibri"/>
              <a:ea typeface="+mn-ea"/>
              <a:cs typeface="+mn-cs"/>
            </a:rPr>
            <a:t>Expert reviews</a:t>
          </a:r>
        </a:p>
      </dgm:t>
    </dgm:pt>
    <dgm:pt modelId="{AAEBE8E1-E30D-054E-9D78-04BDA88F7B57}" type="parTrans" cxnId="{C07760FA-CE56-D74A-A262-942F476F1E28}">
      <dgm:prSet/>
      <dgm:spPr/>
      <dgm:t>
        <a:bodyPr/>
        <a:lstStyle/>
        <a:p>
          <a:endParaRPr lang="en-US"/>
        </a:p>
      </dgm:t>
    </dgm:pt>
    <dgm:pt modelId="{0E0373F7-BEAF-7C46-9E0E-6799FB7828BB}" type="sibTrans" cxnId="{C07760FA-CE56-D74A-A262-942F476F1E28}">
      <dgm:prSet/>
      <dgm:spPr/>
      <dgm:t>
        <a:bodyPr/>
        <a:lstStyle/>
        <a:p>
          <a:endParaRPr lang="en-US"/>
        </a:p>
      </dgm:t>
    </dgm:pt>
    <dgm:pt modelId="{66199C3E-50A2-6A46-8D07-4F1536087116}">
      <dgm:prSet phldrT="[Text]" custT="1"/>
      <dgm:spPr>
        <a:xfrm rot="5400000">
          <a:off x="-92941" y="609488"/>
          <a:ext cx="619608" cy="433726"/>
        </a:xfrm>
      </dgm:spPr>
      <dgm:t>
        <a:bodyPr/>
        <a:lstStyle/>
        <a:p>
          <a:r>
            <a:rPr lang="en-US" sz="1100">
              <a:latin typeface="Calibri"/>
              <a:ea typeface="+mn-ea"/>
              <a:cs typeface="+mn-cs"/>
            </a:rPr>
            <a:t>EFA: 273 students &amp; 5 factors</a:t>
          </a:r>
        </a:p>
      </dgm:t>
    </dgm:pt>
    <dgm:pt modelId="{C686BC52-D40B-684D-AA0F-368E8DF50A5B}" type="parTrans" cxnId="{8ED2EED6-7A04-5941-BDEC-FEFBE46DA7DF}">
      <dgm:prSet/>
      <dgm:spPr/>
      <dgm:t>
        <a:bodyPr/>
        <a:lstStyle/>
        <a:p>
          <a:endParaRPr lang="en-US"/>
        </a:p>
      </dgm:t>
    </dgm:pt>
    <dgm:pt modelId="{57EABCBD-6FCC-4D4A-B0D7-C19F39F04D9D}" type="sibTrans" cxnId="{8ED2EED6-7A04-5941-BDEC-FEFBE46DA7DF}">
      <dgm:prSet/>
      <dgm:spPr/>
      <dgm:t>
        <a:bodyPr/>
        <a:lstStyle/>
        <a:p>
          <a:endParaRPr lang="en-US"/>
        </a:p>
      </dgm:t>
    </dgm:pt>
    <dgm:pt modelId="{145BC5C2-6331-D44B-A98D-D55014354665}">
      <dgm:prSet phldrT="[Text]" custT="1"/>
      <dgm:spPr>
        <a:xfrm rot="5400000">
          <a:off x="2758690" y="-1808417"/>
          <a:ext cx="402745" cy="5052673"/>
        </a:xfrm>
      </dgm:spPr>
      <dgm:t>
        <a:bodyPr/>
        <a:lstStyle/>
        <a:p>
          <a:r>
            <a:rPr lang="en-US" sz="1000">
              <a:latin typeface="Calibri"/>
              <a:ea typeface="+mn-ea"/>
              <a:cs typeface="+mn-cs"/>
            </a:rPr>
            <a:t>Dropped items</a:t>
          </a:r>
        </a:p>
      </dgm:t>
    </dgm:pt>
    <dgm:pt modelId="{017F8D4D-72F7-2547-B25D-DDE05051EEA3}" type="parTrans" cxnId="{D9F634F8-3621-9B44-B17F-09B1F311935F}">
      <dgm:prSet/>
      <dgm:spPr/>
      <dgm:t>
        <a:bodyPr/>
        <a:lstStyle/>
        <a:p>
          <a:endParaRPr lang="en-US"/>
        </a:p>
      </dgm:t>
    </dgm:pt>
    <dgm:pt modelId="{4EC6DC89-75FD-AC43-96D4-5F53F7310DDF}" type="sibTrans" cxnId="{D9F634F8-3621-9B44-B17F-09B1F311935F}">
      <dgm:prSet/>
      <dgm:spPr/>
      <dgm:t>
        <a:bodyPr/>
        <a:lstStyle/>
        <a:p>
          <a:endParaRPr lang="en-US"/>
        </a:p>
      </dgm:t>
    </dgm:pt>
    <dgm:pt modelId="{372CA048-5588-5A43-8A41-13017DB1906C}">
      <dgm:prSet phldrT="[Text]" custT="1"/>
      <dgm:spPr>
        <a:xfrm rot="5400000">
          <a:off x="2758690" y="-1808417"/>
          <a:ext cx="402745" cy="5052673"/>
        </a:xfrm>
      </dgm:spPr>
      <dgm:t>
        <a:bodyPr/>
        <a:lstStyle/>
        <a:p>
          <a:r>
            <a:rPr lang="en-US" sz="1000">
              <a:latin typeface="Calibri"/>
              <a:ea typeface="+mn-ea"/>
              <a:cs typeface="+mn-cs"/>
            </a:rPr>
            <a:t>Revised items	</a:t>
          </a:r>
        </a:p>
      </dgm:t>
    </dgm:pt>
    <dgm:pt modelId="{067742AF-9DD7-1340-8146-49A4891A07E9}" type="parTrans" cxnId="{06BB6938-51BD-6E4B-9336-5B102448EF4F}">
      <dgm:prSet/>
      <dgm:spPr/>
      <dgm:t>
        <a:bodyPr/>
        <a:lstStyle/>
        <a:p>
          <a:endParaRPr lang="en-US"/>
        </a:p>
      </dgm:t>
    </dgm:pt>
    <dgm:pt modelId="{1396C951-A831-BB41-A165-7770D0AA485E}" type="sibTrans" cxnId="{06BB6938-51BD-6E4B-9336-5B102448EF4F}">
      <dgm:prSet/>
      <dgm:spPr/>
      <dgm:t>
        <a:bodyPr/>
        <a:lstStyle/>
        <a:p>
          <a:endParaRPr lang="en-US"/>
        </a:p>
      </dgm:t>
    </dgm:pt>
    <dgm:pt modelId="{F40EB59A-E471-1340-821D-2277A6C35EDD}">
      <dgm:prSet phldrT="[Text]" custT="1"/>
      <dgm:spPr>
        <a:xfrm rot="5400000">
          <a:off x="-92941" y="2157185"/>
          <a:ext cx="619608" cy="433726"/>
        </a:xfrm>
      </dgm:spPr>
      <dgm:t>
        <a:bodyPr/>
        <a:lstStyle/>
        <a:p>
          <a:r>
            <a:rPr lang="en-US" sz="1100">
              <a:latin typeface="Calibri"/>
              <a:ea typeface="+mn-ea"/>
              <a:cs typeface="+mn-cs"/>
            </a:rPr>
            <a:t>CFA: 321 students &amp; 5 factors </a:t>
          </a:r>
        </a:p>
      </dgm:t>
    </dgm:pt>
    <dgm:pt modelId="{DD951567-1D19-F748-A42F-8C35BCCEB027}" type="parTrans" cxnId="{C775CCE1-66B6-E541-B623-4C5D52B26BCF}">
      <dgm:prSet/>
      <dgm:spPr/>
      <dgm:t>
        <a:bodyPr/>
        <a:lstStyle/>
        <a:p>
          <a:endParaRPr lang="en-US"/>
        </a:p>
      </dgm:t>
    </dgm:pt>
    <dgm:pt modelId="{BC8EB27E-B4CB-8348-B313-921518FD3B4F}" type="sibTrans" cxnId="{C775CCE1-66B6-E541-B623-4C5D52B26BCF}">
      <dgm:prSet/>
      <dgm:spPr/>
      <dgm:t>
        <a:bodyPr/>
        <a:lstStyle/>
        <a:p>
          <a:endParaRPr lang="en-US"/>
        </a:p>
      </dgm:t>
    </dgm:pt>
    <dgm:pt modelId="{98C12D8C-741D-944E-B57D-A134DD094C99}">
      <dgm:prSet phldrT="[Text]" custT="1"/>
      <dgm:spPr>
        <a:xfrm rot="5400000">
          <a:off x="-92941" y="2673084"/>
          <a:ext cx="619608" cy="433726"/>
        </a:xfrm>
      </dgm:spPr>
      <dgm:t>
        <a:bodyPr/>
        <a:lstStyle/>
        <a:p>
          <a:r>
            <a:rPr lang="en-US" sz="1100">
              <a:latin typeface="Calibri"/>
              <a:ea typeface="+mn-ea"/>
              <a:cs typeface="+mn-cs"/>
            </a:rPr>
            <a:t>Validity &amp; Reliability: 101 students	 &amp; 7 experts</a:t>
          </a:r>
        </a:p>
      </dgm:t>
    </dgm:pt>
    <dgm:pt modelId="{7EEF1EA3-CC3C-EB4E-A270-529566D17C22}" type="parTrans" cxnId="{E24BEEA5-1857-9B4E-A502-7761EE39EA79}">
      <dgm:prSet/>
      <dgm:spPr/>
      <dgm:t>
        <a:bodyPr/>
        <a:lstStyle/>
        <a:p>
          <a:endParaRPr lang="en-US"/>
        </a:p>
      </dgm:t>
    </dgm:pt>
    <dgm:pt modelId="{93BFA0F7-9EF2-3043-99B1-0956CDC3B5CE}" type="sibTrans" cxnId="{E24BEEA5-1857-9B4E-A502-7761EE39EA79}">
      <dgm:prSet/>
      <dgm:spPr/>
      <dgm:t>
        <a:bodyPr/>
        <a:lstStyle/>
        <a:p>
          <a:endParaRPr lang="en-US"/>
        </a:p>
      </dgm:t>
    </dgm:pt>
    <dgm:pt modelId="{85BBA2E1-BDB6-634D-9248-5FA26287E8BB}">
      <dgm:prSet phldrT="[Text]" custT="1"/>
      <dgm:spPr>
        <a:xfrm rot="5400000">
          <a:off x="2758690" y="-260719"/>
          <a:ext cx="402745" cy="5052673"/>
        </a:xfrm>
      </dgm:spPr>
      <dgm:t>
        <a:bodyPr/>
        <a:lstStyle/>
        <a:p>
          <a:r>
            <a:rPr lang="en-US" sz="1000">
              <a:latin typeface="Calibri"/>
              <a:ea typeface="+mn-ea"/>
              <a:cs typeface="+mn-cs"/>
            </a:rPr>
            <a:t>Final version</a:t>
          </a:r>
        </a:p>
      </dgm:t>
    </dgm:pt>
    <dgm:pt modelId="{6A8B8940-1EE1-6D47-AE51-B1BFE01A825E}" type="parTrans" cxnId="{4EE9C9D5-079A-454F-9730-40D1221065FC}">
      <dgm:prSet/>
      <dgm:spPr/>
      <dgm:t>
        <a:bodyPr/>
        <a:lstStyle/>
        <a:p>
          <a:endParaRPr lang="en-US"/>
        </a:p>
      </dgm:t>
    </dgm:pt>
    <dgm:pt modelId="{80266B62-91F1-5548-966D-89B9A94D5B55}" type="sibTrans" cxnId="{4EE9C9D5-079A-454F-9730-40D1221065FC}">
      <dgm:prSet/>
      <dgm:spPr/>
      <dgm:t>
        <a:bodyPr/>
        <a:lstStyle/>
        <a:p>
          <a:endParaRPr lang="en-US"/>
        </a:p>
      </dgm:t>
    </dgm:pt>
    <dgm:pt modelId="{B0EFBED2-6DCC-1740-A0A8-F6CF74A94D27}">
      <dgm:prSet phldrT="[Text]" custT="1"/>
      <dgm:spPr>
        <a:xfrm rot="5400000">
          <a:off x="2758690" y="255179"/>
          <a:ext cx="402745" cy="5052673"/>
        </a:xfrm>
      </dgm:spPr>
      <dgm:t>
        <a:bodyPr/>
        <a:lstStyle/>
        <a:p>
          <a:r>
            <a:rPr lang="en-US" sz="1000">
              <a:latin typeface="Calibri"/>
              <a:ea typeface="+mn-ea"/>
              <a:cs typeface="+mn-cs"/>
            </a:rPr>
            <a:t>Test-retest &amp; internal consistency</a:t>
          </a:r>
        </a:p>
      </dgm:t>
    </dgm:pt>
    <dgm:pt modelId="{B80B3201-9AFE-1540-9942-EE8B262D4A48}" type="parTrans" cxnId="{FCD5ED56-2A88-FF46-AD18-78DACFA6C663}">
      <dgm:prSet/>
      <dgm:spPr/>
      <dgm:t>
        <a:bodyPr/>
        <a:lstStyle/>
        <a:p>
          <a:endParaRPr lang="en-US"/>
        </a:p>
      </dgm:t>
    </dgm:pt>
    <dgm:pt modelId="{683A9347-443B-4E4C-83E1-186E89625338}" type="sibTrans" cxnId="{FCD5ED56-2A88-FF46-AD18-78DACFA6C663}">
      <dgm:prSet/>
      <dgm:spPr/>
      <dgm:t>
        <a:bodyPr/>
        <a:lstStyle/>
        <a:p>
          <a:endParaRPr lang="en-US"/>
        </a:p>
      </dgm:t>
    </dgm:pt>
    <dgm:pt modelId="{3C792DC5-E0A1-8D40-8DA1-2709D3E189C1}">
      <dgm:prSet phldrT="[Text]" custT="1"/>
      <dgm:spPr>
        <a:xfrm rot="5400000">
          <a:off x="2758690" y="-2324316"/>
          <a:ext cx="402745" cy="5052673"/>
        </a:xfrm>
      </dgm:spPr>
      <dgm:t>
        <a:bodyPr/>
        <a:lstStyle/>
        <a:p>
          <a:r>
            <a:rPr lang="en-US" sz="1000">
              <a:latin typeface="Calibri"/>
              <a:ea typeface="+mn-ea"/>
              <a:cs typeface="+mn-cs"/>
            </a:rPr>
            <a:t>Cognitive interviews</a:t>
          </a:r>
        </a:p>
      </dgm:t>
    </dgm:pt>
    <dgm:pt modelId="{DDFBC3D8-8859-1D45-A3DD-AAB83AA43A7D}" type="parTrans" cxnId="{50872ADF-7C95-6946-97F2-577535E52A57}">
      <dgm:prSet/>
      <dgm:spPr/>
      <dgm:t>
        <a:bodyPr/>
        <a:lstStyle/>
        <a:p>
          <a:endParaRPr lang="en-US"/>
        </a:p>
      </dgm:t>
    </dgm:pt>
    <dgm:pt modelId="{198D3775-4C07-904D-A705-CBEA175860B3}" type="sibTrans" cxnId="{50872ADF-7C95-6946-97F2-577535E52A57}">
      <dgm:prSet/>
      <dgm:spPr/>
      <dgm:t>
        <a:bodyPr/>
        <a:lstStyle/>
        <a:p>
          <a:endParaRPr lang="en-US"/>
        </a:p>
      </dgm:t>
    </dgm:pt>
    <dgm:pt modelId="{768B2053-7EAF-CF4B-A72E-6FE92220C84B}">
      <dgm:prSet phldrT="[Text]" custT="1"/>
      <dgm:spPr>
        <a:xfrm rot="5400000">
          <a:off x="2758690" y="-2324316"/>
          <a:ext cx="402745" cy="5052673"/>
        </a:xfrm>
      </dgm:spPr>
      <dgm:t>
        <a:bodyPr/>
        <a:lstStyle/>
        <a:p>
          <a:r>
            <a:rPr lang="en-US" sz="1000">
              <a:latin typeface="Calibri"/>
              <a:ea typeface="+mn-ea"/>
              <a:cs typeface="+mn-cs"/>
            </a:rPr>
            <a:t>Pilotting (251 students &amp; 4 factors)</a:t>
          </a:r>
        </a:p>
      </dgm:t>
    </dgm:pt>
    <dgm:pt modelId="{CFD2DC7D-9D9E-4A4D-A15C-848143F0C83D}" type="parTrans" cxnId="{59570199-FAA3-9E40-AD2E-DB4076E03615}">
      <dgm:prSet/>
      <dgm:spPr/>
      <dgm:t>
        <a:bodyPr/>
        <a:lstStyle/>
        <a:p>
          <a:endParaRPr lang="en-US"/>
        </a:p>
      </dgm:t>
    </dgm:pt>
    <dgm:pt modelId="{C8433038-5FF4-EC49-A9B7-91B513128E8D}" type="sibTrans" cxnId="{59570199-FAA3-9E40-AD2E-DB4076E03615}">
      <dgm:prSet/>
      <dgm:spPr/>
      <dgm:t>
        <a:bodyPr/>
        <a:lstStyle/>
        <a:p>
          <a:endParaRPr lang="en-US"/>
        </a:p>
      </dgm:t>
    </dgm:pt>
    <dgm:pt modelId="{BCABB9DC-5519-0A4B-81BC-4DCA08ACA4D2}">
      <dgm:prSet phldrT="[Text]" custT="1"/>
      <dgm:spPr>
        <a:xfrm rot="5400000">
          <a:off x="2758690" y="255179"/>
          <a:ext cx="402745" cy="5052673"/>
        </a:xfrm>
      </dgm:spPr>
      <dgm:t>
        <a:bodyPr/>
        <a:lstStyle/>
        <a:p>
          <a:r>
            <a:rPr lang="en-US" sz="1000">
              <a:latin typeface="Calibri"/>
              <a:ea typeface="+mn-ea"/>
              <a:cs typeface="+mn-cs"/>
            </a:rPr>
            <a:t>Content &amp; construct validity</a:t>
          </a:r>
        </a:p>
      </dgm:t>
    </dgm:pt>
    <dgm:pt modelId="{4806604C-69A0-E143-BA3E-D8D1D4F86A00}" type="parTrans" cxnId="{73382651-6F7F-AA4B-BD10-9683F6C215DC}">
      <dgm:prSet/>
      <dgm:spPr/>
      <dgm:t>
        <a:bodyPr/>
        <a:lstStyle/>
        <a:p>
          <a:endParaRPr lang="en-US"/>
        </a:p>
      </dgm:t>
    </dgm:pt>
    <dgm:pt modelId="{9F43248F-77BB-1B44-8B38-49667734C2B2}" type="sibTrans" cxnId="{73382651-6F7F-AA4B-BD10-9683F6C215DC}">
      <dgm:prSet/>
      <dgm:spPr/>
      <dgm:t>
        <a:bodyPr/>
        <a:lstStyle/>
        <a:p>
          <a:endParaRPr lang="en-US"/>
        </a:p>
      </dgm:t>
    </dgm:pt>
    <dgm:pt modelId="{40FA5A13-1A37-D743-ACBF-1A5F5936D35C}" type="pres">
      <dgm:prSet presAssocID="{C4466C85-9267-654F-8276-B8E5D4AC5244}" presName="linear" presStyleCnt="0">
        <dgm:presLayoutVars>
          <dgm:animLvl val="lvl"/>
          <dgm:resizeHandles val="exact"/>
        </dgm:presLayoutVars>
      </dgm:prSet>
      <dgm:spPr/>
      <dgm:t>
        <a:bodyPr/>
        <a:lstStyle/>
        <a:p>
          <a:endParaRPr lang="en-US"/>
        </a:p>
      </dgm:t>
    </dgm:pt>
    <dgm:pt modelId="{993F2952-7FFC-254C-ADFF-7775EE0EE152}" type="pres">
      <dgm:prSet presAssocID="{FD6C7B2A-F4CC-3F4A-A457-69885C73F270}" presName="parentText" presStyleLbl="node1" presStyleIdx="0" presStyleCnt="4">
        <dgm:presLayoutVars>
          <dgm:chMax val="0"/>
          <dgm:bulletEnabled val="1"/>
        </dgm:presLayoutVars>
      </dgm:prSet>
      <dgm:spPr/>
      <dgm:t>
        <a:bodyPr/>
        <a:lstStyle/>
        <a:p>
          <a:endParaRPr lang="en-US"/>
        </a:p>
      </dgm:t>
    </dgm:pt>
    <dgm:pt modelId="{F5517A7B-D280-694E-90B1-070E2228A6D5}" type="pres">
      <dgm:prSet presAssocID="{FD6C7B2A-F4CC-3F4A-A457-69885C73F270}" presName="childText" presStyleLbl="revTx" presStyleIdx="0" presStyleCnt="4">
        <dgm:presLayoutVars>
          <dgm:bulletEnabled val="1"/>
        </dgm:presLayoutVars>
      </dgm:prSet>
      <dgm:spPr/>
      <dgm:t>
        <a:bodyPr/>
        <a:lstStyle/>
        <a:p>
          <a:endParaRPr lang="en-US"/>
        </a:p>
      </dgm:t>
    </dgm:pt>
    <dgm:pt modelId="{07EA6D83-4A68-0440-B26B-41ECEAC0F829}" type="pres">
      <dgm:prSet presAssocID="{66199C3E-50A2-6A46-8D07-4F1536087116}" presName="parentText" presStyleLbl="node1" presStyleIdx="1" presStyleCnt="4">
        <dgm:presLayoutVars>
          <dgm:chMax val="0"/>
          <dgm:bulletEnabled val="1"/>
        </dgm:presLayoutVars>
      </dgm:prSet>
      <dgm:spPr/>
      <dgm:t>
        <a:bodyPr/>
        <a:lstStyle/>
        <a:p>
          <a:endParaRPr lang="en-US"/>
        </a:p>
      </dgm:t>
    </dgm:pt>
    <dgm:pt modelId="{C0653E01-4230-2B46-B9E8-9F671FF3A454}" type="pres">
      <dgm:prSet presAssocID="{66199C3E-50A2-6A46-8D07-4F1536087116}" presName="childText" presStyleLbl="revTx" presStyleIdx="1" presStyleCnt="4">
        <dgm:presLayoutVars>
          <dgm:bulletEnabled val="1"/>
        </dgm:presLayoutVars>
      </dgm:prSet>
      <dgm:spPr/>
      <dgm:t>
        <a:bodyPr/>
        <a:lstStyle/>
        <a:p>
          <a:endParaRPr lang="en-US"/>
        </a:p>
      </dgm:t>
    </dgm:pt>
    <dgm:pt modelId="{656B2725-E987-C949-AB8B-CFD1117BD02D}" type="pres">
      <dgm:prSet presAssocID="{F40EB59A-E471-1340-821D-2277A6C35EDD}" presName="parentText" presStyleLbl="node1" presStyleIdx="2" presStyleCnt="4">
        <dgm:presLayoutVars>
          <dgm:chMax val="0"/>
          <dgm:bulletEnabled val="1"/>
        </dgm:presLayoutVars>
      </dgm:prSet>
      <dgm:spPr/>
      <dgm:t>
        <a:bodyPr/>
        <a:lstStyle/>
        <a:p>
          <a:endParaRPr lang="en-US"/>
        </a:p>
      </dgm:t>
    </dgm:pt>
    <dgm:pt modelId="{FFC33B94-98AA-3840-8118-730A3861C0EC}" type="pres">
      <dgm:prSet presAssocID="{F40EB59A-E471-1340-821D-2277A6C35EDD}" presName="childText" presStyleLbl="revTx" presStyleIdx="2" presStyleCnt="4">
        <dgm:presLayoutVars>
          <dgm:bulletEnabled val="1"/>
        </dgm:presLayoutVars>
      </dgm:prSet>
      <dgm:spPr/>
      <dgm:t>
        <a:bodyPr/>
        <a:lstStyle/>
        <a:p>
          <a:endParaRPr lang="en-US"/>
        </a:p>
      </dgm:t>
    </dgm:pt>
    <dgm:pt modelId="{EF4EE35F-492E-5A4D-8EA3-EC69BE5D6418}" type="pres">
      <dgm:prSet presAssocID="{98C12D8C-741D-944E-B57D-A134DD094C99}" presName="parentText" presStyleLbl="node1" presStyleIdx="3" presStyleCnt="4">
        <dgm:presLayoutVars>
          <dgm:chMax val="0"/>
          <dgm:bulletEnabled val="1"/>
        </dgm:presLayoutVars>
      </dgm:prSet>
      <dgm:spPr/>
      <dgm:t>
        <a:bodyPr/>
        <a:lstStyle/>
        <a:p>
          <a:endParaRPr lang="en-US"/>
        </a:p>
      </dgm:t>
    </dgm:pt>
    <dgm:pt modelId="{DF8321CB-2818-DF40-BC06-2DD9903E441E}" type="pres">
      <dgm:prSet presAssocID="{98C12D8C-741D-944E-B57D-A134DD094C99}" presName="childText" presStyleLbl="revTx" presStyleIdx="3" presStyleCnt="4">
        <dgm:presLayoutVars>
          <dgm:bulletEnabled val="1"/>
        </dgm:presLayoutVars>
      </dgm:prSet>
      <dgm:spPr/>
      <dgm:t>
        <a:bodyPr/>
        <a:lstStyle/>
        <a:p>
          <a:endParaRPr lang="en-US"/>
        </a:p>
      </dgm:t>
    </dgm:pt>
  </dgm:ptLst>
  <dgm:cxnLst>
    <dgm:cxn modelId="{1DF71B73-3250-429F-B8CD-424AC19324B2}" type="presOf" srcId="{66199C3E-50A2-6A46-8D07-4F1536087116}" destId="{07EA6D83-4A68-0440-B26B-41ECEAC0F829}" srcOrd="0" destOrd="0" presId="urn:microsoft.com/office/officeart/2005/8/layout/vList2"/>
    <dgm:cxn modelId="{8ED2EED6-7A04-5941-BDEC-FEFBE46DA7DF}" srcId="{C4466C85-9267-654F-8276-B8E5D4AC5244}" destId="{66199C3E-50A2-6A46-8D07-4F1536087116}" srcOrd="1" destOrd="0" parTransId="{C686BC52-D40B-684D-AA0F-368E8DF50A5B}" sibTransId="{57EABCBD-6FCC-4D4A-B0D7-C19F39F04D9D}"/>
    <dgm:cxn modelId="{59570199-FAA3-9E40-AD2E-DB4076E03615}" srcId="{FD6C7B2A-F4CC-3F4A-A457-69885C73F270}" destId="{768B2053-7EAF-CF4B-A72E-6FE92220C84B}" srcOrd="3" destOrd="0" parTransId="{CFD2DC7D-9D9E-4A4D-A15C-848143F0C83D}" sibTransId="{C8433038-5FF4-EC49-A9B7-91B513128E8D}"/>
    <dgm:cxn modelId="{B9BE2242-7459-4AF6-8F3B-9463A3B831D0}" type="presOf" srcId="{0C183A71-B6F9-AD4E-BCEB-2BE823CA20AB}" destId="{F5517A7B-D280-694E-90B1-070E2228A6D5}" srcOrd="0" destOrd="0" presId="urn:microsoft.com/office/officeart/2005/8/layout/vList2"/>
    <dgm:cxn modelId="{FDBB6B52-B7BB-4169-9F80-39E551569CFF}" type="presOf" srcId="{3C792DC5-E0A1-8D40-8DA1-2709D3E189C1}" destId="{F5517A7B-D280-694E-90B1-070E2228A6D5}" srcOrd="0" destOrd="2" presId="urn:microsoft.com/office/officeart/2005/8/layout/vList2"/>
    <dgm:cxn modelId="{B43193AE-C6A8-490F-9775-611B7FC24E43}" type="presOf" srcId="{B0EFBED2-6DCC-1740-A0A8-F6CF74A94D27}" destId="{DF8321CB-2818-DF40-BC06-2DD9903E441E}" srcOrd="0" destOrd="0" presId="urn:microsoft.com/office/officeart/2005/8/layout/vList2"/>
    <dgm:cxn modelId="{82DE1A58-ABB8-4E28-8F94-FAEB720F23E1}" type="presOf" srcId="{FD6C7B2A-F4CC-3F4A-A457-69885C73F270}" destId="{993F2952-7FFC-254C-ADFF-7775EE0EE152}" srcOrd="0" destOrd="0" presId="urn:microsoft.com/office/officeart/2005/8/layout/vList2"/>
    <dgm:cxn modelId="{3B9FE4DD-1C6C-004B-BF37-2EAC8AF8287D}" srcId="{FD6C7B2A-F4CC-3F4A-A457-69885C73F270}" destId="{0C183A71-B6F9-AD4E-BCEB-2BE823CA20AB}" srcOrd="0" destOrd="0" parTransId="{325EE536-CDBA-EA4A-B6BC-6B2D504557A1}" sibTransId="{DE91AEDB-DF81-F24F-BD66-309A4C15D4FE}"/>
    <dgm:cxn modelId="{A3DCFB7D-765F-46BB-ACC7-4A83D7B9DC2D}" type="presOf" srcId="{372CA048-5588-5A43-8A41-13017DB1906C}" destId="{C0653E01-4230-2B46-B9E8-9F671FF3A454}" srcOrd="0" destOrd="1" presId="urn:microsoft.com/office/officeart/2005/8/layout/vList2"/>
    <dgm:cxn modelId="{82D6C857-937F-4C29-9FAF-12A3BF5CCE51}" type="presOf" srcId="{98C12D8C-741D-944E-B57D-A134DD094C99}" destId="{EF4EE35F-492E-5A4D-8EA3-EC69BE5D6418}" srcOrd="0" destOrd="0" presId="urn:microsoft.com/office/officeart/2005/8/layout/vList2"/>
    <dgm:cxn modelId="{757C2798-1DC7-48AD-8CFD-013C10B488A1}" type="presOf" srcId="{145BC5C2-6331-D44B-A98D-D55014354665}" destId="{C0653E01-4230-2B46-B9E8-9F671FF3A454}" srcOrd="0" destOrd="0" presId="urn:microsoft.com/office/officeart/2005/8/layout/vList2"/>
    <dgm:cxn modelId="{E9276BB4-A246-4071-A00A-59CC96724CEB}" type="presOf" srcId="{BCABB9DC-5519-0A4B-81BC-4DCA08ACA4D2}" destId="{DF8321CB-2818-DF40-BC06-2DD9903E441E}" srcOrd="0" destOrd="1" presId="urn:microsoft.com/office/officeart/2005/8/layout/vList2"/>
    <dgm:cxn modelId="{F57AD9D2-7723-4554-9A78-156DD086AF31}" type="presOf" srcId="{AC762BD0-C498-834F-9EAE-1BA4E7FC5A0E}" destId="{F5517A7B-D280-694E-90B1-070E2228A6D5}" srcOrd="0" destOrd="1" presId="urn:microsoft.com/office/officeart/2005/8/layout/vList2"/>
    <dgm:cxn modelId="{966661ED-F644-AA45-B080-062C1CA7E8C1}" srcId="{C4466C85-9267-654F-8276-B8E5D4AC5244}" destId="{FD6C7B2A-F4CC-3F4A-A457-69885C73F270}" srcOrd="0" destOrd="0" parTransId="{685D480D-4D1B-0148-938F-B2666B916984}" sibTransId="{05F002FF-009C-A542-917D-A7B72CC37695}"/>
    <dgm:cxn modelId="{808E932C-3B7C-4517-9BA9-C373C3E589D3}" type="presOf" srcId="{85BBA2E1-BDB6-634D-9248-5FA26287E8BB}" destId="{FFC33B94-98AA-3840-8118-730A3861C0EC}" srcOrd="0" destOrd="0" presId="urn:microsoft.com/office/officeart/2005/8/layout/vList2"/>
    <dgm:cxn modelId="{C775CCE1-66B6-E541-B623-4C5D52B26BCF}" srcId="{C4466C85-9267-654F-8276-B8E5D4AC5244}" destId="{F40EB59A-E471-1340-821D-2277A6C35EDD}" srcOrd="2" destOrd="0" parTransId="{DD951567-1D19-F748-A42F-8C35BCCEB027}" sibTransId="{BC8EB27E-B4CB-8348-B313-921518FD3B4F}"/>
    <dgm:cxn modelId="{5506D249-69FE-4827-ADB9-F844A4DDBF4A}" type="presOf" srcId="{768B2053-7EAF-CF4B-A72E-6FE92220C84B}" destId="{F5517A7B-D280-694E-90B1-070E2228A6D5}" srcOrd="0" destOrd="3" presId="urn:microsoft.com/office/officeart/2005/8/layout/vList2"/>
    <dgm:cxn modelId="{C07760FA-CE56-D74A-A262-942F476F1E28}" srcId="{FD6C7B2A-F4CC-3F4A-A457-69885C73F270}" destId="{AC762BD0-C498-834F-9EAE-1BA4E7FC5A0E}" srcOrd="1" destOrd="0" parTransId="{AAEBE8E1-E30D-054E-9D78-04BDA88F7B57}" sibTransId="{0E0373F7-BEAF-7C46-9E0E-6799FB7828BB}"/>
    <dgm:cxn modelId="{06BB6938-51BD-6E4B-9336-5B102448EF4F}" srcId="{66199C3E-50A2-6A46-8D07-4F1536087116}" destId="{372CA048-5588-5A43-8A41-13017DB1906C}" srcOrd="1" destOrd="0" parTransId="{067742AF-9DD7-1340-8146-49A4891A07E9}" sibTransId="{1396C951-A831-BB41-A165-7770D0AA485E}"/>
    <dgm:cxn modelId="{E24BEEA5-1857-9B4E-A502-7761EE39EA79}" srcId="{C4466C85-9267-654F-8276-B8E5D4AC5244}" destId="{98C12D8C-741D-944E-B57D-A134DD094C99}" srcOrd="3" destOrd="0" parTransId="{7EEF1EA3-CC3C-EB4E-A270-529566D17C22}" sibTransId="{93BFA0F7-9EF2-3043-99B1-0956CDC3B5CE}"/>
    <dgm:cxn modelId="{F6597D02-828A-4264-B453-A2DDC79AA9C1}" type="presOf" srcId="{F40EB59A-E471-1340-821D-2277A6C35EDD}" destId="{656B2725-E987-C949-AB8B-CFD1117BD02D}" srcOrd="0" destOrd="0" presId="urn:microsoft.com/office/officeart/2005/8/layout/vList2"/>
    <dgm:cxn modelId="{4EE9C9D5-079A-454F-9730-40D1221065FC}" srcId="{F40EB59A-E471-1340-821D-2277A6C35EDD}" destId="{85BBA2E1-BDB6-634D-9248-5FA26287E8BB}" srcOrd="0" destOrd="0" parTransId="{6A8B8940-1EE1-6D47-AE51-B1BFE01A825E}" sibTransId="{80266B62-91F1-5548-966D-89B9A94D5B55}"/>
    <dgm:cxn modelId="{D9F634F8-3621-9B44-B17F-09B1F311935F}" srcId="{66199C3E-50A2-6A46-8D07-4F1536087116}" destId="{145BC5C2-6331-D44B-A98D-D55014354665}" srcOrd="0" destOrd="0" parTransId="{017F8D4D-72F7-2547-B25D-DDE05051EEA3}" sibTransId="{4EC6DC89-75FD-AC43-96D4-5F53F7310DDF}"/>
    <dgm:cxn modelId="{50872ADF-7C95-6946-97F2-577535E52A57}" srcId="{FD6C7B2A-F4CC-3F4A-A457-69885C73F270}" destId="{3C792DC5-E0A1-8D40-8DA1-2709D3E189C1}" srcOrd="2" destOrd="0" parTransId="{DDFBC3D8-8859-1D45-A3DD-AAB83AA43A7D}" sibTransId="{198D3775-4C07-904D-A705-CBEA175860B3}"/>
    <dgm:cxn modelId="{FCD5ED56-2A88-FF46-AD18-78DACFA6C663}" srcId="{98C12D8C-741D-944E-B57D-A134DD094C99}" destId="{B0EFBED2-6DCC-1740-A0A8-F6CF74A94D27}" srcOrd="0" destOrd="0" parTransId="{B80B3201-9AFE-1540-9942-EE8B262D4A48}" sibTransId="{683A9347-443B-4E4C-83E1-186E89625338}"/>
    <dgm:cxn modelId="{D1C3A8C1-141A-4D3F-A3F9-3F38A8F8F244}" type="presOf" srcId="{C4466C85-9267-654F-8276-B8E5D4AC5244}" destId="{40FA5A13-1A37-D743-ACBF-1A5F5936D35C}" srcOrd="0" destOrd="0" presId="urn:microsoft.com/office/officeart/2005/8/layout/vList2"/>
    <dgm:cxn modelId="{73382651-6F7F-AA4B-BD10-9683F6C215DC}" srcId="{98C12D8C-741D-944E-B57D-A134DD094C99}" destId="{BCABB9DC-5519-0A4B-81BC-4DCA08ACA4D2}" srcOrd="1" destOrd="0" parTransId="{4806604C-69A0-E143-BA3E-D8D1D4F86A00}" sibTransId="{9F43248F-77BB-1B44-8B38-49667734C2B2}"/>
    <dgm:cxn modelId="{48CE61A6-1D3D-4CF2-9B4C-938DB6CBEECC}" type="presParOf" srcId="{40FA5A13-1A37-D743-ACBF-1A5F5936D35C}" destId="{993F2952-7FFC-254C-ADFF-7775EE0EE152}" srcOrd="0" destOrd="0" presId="urn:microsoft.com/office/officeart/2005/8/layout/vList2"/>
    <dgm:cxn modelId="{9ED948D6-8B6E-4FF0-ABB5-E041E5493820}" type="presParOf" srcId="{40FA5A13-1A37-D743-ACBF-1A5F5936D35C}" destId="{F5517A7B-D280-694E-90B1-070E2228A6D5}" srcOrd="1" destOrd="0" presId="urn:microsoft.com/office/officeart/2005/8/layout/vList2"/>
    <dgm:cxn modelId="{6C7BD42B-A18D-4BCC-9F6F-6D88A48BB370}" type="presParOf" srcId="{40FA5A13-1A37-D743-ACBF-1A5F5936D35C}" destId="{07EA6D83-4A68-0440-B26B-41ECEAC0F829}" srcOrd="2" destOrd="0" presId="urn:microsoft.com/office/officeart/2005/8/layout/vList2"/>
    <dgm:cxn modelId="{C8152FB2-5847-46C5-9D4D-EFFD45454F71}" type="presParOf" srcId="{40FA5A13-1A37-D743-ACBF-1A5F5936D35C}" destId="{C0653E01-4230-2B46-B9E8-9F671FF3A454}" srcOrd="3" destOrd="0" presId="urn:microsoft.com/office/officeart/2005/8/layout/vList2"/>
    <dgm:cxn modelId="{323FA887-A8F3-4D93-A769-CBD368466867}" type="presParOf" srcId="{40FA5A13-1A37-D743-ACBF-1A5F5936D35C}" destId="{656B2725-E987-C949-AB8B-CFD1117BD02D}" srcOrd="4" destOrd="0" presId="urn:microsoft.com/office/officeart/2005/8/layout/vList2"/>
    <dgm:cxn modelId="{802F7274-D4A4-4CFD-9692-329CCB7FFBD0}" type="presParOf" srcId="{40FA5A13-1A37-D743-ACBF-1A5F5936D35C}" destId="{FFC33B94-98AA-3840-8118-730A3861C0EC}" srcOrd="5" destOrd="0" presId="urn:microsoft.com/office/officeart/2005/8/layout/vList2"/>
    <dgm:cxn modelId="{32B33200-BC80-4FFB-A0E7-AB1DDEAFF5E1}" type="presParOf" srcId="{40FA5A13-1A37-D743-ACBF-1A5F5936D35C}" destId="{EF4EE35F-492E-5A4D-8EA3-EC69BE5D6418}" srcOrd="6" destOrd="0" presId="urn:microsoft.com/office/officeart/2005/8/layout/vList2"/>
    <dgm:cxn modelId="{3F2A1B33-8119-4459-AD4D-91715A9CEABA}" type="presParOf" srcId="{40FA5A13-1A37-D743-ACBF-1A5F5936D35C}" destId="{DF8321CB-2818-DF40-BC06-2DD9903E441E}" srcOrd="7"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F2952-7FFC-254C-ADFF-7775EE0EE152}">
      <dsp:nvSpPr>
        <dsp:cNvPr id="0" name=""/>
        <dsp:cNvSpPr/>
      </dsp:nvSpPr>
      <dsp:spPr>
        <a:xfrm>
          <a:off x="0" y="13008"/>
          <a:ext cx="3379763" cy="27027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latin typeface="Calibri"/>
              <a:ea typeface="+mn-ea"/>
              <a:cs typeface="+mn-cs"/>
            </a:rPr>
            <a:t>Item Pool</a:t>
          </a:r>
        </a:p>
      </dsp:txBody>
      <dsp:txXfrm>
        <a:off x="13193" y="26201"/>
        <a:ext cx="3353377" cy="243884"/>
      </dsp:txXfrm>
    </dsp:sp>
    <dsp:sp modelId="{F5517A7B-D280-694E-90B1-070E2228A6D5}">
      <dsp:nvSpPr>
        <dsp:cNvPr id="0" name=""/>
        <dsp:cNvSpPr/>
      </dsp:nvSpPr>
      <dsp:spPr>
        <a:xfrm>
          <a:off x="0" y="283278"/>
          <a:ext cx="3379763" cy="6810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307"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latin typeface="Calibri"/>
              <a:ea typeface="+mn-ea"/>
              <a:cs typeface="+mn-cs"/>
            </a:rPr>
            <a:t>Literature review</a:t>
          </a:r>
        </a:p>
        <a:p>
          <a:pPr marL="57150" lvl="1" indent="-57150" algn="l" defTabSz="444500">
            <a:lnSpc>
              <a:spcPct val="90000"/>
            </a:lnSpc>
            <a:spcBef>
              <a:spcPct val="0"/>
            </a:spcBef>
            <a:spcAft>
              <a:spcPct val="20000"/>
            </a:spcAft>
            <a:buChar char="••"/>
          </a:pPr>
          <a:r>
            <a:rPr lang="en-US" sz="1000" kern="1200">
              <a:latin typeface="Calibri"/>
              <a:ea typeface="+mn-ea"/>
              <a:cs typeface="+mn-cs"/>
            </a:rPr>
            <a:t>Expert reviews</a:t>
          </a:r>
        </a:p>
        <a:p>
          <a:pPr marL="57150" lvl="1" indent="-57150" algn="l" defTabSz="444500">
            <a:lnSpc>
              <a:spcPct val="90000"/>
            </a:lnSpc>
            <a:spcBef>
              <a:spcPct val="0"/>
            </a:spcBef>
            <a:spcAft>
              <a:spcPct val="20000"/>
            </a:spcAft>
            <a:buChar char="••"/>
          </a:pPr>
          <a:r>
            <a:rPr lang="en-US" sz="1000" kern="1200">
              <a:latin typeface="Calibri"/>
              <a:ea typeface="+mn-ea"/>
              <a:cs typeface="+mn-cs"/>
            </a:rPr>
            <a:t>Cognitive interviews</a:t>
          </a:r>
        </a:p>
        <a:p>
          <a:pPr marL="57150" lvl="1" indent="-57150" algn="l" defTabSz="444500">
            <a:lnSpc>
              <a:spcPct val="90000"/>
            </a:lnSpc>
            <a:spcBef>
              <a:spcPct val="0"/>
            </a:spcBef>
            <a:spcAft>
              <a:spcPct val="20000"/>
            </a:spcAft>
            <a:buChar char="••"/>
          </a:pPr>
          <a:r>
            <a:rPr lang="en-US" sz="1000" kern="1200">
              <a:latin typeface="Calibri"/>
              <a:ea typeface="+mn-ea"/>
              <a:cs typeface="+mn-cs"/>
            </a:rPr>
            <a:t>Pilotting (251 students &amp; 4 factors)</a:t>
          </a:r>
        </a:p>
      </dsp:txBody>
      <dsp:txXfrm>
        <a:off x="0" y="283278"/>
        <a:ext cx="3379763" cy="681030"/>
      </dsp:txXfrm>
    </dsp:sp>
    <dsp:sp modelId="{07EA6D83-4A68-0440-B26B-41ECEAC0F829}">
      <dsp:nvSpPr>
        <dsp:cNvPr id="0" name=""/>
        <dsp:cNvSpPr/>
      </dsp:nvSpPr>
      <dsp:spPr>
        <a:xfrm>
          <a:off x="0" y="964308"/>
          <a:ext cx="3379763" cy="27027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latin typeface="Calibri"/>
              <a:ea typeface="+mn-ea"/>
              <a:cs typeface="+mn-cs"/>
            </a:rPr>
            <a:t>EFA: 273 students &amp; 5 factors</a:t>
          </a:r>
        </a:p>
      </dsp:txBody>
      <dsp:txXfrm>
        <a:off x="13193" y="977501"/>
        <a:ext cx="3353377" cy="243884"/>
      </dsp:txXfrm>
    </dsp:sp>
    <dsp:sp modelId="{C0653E01-4230-2B46-B9E8-9F671FF3A454}">
      <dsp:nvSpPr>
        <dsp:cNvPr id="0" name=""/>
        <dsp:cNvSpPr/>
      </dsp:nvSpPr>
      <dsp:spPr>
        <a:xfrm>
          <a:off x="0" y="1234578"/>
          <a:ext cx="3379763" cy="34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307"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latin typeface="Calibri"/>
              <a:ea typeface="+mn-ea"/>
              <a:cs typeface="+mn-cs"/>
            </a:rPr>
            <a:t>Dropped items</a:t>
          </a:r>
        </a:p>
        <a:p>
          <a:pPr marL="57150" lvl="1" indent="-57150" algn="l" defTabSz="444500">
            <a:lnSpc>
              <a:spcPct val="90000"/>
            </a:lnSpc>
            <a:spcBef>
              <a:spcPct val="0"/>
            </a:spcBef>
            <a:spcAft>
              <a:spcPct val="20000"/>
            </a:spcAft>
            <a:buChar char="••"/>
          </a:pPr>
          <a:r>
            <a:rPr lang="en-US" sz="1000" kern="1200">
              <a:latin typeface="Calibri"/>
              <a:ea typeface="+mn-ea"/>
              <a:cs typeface="+mn-cs"/>
            </a:rPr>
            <a:t>Revised items	</a:t>
          </a:r>
        </a:p>
      </dsp:txBody>
      <dsp:txXfrm>
        <a:off x="0" y="1234578"/>
        <a:ext cx="3379763" cy="340515"/>
      </dsp:txXfrm>
    </dsp:sp>
    <dsp:sp modelId="{656B2725-E987-C949-AB8B-CFD1117BD02D}">
      <dsp:nvSpPr>
        <dsp:cNvPr id="0" name=""/>
        <dsp:cNvSpPr/>
      </dsp:nvSpPr>
      <dsp:spPr>
        <a:xfrm>
          <a:off x="0" y="1575093"/>
          <a:ext cx="3379763" cy="27027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latin typeface="Calibri"/>
              <a:ea typeface="+mn-ea"/>
              <a:cs typeface="+mn-cs"/>
            </a:rPr>
            <a:t>CFA: 321 students &amp; 5 factors </a:t>
          </a:r>
        </a:p>
      </dsp:txBody>
      <dsp:txXfrm>
        <a:off x="13193" y="1588286"/>
        <a:ext cx="3353377" cy="243884"/>
      </dsp:txXfrm>
    </dsp:sp>
    <dsp:sp modelId="{FFC33B94-98AA-3840-8118-730A3861C0EC}">
      <dsp:nvSpPr>
        <dsp:cNvPr id="0" name=""/>
        <dsp:cNvSpPr/>
      </dsp:nvSpPr>
      <dsp:spPr>
        <a:xfrm>
          <a:off x="0" y="1845363"/>
          <a:ext cx="3379763" cy="231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307"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latin typeface="Calibri"/>
              <a:ea typeface="+mn-ea"/>
              <a:cs typeface="+mn-cs"/>
            </a:rPr>
            <a:t>Final version</a:t>
          </a:r>
        </a:p>
      </dsp:txBody>
      <dsp:txXfrm>
        <a:off x="0" y="1845363"/>
        <a:ext cx="3379763" cy="231840"/>
      </dsp:txXfrm>
    </dsp:sp>
    <dsp:sp modelId="{EF4EE35F-492E-5A4D-8EA3-EC69BE5D6418}">
      <dsp:nvSpPr>
        <dsp:cNvPr id="0" name=""/>
        <dsp:cNvSpPr/>
      </dsp:nvSpPr>
      <dsp:spPr>
        <a:xfrm>
          <a:off x="0" y="2077203"/>
          <a:ext cx="3379763" cy="27027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latin typeface="Calibri"/>
              <a:ea typeface="+mn-ea"/>
              <a:cs typeface="+mn-cs"/>
            </a:rPr>
            <a:t>Validity &amp; Reliability: 101 students	 &amp; 7 experts</a:t>
          </a:r>
        </a:p>
      </dsp:txBody>
      <dsp:txXfrm>
        <a:off x="13193" y="2090396"/>
        <a:ext cx="3353377" cy="243884"/>
      </dsp:txXfrm>
    </dsp:sp>
    <dsp:sp modelId="{DF8321CB-2818-DF40-BC06-2DD9903E441E}">
      <dsp:nvSpPr>
        <dsp:cNvPr id="0" name=""/>
        <dsp:cNvSpPr/>
      </dsp:nvSpPr>
      <dsp:spPr>
        <a:xfrm>
          <a:off x="0" y="2347473"/>
          <a:ext cx="3379763" cy="34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307"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latin typeface="Calibri"/>
              <a:ea typeface="+mn-ea"/>
              <a:cs typeface="+mn-cs"/>
            </a:rPr>
            <a:t>Test-retest &amp; internal consistency</a:t>
          </a:r>
        </a:p>
        <a:p>
          <a:pPr marL="57150" lvl="1" indent="-57150" algn="l" defTabSz="444500">
            <a:lnSpc>
              <a:spcPct val="90000"/>
            </a:lnSpc>
            <a:spcBef>
              <a:spcPct val="0"/>
            </a:spcBef>
            <a:spcAft>
              <a:spcPct val="20000"/>
            </a:spcAft>
            <a:buChar char="••"/>
          </a:pPr>
          <a:r>
            <a:rPr lang="en-US" sz="1000" kern="1200">
              <a:latin typeface="Calibri"/>
              <a:ea typeface="+mn-ea"/>
              <a:cs typeface="+mn-cs"/>
            </a:rPr>
            <a:t>Content &amp; construct validity</a:t>
          </a:r>
        </a:p>
      </dsp:txBody>
      <dsp:txXfrm>
        <a:off x="0" y="2347473"/>
        <a:ext cx="3379763" cy="34051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3072-E9CD-4EF3-A183-61C2C01E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7699</Words>
  <Characters>43890</Characters>
  <Application>Microsoft Office Word</Application>
  <DocSecurity>0</DocSecurity>
  <Lines>365</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Author</cp:lastModifiedBy>
  <cp:revision>2</cp:revision>
  <dcterms:created xsi:type="dcterms:W3CDTF">2018-11-03T10:12:00Z</dcterms:created>
  <dcterms:modified xsi:type="dcterms:W3CDTF">2018-11-03T10:12:00Z</dcterms:modified>
</cp:coreProperties>
</file>