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EF4F" w14:textId="77777777" w:rsidR="00C06075" w:rsidRPr="00B9370A" w:rsidRDefault="001726C1" w:rsidP="001726C1">
      <w:pPr>
        <w:spacing w:after="0"/>
        <w:rPr>
          <w:lang w:val="en-US"/>
        </w:rPr>
      </w:pPr>
      <w:r w:rsidRPr="006E070F">
        <w:rPr>
          <w:noProof/>
          <w:lang w:val="en-US"/>
        </w:rPr>
        <w:drawing>
          <wp:anchor distT="0" distB="0" distL="114300" distR="114300" simplePos="0" relativeHeight="251659264" behindDoc="0" locked="0" layoutInCell="1" allowOverlap="1" wp14:anchorId="79A86D70" wp14:editId="4D7B68C8">
            <wp:simplePos x="0" y="0"/>
            <wp:positionH relativeFrom="column">
              <wp:posOffset>5564505</wp:posOffset>
            </wp:positionH>
            <wp:positionV relativeFrom="paragraph">
              <wp:posOffset>-80645</wp:posOffset>
            </wp:positionV>
            <wp:extent cx="546735" cy="507365"/>
            <wp:effectExtent l="0" t="0" r="5715" b="6985"/>
            <wp:wrapThrough wrapText="bothSides">
              <wp:wrapPolygon edited="0">
                <wp:start x="0" y="0"/>
                <wp:lineTo x="0" y="21086"/>
                <wp:lineTo x="21073" y="21086"/>
                <wp:lineTo x="21073" y="0"/>
                <wp:lineTo x="0" y="0"/>
              </wp:wrapPolygon>
            </wp:wrapThrough>
            <wp:docPr id="2" name="Resim 2"/>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anchor>
        </w:drawing>
      </w:r>
      <w:r w:rsidRPr="006E070F">
        <w:rPr>
          <w:noProof/>
          <w:lang w:val="en-US"/>
        </w:rPr>
        <w:drawing>
          <wp:inline distT="0" distB="0" distL="0" distR="0" wp14:anchorId="2CD1E7D9" wp14:editId="0BB828B5">
            <wp:extent cx="2286000" cy="4203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20370"/>
                    </a:xfrm>
                    <a:prstGeom prst="rect">
                      <a:avLst/>
                    </a:prstGeom>
                    <a:noFill/>
                  </pic:spPr>
                </pic:pic>
              </a:graphicData>
            </a:graphic>
          </wp:inline>
        </w:drawing>
      </w:r>
      <w:r w:rsidRPr="00B9370A">
        <w:rPr>
          <w:lang w:val="en-US"/>
        </w:rPr>
        <w:tab/>
      </w:r>
      <w:r w:rsidRPr="00B9370A">
        <w:rPr>
          <w:lang w:val="en-US"/>
        </w:rPr>
        <w:tab/>
      </w:r>
      <w:r w:rsidRPr="00B9370A">
        <w:rPr>
          <w:lang w:val="en-US"/>
        </w:rPr>
        <w:tab/>
      </w:r>
      <w:r w:rsidRPr="00B9370A">
        <w:rPr>
          <w:lang w:val="en-US"/>
        </w:rPr>
        <w:tab/>
      </w:r>
      <w:r w:rsidRPr="00B9370A">
        <w:rPr>
          <w:lang w:val="en-US"/>
        </w:rPr>
        <w:tab/>
      </w:r>
      <w:r w:rsidRPr="00B9370A">
        <w:rPr>
          <w:lang w:val="en-US"/>
        </w:rPr>
        <w:tab/>
      </w:r>
      <w:r w:rsidRPr="00B9370A">
        <w:rPr>
          <w:lang w:val="en-US"/>
        </w:rPr>
        <w:tab/>
      </w:r>
    </w:p>
    <w:p w14:paraId="53EF815D" w14:textId="77777777" w:rsidR="001726C1" w:rsidRPr="00B9370A" w:rsidRDefault="001726C1" w:rsidP="001726C1">
      <w:pPr>
        <w:pStyle w:val="stBilgi"/>
        <w:rPr>
          <w:rFonts w:ascii="Times New Roman" w:hAnsi="Times New Roman" w:cs="Times New Roman"/>
          <w:b/>
          <w:lang w:val="en-US"/>
        </w:rPr>
      </w:pPr>
      <w:r w:rsidRPr="00B9370A">
        <w:rPr>
          <w:rFonts w:ascii="Times New Roman" w:hAnsi="Times New Roman" w:cs="Times New Roman"/>
          <w:b/>
          <w:lang w:val="en-US"/>
        </w:rPr>
        <w:t xml:space="preserve">Original Research / </w:t>
      </w:r>
      <w:proofErr w:type="spellStart"/>
      <w:r w:rsidRPr="00B9370A">
        <w:rPr>
          <w:rFonts w:ascii="Times New Roman" w:hAnsi="Times New Roman" w:cs="Times New Roman"/>
          <w:b/>
          <w:lang w:val="en-US"/>
        </w:rPr>
        <w:t>Özgün</w:t>
      </w:r>
      <w:proofErr w:type="spellEnd"/>
      <w:r w:rsidRPr="00B9370A">
        <w:rPr>
          <w:rFonts w:ascii="Times New Roman" w:hAnsi="Times New Roman" w:cs="Times New Roman"/>
          <w:b/>
          <w:lang w:val="en-US"/>
        </w:rPr>
        <w:t xml:space="preserve"> </w:t>
      </w:r>
      <w:proofErr w:type="spellStart"/>
      <w:r w:rsidRPr="00B9370A">
        <w:rPr>
          <w:rFonts w:ascii="Times New Roman" w:hAnsi="Times New Roman" w:cs="Times New Roman"/>
          <w:b/>
          <w:lang w:val="en-US"/>
        </w:rPr>
        <w:t>Araştırma</w:t>
      </w:r>
      <w:proofErr w:type="spellEnd"/>
    </w:p>
    <w:p w14:paraId="2642BA8F" w14:textId="77777777" w:rsidR="001726C1" w:rsidRPr="00B9370A" w:rsidRDefault="001726C1">
      <w:pPr>
        <w:rPr>
          <w:lang w:val="en-US"/>
        </w:rPr>
      </w:pPr>
    </w:p>
    <w:p w14:paraId="68FBB765" w14:textId="77777777" w:rsidR="006E070F" w:rsidRPr="00B9370A" w:rsidRDefault="006E070F" w:rsidP="001726C1">
      <w:pPr>
        <w:spacing w:after="0"/>
        <w:rPr>
          <w:rFonts w:ascii="Times New Roman" w:hAnsi="Times New Roman" w:cs="Times New Roman"/>
          <w:b/>
          <w:sz w:val="40"/>
          <w:lang w:val="en-US"/>
        </w:rPr>
      </w:pPr>
      <w:r w:rsidRPr="006E070F">
        <w:rPr>
          <w:rFonts w:ascii="Times New Roman" w:hAnsi="Times New Roman" w:cs="Times New Roman"/>
          <w:b/>
          <w:sz w:val="40"/>
          <w:lang w:val="en-US"/>
        </w:rPr>
        <w:t>Are</w:t>
      </w:r>
      <w:r w:rsidRPr="00B9370A">
        <w:rPr>
          <w:rFonts w:ascii="Times New Roman" w:hAnsi="Times New Roman" w:cs="Times New Roman"/>
          <w:b/>
          <w:sz w:val="40"/>
          <w:lang w:val="en-US"/>
        </w:rPr>
        <w:t xml:space="preserve"> routine detailed screening tests in healthy children necessary?</w:t>
      </w:r>
    </w:p>
    <w:p w14:paraId="6AD2D2A9" w14:textId="77777777" w:rsidR="001726C1" w:rsidRPr="00B9370A" w:rsidRDefault="001726C1" w:rsidP="001726C1">
      <w:pPr>
        <w:spacing w:after="0"/>
        <w:rPr>
          <w:rFonts w:ascii="Times New Roman" w:hAnsi="Times New Roman" w:cs="Times New Roman"/>
          <w:sz w:val="32"/>
          <w:lang w:val="en-US"/>
        </w:rPr>
      </w:pPr>
    </w:p>
    <w:p w14:paraId="566F3C51" w14:textId="430E5B48" w:rsidR="001726C1" w:rsidRPr="00B9370A" w:rsidRDefault="006E070F" w:rsidP="001726C1">
      <w:pPr>
        <w:spacing w:after="0"/>
        <w:rPr>
          <w:rFonts w:ascii="Times New Roman" w:hAnsi="Times New Roman" w:cs="Times New Roman"/>
          <w:i/>
          <w:color w:val="FF0000"/>
          <w:lang w:val="en-US"/>
        </w:rPr>
      </w:pPr>
      <w:proofErr w:type="spellStart"/>
      <w:r w:rsidRPr="00B9370A">
        <w:rPr>
          <w:rFonts w:ascii="Times New Roman" w:hAnsi="Times New Roman" w:cs="Times New Roman"/>
          <w:sz w:val="32"/>
          <w:lang w:val="en-US"/>
        </w:rPr>
        <w:t>Sağlıklı</w:t>
      </w:r>
      <w:proofErr w:type="spellEnd"/>
      <w:r w:rsidRPr="00B9370A">
        <w:rPr>
          <w:rFonts w:ascii="Times New Roman" w:hAnsi="Times New Roman" w:cs="Times New Roman"/>
          <w:sz w:val="32"/>
          <w:lang w:val="en-US"/>
        </w:rPr>
        <w:t xml:space="preserve"> </w:t>
      </w:r>
      <w:proofErr w:type="spellStart"/>
      <w:r w:rsidRPr="00B9370A">
        <w:rPr>
          <w:rFonts w:ascii="Times New Roman" w:hAnsi="Times New Roman" w:cs="Times New Roman"/>
          <w:sz w:val="32"/>
          <w:lang w:val="en-US"/>
        </w:rPr>
        <w:t>çocuklarda</w:t>
      </w:r>
      <w:proofErr w:type="spellEnd"/>
      <w:r w:rsidRPr="00B9370A">
        <w:rPr>
          <w:rFonts w:ascii="Times New Roman" w:hAnsi="Times New Roman" w:cs="Times New Roman"/>
          <w:sz w:val="32"/>
          <w:lang w:val="en-US"/>
        </w:rPr>
        <w:t xml:space="preserve"> </w:t>
      </w:r>
      <w:proofErr w:type="spellStart"/>
      <w:r w:rsidRPr="00B9370A">
        <w:rPr>
          <w:rFonts w:ascii="Times New Roman" w:hAnsi="Times New Roman" w:cs="Times New Roman"/>
          <w:sz w:val="32"/>
          <w:lang w:val="en-US"/>
        </w:rPr>
        <w:t>ayrıntılı</w:t>
      </w:r>
      <w:proofErr w:type="spellEnd"/>
      <w:r w:rsidRPr="00B9370A">
        <w:rPr>
          <w:rFonts w:ascii="Times New Roman" w:hAnsi="Times New Roman" w:cs="Times New Roman"/>
          <w:sz w:val="32"/>
          <w:lang w:val="en-US"/>
        </w:rPr>
        <w:t xml:space="preserve"> </w:t>
      </w:r>
      <w:proofErr w:type="spellStart"/>
      <w:r w:rsidRPr="00B9370A">
        <w:rPr>
          <w:rFonts w:ascii="Times New Roman" w:hAnsi="Times New Roman" w:cs="Times New Roman"/>
          <w:sz w:val="32"/>
          <w:lang w:val="en-US"/>
        </w:rPr>
        <w:t>tarama</w:t>
      </w:r>
      <w:proofErr w:type="spellEnd"/>
      <w:r w:rsidRPr="00B9370A">
        <w:rPr>
          <w:rFonts w:ascii="Times New Roman" w:hAnsi="Times New Roman" w:cs="Times New Roman"/>
          <w:sz w:val="32"/>
          <w:lang w:val="en-US"/>
        </w:rPr>
        <w:t xml:space="preserve"> </w:t>
      </w:r>
      <w:proofErr w:type="spellStart"/>
      <w:r w:rsidRPr="00B9370A">
        <w:rPr>
          <w:rFonts w:ascii="Times New Roman" w:hAnsi="Times New Roman" w:cs="Times New Roman"/>
          <w:sz w:val="32"/>
          <w:lang w:val="en-US"/>
        </w:rPr>
        <w:t>testleri</w:t>
      </w:r>
      <w:proofErr w:type="spellEnd"/>
      <w:r w:rsidRPr="00B9370A">
        <w:rPr>
          <w:rFonts w:ascii="Times New Roman" w:hAnsi="Times New Roman" w:cs="Times New Roman"/>
          <w:sz w:val="32"/>
          <w:lang w:val="en-US"/>
        </w:rPr>
        <w:t xml:space="preserve"> </w:t>
      </w:r>
      <w:proofErr w:type="spellStart"/>
      <w:r w:rsidRPr="00B9370A">
        <w:rPr>
          <w:rFonts w:ascii="Times New Roman" w:hAnsi="Times New Roman" w:cs="Times New Roman"/>
          <w:sz w:val="32"/>
          <w:lang w:val="en-US"/>
        </w:rPr>
        <w:t>gerekli</w:t>
      </w:r>
      <w:proofErr w:type="spellEnd"/>
      <w:r w:rsidRPr="00B9370A">
        <w:rPr>
          <w:rFonts w:ascii="Times New Roman" w:hAnsi="Times New Roman" w:cs="Times New Roman"/>
          <w:sz w:val="32"/>
          <w:lang w:val="en-US"/>
        </w:rPr>
        <w:t xml:space="preserve"> mi?</w:t>
      </w:r>
    </w:p>
    <w:p w14:paraId="0469D6D5" w14:textId="77777777" w:rsidR="006E070F" w:rsidRPr="00B9370A" w:rsidRDefault="006E070F" w:rsidP="001726C1">
      <w:pPr>
        <w:spacing w:after="0"/>
        <w:rPr>
          <w:rFonts w:ascii="Times New Roman" w:hAnsi="Times New Roman" w:cs="Times New Roman"/>
          <w:i/>
          <w:lang w:val="en-US"/>
        </w:rPr>
      </w:pPr>
    </w:p>
    <w:p w14:paraId="6B634FF7" w14:textId="6FC26086" w:rsidR="001726C1" w:rsidRPr="00B9370A" w:rsidRDefault="001726C1" w:rsidP="001726C1">
      <w:pPr>
        <w:spacing w:after="0"/>
        <w:rPr>
          <w:rFonts w:ascii="Times New Roman" w:hAnsi="Times New Roman" w:cs="Times New Roman"/>
          <w:sz w:val="36"/>
          <w:vertAlign w:val="superscript"/>
          <w:lang w:val="en-US"/>
        </w:rPr>
      </w:pPr>
      <w:proofErr w:type="spellStart"/>
      <w:r w:rsidRPr="00B9370A">
        <w:rPr>
          <w:rFonts w:ascii="Times New Roman" w:hAnsi="Times New Roman" w:cs="Times New Roman"/>
          <w:i/>
          <w:lang w:val="en-US"/>
        </w:rPr>
        <w:t>Derya</w:t>
      </w:r>
      <w:proofErr w:type="spellEnd"/>
      <w:r w:rsidRPr="00B9370A">
        <w:rPr>
          <w:rFonts w:ascii="Times New Roman" w:hAnsi="Times New Roman" w:cs="Times New Roman"/>
          <w:i/>
          <w:lang w:val="en-US"/>
        </w:rPr>
        <w:t xml:space="preserve"> </w:t>
      </w:r>
      <w:proofErr w:type="spellStart"/>
      <w:r w:rsidRPr="00B9370A">
        <w:rPr>
          <w:rFonts w:ascii="Times New Roman" w:hAnsi="Times New Roman" w:cs="Times New Roman"/>
          <w:i/>
          <w:lang w:val="en-US"/>
        </w:rPr>
        <w:t>Kalyoncu</w:t>
      </w:r>
      <w:proofErr w:type="spellEnd"/>
      <w:r w:rsidR="007C259B">
        <w:rPr>
          <w:rFonts w:ascii="Times New Roman" w:hAnsi="Times New Roman" w:cs="Times New Roman"/>
          <w:i/>
          <w:lang w:val="en-US"/>
        </w:rPr>
        <w:t>*</w:t>
      </w:r>
      <w:r w:rsidRPr="00B9370A">
        <w:rPr>
          <w:rFonts w:ascii="Times New Roman" w:hAnsi="Times New Roman" w:cs="Times New Roman"/>
          <w:i/>
          <w:vertAlign w:val="superscript"/>
          <w:lang w:val="en-US"/>
        </w:rPr>
        <w:t>1</w:t>
      </w:r>
    </w:p>
    <w:p w14:paraId="5BFFA579" w14:textId="77777777" w:rsidR="001726C1" w:rsidRPr="00B9370A" w:rsidRDefault="001726C1" w:rsidP="001726C1">
      <w:pPr>
        <w:spacing w:after="0"/>
        <w:rPr>
          <w:rFonts w:ascii="Times New Roman" w:hAnsi="Times New Roman" w:cs="Times New Roman"/>
          <w:b/>
          <w:sz w:val="20"/>
          <w:lang w:val="en-US"/>
        </w:rPr>
      </w:pPr>
    </w:p>
    <w:p w14:paraId="797BFEC7" w14:textId="4EEEDBE5" w:rsidR="001726C1" w:rsidRPr="00B9370A" w:rsidRDefault="00B9370A" w:rsidP="001726C1">
      <w:pPr>
        <w:spacing w:after="0"/>
        <w:rPr>
          <w:rFonts w:ascii="Times New Roman" w:hAnsi="Times New Roman" w:cs="Times New Roman"/>
          <w:b/>
          <w:sz w:val="20"/>
          <w:lang w:val="en-US"/>
        </w:rPr>
      </w:pPr>
      <w:r>
        <w:rPr>
          <w:rFonts w:ascii="Times New Roman" w:hAnsi="Times New Roman" w:cs="Times New Roman"/>
          <w:b/>
          <w:sz w:val="20"/>
          <w:lang w:val="en-US"/>
        </w:rPr>
        <w:t>ABSTRACT</w:t>
      </w:r>
    </w:p>
    <w:p w14:paraId="24EA00BF" w14:textId="77777777" w:rsidR="001726C1" w:rsidRPr="00B9370A" w:rsidRDefault="001726C1" w:rsidP="001726C1">
      <w:pPr>
        <w:spacing w:after="0"/>
        <w:rPr>
          <w:rFonts w:ascii="Times New Roman" w:hAnsi="Times New Roman" w:cs="Times New Roman"/>
          <w:b/>
          <w:sz w:val="16"/>
          <w:lang w:val="en-US"/>
        </w:rPr>
      </w:pPr>
    </w:p>
    <w:p w14:paraId="5A4D2BFD" w14:textId="1FB8955C" w:rsidR="001726C1" w:rsidRPr="00B9370A" w:rsidRDefault="001726C1" w:rsidP="00B9370A">
      <w:pPr>
        <w:spacing w:after="0"/>
        <w:jc w:val="both"/>
        <w:rPr>
          <w:rFonts w:ascii="Times New Roman" w:hAnsi="Times New Roman" w:cs="Times New Roman"/>
          <w:sz w:val="18"/>
          <w:szCs w:val="18"/>
          <w:lang w:val="en-US"/>
        </w:rPr>
      </w:pPr>
      <w:r w:rsidRPr="00B9370A">
        <w:rPr>
          <w:rFonts w:ascii="Times New Roman" w:hAnsi="Times New Roman" w:cs="Times New Roman"/>
          <w:b/>
          <w:sz w:val="18"/>
          <w:szCs w:val="18"/>
          <w:lang w:val="en-US"/>
        </w:rPr>
        <w:t>Background:</w:t>
      </w:r>
      <w:r w:rsidRPr="00B9370A">
        <w:rPr>
          <w:rFonts w:ascii="Times New Roman" w:hAnsi="Times New Roman" w:cs="Times New Roman"/>
          <w:sz w:val="18"/>
          <w:szCs w:val="18"/>
          <w:lang w:val="en-US"/>
        </w:rPr>
        <w:t xml:space="preserve"> The aim of the study was to determine if routine detailed screening tests in </w:t>
      </w:r>
      <w:r w:rsidR="00B9370A" w:rsidRPr="00B9370A">
        <w:rPr>
          <w:rFonts w:ascii="Times New Roman" w:hAnsi="Times New Roman" w:cs="Times New Roman"/>
          <w:sz w:val="18"/>
          <w:szCs w:val="18"/>
          <w:lang w:val="en-US"/>
        </w:rPr>
        <w:t>healthy children</w:t>
      </w:r>
      <w:r w:rsidRPr="00B9370A">
        <w:rPr>
          <w:rFonts w:ascii="Times New Roman" w:hAnsi="Times New Roman" w:cs="Times New Roman"/>
          <w:sz w:val="18"/>
          <w:szCs w:val="18"/>
          <w:lang w:val="en-US"/>
        </w:rPr>
        <w:t xml:space="preserve"> are needed or not. </w:t>
      </w:r>
      <w:r w:rsidRPr="00B9370A">
        <w:rPr>
          <w:rFonts w:ascii="Times New Roman" w:hAnsi="Times New Roman" w:cs="Times New Roman"/>
          <w:b/>
          <w:sz w:val="18"/>
          <w:szCs w:val="18"/>
          <w:lang w:val="en-US"/>
        </w:rPr>
        <w:t>Methods</w:t>
      </w:r>
      <w:r w:rsidRPr="00B9370A">
        <w:rPr>
          <w:rFonts w:ascii="Times New Roman" w:hAnsi="Times New Roman" w:cs="Times New Roman"/>
          <w:sz w:val="18"/>
          <w:szCs w:val="18"/>
          <w:lang w:val="en-US"/>
        </w:rPr>
        <w:t>: A total of 590 healthy children (mean age: 9.7±2.</w:t>
      </w:r>
      <w:r w:rsidR="006E070F" w:rsidRPr="00B9370A">
        <w:rPr>
          <w:rFonts w:ascii="Times New Roman" w:hAnsi="Times New Roman" w:cs="Times New Roman"/>
          <w:sz w:val="18"/>
          <w:szCs w:val="18"/>
          <w:lang w:val="en-US"/>
        </w:rPr>
        <w:t>9 years</w:t>
      </w:r>
      <w:r w:rsidRPr="00B9370A">
        <w:rPr>
          <w:rFonts w:ascii="Times New Roman" w:hAnsi="Times New Roman" w:cs="Times New Roman"/>
          <w:sz w:val="18"/>
          <w:szCs w:val="18"/>
          <w:lang w:val="en-US"/>
        </w:rPr>
        <w:t xml:space="preserve">, M/F: 286/304) who were referred from primary care providers for screening tests were evaluated retrospectively in terms of laboratory findings such as complete blood count, lipid profiles, liver and kidney function tests.  </w:t>
      </w:r>
      <w:r w:rsidRPr="00B9370A">
        <w:rPr>
          <w:rFonts w:ascii="Times New Roman" w:hAnsi="Times New Roman" w:cs="Times New Roman"/>
          <w:b/>
          <w:sz w:val="18"/>
          <w:szCs w:val="18"/>
          <w:lang w:val="en-US"/>
        </w:rPr>
        <w:t>Results:</w:t>
      </w:r>
      <w:r w:rsidRPr="00B9370A">
        <w:rPr>
          <w:rFonts w:ascii="Times New Roman" w:hAnsi="Times New Roman" w:cs="Times New Roman"/>
          <w:sz w:val="18"/>
          <w:szCs w:val="18"/>
          <w:lang w:val="en-US"/>
        </w:rPr>
        <w:t xml:space="preserve"> Iron deficiency anemia was significantly more common in teenage girls than boys. Only 16.7% of girls and 16.4% of boys had lipid abnormalities. The other biochemical parameters were within normal limits in both groups. </w:t>
      </w:r>
      <w:r w:rsidRPr="00B9370A">
        <w:rPr>
          <w:rFonts w:ascii="Times New Roman" w:hAnsi="Times New Roman" w:cs="Times New Roman"/>
          <w:b/>
          <w:sz w:val="18"/>
          <w:szCs w:val="18"/>
          <w:lang w:val="en-US"/>
        </w:rPr>
        <w:t>Conclusions:</w:t>
      </w:r>
      <w:r w:rsidRPr="00B9370A">
        <w:rPr>
          <w:rFonts w:ascii="Times New Roman" w:hAnsi="Times New Roman" w:cs="Times New Roman"/>
          <w:sz w:val="18"/>
          <w:szCs w:val="18"/>
          <w:lang w:val="en-US"/>
        </w:rPr>
        <w:t xml:space="preserve"> No significant difference was observed in biochemical parameters in healthy children. </w:t>
      </w:r>
      <w:r w:rsidR="006E070F" w:rsidRPr="00B9370A">
        <w:rPr>
          <w:rFonts w:ascii="Times New Roman" w:hAnsi="Times New Roman" w:cs="Times New Roman"/>
          <w:sz w:val="18"/>
          <w:szCs w:val="18"/>
          <w:lang w:val="en-US"/>
        </w:rPr>
        <w:t>Thus,</w:t>
      </w:r>
      <w:r w:rsidRPr="00B9370A">
        <w:rPr>
          <w:rFonts w:ascii="Times New Roman" w:hAnsi="Times New Roman" w:cs="Times New Roman"/>
          <w:sz w:val="18"/>
          <w:szCs w:val="18"/>
          <w:lang w:val="en-US"/>
        </w:rPr>
        <w:t xml:space="preserve"> unnecessary tests should not be done in healthy children by primary care physicians.</w:t>
      </w:r>
    </w:p>
    <w:p w14:paraId="5D9D7195" w14:textId="77777777" w:rsidR="001726C1" w:rsidRPr="00B9370A" w:rsidRDefault="001726C1" w:rsidP="00B9370A">
      <w:pPr>
        <w:spacing w:after="0"/>
        <w:jc w:val="both"/>
        <w:rPr>
          <w:rFonts w:ascii="Times New Roman" w:hAnsi="Times New Roman" w:cs="Times New Roman"/>
          <w:sz w:val="18"/>
          <w:szCs w:val="18"/>
          <w:lang w:val="en-US"/>
        </w:rPr>
      </w:pPr>
      <w:r w:rsidRPr="00B9370A">
        <w:rPr>
          <w:rFonts w:ascii="Times New Roman" w:hAnsi="Times New Roman" w:cs="Times New Roman"/>
          <w:b/>
          <w:sz w:val="18"/>
          <w:szCs w:val="18"/>
          <w:lang w:val="en-US"/>
        </w:rPr>
        <w:t>Key</w:t>
      </w:r>
      <w:r w:rsidR="006E070F" w:rsidRPr="00B9370A">
        <w:rPr>
          <w:rFonts w:ascii="Times New Roman" w:hAnsi="Times New Roman" w:cs="Times New Roman"/>
          <w:b/>
          <w:sz w:val="18"/>
          <w:szCs w:val="18"/>
          <w:lang w:val="en-US"/>
        </w:rPr>
        <w:t xml:space="preserve"> </w:t>
      </w:r>
      <w:r w:rsidRPr="00B9370A">
        <w:rPr>
          <w:rFonts w:ascii="Times New Roman" w:hAnsi="Times New Roman" w:cs="Times New Roman"/>
          <w:b/>
          <w:sz w:val="18"/>
          <w:szCs w:val="18"/>
          <w:lang w:val="en-US"/>
        </w:rPr>
        <w:t>words:</w:t>
      </w:r>
      <w:r w:rsidRPr="00B9370A">
        <w:rPr>
          <w:rFonts w:ascii="Times New Roman" w:hAnsi="Times New Roman" w:cs="Times New Roman"/>
          <w:sz w:val="18"/>
          <w:szCs w:val="18"/>
          <w:lang w:val="en-US"/>
        </w:rPr>
        <w:t xml:space="preserve"> Healthy children, screening tests, biochemical tests</w:t>
      </w:r>
    </w:p>
    <w:p w14:paraId="7C1B57D0" w14:textId="77777777" w:rsidR="001726C1" w:rsidRPr="00B9370A" w:rsidRDefault="001726C1" w:rsidP="00B9370A">
      <w:pPr>
        <w:spacing w:after="0"/>
        <w:jc w:val="both"/>
        <w:rPr>
          <w:rFonts w:ascii="Times New Roman" w:hAnsi="Times New Roman" w:cs="Times New Roman"/>
          <w:sz w:val="20"/>
          <w:szCs w:val="20"/>
          <w:lang w:val="en-US"/>
        </w:rPr>
      </w:pPr>
    </w:p>
    <w:p w14:paraId="4004BBFA" w14:textId="77777777" w:rsidR="001726C1" w:rsidRPr="00B9370A" w:rsidRDefault="001726C1" w:rsidP="001726C1">
      <w:pPr>
        <w:spacing w:after="0"/>
        <w:rPr>
          <w:rFonts w:ascii="Times New Roman" w:hAnsi="Times New Roman" w:cs="Times New Roman"/>
          <w:b/>
          <w:sz w:val="20"/>
          <w:lang w:val="en-US"/>
        </w:rPr>
      </w:pPr>
      <w:r w:rsidRPr="00B9370A">
        <w:rPr>
          <w:rFonts w:ascii="Times New Roman" w:hAnsi="Times New Roman" w:cs="Times New Roman"/>
          <w:b/>
          <w:sz w:val="20"/>
          <w:lang w:val="en-US"/>
        </w:rPr>
        <w:t>ÖZET</w:t>
      </w:r>
    </w:p>
    <w:p w14:paraId="10AC3193" w14:textId="77777777" w:rsidR="001726C1" w:rsidRPr="00B9370A" w:rsidRDefault="001726C1" w:rsidP="001726C1">
      <w:pPr>
        <w:spacing w:after="0"/>
        <w:rPr>
          <w:rFonts w:ascii="Times New Roman" w:hAnsi="Times New Roman" w:cs="Times New Roman"/>
          <w:sz w:val="16"/>
          <w:lang w:val="en-US"/>
        </w:rPr>
      </w:pPr>
    </w:p>
    <w:p w14:paraId="38F6A061" w14:textId="0341A9E2" w:rsidR="001726C1" w:rsidRPr="00B9370A" w:rsidRDefault="001726C1" w:rsidP="00B9370A">
      <w:pPr>
        <w:spacing w:after="0"/>
        <w:jc w:val="both"/>
        <w:rPr>
          <w:rFonts w:ascii="Times New Roman" w:hAnsi="Times New Roman" w:cs="Times New Roman"/>
          <w:sz w:val="18"/>
          <w:szCs w:val="18"/>
        </w:rPr>
      </w:pPr>
      <w:r w:rsidRPr="00B9370A">
        <w:rPr>
          <w:rFonts w:ascii="Times New Roman" w:hAnsi="Times New Roman" w:cs="Times New Roman"/>
          <w:b/>
          <w:sz w:val="18"/>
          <w:szCs w:val="18"/>
        </w:rPr>
        <w:t>Amaç:</w:t>
      </w:r>
      <w:r w:rsidRPr="00B9370A">
        <w:rPr>
          <w:rFonts w:ascii="Times New Roman" w:hAnsi="Times New Roman" w:cs="Times New Roman"/>
          <w:sz w:val="18"/>
          <w:szCs w:val="18"/>
        </w:rPr>
        <w:t xml:space="preserve"> Çalışmanın amacı sağlıklı çocuklarda rutin ayrıntılı tarama testlerine gerek olup olmadığını değerlendirmektir. </w:t>
      </w:r>
      <w:r w:rsidRPr="00B9370A">
        <w:rPr>
          <w:rFonts w:ascii="Times New Roman" w:hAnsi="Times New Roman" w:cs="Times New Roman"/>
          <w:b/>
          <w:sz w:val="18"/>
          <w:szCs w:val="18"/>
        </w:rPr>
        <w:t>Gereç ve yöntem:</w:t>
      </w:r>
      <w:r w:rsidRPr="00B9370A">
        <w:rPr>
          <w:rFonts w:ascii="Times New Roman" w:hAnsi="Times New Roman" w:cs="Times New Roman"/>
          <w:sz w:val="18"/>
          <w:szCs w:val="18"/>
        </w:rPr>
        <w:t xml:space="preserve"> Çalışmaya aile hekimleri tarafından tarama testlerinin yapılması için tarafımıza yönlendirilen 590 sağlıklı çocuk (ortalama yaş: 9.7±</w:t>
      </w:r>
      <w:r w:rsidR="006E070F" w:rsidRPr="00B9370A">
        <w:rPr>
          <w:rFonts w:ascii="Times New Roman" w:hAnsi="Times New Roman" w:cs="Times New Roman"/>
          <w:sz w:val="18"/>
          <w:szCs w:val="18"/>
        </w:rPr>
        <w:t>2,9</w:t>
      </w:r>
      <w:r w:rsidRPr="00B9370A">
        <w:rPr>
          <w:rFonts w:ascii="Times New Roman" w:hAnsi="Times New Roman" w:cs="Times New Roman"/>
          <w:sz w:val="18"/>
          <w:szCs w:val="18"/>
        </w:rPr>
        <w:t xml:space="preserve"> yıl, E/K:286/304) alınmıştır. Çalışılan test sonuçları (tam kan sayımı, lipit düzeyleri, karaciğer ve böbrek fonksiyon testleri, </w:t>
      </w:r>
      <w:proofErr w:type="spellStart"/>
      <w:r w:rsidRPr="00B9370A">
        <w:rPr>
          <w:rFonts w:ascii="Times New Roman" w:hAnsi="Times New Roman" w:cs="Times New Roman"/>
          <w:sz w:val="18"/>
          <w:szCs w:val="18"/>
        </w:rPr>
        <w:t>tiroid</w:t>
      </w:r>
      <w:proofErr w:type="spellEnd"/>
      <w:r w:rsidRPr="00B9370A">
        <w:rPr>
          <w:rFonts w:ascii="Times New Roman" w:hAnsi="Times New Roman" w:cs="Times New Roman"/>
          <w:sz w:val="18"/>
          <w:szCs w:val="18"/>
        </w:rPr>
        <w:t xml:space="preserve"> testleri) retrospektif olarak değerlendirilmiştir. </w:t>
      </w:r>
      <w:r w:rsidRPr="00B9370A">
        <w:rPr>
          <w:rFonts w:ascii="Times New Roman" w:hAnsi="Times New Roman" w:cs="Times New Roman"/>
          <w:b/>
          <w:sz w:val="18"/>
          <w:szCs w:val="18"/>
        </w:rPr>
        <w:t>Bulgular:</w:t>
      </w:r>
      <w:r w:rsidRPr="00B9370A">
        <w:rPr>
          <w:rFonts w:ascii="Times New Roman" w:hAnsi="Times New Roman" w:cs="Times New Roman"/>
          <w:sz w:val="18"/>
          <w:szCs w:val="18"/>
        </w:rPr>
        <w:t xml:space="preserve"> Demir eksikliğine bağlı anemi ergen kız çocuklarında erkeklere oranla daha sık saptanmıştır. Lipit bozuklukları kızlarda </w:t>
      </w:r>
      <w:r w:rsidR="006E070F" w:rsidRPr="00B9370A">
        <w:rPr>
          <w:rFonts w:ascii="Times New Roman" w:hAnsi="Times New Roman" w:cs="Times New Roman"/>
          <w:sz w:val="18"/>
          <w:szCs w:val="18"/>
        </w:rPr>
        <w:t>%16,7</w:t>
      </w:r>
      <w:r w:rsidRPr="00B9370A">
        <w:rPr>
          <w:rFonts w:ascii="Times New Roman" w:hAnsi="Times New Roman" w:cs="Times New Roman"/>
          <w:sz w:val="18"/>
          <w:szCs w:val="18"/>
        </w:rPr>
        <w:t xml:space="preserve">, erkeklerde </w:t>
      </w:r>
      <w:r w:rsidR="006E070F" w:rsidRPr="00B9370A">
        <w:rPr>
          <w:rFonts w:ascii="Times New Roman" w:hAnsi="Times New Roman" w:cs="Times New Roman"/>
          <w:sz w:val="18"/>
          <w:szCs w:val="18"/>
        </w:rPr>
        <w:t>%16,4</w:t>
      </w:r>
      <w:r w:rsidRPr="00B9370A">
        <w:rPr>
          <w:rFonts w:ascii="Times New Roman" w:hAnsi="Times New Roman" w:cs="Times New Roman"/>
          <w:sz w:val="18"/>
          <w:szCs w:val="18"/>
        </w:rPr>
        <w:t xml:space="preserve"> oranında saptanmıştır. </w:t>
      </w:r>
      <w:r w:rsidR="006E070F" w:rsidRPr="00B9370A">
        <w:rPr>
          <w:rFonts w:ascii="Times New Roman" w:hAnsi="Times New Roman" w:cs="Times New Roman"/>
          <w:sz w:val="18"/>
          <w:szCs w:val="18"/>
        </w:rPr>
        <w:t>Diğer biyokimyasal</w:t>
      </w:r>
      <w:r w:rsidRPr="00B9370A">
        <w:rPr>
          <w:rFonts w:ascii="Times New Roman" w:hAnsi="Times New Roman" w:cs="Times New Roman"/>
          <w:sz w:val="18"/>
          <w:szCs w:val="18"/>
        </w:rPr>
        <w:t xml:space="preserve"> parametreler normal tespit edilmiştir.  </w:t>
      </w:r>
      <w:r w:rsidRPr="00B9370A">
        <w:rPr>
          <w:rFonts w:ascii="Times New Roman" w:hAnsi="Times New Roman" w:cs="Times New Roman"/>
          <w:b/>
          <w:sz w:val="18"/>
          <w:szCs w:val="18"/>
        </w:rPr>
        <w:t xml:space="preserve">Sonuç: </w:t>
      </w:r>
      <w:r w:rsidRPr="00B9370A">
        <w:rPr>
          <w:rFonts w:ascii="Times New Roman" w:hAnsi="Times New Roman" w:cs="Times New Roman"/>
          <w:sz w:val="18"/>
          <w:szCs w:val="18"/>
        </w:rPr>
        <w:t>Sağlıklı çocuklarda ayrıntılı biyokimyasal testler açısından istatistiksel olarak anlamlı patoloji saptanmamıştır. Bu nedenle, maliyet de düşünüldüğünde aile hekimleri tarafından gereksiz testler istenilmemeli ve bu konuda aile hekimleri bilgilendirilmelidir.</w:t>
      </w:r>
    </w:p>
    <w:p w14:paraId="68738A1E" w14:textId="77777777" w:rsidR="001726C1" w:rsidRPr="00B9370A" w:rsidRDefault="001726C1" w:rsidP="00B9370A">
      <w:pPr>
        <w:spacing w:after="0"/>
        <w:jc w:val="both"/>
        <w:rPr>
          <w:rFonts w:ascii="Times New Roman" w:hAnsi="Times New Roman" w:cs="Times New Roman"/>
          <w:sz w:val="18"/>
          <w:szCs w:val="18"/>
        </w:rPr>
      </w:pPr>
      <w:r w:rsidRPr="00B9370A">
        <w:rPr>
          <w:rFonts w:ascii="Times New Roman" w:hAnsi="Times New Roman" w:cs="Times New Roman"/>
          <w:b/>
          <w:sz w:val="18"/>
          <w:szCs w:val="18"/>
        </w:rPr>
        <w:t>Anahtar kelimeler:</w:t>
      </w:r>
      <w:r w:rsidRPr="00B9370A">
        <w:rPr>
          <w:rFonts w:ascii="Times New Roman" w:hAnsi="Times New Roman" w:cs="Times New Roman"/>
          <w:sz w:val="18"/>
          <w:szCs w:val="18"/>
        </w:rPr>
        <w:t xml:space="preserve"> Sağlıklı çocuk, tarama testleri, </w:t>
      </w:r>
      <w:proofErr w:type="spellStart"/>
      <w:r w:rsidRPr="00B9370A">
        <w:rPr>
          <w:rFonts w:ascii="Times New Roman" w:hAnsi="Times New Roman" w:cs="Times New Roman"/>
          <w:sz w:val="18"/>
          <w:szCs w:val="18"/>
        </w:rPr>
        <w:t>laboratuar</w:t>
      </w:r>
      <w:proofErr w:type="spellEnd"/>
      <w:r w:rsidRPr="00B9370A">
        <w:rPr>
          <w:rFonts w:ascii="Times New Roman" w:hAnsi="Times New Roman" w:cs="Times New Roman"/>
          <w:sz w:val="18"/>
          <w:szCs w:val="18"/>
        </w:rPr>
        <w:t xml:space="preserve"> testleri</w:t>
      </w:r>
    </w:p>
    <w:p w14:paraId="33869BC8" w14:textId="77777777" w:rsidR="006E070F" w:rsidRDefault="006E070F" w:rsidP="001726C1">
      <w:pPr>
        <w:spacing w:after="0"/>
        <w:rPr>
          <w:rFonts w:ascii="Times New Roman" w:hAnsi="Times New Roman" w:cs="Times New Roman"/>
          <w:b/>
          <w:sz w:val="16"/>
          <w:lang w:val="en-US"/>
        </w:rPr>
      </w:pPr>
      <w:r w:rsidRPr="006E070F">
        <w:rPr>
          <w:rFonts w:ascii="Times New Roman" w:hAnsi="Times New Roman" w:cs="Times New Roman"/>
          <w:noProof/>
          <w:sz w:val="16"/>
          <w:lang w:val="en-US"/>
        </w:rPr>
        <mc:AlternateContent>
          <mc:Choice Requires="wps">
            <w:drawing>
              <wp:anchor distT="0" distB="0" distL="114300" distR="114300" simplePos="0" relativeHeight="251660288" behindDoc="0" locked="0" layoutInCell="1" allowOverlap="1" wp14:anchorId="5C377A67" wp14:editId="575FB615">
                <wp:simplePos x="0" y="0"/>
                <wp:positionH relativeFrom="column">
                  <wp:posOffset>-46345</wp:posOffset>
                </wp:positionH>
                <wp:positionV relativeFrom="paragraph">
                  <wp:posOffset>58993</wp:posOffset>
                </wp:positionV>
                <wp:extent cx="5770880" cy="0"/>
                <wp:effectExtent l="0" t="0" r="20320" b="19050"/>
                <wp:wrapNone/>
                <wp:docPr id="3" name="Düz Bağlayıcı 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5CFF4"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5pt,4.65pt" to="45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" strokecolor="#4579b8 [3044]"/>
            </w:pict>
          </mc:Fallback>
        </mc:AlternateContent>
      </w:r>
    </w:p>
    <w:p w14:paraId="4E57DE0D" w14:textId="0633A2EF" w:rsidR="001726C1" w:rsidRPr="00B9370A" w:rsidRDefault="001726C1" w:rsidP="001726C1">
      <w:pPr>
        <w:spacing w:after="0"/>
        <w:rPr>
          <w:rFonts w:ascii="Times New Roman" w:hAnsi="Times New Roman" w:cs="Times New Roman"/>
          <w:b/>
          <w:sz w:val="16"/>
          <w:lang w:val="en-US"/>
        </w:rPr>
      </w:pPr>
      <w:r w:rsidRPr="00B9370A">
        <w:rPr>
          <w:rFonts w:ascii="Times New Roman" w:hAnsi="Times New Roman" w:cs="Times New Roman"/>
          <w:b/>
          <w:sz w:val="16"/>
          <w:lang w:val="en-US"/>
        </w:rPr>
        <w:t>Received Date</w:t>
      </w:r>
      <w:r w:rsidR="00732001" w:rsidRPr="00B9370A">
        <w:rPr>
          <w:rFonts w:ascii="Times New Roman" w:hAnsi="Times New Roman" w:cs="Times New Roman"/>
          <w:b/>
          <w:sz w:val="16"/>
          <w:lang w:val="en-US"/>
        </w:rPr>
        <w:t>: 27.</w:t>
      </w:r>
      <w:r w:rsidR="007C259B">
        <w:rPr>
          <w:rFonts w:ascii="Times New Roman" w:hAnsi="Times New Roman" w:cs="Times New Roman"/>
          <w:b/>
          <w:sz w:val="16"/>
          <w:lang w:val="en-US"/>
        </w:rPr>
        <w:t>06.</w:t>
      </w:r>
      <w:r w:rsidRPr="00B9370A">
        <w:rPr>
          <w:rFonts w:ascii="Times New Roman" w:hAnsi="Times New Roman" w:cs="Times New Roman"/>
          <w:b/>
          <w:sz w:val="16"/>
          <w:lang w:val="en-US"/>
        </w:rPr>
        <w:t>2018</w:t>
      </w:r>
      <w:r w:rsidR="00732001" w:rsidRPr="00B9370A">
        <w:rPr>
          <w:rFonts w:ascii="Times New Roman" w:hAnsi="Times New Roman" w:cs="Times New Roman"/>
          <w:b/>
          <w:sz w:val="16"/>
          <w:lang w:val="en-US"/>
        </w:rPr>
        <w:t>, Accepted Date: 04.</w:t>
      </w:r>
      <w:r w:rsidR="007C259B">
        <w:rPr>
          <w:rFonts w:ascii="Times New Roman" w:hAnsi="Times New Roman" w:cs="Times New Roman"/>
          <w:b/>
          <w:sz w:val="16"/>
          <w:lang w:val="en-US"/>
        </w:rPr>
        <w:t>02.</w:t>
      </w:r>
      <w:r w:rsidRPr="00B9370A">
        <w:rPr>
          <w:rFonts w:ascii="Times New Roman" w:hAnsi="Times New Roman" w:cs="Times New Roman"/>
          <w:b/>
          <w:sz w:val="16"/>
          <w:lang w:val="en-US"/>
        </w:rPr>
        <w:t>2019</w:t>
      </w:r>
    </w:p>
    <w:p w14:paraId="1BEE72B7" w14:textId="77777777" w:rsidR="00732001" w:rsidRPr="00B9370A" w:rsidRDefault="00732001" w:rsidP="00732001">
      <w:pPr>
        <w:spacing w:after="0"/>
        <w:rPr>
          <w:rFonts w:ascii="Times New Roman" w:hAnsi="Times New Roman" w:cs="Times New Roman"/>
          <w:sz w:val="16"/>
          <w:lang w:val="en-US"/>
        </w:rPr>
      </w:pPr>
      <w:r w:rsidRPr="00B9370A">
        <w:rPr>
          <w:rFonts w:ascii="Times New Roman" w:hAnsi="Times New Roman" w:cs="Times New Roman"/>
          <w:sz w:val="16"/>
          <w:vertAlign w:val="superscript"/>
          <w:lang w:val="en-US"/>
        </w:rPr>
        <w:t>1</w:t>
      </w:r>
      <w:r w:rsidRPr="00B9370A">
        <w:rPr>
          <w:rFonts w:ascii="Times New Roman" w:hAnsi="Times New Roman" w:cs="Times New Roman"/>
          <w:sz w:val="16"/>
          <w:lang w:val="en-US"/>
        </w:rPr>
        <w:t>Istinye State Hospital, MD, Istanbul, TURKEY</w:t>
      </w:r>
    </w:p>
    <w:p w14:paraId="25B38FBA" w14:textId="05FE4DA9" w:rsidR="00732001" w:rsidRPr="00B9370A" w:rsidRDefault="001726C1" w:rsidP="00732001">
      <w:pPr>
        <w:spacing w:after="0"/>
        <w:rPr>
          <w:rFonts w:ascii="Times New Roman" w:hAnsi="Times New Roman" w:cs="Times New Roman"/>
          <w:sz w:val="16"/>
          <w:lang w:val="en-US"/>
        </w:rPr>
      </w:pPr>
      <w:r w:rsidRPr="00B9370A">
        <w:rPr>
          <w:rFonts w:ascii="Times New Roman" w:hAnsi="Times New Roman" w:cs="Times New Roman"/>
          <w:b/>
          <w:sz w:val="16"/>
          <w:lang w:val="en-US"/>
        </w:rPr>
        <w:t xml:space="preserve">*Address for Correspondence / </w:t>
      </w:r>
      <w:proofErr w:type="spellStart"/>
      <w:r w:rsidRPr="00B9370A">
        <w:rPr>
          <w:rFonts w:ascii="Times New Roman" w:hAnsi="Times New Roman" w:cs="Times New Roman"/>
          <w:b/>
          <w:sz w:val="16"/>
          <w:lang w:val="en-US"/>
        </w:rPr>
        <w:t>Yazışma</w:t>
      </w:r>
      <w:proofErr w:type="spellEnd"/>
      <w:r w:rsidRPr="00B9370A">
        <w:rPr>
          <w:rFonts w:ascii="Times New Roman" w:hAnsi="Times New Roman" w:cs="Times New Roman"/>
          <w:b/>
          <w:sz w:val="16"/>
          <w:lang w:val="en-US"/>
        </w:rPr>
        <w:t xml:space="preserve"> </w:t>
      </w:r>
      <w:proofErr w:type="spellStart"/>
      <w:r w:rsidRPr="00B9370A">
        <w:rPr>
          <w:rFonts w:ascii="Times New Roman" w:hAnsi="Times New Roman" w:cs="Times New Roman"/>
          <w:b/>
          <w:sz w:val="16"/>
          <w:lang w:val="en-US"/>
        </w:rPr>
        <w:t>Adresi</w:t>
      </w:r>
      <w:proofErr w:type="spellEnd"/>
      <w:r w:rsidRPr="00B9370A">
        <w:rPr>
          <w:rFonts w:ascii="Times New Roman" w:hAnsi="Times New Roman" w:cs="Times New Roman"/>
          <w:b/>
          <w:sz w:val="16"/>
          <w:lang w:val="en-US"/>
        </w:rPr>
        <w:t>:</w:t>
      </w:r>
      <w:r w:rsidR="00732001" w:rsidRPr="00B9370A">
        <w:rPr>
          <w:lang w:val="en-US"/>
        </w:rPr>
        <w:t xml:space="preserve"> </w:t>
      </w:r>
      <w:proofErr w:type="spellStart"/>
      <w:r w:rsidR="00732001" w:rsidRPr="00B9370A">
        <w:rPr>
          <w:rFonts w:ascii="Times New Roman" w:hAnsi="Times New Roman" w:cs="Times New Roman"/>
          <w:sz w:val="16"/>
          <w:lang w:val="en-US"/>
        </w:rPr>
        <w:t>Derya</w:t>
      </w:r>
      <w:proofErr w:type="spellEnd"/>
      <w:r w:rsidR="00732001" w:rsidRPr="00B9370A">
        <w:rPr>
          <w:rFonts w:ascii="Times New Roman" w:hAnsi="Times New Roman" w:cs="Times New Roman"/>
          <w:sz w:val="16"/>
          <w:lang w:val="en-US"/>
        </w:rPr>
        <w:t xml:space="preserve"> </w:t>
      </w:r>
      <w:proofErr w:type="spellStart"/>
      <w:r w:rsidR="00732001" w:rsidRPr="00B9370A">
        <w:rPr>
          <w:rFonts w:ascii="Times New Roman" w:hAnsi="Times New Roman" w:cs="Times New Roman"/>
          <w:sz w:val="16"/>
          <w:lang w:val="en-US"/>
        </w:rPr>
        <w:t>Kalyoncu</w:t>
      </w:r>
      <w:proofErr w:type="spellEnd"/>
      <w:r w:rsidR="00732001" w:rsidRPr="00B9370A">
        <w:rPr>
          <w:rFonts w:ascii="Times New Roman" w:hAnsi="Times New Roman" w:cs="Times New Roman"/>
          <w:sz w:val="16"/>
          <w:lang w:val="en-US"/>
        </w:rPr>
        <w:t xml:space="preserve">, </w:t>
      </w:r>
      <w:proofErr w:type="spellStart"/>
      <w:r w:rsidR="00732001" w:rsidRPr="00B9370A">
        <w:rPr>
          <w:rFonts w:ascii="Times New Roman" w:hAnsi="Times New Roman" w:cs="Times New Roman"/>
          <w:sz w:val="16"/>
          <w:lang w:val="en-US"/>
        </w:rPr>
        <w:t>Istinye</w:t>
      </w:r>
      <w:proofErr w:type="spellEnd"/>
      <w:r w:rsidR="00732001" w:rsidRPr="00B9370A">
        <w:rPr>
          <w:rFonts w:ascii="Times New Roman" w:hAnsi="Times New Roman" w:cs="Times New Roman"/>
          <w:sz w:val="16"/>
          <w:lang w:val="en-US"/>
        </w:rPr>
        <w:t xml:space="preserve"> State Hospital, Istanbul, TURKEY</w:t>
      </w:r>
    </w:p>
    <w:p w14:paraId="749DA3B7" w14:textId="77777777" w:rsidR="001726C1" w:rsidRPr="00B9370A" w:rsidRDefault="00732001" w:rsidP="00732001">
      <w:pPr>
        <w:spacing w:after="0"/>
        <w:rPr>
          <w:rFonts w:ascii="Times New Roman" w:hAnsi="Times New Roman" w:cs="Times New Roman"/>
          <w:sz w:val="16"/>
          <w:lang w:val="en-US"/>
        </w:rPr>
      </w:pPr>
      <w:r w:rsidRPr="00B9370A">
        <w:rPr>
          <w:rFonts w:ascii="Times New Roman" w:hAnsi="Times New Roman" w:cs="Times New Roman"/>
          <w:b/>
          <w:sz w:val="16"/>
          <w:lang w:val="en-US"/>
        </w:rPr>
        <w:t xml:space="preserve"> </w:t>
      </w:r>
      <w:r w:rsidR="001726C1" w:rsidRPr="00B9370A">
        <w:rPr>
          <w:rFonts w:ascii="Times New Roman" w:hAnsi="Times New Roman" w:cs="Times New Roman"/>
          <w:b/>
          <w:sz w:val="16"/>
          <w:lang w:val="en-US"/>
        </w:rPr>
        <w:t>E-mail:</w:t>
      </w:r>
      <w:r w:rsidR="001726C1" w:rsidRPr="00B9370A">
        <w:rPr>
          <w:rFonts w:ascii="Times New Roman" w:hAnsi="Times New Roman" w:cs="Times New Roman"/>
          <w:sz w:val="16"/>
          <w:lang w:val="en-US"/>
        </w:rPr>
        <w:t xml:space="preserve"> </w:t>
      </w:r>
      <w:r w:rsidRPr="00B9370A">
        <w:rPr>
          <w:rFonts w:ascii="Times New Roman" w:hAnsi="Times New Roman" w:cs="Times New Roman"/>
          <w:sz w:val="16"/>
          <w:lang w:val="en-US"/>
        </w:rPr>
        <w:t>deryakaly@hotmail.com</w:t>
      </w:r>
    </w:p>
    <w:p w14:paraId="05597527" w14:textId="67E9C4C8" w:rsidR="001726C1" w:rsidRDefault="006E070F" w:rsidP="001726C1">
      <w:pPr>
        <w:spacing w:after="0"/>
        <w:rPr>
          <w:rFonts w:ascii="Times New Roman" w:hAnsi="Times New Roman" w:cs="Times New Roman"/>
          <w:sz w:val="16"/>
          <w:szCs w:val="16"/>
        </w:rPr>
      </w:pPr>
      <w:r>
        <w:rPr>
          <w:rFonts w:ascii="Times New Roman" w:hAnsi="Times New Roman" w:cs="Times New Roman"/>
          <w:sz w:val="16"/>
          <w:szCs w:val="16"/>
        </w:rPr>
        <w:t>Kalyoncu</w:t>
      </w:r>
      <w:r w:rsidR="000D09F6">
        <w:rPr>
          <w:rFonts w:ascii="Times New Roman" w:hAnsi="Times New Roman" w:cs="Times New Roman"/>
          <w:sz w:val="16"/>
          <w:szCs w:val="16"/>
        </w:rPr>
        <w:t xml:space="preserve"> D</w:t>
      </w:r>
      <w:r>
        <w:rPr>
          <w:rFonts w:ascii="Times New Roman" w:hAnsi="Times New Roman" w:cs="Times New Roman"/>
          <w:sz w:val="16"/>
          <w:szCs w:val="16"/>
        </w:rPr>
        <w:t>.</w:t>
      </w:r>
      <w:r w:rsidRPr="008C241D">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Are</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routine</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detailed</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screening</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tests</w:t>
      </w:r>
      <w:proofErr w:type="spellEnd"/>
      <w:r w:rsidRPr="006E070F">
        <w:rPr>
          <w:rFonts w:ascii="Times New Roman" w:hAnsi="Times New Roman" w:cs="Times New Roman"/>
          <w:sz w:val="16"/>
          <w:szCs w:val="16"/>
        </w:rPr>
        <w:t xml:space="preserve"> in </w:t>
      </w:r>
      <w:proofErr w:type="spellStart"/>
      <w:r w:rsidRPr="006E070F">
        <w:rPr>
          <w:rFonts w:ascii="Times New Roman" w:hAnsi="Times New Roman" w:cs="Times New Roman"/>
          <w:sz w:val="16"/>
          <w:szCs w:val="16"/>
        </w:rPr>
        <w:t>healthy</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children</w:t>
      </w:r>
      <w:proofErr w:type="spellEnd"/>
      <w:r w:rsidRPr="006E070F">
        <w:rPr>
          <w:rFonts w:ascii="Times New Roman" w:hAnsi="Times New Roman" w:cs="Times New Roman"/>
          <w:sz w:val="16"/>
          <w:szCs w:val="16"/>
        </w:rPr>
        <w:t xml:space="preserve"> </w:t>
      </w:r>
      <w:proofErr w:type="spellStart"/>
      <w:r w:rsidRPr="006E070F">
        <w:rPr>
          <w:rFonts w:ascii="Times New Roman" w:hAnsi="Times New Roman" w:cs="Times New Roman"/>
          <w:sz w:val="16"/>
          <w:szCs w:val="16"/>
        </w:rPr>
        <w:t>necessary</w:t>
      </w:r>
      <w:proofErr w:type="spellEnd"/>
      <w:r w:rsidRPr="006E070F">
        <w:rPr>
          <w:rFonts w:ascii="Times New Roman" w:hAnsi="Times New Roman" w:cs="Times New Roman"/>
          <w:sz w:val="16"/>
          <w:szCs w:val="16"/>
        </w:rPr>
        <w:t>?</w:t>
      </w:r>
      <w:r w:rsidR="00B9370A">
        <w:rPr>
          <w:rFonts w:ascii="Times New Roman" w:hAnsi="Times New Roman" w:cs="Times New Roman"/>
          <w:sz w:val="16"/>
          <w:szCs w:val="16"/>
        </w:rPr>
        <w:t xml:space="preserve"> </w:t>
      </w:r>
      <w:r w:rsidRPr="008C241D">
        <w:rPr>
          <w:rFonts w:ascii="Times New Roman" w:hAnsi="Times New Roman" w:cs="Times New Roman"/>
          <w:sz w:val="16"/>
          <w:szCs w:val="16"/>
        </w:rPr>
        <w:t>TJFMPC, 201</w:t>
      </w:r>
      <w:r>
        <w:rPr>
          <w:rFonts w:ascii="Times New Roman" w:hAnsi="Times New Roman" w:cs="Times New Roman"/>
          <w:sz w:val="16"/>
          <w:szCs w:val="16"/>
        </w:rPr>
        <w:t xml:space="preserve">9; 13(2): </w:t>
      </w:r>
      <w:r w:rsidR="00B9370A">
        <w:rPr>
          <w:rFonts w:ascii="Times New Roman" w:hAnsi="Times New Roman" w:cs="Times New Roman"/>
          <w:sz w:val="16"/>
          <w:szCs w:val="16"/>
        </w:rPr>
        <w:t>177-</w:t>
      </w:r>
      <w:r w:rsidR="002E7D10">
        <w:rPr>
          <w:rFonts w:ascii="Times New Roman" w:hAnsi="Times New Roman" w:cs="Times New Roman"/>
          <w:sz w:val="16"/>
          <w:szCs w:val="16"/>
        </w:rPr>
        <w:t>1</w:t>
      </w:r>
      <w:bookmarkStart w:id="0" w:name="_GoBack"/>
      <w:bookmarkEnd w:id="0"/>
      <w:r w:rsidR="00B9370A">
        <w:rPr>
          <w:rFonts w:ascii="Times New Roman" w:hAnsi="Times New Roman" w:cs="Times New Roman"/>
          <w:sz w:val="16"/>
          <w:szCs w:val="16"/>
        </w:rPr>
        <w:t>82.</w:t>
      </w:r>
    </w:p>
    <w:p w14:paraId="53F009DF" w14:textId="77777777" w:rsidR="006E070F" w:rsidRDefault="006E070F" w:rsidP="006E070F">
      <w:pPr>
        <w:spacing w:after="0"/>
        <w:jc w:val="both"/>
        <w:rPr>
          <w:rFonts w:ascii="Times New Roman" w:hAnsi="Times New Roman" w:cs="Times New Roman"/>
          <w:b/>
          <w:sz w:val="16"/>
          <w:szCs w:val="16"/>
        </w:rPr>
        <w:sectPr w:rsidR="006E070F" w:rsidSect="00B9370A">
          <w:footerReference w:type="even" r:id="rId9"/>
          <w:footerReference w:type="default" r:id="rId10"/>
          <w:headerReference w:type="first" r:id="rId11"/>
          <w:footerReference w:type="first" r:id="rId12"/>
          <w:pgSz w:w="11906" w:h="16838"/>
          <w:pgMar w:top="1417" w:right="1417" w:bottom="1417" w:left="1417" w:header="708" w:footer="708" w:gutter="0"/>
          <w:pgNumType w:start="177"/>
          <w:cols w:space="708"/>
          <w:docGrid w:linePitch="360"/>
        </w:sectPr>
      </w:pPr>
      <w:r>
        <w:rPr>
          <w:rFonts w:ascii="Times New Roman" w:hAnsi="Times New Roman" w:cs="Times New Roman"/>
          <w:b/>
          <w:sz w:val="16"/>
          <w:szCs w:val="16"/>
        </w:rPr>
        <w:t>DOI:</w:t>
      </w:r>
    </w:p>
    <w:p w14:paraId="623F2A38" w14:textId="77777777" w:rsidR="002B7AFE" w:rsidRPr="00B9370A" w:rsidRDefault="002B7AFE" w:rsidP="00B9370A">
      <w:pPr>
        <w:rPr>
          <w:rFonts w:ascii="Times New Roman" w:hAnsi="Times New Roman" w:cs="Times New Roman"/>
          <w:b/>
          <w:sz w:val="16"/>
          <w:lang w:val="en-US"/>
        </w:rPr>
        <w:sectPr w:rsidR="002B7AFE" w:rsidRPr="00B9370A" w:rsidSect="00B9370A">
          <w:footerReference w:type="default" r:id="rId13"/>
          <w:pgSz w:w="11906" w:h="16838"/>
          <w:pgMar w:top="1417" w:right="1417" w:bottom="1417" w:left="1417" w:header="708" w:footer="708" w:gutter="0"/>
          <w:pgNumType w:start="178"/>
          <w:cols w:space="708"/>
          <w:docGrid w:linePitch="360"/>
        </w:sectPr>
      </w:pPr>
    </w:p>
    <w:p w14:paraId="2C438EA5" w14:textId="77777777" w:rsidR="00732001" w:rsidRPr="00B9370A" w:rsidRDefault="00732001" w:rsidP="00B9370A">
      <w:pPr>
        <w:spacing w:after="0"/>
        <w:jc w:val="both"/>
        <w:rPr>
          <w:rFonts w:ascii="Times New Roman" w:hAnsi="Times New Roman" w:cs="Times New Roman"/>
          <w:b/>
          <w:caps/>
          <w:sz w:val="20"/>
          <w:lang w:val="en-US"/>
        </w:rPr>
      </w:pPr>
      <w:r w:rsidRPr="00B9370A">
        <w:rPr>
          <w:rFonts w:ascii="Times New Roman" w:hAnsi="Times New Roman" w:cs="Times New Roman"/>
          <w:b/>
          <w:caps/>
          <w:sz w:val="20"/>
          <w:lang w:val="en-US"/>
        </w:rPr>
        <w:t>Introduction</w:t>
      </w:r>
    </w:p>
    <w:p w14:paraId="36C423C9" w14:textId="77777777" w:rsidR="00732001" w:rsidRPr="00B9370A" w:rsidRDefault="00732001" w:rsidP="00B9370A">
      <w:pPr>
        <w:spacing w:after="0"/>
        <w:jc w:val="both"/>
        <w:rPr>
          <w:rFonts w:ascii="Times New Roman" w:hAnsi="Times New Roman" w:cs="Times New Roman"/>
          <w:sz w:val="16"/>
          <w:lang w:val="en-US"/>
        </w:rPr>
      </w:pPr>
    </w:p>
    <w:p w14:paraId="1D9DB9AD" w14:textId="77777777" w:rsidR="00732001" w:rsidRDefault="00732001"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t>Screening is defined as testing for the disease in an apparently healthy population or individual.</w:t>
      </w:r>
      <w:r w:rsidRPr="00B9370A">
        <w:rPr>
          <w:rFonts w:ascii="Times New Roman" w:hAnsi="Times New Roman" w:cs="Times New Roman"/>
          <w:sz w:val="20"/>
          <w:vertAlign w:val="superscript"/>
          <w:lang w:val="en-US"/>
        </w:rPr>
        <w:t>1</w:t>
      </w:r>
      <w:r w:rsidRPr="00B9370A">
        <w:rPr>
          <w:rFonts w:ascii="Times New Roman" w:hAnsi="Times New Roman" w:cs="Times New Roman"/>
          <w:sz w:val="20"/>
          <w:lang w:val="en-US"/>
        </w:rPr>
        <w:t xml:space="preserve"> The goal of screening is not to detect disease in individuals but to identify persons who are at greater risk of having the disease and who warrant further testing.</w:t>
      </w:r>
      <w:r w:rsidRPr="00B9370A">
        <w:rPr>
          <w:rFonts w:ascii="Times New Roman" w:hAnsi="Times New Roman" w:cs="Times New Roman"/>
          <w:sz w:val="20"/>
          <w:vertAlign w:val="superscript"/>
          <w:lang w:val="en-US"/>
        </w:rPr>
        <w:t>1</w:t>
      </w:r>
      <w:r w:rsidRPr="00B9370A">
        <w:rPr>
          <w:rFonts w:ascii="Times New Roman" w:hAnsi="Times New Roman" w:cs="Times New Roman"/>
          <w:sz w:val="20"/>
          <w:lang w:val="en-US"/>
        </w:rPr>
        <w:t xml:space="preserve"> All newborns should be screened for the presence of certain diseases such as congenital hypothyroidism, phenylketonuria (PKU), hyperbilirubinemia and hearing loss.</w:t>
      </w:r>
    </w:p>
    <w:p w14:paraId="46E8EBA7" w14:textId="77777777" w:rsidR="006E070F" w:rsidRPr="00B9370A" w:rsidRDefault="006E070F" w:rsidP="00B9370A">
      <w:pPr>
        <w:spacing w:after="0"/>
        <w:jc w:val="both"/>
        <w:rPr>
          <w:rFonts w:ascii="Times New Roman" w:hAnsi="Times New Roman" w:cs="Times New Roman"/>
          <w:sz w:val="20"/>
          <w:lang w:val="en-US"/>
        </w:rPr>
      </w:pPr>
    </w:p>
    <w:p w14:paraId="70A53C48" w14:textId="77777777" w:rsidR="00732001" w:rsidRPr="00B9370A" w:rsidRDefault="0073200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Pediatric preventive care guidelines recommend periodic health evaluation to assess children’s overall health and risk factors for preventable diseases by history, physical exam, age-appropriate developmental assessment, assessment of immunization status and administration of immunizations and laboratory testing as needed.</w:t>
      </w:r>
      <w:r w:rsidRPr="00B9370A">
        <w:rPr>
          <w:rFonts w:ascii="Times New Roman" w:hAnsi="Times New Roman" w:cs="Times New Roman"/>
          <w:sz w:val="20"/>
          <w:vertAlign w:val="superscript"/>
          <w:lang w:val="en-US"/>
        </w:rPr>
        <w:t>2-11</w:t>
      </w:r>
      <w:r w:rsidRPr="00B9370A">
        <w:rPr>
          <w:rFonts w:ascii="Times New Roman" w:hAnsi="Times New Roman" w:cs="Times New Roman"/>
          <w:sz w:val="20"/>
          <w:lang w:val="en-US"/>
        </w:rPr>
        <w:t xml:space="preserve"> Periodic health evaluation should be done annually between ages 5-21. </w:t>
      </w:r>
    </w:p>
    <w:p w14:paraId="0E069576" w14:textId="77777777" w:rsidR="00732001" w:rsidRPr="00B9370A" w:rsidRDefault="00732001" w:rsidP="00B9370A">
      <w:pPr>
        <w:spacing w:after="0"/>
        <w:jc w:val="both"/>
        <w:rPr>
          <w:rFonts w:ascii="Times New Roman" w:hAnsi="Times New Roman" w:cs="Times New Roman"/>
          <w:sz w:val="20"/>
          <w:lang w:val="en-US"/>
        </w:rPr>
      </w:pPr>
    </w:p>
    <w:p w14:paraId="2DA09AB9" w14:textId="77777777" w:rsidR="00732001" w:rsidRPr="00B9370A" w:rsidRDefault="0073200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Children without symptoms of disease, generally do not need detailed laboratory screening tests. In this study, healthy children who were referred to our hospital from their primary care physicians for laboratory tests were evaluated and the necessity of these tests was discussed.</w:t>
      </w:r>
    </w:p>
    <w:p w14:paraId="055C704B" w14:textId="77777777" w:rsidR="00732001" w:rsidRPr="00B9370A" w:rsidRDefault="00732001" w:rsidP="00B9370A">
      <w:pPr>
        <w:spacing w:after="0"/>
        <w:jc w:val="both"/>
        <w:rPr>
          <w:rFonts w:ascii="Times New Roman" w:hAnsi="Times New Roman" w:cs="Times New Roman"/>
          <w:b/>
          <w:caps/>
          <w:sz w:val="16"/>
          <w:lang w:val="en-US"/>
        </w:rPr>
      </w:pPr>
    </w:p>
    <w:p w14:paraId="464CB2DB" w14:textId="77777777" w:rsidR="00732001" w:rsidRPr="00B9370A" w:rsidRDefault="00732001" w:rsidP="00B9370A">
      <w:pPr>
        <w:spacing w:after="0"/>
        <w:jc w:val="both"/>
        <w:rPr>
          <w:rFonts w:ascii="Times New Roman" w:hAnsi="Times New Roman" w:cs="Times New Roman"/>
          <w:b/>
          <w:caps/>
          <w:sz w:val="20"/>
          <w:lang w:val="en-US"/>
        </w:rPr>
      </w:pPr>
    </w:p>
    <w:p w14:paraId="07764B96" w14:textId="77777777" w:rsidR="00732001" w:rsidRPr="00B9370A" w:rsidRDefault="00732001" w:rsidP="00B9370A">
      <w:pPr>
        <w:spacing w:after="0"/>
        <w:jc w:val="both"/>
        <w:rPr>
          <w:rFonts w:ascii="Times New Roman" w:hAnsi="Times New Roman" w:cs="Times New Roman"/>
          <w:b/>
          <w:caps/>
          <w:sz w:val="20"/>
          <w:lang w:val="en-US"/>
        </w:rPr>
      </w:pPr>
      <w:r w:rsidRPr="00B9370A">
        <w:rPr>
          <w:rFonts w:ascii="Times New Roman" w:hAnsi="Times New Roman" w:cs="Times New Roman"/>
          <w:b/>
          <w:caps/>
          <w:sz w:val="20"/>
          <w:lang w:val="en-US"/>
        </w:rPr>
        <w:t>Materials and methods</w:t>
      </w:r>
    </w:p>
    <w:p w14:paraId="603E6CAB" w14:textId="77777777" w:rsidR="00732001" w:rsidRPr="00B9370A" w:rsidRDefault="00732001" w:rsidP="00B9370A">
      <w:pPr>
        <w:spacing w:after="0"/>
        <w:jc w:val="both"/>
        <w:rPr>
          <w:rFonts w:ascii="Times New Roman" w:hAnsi="Times New Roman" w:cs="Times New Roman"/>
          <w:sz w:val="20"/>
          <w:lang w:val="en-US"/>
        </w:rPr>
      </w:pPr>
    </w:p>
    <w:p w14:paraId="55DBB848" w14:textId="56B12410" w:rsidR="00732001" w:rsidRPr="00B9370A" w:rsidRDefault="00732001"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t xml:space="preserve">A total of 590 healthy children admitted to the pediatric outpatient clinics </w:t>
      </w:r>
      <w:proofErr w:type="gramStart"/>
      <w:r w:rsidRPr="00B9370A">
        <w:rPr>
          <w:rFonts w:ascii="Times New Roman" w:hAnsi="Times New Roman" w:cs="Times New Roman"/>
          <w:sz w:val="20"/>
          <w:lang w:val="en-US"/>
        </w:rPr>
        <w:t xml:space="preserve">of  </w:t>
      </w:r>
      <w:proofErr w:type="spellStart"/>
      <w:r w:rsidR="006E070F" w:rsidRPr="006E070F">
        <w:rPr>
          <w:rFonts w:ascii="Times New Roman" w:hAnsi="Times New Roman" w:cs="Times New Roman"/>
          <w:sz w:val="20"/>
          <w:lang w:val="en-US"/>
        </w:rPr>
        <w:t>Istinye</w:t>
      </w:r>
      <w:proofErr w:type="spellEnd"/>
      <w:proofErr w:type="gramEnd"/>
      <w:r w:rsidR="006E070F" w:rsidRPr="006E070F">
        <w:rPr>
          <w:rFonts w:ascii="Times New Roman" w:hAnsi="Times New Roman" w:cs="Times New Roman"/>
          <w:sz w:val="20"/>
          <w:lang w:val="en-US"/>
        </w:rPr>
        <w:t xml:space="preserve"> State Hospital</w:t>
      </w:r>
      <w:r w:rsidR="006E070F" w:rsidRPr="006E070F" w:rsidDel="006E070F">
        <w:rPr>
          <w:rFonts w:ascii="Times New Roman" w:hAnsi="Times New Roman" w:cs="Times New Roman"/>
          <w:sz w:val="20"/>
          <w:lang w:val="en-US"/>
        </w:rPr>
        <w:t xml:space="preserve"> </w:t>
      </w:r>
      <w:r w:rsidRPr="00B9370A">
        <w:rPr>
          <w:rFonts w:ascii="Times New Roman" w:hAnsi="Times New Roman" w:cs="Times New Roman"/>
          <w:sz w:val="20"/>
          <w:lang w:val="en-US"/>
        </w:rPr>
        <w:t xml:space="preserve">(Istanbul, Turkey) between February 2018 and March 2018 were evaluated retrospectively. The children were excluded if they had chronic illnesses such as liver diseases, endocrine, gastrointestinal, cardiovascular or neurological disorders. </w:t>
      </w:r>
    </w:p>
    <w:p w14:paraId="69398C07" w14:textId="77777777" w:rsidR="00732001" w:rsidRPr="00B9370A" w:rsidRDefault="00732001" w:rsidP="00B9370A">
      <w:pPr>
        <w:spacing w:after="0"/>
        <w:jc w:val="both"/>
        <w:rPr>
          <w:rFonts w:ascii="Times New Roman" w:hAnsi="Times New Roman" w:cs="Times New Roman"/>
          <w:sz w:val="20"/>
          <w:lang w:val="en-US"/>
        </w:rPr>
      </w:pPr>
    </w:p>
    <w:p w14:paraId="5FBDDBA2" w14:textId="3CE77F81" w:rsidR="00732001" w:rsidRPr="00B9370A" w:rsidRDefault="0073200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Baseline complete blood count, biochemical tests including alanine </w:t>
      </w:r>
      <w:proofErr w:type="spellStart"/>
      <w:r w:rsidRPr="00B9370A">
        <w:rPr>
          <w:rFonts w:ascii="Times New Roman" w:hAnsi="Times New Roman" w:cs="Times New Roman"/>
          <w:sz w:val="20"/>
          <w:lang w:val="en-US"/>
        </w:rPr>
        <w:t>aminotranspherase</w:t>
      </w:r>
      <w:proofErr w:type="spellEnd"/>
      <w:r w:rsidRPr="00B9370A">
        <w:rPr>
          <w:rFonts w:ascii="Times New Roman" w:hAnsi="Times New Roman" w:cs="Times New Roman"/>
          <w:sz w:val="20"/>
          <w:lang w:val="en-US"/>
        </w:rPr>
        <w:t xml:space="preserve"> (ALT), </w:t>
      </w:r>
      <w:r w:rsidR="006E070F" w:rsidRPr="006E070F">
        <w:rPr>
          <w:rFonts w:ascii="Times New Roman" w:hAnsi="Times New Roman" w:cs="Times New Roman"/>
          <w:sz w:val="20"/>
          <w:lang w:val="en-US"/>
        </w:rPr>
        <w:t>aspartate aminotransferase</w:t>
      </w:r>
      <w:r w:rsidRPr="00B9370A">
        <w:rPr>
          <w:rFonts w:ascii="Times New Roman" w:hAnsi="Times New Roman" w:cs="Times New Roman"/>
          <w:sz w:val="20"/>
          <w:lang w:val="en-US"/>
        </w:rPr>
        <w:t xml:space="preserve"> (AST), fasting glucose, blood urea nitrogen (BUN), creatinine, iron, ferritin, lipid profile, thyroid-stimulating hormone (TSH), free T4 and anti-HBs levels were the screening tests requested by the primary care physicians. Complete blood count was examined by using </w:t>
      </w:r>
      <w:r w:rsidR="006E070F" w:rsidRPr="006E070F">
        <w:rPr>
          <w:rFonts w:ascii="Times New Roman" w:hAnsi="Times New Roman" w:cs="Times New Roman"/>
          <w:sz w:val="20"/>
          <w:lang w:val="en-US"/>
        </w:rPr>
        <w:t>Mindray BC</w:t>
      </w:r>
      <w:r w:rsidRPr="00B9370A">
        <w:rPr>
          <w:rFonts w:ascii="Times New Roman" w:hAnsi="Times New Roman" w:cs="Times New Roman"/>
          <w:sz w:val="20"/>
          <w:lang w:val="en-US"/>
        </w:rPr>
        <w:t xml:space="preserve">-6800 (Mindray, China) and biochemical tests were </w:t>
      </w:r>
      <w:r w:rsidRPr="00B9370A">
        <w:rPr>
          <w:rFonts w:ascii="Times New Roman" w:hAnsi="Times New Roman" w:cs="Times New Roman"/>
          <w:sz w:val="20"/>
          <w:lang w:val="en-US"/>
        </w:rPr>
        <w:t>analyzed by using Beckman Coulter AU</w:t>
      </w:r>
      <w:r w:rsidR="006E070F" w:rsidRPr="006E070F">
        <w:rPr>
          <w:rFonts w:ascii="Times New Roman" w:hAnsi="Times New Roman" w:cs="Times New Roman"/>
          <w:sz w:val="20"/>
          <w:lang w:val="en-US"/>
        </w:rPr>
        <w:t>680 (</w:t>
      </w:r>
      <w:r w:rsidRPr="00B9370A">
        <w:rPr>
          <w:rFonts w:ascii="Times New Roman" w:hAnsi="Times New Roman" w:cs="Times New Roman"/>
          <w:sz w:val="20"/>
          <w:lang w:val="en-US"/>
        </w:rPr>
        <w:t>Beckman Coulter, Brea, CA, USA).</w:t>
      </w:r>
    </w:p>
    <w:p w14:paraId="119FAFB2" w14:textId="77777777" w:rsidR="00732001" w:rsidRPr="00B9370A" w:rsidRDefault="00732001" w:rsidP="00B9370A">
      <w:pPr>
        <w:spacing w:after="0"/>
        <w:jc w:val="both"/>
        <w:rPr>
          <w:rFonts w:ascii="Times New Roman" w:hAnsi="Times New Roman" w:cs="Times New Roman"/>
          <w:sz w:val="20"/>
          <w:lang w:val="en-US"/>
        </w:rPr>
      </w:pPr>
    </w:p>
    <w:p w14:paraId="3623EAF9" w14:textId="18135A79" w:rsidR="00732001" w:rsidRPr="00B9370A" w:rsidRDefault="0073200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Children who </w:t>
      </w:r>
      <w:r w:rsidR="006E070F" w:rsidRPr="006E070F">
        <w:rPr>
          <w:rFonts w:ascii="Times New Roman" w:hAnsi="Times New Roman" w:cs="Times New Roman"/>
          <w:sz w:val="20"/>
          <w:lang w:val="en-US"/>
        </w:rPr>
        <w:t>had hemoglobin</w:t>
      </w:r>
      <w:r w:rsidRPr="00B9370A">
        <w:rPr>
          <w:rFonts w:ascii="Times New Roman" w:hAnsi="Times New Roman" w:cs="Times New Roman"/>
          <w:sz w:val="20"/>
          <w:lang w:val="en-US"/>
        </w:rPr>
        <w:t xml:space="preserve"> levels lower than 11.5 g/dL between 5-11 years of age and 12 g/dL between 12-15 years of age, serum ferritin level lower than 12 ng/ml, iron level lower than 30 µg/dL, iron binding capacity greater than 480µg/dL was regarded as having iron deficiency anemia.</w:t>
      </w:r>
      <w:r w:rsidRPr="00B9370A">
        <w:rPr>
          <w:rFonts w:ascii="Times New Roman" w:hAnsi="Times New Roman" w:cs="Times New Roman"/>
          <w:sz w:val="20"/>
          <w:vertAlign w:val="superscript"/>
          <w:lang w:val="en-US"/>
        </w:rPr>
        <w:t>12,13</w:t>
      </w:r>
      <w:r w:rsidRPr="00B9370A">
        <w:rPr>
          <w:rFonts w:ascii="Times New Roman" w:hAnsi="Times New Roman" w:cs="Times New Roman"/>
          <w:sz w:val="20"/>
          <w:lang w:val="en-US"/>
        </w:rPr>
        <w:t xml:space="preserve">  </w:t>
      </w:r>
    </w:p>
    <w:p w14:paraId="1AFA2BD9" w14:textId="77777777" w:rsidR="00732001" w:rsidRPr="00B9370A" w:rsidRDefault="00732001" w:rsidP="00B9370A">
      <w:pPr>
        <w:spacing w:after="0"/>
        <w:jc w:val="both"/>
        <w:rPr>
          <w:rFonts w:ascii="Times New Roman" w:hAnsi="Times New Roman" w:cs="Times New Roman"/>
          <w:sz w:val="20"/>
          <w:lang w:val="en-US"/>
        </w:rPr>
      </w:pPr>
    </w:p>
    <w:p w14:paraId="0A70F210" w14:textId="77777777" w:rsidR="00254796" w:rsidRPr="00B9370A" w:rsidRDefault="00254796"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Fasting glucose of 100 to 125 mg/dL (5.5 to 6.9 mmol/L) is considered to be prediabetic (impaired fasting glucose) and a level of ≥126 mg per dL (7.0 mmol/L) is consistent with the diagnosis of diabetes.</w:t>
      </w:r>
      <w:r w:rsidRPr="00B9370A">
        <w:rPr>
          <w:rFonts w:ascii="Times New Roman" w:hAnsi="Times New Roman" w:cs="Times New Roman"/>
          <w:sz w:val="20"/>
          <w:vertAlign w:val="superscript"/>
          <w:lang w:val="en-US"/>
        </w:rPr>
        <w:t>14</w:t>
      </w:r>
    </w:p>
    <w:p w14:paraId="2A02F534" w14:textId="77777777" w:rsidR="00254796" w:rsidRPr="00B9370A" w:rsidRDefault="00254796" w:rsidP="00B9370A">
      <w:pPr>
        <w:spacing w:after="0"/>
        <w:jc w:val="both"/>
        <w:rPr>
          <w:rFonts w:ascii="Times New Roman" w:hAnsi="Times New Roman" w:cs="Times New Roman"/>
          <w:sz w:val="20"/>
          <w:lang w:val="en-US"/>
        </w:rPr>
      </w:pPr>
    </w:p>
    <w:p w14:paraId="4E8597DE" w14:textId="398288EF" w:rsidR="00254796" w:rsidRPr="00B9370A" w:rsidRDefault="00254796" w:rsidP="00B9370A">
      <w:pPr>
        <w:spacing w:after="0"/>
        <w:ind w:firstLine="708"/>
        <w:jc w:val="both"/>
        <w:rPr>
          <w:rFonts w:ascii="Times New Roman" w:hAnsi="Times New Roman" w:cs="Times New Roman"/>
          <w:sz w:val="20"/>
          <w:vertAlign w:val="superscript"/>
          <w:lang w:val="en-US"/>
        </w:rPr>
      </w:pPr>
      <w:r w:rsidRPr="00B9370A">
        <w:rPr>
          <w:rFonts w:ascii="Times New Roman" w:hAnsi="Times New Roman" w:cs="Times New Roman"/>
          <w:sz w:val="20"/>
          <w:lang w:val="en-US"/>
        </w:rPr>
        <w:t>Abnormal values compatible with dyslipidemia are a fasting total cholesterol of ≥200 mg/dL, a LDL cholesterol of ≥130 mg/dL, non-HDL cholesterol of ≥145 mg/dL, triglycerides of ≥100 mg/dL for ages 0-9 and ≥130 mg/dL for ages 10-19 years and a HDL cholesterol of &lt;40 mg/dL.</w:t>
      </w:r>
      <w:r w:rsidRPr="00B9370A">
        <w:rPr>
          <w:rFonts w:ascii="Times New Roman" w:hAnsi="Times New Roman" w:cs="Times New Roman"/>
          <w:sz w:val="20"/>
          <w:vertAlign w:val="superscript"/>
          <w:lang w:val="en-US"/>
        </w:rPr>
        <w:t>14</w:t>
      </w:r>
    </w:p>
    <w:p w14:paraId="76200087" w14:textId="77777777" w:rsidR="00254796" w:rsidRPr="00B9370A" w:rsidRDefault="00254796" w:rsidP="00B9370A">
      <w:pPr>
        <w:spacing w:after="0"/>
        <w:jc w:val="both"/>
        <w:rPr>
          <w:rFonts w:ascii="Times New Roman" w:hAnsi="Times New Roman" w:cs="Times New Roman"/>
          <w:sz w:val="20"/>
          <w:lang w:val="en-US"/>
        </w:rPr>
      </w:pPr>
    </w:p>
    <w:p w14:paraId="44C135ED" w14:textId="77777777" w:rsidR="00254796" w:rsidRPr="00B9370A" w:rsidRDefault="00254796"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Individuals with anti-HBs levels of 10 </w:t>
      </w:r>
      <w:proofErr w:type="spellStart"/>
      <w:r w:rsidRPr="00B9370A">
        <w:rPr>
          <w:rFonts w:ascii="Times New Roman" w:hAnsi="Times New Roman" w:cs="Times New Roman"/>
          <w:sz w:val="20"/>
          <w:lang w:val="en-US"/>
        </w:rPr>
        <w:t>mIU</w:t>
      </w:r>
      <w:proofErr w:type="spellEnd"/>
      <w:r w:rsidRPr="00B9370A">
        <w:rPr>
          <w:rFonts w:ascii="Times New Roman" w:hAnsi="Times New Roman" w:cs="Times New Roman"/>
          <w:sz w:val="20"/>
          <w:lang w:val="en-US"/>
        </w:rPr>
        <w:t>/mL or greater after completing an HBV vaccination series are considered protected from hepatitis B.</w:t>
      </w:r>
      <w:r w:rsidRPr="00B9370A">
        <w:rPr>
          <w:rFonts w:ascii="Times New Roman" w:hAnsi="Times New Roman" w:cs="Times New Roman"/>
          <w:sz w:val="20"/>
          <w:vertAlign w:val="superscript"/>
          <w:lang w:val="en-US"/>
        </w:rPr>
        <w:t>15,16</w:t>
      </w:r>
    </w:p>
    <w:p w14:paraId="433E9ABE" w14:textId="77777777" w:rsidR="006E070F" w:rsidRDefault="006E070F" w:rsidP="00B9370A">
      <w:pPr>
        <w:spacing w:after="0"/>
        <w:jc w:val="both"/>
        <w:rPr>
          <w:rFonts w:ascii="Times New Roman" w:hAnsi="Times New Roman" w:cs="Times New Roman"/>
          <w:sz w:val="20"/>
          <w:lang w:val="en-US"/>
        </w:rPr>
      </w:pPr>
    </w:p>
    <w:p w14:paraId="53C3361A" w14:textId="77777777" w:rsidR="00254796" w:rsidRPr="00B9370A" w:rsidRDefault="00254796"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The study has been carried out in accordance with the principles of the Declaration of Helsinki.</w:t>
      </w:r>
    </w:p>
    <w:p w14:paraId="02FF5D70" w14:textId="77777777" w:rsidR="00254796" w:rsidRPr="00B9370A" w:rsidRDefault="00254796" w:rsidP="00B9370A">
      <w:pPr>
        <w:spacing w:after="0"/>
        <w:jc w:val="both"/>
        <w:rPr>
          <w:rFonts w:ascii="Times New Roman" w:hAnsi="Times New Roman" w:cs="Times New Roman"/>
          <w:b/>
          <w:sz w:val="20"/>
          <w:lang w:val="en-US"/>
        </w:rPr>
      </w:pPr>
    </w:p>
    <w:p w14:paraId="19B04AEF" w14:textId="77777777" w:rsidR="00254796" w:rsidRPr="00B9370A" w:rsidRDefault="00254796" w:rsidP="00B9370A">
      <w:pPr>
        <w:spacing w:after="0"/>
        <w:jc w:val="both"/>
        <w:rPr>
          <w:rFonts w:ascii="Times New Roman" w:hAnsi="Times New Roman" w:cs="Times New Roman"/>
          <w:b/>
          <w:sz w:val="20"/>
          <w:lang w:val="en-US"/>
        </w:rPr>
      </w:pPr>
      <w:r w:rsidRPr="00B9370A">
        <w:rPr>
          <w:rFonts w:ascii="Times New Roman" w:hAnsi="Times New Roman" w:cs="Times New Roman"/>
          <w:b/>
          <w:sz w:val="20"/>
          <w:lang w:val="en-US"/>
        </w:rPr>
        <w:t>Statistical analysis</w:t>
      </w:r>
    </w:p>
    <w:p w14:paraId="1B3783FA" w14:textId="77777777" w:rsidR="00254796" w:rsidRPr="00B9370A" w:rsidRDefault="00254796" w:rsidP="00B9370A">
      <w:pPr>
        <w:spacing w:after="0"/>
        <w:jc w:val="both"/>
        <w:rPr>
          <w:rFonts w:ascii="Times New Roman" w:hAnsi="Times New Roman" w:cs="Times New Roman"/>
          <w:sz w:val="20"/>
          <w:lang w:val="en-US"/>
        </w:rPr>
      </w:pPr>
    </w:p>
    <w:p w14:paraId="3BCECD6F" w14:textId="5FCBFC68" w:rsidR="00254796" w:rsidRPr="00B9370A" w:rsidRDefault="00254796"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t xml:space="preserve">Statistical analysis was performed using the NCSS (Number Cruncher Statistical System) 2007&amp;PASS 2008 Statistical Software (Utah, U.S.A). All results are expressed as the mean ± SD. The analysis was conducted using Fisher’s exact test and chi-square test. A value </w:t>
      </w:r>
      <w:r w:rsidR="006E070F" w:rsidRPr="006E070F">
        <w:rPr>
          <w:rFonts w:ascii="Times New Roman" w:hAnsi="Times New Roman" w:cs="Times New Roman"/>
          <w:sz w:val="20"/>
          <w:lang w:val="en-US"/>
        </w:rPr>
        <w:t>of p</w:t>
      </w:r>
      <w:r w:rsidRPr="00B9370A">
        <w:rPr>
          <w:rFonts w:ascii="Times New Roman" w:hAnsi="Times New Roman" w:cs="Times New Roman"/>
          <w:sz w:val="20"/>
          <w:lang w:val="en-US"/>
        </w:rPr>
        <w:t xml:space="preserve"> &lt; 0.05 was considered statistically significant</w:t>
      </w:r>
    </w:p>
    <w:p w14:paraId="07ABFD56" w14:textId="77777777" w:rsidR="00254796" w:rsidRPr="00B9370A" w:rsidRDefault="00254796" w:rsidP="00B9370A">
      <w:pPr>
        <w:spacing w:after="0"/>
        <w:jc w:val="both"/>
        <w:rPr>
          <w:rFonts w:ascii="Times New Roman" w:hAnsi="Times New Roman" w:cs="Times New Roman"/>
          <w:b/>
          <w:caps/>
          <w:sz w:val="20"/>
          <w:lang w:val="en-US"/>
        </w:rPr>
      </w:pPr>
    </w:p>
    <w:p w14:paraId="6C226FD5" w14:textId="2F9F1BD7" w:rsidR="00254796" w:rsidRPr="00B9370A" w:rsidRDefault="00254796" w:rsidP="00B9370A">
      <w:pPr>
        <w:spacing w:after="0"/>
        <w:jc w:val="both"/>
        <w:rPr>
          <w:rFonts w:ascii="Times New Roman" w:hAnsi="Times New Roman" w:cs="Times New Roman"/>
          <w:b/>
          <w:caps/>
          <w:sz w:val="20"/>
          <w:lang w:val="en-US"/>
        </w:rPr>
      </w:pPr>
      <w:r w:rsidRPr="00B9370A">
        <w:rPr>
          <w:rFonts w:ascii="Times New Roman" w:hAnsi="Times New Roman" w:cs="Times New Roman"/>
          <w:b/>
          <w:caps/>
          <w:sz w:val="20"/>
          <w:lang w:val="en-US"/>
        </w:rPr>
        <w:t>Results:</w:t>
      </w:r>
    </w:p>
    <w:p w14:paraId="002922F0" w14:textId="77777777" w:rsidR="00254796" w:rsidRPr="00B9370A" w:rsidRDefault="00254796" w:rsidP="00B9370A">
      <w:pPr>
        <w:spacing w:after="0"/>
        <w:jc w:val="both"/>
        <w:rPr>
          <w:rFonts w:ascii="Times New Roman" w:hAnsi="Times New Roman" w:cs="Times New Roman"/>
          <w:sz w:val="20"/>
          <w:lang w:val="en-US"/>
        </w:rPr>
      </w:pPr>
    </w:p>
    <w:p w14:paraId="452DFBAC" w14:textId="05FBDCD4" w:rsidR="00254796" w:rsidRPr="00B9370A" w:rsidRDefault="00254796"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t>The mean age of the children was 9.7±2.</w:t>
      </w:r>
      <w:r w:rsidR="006E070F" w:rsidRPr="006E070F">
        <w:rPr>
          <w:rFonts w:ascii="Times New Roman" w:hAnsi="Times New Roman" w:cs="Times New Roman"/>
          <w:sz w:val="20"/>
          <w:lang w:val="en-US"/>
        </w:rPr>
        <w:t>9 years</w:t>
      </w:r>
      <w:r w:rsidRPr="00B9370A">
        <w:rPr>
          <w:rFonts w:ascii="Times New Roman" w:hAnsi="Times New Roman" w:cs="Times New Roman"/>
          <w:sz w:val="20"/>
          <w:lang w:val="en-US"/>
        </w:rPr>
        <w:t xml:space="preserve"> (range 5-16 years) and </w:t>
      </w:r>
      <w:proofErr w:type="spellStart"/>
      <w:r w:rsidRPr="00B9370A">
        <w:rPr>
          <w:rFonts w:ascii="Times New Roman" w:hAnsi="Times New Roman" w:cs="Times New Roman"/>
          <w:sz w:val="20"/>
          <w:lang w:val="en-US"/>
        </w:rPr>
        <w:t>male:female</w:t>
      </w:r>
      <w:proofErr w:type="spellEnd"/>
      <w:r w:rsidRPr="00B9370A">
        <w:rPr>
          <w:rFonts w:ascii="Times New Roman" w:hAnsi="Times New Roman" w:cs="Times New Roman"/>
          <w:sz w:val="20"/>
          <w:lang w:val="en-US"/>
        </w:rPr>
        <w:t xml:space="preserve"> ratio was 286/304. 27 (8.8%) of the girls and 10 (0.4%) of the boys had iron deficiency anemia (p=0.03) and oral iron therapy was initiated for these children.</w:t>
      </w:r>
    </w:p>
    <w:p w14:paraId="101CCEF4" w14:textId="77777777" w:rsidR="00254796" w:rsidRPr="00B9370A" w:rsidRDefault="00254796" w:rsidP="00B9370A">
      <w:pPr>
        <w:jc w:val="both"/>
        <w:rPr>
          <w:rFonts w:ascii="Times New Roman" w:hAnsi="Times New Roman" w:cs="Times New Roman"/>
          <w:sz w:val="20"/>
          <w:lang w:val="en-US"/>
        </w:rPr>
      </w:pPr>
      <w:r w:rsidRPr="00B9370A">
        <w:rPr>
          <w:rFonts w:ascii="Times New Roman" w:hAnsi="Times New Roman" w:cs="Times New Roman"/>
          <w:sz w:val="20"/>
          <w:lang w:val="en-US"/>
        </w:rPr>
        <w:br w:type="page"/>
      </w:r>
    </w:p>
    <w:p w14:paraId="3C3C23DC" w14:textId="77777777" w:rsidR="002B7AFE" w:rsidRPr="00B9370A" w:rsidRDefault="002B7AFE" w:rsidP="00B9370A">
      <w:pPr>
        <w:spacing w:after="0"/>
        <w:jc w:val="both"/>
        <w:rPr>
          <w:rFonts w:ascii="Times New Roman" w:hAnsi="Times New Roman" w:cs="Times New Roman"/>
          <w:sz w:val="20"/>
          <w:lang w:val="en-US"/>
        </w:rPr>
        <w:sectPr w:rsidR="002B7AFE" w:rsidRPr="00B9370A" w:rsidSect="00732001">
          <w:type w:val="continuous"/>
          <w:pgSz w:w="11906" w:h="16838"/>
          <w:pgMar w:top="1417" w:right="1417" w:bottom="1417" w:left="1417" w:header="708" w:footer="708" w:gutter="0"/>
          <w:cols w:num="2" w:space="709"/>
          <w:docGrid w:linePitch="360"/>
        </w:sect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100"/>
        <w:gridCol w:w="13"/>
        <w:gridCol w:w="2268"/>
        <w:gridCol w:w="1263"/>
      </w:tblGrid>
      <w:tr w:rsidR="00544993" w:rsidRPr="006E070F" w14:paraId="133BE88C" w14:textId="77777777" w:rsidTr="00903AB1">
        <w:trPr>
          <w:trHeight w:val="708"/>
        </w:trPr>
        <w:tc>
          <w:tcPr>
            <w:tcW w:w="7984" w:type="dxa"/>
            <w:gridSpan w:val="5"/>
          </w:tcPr>
          <w:p w14:paraId="6A3871C1" w14:textId="77777777" w:rsidR="00544993" w:rsidRPr="00B9370A" w:rsidRDefault="00544993" w:rsidP="00544993">
            <w:pPr>
              <w:pageBreakBefore/>
              <w:rPr>
                <w:rFonts w:ascii="Times New Roman" w:eastAsia="Times New Roman" w:hAnsi="Times New Roman" w:cs="Times New Roman"/>
                <w:b/>
                <w:sz w:val="20"/>
                <w:szCs w:val="24"/>
                <w:lang w:val="en-US" w:eastAsia="tr-TR"/>
              </w:rPr>
            </w:pPr>
            <w:r w:rsidRPr="00B9370A">
              <w:rPr>
                <w:rFonts w:ascii="Times New Roman" w:eastAsia="Calibri" w:hAnsi="Times New Roman" w:cs="Times New Roman"/>
                <w:b/>
                <w:sz w:val="20"/>
                <w:szCs w:val="24"/>
                <w:lang w:val="en-US"/>
              </w:rPr>
              <w:lastRenderedPageBreak/>
              <w:t>Table 1. The demographic features and laboratory findings of the children according to gender</w:t>
            </w:r>
          </w:p>
          <w:p w14:paraId="1270FA38" w14:textId="77777777" w:rsidR="00544993" w:rsidRPr="00B9370A" w:rsidRDefault="00544993" w:rsidP="00544993">
            <w:pPr>
              <w:spacing w:after="0"/>
              <w:ind w:left="-83"/>
              <w:rPr>
                <w:rFonts w:ascii="Times New Roman" w:hAnsi="Times New Roman" w:cs="Times New Roman"/>
                <w:sz w:val="20"/>
                <w:lang w:val="en-US"/>
              </w:rPr>
            </w:pPr>
          </w:p>
        </w:tc>
      </w:tr>
      <w:tr w:rsidR="00544993" w:rsidRPr="006E070F" w14:paraId="79F7ADF0" w14:textId="77777777" w:rsidTr="00903AB1">
        <w:trPr>
          <w:trHeight w:val="553"/>
        </w:trPr>
        <w:tc>
          <w:tcPr>
            <w:tcW w:w="2340" w:type="dxa"/>
          </w:tcPr>
          <w:p w14:paraId="7C551128" w14:textId="77777777" w:rsidR="00544993" w:rsidRPr="00B9370A" w:rsidRDefault="00544993" w:rsidP="00544993">
            <w:pPr>
              <w:spacing w:after="0"/>
              <w:ind w:left="-83"/>
              <w:rPr>
                <w:rFonts w:ascii="Times New Roman" w:hAnsi="Times New Roman" w:cs="Times New Roman"/>
                <w:sz w:val="20"/>
                <w:lang w:val="en-US"/>
              </w:rPr>
            </w:pPr>
          </w:p>
        </w:tc>
        <w:tc>
          <w:tcPr>
            <w:tcW w:w="2100" w:type="dxa"/>
          </w:tcPr>
          <w:p w14:paraId="6680249D"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Male</w:t>
            </w:r>
          </w:p>
          <w:p w14:paraId="5D098941" w14:textId="77777777" w:rsidR="00544993" w:rsidRPr="00B9370A" w:rsidRDefault="00544993" w:rsidP="00544993">
            <w:pPr>
              <w:spacing w:after="0"/>
              <w:ind w:left="-83"/>
              <w:rPr>
                <w:rFonts w:ascii="Times New Roman" w:hAnsi="Times New Roman" w:cs="Times New Roman"/>
                <w:sz w:val="20"/>
                <w:lang w:val="en-US"/>
              </w:rPr>
            </w:pPr>
            <w:r w:rsidRPr="00B9370A">
              <w:rPr>
                <w:rFonts w:ascii="Times New Roman" w:hAnsi="Times New Roman" w:cs="Times New Roman"/>
                <w:b/>
                <w:sz w:val="20"/>
                <w:lang w:val="en-US"/>
              </w:rPr>
              <w:t>(n=286)</w:t>
            </w:r>
          </w:p>
        </w:tc>
        <w:tc>
          <w:tcPr>
            <w:tcW w:w="2281" w:type="dxa"/>
            <w:gridSpan w:val="2"/>
          </w:tcPr>
          <w:p w14:paraId="51E363DF"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Female</w:t>
            </w:r>
          </w:p>
          <w:p w14:paraId="1B7B3303" w14:textId="77777777" w:rsidR="00544993" w:rsidRPr="00B9370A" w:rsidRDefault="00544993" w:rsidP="00544993">
            <w:pPr>
              <w:spacing w:after="0"/>
              <w:ind w:left="-83"/>
              <w:rPr>
                <w:rFonts w:ascii="Times New Roman" w:hAnsi="Times New Roman" w:cs="Times New Roman"/>
                <w:sz w:val="20"/>
                <w:lang w:val="en-US"/>
              </w:rPr>
            </w:pPr>
            <w:r w:rsidRPr="00B9370A">
              <w:rPr>
                <w:rFonts w:ascii="Times New Roman" w:hAnsi="Times New Roman" w:cs="Times New Roman"/>
                <w:b/>
                <w:sz w:val="20"/>
                <w:lang w:val="en-US"/>
              </w:rPr>
              <w:t>(n=304)</w:t>
            </w:r>
          </w:p>
        </w:tc>
        <w:tc>
          <w:tcPr>
            <w:tcW w:w="1263" w:type="dxa"/>
          </w:tcPr>
          <w:p w14:paraId="6060BB20"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sz w:val="20"/>
                <w:lang w:val="en-US"/>
              </w:rPr>
              <w:t xml:space="preserve"> </w:t>
            </w:r>
            <w:r w:rsidRPr="00B9370A">
              <w:rPr>
                <w:rFonts w:ascii="Times New Roman" w:hAnsi="Times New Roman" w:cs="Times New Roman"/>
                <w:b/>
                <w:sz w:val="20"/>
                <w:lang w:val="en-US"/>
              </w:rPr>
              <w:t>p</w:t>
            </w:r>
          </w:p>
        </w:tc>
      </w:tr>
      <w:tr w:rsidR="00544993" w:rsidRPr="006E070F" w14:paraId="66E90795" w14:textId="77777777" w:rsidTr="00903AB1">
        <w:trPr>
          <w:trHeight w:val="480"/>
        </w:trPr>
        <w:tc>
          <w:tcPr>
            <w:tcW w:w="2340" w:type="dxa"/>
          </w:tcPr>
          <w:p w14:paraId="2DD8BEEF"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Age (</w:t>
            </w:r>
            <w:proofErr w:type="spellStart"/>
            <w:r w:rsidRPr="00B9370A">
              <w:rPr>
                <w:rFonts w:ascii="Times New Roman" w:hAnsi="Times New Roman" w:cs="Times New Roman"/>
                <w:b/>
                <w:sz w:val="20"/>
                <w:lang w:val="en-US"/>
              </w:rPr>
              <w:t>mean±</w:t>
            </w:r>
            <w:proofErr w:type="gramStart"/>
            <w:r w:rsidRPr="00B9370A">
              <w:rPr>
                <w:rFonts w:ascii="Times New Roman" w:hAnsi="Times New Roman" w:cs="Times New Roman"/>
                <w:b/>
                <w:sz w:val="20"/>
                <w:lang w:val="en-US"/>
              </w:rPr>
              <w:t>SD</w:t>
            </w:r>
            <w:proofErr w:type="spellEnd"/>
            <w:r w:rsidRPr="00B9370A">
              <w:rPr>
                <w:rFonts w:ascii="Times New Roman" w:hAnsi="Times New Roman" w:cs="Times New Roman"/>
                <w:b/>
                <w:sz w:val="20"/>
                <w:lang w:val="en-US"/>
              </w:rPr>
              <w:t xml:space="preserve">)   </w:t>
            </w:r>
            <w:proofErr w:type="gramEnd"/>
            <w:r w:rsidRPr="00B9370A">
              <w:rPr>
                <w:rFonts w:ascii="Times New Roman" w:hAnsi="Times New Roman" w:cs="Times New Roman"/>
                <w:b/>
                <w:sz w:val="20"/>
                <w:lang w:val="en-US"/>
              </w:rPr>
              <w:t xml:space="preserve">                              </w:t>
            </w:r>
          </w:p>
        </w:tc>
        <w:tc>
          <w:tcPr>
            <w:tcW w:w="2113" w:type="dxa"/>
            <w:gridSpan w:val="2"/>
          </w:tcPr>
          <w:p w14:paraId="6F219C4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9.63±2.9                           </w:t>
            </w:r>
          </w:p>
        </w:tc>
        <w:tc>
          <w:tcPr>
            <w:tcW w:w="2268" w:type="dxa"/>
          </w:tcPr>
          <w:p w14:paraId="77755E9A"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9.98±3.0                    </w:t>
            </w:r>
          </w:p>
        </w:tc>
        <w:tc>
          <w:tcPr>
            <w:tcW w:w="1263" w:type="dxa"/>
          </w:tcPr>
          <w:p w14:paraId="6CBB423D"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0.10</w:t>
            </w:r>
          </w:p>
        </w:tc>
      </w:tr>
      <w:tr w:rsidR="00544993" w:rsidRPr="006E070F" w14:paraId="22E0C0EA" w14:textId="77777777" w:rsidTr="00903AB1">
        <w:trPr>
          <w:trHeight w:val="570"/>
        </w:trPr>
        <w:tc>
          <w:tcPr>
            <w:tcW w:w="2340" w:type="dxa"/>
          </w:tcPr>
          <w:p w14:paraId="14D4CEDA"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Fasting glucose (mg/dL)                    </w:t>
            </w:r>
          </w:p>
        </w:tc>
        <w:tc>
          <w:tcPr>
            <w:tcW w:w="2113" w:type="dxa"/>
            <w:gridSpan w:val="2"/>
          </w:tcPr>
          <w:p w14:paraId="43102E01"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94.5±6.</w:t>
            </w:r>
            <w:proofErr w:type="gramStart"/>
            <w:r w:rsidRPr="00B9370A">
              <w:rPr>
                <w:rFonts w:ascii="Times New Roman" w:hAnsi="Times New Roman" w:cs="Times New Roman"/>
                <w:sz w:val="20"/>
                <w:lang w:val="en-US"/>
              </w:rPr>
              <w:t>5  (</w:t>
            </w:r>
            <w:proofErr w:type="gramEnd"/>
            <w:r w:rsidRPr="00B9370A">
              <w:rPr>
                <w:rFonts w:ascii="Times New Roman" w:hAnsi="Times New Roman" w:cs="Times New Roman"/>
                <w:sz w:val="20"/>
                <w:lang w:val="en-US"/>
              </w:rPr>
              <w:t xml:space="preserve">95)                  </w:t>
            </w:r>
          </w:p>
        </w:tc>
        <w:tc>
          <w:tcPr>
            <w:tcW w:w="2268" w:type="dxa"/>
          </w:tcPr>
          <w:p w14:paraId="5EC1A7AA"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93.5±6.5</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94)           </w:t>
            </w:r>
          </w:p>
        </w:tc>
        <w:tc>
          <w:tcPr>
            <w:tcW w:w="1263" w:type="dxa"/>
          </w:tcPr>
          <w:p w14:paraId="464A13A7"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0.00</w:t>
            </w:r>
          </w:p>
        </w:tc>
      </w:tr>
      <w:tr w:rsidR="00544993" w:rsidRPr="006E070F" w14:paraId="732D2096" w14:textId="77777777" w:rsidTr="00903AB1">
        <w:trPr>
          <w:trHeight w:val="630"/>
        </w:trPr>
        <w:tc>
          <w:tcPr>
            <w:tcW w:w="2340" w:type="dxa"/>
          </w:tcPr>
          <w:p w14:paraId="2355A348" w14:textId="77777777" w:rsidR="00544993" w:rsidRPr="00B9370A" w:rsidRDefault="00544993" w:rsidP="00544993">
            <w:pPr>
              <w:spacing w:after="0"/>
              <w:ind w:left="-83"/>
              <w:rPr>
                <w:rFonts w:ascii="Times New Roman" w:hAnsi="Times New Roman" w:cs="Times New Roman"/>
                <w:b/>
                <w:sz w:val="20"/>
                <w:lang w:val="en-US"/>
              </w:rPr>
            </w:pPr>
            <w:proofErr w:type="gramStart"/>
            <w:r w:rsidRPr="00B9370A">
              <w:rPr>
                <w:rFonts w:ascii="Times New Roman" w:hAnsi="Times New Roman" w:cs="Times New Roman"/>
                <w:b/>
                <w:sz w:val="20"/>
                <w:lang w:val="en-US"/>
              </w:rPr>
              <w:t>ALT  (</w:t>
            </w:r>
            <w:proofErr w:type="gramEnd"/>
            <w:r w:rsidRPr="00B9370A">
              <w:rPr>
                <w:rFonts w:ascii="Times New Roman" w:hAnsi="Times New Roman" w:cs="Times New Roman"/>
                <w:b/>
                <w:sz w:val="20"/>
                <w:lang w:val="en-US"/>
              </w:rPr>
              <w:t xml:space="preserve">U/L)                                        </w:t>
            </w:r>
          </w:p>
        </w:tc>
        <w:tc>
          <w:tcPr>
            <w:tcW w:w="2113" w:type="dxa"/>
            <w:gridSpan w:val="2"/>
          </w:tcPr>
          <w:p w14:paraId="2765C591"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19.3±7.8</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17)                  </w:t>
            </w:r>
          </w:p>
        </w:tc>
        <w:tc>
          <w:tcPr>
            <w:tcW w:w="2268" w:type="dxa"/>
          </w:tcPr>
          <w:p w14:paraId="06591F4D"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18.1±8.5</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15)          </w:t>
            </w:r>
          </w:p>
        </w:tc>
        <w:tc>
          <w:tcPr>
            <w:tcW w:w="1263" w:type="dxa"/>
          </w:tcPr>
          <w:p w14:paraId="2412755C"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0.00</w:t>
            </w:r>
          </w:p>
        </w:tc>
      </w:tr>
      <w:tr w:rsidR="00544993" w:rsidRPr="006E070F" w14:paraId="750B3CD1" w14:textId="77777777" w:rsidTr="00903AB1">
        <w:trPr>
          <w:trHeight w:val="510"/>
        </w:trPr>
        <w:tc>
          <w:tcPr>
            <w:tcW w:w="2340" w:type="dxa"/>
          </w:tcPr>
          <w:p w14:paraId="2548165A" w14:textId="77777777" w:rsidR="00544993" w:rsidRPr="00B9370A" w:rsidRDefault="00544993" w:rsidP="00544993">
            <w:pPr>
              <w:spacing w:after="0"/>
              <w:ind w:left="-83"/>
              <w:rPr>
                <w:rFonts w:ascii="Times New Roman" w:hAnsi="Times New Roman" w:cs="Times New Roman"/>
                <w:b/>
                <w:sz w:val="20"/>
                <w:lang w:val="en-US"/>
              </w:rPr>
            </w:pPr>
            <w:proofErr w:type="gramStart"/>
            <w:r w:rsidRPr="00B9370A">
              <w:rPr>
                <w:rFonts w:ascii="Times New Roman" w:hAnsi="Times New Roman" w:cs="Times New Roman"/>
                <w:b/>
                <w:sz w:val="20"/>
                <w:lang w:val="en-US"/>
              </w:rPr>
              <w:t>AST  (</w:t>
            </w:r>
            <w:proofErr w:type="gramEnd"/>
            <w:r w:rsidRPr="00B9370A">
              <w:rPr>
                <w:rFonts w:ascii="Times New Roman" w:hAnsi="Times New Roman" w:cs="Times New Roman"/>
                <w:b/>
                <w:sz w:val="20"/>
                <w:lang w:val="en-US"/>
              </w:rPr>
              <w:t xml:space="preserve">U/L)                                        </w:t>
            </w:r>
          </w:p>
        </w:tc>
        <w:tc>
          <w:tcPr>
            <w:tcW w:w="2113" w:type="dxa"/>
            <w:gridSpan w:val="2"/>
          </w:tcPr>
          <w:p w14:paraId="598E37E9"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26.9±6.0</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26)                  </w:t>
            </w:r>
          </w:p>
        </w:tc>
        <w:tc>
          <w:tcPr>
            <w:tcW w:w="2268" w:type="dxa"/>
          </w:tcPr>
          <w:p w14:paraId="4003CED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26.5±5.7</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24)           </w:t>
            </w:r>
          </w:p>
        </w:tc>
        <w:tc>
          <w:tcPr>
            <w:tcW w:w="1263" w:type="dxa"/>
          </w:tcPr>
          <w:p w14:paraId="6D230F34"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0.41</w:t>
            </w:r>
          </w:p>
        </w:tc>
      </w:tr>
      <w:tr w:rsidR="00544993" w:rsidRPr="006E070F" w14:paraId="0871B5C3" w14:textId="77777777" w:rsidTr="00903AB1">
        <w:trPr>
          <w:trHeight w:val="540"/>
        </w:trPr>
        <w:tc>
          <w:tcPr>
            <w:tcW w:w="2340" w:type="dxa"/>
          </w:tcPr>
          <w:p w14:paraId="4B2912BD" w14:textId="77777777" w:rsidR="00544993" w:rsidRPr="00B9370A" w:rsidRDefault="00544993"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BUN (mg/dL)                                    </w:t>
            </w:r>
          </w:p>
        </w:tc>
        <w:tc>
          <w:tcPr>
            <w:tcW w:w="2113" w:type="dxa"/>
            <w:gridSpan w:val="2"/>
          </w:tcPr>
          <w:p w14:paraId="01C0BD66"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23.5±5.1</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23)                  </w:t>
            </w:r>
          </w:p>
        </w:tc>
        <w:tc>
          <w:tcPr>
            <w:tcW w:w="2268" w:type="dxa"/>
          </w:tcPr>
          <w:p w14:paraId="5A2E9246"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22.8±6.7</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22)           </w:t>
            </w:r>
          </w:p>
        </w:tc>
        <w:tc>
          <w:tcPr>
            <w:tcW w:w="1263" w:type="dxa"/>
          </w:tcPr>
          <w:p w14:paraId="47AE6551"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0.10</w:t>
            </w:r>
          </w:p>
        </w:tc>
      </w:tr>
      <w:tr w:rsidR="00544993" w:rsidRPr="006E070F" w14:paraId="28BE5CAE" w14:textId="77777777" w:rsidTr="00903AB1">
        <w:trPr>
          <w:trHeight w:val="570"/>
        </w:trPr>
        <w:tc>
          <w:tcPr>
            <w:tcW w:w="2340" w:type="dxa"/>
          </w:tcPr>
          <w:p w14:paraId="0D56AB72" w14:textId="77777777" w:rsidR="00544993" w:rsidRPr="00B9370A" w:rsidRDefault="00DC2B17" w:rsidP="00544993">
            <w:pPr>
              <w:spacing w:after="0"/>
              <w:ind w:left="-83"/>
              <w:rPr>
                <w:rFonts w:ascii="Times New Roman" w:hAnsi="Times New Roman" w:cs="Times New Roman"/>
                <w:b/>
                <w:sz w:val="20"/>
                <w:lang w:val="en-US"/>
              </w:rPr>
            </w:pPr>
            <w:proofErr w:type="spellStart"/>
            <w:proofErr w:type="gramStart"/>
            <w:r w:rsidRPr="00B9370A">
              <w:rPr>
                <w:rFonts w:ascii="Times New Roman" w:hAnsi="Times New Roman" w:cs="Times New Roman"/>
                <w:b/>
                <w:sz w:val="20"/>
                <w:lang w:val="en-US"/>
              </w:rPr>
              <w:t>Creatinin</w:t>
            </w:r>
            <w:proofErr w:type="spellEnd"/>
            <w:r w:rsidRPr="00B9370A">
              <w:rPr>
                <w:rFonts w:ascii="Times New Roman" w:hAnsi="Times New Roman" w:cs="Times New Roman"/>
                <w:b/>
                <w:sz w:val="20"/>
                <w:lang w:val="en-US"/>
              </w:rPr>
              <w:t xml:space="preserve">  (</w:t>
            </w:r>
            <w:proofErr w:type="gramEnd"/>
            <w:r w:rsidRPr="00B9370A">
              <w:rPr>
                <w:rFonts w:ascii="Times New Roman" w:hAnsi="Times New Roman" w:cs="Times New Roman"/>
                <w:b/>
                <w:sz w:val="20"/>
                <w:lang w:val="en-US"/>
              </w:rPr>
              <w:t xml:space="preserve">mg/dL)                             </w:t>
            </w:r>
          </w:p>
        </w:tc>
        <w:tc>
          <w:tcPr>
            <w:tcW w:w="2113" w:type="dxa"/>
            <w:gridSpan w:val="2"/>
          </w:tcPr>
          <w:p w14:paraId="50FBF154"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0.43±0.</w:t>
            </w:r>
            <w:proofErr w:type="gramStart"/>
            <w:r w:rsidRPr="00B9370A">
              <w:rPr>
                <w:rFonts w:ascii="Times New Roman" w:hAnsi="Times New Roman" w:cs="Times New Roman"/>
                <w:sz w:val="20"/>
                <w:lang w:val="en-US"/>
              </w:rPr>
              <w:t>0  (</w:t>
            </w:r>
            <w:proofErr w:type="gramEnd"/>
            <w:r w:rsidRPr="00B9370A">
              <w:rPr>
                <w:rFonts w:ascii="Times New Roman" w:hAnsi="Times New Roman" w:cs="Times New Roman"/>
                <w:sz w:val="20"/>
                <w:lang w:val="en-US"/>
              </w:rPr>
              <w:t xml:space="preserve">0.42)                </w:t>
            </w:r>
          </w:p>
        </w:tc>
        <w:tc>
          <w:tcPr>
            <w:tcW w:w="2268" w:type="dxa"/>
          </w:tcPr>
          <w:p w14:paraId="6C661734"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0.43±0.0</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0.4)         </w:t>
            </w:r>
          </w:p>
        </w:tc>
        <w:tc>
          <w:tcPr>
            <w:tcW w:w="1263" w:type="dxa"/>
          </w:tcPr>
          <w:p w14:paraId="2395111D"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1.00                                                                                            </w:t>
            </w:r>
          </w:p>
        </w:tc>
      </w:tr>
      <w:tr w:rsidR="00544993" w:rsidRPr="006E070F" w14:paraId="6883583F" w14:textId="77777777" w:rsidTr="00903AB1">
        <w:trPr>
          <w:trHeight w:val="480"/>
        </w:trPr>
        <w:tc>
          <w:tcPr>
            <w:tcW w:w="2340" w:type="dxa"/>
          </w:tcPr>
          <w:p w14:paraId="29F63C34"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Cholesterol (mg/dL)                          </w:t>
            </w:r>
          </w:p>
        </w:tc>
        <w:tc>
          <w:tcPr>
            <w:tcW w:w="2113" w:type="dxa"/>
            <w:gridSpan w:val="2"/>
          </w:tcPr>
          <w:p w14:paraId="66706B2F"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170.5±29.3 (171)              </w:t>
            </w:r>
          </w:p>
        </w:tc>
        <w:tc>
          <w:tcPr>
            <w:tcW w:w="2268" w:type="dxa"/>
          </w:tcPr>
          <w:p w14:paraId="01CCD12E"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177.6±121 (168)        </w:t>
            </w:r>
          </w:p>
        </w:tc>
        <w:tc>
          <w:tcPr>
            <w:tcW w:w="1263" w:type="dxa"/>
          </w:tcPr>
          <w:p w14:paraId="298182CA"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0.31</w:t>
            </w:r>
          </w:p>
        </w:tc>
      </w:tr>
      <w:tr w:rsidR="00544993" w:rsidRPr="006E070F" w14:paraId="77F00B03" w14:textId="77777777" w:rsidTr="00903AB1">
        <w:trPr>
          <w:trHeight w:val="600"/>
        </w:trPr>
        <w:tc>
          <w:tcPr>
            <w:tcW w:w="2340" w:type="dxa"/>
          </w:tcPr>
          <w:p w14:paraId="11DD6A11"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Triglyceride (mg/dL)                        </w:t>
            </w:r>
          </w:p>
        </w:tc>
        <w:tc>
          <w:tcPr>
            <w:tcW w:w="2113" w:type="dxa"/>
            <w:gridSpan w:val="2"/>
          </w:tcPr>
          <w:p w14:paraId="763AC75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76.04±34.</w:t>
            </w:r>
            <w:proofErr w:type="gramStart"/>
            <w:r w:rsidRPr="00B9370A">
              <w:rPr>
                <w:rFonts w:ascii="Times New Roman" w:hAnsi="Times New Roman" w:cs="Times New Roman"/>
                <w:sz w:val="20"/>
                <w:lang w:val="en-US"/>
              </w:rPr>
              <w:t>4  (</w:t>
            </w:r>
            <w:proofErr w:type="gramEnd"/>
            <w:r w:rsidRPr="00B9370A">
              <w:rPr>
                <w:rFonts w:ascii="Times New Roman" w:hAnsi="Times New Roman" w:cs="Times New Roman"/>
                <w:sz w:val="20"/>
                <w:lang w:val="en-US"/>
              </w:rPr>
              <w:t xml:space="preserve">70)                </w:t>
            </w:r>
          </w:p>
        </w:tc>
        <w:tc>
          <w:tcPr>
            <w:tcW w:w="2268" w:type="dxa"/>
          </w:tcPr>
          <w:p w14:paraId="47FE6B83"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79.4±33.</w:t>
            </w:r>
            <w:proofErr w:type="gramStart"/>
            <w:r w:rsidRPr="00B9370A">
              <w:rPr>
                <w:rFonts w:ascii="Times New Roman" w:hAnsi="Times New Roman" w:cs="Times New Roman"/>
                <w:sz w:val="20"/>
                <w:lang w:val="en-US"/>
              </w:rPr>
              <w:t>4  (</w:t>
            </w:r>
            <w:proofErr w:type="gramEnd"/>
            <w:r w:rsidRPr="00B9370A">
              <w:rPr>
                <w:rFonts w:ascii="Times New Roman" w:hAnsi="Times New Roman" w:cs="Times New Roman"/>
                <w:sz w:val="20"/>
                <w:lang w:val="en-US"/>
              </w:rPr>
              <w:t xml:space="preserve">74)         </w:t>
            </w:r>
          </w:p>
        </w:tc>
        <w:tc>
          <w:tcPr>
            <w:tcW w:w="1263" w:type="dxa"/>
          </w:tcPr>
          <w:p w14:paraId="066F53D7"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0.20</w:t>
            </w:r>
          </w:p>
        </w:tc>
      </w:tr>
      <w:tr w:rsidR="00544993" w:rsidRPr="006E070F" w14:paraId="1D7C7F9A" w14:textId="77777777" w:rsidTr="00903AB1">
        <w:trPr>
          <w:trHeight w:val="540"/>
        </w:trPr>
        <w:tc>
          <w:tcPr>
            <w:tcW w:w="2340" w:type="dxa"/>
          </w:tcPr>
          <w:p w14:paraId="4EE35CDD"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LDL (mg/dL)                                    </w:t>
            </w:r>
          </w:p>
        </w:tc>
        <w:tc>
          <w:tcPr>
            <w:tcW w:w="2113" w:type="dxa"/>
            <w:gridSpan w:val="2"/>
          </w:tcPr>
          <w:p w14:paraId="036E5DFC"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103.2±24.</w:t>
            </w:r>
            <w:proofErr w:type="gramStart"/>
            <w:r w:rsidRPr="00B9370A">
              <w:rPr>
                <w:rFonts w:ascii="Times New Roman" w:hAnsi="Times New Roman" w:cs="Times New Roman"/>
                <w:sz w:val="20"/>
                <w:lang w:val="en-US"/>
              </w:rPr>
              <w:t>3  (</w:t>
            </w:r>
            <w:proofErr w:type="gramEnd"/>
            <w:r w:rsidRPr="00B9370A">
              <w:rPr>
                <w:rFonts w:ascii="Times New Roman" w:hAnsi="Times New Roman" w:cs="Times New Roman"/>
                <w:sz w:val="20"/>
                <w:lang w:val="en-US"/>
              </w:rPr>
              <w:t xml:space="preserve">100)              </w:t>
            </w:r>
          </w:p>
        </w:tc>
        <w:tc>
          <w:tcPr>
            <w:tcW w:w="2268" w:type="dxa"/>
          </w:tcPr>
          <w:p w14:paraId="3C183BE7"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102.4±24</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101)       </w:t>
            </w:r>
          </w:p>
        </w:tc>
        <w:tc>
          <w:tcPr>
            <w:tcW w:w="1263" w:type="dxa"/>
          </w:tcPr>
          <w:p w14:paraId="08BEDEF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0.61</w:t>
            </w:r>
          </w:p>
        </w:tc>
      </w:tr>
      <w:tr w:rsidR="00544993" w:rsidRPr="006E070F" w14:paraId="1C512121" w14:textId="77777777" w:rsidTr="00903AB1">
        <w:trPr>
          <w:trHeight w:val="450"/>
        </w:trPr>
        <w:tc>
          <w:tcPr>
            <w:tcW w:w="2340" w:type="dxa"/>
          </w:tcPr>
          <w:p w14:paraId="4C37F091"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HDL </w:t>
            </w:r>
            <w:proofErr w:type="gramStart"/>
            <w:r w:rsidRPr="00B9370A">
              <w:rPr>
                <w:rFonts w:ascii="Times New Roman" w:hAnsi="Times New Roman" w:cs="Times New Roman"/>
                <w:b/>
                <w:sz w:val="20"/>
                <w:lang w:val="en-US"/>
              </w:rPr>
              <w:t>( mg</w:t>
            </w:r>
            <w:proofErr w:type="gramEnd"/>
            <w:r w:rsidRPr="00B9370A">
              <w:rPr>
                <w:rFonts w:ascii="Times New Roman" w:hAnsi="Times New Roman" w:cs="Times New Roman"/>
                <w:b/>
                <w:sz w:val="20"/>
                <w:lang w:val="en-US"/>
              </w:rPr>
              <w:t xml:space="preserve">/dL)                                   </w:t>
            </w:r>
          </w:p>
        </w:tc>
        <w:tc>
          <w:tcPr>
            <w:tcW w:w="2113" w:type="dxa"/>
            <w:gridSpan w:val="2"/>
          </w:tcPr>
          <w:p w14:paraId="1914B84E"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52.6±11.7</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51)                 </w:t>
            </w:r>
          </w:p>
        </w:tc>
        <w:tc>
          <w:tcPr>
            <w:tcW w:w="2268" w:type="dxa"/>
          </w:tcPr>
          <w:p w14:paraId="4AEF42B4"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51.6±9.8</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50)          </w:t>
            </w:r>
          </w:p>
        </w:tc>
        <w:tc>
          <w:tcPr>
            <w:tcW w:w="1263" w:type="dxa"/>
          </w:tcPr>
          <w:p w14:paraId="57DEE056"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0.21</w:t>
            </w:r>
          </w:p>
        </w:tc>
      </w:tr>
      <w:tr w:rsidR="00544993" w:rsidRPr="006E070F" w14:paraId="72EDD448" w14:textId="77777777" w:rsidTr="00903AB1">
        <w:trPr>
          <w:trHeight w:val="528"/>
        </w:trPr>
        <w:tc>
          <w:tcPr>
            <w:tcW w:w="2340" w:type="dxa"/>
          </w:tcPr>
          <w:p w14:paraId="6F70B951"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Hemoglobin (g/dL)                           </w:t>
            </w:r>
          </w:p>
        </w:tc>
        <w:tc>
          <w:tcPr>
            <w:tcW w:w="2113" w:type="dxa"/>
            <w:gridSpan w:val="2"/>
          </w:tcPr>
          <w:p w14:paraId="52823975"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13.02±1.</w:t>
            </w:r>
            <w:proofErr w:type="gramStart"/>
            <w:r w:rsidRPr="00B9370A">
              <w:rPr>
                <w:rFonts w:ascii="Times New Roman" w:hAnsi="Times New Roman" w:cs="Times New Roman"/>
                <w:sz w:val="20"/>
                <w:lang w:val="en-US"/>
              </w:rPr>
              <w:t>0  (</w:t>
            </w:r>
            <w:proofErr w:type="gramEnd"/>
            <w:r w:rsidRPr="00B9370A">
              <w:rPr>
                <w:rFonts w:ascii="Times New Roman" w:hAnsi="Times New Roman" w:cs="Times New Roman"/>
                <w:sz w:val="20"/>
                <w:lang w:val="en-US"/>
              </w:rPr>
              <w:t xml:space="preserve">13)                  </w:t>
            </w:r>
          </w:p>
        </w:tc>
        <w:tc>
          <w:tcPr>
            <w:tcW w:w="2268" w:type="dxa"/>
          </w:tcPr>
          <w:p w14:paraId="68E3200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12.6±1.1</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13)          </w:t>
            </w:r>
          </w:p>
        </w:tc>
        <w:tc>
          <w:tcPr>
            <w:tcW w:w="1263" w:type="dxa"/>
          </w:tcPr>
          <w:p w14:paraId="6C50CDA3" w14:textId="77777777" w:rsidR="00544993"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0.00   </w:t>
            </w:r>
          </w:p>
        </w:tc>
      </w:tr>
      <w:tr w:rsidR="00544993" w:rsidRPr="006E070F" w14:paraId="59CCC246" w14:textId="77777777" w:rsidTr="00903AB1">
        <w:trPr>
          <w:trHeight w:val="450"/>
        </w:trPr>
        <w:tc>
          <w:tcPr>
            <w:tcW w:w="2340" w:type="dxa"/>
          </w:tcPr>
          <w:p w14:paraId="28F5C7EB" w14:textId="77777777" w:rsidR="00544993"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Ferritin (ng/mL)                                </w:t>
            </w:r>
          </w:p>
        </w:tc>
        <w:tc>
          <w:tcPr>
            <w:tcW w:w="2113" w:type="dxa"/>
            <w:gridSpan w:val="2"/>
          </w:tcPr>
          <w:p w14:paraId="78033C4A"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22.5±10.3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20)                </w:t>
            </w:r>
          </w:p>
        </w:tc>
        <w:tc>
          <w:tcPr>
            <w:tcW w:w="2268" w:type="dxa"/>
          </w:tcPr>
          <w:p w14:paraId="2F2CCC62"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20.1±9.7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19)         </w:t>
            </w:r>
          </w:p>
        </w:tc>
        <w:tc>
          <w:tcPr>
            <w:tcW w:w="1263" w:type="dxa"/>
          </w:tcPr>
          <w:p w14:paraId="64A99BD9" w14:textId="77777777" w:rsidR="00544993"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0.00   </w:t>
            </w:r>
          </w:p>
        </w:tc>
      </w:tr>
      <w:tr w:rsidR="00544993" w:rsidRPr="006E070F" w14:paraId="4C24EC83" w14:textId="77777777" w:rsidTr="00903AB1">
        <w:trPr>
          <w:trHeight w:val="420"/>
        </w:trPr>
        <w:tc>
          <w:tcPr>
            <w:tcW w:w="2340" w:type="dxa"/>
          </w:tcPr>
          <w:p w14:paraId="1F45ED98" w14:textId="77777777" w:rsidR="00544993" w:rsidRPr="00B9370A" w:rsidRDefault="00DC2B17" w:rsidP="00DC2B17">
            <w:pPr>
              <w:spacing w:after="0"/>
              <w:rPr>
                <w:rFonts w:ascii="Times New Roman" w:hAnsi="Times New Roman" w:cs="Times New Roman"/>
                <w:b/>
                <w:sz w:val="20"/>
                <w:lang w:val="en-US"/>
              </w:rPr>
            </w:pPr>
            <w:r w:rsidRPr="00B9370A">
              <w:rPr>
                <w:rFonts w:ascii="Times New Roman" w:hAnsi="Times New Roman" w:cs="Times New Roman"/>
                <w:b/>
                <w:sz w:val="20"/>
                <w:lang w:val="en-US"/>
              </w:rPr>
              <w:t xml:space="preserve">Serum iron (µg/dL)                          </w:t>
            </w:r>
          </w:p>
        </w:tc>
        <w:tc>
          <w:tcPr>
            <w:tcW w:w="2113" w:type="dxa"/>
            <w:gridSpan w:val="2"/>
          </w:tcPr>
          <w:p w14:paraId="58B8A4DA"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104±76.5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75)                </w:t>
            </w:r>
          </w:p>
        </w:tc>
        <w:tc>
          <w:tcPr>
            <w:tcW w:w="2268" w:type="dxa"/>
          </w:tcPr>
          <w:p w14:paraId="3E9927B8" w14:textId="77777777" w:rsidR="00544993"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123±78.2</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78)         </w:t>
            </w:r>
          </w:p>
        </w:tc>
        <w:tc>
          <w:tcPr>
            <w:tcW w:w="1263" w:type="dxa"/>
          </w:tcPr>
          <w:p w14:paraId="1495A699" w14:textId="77777777" w:rsidR="00544993"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0.00   </w:t>
            </w:r>
          </w:p>
        </w:tc>
      </w:tr>
      <w:tr w:rsidR="00DC2B17" w:rsidRPr="006E070F" w14:paraId="28B96726" w14:textId="77777777" w:rsidTr="00903AB1">
        <w:trPr>
          <w:trHeight w:val="570"/>
        </w:trPr>
        <w:tc>
          <w:tcPr>
            <w:tcW w:w="2340" w:type="dxa"/>
          </w:tcPr>
          <w:p w14:paraId="3F922885" w14:textId="77777777" w:rsidR="00DC2B17"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Iron binding capacity (µg/dL)          </w:t>
            </w:r>
          </w:p>
        </w:tc>
        <w:tc>
          <w:tcPr>
            <w:tcW w:w="2113" w:type="dxa"/>
            <w:gridSpan w:val="2"/>
          </w:tcPr>
          <w:p w14:paraId="6529425E"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305±56.6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300)               </w:t>
            </w:r>
          </w:p>
        </w:tc>
        <w:tc>
          <w:tcPr>
            <w:tcW w:w="2268" w:type="dxa"/>
          </w:tcPr>
          <w:p w14:paraId="7AE3F7FF"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320±74.4</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318)       </w:t>
            </w:r>
          </w:p>
        </w:tc>
        <w:tc>
          <w:tcPr>
            <w:tcW w:w="1263" w:type="dxa"/>
          </w:tcPr>
          <w:p w14:paraId="16ADE867"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0.00   </w:t>
            </w:r>
          </w:p>
        </w:tc>
      </w:tr>
      <w:tr w:rsidR="00DC2B17" w:rsidRPr="006E070F" w14:paraId="52776F94" w14:textId="77777777" w:rsidTr="00903AB1">
        <w:trPr>
          <w:trHeight w:val="543"/>
        </w:trPr>
        <w:tc>
          <w:tcPr>
            <w:tcW w:w="2340" w:type="dxa"/>
          </w:tcPr>
          <w:p w14:paraId="6BB6EB54" w14:textId="77777777" w:rsidR="00DC2B17" w:rsidRPr="00B9370A" w:rsidRDefault="00DC2B17" w:rsidP="00544993">
            <w:pPr>
              <w:spacing w:after="0"/>
              <w:ind w:left="-83"/>
              <w:rPr>
                <w:rFonts w:ascii="Times New Roman" w:hAnsi="Times New Roman" w:cs="Times New Roman"/>
                <w:b/>
                <w:sz w:val="20"/>
                <w:lang w:val="en-US"/>
              </w:rPr>
            </w:pPr>
            <w:proofErr w:type="gramStart"/>
            <w:r w:rsidRPr="00B9370A">
              <w:rPr>
                <w:rFonts w:ascii="Times New Roman" w:hAnsi="Times New Roman" w:cs="Times New Roman"/>
                <w:b/>
                <w:sz w:val="20"/>
                <w:lang w:val="en-US"/>
              </w:rPr>
              <w:t>TSH  (</w:t>
            </w:r>
            <w:proofErr w:type="gramEnd"/>
            <w:r w:rsidRPr="00B9370A">
              <w:rPr>
                <w:rFonts w:ascii="Times New Roman" w:hAnsi="Times New Roman" w:cs="Times New Roman"/>
                <w:b/>
                <w:sz w:val="20"/>
                <w:lang w:val="en-US"/>
              </w:rPr>
              <w:t xml:space="preserve">µIM/mL)                                </w:t>
            </w:r>
          </w:p>
        </w:tc>
        <w:tc>
          <w:tcPr>
            <w:tcW w:w="2113" w:type="dxa"/>
            <w:gridSpan w:val="2"/>
          </w:tcPr>
          <w:p w14:paraId="636EDD24"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2.72±1.15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2.59)              </w:t>
            </w:r>
          </w:p>
        </w:tc>
        <w:tc>
          <w:tcPr>
            <w:tcW w:w="2268" w:type="dxa"/>
          </w:tcPr>
          <w:p w14:paraId="2F269003"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2.69±1.3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2.49)      </w:t>
            </w:r>
          </w:p>
        </w:tc>
        <w:tc>
          <w:tcPr>
            <w:tcW w:w="1263" w:type="dxa"/>
          </w:tcPr>
          <w:p w14:paraId="756F8613"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0.70</w:t>
            </w:r>
          </w:p>
        </w:tc>
      </w:tr>
      <w:tr w:rsidR="00DC2B17" w:rsidRPr="006E070F" w14:paraId="65C8A3BF" w14:textId="77777777" w:rsidTr="00903AB1">
        <w:trPr>
          <w:trHeight w:val="570"/>
        </w:trPr>
        <w:tc>
          <w:tcPr>
            <w:tcW w:w="2340" w:type="dxa"/>
          </w:tcPr>
          <w:p w14:paraId="4B00512A" w14:textId="77777777" w:rsidR="00DC2B17"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Free T</w:t>
            </w:r>
            <w:proofErr w:type="gramStart"/>
            <w:r w:rsidRPr="00B9370A">
              <w:rPr>
                <w:rFonts w:ascii="Times New Roman" w:hAnsi="Times New Roman" w:cs="Times New Roman"/>
                <w:b/>
                <w:sz w:val="20"/>
                <w:lang w:val="en-US"/>
              </w:rPr>
              <w:t>4  (</w:t>
            </w:r>
            <w:proofErr w:type="gramEnd"/>
            <w:r w:rsidRPr="00B9370A">
              <w:rPr>
                <w:rFonts w:ascii="Times New Roman" w:hAnsi="Times New Roman" w:cs="Times New Roman"/>
                <w:b/>
                <w:sz w:val="20"/>
                <w:lang w:val="en-US"/>
              </w:rPr>
              <w:t xml:space="preserve">ng/dL)                               </w:t>
            </w:r>
          </w:p>
        </w:tc>
        <w:tc>
          <w:tcPr>
            <w:tcW w:w="2113" w:type="dxa"/>
            <w:gridSpan w:val="2"/>
          </w:tcPr>
          <w:p w14:paraId="66368E46"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0.90±0.24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0.86)              </w:t>
            </w:r>
          </w:p>
        </w:tc>
        <w:tc>
          <w:tcPr>
            <w:tcW w:w="2268" w:type="dxa"/>
          </w:tcPr>
          <w:p w14:paraId="55FD0159" w14:textId="77777777" w:rsidR="00DC2B17" w:rsidRPr="00B9370A" w:rsidRDefault="00DC2B17" w:rsidP="00DC2B17">
            <w:pPr>
              <w:spacing w:after="0"/>
              <w:rPr>
                <w:rFonts w:ascii="Times New Roman" w:hAnsi="Times New Roman" w:cs="Times New Roman"/>
                <w:sz w:val="20"/>
                <w:lang w:val="en-US"/>
              </w:rPr>
            </w:pPr>
            <w:r w:rsidRPr="00B9370A">
              <w:rPr>
                <w:rFonts w:ascii="Times New Roman" w:hAnsi="Times New Roman" w:cs="Times New Roman"/>
                <w:sz w:val="20"/>
                <w:lang w:val="en-US"/>
              </w:rPr>
              <w:t xml:space="preserve">0.90±0.2 </w:t>
            </w:r>
            <w:proofErr w:type="gramStart"/>
            <w:r w:rsidRPr="00B9370A">
              <w:rPr>
                <w:rFonts w:ascii="Times New Roman" w:hAnsi="Times New Roman" w:cs="Times New Roman"/>
                <w:sz w:val="20"/>
                <w:lang w:val="en-US"/>
              </w:rPr>
              <w:t xml:space="preserve">   (</w:t>
            </w:r>
            <w:proofErr w:type="gramEnd"/>
            <w:r w:rsidRPr="00B9370A">
              <w:rPr>
                <w:rFonts w:ascii="Times New Roman" w:hAnsi="Times New Roman" w:cs="Times New Roman"/>
                <w:sz w:val="20"/>
                <w:lang w:val="en-US"/>
              </w:rPr>
              <w:t xml:space="preserve">0.87)      </w:t>
            </w:r>
          </w:p>
        </w:tc>
        <w:tc>
          <w:tcPr>
            <w:tcW w:w="1263" w:type="dxa"/>
          </w:tcPr>
          <w:p w14:paraId="66299F14"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1.00</w:t>
            </w:r>
          </w:p>
        </w:tc>
      </w:tr>
      <w:tr w:rsidR="00903AB1" w:rsidRPr="006E070F" w14:paraId="38D0F675" w14:textId="77777777" w:rsidTr="00903AB1">
        <w:trPr>
          <w:trHeight w:val="450"/>
        </w:trPr>
        <w:tc>
          <w:tcPr>
            <w:tcW w:w="2340" w:type="dxa"/>
          </w:tcPr>
          <w:p w14:paraId="5D3EBC4A" w14:textId="77777777" w:rsidR="00903AB1" w:rsidRPr="00B9370A" w:rsidRDefault="00903AB1"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Anti-HBs (</w:t>
            </w:r>
            <w:proofErr w:type="spellStart"/>
            <w:r w:rsidRPr="00B9370A">
              <w:rPr>
                <w:rFonts w:ascii="Times New Roman" w:hAnsi="Times New Roman" w:cs="Times New Roman"/>
                <w:b/>
                <w:sz w:val="20"/>
                <w:lang w:val="en-US"/>
              </w:rPr>
              <w:t>Mik</w:t>
            </w:r>
            <w:proofErr w:type="spellEnd"/>
            <w:r w:rsidRPr="00B9370A">
              <w:rPr>
                <w:rFonts w:ascii="Times New Roman" w:hAnsi="Times New Roman" w:cs="Times New Roman"/>
                <w:b/>
                <w:sz w:val="20"/>
                <w:lang w:val="en-US"/>
              </w:rPr>
              <w:t>-MEIA)</w:t>
            </w:r>
          </w:p>
        </w:tc>
        <w:tc>
          <w:tcPr>
            <w:tcW w:w="2113" w:type="dxa"/>
            <w:gridSpan w:val="2"/>
          </w:tcPr>
          <w:p w14:paraId="4ACA3DEC" w14:textId="77777777" w:rsidR="00903AB1" w:rsidRPr="00B9370A" w:rsidRDefault="00903AB1" w:rsidP="00903AB1">
            <w:pPr>
              <w:spacing w:after="0"/>
              <w:rPr>
                <w:rFonts w:ascii="Times New Roman" w:hAnsi="Times New Roman" w:cs="Times New Roman"/>
                <w:b/>
                <w:sz w:val="20"/>
                <w:lang w:val="en-US"/>
              </w:rPr>
            </w:pPr>
          </w:p>
        </w:tc>
        <w:tc>
          <w:tcPr>
            <w:tcW w:w="2268" w:type="dxa"/>
          </w:tcPr>
          <w:p w14:paraId="4BB654CF" w14:textId="77777777" w:rsidR="00903AB1" w:rsidRPr="00B9370A" w:rsidRDefault="00903AB1" w:rsidP="00903AB1">
            <w:pPr>
              <w:spacing w:after="0"/>
              <w:rPr>
                <w:rFonts w:ascii="Times New Roman" w:hAnsi="Times New Roman" w:cs="Times New Roman"/>
                <w:b/>
                <w:sz w:val="20"/>
                <w:lang w:val="en-US"/>
              </w:rPr>
            </w:pPr>
          </w:p>
        </w:tc>
        <w:tc>
          <w:tcPr>
            <w:tcW w:w="1263" w:type="dxa"/>
          </w:tcPr>
          <w:p w14:paraId="2CE06D61" w14:textId="77777777" w:rsidR="00903AB1" w:rsidRPr="00B9370A" w:rsidRDefault="00903AB1" w:rsidP="00903AB1">
            <w:pPr>
              <w:spacing w:after="0"/>
              <w:rPr>
                <w:rFonts w:ascii="Times New Roman" w:hAnsi="Times New Roman" w:cs="Times New Roman"/>
                <w:b/>
                <w:sz w:val="20"/>
                <w:lang w:val="en-US"/>
              </w:rPr>
            </w:pPr>
          </w:p>
        </w:tc>
      </w:tr>
      <w:tr w:rsidR="00DC2B17" w:rsidRPr="006E070F" w14:paraId="2396698A" w14:textId="77777777" w:rsidTr="00903AB1">
        <w:trPr>
          <w:trHeight w:val="450"/>
        </w:trPr>
        <w:tc>
          <w:tcPr>
            <w:tcW w:w="2340" w:type="dxa"/>
          </w:tcPr>
          <w:p w14:paraId="438BC6A3" w14:textId="77777777" w:rsidR="00DC2B17"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  &lt;10</w:t>
            </w:r>
            <w:proofErr w:type="gramStart"/>
            <w:r w:rsidRPr="00B9370A">
              <w:rPr>
                <w:rFonts w:ascii="Times New Roman" w:hAnsi="Times New Roman" w:cs="Times New Roman"/>
                <w:b/>
                <w:sz w:val="20"/>
                <w:lang w:val="en-US"/>
              </w:rPr>
              <w:t xml:space="preserve">   (</w:t>
            </w:r>
            <w:proofErr w:type="gramEnd"/>
            <w:r w:rsidRPr="00B9370A">
              <w:rPr>
                <w:rFonts w:ascii="Times New Roman" w:hAnsi="Times New Roman" w:cs="Times New Roman"/>
                <w:b/>
                <w:sz w:val="20"/>
                <w:lang w:val="en-US"/>
              </w:rPr>
              <w:t xml:space="preserve">number, median)             </w:t>
            </w:r>
          </w:p>
        </w:tc>
        <w:tc>
          <w:tcPr>
            <w:tcW w:w="2113" w:type="dxa"/>
            <w:gridSpan w:val="2"/>
          </w:tcPr>
          <w:p w14:paraId="645036C6" w14:textId="77777777" w:rsidR="00DC2B17" w:rsidRPr="00B9370A" w:rsidRDefault="00DC2B17"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3.79±2.</w:t>
            </w:r>
            <w:proofErr w:type="gramStart"/>
            <w:r w:rsidRPr="00B9370A">
              <w:rPr>
                <w:rFonts w:ascii="Times New Roman" w:hAnsi="Times New Roman" w:cs="Times New Roman"/>
                <w:sz w:val="20"/>
                <w:lang w:val="en-US"/>
              </w:rPr>
              <w:t>3  (</w:t>
            </w:r>
            <w:proofErr w:type="gramEnd"/>
            <w:r w:rsidRPr="00B9370A">
              <w:rPr>
                <w:rFonts w:ascii="Times New Roman" w:hAnsi="Times New Roman" w:cs="Times New Roman"/>
                <w:sz w:val="20"/>
                <w:lang w:val="en-US"/>
              </w:rPr>
              <w:t xml:space="preserve">54, 2)                 </w:t>
            </w:r>
          </w:p>
        </w:tc>
        <w:tc>
          <w:tcPr>
            <w:tcW w:w="2268" w:type="dxa"/>
          </w:tcPr>
          <w:p w14:paraId="745248C8"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3.79±2.</w:t>
            </w:r>
            <w:proofErr w:type="gramStart"/>
            <w:r w:rsidRPr="00B9370A">
              <w:rPr>
                <w:rFonts w:ascii="Times New Roman" w:hAnsi="Times New Roman" w:cs="Times New Roman"/>
                <w:sz w:val="20"/>
                <w:lang w:val="en-US"/>
              </w:rPr>
              <w:t>3  (</w:t>
            </w:r>
            <w:proofErr w:type="gramEnd"/>
            <w:r w:rsidRPr="00B9370A">
              <w:rPr>
                <w:rFonts w:ascii="Times New Roman" w:hAnsi="Times New Roman" w:cs="Times New Roman"/>
                <w:sz w:val="20"/>
                <w:lang w:val="en-US"/>
              </w:rPr>
              <w:t xml:space="preserve">54, 2)                 </w:t>
            </w:r>
          </w:p>
        </w:tc>
        <w:tc>
          <w:tcPr>
            <w:tcW w:w="1263" w:type="dxa"/>
          </w:tcPr>
          <w:p w14:paraId="13BF0E5B"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0.20</w:t>
            </w:r>
          </w:p>
        </w:tc>
      </w:tr>
      <w:tr w:rsidR="00DC2B17" w:rsidRPr="006E070F" w14:paraId="05769795" w14:textId="77777777" w:rsidTr="00903AB1">
        <w:trPr>
          <w:trHeight w:val="510"/>
        </w:trPr>
        <w:tc>
          <w:tcPr>
            <w:tcW w:w="2340" w:type="dxa"/>
          </w:tcPr>
          <w:p w14:paraId="5C5B9A9D" w14:textId="77777777" w:rsidR="00DC2B17" w:rsidRPr="00B9370A" w:rsidRDefault="00DC2B17" w:rsidP="00544993">
            <w:pPr>
              <w:spacing w:after="0"/>
              <w:ind w:left="-83"/>
              <w:rPr>
                <w:rFonts w:ascii="Times New Roman" w:hAnsi="Times New Roman" w:cs="Times New Roman"/>
                <w:b/>
                <w:sz w:val="20"/>
                <w:lang w:val="en-US"/>
              </w:rPr>
            </w:pPr>
            <w:r w:rsidRPr="00B9370A">
              <w:rPr>
                <w:rFonts w:ascii="Times New Roman" w:hAnsi="Times New Roman" w:cs="Times New Roman"/>
                <w:b/>
                <w:sz w:val="20"/>
                <w:lang w:val="en-US"/>
              </w:rPr>
              <w:t xml:space="preserve">  &gt;10</w:t>
            </w:r>
            <w:proofErr w:type="gramStart"/>
            <w:r w:rsidRPr="00B9370A">
              <w:rPr>
                <w:rFonts w:ascii="Times New Roman" w:hAnsi="Times New Roman" w:cs="Times New Roman"/>
                <w:b/>
                <w:sz w:val="20"/>
                <w:lang w:val="en-US"/>
              </w:rPr>
              <w:t xml:space="preserve">   (</w:t>
            </w:r>
            <w:proofErr w:type="gramEnd"/>
            <w:r w:rsidRPr="00B9370A">
              <w:rPr>
                <w:rFonts w:ascii="Times New Roman" w:hAnsi="Times New Roman" w:cs="Times New Roman"/>
                <w:b/>
                <w:sz w:val="20"/>
                <w:lang w:val="en-US"/>
              </w:rPr>
              <w:t xml:space="preserve">number, median)             </w:t>
            </w:r>
          </w:p>
        </w:tc>
        <w:tc>
          <w:tcPr>
            <w:tcW w:w="2113" w:type="dxa"/>
            <w:gridSpan w:val="2"/>
          </w:tcPr>
          <w:p w14:paraId="41475DD0" w14:textId="77777777" w:rsidR="00DC2B17" w:rsidRPr="00B9370A" w:rsidRDefault="00DC2B17" w:rsidP="00DC2B17">
            <w:pPr>
              <w:spacing w:after="0"/>
              <w:rPr>
                <w:rFonts w:ascii="Times New Roman" w:hAnsi="Times New Roman" w:cs="Times New Roman"/>
                <w:sz w:val="20"/>
                <w:lang w:val="en-US"/>
              </w:rPr>
            </w:pPr>
            <w:r w:rsidRPr="00B9370A">
              <w:rPr>
                <w:rFonts w:ascii="Times New Roman" w:hAnsi="Times New Roman" w:cs="Times New Roman"/>
                <w:sz w:val="20"/>
                <w:lang w:val="en-US"/>
              </w:rPr>
              <w:t xml:space="preserve">119.5±191.9 (104,52)         </w:t>
            </w:r>
          </w:p>
        </w:tc>
        <w:tc>
          <w:tcPr>
            <w:tcW w:w="2268" w:type="dxa"/>
          </w:tcPr>
          <w:p w14:paraId="69E6DA2A" w14:textId="77777777" w:rsidR="00DC2B17" w:rsidRPr="00B9370A" w:rsidRDefault="00903AB1" w:rsidP="00544993">
            <w:pPr>
              <w:spacing w:after="0"/>
              <w:ind w:left="-83"/>
              <w:rPr>
                <w:rFonts w:ascii="Times New Roman" w:hAnsi="Times New Roman" w:cs="Times New Roman"/>
                <w:sz w:val="20"/>
                <w:lang w:val="en-US"/>
              </w:rPr>
            </w:pPr>
            <w:r w:rsidRPr="00B9370A">
              <w:rPr>
                <w:rFonts w:ascii="Times New Roman" w:hAnsi="Times New Roman" w:cs="Times New Roman"/>
                <w:sz w:val="20"/>
                <w:lang w:val="en-US"/>
              </w:rPr>
              <w:t xml:space="preserve">119.5±191.9 (104,52)         </w:t>
            </w:r>
          </w:p>
        </w:tc>
        <w:tc>
          <w:tcPr>
            <w:tcW w:w="1263" w:type="dxa"/>
          </w:tcPr>
          <w:p w14:paraId="584C62C9" w14:textId="77777777" w:rsidR="00DC2B17" w:rsidRPr="00B9370A" w:rsidRDefault="00DC2B17" w:rsidP="00903AB1">
            <w:pPr>
              <w:spacing w:after="0"/>
              <w:rPr>
                <w:rFonts w:ascii="Times New Roman" w:hAnsi="Times New Roman" w:cs="Times New Roman"/>
                <w:sz w:val="20"/>
                <w:lang w:val="en-US"/>
              </w:rPr>
            </w:pPr>
          </w:p>
        </w:tc>
      </w:tr>
    </w:tbl>
    <w:p w14:paraId="31A1EB73" w14:textId="77777777" w:rsidR="00903AB1" w:rsidRPr="00B9370A" w:rsidRDefault="00903AB1" w:rsidP="00903AB1">
      <w:pPr>
        <w:spacing w:after="0"/>
        <w:rPr>
          <w:rFonts w:ascii="Times New Roman" w:hAnsi="Times New Roman" w:cs="Times New Roman"/>
          <w:sz w:val="16"/>
          <w:lang w:val="en-US"/>
        </w:rPr>
      </w:pPr>
      <w:r w:rsidRPr="00B9370A">
        <w:rPr>
          <w:rFonts w:ascii="Times New Roman" w:hAnsi="Times New Roman" w:cs="Times New Roman"/>
          <w:sz w:val="16"/>
          <w:lang w:val="en-US"/>
        </w:rPr>
        <w:t>Anti-HBs=hepatitis B surface antibody; ALT= alanine aminotransferase; AST= aspartate aminotransferase; BUN= blood urea nitrogen; HDL=high-density lipoprotein; LDL= low-density lipoprotein; TSH= thyroid-stimulating hormone</w:t>
      </w:r>
    </w:p>
    <w:p w14:paraId="2BD256B9" w14:textId="77777777" w:rsidR="00903AB1" w:rsidRPr="00B9370A" w:rsidRDefault="00903AB1" w:rsidP="00903AB1">
      <w:pPr>
        <w:spacing w:after="0"/>
        <w:rPr>
          <w:rFonts w:ascii="Times New Roman" w:hAnsi="Times New Roman" w:cs="Times New Roman"/>
          <w:sz w:val="16"/>
          <w:lang w:val="en-US"/>
        </w:rPr>
      </w:pPr>
      <w:r w:rsidRPr="00B9370A">
        <w:rPr>
          <w:rFonts w:ascii="Times New Roman" w:hAnsi="Times New Roman" w:cs="Times New Roman"/>
          <w:sz w:val="16"/>
          <w:lang w:val="en-US"/>
        </w:rPr>
        <w:t xml:space="preserve">*Fisher’s </w:t>
      </w:r>
      <w:proofErr w:type="gramStart"/>
      <w:r w:rsidRPr="00B9370A">
        <w:rPr>
          <w:rFonts w:ascii="Times New Roman" w:hAnsi="Times New Roman" w:cs="Times New Roman"/>
          <w:sz w:val="16"/>
          <w:lang w:val="en-US"/>
        </w:rPr>
        <w:t>exact  test</w:t>
      </w:r>
      <w:proofErr w:type="gramEnd"/>
      <w:r w:rsidRPr="00B9370A">
        <w:rPr>
          <w:rFonts w:ascii="Times New Roman" w:hAnsi="Times New Roman" w:cs="Times New Roman"/>
          <w:sz w:val="16"/>
          <w:lang w:val="en-US"/>
        </w:rPr>
        <w:t xml:space="preserve"> and chi-square test.  p &lt; 0.05 was considered statistically significant.</w:t>
      </w:r>
    </w:p>
    <w:p w14:paraId="3F55B6AC" w14:textId="77777777" w:rsidR="00903AB1" w:rsidRPr="00B9370A" w:rsidRDefault="00903AB1">
      <w:pPr>
        <w:rPr>
          <w:rFonts w:ascii="Times New Roman" w:hAnsi="Times New Roman" w:cs="Times New Roman"/>
          <w:sz w:val="16"/>
          <w:lang w:val="en-US"/>
        </w:rPr>
      </w:pPr>
      <w:r w:rsidRPr="00B9370A">
        <w:rPr>
          <w:rFonts w:ascii="Times New Roman" w:hAnsi="Times New Roman" w:cs="Times New Roman"/>
          <w:sz w:val="16"/>
          <w:lang w:val="en-US"/>
        </w:rPr>
        <w:br w:type="page"/>
      </w:r>
    </w:p>
    <w:p w14:paraId="564DB88E" w14:textId="77777777" w:rsidR="00903AB1" w:rsidRPr="00B9370A" w:rsidRDefault="00903AB1" w:rsidP="00903AB1">
      <w:pPr>
        <w:spacing w:after="0"/>
        <w:rPr>
          <w:rFonts w:ascii="Times New Roman" w:hAnsi="Times New Roman" w:cs="Times New Roman"/>
          <w:sz w:val="16"/>
          <w:lang w:val="en-US"/>
        </w:rPr>
        <w:sectPr w:rsidR="00903AB1" w:rsidRPr="00B9370A" w:rsidSect="00254796">
          <w:type w:val="continuous"/>
          <w:pgSz w:w="11906" w:h="16838"/>
          <w:pgMar w:top="1417" w:right="1417" w:bottom="1417" w:left="1417" w:header="708" w:footer="708" w:gutter="0"/>
          <w:cols w:space="709"/>
          <w:docGrid w:linePitch="360"/>
        </w:sectPr>
      </w:pPr>
    </w:p>
    <w:p w14:paraId="72216975" w14:textId="2A535CB3" w:rsidR="00903AB1" w:rsidRPr="00B9370A" w:rsidRDefault="00903AB1"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lastRenderedPageBreak/>
        <w:t xml:space="preserve">Only 16.7% of girls and 16.4% boys had lipid abnormalities. 27 (8.8%) of the girls had hypercholesterolemia, 51 (16.7%) had hypertriglyceridemia and 27 (8.8%) had high LDL levels, whereas 32 (11.1%) of the boys had hypercholesterolemia, 47 (16.4%) had hypertriglyceridemia and 26 (9%) had high LDL levels (p&gt;0.05) (Table 1). Physical activity and referral to dietitians for appropriate diet were advised to these </w:t>
      </w:r>
      <w:proofErr w:type="spellStart"/>
      <w:proofErr w:type="gramStart"/>
      <w:r w:rsidRPr="00B9370A">
        <w:rPr>
          <w:rFonts w:ascii="Times New Roman" w:hAnsi="Times New Roman" w:cs="Times New Roman"/>
          <w:sz w:val="20"/>
          <w:lang w:val="en-US"/>
        </w:rPr>
        <w:t>patients.The</w:t>
      </w:r>
      <w:proofErr w:type="spellEnd"/>
      <w:proofErr w:type="gramEnd"/>
      <w:r w:rsidRPr="00B9370A">
        <w:rPr>
          <w:rFonts w:ascii="Times New Roman" w:hAnsi="Times New Roman" w:cs="Times New Roman"/>
          <w:sz w:val="20"/>
          <w:lang w:val="en-US"/>
        </w:rPr>
        <w:t xml:space="preserve"> other biochemical parameters were within normal limits in both groups (Table 1). </w:t>
      </w:r>
    </w:p>
    <w:p w14:paraId="06D7AB9D" w14:textId="77777777" w:rsidR="00903AB1" w:rsidRPr="00B9370A" w:rsidRDefault="00903AB1" w:rsidP="00B9370A">
      <w:pPr>
        <w:spacing w:after="0"/>
        <w:jc w:val="both"/>
        <w:rPr>
          <w:rFonts w:ascii="Times New Roman" w:hAnsi="Times New Roman" w:cs="Times New Roman"/>
          <w:sz w:val="20"/>
          <w:lang w:val="en-US"/>
        </w:rPr>
      </w:pPr>
    </w:p>
    <w:p w14:paraId="1ADF4E20"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Because the list of screening tests was changed according to a primary care provider, anti-HBs levels were examined in 158 (5.2%) of the boys and 160 (52.6%) of the girls. 65.8% of the boys and 59.3% of the girls had protective anti-HBs titers. </w:t>
      </w:r>
    </w:p>
    <w:p w14:paraId="03C4DBEC" w14:textId="77777777" w:rsidR="00903AB1" w:rsidRPr="00B9370A" w:rsidRDefault="00903AB1" w:rsidP="00B9370A">
      <w:pPr>
        <w:spacing w:after="0"/>
        <w:jc w:val="both"/>
        <w:rPr>
          <w:rFonts w:ascii="Times New Roman" w:hAnsi="Times New Roman" w:cs="Times New Roman"/>
          <w:sz w:val="20"/>
          <w:lang w:val="en-US"/>
        </w:rPr>
      </w:pPr>
    </w:p>
    <w:p w14:paraId="3235AC5A" w14:textId="77777777" w:rsidR="00903AB1" w:rsidRPr="00B9370A" w:rsidRDefault="00903AB1" w:rsidP="00B9370A">
      <w:pPr>
        <w:spacing w:after="0"/>
        <w:jc w:val="both"/>
        <w:rPr>
          <w:rFonts w:ascii="Times New Roman" w:hAnsi="Times New Roman" w:cs="Times New Roman"/>
          <w:b/>
          <w:caps/>
          <w:sz w:val="20"/>
          <w:lang w:val="en-US"/>
        </w:rPr>
      </w:pPr>
    </w:p>
    <w:p w14:paraId="5021B456" w14:textId="77777777" w:rsidR="00903AB1" w:rsidRPr="00B9370A" w:rsidRDefault="00903AB1" w:rsidP="00B9370A">
      <w:pPr>
        <w:spacing w:after="0"/>
        <w:jc w:val="both"/>
        <w:rPr>
          <w:rFonts w:ascii="Times New Roman" w:hAnsi="Times New Roman" w:cs="Times New Roman"/>
          <w:b/>
          <w:caps/>
          <w:sz w:val="20"/>
          <w:lang w:val="en-US"/>
        </w:rPr>
      </w:pPr>
      <w:r w:rsidRPr="00B9370A">
        <w:rPr>
          <w:rFonts w:ascii="Times New Roman" w:hAnsi="Times New Roman" w:cs="Times New Roman"/>
          <w:b/>
          <w:caps/>
          <w:sz w:val="20"/>
          <w:lang w:val="en-US"/>
        </w:rPr>
        <w:t xml:space="preserve">Discussion </w:t>
      </w:r>
    </w:p>
    <w:p w14:paraId="3810378F" w14:textId="77777777" w:rsidR="00903AB1" w:rsidRPr="00B9370A" w:rsidRDefault="00903AB1" w:rsidP="00B9370A">
      <w:pPr>
        <w:spacing w:after="0"/>
        <w:jc w:val="both"/>
        <w:rPr>
          <w:rFonts w:ascii="Times New Roman" w:hAnsi="Times New Roman" w:cs="Times New Roman"/>
          <w:sz w:val="20"/>
          <w:lang w:val="en-US"/>
        </w:rPr>
      </w:pPr>
    </w:p>
    <w:p w14:paraId="61304D80" w14:textId="77777777" w:rsidR="00903AB1" w:rsidRPr="00B9370A" w:rsidRDefault="00903AB1" w:rsidP="00B9370A">
      <w:pPr>
        <w:spacing w:after="0"/>
        <w:jc w:val="both"/>
        <w:rPr>
          <w:rFonts w:ascii="Times New Roman" w:hAnsi="Times New Roman" w:cs="Times New Roman"/>
          <w:sz w:val="20"/>
          <w:lang w:val="en-US"/>
        </w:rPr>
      </w:pPr>
      <w:r w:rsidRPr="00B9370A">
        <w:rPr>
          <w:rFonts w:ascii="Times New Roman" w:hAnsi="Times New Roman" w:cs="Times New Roman"/>
          <w:sz w:val="20"/>
          <w:lang w:val="en-US"/>
        </w:rPr>
        <w:t>American Academy of Pediatrics (APP), the CDC (Centers for Disease Control and Prevention), and the U.S. Preventive Services Task Force have recommendations for both universal screening and targeted population-specific screening.</w:t>
      </w:r>
      <w:r w:rsidRPr="00B9370A">
        <w:rPr>
          <w:rFonts w:ascii="Times New Roman" w:hAnsi="Times New Roman" w:cs="Times New Roman"/>
          <w:sz w:val="20"/>
          <w:vertAlign w:val="superscript"/>
          <w:lang w:val="en-US"/>
        </w:rPr>
        <w:t>2-7</w:t>
      </w:r>
      <w:r w:rsidRPr="00B9370A">
        <w:rPr>
          <w:rFonts w:ascii="Times New Roman" w:hAnsi="Times New Roman" w:cs="Times New Roman"/>
          <w:sz w:val="20"/>
          <w:lang w:val="en-US"/>
        </w:rPr>
        <w:t xml:space="preserve"> Height, weight, body mass index, the onset of sexual maturity, iron deficiency anemia, vision and hearing screening, cognitive, emotional and social maturation, immunization are considered mandatory.</w:t>
      </w:r>
      <w:r w:rsidRPr="00B9370A">
        <w:rPr>
          <w:rFonts w:ascii="Times New Roman" w:hAnsi="Times New Roman" w:cs="Times New Roman"/>
          <w:sz w:val="20"/>
          <w:vertAlign w:val="superscript"/>
          <w:lang w:val="en-US"/>
        </w:rPr>
        <w:t>2-10</w:t>
      </w:r>
      <w:r w:rsidRPr="00B9370A">
        <w:rPr>
          <w:rFonts w:ascii="Times New Roman" w:hAnsi="Times New Roman" w:cs="Times New Roman"/>
          <w:sz w:val="20"/>
          <w:lang w:val="en-US"/>
        </w:rPr>
        <w:t xml:space="preserve"> The other issues such as latent tuberculosis, lead screening, and dyslipidemia risk assessment should be done on an as-needed basis.</w:t>
      </w:r>
    </w:p>
    <w:p w14:paraId="151A1E90" w14:textId="77777777" w:rsidR="00903AB1" w:rsidRPr="00B9370A" w:rsidRDefault="00903AB1" w:rsidP="00B9370A">
      <w:pPr>
        <w:spacing w:after="0"/>
        <w:jc w:val="both"/>
        <w:rPr>
          <w:rFonts w:ascii="Times New Roman" w:hAnsi="Times New Roman" w:cs="Times New Roman"/>
          <w:sz w:val="20"/>
          <w:lang w:val="en-US"/>
        </w:rPr>
      </w:pPr>
    </w:p>
    <w:p w14:paraId="261345D8"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Height and weight should be evaluated at every visit to a primary care physician. Screening for obesity in children 6 years and older and offering or referring them for detailed evaluation if children have BMI≥85th percentile or a significant increase in BMI percentile are recommended. </w:t>
      </w:r>
      <w:r w:rsidRPr="00B9370A">
        <w:rPr>
          <w:rFonts w:ascii="Times New Roman" w:hAnsi="Times New Roman" w:cs="Times New Roman"/>
          <w:sz w:val="20"/>
          <w:vertAlign w:val="superscript"/>
          <w:lang w:val="en-US"/>
        </w:rPr>
        <w:t>3,17,18</w:t>
      </w:r>
      <w:r w:rsidRPr="00B9370A">
        <w:rPr>
          <w:rFonts w:ascii="Times New Roman" w:hAnsi="Times New Roman" w:cs="Times New Roman"/>
          <w:sz w:val="20"/>
          <w:lang w:val="en-US"/>
        </w:rPr>
        <w:t xml:space="preserve"> No evidence was found on appropriate screening intervals for obesity.</w:t>
      </w:r>
      <w:r w:rsidRPr="00B9370A">
        <w:rPr>
          <w:rFonts w:ascii="Times New Roman" w:hAnsi="Times New Roman" w:cs="Times New Roman"/>
          <w:sz w:val="20"/>
          <w:vertAlign w:val="superscript"/>
          <w:lang w:val="en-US"/>
        </w:rPr>
        <w:t>3,17</w:t>
      </w:r>
      <w:r w:rsidRPr="00B9370A">
        <w:rPr>
          <w:rFonts w:ascii="Times New Roman" w:hAnsi="Times New Roman" w:cs="Times New Roman"/>
          <w:sz w:val="20"/>
          <w:lang w:val="en-US"/>
        </w:rPr>
        <w:t xml:space="preserve"> </w:t>
      </w:r>
    </w:p>
    <w:p w14:paraId="4C6B268A" w14:textId="77777777" w:rsidR="00903AB1" w:rsidRPr="00B9370A" w:rsidRDefault="00903AB1" w:rsidP="00B9370A">
      <w:pPr>
        <w:spacing w:after="0"/>
        <w:jc w:val="both"/>
        <w:rPr>
          <w:rFonts w:ascii="Times New Roman" w:hAnsi="Times New Roman" w:cs="Times New Roman"/>
          <w:sz w:val="20"/>
          <w:lang w:val="en-US"/>
        </w:rPr>
      </w:pPr>
    </w:p>
    <w:p w14:paraId="45B26961" w14:textId="5B1814E5"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The North American Society of Pediatric Gastroenterology, Hepatology, and Nutrition (NASPGHAN) published a clinical practice guideline outlining the screening, diagnosis, and treatment of pediatric nonalcoholic fatty liver disease (NAFLD). </w:t>
      </w:r>
      <w:r w:rsidRPr="00B9370A">
        <w:rPr>
          <w:rFonts w:ascii="Times New Roman" w:hAnsi="Times New Roman" w:cs="Times New Roman"/>
          <w:sz w:val="20"/>
          <w:vertAlign w:val="superscript"/>
          <w:lang w:val="en-US"/>
        </w:rPr>
        <w:t>19</w:t>
      </w:r>
      <w:r w:rsidRPr="00B9370A">
        <w:rPr>
          <w:rFonts w:ascii="Times New Roman" w:hAnsi="Times New Roman" w:cs="Times New Roman"/>
          <w:sz w:val="20"/>
          <w:lang w:val="en-US"/>
        </w:rPr>
        <w:t xml:space="preserve"> They recommend that children older than 10 years with a body mass index (BMI) ≥85th percentile should be screened for NAFLD </w:t>
      </w:r>
      <w:r w:rsidRPr="00B9370A">
        <w:rPr>
          <w:rFonts w:ascii="Times New Roman" w:hAnsi="Times New Roman" w:cs="Times New Roman"/>
          <w:sz w:val="20"/>
          <w:lang w:val="en-US"/>
        </w:rPr>
        <w:t>using an alanine aminotransferase (ALT) level.</w:t>
      </w:r>
      <w:r w:rsidRPr="00B9370A">
        <w:rPr>
          <w:rFonts w:ascii="Times New Roman" w:hAnsi="Times New Roman" w:cs="Times New Roman"/>
          <w:sz w:val="20"/>
          <w:vertAlign w:val="superscript"/>
          <w:lang w:val="en-US"/>
        </w:rPr>
        <w:t>19,20</w:t>
      </w:r>
      <w:r w:rsidRPr="00B9370A">
        <w:rPr>
          <w:rFonts w:ascii="Times New Roman" w:hAnsi="Times New Roman" w:cs="Times New Roman"/>
          <w:sz w:val="20"/>
          <w:lang w:val="en-US"/>
        </w:rPr>
        <w:t xml:space="preserve"> The limitation of our study was that children were evaluated retrospectively, thus BMI could not be calculated. We observed that from not only overweight or obese children but AST and ALT </w:t>
      </w:r>
      <w:r w:rsidR="006E070F" w:rsidRPr="006E070F">
        <w:rPr>
          <w:rFonts w:ascii="Times New Roman" w:hAnsi="Times New Roman" w:cs="Times New Roman"/>
          <w:sz w:val="20"/>
          <w:lang w:val="en-US"/>
        </w:rPr>
        <w:t>have also</w:t>
      </w:r>
      <w:r w:rsidRPr="00B9370A">
        <w:rPr>
          <w:rFonts w:ascii="Times New Roman" w:hAnsi="Times New Roman" w:cs="Times New Roman"/>
          <w:sz w:val="20"/>
          <w:lang w:val="en-US"/>
        </w:rPr>
        <w:t xml:space="preserve"> been requested from all of the children regardless of BMI.</w:t>
      </w:r>
    </w:p>
    <w:p w14:paraId="688181A2" w14:textId="77777777" w:rsidR="00903AB1" w:rsidRPr="00B9370A" w:rsidRDefault="00903AB1" w:rsidP="00B9370A">
      <w:pPr>
        <w:spacing w:after="0"/>
        <w:jc w:val="both"/>
        <w:rPr>
          <w:rFonts w:ascii="Times New Roman" w:hAnsi="Times New Roman" w:cs="Times New Roman"/>
          <w:sz w:val="20"/>
          <w:lang w:val="en-US"/>
        </w:rPr>
      </w:pPr>
    </w:p>
    <w:p w14:paraId="4B57040F" w14:textId="352A0CF9"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The U.S. Preventive Services Task Force (USPSTF) concludes that the evidence is insufficient to recommend for or against routine screening for lipid disorders in infants, children, adolescents, or young adults up to age 20 (Grade: I </w:t>
      </w:r>
      <w:r w:rsidR="006E070F" w:rsidRPr="006E070F">
        <w:rPr>
          <w:rFonts w:ascii="Times New Roman" w:hAnsi="Times New Roman" w:cs="Times New Roman"/>
          <w:sz w:val="20"/>
          <w:lang w:val="en-US"/>
        </w:rPr>
        <w:t>Statement)</w:t>
      </w:r>
      <w:r w:rsidRPr="00B9370A">
        <w:rPr>
          <w:rFonts w:ascii="Times New Roman" w:hAnsi="Times New Roman" w:cs="Times New Roman"/>
          <w:sz w:val="20"/>
          <w:lang w:val="en-US"/>
        </w:rPr>
        <w:t>.</w:t>
      </w:r>
      <w:r w:rsidRPr="00B9370A">
        <w:rPr>
          <w:rFonts w:ascii="Times New Roman" w:hAnsi="Times New Roman" w:cs="Times New Roman"/>
          <w:sz w:val="20"/>
          <w:vertAlign w:val="superscript"/>
          <w:lang w:val="en-US"/>
        </w:rPr>
        <w:t>3</w:t>
      </w:r>
      <w:r w:rsidRPr="00B9370A">
        <w:rPr>
          <w:rFonts w:ascii="Times New Roman" w:hAnsi="Times New Roman" w:cs="Times New Roman"/>
          <w:sz w:val="20"/>
          <w:lang w:val="en-US"/>
        </w:rPr>
        <w:t xml:space="preserve"> Dyslipidemias are abnormalities of lipoprotein metabolism and include elevations in TC, LDL-C, or triglycerides or deficiencies of HDL-C. These disorders can be acquired or familial; monogenic dyslipidemias are related to genetic conditions such as familial hypercholesterolemia and multifactorial dyslipidemias are due to risk factors including environmental factors such as obesity, </w:t>
      </w:r>
      <w:r w:rsidR="006E070F" w:rsidRPr="006E070F">
        <w:rPr>
          <w:rFonts w:ascii="Times New Roman" w:hAnsi="Times New Roman" w:cs="Times New Roman"/>
          <w:sz w:val="20"/>
          <w:lang w:val="en-US"/>
        </w:rPr>
        <w:t>diet, or</w:t>
      </w:r>
      <w:r w:rsidRPr="00B9370A">
        <w:rPr>
          <w:rFonts w:ascii="Times New Roman" w:hAnsi="Times New Roman" w:cs="Times New Roman"/>
          <w:sz w:val="20"/>
          <w:lang w:val="en-US"/>
        </w:rPr>
        <w:t xml:space="preserve"> diabetes.</w:t>
      </w:r>
      <w:r w:rsidRPr="00B9370A">
        <w:rPr>
          <w:rFonts w:ascii="Times New Roman" w:hAnsi="Times New Roman" w:cs="Times New Roman"/>
          <w:sz w:val="20"/>
          <w:vertAlign w:val="superscript"/>
          <w:lang w:val="en-US"/>
        </w:rPr>
        <w:t>3</w:t>
      </w:r>
    </w:p>
    <w:p w14:paraId="644395FA" w14:textId="77777777" w:rsidR="00903AB1" w:rsidRPr="00B9370A" w:rsidRDefault="00903AB1" w:rsidP="00B9370A">
      <w:pPr>
        <w:spacing w:after="0"/>
        <w:jc w:val="both"/>
        <w:rPr>
          <w:rFonts w:ascii="Times New Roman" w:hAnsi="Times New Roman" w:cs="Times New Roman"/>
          <w:sz w:val="20"/>
          <w:lang w:val="en-US"/>
        </w:rPr>
      </w:pPr>
    </w:p>
    <w:p w14:paraId="0FDD928E" w14:textId="2C755762"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An expert panel from the US National Heart, Lung and Blood Institute (NHLBI) endorsed by the American Academy of Pediatrics recommended initial lipid screening with fasting lipid profile for children between two and eight years of age with a BMI ≥95th percentile (or other risk factors for cardiovascular disease, such as family history of dyslipidemia/early cardiovascular disease and/or morbidity in first- or second-degree relatives, history of diabetes, hypertension, or smoking in childhood.</w:t>
      </w:r>
      <w:r w:rsidRPr="00B9370A">
        <w:rPr>
          <w:rFonts w:ascii="Times New Roman" w:hAnsi="Times New Roman" w:cs="Times New Roman"/>
          <w:sz w:val="20"/>
          <w:vertAlign w:val="superscript"/>
          <w:lang w:val="en-US"/>
        </w:rPr>
        <w:t>10,14,21</w:t>
      </w:r>
      <w:r w:rsidRPr="00B9370A">
        <w:rPr>
          <w:rFonts w:ascii="Times New Roman" w:hAnsi="Times New Roman" w:cs="Times New Roman"/>
          <w:sz w:val="20"/>
          <w:lang w:val="en-US"/>
        </w:rPr>
        <w:t xml:space="preserve"> In 2014, AAP updated the Schedule of screening and assessment for well-child visits as cholesterol screening ages between 5-8 screen if at risk, starting at age 9 screen child at least once if not previously screened, children older than 11 years screen if not screened previously, or if risk factors (family history of premature cardiovascular disease, parent with known lipid disorder, overweight/obese) have changed. </w:t>
      </w:r>
      <w:r w:rsidRPr="00B9370A">
        <w:rPr>
          <w:rFonts w:ascii="Times New Roman" w:hAnsi="Times New Roman" w:cs="Times New Roman"/>
          <w:sz w:val="20"/>
          <w:vertAlign w:val="superscript"/>
          <w:lang w:val="en-US"/>
        </w:rPr>
        <w:t>6,</w:t>
      </w:r>
      <w:r w:rsidR="006E070F" w:rsidRPr="00B9370A">
        <w:rPr>
          <w:rFonts w:ascii="Times New Roman" w:hAnsi="Times New Roman" w:cs="Times New Roman"/>
          <w:sz w:val="20"/>
          <w:vertAlign w:val="superscript"/>
          <w:lang w:val="en-US"/>
        </w:rPr>
        <w:t>8</w:t>
      </w:r>
      <w:r w:rsidR="006E070F" w:rsidRPr="006E070F">
        <w:rPr>
          <w:rFonts w:ascii="Times New Roman" w:hAnsi="Times New Roman" w:cs="Times New Roman"/>
          <w:sz w:val="20"/>
          <w:lang w:val="en-US"/>
        </w:rPr>
        <w:t xml:space="preserve"> Many</w:t>
      </w:r>
      <w:r w:rsidRPr="00B9370A">
        <w:rPr>
          <w:rFonts w:ascii="Times New Roman" w:hAnsi="Times New Roman" w:cs="Times New Roman"/>
          <w:sz w:val="20"/>
          <w:lang w:val="en-US"/>
        </w:rPr>
        <w:t xml:space="preserve"> children with multifactorial types of dyslipidemia will have normal lipid levels in adulthood. Potential harms of screening may include labeling of children whose dyslipidemia would not persist into adulthood or cause health problems.</w:t>
      </w:r>
      <w:r w:rsidRPr="00B9370A">
        <w:rPr>
          <w:rFonts w:ascii="Times New Roman" w:hAnsi="Times New Roman" w:cs="Times New Roman"/>
          <w:sz w:val="20"/>
          <w:vertAlign w:val="superscript"/>
          <w:lang w:val="en-US"/>
        </w:rPr>
        <w:t>2</w:t>
      </w:r>
      <w:r w:rsidRPr="00B9370A">
        <w:rPr>
          <w:rFonts w:ascii="Times New Roman" w:hAnsi="Times New Roman" w:cs="Times New Roman"/>
          <w:sz w:val="20"/>
          <w:lang w:val="en-US"/>
        </w:rPr>
        <w:t xml:space="preserve"> The American Academy of Family Physicians (AAFP) and USPSTF conclude that the current evidence is insufficient to assess the balance of benefits and harms of screening for lipid disorders in children and adolescents 20 years or younger.</w:t>
      </w:r>
      <w:r w:rsidRPr="00B9370A">
        <w:rPr>
          <w:rFonts w:ascii="Times New Roman" w:hAnsi="Times New Roman" w:cs="Times New Roman"/>
          <w:sz w:val="20"/>
          <w:vertAlign w:val="superscript"/>
          <w:lang w:val="en-US"/>
        </w:rPr>
        <w:t>2,22</w:t>
      </w:r>
      <w:r w:rsidRPr="00B9370A">
        <w:rPr>
          <w:rFonts w:ascii="Times New Roman" w:hAnsi="Times New Roman" w:cs="Times New Roman"/>
          <w:sz w:val="20"/>
          <w:lang w:val="en-US"/>
        </w:rPr>
        <w:t xml:space="preserve"> We </w:t>
      </w:r>
      <w:r w:rsidRPr="00B9370A">
        <w:rPr>
          <w:rFonts w:ascii="Times New Roman" w:hAnsi="Times New Roman" w:cs="Times New Roman"/>
          <w:sz w:val="20"/>
          <w:lang w:val="en-US"/>
        </w:rPr>
        <w:lastRenderedPageBreak/>
        <w:t>observed in this study that screening for lipid disorders have been requested from all of the children regardless of determined risk factors by primary care physicians.</w:t>
      </w:r>
    </w:p>
    <w:p w14:paraId="424C194B" w14:textId="77777777" w:rsidR="00903AB1" w:rsidRPr="00B9370A" w:rsidRDefault="00903AB1" w:rsidP="00B9370A">
      <w:pPr>
        <w:spacing w:after="0"/>
        <w:jc w:val="both"/>
        <w:rPr>
          <w:rFonts w:ascii="Times New Roman" w:hAnsi="Times New Roman" w:cs="Times New Roman"/>
          <w:sz w:val="20"/>
          <w:lang w:val="en-US"/>
        </w:rPr>
      </w:pPr>
    </w:p>
    <w:p w14:paraId="7C732590"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Serum hemoglobin is the primary screening test for identifying anemia, it is not sensitive for iron deficiency because mild deficiency states may not affect hemoglobin levels.</w:t>
      </w:r>
      <w:r w:rsidRPr="00B9370A">
        <w:rPr>
          <w:rFonts w:ascii="Times New Roman" w:hAnsi="Times New Roman" w:cs="Times New Roman"/>
          <w:sz w:val="20"/>
          <w:vertAlign w:val="superscript"/>
          <w:lang w:val="en-US"/>
        </w:rPr>
        <w:t>4</w:t>
      </w:r>
      <w:r w:rsidRPr="00B9370A">
        <w:rPr>
          <w:rFonts w:ascii="Times New Roman" w:hAnsi="Times New Roman" w:cs="Times New Roman"/>
          <w:sz w:val="20"/>
          <w:lang w:val="en-US"/>
        </w:rPr>
        <w:t xml:space="preserve"> Iron deficiency anemia is more common in teenage girls than teenage boys because their bodies are not able to store as much iron, in addition to the loss of blood during menstruation. Insufficient dietary intake and low socioeconomic status are also risk factors for iron deficiency. In our country, the frequency of iron deficiency anemia (IDA) has been reported to range between 15.2% and 62.5% in different studies involving children.</w:t>
      </w:r>
      <w:r w:rsidRPr="00B9370A">
        <w:rPr>
          <w:rFonts w:ascii="Times New Roman" w:hAnsi="Times New Roman" w:cs="Times New Roman"/>
          <w:sz w:val="20"/>
          <w:vertAlign w:val="superscript"/>
          <w:lang w:val="en-US"/>
        </w:rPr>
        <w:t>12</w:t>
      </w:r>
      <w:r w:rsidRPr="00B9370A">
        <w:rPr>
          <w:rFonts w:ascii="Times New Roman" w:hAnsi="Times New Roman" w:cs="Times New Roman"/>
          <w:sz w:val="20"/>
          <w:lang w:val="en-US"/>
        </w:rPr>
        <w:t xml:space="preserve"> The overall prevalence of anemia was found to be 27.6% in Istanbul.</w:t>
      </w:r>
      <w:r w:rsidRPr="00B9370A">
        <w:rPr>
          <w:rFonts w:ascii="Times New Roman" w:hAnsi="Times New Roman" w:cs="Times New Roman"/>
          <w:sz w:val="20"/>
          <w:vertAlign w:val="superscript"/>
          <w:lang w:val="en-US"/>
        </w:rPr>
        <w:t>23</w:t>
      </w:r>
      <w:r w:rsidRPr="00B9370A">
        <w:rPr>
          <w:rFonts w:ascii="Times New Roman" w:hAnsi="Times New Roman" w:cs="Times New Roman"/>
          <w:sz w:val="20"/>
          <w:lang w:val="en-US"/>
        </w:rPr>
        <w:t xml:space="preserve"> Recommended screening for anemia screen those with known risk factors such as excessive menstrual blood loss, low iron intake, or previous diagnosis of iron deficiency anemia annually. </w:t>
      </w:r>
    </w:p>
    <w:p w14:paraId="687504EA" w14:textId="77777777" w:rsidR="00903AB1" w:rsidRPr="00B9370A" w:rsidRDefault="00903AB1" w:rsidP="00B9370A">
      <w:pPr>
        <w:spacing w:after="0"/>
        <w:jc w:val="both"/>
        <w:rPr>
          <w:rFonts w:ascii="Times New Roman" w:hAnsi="Times New Roman" w:cs="Times New Roman"/>
          <w:sz w:val="20"/>
          <w:lang w:val="en-US"/>
        </w:rPr>
      </w:pPr>
    </w:p>
    <w:p w14:paraId="6C4A6BBB"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School-aged children should receive age-appropriate immunizations, as well as catch-up immunizations if needed. Children who have completed the hepatitis B vaccination series and have anti-HBs ≥10 </w:t>
      </w:r>
      <w:proofErr w:type="spellStart"/>
      <w:r w:rsidRPr="00B9370A">
        <w:rPr>
          <w:rFonts w:ascii="Times New Roman" w:hAnsi="Times New Roman" w:cs="Times New Roman"/>
          <w:sz w:val="20"/>
          <w:lang w:val="en-US"/>
        </w:rPr>
        <w:t>mIU</w:t>
      </w:r>
      <w:proofErr w:type="spellEnd"/>
      <w:r w:rsidRPr="00B9370A">
        <w:rPr>
          <w:rFonts w:ascii="Times New Roman" w:hAnsi="Times New Roman" w:cs="Times New Roman"/>
          <w:sz w:val="20"/>
          <w:lang w:val="en-US"/>
        </w:rPr>
        <w:t>/mL is considered as having vaccine-induced protection.</w:t>
      </w:r>
      <w:r w:rsidRPr="00B9370A">
        <w:rPr>
          <w:rFonts w:ascii="Times New Roman" w:hAnsi="Times New Roman" w:cs="Times New Roman"/>
          <w:sz w:val="20"/>
          <w:vertAlign w:val="superscript"/>
          <w:lang w:val="en-US"/>
        </w:rPr>
        <w:t>15,16</w:t>
      </w:r>
      <w:r w:rsidRPr="00B9370A">
        <w:rPr>
          <w:rFonts w:ascii="Times New Roman" w:hAnsi="Times New Roman" w:cs="Times New Roman"/>
          <w:sz w:val="20"/>
          <w:lang w:val="en-US"/>
        </w:rPr>
        <w:t xml:space="preserve"> Anti-HBs levels following vaccination decline over time. Immunocompetent persons remain protected, even if anti-HBs levels decline to &lt;10 </w:t>
      </w:r>
      <w:proofErr w:type="spellStart"/>
      <w:r w:rsidRPr="00B9370A">
        <w:rPr>
          <w:rFonts w:ascii="Times New Roman" w:hAnsi="Times New Roman" w:cs="Times New Roman"/>
          <w:sz w:val="20"/>
          <w:lang w:val="en-US"/>
        </w:rPr>
        <w:t>mIU</w:t>
      </w:r>
      <w:proofErr w:type="spellEnd"/>
      <w:r w:rsidRPr="00B9370A">
        <w:rPr>
          <w:rFonts w:ascii="Times New Roman" w:hAnsi="Times New Roman" w:cs="Times New Roman"/>
          <w:sz w:val="20"/>
          <w:lang w:val="en-US"/>
        </w:rPr>
        <w:t>/mL beyond that time, presumably because of persistent cellular immunity and immune memory.</w:t>
      </w:r>
      <w:r w:rsidRPr="00B9370A">
        <w:rPr>
          <w:rFonts w:ascii="Times New Roman" w:hAnsi="Times New Roman" w:cs="Times New Roman"/>
          <w:sz w:val="20"/>
          <w:vertAlign w:val="superscript"/>
          <w:lang w:val="en-US"/>
        </w:rPr>
        <w:t>15,16</w:t>
      </w:r>
      <w:r w:rsidRPr="00B9370A">
        <w:rPr>
          <w:rFonts w:ascii="Times New Roman" w:hAnsi="Times New Roman" w:cs="Times New Roman"/>
          <w:sz w:val="20"/>
          <w:lang w:val="en-US"/>
        </w:rPr>
        <w:t xml:space="preserve"> In our study, 53% of the children were referred by their primary care physicians for testing anti-HBs levels. The benefit to cost ratio of the tests should be acceptable.</w:t>
      </w:r>
    </w:p>
    <w:p w14:paraId="7E13E642" w14:textId="77777777" w:rsidR="00903AB1" w:rsidRPr="00B9370A" w:rsidRDefault="00903AB1" w:rsidP="00B9370A">
      <w:pPr>
        <w:spacing w:after="0"/>
        <w:jc w:val="both"/>
        <w:rPr>
          <w:rFonts w:ascii="Times New Roman" w:hAnsi="Times New Roman" w:cs="Times New Roman"/>
          <w:sz w:val="20"/>
          <w:lang w:val="en-US"/>
        </w:rPr>
      </w:pPr>
    </w:p>
    <w:p w14:paraId="5C755F98"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As discussed in these guidelines, no recommendations were mentioned about a routine screening of serum ALT, AST, fasting glucose, BUN, creatinine, iron, ferritin, lipid profile, thyroid function tests, and anti-HBs levels in healthy children.</w:t>
      </w:r>
    </w:p>
    <w:p w14:paraId="1DE14088" w14:textId="77777777" w:rsidR="006E070F" w:rsidRDefault="006E070F" w:rsidP="00B9370A">
      <w:pPr>
        <w:spacing w:after="0"/>
        <w:jc w:val="both"/>
        <w:rPr>
          <w:rFonts w:ascii="Times New Roman" w:hAnsi="Times New Roman" w:cs="Times New Roman"/>
          <w:sz w:val="20"/>
          <w:lang w:val="en-US"/>
        </w:rPr>
      </w:pPr>
    </w:p>
    <w:p w14:paraId="657573FA" w14:textId="77777777" w:rsidR="00903AB1" w:rsidRPr="00B9370A" w:rsidRDefault="00903AB1" w:rsidP="00B9370A">
      <w:pPr>
        <w:spacing w:after="0"/>
        <w:ind w:firstLine="708"/>
        <w:jc w:val="both"/>
        <w:rPr>
          <w:rFonts w:ascii="Times New Roman" w:hAnsi="Times New Roman" w:cs="Times New Roman"/>
          <w:sz w:val="20"/>
          <w:lang w:val="en-US"/>
        </w:rPr>
      </w:pPr>
      <w:r w:rsidRPr="00B9370A">
        <w:rPr>
          <w:rFonts w:ascii="Times New Roman" w:hAnsi="Times New Roman" w:cs="Times New Roman"/>
          <w:sz w:val="20"/>
          <w:lang w:val="en-US"/>
        </w:rPr>
        <w:t xml:space="preserve">In conclusion, screening is carried out for early identification and treatment of common childhood diseases and will definitely reduce the incidence of these diseases. Our aim should be to reduce the prevalence of preventable diseases for </w:t>
      </w:r>
      <w:r w:rsidRPr="00B9370A">
        <w:rPr>
          <w:rFonts w:ascii="Times New Roman" w:hAnsi="Times New Roman" w:cs="Times New Roman"/>
          <w:sz w:val="20"/>
          <w:lang w:val="en-US"/>
        </w:rPr>
        <w:t xml:space="preserve">healthy generations. The incidence of these conditions, however, varies in countries and even different regions and states of the same country. Increasing awareness secondary to the needs of the state screening should be done according to needs of where the child lives and demographic parameters. The benefits of early diagnosis must be weighed against unnecessary tests and procedures. </w:t>
      </w:r>
    </w:p>
    <w:p w14:paraId="65EF1E1A" w14:textId="77777777" w:rsidR="00903AB1" w:rsidRPr="00B9370A" w:rsidRDefault="00903AB1" w:rsidP="00B9370A">
      <w:pPr>
        <w:spacing w:after="0"/>
        <w:jc w:val="both"/>
        <w:rPr>
          <w:rFonts w:ascii="Times New Roman" w:hAnsi="Times New Roman" w:cs="Times New Roman"/>
          <w:sz w:val="16"/>
          <w:lang w:val="en-US"/>
        </w:rPr>
      </w:pPr>
    </w:p>
    <w:p w14:paraId="2162B4F2" w14:textId="77777777" w:rsidR="00903AB1" w:rsidRPr="00B9370A" w:rsidRDefault="00903AB1" w:rsidP="00B9370A">
      <w:pPr>
        <w:spacing w:after="0"/>
        <w:jc w:val="both"/>
        <w:rPr>
          <w:rFonts w:ascii="Times New Roman" w:hAnsi="Times New Roman" w:cs="Times New Roman"/>
          <w:b/>
          <w:caps/>
          <w:sz w:val="16"/>
          <w:lang w:val="en-US"/>
        </w:rPr>
      </w:pPr>
    </w:p>
    <w:p w14:paraId="62C47829" w14:textId="77777777" w:rsidR="00903AB1" w:rsidRPr="00B9370A" w:rsidRDefault="00903AB1" w:rsidP="00B9370A">
      <w:pPr>
        <w:spacing w:after="0"/>
        <w:jc w:val="both"/>
        <w:rPr>
          <w:rFonts w:ascii="Times New Roman" w:hAnsi="Times New Roman" w:cs="Times New Roman"/>
          <w:b/>
          <w:caps/>
          <w:sz w:val="20"/>
          <w:lang w:val="en-US"/>
        </w:rPr>
      </w:pPr>
      <w:r w:rsidRPr="00B9370A">
        <w:rPr>
          <w:rFonts w:ascii="Times New Roman" w:hAnsi="Times New Roman" w:cs="Times New Roman"/>
          <w:b/>
          <w:caps/>
          <w:sz w:val="20"/>
          <w:lang w:val="en-US"/>
        </w:rPr>
        <w:t>References</w:t>
      </w:r>
    </w:p>
    <w:p w14:paraId="2642AB57" w14:textId="77777777" w:rsidR="00903AB1" w:rsidRPr="00B9370A" w:rsidRDefault="00903AB1" w:rsidP="00B9370A">
      <w:pPr>
        <w:spacing w:after="0"/>
        <w:jc w:val="both"/>
        <w:rPr>
          <w:rFonts w:ascii="Times New Roman" w:hAnsi="Times New Roman" w:cs="Times New Roman"/>
          <w:sz w:val="20"/>
          <w:lang w:val="en-US"/>
        </w:rPr>
      </w:pPr>
    </w:p>
    <w:p w14:paraId="66B3F867" w14:textId="2CA6287D"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Minkovitz</w:t>
      </w:r>
      <w:proofErr w:type="spellEnd"/>
      <w:r w:rsidRPr="00B9370A">
        <w:rPr>
          <w:rFonts w:ascii="Times New Roman" w:hAnsi="Times New Roman" w:cs="Times New Roman"/>
          <w:sz w:val="20"/>
          <w:lang w:val="en-US"/>
        </w:rPr>
        <w:t xml:space="preserve"> C, </w:t>
      </w:r>
      <w:proofErr w:type="spellStart"/>
      <w:r w:rsidRPr="00B9370A">
        <w:rPr>
          <w:rFonts w:ascii="Times New Roman" w:hAnsi="Times New Roman" w:cs="Times New Roman"/>
          <w:sz w:val="20"/>
          <w:lang w:val="en-US"/>
        </w:rPr>
        <w:t>Wissow</w:t>
      </w:r>
      <w:proofErr w:type="spellEnd"/>
      <w:r w:rsidRPr="00B9370A">
        <w:rPr>
          <w:rFonts w:ascii="Times New Roman" w:hAnsi="Times New Roman" w:cs="Times New Roman"/>
          <w:sz w:val="20"/>
          <w:lang w:val="en-US"/>
        </w:rPr>
        <w:t xml:space="preserve"> L. Evaluating and using laboratory tests. In: </w:t>
      </w:r>
      <w:proofErr w:type="spellStart"/>
      <w:r w:rsidRPr="00B9370A">
        <w:rPr>
          <w:rFonts w:ascii="Times New Roman" w:hAnsi="Times New Roman" w:cs="Times New Roman"/>
          <w:sz w:val="20"/>
          <w:lang w:val="en-US"/>
        </w:rPr>
        <w:t>Oski's</w:t>
      </w:r>
      <w:proofErr w:type="spellEnd"/>
      <w:r w:rsidRPr="00B9370A">
        <w:rPr>
          <w:rFonts w:ascii="Times New Roman" w:hAnsi="Times New Roman" w:cs="Times New Roman"/>
          <w:sz w:val="20"/>
          <w:lang w:val="en-US"/>
        </w:rPr>
        <w:t xml:space="preserve"> Pediatrics. Principles and Practice, 4th, McMillan JA, </w:t>
      </w:r>
      <w:proofErr w:type="spellStart"/>
      <w:r w:rsidRPr="00B9370A">
        <w:rPr>
          <w:rFonts w:ascii="Times New Roman" w:hAnsi="Times New Roman" w:cs="Times New Roman"/>
          <w:sz w:val="20"/>
          <w:lang w:val="en-US"/>
        </w:rPr>
        <w:t>Feigin</w:t>
      </w:r>
      <w:proofErr w:type="spellEnd"/>
      <w:r w:rsidRPr="00B9370A">
        <w:rPr>
          <w:rFonts w:ascii="Times New Roman" w:hAnsi="Times New Roman" w:cs="Times New Roman"/>
          <w:sz w:val="20"/>
          <w:lang w:val="en-US"/>
        </w:rPr>
        <w:t xml:space="preserve"> RD, DeAngelis C, Jones MD (Eds), Lippincott Williams &amp; Wilkins, Philadelphia 2006. p.95.</w:t>
      </w:r>
    </w:p>
    <w:p w14:paraId="214D726B" w14:textId="7D6C0DBC"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The Guide to Clinical Preventive Services 2014: Recommendations of the U.S. Preventive Services Task Force. Rockville (MD): Agency for Healthcare Research and Quality (US); 2014 May. Clinical Summaries of Recommendations for Children and Adolescents. Available from: https://www.ncbi.nlm.nih.gov/books/NBK235850. Accessed date: 05.05. 2018.</w:t>
      </w:r>
    </w:p>
    <w:p w14:paraId="332B3509" w14:textId="3557ECB1"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U.S. Preventive Services Task Force. The Guide to Clinical Preventive Services 2010 - 2011: Recommendations of the U.S. Preventive Services Task Force. Rockville (MD): Agency for Healthcare Research and Quality (US); 2010 Aug. Available from: https://www.ncbi.nlm.nih.gov/books/NBK56707/ Accessed date:01.05.2018.</w:t>
      </w:r>
    </w:p>
    <w:p w14:paraId="1B9E5CA9" w14:textId="092024D6"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The Guide to Clinical Preventive Services 2012: Recommendations of the U.S. Preventive Services Task Force. Rockville (MD): Agency for Healthcare Research and Quality (US); 2012 Oct. Recommendations for Children and Adolescents. Available from: https://www.ncbi.nlm.nih.gov/books/NBK115119/ Accessed date: 3.05.2018.</w:t>
      </w:r>
    </w:p>
    <w:p w14:paraId="25557053" w14:textId="3131D3C0"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Simon GR, Baker C, Barden GA III, et al. 2014 recommendations for pediatric preventive health care. Pediatrics. 2014;133(3):568–570.</w:t>
      </w:r>
    </w:p>
    <w:p w14:paraId="59C2EB14" w14:textId="5F953474"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Committee on Practice and Ambulatory Medicine, Bright Futures Periodicity Schedule Workgroup/American Academy of Pediatrics. Recommendations for Preventive Pediatric Health Care - Periodicity Schedule. Pediatrics. 2017;139(4). </w:t>
      </w:r>
      <w:proofErr w:type="spellStart"/>
      <w:r w:rsidRPr="00B9370A">
        <w:rPr>
          <w:rFonts w:ascii="Times New Roman" w:hAnsi="Times New Roman" w:cs="Times New Roman"/>
          <w:sz w:val="20"/>
          <w:lang w:val="en-US"/>
        </w:rPr>
        <w:t>pii</w:t>
      </w:r>
      <w:proofErr w:type="spellEnd"/>
      <w:r w:rsidRPr="00B9370A">
        <w:rPr>
          <w:rFonts w:ascii="Times New Roman" w:hAnsi="Times New Roman" w:cs="Times New Roman"/>
          <w:sz w:val="20"/>
          <w:lang w:val="en-US"/>
        </w:rPr>
        <w:t xml:space="preserve">: e20170254. </w:t>
      </w:r>
      <w:proofErr w:type="spellStart"/>
      <w:r w:rsidRPr="00B9370A">
        <w:rPr>
          <w:rFonts w:ascii="Times New Roman" w:hAnsi="Times New Roman" w:cs="Times New Roman"/>
          <w:sz w:val="20"/>
          <w:lang w:val="en-US"/>
        </w:rPr>
        <w:t>doi</w:t>
      </w:r>
      <w:proofErr w:type="spellEnd"/>
      <w:r w:rsidRPr="00B9370A">
        <w:rPr>
          <w:rFonts w:ascii="Times New Roman" w:hAnsi="Times New Roman" w:cs="Times New Roman"/>
          <w:sz w:val="20"/>
          <w:lang w:val="en-US"/>
        </w:rPr>
        <w:t>: 10.1542/peds.2017-0254. www.aap.org/en-</w:t>
      </w:r>
      <w:r w:rsidRPr="00B9370A">
        <w:rPr>
          <w:rFonts w:ascii="Times New Roman" w:hAnsi="Times New Roman" w:cs="Times New Roman"/>
          <w:sz w:val="20"/>
          <w:lang w:val="en-US"/>
        </w:rPr>
        <w:lastRenderedPageBreak/>
        <w:t>us/professional-resources/practice-support/Pages/PeriodicitySchedule.aspx Pediatrics 2017 Accessed date:04.05.2018.</w:t>
      </w:r>
    </w:p>
    <w:p w14:paraId="25C150AF" w14:textId="7A0A3FD2"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Bright Futures Steering Committee. Bright Futures guidelines for health supervision of infants, children, and adolescents. Middle childhood. http://brightfutures.aap.org/pdfs/Guidelines_PDF/17-Middle_Childhood.pdf. Accessed date: 04.05.2018.</w:t>
      </w:r>
    </w:p>
    <w:p w14:paraId="04410B11" w14:textId="763F5AE4"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Geoffrey R Simon, Cynthia Baker, Graham A Barden 3rd, Brown OW, Hardin A, </w:t>
      </w:r>
      <w:proofErr w:type="spellStart"/>
      <w:r w:rsidRPr="00B9370A">
        <w:rPr>
          <w:rFonts w:ascii="Times New Roman" w:hAnsi="Times New Roman" w:cs="Times New Roman"/>
          <w:sz w:val="20"/>
          <w:lang w:val="en-US"/>
        </w:rPr>
        <w:t>Lessin</w:t>
      </w:r>
      <w:proofErr w:type="spellEnd"/>
      <w:r w:rsidRPr="00B9370A">
        <w:rPr>
          <w:rFonts w:ascii="Times New Roman" w:hAnsi="Times New Roman" w:cs="Times New Roman"/>
          <w:sz w:val="20"/>
          <w:lang w:val="en-US"/>
        </w:rPr>
        <w:t xml:space="preserve"> HR, Meade K, Moore S, Rodgers CT; Committee on Practice and Ambulatory Medicine, Curry ES, </w:t>
      </w:r>
      <w:proofErr w:type="spellStart"/>
      <w:r w:rsidRPr="00B9370A">
        <w:rPr>
          <w:rFonts w:ascii="Times New Roman" w:hAnsi="Times New Roman" w:cs="Times New Roman"/>
          <w:sz w:val="20"/>
          <w:lang w:val="en-US"/>
        </w:rPr>
        <w:t>Dunca</w:t>
      </w:r>
      <w:proofErr w:type="spellEnd"/>
      <w:r w:rsidRPr="00B9370A">
        <w:rPr>
          <w:rFonts w:ascii="Times New Roman" w:hAnsi="Times New Roman" w:cs="Times New Roman"/>
          <w:sz w:val="20"/>
          <w:lang w:val="en-US"/>
        </w:rPr>
        <w:t xml:space="preserve"> PM, Hagan JF Jr, Kemper AR, Shaw JS, Swanson JT; Bright Futures Periodicity Schedule Workgroup. 2014 recommendations for pediatric preventive health care. Pediatrics. 2014;133(3):568-70. </w:t>
      </w:r>
      <w:proofErr w:type="spellStart"/>
      <w:r w:rsidRPr="00B9370A">
        <w:rPr>
          <w:rFonts w:ascii="Times New Roman" w:hAnsi="Times New Roman" w:cs="Times New Roman"/>
          <w:sz w:val="20"/>
          <w:lang w:val="en-US"/>
        </w:rPr>
        <w:t>doi</w:t>
      </w:r>
      <w:proofErr w:type="spellEnd"/>
      <w:r w:rsidRPr="00B9370A">
        <w:rPr>
          <w:rFonts w:ascii="Times New Roman" w:hAnsi="Times New Roman" w:cs="Times New Roman"/>
          <w:sz w:val="20"/>
          <w:lang w:val="en-US"/>
        </w:rPr>
        <w:t>: 10.1542/peds.2013-4096.</w:t>
      </w:r>
    </w:p>
    <w:p w14:paraId="4E523536" w14:textId="778EC38D"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Behrman RE, </w:t>
      </w:r>
      <w:proofErr w:type="spellStart"/>
      <w:r w:rsidRPr="00B9370A">
        <w:rPr>
          <w:rFonts w:ascii="Times New Roman" w:hAnsi="Times New Roman" w:cs="Times New Roman"/>
          <w:sz w:val="20"/>
          <w:lang w:val="en-US"/>
        </w:rPr>
        <w:t>Kliegman</w:t>
      </w:r>
      <w:proofErr w:type="spellEnd"/>
      <w:r w:rsidRPr="00B9370A">
        <w:rPr>
          <w:rFonts w:ascii="Times New Roman" w:hAnsi="Times New Roman" w:cs="Times New Roman"/>
          <w:sz w:val="20"/>
          <w:lang w:val="en-US"/>
        </w:rPr>
        <w:t xml:space="preserve"> RM, </w:t>
      </w:r>
      <w:proofErr w:type="spellStart"/>
      <w:proofErr w:type="gramStart"/>
      <w:r w:rsidRPr="00B9370A">
        <w:rPr>
          <w:rFonts w:ascii="Times New Roman" w:hAnsi="Times New Roman" w:cs="Times New Roman"/>
          <w:sz w:val="20"/>
          <w:lang w:val="en-US"/>
        </w:rPr>
        <w:t>editors:Nelson</w:t>
      </w:r>
      <w:proofErr w:type="spellEnd"/>
      <w:proofErr w:type="gramEnd"/>
      <w:r w:rsidRPr="00B9370A">
        <w:rPr>
          <w:rFonts w:ascii="Times New Roman" w:hAnsi="Times New Roman" w:cs="Times New Roman"/>
          <w:sz w:val="20"/>
          <w:lang w:val="en-US"/>
        </w:rPr>
        <w:t xml:space="preserve"> Essentials of Pediatrics, 4th edition, Philadelphia, 2002, WB Saunders, chapter 1;2-4 pp.</w:t>
      </w:r>
    </w:p>
    <w:p w14:paraId="42D02EA3" w14:textId="3AF0F9A0"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Levine D. Evaluation of the Well Child section 2 Growth and Development, Nelson Essentials of Pediatrics, 6th edition, Philadelphia, 2006, WB Saunders, chapter 9 ;24-28 pp.</w:t>
      </w:r>
    </w:p>
    <w:p w14:paraId="4799EAC5" w14:textId="49A53D46" w:rsidR="00903AB1" w:rsidRPr="002E7D10" w:rsidRDefault="00903AB1" w:rsidP="00B9370A">
      <w:pPr>
        <w:pStyle w:val="ListeParagraf"/>
        <w:numPr>
          <w:ilvl w:val="0"/>
          <w:numId w:val="1"/>
        </w:numPr>
        <w:spacing w:after="0"/>
        <w:ind w:left="360"/>
        <w:jc w:val="both"/>
        <w:rPr>
          <w:rFonts w:ascii="Times New Roman" w:hAnsi="Times New Roman" w:cs="Times New Roman"/>
          <w:sz w:val="20"/>
          <w:lang w:val="pl-PL"/>
        </w:rPr>
      </w:pPr>
      <w:r w:rsidRPr="002E7D10">
        <w:rPr>
          <w:rFonts w:ascii="Times New Roman" w:hAnsi="Times New Roman" w:cs="Times New Roman"/>
          <w:sz w:val="20"/>
          <w:lang w:val="pl-PL"/>
        </w:rPr>
        <w:t>Neyzi O, Ertuğrul T, Pediatri Cilt 1. Gökçay G, Neyzi O, Bulut A, Sağlam Çocuk İzlemi, Nobel Tıp Kitabevi.2002; 3: 49-56.</w:t>
      </w:r>
    </w:p>
    <w:p w14:paraId="76D0734F" w14:textId="632C9193"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Özdemir</w:t>
      </w:r>
      <w:proofErr w:type="spellEnd"/>
      <w:r w:rsidRPr="00B9370A">
        <w:rPr>
          <w:rFonts w:ascii="Times New Roman" w:hAnsi="Times New Roman" w:cs="Times New Roman"/>
          <w:sz w:val="20"/>
          <w:lang w:val="en-US"/>
        </w:rPr>
        <w:t xml:space="preserve"> N. Iron deficiency anemia from diagnosis to treatment in children. Turk </w:t>
      </w:r>
      <w:proofErr w:type="spellStart"/>
      <w:r w:rsidRPr="00B9370A">
        <w:rPr>
          <w:rFonts w:ascii="Times New Roman" w:hAnsi="Times New Roman" w:cs="Times New Roman"/>
          <w:sz w:val="20"/>
          <w:lang w:val="en-US"/>
        </w:rPr>
        <w:t>Pediatri</w:t>
      </w:r>
      <w:proofErr w:type="spellEnd"/>
      <w:r w:rsidRPr="00B9370A">
        <w:rPr>
          <w:rFonts w:ascii="Times New Roman" w:hAnsi="Times New Roman" w:cs="Times New Roman"/>
          <w:sz w:val="20"/>
          <w:lang w:val="en-US"/>
        </w:rPr>
        <w:t xml:space="preserve"> Ars. 2015; 50(1):11-9. </w:t>
      </w:r>
    </w:p>
    <w:p w14:paraId="35E4A58C" w14:textId="3FD9AADD"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World Health Organization. Iron deficiency </w:t>
      </w:r>
      <w:proofErr w:type="spellStart"/>
      <w:r w:rsidRPr="00B9370A">
        <w:rPr>
          <w:rFonts w:ascii="Times New Roman" w:hAnsi="Times New Roman" w:cs="Times New Roman"/>
          <w:sz w:val="20"/>
          <w:lang w:val="en-US"/>
        </w:rPr>
        <w:t>anaemia</w:t>
      </w:r>
      <w:proofErr w:type="spellEnd"/>
      <w:r w:rsidRPr="00B9370A">
        <w:rPr>
          <w:rFonts w:ascii="Times New Roman" w:hAnsi="Times New Roman" w:cs="Times New Roman"/>
          <w:sz w:val="20"/>
          <w:lang w:val="en-US"/>
        </w:rPr>
        <w:t xml:space="preserve"> assessment, prevention, and control. A guide for </w:t>
      </w:r>
      <w:proofErr w:type="spellStart"/>
      <w:r w:rsidRPr="00B9370A">
        <w:rPr>
          <w:rFonts w:ascii="Times New Roman" w:hAnsi="Times New Roman" w:cs="Times New Roman"/>
          <w:sz w:val="20"/>
          <w:lang w:val="en-US"/>
        </w:rPr>
        <w:t>programme</w:t>
      </w:r>
      <w:proofErr w:type="spellEnd"/>
      <w:r w:rsidRPr="00B9370A">
        <w:rPr>
          <w:rFonts w:ascii="Times New Roman" w:hAnsi="Times New Roman" w:cs="Times New Roman"/>
          <w:sz w:val="20"/>
          <w:lang w:val="en-US"/>
        </w:rPr>
        <w:t xml:space="preserve"> managers. Geneva (Switzerland): World Health Organization; 2001, pp 114.</w:t>
      </w:r>
    </w:p>
    <w:p w14:paraId="1FAFAB7A" w14:textId="1C7CC0CC"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Koyuncuoğlu</w:t>
      </w:r>
      <w:proofErr w:type="spellEnd"/>
      <w:r w:rsidRPr="00B9370A">
        <w:rPr>
          <w:rFonts w:ascii="Times New Roman" w:hAnsi="Times New Roman" w:cs="Times New Roman"/>
          <w:sz w:val="20"/>
          <w:lang w:val="en-US"/>
        </w:rPr>
        <w:t xml:space="preserve"> </w:t>
      </w:r>
      <w:proofErr w:type="spellStart"/>
      <w:r w:rsidRPr="00B9370A">
        <w:rPr>
          <w:rFonts w:ascii="Times New Roman" w:hAnsi="Times New Roman" w:cs="Times New Roman"/>
          <w:sz w:val="20"/>
          <w:lang w:val="en-US"/>
        </w:rPr>
        <w:t>Güngör</w:t>
      </w:r>
      <w:proofErr w:type="spellEnd"/>
      <w:r w:rsidRPr="00B9370A">
        <w:rPr>
          <w:rFonts w:ascii="Times New Roman" w:hAnsi="Times New Roman" w:cs="Times New Roman"/>
          <w:sz w:val="20"/>
          <w:lang w:val="en-US"/>
        </w:rPr>
        <w:t xml:space="preserve"> N. Overweight and Obesity in Children and Adolescents. Journal of Clinical Research in Pediatric Endocrinology. 2014;6(3):129-143. doi:10.4274/jcrpe.1471.</w:t>
      </w:r>
    </w:p>
    <w:p w14:paraId="315222F7" w14:textId="78FD03C9"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Leuridan</w:t>
      </w:r>
      <w:proofErr w:type="spellEnd"/>
      <w:r w:rsidRPr="00B9370A">
        <w:rPr>
          <w:rFonts w:ascii="Times New Roman" w:hAnsi="Times New Roman" w:cs="Times New Roman"/>
          <w:sz w:val="20"/>
          <w:lang w:val="en-US"/>
        </w:rPr>
        <w:t xml:space="preserve"> E, Van Damme P. Hepatitis B and the need for a booster dose. Clin Infect Dis. 2011;53(1):68-75. </w:t>
      </w:r>
    </w:p>
    <w:p w14:paraId="371427B0" w14:textId="1D872045"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Schillie</w:t>
      </w:r>
      <w:proofErr w:type="spellEnd"/>
      <w:r w:rsidRPr="00B9370A">
        <w:rPr>
          <w:rFonts w:ascii="Times New Roman" w:hAnsi="Times New Roman" w:cs="Times New Roman"/>
          <w:sz w:val="20"/>
          <w:lang w:val="en-US"/>
        </w:rPr>
        <w:t xml:space="preserve"> S, Murphy TV, Sawyer M, et al. CDC Guidance for Evaluating Health-Care Personnel for Hepatitis B Virus Protection and for Administering Postexposure Management. </w:t>
      </w:r>
      <w:proofErr w:type="spellStart"/>
      <w:r w:rsidRPr="00B9370A">
        <w:rPr>
          <w:rFonts w:ascii="Times New Roman" w:hAnsi="Times New Roman" w:cs="Times New Roman"/>
          <w:sz w:val="20"/>
          <w:lang w:val="en-US"/>
        </w:rPr>
        <w:t>Morb</w:t>
      </w:r>
      <w:proofErr w:type="spellEnd"/>
      <w:r w:rsidRPr="00B9370A">
        <w:rPr>
          <w:rFonts w:ascii="Times New Roman" w:hAnsi="Times New Roman" w:cs="Times New Roman"/>
          <w:sz w:val="20"/>
          <w:lang w:val="en-US"/>
        </w:rPr>
        <w:t xml:space="preserve"> Mortal </w:t>
      </w:r>
      <w:proofErr w:type="spellStart"/>
      <w:r w:rsidRPr="00B9370A">
        <w:rPr>
          <w:rFonts w:ascii="Times New Roman" w:hAnsi="Times New Roman" w:cs="Times New Roman"/>
          <w:sz w:val="20"/>
          <w:lang w:val="en-US"/>
        </w:rPr>
        <w:t>Wkly</w:t>
      </w:r>
      <w:proofErr w:type="spellEnd"/>
      <w:r w:rsidRPr="00B9370A">
        <w:rPr>
          <w:rFonts w:ascii="Times New Roman" w:hAnsi="Times New Roman" w:cs="Times New Roman"/>
          <w:sz w:val="20"/>
          <w:lang w:val="en-US"/>
        </w:rPr>
        <w:t xml:space="preserve"> Rep </w:t>
      </w:r>
      <w:proofErr w:type="spellStart"/>
      <w:r w:rsidRPr="00B9370A">
        <w:rPr>
          <w:rFonts w:ascii="Times New Roman" w:hAnsi="Times New Roman" w:cs="Times New Roman"/>
          <w:sz w:val="20"/>
          <w:lang w:val="en-US"/>
        </w:rPr>
        <w:t>Recomm</w:t>
      </w:r>
      <w:proofErr w:type="spellEnd"/>
      <w:r w:rsidRPr="00B9370A">
        <w:rPr>
          <w:rFonts w:ascii="Times New Roman" w:hAnsi="Times New Roman" w:cs="Times New Roman"/>
          <w:sz w:val="20"/>
          <w:lang w:val="en-US"/>
        </w:rPr>
        <w:t xml:space="preserve"> Rep 2013;62;1-19.</w:t>
      </w:r>
    </w:p>
    <w:p w14:paraId="1B434921" w14:textId="63EDC06B"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Grossman DC, Moyer VA, Melnyk BM, Chou R, DeWitt TG; U.S. Preventive Services Task Force. The anatomy of a U.S. Preventive Services Task Force recommendation: lipid screening for children and adolescents. Arch </w:t>
      </w:r>
      <w:proofErr w:type="spellStart"/>
      <w:r w:rsidRPr="00B9370A">
        <w:rPr>
          <w:rFonts w:ascii="Times New Roman" w:hAnsi="Times New Roman" w:cs="Times New Roman"/>
          <w:sz w:val="20"/>
          <w:lang w:val="en-US"/>
        </w:rPr>
        <w:t>Pediatr</w:t>
      </w:r>
      <w:proofErr w:type="spellEnd"/>
      <w:r w:rsidRPr="00B9370A">
        <w:rPr>
          <w:rFonts w:ascii="Times New Roman" w:hAnsi="Times New Roman" w:cs="Times New Roman"/>
          <w:sz w:val="20"/>
          <w:lang w:val="en-US"/>
        </w:rPr>
        <w:t xml:space="preserve"> </w:t>
      </w:r>
      <w:proofErr w:type="spellStart"/>
      <w:r w:rsidRPr="00B9370A">
        <w:rPr>
          <w:rFonts w:ascii="Times New Roman" w:hAnsi="Times New Roman" w:cs="Times New Roman"/>
          <w:sz w:val="20"/>
          <w:lang w:val="en-US"/>
        </w:rPr>
        <w:t>Adolesc</w:t>
      </w:r>
      <w:proofErr w:type="spellEnd"/>
      <w:r w:rsidRPr="00B9370A">
        <w:rPr>
          <w:rFonts w:ascii="Times New Roman" w:hAnsi="Times New Roman" w:cs="Times New Roman"/>
          <w:sz w:val="20"/>
          <w:lang w:val="en-US"/>
        </w:rPr>
        <w:t xml:space="preserve"> Med. 2011;165(3):205–210.</w:t>
      </w:r>
      <w:r w:rsidRPr="00B9370A">
        <w:rPr>
          <w:rFonts w:ascii="Times New Roman" w:hAnsi="Times New Roman" w:cs="Times New Roman"/>
          <w:sz w:val="20"/>
          <w:lang w:val="en-US"/>
        </w:rPr>
        <w:cr/>
      </w:r>
    </w:p>
    <w:p w14:paraId="7F5947AF" w14:textId="32FBC268"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Lin KW. What to Do at Well-Child Visits: The AAFP's Perspective. Am Fam Physician. 2015 ;91(6):362-4. </w:t>
      </w:r>
    </w:p>
    <w:p w14:paraId="1F1FF678" w14:textId="7F5DDB15"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 xml:space="preserve">Vos MB, Abrams SH, Barlow SE, et al. NASPGHAN Clinical Practice Guideline for the diagnosis and treatment of nonalcoholic fatty liver disease in children: recommendations from the Expert Committee on NAFLD (ECON) and the North American Society of Pediatric Gastroenterology, Hepatology and Nutrition (NASPGHAN). J </w:t>
      </w:r>
      <w:proofErr w:type="spellStart"/>
      <w:r w:rsidRPr="00B9370A">
        <w:rPr>
          <w:rFonts w:ascii="Times New Roman" w:hAnsi="Times New Roman" w:cs="Times New Roman"/>
          <w:sz w:val="20"/>
          <w:lang w:val="en-US"/>
        </w:rPr>
        <w:t>Pediatr</w:t>
      </w:r>
      <w:proofErr w:type="spellEnd"/>
      <w:r w:rsidRPr="00B9370A">
        <w:rPr>
          <w:rFonts w:ascii="Times New Roman" w:hAnsi="Times New Roman" w:cs="Times New Roman"/>
          <w:sz w:val="20"/>
          <w:lang w:val="en-US"/>
        </w:rPr>
        <w:t xml:space="preserve"> Gastroenterol </w:t>
      </w:r>
      <w:proofErr w:type="spellStart"/>
      <w:r w:rsidRPr="00B9370A">
        <w:rPr>
          <w:rFonts w:ascii="Times New Roman" w:hAnsi="Times New Roman" w:cs="Times New Roman"/>
          <w:sz w:val="20"/>
          <w:lang w:val="en-US"/>
        </w:rPr>
        <w:t>Nutr</w:t>
      </w:r>
      <w:proofErr w:type="spellEnd"/>
      <w:r w:rsidRPr="00B9370A">
        <w:rPr>
          <w:rFonts w:ascii="Times New Roman" w:hAnsi="Times New Roman" w:cs="Times New Roman"/>
          <w:sz w:val="20"/>
          <w:lang w:val="en-US"/>
        </w:rPr>
        <w:t xml:space="preserve"> </w:t>
      </w:r>
      <w:proofErr w:type="gramStart"/>
      <w:r w:rsidRPr="00B9370A">
        <w:rPr>
          <w:rFonts w:ascii="Times New Roman" w:hAnsi="Times New Roman" w:cs="Times New Roman"/>
          <w:sz w:val="20"/>
          <w:lang w:val="en-US"/>
        </w:rPr>
        <w:t>2017;64:319</w:t>
      </w:r>
      <w:proofErr w:type="gramEnd"/>
      <w:r w:rsidRPr="00B9370A">
        <w:rPr>
          <w:rFonts w:ascii="Calibri" w:eastAsia="Calibri" w:hAnsi="Calibri" w:cs="Calibri"/>
          <w:sz w:val="20"/>
          <w:lang w:val="en-US"/>
        </w:rPr>
        <w:t>‐</w:t>
      </w:r>
      <w:r w:rsidRPr="00B9370A">
        <w:rPr>
          <w:rFonts w:ascii="Times New Roman" w:hAnsi="Times New Roman" w:cs="Times New Roman"/>
          <w:sz w:val="20"/>
          <w:lang w:val="en-US"/>
        </w:rPr>
        <w:t>334.</w:t>
      </w:r>
    </w:p>
    <w:p w14:paraId="283F10AB" w14:textId="4EAAA386"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Mitnikos</w:t>
      </w:r>
      <w:proofErr w:type="spellEnd"/>
      <w:r w:rsidRPr="00B9370A">
        <w:rPr>
          <w:rFonts w:ascii="Times New Roman" w:hAnsi="Times New Roman" w:cs="Times New Roman"/>
          <w:sz w:val="20"/>
          <w:lang w:val="en-US"/>
        </w:rPr>
        <w:t xml:space="preserve"> T, Kohli R. Pediatric nonalcoholic fatty liver disease. Clin Liver Dis. 2018;11(4):95-97.</w:t>
      </w:r>
    </w:p>
    <w:p w14:paraId="166F3702" w14:textId="03501EEE"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National Heart, and Blood Institute. Expert panel on integrated guidelines for cardiovascular health and risk reduction in children and adolescents: summary report. Pediatrics 2011;128 (Suppl. 2011;128(Suppl 5):213–256.</w:t>
      </w:r>
    </w:p>
    <w:p w14:paraId="439DF4C2" w14:textId="33BF3C5F"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r w:rsidRPr="00B9370A">
        <w:rPr>
          <w:rFonts w:ascii="Times New Roman" w:hAnsi="Times New Roman" w:cs="Times New Roman"/>
          <w:sz w:val="20"/>
          <w:lang w:val="en-US"/>
        </w:rPr>
        <w:t>American Academy of Family Physicians. Summary of recommendations for clinical preventive services. July 2014. https://www.aafp.org/dam/AAFP/documents/patient_care/clinical_recommendations/cps-recommendations.pdf. Accessed date: 02.05.2018.</w:t>
      </w:r>
    </w:p>
    <w:p w14:paraId="1DC396B0" w14:textId="4A7BCCEC" w:rsidR="00903AB1" w:rsidRPr="00B9370A" w:rsidRDefault="00903AB1" w:rsidP="00B9370A">
      <w:pPr>
        <w:pStyle w:val="ListeParagraf"/>
        <w:numPr>
          <w:ilvl w:val="0"/>
          <w:numId w:val="1"/>
        </w:numPr>
        <w:spacing w:after="0"/>
        <w:ind w:left="360"/>
        <w:jc w:val="both"/>
        <w:rPr>
          <w:rFonts w:ascii="Times New Roman" w:hAnsi="Times New Roman" w:cs="Times New Roman"/>
          <w:sz w:val="20"/>
          <w:lang w:val="en-US"/>
        </w:rPr>
      </w:pPr>
      <w:proofErr w:type="spellStart"/>
      <w:r w:rsidRPr="00B9370A">
        <w:rPr>
          <w:rFonts w:ascii="Times New Roman" w:hAnsi="Times New Roman" w:cs="Times New Roman"/>
          <w:sz w:val="20"/>
          <w:lang w:val="en-US"/>
        </w:rPr>
        <w:t>Gür</w:t>
      </w:r>
      <w:proofErr w:type="spellEnd"/>
      <w:r w:rsidRPr="00B9370A">
        <w:rPr>
          <w:rFonts w:ascii="Times New Roman" w:hAnsi="Times New Roman" w:cs="Times New Roman"/>
          <w:sz w:val="20"/>
          <w:lang w:val="en-US"/>
        </w:rPr>
        <w:t xml:space="preserve"> E, </w:t>
      </w:r>
      <w:proofErr w:type="spellStart"/>
      <w:r w:rsidRPr="00B9370A">
        <w:rPr>
          <w:rFonts w:ascii="Times New Roman" w:hAnsi="Times New Roman" w:cs="Times New Roman"/>
          <w:sz w:val="20"/>
          <w:lang w:val="en-US"/>
        </w:rPr>
        <w:t>Yıldız</w:t>
      </w:r>
      <w:proofErr w:type="spellEnd"/>
      <w:r w:rsidRPr="00B9370A">
        <w:rPr>
          <w:rFonts w:ascii="Times New Roman" w:hAnsi="Times New Roman" w:cs="Times New Roman"/>
          <w:sz w:val="20"/>
          <w:lang w:val="en-US"/>
        </w:rPr>
        <w:t xml:space="preserve"> I, </w:t>
      </w:r>
      <w:proofErr w:type="spellStart"/>
      <w:r w:rsidRPr="00B9370A">
        <w:rPr>
          <w:rFonts w:ascii="Times New Roman" w:hAnsi="Times New Roman" w:cs="Times New Roman"/>
          <w:sz w:val="20"/>
          <w:lang w:val="en-US"/>
        </w:rPr>
        <w:t>Celkan</w:t>
      </w:r>
      <w:proofErr w:type="spellEnd"/>
      <w:r w:rsidRPr="00B9370A">
        <w:rPr>
          <w:rFonts w:ascii="Times New Roman" w:hAnsi="Times New Roman" w:cs="Times New Roman"/>
          <w:sz w:val="20"/>
          <w:lang w:val="en-US"/>
        </w:rPr>
        <w:t xml:space="preserve"> T. Prevalence of anemia and the risk factors among school children in İstanbul. J Trop </w:t>
      </w:r>
      <w:proofErr w:type="spellStart"/>
      <w:r w:rsidRPr="00B9370A">
        <w:rPr>
          <w:rFonts w:ascii="Times New Roman" w:hAnsi="Times New Roman" w:cs="Times New Roman"/>
          <w:sz w:val="20"/>
          <w:lang w:val="en-US"/>
        </w:rPr>
        <w:t>Pediatr</w:t>
      </w:r>
      <w:proofErr w:type="spellEnd"/>
      <w:r w:rsidRPr="00B9370A">
        <w:rPr>
          <w:rFonts w:ascii="Times New Roman" w:hAnsi="Times New Roman" w:cs="Times New Roman"/>
          <w:sz w:val="20"/>
          <w:lang w:val="en-US"/>
        </w:rPr>
        <w:t xml:space="preserve">. </w:t>
      </w:r>
      <w:proofErr w:type="gramStart"/>
      <w:r w:rsidRPr="00B9370A">
        <w:rPr>
          <w:rFonts w:ascii="Times New Roman" w:hAnsi="Times New Roman" w:cs="Times New Roman"/>
          <w:sz w:val="20"/>
          <w:lang w:val="en-US"/>
        </w:rPr>
        <w:t>2005;51:346</w:t>
      </w:r>
      <w:proofErr w:type="gramEnd"/>
      <w:r w:rsidRPr="00B9370A">
        <w:rPr>
          <w:rFonts w:ascii="Times New Roman" w:hAnsi="Times New Roman" w:cs="Times New Roman"/>
          <w:sz w:val="20"/>
          <w:lang w:val="en-US"/>
        </w:rPr>
        <w:t>-50.</w:t>
      </w:r>
    </w:p>
    <w:sectPr w:rsidR="00903AB1" w:rsidRPr="00B9370A" w:rsidSect="00903AB1">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6E43C" w14:textId="77777777" w:rsidR="001E54F4" w:rsidRDefault="001E54F4" w:rsidP="00B46ED4">
      <w:pPr>
        <w:spacing w:after="0" w:line="240" w:lineRule="auto"/>
      </w:pPr>
      <w:r>
        <w:separator/>
      </w:r>
    </w:p>
  </w:endnote>
  <w:endnote w:type="continuationSeparator" w:id="0">
    <w:p w14:paraId="0FE26D69" w14:textId="77777777" w:rsidR="001E54F4" w:rsidRDefault="001E54F4" w:rsidP="00B4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751A" w14:textId="77777777" w:rsidR="00B9370A" w:rsidRDefault="00B9370A" w:rsidP="00B9370A">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1EE2522" w14:textId="77777777" w:rsidR="00B9370A" w:rsidRDefault="00B9370A" w:rsidP="00B937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1841" w14:textId="77777777" w:rsidR="00B9370A" w:rsidRDefault="00B9370A"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177</w:t>
    </w:r>
    <w:r>
      <w:rPr>
        <w:rStyle w:val="SayfaNumaras"/>
      </w:rPr>
      <w:fldChar w:fldCharType="end"/>
    </w:r>
  </w:p>
  <w:p w14:paraId="4EAA2A29" w14:textId="39EF8BF5" w:rsidR="006E070F" w:rsidRPr="002A38BF" w:rsidRDefault="006E070F" w:rsidP="00B9370A">
    <w:pPr>
      <w:pStyle w:val="AltBilgi"/>
      <w:ind w:right="360"/>
      <w:rPr>
        <w:rFonts w:ascii="Times New Roman" w:hAnsi="Times New Roman" w:cs="Times New Roman"/>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EF97" w14:textId="77777777" w:rsidR="006E070F" w:rsidRPr="000739D5" w:rsidRDefault="006E070F" w:rsidP="005D51F9">
    <w:pPr>
      <w:pStyle w:val="AltBilgi"/>
      <w:rPr>
        <w:color w:val="808080" w:themeColor="background1" w:themeShade="80"/>
      </w:rPr>
    </w:pPr>
    <w:r>
      <w:tab/>
    </w:r>
    <w:r>
      <w:rPr>
        <w:color w:val="808080" w:themeColor="background1" w:themeShade="80"/>
      </w:rPr>
      <w:t>Sabah</w:t>
    </w:r>
    <w:r w:rsidRPr="000739D5">
      <w:rPr>
        <w:color w:val="808080" w:themeColor="background1" w:themeShade="80"/>
      </w:rPr>
      <w:t xml:space="preserve"> et al., TJFMPC www.tjfmpc.gen.tr 2019; 13(1)</w:t>
    </w:r>
  </w:p>
  <w:p w14:paraId="01841D85" w14:textId="77777777" w:rsidR="006E070F" w:rsidRDefault="006E070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2C37" w14:textId="77777777" w:rsidR="00B9370A" w:rsidRDefault="00B9370A"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A3E8B">
      <w:rPr>
        <w:rStyle w:val="SayfaNumaras"/>
        <w:noProof/>
      </w:rPr>
      <w:t>182</w:t>
    </w:r>
    <w:r>
      <w:rPr>
        <w:rStyle w:val="SayfaNumaras"/>
      </w:rPr>
      <w:fldChar w:fldCharType="end"/>
    </w:r>
  </w:p>
  <w:p w14:paraId="2B03FFF0" w14:textId="77777777" w:rsidR="00B46ED4" w:rsidRDefault="00B46ED4" w:rsidP="00B9370A">
    <w:pPr>
      <w:pStyle w:val="AltBilgi"/>
      <w:ind w:right="360"/>
    </w:pPr>
  </w:p>
  <w:p w14:paraId="537E6929" w14:textId="002BBB6A" w:rsidR="00B46ED4" w:rsidRDefault="00B46ED4">
    <w:pPr>
      <w:pStyle w:val="AltBilgi"/>
    </w:pPr>
    <w:r>
      <w:rPr>
        <w:rFonts w:ascii="Times New Roman" w:hAnsi="Times New Roman" w:cs="Times New Roman"/>
        <w:color w:val="808080" w:themeColor="background1" w:themeShade="80"/>
      </w:rPr>
      <w:tab/>
    </w:r>
    <w:r w:rsidR="00B9370A">
      <w:rPr>
        <w:rFonts w:ascii="Times New Roman" w:hAnsi="Times New Roman" w:cs="Times New Roman"/>
        <w:color w:val="808080" w:themeColor="background1" w:themeShade="80"/>
      </w:rPr>
      <w:t xml:space="preserve">Kalyoncu </w:t>
    </w:r>
    <w:proofErr w:type="gramStart"/>
    <w:r w:rsidR="00B9370A">
      <w:rPr>
        <w:rFonts w:ascii="Times New Roman" w:hAnsi="Times New Roman" w:cs="Times New Roman"/>
        <w:color w:val="808080" w:themeColor="background1" w:themeShade="80"/>
      </w:rPr>
      <w:t>D</w:t>
    </w:r>
    <w:r w:rsidR="006E070F" w:rsidRPr="002A38BF">
      <w:rPr>
        <w:rFonts w:ascii="Times New Roman" w:hAnsi="Times New Roman" w:cs="Times New Roman"/>
        <w:color w:val="808080" w:themeColor="background1" w:themeShade="80"/>
      </w:rPr>
      <w:t xml:space="preserve">, </w:t>
    </w:r>
    <w:r w:rsidRPr="002A38BF">
      <w:rPr>
        <w:rFonts w:ascii="Times New Roman" w:hAnsi="Times New Roman" w:cs="Times New Roman"/>
        <w:color w:val="808080" w:themeColor="background1" w:themeShade="80"/>
      </w:rPr>
      <w:t xml:space="preserve"> TJFMPC</w:t>
    </w:r>
    <w:proofErr w:type="gramEnd"/>
    <w:r w:rsidRPr="002A38BF">
      <w:rPr>
        <w:rFonts w:ascii="Times New Roman" w:hAnsi="Times New Roman" w:cs="Times New Roman"/>
        <w:color w:val="808080" w:themeColor="background1" w:themeShade="80"/>
      </w:rPr>
      <w:t xml:space="preserve"> www.tjfmpc.gen.tr 2019; 13(</w:t>
    </w:r>
    <w:r>
      <w:rPr>
        <w:rFonts w:ascii="Times New Roman" w:hAnsi="Times New Roman" w:cs="Times New Roman"/>
        <w:color w:val="808080" w:themeColor="background1" w:themeShade="80"/>
      </w:rPr>
      <w:t>2</w:t>
    </w:r>
    <w:r w:rsidRPr="002A38BF">
      <w:rPr>
        <w:rFonts w:ascii="Times New Roman" w:hAnsi="Times New Roman" w:cs="Times New Roman"/>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625E" w14:textId="77777777" w:rsidR="001E54F4" w:rsidRDefault="001E54F4" w:rsidP="00B46ED4">
      <w:pPr>
        <w:spacing w:after="0" w:line="240" w:lineRule="auto"/>
      </w:pPr>
      <w:r>
        <w:separator/>
      </w:r>
    </w:p>
  </w:footnote>
  <w:footnote w:type="continuationSeparator" w:id="0">
    <w:p w14:paraId="6C64E42F" w14:textId="77777777" w:rsidR="001E54F4" w:rsidRDefault="001E54F4" w:rsidP="00B4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0713" w14:textId="77777777" w:rsidR="006E070F" w:rsidRDefault="006E070F">
    <w:pPr>
      <w:pStyle w:val="stBilgi"/>
      <w:rPr>
        <w:noProof/>
        <w:lang w:eastAsia="tr-TR"/>
      </w:rPr>
    </w:pPr>
    <w:r>
      <w:rPr>
        <w:noProof/>
        <w:lang w:val="en-US"/>
      </w:rPr>
      <w:drawing>
        <wp:inline distT="0" distB="0" distL="0" distR="0" wp14:anchorId="48E43E45" wp14:editId="7735B0FC">
          <wp:extent cx="2286000" cy="4203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20370"/>
                  </a:xfrm>
                  <a:prstGeom prst="rect">
                    <a:avLst/>
                  </a:prstGeom>
                  <a:noFill/>
                </pic:spPr>
              </pic:pic>
            </a:graphicData>
          </a:graphic>
        </wp:inline>
      </w:drawing>
    </w:r>
    <w:r>
      <w:rPr>
        <w:noProof/>
        <w:lang w:eastAsia="tr-TR"/>
      </w:rPr>
      <w:t xml:space="preserve">                                                                                            </w:t>
    </w:r>
    <w:r>
      <w:rPr>
        <w:noProof/>
        <w:lang w:val="en-US"/>
      </w:rPr>
      <w:drawing>
        <wp:inline distT="0" distB="0" distL="0" distR="0" wp14:anchorId="61D39E2B" wp14:editId="0E67C3BF">
          <wp:extent cx="548640" cy="506095"/>
          <wp:effectExtent l="0" t="0" r="381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06095"/>
                  </a:xfrm>
                  <a:prstGeom prst="rect">
                    <a:avLst/>
                  </a:prstGeom>
                  <a:noFill/>
                </pic:spPr>
              </pic:pic>
            </a:graphicData>
          </a:graphic>
        </wp:inline>
      </w:drawing>
    </w:r>
  </w:p>
  <w:p w14:paraId="2EE56335" w14:textId="77777777" w:rsidR="006E070F" w:rsidRPr="00E645AA" w:rsidRDefault="006E070F" w:rsidP="00E645AA">
    <w:pPr>
      <w:tabs>
        <w:tab w:val="left" w:pos="5200"/>
      </w:tabs>
      <w:jc w:val="both"/>
      <w:rPr>
        <w:rFonts w:ascii="Times New Roman" w:hAnsi="Times New Roman" w:cs="Times New Roman"/>
        <w:b/>
        <w:szCs w:val="16"/>
      </w:rPr>
    </w:pPr>
    <w:proofErr w:type="spellStart"/>
    <w:r w:rsidRPr="00E645AA">
      <w:rPr>
        <w:rFonts w:ascii="Times New Roman" w:hAnsi="Times New Roman" w:cs="Times New Roman"/>
        <w:b/>
        <w:szCs w:val="16"/>
      </w:rPr>
      <w:t>Original</w:t>
    </w:r>
    <w:proofErr w:type="spellEnd"/>
    <w:r w:rsidRPr="00E645AA">
      <w:rPr>
        <w:rFonts w:ascii="Times New Roman" w:hAnsi="Times New Roman" w:cs="Times New Roman"/>
        <w:b/>
        <w:szCs w:val="16"/>
      </w:rPr>
      <w:t xml:space="preserve"> </w:t>
    </w:r>
    <w:proofErr w:type="spellStart"/>
    <w:r w:rsidRPr="00E645AA">
      <w:rPr>
        <w:rFonts w:ascii="Times New Roman" w:hAnsi="Times New Roman" w:cs="Times New Roman"/>
        <w:b/>
        <w:szCs w:val="16"/>
      </w:rPr>
      <w:t>Research</w:t>
    </w:r>
    <w:proofErr w:type="spellEnd"/>
    <w:r w:rsidRPr="00E645AA">
      <w:rPr>
        <w:rFonts w:ascii="Times New Roman" w:hAnsi="Times New Roman" w:cs="Times New Roman"/>
        <w:b/>
        <w:szCs w:val="16"/>
      </w:rPr>
      <w:t xml:space="preserve"> / Özgün Araştırma</w:t>
    </w:r>
    <w:r w:rsidRPr="00E645AA">
      <w:rPr>
        <w:rFonts w:ascii="Times New Roman" w:hAnsi="Times New Roman" w:cs="Times New Roman"/>
        <w:b/>
        <w:szCs w:val="16"/>
      </w:rPr>
      <w:tab/>
    </w:r>
  </w:p>
  <w:p w14:paraId="311BB31C" w14:textId="77777777" w:rsidR="006E070F" w:rsidRDefault="006E070F">
    <w:pPr>
      <w:pStyle w:val="stBilgi"/>
      <w:rPr>
        <w:noProof/>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4BB"/>
    <w:multiLevelType w:val="hybridMultilevel"/>
    <w:tmpl w:val="74D8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A2CE8"/>
    <w:multiLevelType w:val="hybridMultilevel"/>
    <w:tmpl w:val="A9DA8130"/>
    <w:lvl w:ilvl="0" w:tplc="315A932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6C1"/>
    <w:rsid w:val="000D09F6"/>
    <w:rsid w:val="001726C1"/>
    <w:rsid w:val="001A3E8B"/>
    <w:rsid w:val="001E54F4"/>
    <w:rsid w:val="00254796"/>
    <w:rsid w:val="002B7AFE"/>
    <w:rsid w:val="002E7D10"/>
    <w:rsid w:val="00435243"/>
    <w:rsid w:val="00460B9E"/>
    <w:rsid w:val="004E4745"/>
    <w:rsid w:val="00544993"/>
    <w:rsid w:val="005B6DC7"/>
    <w:rsid w:val="005C6C1A"/>
    <w:rsid w:val="00602E4E"/>
    <w:rsid w:val="00666CE8"/>
    <w:rsid w:val="006E070F"/>
    <w:rsid w:val="00732001"/>
    <w:rsid w:val="007C259B"/>
    <w:rsid w:val="00903AB1"/>
    <w:rsid w:val="00A7623F"/>
    <w:rsid w:val="00B46ED4"/>
    <w:rsid w:val="00B9370A"/>
    <w:rsid w:val="00C06075"/>
    <w:rsid w:val="00DC2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2D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26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6C1"/>
    <w:rPr>
      <w:rFonts w:ascii="Tahoma" w:hAnsi="Tahoma" w:cs="Tahoma"/>
      <w:sz w:val="16"/>
      <w:szCs w:val="16"/>
    </w:rPr>
  </w:style>
  <w:style w:type="paragraph" w:styleId="stBilgi">
    <w:name w:val="header"/>
    <w:basedOn w:val="Normal"/>
    <w:link w:val="stBilgiChar"/>
    <w:uiPriority w:val="99"/>
    <w:unhideWhenUsed/>
    <w:rsid w:val="00172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26C1"/>
  </w:style>
  <w:style w:type="character" w:styleId="Kpr">
    <w:name w:val="Hyperlink"/>
    <w:basedOn w:val="VarsaylanParagrafYazTipi"/>
    <w:uiPriority w:val="99"/>
    <w:unhideWhenUsed/>
    <w:rsid w:val="00732001"/>
    <w:rPr>
      <w:color w:val="0000FF" w:themeColor="hyperlink"/>
      <w:u w:val="single"/>
    </w:rPr>
  </w:style>
  <w:style w:type="paragraph" w:styleId="AltBilgi">
    <w:name w:val="footer"/>
    <w:basedOn w:val="Normal"/>
    <w:link w:val="AltBilgiChar"/>
    <w:uiPriority w:val="99"/>
    <w:unhideWhenUsed/>
    <w:rsid w:val="00B4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6ED4"/>
  </w:style>
  <w:style w:type="paragraph" w:styleId="ListeParagraf">
    <w:name w:val="List Paragraph"/>
    <w:basedOn w:val="Normal"/>
    <w:uiPriority w:val="34"/>
    <w:qFormat/>
    <w:rsid w:val="006E070F"/>
    <w:pPr>
      <w:ind w:left="720"/>
      <w:contextualSpacing/>
    </w:pPr>
  </w:style>
  <w:style w:type="character" w:styleId="SayfaNumaras">
    <w:name w:val="page number"/>
    <w:basedOn w:val="VarsaylanParagrafYazTipi"/>
    <w:uiPriority w:val="99"/>
    <w:semiHidden/>
    <w:unhideWhenUsed/>
    <w:rsid w:val="00B9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8353">
      <w:bodyDiv w:val="1"/>
      <w:marLeft w:val="0"/>
      <w:marRight w:val="0"/>
      <w:marTop w:val="0"/>
      <w:marBottom w:val="0"/>
      <w:divBdr>
        <w:top w:val="none" w:sz="0" w:space="0" w:color="auto"/>
        <w:left w:val="none" w:sz="0" w:space="0" w:color="auto"/>
        <w:bottom w:val="none" w:sz="0" w:space="0" w:color="auto"/>
        <w:right w:val="none" w:sz="0" w:space="0" w:color="auto"/>
      </w:divBdr>
    </w:div>
    <w:div w:id="1118449861">
      <w:bodyDiv w:val="1"/>
      <w:marLeft w:val="0"/>
      <w:marRight w:val="0"/>
      <w:marTop w:val="0"/>
      <w:marBottom w:val="0"/>
      <w:divBdr>
        <w:top w:val="none" w:sz="0" w:space="0" w:color="auto"/>
        <w:left w:val="none" w:sz="0" w:space="0" w:color="auto"/>
        <w:bottom w:val="none" w:sz="0" w:space="0" w:color="auto"/>
        <w:right w:val="none" w:sz="0" w:space="0" w:color="auto"/>
      </w:divBdr>
    </w:div>
    <w:div w:id="1123959885">
      <w:bodyDiv w:val="1"/>
      <w:marLeft w:val="0"/>
      <w:marRight w:val="0"/>
      <w:marTop w:val="0"/>
      <w:marBottom w:val="0"/>
      <w:divBdr>
        <w:top w:val="none" w:sz="0" w:space="0" w:color="auto"/>
        <w:left w:val="none" w:sz="0" w:space="0" w:color="auto"/>
        <w:bottom w:val="none" w:sz="0" w:space="0" w:color="auto"/>
        <w:right w:val="none" w:sz="0" w:space="0" w:color="auto"/>
      </w:divBdr>
    </w:div>
    <w:div w:id="1315337620">
      <w:bodyDiv w:val="1"/>
      <w:marLeft w:val="0"/>
      <w:marRight w:val="0"/>
      <w:marTop w:val="0"/>
      <w:marBottom w:val="0"/>
      <w:divBdr>
        <w:top w:val="none" w:sz="0" w:space="0" w:color="auto"/>
        <w:left w:val="none" w:sz="0" w:space="0" w:color="auto"/>
        <w:bottom w:val="none" w:sz="0" w:space="0" w:color="auto"/>
        <w:right w:val="none" w:sz="0" w:space="0" w:color="auto"/>
      </w:divBdr>
    </w:div>
    <w:div w:id="1560435297">
      <w:bodyDiv w:val="1"/>
      <w:marLeft w:val="0"/>
      <w:marRight w:val="0"/>
      <w:marTop w:val="0"/>
      <w:marBottom w:val="0"/>
      <w:divBdr>
        <w:top w:val="none" w:sz="0" w:space="0" w:color="auto"/>
        <w:left w:val="none" w:sz="0" w:space="0" w:color="auto"/>
        <w:bottom w:val="none" w:sz="0" w:space="0" w:color="auto"/>
        <w:right w:val="none" w:sz="0" w:space="0" w:color="auto"/>
      </w:divBdr>
    </w:div>
    <w:div w:id="1672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3100</Words>
  <Characters>17671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Nafiz Bozdemir</cp:lastModifiedBy>
  <cp:revision>7</cp:revision>
  <dcterms:created xsi:type="dcterms:W3CDTF">2019-05-03T17:26:00Z</dcterms:created>
  <dcterms:modified xsi:type="dcterms:W3CDTF">2019-05-23T10:19:00Z</dcterms:modified>
</cp:coreProperties>
</file>