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8EF040" w14:textId="77777777" w:rsidR="005E37D7" w:rsidRDefault="005E37D7"/>
    <w:p w14:paraId="35A3B219" w14:textId="77777777" w:rsidR="007824E9" w:rsidRPr="007824E9" w:rsidRDefault="007824E9" w:rsidP="007824E9">
      <w:pPr>
        <w:tabs>
          <w:tab w:val="center" w:pos="4536"/>
        </w:tabs>
        <w:jc w:val="left"/>
        <w:rPr>
          <w:b/>
          <w:bCs/>
          <w:sz w:val="40"/>
          <w:szCs w:val="40"/>
        </w:rPr>
      </w:pPr>
      <w:r>
        <w:rPr>
          <w:b/>
          <w:bCs/>
          <w:sz w:val="40"/>
          <w:szCs w:val="40"/>
        </w:rPr>
        <w:t>Demographic Features of Fall-Related Trauma in Geriatric Population in t</w:t>
      </w:r>
      <w:r w:rsidRPr="007824E9">
        <w:rPr>
          <w:b/>
          <w:bCs/>
          <w:sz w:val="40"/>
          <w:szCs w:val="40"/>
        </w:rPr>
        <w:t>h</w:t>
      </w:r>
      <w:r>
        <w:rPr>
          <w:b/>
          <w:bCs/>
          <w:sz w:val="40"/>
          <w:szCs w:val="40"/>
        </w:rPr>
        <w:t xml:space="preserve">e Emergency Department: 5 Years </w:t>
      </w:r>
      <w:r w:rsidRPr="007824E9">
        <w:rPr>
          <w:b/>
          <w:bCs/>
          <w:sz w:val="40"/>
          <w:szCs w:val="40"/>
        </w:rPr>
        <w:t>Experience</w:t>
      </w:r>
    </w:p>
    <w:p w14:paraId="63F443D1" w14:textId="77777777" w:rsidR="008F1E26" w:rsidRDefault="008F1E26" w:rsidP="005E37D7">
      <w:pPr>
        <w:tabs>
          <w:tab w:val="center" w:pos="4536"/>
        </w:tabs>
        <w:jc w:val="left"/>
        <w:rPr>
          <w:b/>
          <w:bCs/>
          <w:sz w:val="40"/>
          <w:szCs w:val="40"/>
          <w:lang w:val="tr-TR"/>
        </w:rPr>
      </w:pPr>
    </w:p>
    <w:p w14:paraId="2CDAA7DB" w14:textId="77777777" w:rsidR="00C7078B" w:rsidRPr="008F1E26" w:rsidRDefault="00C7078B" w:rsidP="005E37D7">
      <w:pPr>
        <w:tabs>
          <w:tab w:val="center" w:pos="4536"/>
        </w:tabs>
        <w:jc w:val="left"/>
        <w:rPr>
          <w:b/>
          <w:bCs/>
          <w:sz w:val="40"/>
          <w:szCs w:val="40"/>
          <w:lang w:val="tr-TR"/>
        </w:rPr>
        <w:sectPr w:rsidR="00C7078B" w:rsidRPr="008F1E26" w:rsidSect="005979DA">
          <w:headerReference w:type="default" r:id="rId8"/>
          <w:footerReference w:type="even" r:id="rId9"/>
          <w:footerReference w:type="default" r:id="rId10"/>
          <w:pgSz w:w="12200" w:h="15880"/>
          <w:pgMar w:top="1158" w:right="860" w:bottom="280" w:left="1276" w:header="0" w:footer="354" w:gutter="0"/>
          <w:pgNumType w:start="295"/>
          <w:cols w:space="708"/>
        </w:sectPr>
      </w:pPr>
    </w:p>
    <w:p w14:paraId="5B664ADB" w14:textId="77777777" w:rsidR="008F1E26" w:rsidRPr="005979DA" w:rsidRDefault="007824E9" w:rsidP="008F1E26">
      <w:pPr>
        <w:jc w:val="left"/>
        <w:rPr>
          <w:bCs/>
          <w:spacing w:val="1"/>
          <w:sz w:val="32"/>
          <w:szCs w:val="32"/>
          <w:lang w:val="tr-TR"/>
        </w:rPr>
      </w:pPr>
      <w:r w:rsidRPr="005979DA">
        <w:rPr>
          <w:bCs/>
          <w:spacing w:val="1"/>
          <w:sz w:val="32"/>
          <w:szCs w:val="32"/>
          <w:lang w:val="tr-TR"/>
        </w:rPr>
        <w:t>Acil Servise Düşme Nedenli Travma Nedeniyle Başvuran Yaşlı Populasyonun Demografik Özellikleri: 5 Yıllık Deneyim</w:t>
      </w:r>
    </w:p>
    <w:p w14:paraId="7E52ACA4" w14:textId="77777777" w:rsidR="007824E9" w:rsidRPr="007824E9" w:rsidRDefault="007824E9" w:rsidP="008F1E26">
      <w:pPr>
        <w:jc w:val="left"/>
        <w:rPr>
          <w:bCs/>
          <w:spacing w:val="1"/>
          <w:sz w:val="32"/>
          <w:szCs w:val="32"/>
          <w:lang w:val="tr-TR"/>
        </w:rPr>
      </w:pPr>
    </w:p>
    <w:p w14:paraId="44B5FDCC" w14:textId="77777777" w:rsidR="007824E9" w:rsidRPr="007824E9" w:rsidRDefault="007824E9" w:rsidP="007824E9">
      <w:pPr>
        <w:spacing w:before="29"/>
        <w:ind w:right="3927"/>
        <w:jc w:val="left"/>
        <w:rPr>
          <w:i/>
          <w:spacing w:val="1"/>
          <w:sz w:val="22"/>
          <w:szCs w:val="22"/>
        </w:rPr>
      </w:pPr>
      <w:r w:rsidRPr="007824E9">
        <w:rPr>
          <w:i/>
          <w:spacing w:val="1"/>
          <w:sz w:val="22"/>
          <w:szCs w:val="22"/>
        </w:rPr>
        <w:t xml:space="preserve">Erdem </w:t>
      </w:r>
      <w:r w:rsidR="008674F2" w:rsidRPr="007824E9">
        <w:rPr>
          <w:i/>
          <w:spacing w:val="1"/>
          <w:sz w:val="22"/>
          <w:szCs w:val="22"/>
        </w:rPr>
        <w:t>Türkseven</w:t>
      </w:r>
      <w:r w:rsidRPr="007824E9">
        <w:rPr>
          <w:i/>
          <w:spacing w:val="1"/>
          <w:sz w:val="22"/>
          <w:szCs w:val="22"/>
          <w:vertAlign w:val="superscript"/>
        </w:rPr>
        <w:t>1</w:t>
      </w:r>
      <w:r>
        <w:rPr>
          <w:i/>
          <w:spacing w:val="1"/>
          <w:sz w:val="22"/>
          <w:szCs w:val="22"/>
        </w:rPr>
        <w:t xml:space="preserve">, Can </w:t>
      </w:r>
      <w:r w:rsidR="008674F2">
        <w:rPr>
          <w:i/>
          <w:spacing w:val="1"/>
          <w:sz w:val="22"/>
          <w:szCs w:val="22"/>
        </w:rPr>
        <w:t>Öner</w:t>
      </w:r>
      <w:r w:rsidRPr="007824E9">
        <w:rPr>
          <w:i/>
          <w:spacing w:val="1"/>
          <w:sz w:val="22"/>
          <w:szCs w:val="22"/>
          <w:vertAlign w:val="superscript"/>
        </w:rPr>
        <w:t>1</w:t>
      </w:r>
      <w:r>
        <w:rPr>
          <w:i/>
          <w:spacing w:val="1"/>
          <w:sz w:val="22"/>
          <w:szCs w:val="22"/>
          <w:vertAlign w:val="superscript"/>
        </w:rPr>
        <w:t>*</w:t>
      </w:r>
      <w:r w:rsidRPr="007824E9">
        <w:rPr>
          <w:i/>
          <w:spacing w:val="1"/>
          <w:sz w:val="22"/>
          <w:szCs w:val="22"/>
        </w:rPr>
        <w:t>, Engin Ersin Ş</w:t>
      </w:r>
      <w:r w:rsidR="008674F2" w:rsidRPr="007824E9">
        <w:rPr>
          <w:i/>
          <w:spacing w:val="1"/>
          <w:sz w:val="22"/>
          <w:szCs w:val="22"/>
        </w:rPr>
        <w:t>imşek</w:t>
      </w:r>
      <w:r w:rsidRPr="007824E9">
        <w:rPr>
          <w:i/>
          <w:spacing w:val="1"/>
          <w:sz w:val="22"/>
          <w:szCs w:val="22"/>
          <w:vertAlign w:val="superscript"/>
        </w:rPr>
        <w:t>1</w:t>
      </w:r>
      <w:r w:rsidRPr="007824E9">
        <w:rPr>
          <w:i/>
          <w:spacing w:val="1"/>
          <w:sz w:val="22"/>
          <w:szCs w:val="22"/>
        </w:rPr>
        <w:t xml:space="preserve"> </w:t>
      </w:r>
    </w:p>
    <w:p w14:paraId="14D65C72" w14:textId="77777777" w:rsidR="008F1E26" w:rsidRPr="00D8553C" w:rsidRDefault="008F1E26" w:rsidP="005E37D7">
      <w:pPr>
        <w:spacing w:before="29"/>
        <w:ind w:right="3927"/>
        <w:jc w:val="left"/>
        <w:rPr>
          <w:b/>
          <w:noProof/>
          <w:sz w:val="22"/>
          <w:szCs w:val="22"/>
          <w:lang w:val="tr-TR" w:eastAsia="tr-TR"/>
        </w:rPr>
      </w:pPr>
    </w:p>
    <w:p w14:paraId="7EA53303" w14:textId="77777777" w:rsidR="005E37D7" w:rsidRPr="005E37D7" w:rsidRDefault="005E37D7" w:rsidP="005E37D7">
      <w:pPr>
        <w:rPr>
          <w:b/>
          <w:lang w:val="tr-TR"/>
        </w:rPr>
      </w:pPr>
      <w:r w:rsidRPr="005E37D7">
        <w:rPr>
          <w:b/>
          <w:lang w:val="tr-TR"/>
        </w:rPr>
        <w:t>ABSTRACT</w:t>
      </w:r>
    </w:p>
    <w:p w14:paraId="22A303BC" w14:textId="77777777" w:rsidR="005E37D7" w:rsidRPr="00B45637" w:rsidRDefault="005E37D7" w:rsidP="005E37D7">
      <w:pPr>
        <w:rPr>
          <w:b/>
          <w:sz w:val="18"/>
          <w:lang w:val="tr-TR"/>
        </w:rPr>
      </w:pPr>
    </w:p>
    <w:p w14:paraId="62D310B2" w14:textId="77777777" w:rsidR="008F1E26" w:rsidRPr="007824E9" w:rsidRDefault="007824E9" w:rsidP="008F1E26">
      <w:pPr>
        <w:rPr>
          <w:sz w:val="18"/>
          <w:szCs w:val="18"/>
        </w:rPr>
      </w:pPr>
      <w:r w:rsidRPr="007824E9">
        <w:rPr>
          <w:b/>
          <w:sz w:val="18"/>
          <w:szCs w:val="18"/>
        </w:rPr>
        <w:t xml:space="preserve">Introduction: </w:t>
      </w:r>
      <w:r w:rsidRPr="007824E9">
        <w:rPr>
          <w:sz w:val="18"/>
          <w:szCs w:val="18"/>
        </w:rPr>
        <w:t>Life expectancy increases throughout the world and it was estimated that in 2020 nearly 12% of the Turkish population will be categorized as elderly. Trauma, especially falls are important cause of admission to emergency departments for elderly. This study evaluates the demographical profile of fall-related emergency admissions of elderly for 5 years.</w:t>
      </w:r>
      <w:r>
        <w:rPr>
          <w:sz w:val="18"/>
          <w:szCs w:val="18"/>
        </w:rPr>
        <w:t xml:space="preserve"> </w:t>
      </w:r>
      <w:r w:rsidRPr="007824E9">
        <w:rPr>
          <w:b/>
          <w:sz w:val="18"/>
          <w:szCs w:val="18"/>
        </w:rPr>
        <w:t xml:space="preserve">Method: </w:t>
      </w:r>
      <w:r w:rsidRPr="007824E9">
        <w:rPr>
          <w:sz w:val="18"/>
          <w:szCs w:val="18"/>
        </w:rPr>
        <w:t>This study is a retrospective cross-sectional study, carried out in elderly patients (≥65 years) admitted to the emergency department between January 2013 to 31 December 2017. A fall is defined as a situation coded as E880-E888 in ICD9 and W00-W19 in ICD 10 in an electronic database. 460 admissions met these inclusion criteria. All of the demographical data were obtained from hospital reco</w:t>
      </w:r>
      <w:r>
        <w:rPr>
          <w:sz w:val="18"/>
          <w:szCs w:val="18"/>
        </w:rPr>
        <w:t xml:space="preserve">rds. </w:t>
      </w:r>
      <w:r w:rsidRPr="007824E9">
        <w:rPr>
          <w:b/>
          <w:sz w:val="18"/>
          <w:szCs w:val="18"/>
        </w:rPr>
        <w:t xml:space="preserve">Results: </w:t>
      </w:r>
      <w:r w:rsidRPr="007824E9">
        <w:rPr>
          <w:sz w:val="18"/>
          <w:szCs w:val="18"/>
        </w:rPr>
        <w:t>The rate of emergency admission due to fall related trauma was %1.3 and this rate increase up to 11.84% in older patients group. The mean age of the group was 74.8±7.5 years, and most of the patients have at least one underlying disease. Most of the falls take place outside from home, summer and daytime. Only 1 death occurred</w:t>
      </w:r>
      <w:r>
        <w:rPr>
          <w:sz w:val="18"/>
          <w:szCs w:val="18"/>
        </w:rPr>
        <w:t xml:space="preserve"> due to falls. </w:t>
      </w:r>
      <w:r w:rsidRPr="007824E9">
        <w:rPr>
          <w:b/>
          <w:sz w:val="18"/>
          <w:szCs w:val="18"/>
        </w:rPr>
        <w:t xml:space="preserve">Conclusion: </w:t>
      </w:r>
      <w:r w:rsidRPr="007824E9">
        <w:rPr>
          <w:sz w:val="18"/>
          <w:szCs w:val="18"/>
        </w:rPr>
        <w:t xml:space="preserve">Falls and related injuries are an important public health problem due to growing elderly population. In conclusion, nearly 1 in 6 elderly admitted to the emergency department due to falls, and this rate is expected to increase. Preventive measures must be taken to reduce these falls and related injuries and epidemiological data should be gathered regularly and methodologically.  </w:t>
      </w:r>
    </w:p>
    <w:p w14:paraId="56346EDB" w14:textId="77777777" w:rsidR="008F1E26" w:rsidRDefault="008F1E26" w:rsidP="008F1E26">
      <w:pPr>
        <w:rPr>
          <w:b/>
          <w:sz w:val="18"/>
          <w:szCs w:val="18"/>
        </w:rPr>
      </w:pPr>
    </w:p>
    <w:p w14:paraId="348D9A81" w14:textId="77777777" w:rsidR="007824E9" w:rsidRPr="007824E9" w:rsidRDefault="007824E9" w:rsidP="008F1E26">
      <w:pPr>
        <w:rPr>
          <w:b/>
          <w:sz w:val="18"/>
          <w:szCs w:val="18"/>
        </w:rPr>
      </w:pPr>
    </w:p>
    <w:p w14:paraId="376D23A0" w14:textId="77777777" w:rsidR="008F1E26" w:rsidRPr="007824E9" w:rsidRDefault="008F1E26" w:rsidP="008F1E26">
      <w:pPr>
        <w:rPr>
          <w:sz w:val="18"/>
          <w:szCs w:val="18"/>
        </w:rPr>
      </w:pPr>
      <w:r w:rsidRPr="007824E9">
        <w:rPr>
          <w:b/>
          <w:sz w:val="18"/>
          <w:szCs w:val="18"/>
        </w:rPr>
        <w:t>Key words:</w:t>
      </w:r>
      <w:r w:rsidRPr="007824E9">
        <w:rPr>
          <w:sz w:val="18"/>
          <w:szCs w:val="18"/>
        </w:rPr>
        <w:t xml:space="preserve"> </w:t>
      </w:r>
      <w:r w:rsidR="007824E9" w:rsidRPr="007824E9">
        <w:rPr>
          <w:sz w:val="18"/>
          <w:szCs w:val="18"/>
        </w:rPr>
        <w:t>Falls, trauma, elderly</w:t>
      </w:r>
    </w:p>
    <w:p w14:paraId="70FC8604" w14:textId="77777777" w:rsidR="005E37D7" w:rsidRPr="007824E9" w:rsidRDefault="005E37D7" w:rsidP="005E37D7">
      <w:pPr>
        <w:rPr>
          <w:b/>
        </w:rPr>
      </w:pPr>
    </w:p>
    <w:p w14:paraId="22AE3FF1" w14:textId="77777777" w:rsidR="005E37D7" w:rsidRDefault="005E37D7" w:rsidP="005E37D7">
      <w:pPr>
        <w:rPr>
          <w:b/>
          <w:lang w:val="tr-TR"/>
        </w:rPr>
      </w:pPr>
      <w:r w:rsidRPr="005E37D7">
        <w:rPr>
          <w:b/>
          <w:lang w:val="tr-TR"/>
        </w:rPr>
        <w:t>ÖZET</w:t>
      </w:r>
    </w:p>
    <w:p w14:paraId="11D7B707" w14:textId="77777777" w:rsidR="00D56100" w:rsidRDefault="00D56100" w:rsidP="005E37D7">
      <w:pPr>
        <w:rPr>
          <w:b/>
          <w:lang w:val="tr-TR"/>
        </w:rPr>
      </w:pPr>
    </w:p>
    <w:p w14:paraId="1B953D0B" w14:textId="77777777" w:rsidR="007824E9" w:rsidRPr="005979DA" w:rsidRDefault="007824E9" w:rsidP="007824E9">
      <w:pPr>
        <w:rPr>
          <w:sz w:val="18"/>
          <w:szCs w:val="18"/>
          <w:lang w:val="tr-TR"/>
        </w:rPr>
      </w:pPr>
      <w:r w:rsidRPr="005979DA">
        <w:rPr>
          <w:b/>
          <w:sz w:val="18"/>
          <w:szCs w:val="18"/>
          <w:lang w:val="tr-TR"/>
        </w:rPr>
        <w:t xml:space="preserve">Giriş: </w:t>
      </w:r>
      <w:r w:rsidRPr="005979DA">
        <w:rPr>
          <w:sz w:val="18"/>
          <w:szCs w:val="18"/>
          <w:lang w:val="tr-TR"/>
        </w:rPr>
        <w:t xml:space="preserve">Yaşam beklentisi tüm dünyada artmaktadır, 2020 yılında Türk toplumunda yaşlı oranının %12 civarında olacağı tahmin edilmektedir. Travmalar özellikle düşmeler yaşlı bireylerin acil servise başvuruları için önemli bir nedendir. Bu çalışmada 5 yıl boyunca acil servise düşme nedenli olarak başvuran yaşlıların demografik özellikleri değerlendirilmiştir. </w:t>
      </w:r>
      <w:r w:rsidRPr="005979DA">
        <w:rPr>
          <w:b/>
          <w:sz w:val="18"/>
          <w:szCs w:val="18"/>
          <w:lang w:val="tr-TR"/>
        </w:rPr>
        <w:t xml:space="preserve">Yöntem: </w:t>
      </w:r>
      <w:r w:rsidRPr="005979DA">
        <w:rPr>
          <w:sz w:val="18"/>
          <w:szCs w:val="18"/>
          <w:lang w:val="tr-TR"/>
        </w:rPr>
        <w:t xml:space="preserve">Mevcut geriye dönük kesitsel çalışma Ocak 2013-Aralık 2017 tarihleri arasında acil servise başvuran yaşlılar (≥65 yaş) ile yürütülmüştür. Çalışmada düşme elektronik veri tabanına ICD 9 kodlarına göre E880-E888 ve ICD 10 kodlarına göre W00-W19 arasında kodlanan tanılar olarak kabul edilmiştir. Veri tabanından elde edilen 460 hasta çalışmanın örneklemini oluşturmuştur. Tüm demografik veriler hastane kayıtlarından elde edilmiştir. </w:t>
      </w:r>
      <w:r w:rsidRPr="005979DA">
        <w:rPr>
          <w:b/>
          <w:sz w:val="18"/>
          <w:szCs w:val="18"/>
          <w:lang w:val="tr-TR"/>
        </w:rPr>
        <w:t xml:space="preserve">Bulgular: </w:t>
      </w:r>
      <w:r w:rsidRPr="005979DA">
        <w:rPr>
          <w:sz w:val="18"/>
          <w:szCs w:val="18"/>
          <w:lang w:val="tr-TR"/>
        </w:rPr>
        <w:t xml:space="preserve">Acil servise başvurular içinde sadece %1,3 yer tutan travma olgularının oranı yaşlı hasta grubunda %11,84’e yükselmektedir. Grubun yaş ortalaması 74,8±7,4 yıldır, hastaların çoğunda altta yatan bir hastalık bulunmaktadır. Düşmelerin büyük çoğunluğu ev dışında, yaz mevsiminde ve gündüz gerçekleşmiştir. Düşme nedenli sadece 1 ölüm gerçekleşmiştir. </w:t>
      </w:r>
      <w:r w:rsidRPr="005979DA">
        <w:rPr>
          <w:b/>
          <w:sz w:val="18"/>
          <w:szCs w:val="18"/>
          <w:lang w:val="tr-TR"/>
        </w:rPr>
        <w:t xml:space="preserve">Sonuç: </w:t>
      </w:r>
      <w:r w:rsidRPr="005979DA">
        <w:rPr>
          <w:sz w:val="18"/>
          <w:szCs w:val="18"/>
          <w:lang w:val="tr-TR"/>
        </w:rPr>
        <w:t>Düşme ve ilişkili yaralanmalar artan yaşlı nüfus nedeni ile önemli bir halk sağlığı sorunu olarak karşımıza çıkmaktadır. Sonuç olarak her 6 yaşlıdan 1’i düşme nedenli olarak acil servise başvurmaktadır, bu oranların artacağı düşünülmektedir. Düşme oranlarını azaltıcı önleyici önlemlerin alınması ve sistemli ve düzenli olarak epidemiyolojik verilerin toplanması yararlıdır.</w:t>
      </w:r>
    </w:p>
    <w:p w14:paraId="47539CFF" w14:textId="77777777" w:rsidR="008F1E26" w:rsidRPr="00944156" w:rsidRDefault="008F1E26" w:rsidP="008F1E26">
      <w:pPr>
        <w:rPr>
          <w:sz w:val="18"/>
          <w:szCs w:val="18"/>
          <w:lang w:val="tr-TR"/>
        </w:rPr>
      </w:pPr>
    </w:p>
    <w:p w14:paraId="6DBABFD8" w14:textId="77777777" w:rsidR="008F1E26" w:rsidRPr="00C7078B" w:rsidRDefault="008F1E26" w:rsidP="008F1E26">
      <w:pPr>
        <w:rPr>
          <w:b/>
          <w:sz w:val="18"/>
          <w:szCs w:val="18"/>
          <w:lang w:val="tr-TR"/>
        </w:rPr>
      </w:pPr>
    </w:p>
    <w:p w14:paraId="305EC02C" w14:textId="77777777" w:rsidR="008F1E26" w:rsidRPr="00C7078B" w:rsidRDefault="008F1E26" w:rsidP="008F1E26">
      <w:pPr>
        <w:rPr>
          <w:sz w:val="18"/>
          <w:szCs w:val="18"/>
          <w:lang w:val="tr-TR"/>
        </w:rPr>
      </w:pPr>
      <w:r w:rsidRPr="00C7078B">
        <w:rPr>
          <w:b/>
          <w:sz w:val="18"/>
          <w:szCs w:val="18"/>
          <w:lang w:val="tr-TR"/>
        </w:rPr>
        <w:t xml:space="preserve">Anahtar </w:t>
      </w:r>
      <w:r w:rsidR="00D52325">
        <w:rPr>
          <w:b/>
          <w:sz w:val="18"/>
          <w:szCs w:val="18"/>
          <w:lang w:val="tr-TR"/>
        </w:rPr>
        <w:t>kelimeler</w:t>
      </w:r>
      <w:r w:rsidRPr="00C7078B">
        <w:rPr>
          <w:b/>
          <w:sz w:val="18"/>
          <w:szCs w:val="18"/>
          <w:lang w:val="tr-TR"/>
        </w:rPr>
        <w:t xml:space="preserve">: </w:t>
      </w:r>
      <w:r w:rsidR="007824E9">
        <w:rPr>
          <w:sz w:val="18"/>
          <w:szCs w:val="18"/>
          <w:lang w:val="tr-TR"/>
        </w:rPr>
        <w:t>Düşme, travma, yaşlı</w:t>
      </w:r>
    </w:p>
    <w:p w14:paraId="3DFF37D1" w14:textId="77777777" w:rsidR="005E37D7" w:rsidRDefault="005E37D7" w:rsidP="005E37D7">
      <w:pPr>
        <w:jc w:val="left"/>
        <w:rPr>
          <w:b/>
          <w:sz w:val="16"/>
          <w:szCs w:val="16"/>
        </w:rPr>
      </w:pPr>
      <w:r w:rsidRPr="00C23B91">
        <w:rPr>
          <w:noProof/>
        </w:rPr>
        <mc:AlternateContent>
          <mc:Choice Requires="wps">
            <w:drawing>
              <wp:anchor distT="0" distB="0" distL="114300" distR="114300" simplePos="0" relativeHeight="251659264" behindDoc="0" locked="0" layoutInCell="1" allowOverlap="1" wp14:anchorId="5981D0C6" wp14:editId="64331791">
                <wp:simplePos x="0" y="0"/>
                <wp:positionH relativeFrom="column">
                  <wp:posOffset>8890</wp:posOffset>
                </wp:positionH>
                <wp:positionV relativeFrom="paragraph">
                  <wp:posOffset>24765</wp:posOffset>
                </wp:positionV>
                <wp:extent cx="6438900" cy="635"/>
                <wp:effectExtent l="0" t="0" r="0" b="18415"/>
                <wp:wrapNone/>
                <wp:docPr id="6"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38900" cy="635"/>
                        </a:xfrm>
                        <a:prstGeom prst="straightConnector1">
                          <a:avLst/>
                        </a:prstGeom>
                        <a:noFill/>
                        <a:ln w="9525">
                          <a:solidFill>
                            <a:srgbClr val="19699B"/>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type w14:anchorId="7DCEB160" id="_x0000_t32" coordsize="21600,21600" o:spt="32" o:oned="t" path="m0,0l21600,21600e" filled="f">
                <v:path arrowok="t" fillok="f" o:connecttype="none"/>
                <o:lock v:ext="edit" shapetype="t"/>
              </v:shapetype>
              <v:shape id="AutoShape 20" o:spid="_x0000_s1026" type="#_x0000_t32" style="position:absolute;margin-left:.7pt;margin-top:1.95pt;width:507pt;height:.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" strokecolor="#19699b"/>
            </w:pict>
          </mc:Fallback>
        </mc:AlternateContent>
      </w:r>
    </w:p>
    <w:p w14:paraId="030D32FB" w14:textId="77777777" w:rsidR="005E37D7" w:rsidRPr="00D56100" w:rsidRDefault="005E37D7" w:rsidP="005E37D7">
      <w:pPr>
        <w:jc w:val="left"/>
        <w:rPr>
          <w:b/>
          <w:sz w:val="16"/>
          <w:szCs w:val="16"/>
        </w:rPr>
      </w:pPr>
      <w:r w:rsidRPr="00D56100">
        <w:rPr>
          <w:b/>
          <w:sz w:val="16"/>
          <w:szCs w:val="16"/>
        </w:rPr>
        <w:t>Received / Geliş tarihi:</w:t>
      </w:r>
      <w:r w:rsidR="008F1E26">
        <w:rPr>
          <w:sz w:val="16"/>
          <w:szCs w:val="16"/>
        </w:rPr>
        <w:t xml:space="preserve"> 18</w:t>
      </w:r>
      <w:r w:rsidRPr="00D56100">
        <w:rPr>
          <w:sz w:val="16"/>
          <w:szCs w:val="16"/>
        </w:rPr>
        <w:t>.</w:t>
      </w:r>
      <w:r w:rsidR="008F1E26">
        <w:rPr>
          <w:sz w:val="16"/>
          <w:szCs w:val="16"/>
        </w:rPr>
        <w:t>10.2018</w:t>
      </w:r>
      <w:r w:rsidRPr="00D56100">
        <w:rPr>
          <w:sz w:val="16"/>
          <w:szCs w:val="16"/>
        </w:rPr>
        <w:t xml:space="preserve">, </w:t>
      </w:r>
      <w:r w:rsidRPr="00D56100">
        <w:rPr>
          <w:b/>
          <w:sz w:val="16"/>
          <w:szCs w:val="16"/>
        </w:rPr>
        <w:t>Accepted / Kabul tarihi:</w:t>
      </w:r>
      <w:r w:rsidR="00E4327E">
        <w:rPr>
          <w:sz w:val="16"/>
          <w:szCs w:val="16"/>
        </w:rPr>
        <w:t xml:space="preserve"> 28</w:t>
      </w:r>
      <w:r w:rsidR="008F1E26">
        <w:rPr>
          <w:sz w:val="16"/>
          <w:szCs w:val="16"/>
        </w:rPr>
        <w:t>.05.2019</w:t>
      </w:r>
      <w:r w:rsidRPr="00D56100">
        <w:rPr>
          <w:sz w:val="16"/>
          <w:szCs w:val="16"/>
        </w:rPr>
        <w:t xml:space="preserve"> </w:t>
      </w:r>
    </w:p>
    <w:p w14:paraId="2C6989CC" w14:textId="77777777" w:rsidR="0038372D" w:rsidRPr="00E4327E" w:rsidRDefault="005E37D7" w:rsidP="005E37D7">
      <w:pPr>
        <w:rPr>
          <w:iCs/>
          <w:spacing w:val="1"/>
          <w:w w:val="108"/>
          <w:sz w:val="16"/>
          <w:szCs w:val="16"/>
        </w:rPr>
      </w:pPr>
      <w:r w:rsidRPr="00D56100">
        <w:rPr>
          <w:spacing w:val="1"/>
          <w:w w:val="108"/>
          <w:sz w:val="16"/>
          <w:szCs w:val="16"/>
          <w:vertAlign w:val="superscript"/>
        </w:rPr>
        <w:t>1</w:t>
      </w:r>
      <w:r w:rsidR="0038372D">
        <w:rPr>
          <w:rFonts w:ascii="Verdana" w:hAnsi="Verdana"/>
          <w:color w:val="000000"/>
          <w:sz w:val="18"/>
          <w:szCs w:val="18"/>
          <w:shd w:val="clear" w:color="auto" w:fill="FEFEFE"/>
        </w:rPr>
        <w:t xml:space="preserve"> </w:t>
      </w:r>
      <w:r w:rsidR="00E4327E" w:rsidRPr="00E4327E">
        <w:rPr>
          <w:iCs/>
          <w:spacing w:val="1"/>
          <w:w w:val="108"/>
          <w:sz w:val="16"/>
          <w:szCs w:val="16"/>
        </w:rPr>
        <w:t>Kartal Dr Lütfi Kırdar Eğitim Araştırma Hastanesi</w:t>
      </w:r>
      <w:r w:rsidR="00E4327E">
        <w:rPr>
          <w:iCs/>
          <w:spacing w:val="1"/>
          <w:w w:val="108"/>
          <w:sz w:val="16"/>
          <w:szCs w:val="16"/>
        </w:rPr>
        <w:t xml:space="preserve"> Aile Hekimliği Kliniği, İSTANBUL</w:t>
      </w:r>
    </w:p>
    <w:p w14:paraId="67D81CF1" w14:textId="77777777" w:rsidR="005E37D7" w:rsidRPr="00E4327E" w:rsidRDefault="005E37D7" w:rsidP="005E37D7">
      <w:pPr>
        <w:rPr>
          <w:bCs/>
          <w:sz w:val="16"/>
          <w:szCs w:val="16"/>
        </w:rPr>
      </w:pPr>
      <w:r w:rsidRPr="00D56100">
        <w:rPr>
          <w:sz w:val="16"/>
          <w:szCs w:val="16"/>
        </w:rPr>
        <w:t>*</w:t>
      </w:r>
      <w:r w:rsidRPr="00D56100">
        <w:rPr>
          <w:b/>
          <w:sz w:val="16"/>
          <w:szCs w:val="16"/>
        </w:rPr>
        <w:t>Address for Correspondence / Yazışma Adresi:</w:t>
      </w:r>
      <w:r w:rsidRPr="00D56100">
        <w:rPr>
          <w:sz w:val="16"/>
          <w:szCs w:val="16"/>
        </w:rPr>
        <w:t xml:space="preserve"> </w:t>
      </w:r>
      <w:r w:rsidR="008006B6">
        <w:rPr>
          <w:sz w:val="16"/>
          <w:szCs w:val="16"/>
        </w:rPr>
        <w:t xml:space="preserve">Oner C. </w:t>
      </w:r>
      <w:r w:rsidR="00E4327E" w:rsidRPr="00E4327E">
        <w:rPr>
          <w:bCs/>
          <w:sz w:val="16"/>
          <w:szCs w:val="16"/>
        </w:rPr>
        <w:t>Dr Lutfi Kırdar  Kartal Eğitim ve Araştırma Hastanesi Büyükada Ek Hizmet Binası</w:t>
      </w:r>
      <w:r w:rsidR="00E4327E">
        <w:rPr>
          <w:bCs/>
          <w:sz w:val="16"/>
          <w:szCs w:val="16"/>
        </w:rPr>
        <w:t xml:space="preserve"> Lalahatun Cad No 42, Büyükada-İSTANBUL-TÜRKİYE</w:t>
      </w:r>
      <w:r w:rsidRPr="00D56100">
        <w:rPr>
          <w:sz w:val="16"/>
          <w:szCs w:val="16"/>
        </w:rPr>
        <w:t xml:space="preserve">, </w:t>
      </w:r>
      <w:r w:rsidRPr="00D56100">
        <w:rPr>
          <w:sz w:val="16"/>
          <w:szCs w:val="16"/>
          <w:lang w:val="tr-TR"/>
        </w:rPr>
        <w:t>E-mail:</w:t>
      </w:r>
      <w:r w:rsidR="00C7078B">
        <w:t xml:space="preserve"> </w:t>
      </w:r>
      <w:r w:rsidR="00E4327E" w:rsidRPr="00E4327E">
        <w:rPr>
          <w:bCs/>
          <w:sz w:val="16"/>
          <w:szCs w:val="16"/>
        </w:rPr>
        <w:t>trcanoner@yahoo.com</w:t>
      </w:r>
    </w:p>
    <w:p w14:paraId="68DB457B" w14:textId="77777777" w:rsidR="00892784" w:rsidRPr="00892784" w:rsidRDefault="00892784" w:rsidP="005E37D7">
      <w:pPr>
        <w:rPr>
          <w:sz w:val="16"/>
          <w:szCs w:val="16"/>
        </w:rPr>
      </w:pPr>
    </w:p>
    <w:p w14:paraId="3F056A28" w14:textId="771BDB96" w:rsidR="005E37D7" w:rsidRPr="00E4327E" w:rsidRDefault="008006B6" w:rsidP="00C7078B">
      <w:pPr>
        <w:pStyle w:val="stBilgi"/>
        <w:rPr>
          <w:bCs/>
          <w:sz w:val="16"/>
          <w:szCs w:val="16"/>
        </w:rPr>
      </w:pPr>
      <w:r>
        <w:rPr>
          <w:sz w:val="16"/>
          <w:szCs w:val="16"/>
        </w:rPr>
        <w:t>Türkseven E, Oner C, Şimşek E</w:t>
      </w:r>
      <w:r w:rsidR="00E4327E">
        <w:rPr>
          <w:sz w:val="16"/>
          <w:szCs w:val="16"/>
        </w:rPr>
        <w:t>E</w:t>
      </w:r>
      <w:r w:rsidR="00D52325">
        <w:rPr>
          <w:sz w:val="16"/>
          <w:szCs w:val="16"/>
        </w:rPr>
        <w:t>.</w:t>
      </w:r>
      <w:r w:rsidR="0008515E">
        <w:rPr>
          <w:sz w:val="16"/>
          <w:szCs w:val="16"/>
        </w:rPr>
        <w:t xml:space="preserve"> </w:t>
      </w:r>
      <w:r w:rsidR="00E4327E" w:rsidRPr="00E4327E">
        <w:rPr>
          <w:bCs/>
          <w:sz w:val="16"/>
          <w:szCs w:val="16"/>
        </w:rPr>
        <w:t>Demographic Features of Fall-Related Trauma in Geriatric Population in the Emergency Department: 5 Years Experience</w:t>
      </w:r>
      <w:r w:rsidR="00C3514A">
        <w:rPr>
          <w:sz w:val="16"/>
          <w:szCs w:val="16"/>
        </w:rPr>
        <w:t xml:space="preserve">. </w:t>
      </w:r>
      <w:r w:rsidR="00747054">
        <w:rPr>
          <w:sz w:val="16"/>
          <w:szCs w:val="16"/>
        </w:rPr>
        <w:t>TJFMPC, 2019</w:t>
      </w:r>
      <w:r w:rsidR="00747054">
        <w:rPr>
          <w:iCs/>
          <w:sz w:val="16"/>
          <w:szCs w:val="16"/>
          <w:lang w:val="tr-TR"/>
        </w:rPr>
        <w:t>;13</w:t>
      </w:r>
      <w:r w:rsidR="0008515E">
        <w:rPr>
          <w:iCs/>
          <w:sz w:val="16"/>
          <w:szCs w:val="16"/>
          <w:lang w:val="tr-TR"/>
        </w:rPr>
        <w:t xml:space="preserve"> </w:t>
      </w:r>
      <w:r w:rsidR="00747054">
        <w:rPr>
          <w:iCs/>
          <w:sz w:val="16"/>
          <w:szCs w:val="16"/>
          <w:lang w:val="tr-TR"/>
        </w:rPr>
        <w:t>(</w:t>
      </w:r>
      <w:r w:rsidR="00D52325">
        <w:rPr>
          <w:iCs/>
          <w:sz w:val="16"/>
          <w:szCs w:val="16"/>
          <w:lang w:val="tr-TR"/>
        </w:rPr>
        <w:t>3</w:t>
      </w:r>
      <w:r w:rsidR="005E37D7" w:rsidRPr="00D56100">
        <w:rPr>
          <w:iCs/>
          <w:sz w:val="16"/>
          <w:szCs w:val="16"/>
          <w:lang w:val="tr-TR"/>
        </w:rPr>
        <w:t xml:space="preserve">): </w:t>
      </w:r>
      <w:r w:rsidR="005979DA">
        <w:rPr>
          <w:iCs/>
          <w:sz w:val="16"/>
          <w:szCs w:val="16"/>
          <w:lang w:val="tr-TR"/>
        </w:rPr>
        <w:t>295</w:t>
      </w:r>
      <w:r w:rsidR="005E37D7" w:rsidRPr="00D56100">
        <w:rPr>
          <w:iCs/>
          <w:sz w:val="16"/>
          <w:szCs w:val="16"/>
          <w:lang w:val="tr-TR"/>
        </w:rPr>
        <w:t>-</w:t>
      </w:r>
      <w:r w:rsidR="005979DA">
        <w:rPr>
          <w:iCs/>
          <w:sz w:val="16"/>
          <w:szCs w:val="16"/>
          <w:lang w:val="tr-TR"/>
        </w:rPr>
        <w:t>299</w:t>
      </w:r>
      <w:bookmarkStart w:id="0" w:name="_GoBack"/>
      <w:bookmarkEnd w:id="0"/>
      <w:r w:rsidR="005E37D7" w:rsidRPr="00D56100">
        <w:rPr>
          <w:iCs/>
          <w:sz w:val="16"/>
          <w:szCs w:val="16"/>
          <w:lang w:val="tr-TR"/>
        </w:rPr>
        <w:t>.</w:t>
      </w:r>
      <w:r w:rsidR="005E37D7" w:rsidRPr="00D56100">
        <w:rPr>
          <w:b/>
          <w:iCs/>
          <w:sz w:val="16"/>
          <w:szCs w:val="16"/>
          <w:lang w:val="tr-TR"/>
        </w:rPr>
        <w:t xml:space="preserve"> </w:t>
      </w:r>
    </w:p>
    <w:p w14:paraId="4DC65EA4" w14:textId="77777777" w:rsidR="00892784" w:rsidRPr="00D56100" w:rsidRDefault="00892784" w:rsidP="005E37D7">
      <w:pPr>
        <w:pStyle w:val="stBilgi"/>
        <w:jc w:val="left"/>
        <w:rPr>
          <w:b/>
          <w:iCs/>
          <w:sz w:val="16"/>
          <w:szCs w:val="16"/>
          <w:lang w:val="tr-TR"/>
        </w:rPr>
      </w:pPr>
    </w:p>
    <w:p w14:paraId="4E2998D0" w14:textId="77777777" w:rsidR="00D52325" w:rsidRDefault="00D56100" w:rsidP="00C3514A">
      <w:pPr>
        <w:pStyle w:val="stBilgi"/>
        <w:rPr>
          <w:b/>
          <w:sz w:val="16"/>
          <w:szCs w:val="16"/>
        </w:rPr>
      </w:pPr>
      <w:r>
        <w:rPr>
          <w:b/>
          <w:sz w:val="16"/>
          <w:szCs w:val="16"/>
        </w:rPr>
        <w:t>DOI</w:t>
      </w:r>
      <w:r w:rsidR="008B1E0C">
        <w:rPr>
          <w:b/>
          <w:sz w:val="16"/>
          <w:szCs w:val="16"/>
        </w:rPr>
        <w:t>:</w:t>
      </w:r>
      <w:r>
        <w:rPr>
          <w:lang w:val="tr-TR"/>
        </w:rPr>
        <w:tab/>
      </w:r>
    </w:p>
    <w:p w14:paraId="2CD8383C" w14:textId="77777777" w:rsidR="00D52325" w:rsidRDefault="00D52325" w:rsidP="007824E9">
      <w:pPr>
        <w:tabs>
          <w:tab w:val="left" w:pos="2955"/>
        </w:tabs>
      </w:pPr>
    </w:p>
    <w:p w14:paraId="7DF21303" w14:textId="77777777" w:rsidR="00082D4E" w:rsidRPr="007824E9" w:rsidRDefault="00D52325" w:rsidP="007824E9">
      <w:pPr>
        <w:tabs>
          <w:tab w:val="left" w:pos="2955"/>
        </w:tabs>
        <w:sectPr w:rsidR="00082D4E" w:rsidRPr="007824E9" w:rsidSect="00194281">
          <w:type w:val="continuous"/>
          <w:pgSz w:w="12200" w:h="15880"/>
          <w:pgMar w:top="1158" w:right="860" w:bottom="426" w:left="1276" w:header="0" w:footer="310" w:gutter="0"/>
          <w:cols w:space="708"/>
        </w:sectPr>
      </w:pPr>
      <w:r>
        <w:tab/>
      </w:r>
    </w:p>
    <w:p w14:paraId="4AD0434A" w14:textId="77777777" w:rsidR="00C505F4" w:rsidRDefault="00C505F4" w:rsidP="00C505F4">
      <w:pPr>
        <w:rPr>
          <w:rFonts w:eastAsia="MS Mincho"/>
          <w:b/>
        </w:rPr>
      </w:pPr>
      <w:r w:rsidRPr="00C505F4">
        <w:rPr>
          <w:rFonts w:eastAsia="MS Mincho"/>
          <w:b/>
        </w:rPr>
        <w:lastRenderedPageBreak/>
        <w:t>INTRODUCTION</w:t>
      </w:r>
    </w:p>
    <w:p w14:paraId="32B2489F" w14:textId="77777777" w:rsidR="00C505F4" w:rsidRPr="00C505F4" w:rsidRDefault="00C505F4" w:rsidP="00C505F4">
      <w:pPr>
        <w:rPr>
          <w:rFonts w:eastAsia="MS Mincho"/>
          <w:b/>
        </w:rPr>
      </w:pPr>
    </w:p>
    <w:p w14:paraId="7C98D453" w14:textId="77777777" w:rsidR="00C505F4" w:rsidRPr="00C505F4" w:rsidRDefault="00C505F4" w:rsidP="00C505F4">
      <w:pPr>
        <w:rPr>
          <w:rFonts w:eastAsia="MS Mincho"/>
        </w:rPr>
      </w:pPr>
      <w:r w:rsidRPr="00C505F4">
        <w:rPr>
          <w:rFonts w:eastAsia="MS Mincho"/>
        </w:rPr>
        <w:t>Life expectancy increases throughout the world. As a result geriatric population also dramatically increases in developed countries as well as Turkey.  In our country, there are approximately 7 million individuals aged 65 years and over which represents 8.5% of total population and expected to raise 12.2% in 2020.</w:t>
      </w:r>
      <w:r w:rsidRPr="00C505F4">
        <w:rPr>
          <w:rFonts w:eastAsia="MS Mincho"/>
          <w:vertAlign w:val="superscript"/>
        </w:rPr>
        <w:t>1</w:t>
      </w:r>
      <w:r w:rsidRPr="00C505F4">
        <w:rPr>
          <w:rFonts w:eastAsia="MS Mincho"/>
        </w:rPr>
        <w:t xml:space="preserve"> Elderly have many health problems like chronic diseases, cognitive impairment, and musculoskeletal disorders.</w:t>
      </w:r>
    </w:p>
    <w:p w14:paraId="0E1668D2" w14:textId="77777777" w:rsidR="00C505F4" w:rsidRDefault="00C505F4" w:rsidP="00C505F4">
      <w:pPr>
        <w:rPr>
          <w:rFonts w:eastAsia="MS Mincho"/>
        </w:rPr>
      </w:pPr>
    </w:p>
    <w:p w14:paraId="0CBFECBA" w14:textId="77777777" w:rsidR="00C505F4" w:rsidRPr="00C505F4" w:rsidRDefault="00C505F4" w:rsidP="00C505F4">
      <w:pPr>
        <w:ind w:firstLine="708"/>
        <w:rPr>
          <w:rFonts w:eastAsia="MS Mincho"/>
        </w:rPr>
      </w:pPr>
      <w:r w:rsidRPr="00C505F4">
        <w:rPr>
          <w:rFonts w:eastAsia="MS Mincho"/>
        </w:rPr>
        <w:t>Trauma is a frequently seen condition in emergency departments with the rate ranges between 7 to 20%.</w:t>
      </w:r>
      <w:r w:rsidRPr="00C505F4">
        <w:rPr>
          <w:rFonts w:eastAsia="MS Mincho"/>
          <w:vertAlign w:val="superscript"/>
        </w:rPr>
        <w:t>2</w:t>
      </w:r>
      <w:r w:rsidRPr="00C505F4">
        <w:rPr>
          <w:rFonts w:eastAsia="MS Mincho"/>
        </w:rPr>
        <w:t xml:space="preserve"> Because of the decline in activity by age, most of the trauma cases are seen in the young population. Only 5% of traumas in geriatric population results in a fracture or another serious outcome.</w:t>
      </w:r>
      <w:r w:rsidRPr="00C505F4">
        <w:rPr>
          <w:rFonts w:eastAsia="MS Mincho"/>
          <w:vertAlign w:val="superscript"/>
        </w:rPr>
        <w:t>3</w:t>
      </w:r>
      <w:r w:rsidRPr="00C505F4">
        <w:rPr>
          <w:rFonts w:eastAsia="MS Mincho"/>
        </w:rPr>
        <w:t xml:space="preserve"> On the other hand, the mortality rate of traumas in the elderly population is high. Trauma is the 5</w:t>
      </w:r>
      <w:r w:rsidRPr="00C505F4">
        <w:rPr>
          <w:rFonts w:eastAsia="MS Mincho"/>
          <w:vertAlign w:val="superscript"/>
        </w:rPr>
        <w:t xml:space="preserve">th </w:t>
      </w:r>
      <w:r w:rsidRPr="00C505F4">
        <w:rPr>
          <w:rFonts w:eastAsia="MS Mincho"/>
        </w:rPr>
        <w:t>most common cause of death in the geriatric age group.</w:t>
      </w:r>
      <w:r w:rsidRPr="00C505F4">
        <w:rPr>
          <w:rFonts w:eastAsia="MS Mincho"/>
          <w:vertAlign w:val="superscript"/>
        </w:rPr>
        <w:t>4</w:t>
      </w:r>
      <w:r w:rsidRPr="00C505F4">
        <w:rPr>
          <w:rFonts w:eastAsia="MS Mincho"/>
        </w:rPr>
        <w:t xml:space="preserve"> It was shown that 28% of trauma related deaths occur in people over 65 years of age.</w:t>
      </w:r>
      <w:r w:rsidRPr="00C505F4">
        <w:rPr>
          <w:rFonts w:eastAsia="MS Mincho"/>
          <w:vertAlign w:val="superscript"/>
        </w:rPr>
        <w:t>5</w:t>
      </w:r>
      <w:r w:rsidRPr="00C505F4">
        <w:rPr>
          <w:rFonts w:eastAsia="MS Mincho"/>
        </w:rPr>
        <w:t xml:space="preserve"> Although in young patients, trauma may have many different etiologies, in geriatric population nearly half of the trauma cases are due to falls.</w:t>
      </w:r>
      <w:r w:rsidRPr="00C505F4">
        <w:rPr>
          <w:rFonts w:eastAsia="MS Mincho"/>
          <w:vertAlign w:val="superscript"/>
        </w:rPr>
        <w:t>6</w:t>
      </w:r>
      <w:r w:rsidRPr="00C505F4">
        <w:rPr>
          <w:rFonts w:eastAsia="MS Mincho"/>
        </w:rPr>
        <w:t xml:space="preserve"> Elderly individuals, with the history of fall experience significant morbidity. Hospital stays are longer in elderly patients and they experience </w:t>
      </w:r>
      <w:r w:rsidR="008674F2" w:rsidRPr="00C505F4">
        <w:rPr>
          <w:rFonts w:eastAsia="MS Mincho"/>
        </w:rPr>
        <w:t>dramatically</w:t>
      </w:r>
      <w:r w:rsidRPr="00C505F4">
        <w:rPr>
          <w:rFonts w:eastAsia="MS Mincho"/>
        </w:rPr>
        <w:t xml:space="preserve"> functional decline in activities of daily living both physical and social ones.</w:t>
      </w:r>
      <w:r w:rsidRPr="00C505F4">
        <w:rPr>
          <w:rFonts w:eastAsia="MS Mincho"/>
          <w:vertAlign w:val="superscript"/>
        </w:rPr>
        <w:t>7</w:t>
      </w:r>
      <w:r w:rsidRPr="00C505F4">
        <w:rPr>
          <w:rFonts w:eastAsia="MS Mincho"/>
        </w:rPr>
        <w:t xml:space="preserve"> </w:t>
      </w:r>
    </w:p>
    <w:p w14:paraId="39E94408" w14:textId="77777777" w:rsidR="00C505F4" w:rsidRDefault="00C505F4" w:rsidP="00C505F4">
      <w:pPr>
        <w:rPr>
          <w:rFonts w:eastAsia="MS Mincho"/>
        </w:rPr>
      </w:pPr>
    </w:p>
    <w:p w14:paraId="44E3C40B" w14:textId="77777777" w:rsidR="00C505F4" w:rsidRPr="00C505F4" w:rsidRDefault="00C505F4" w:rsidP="00C505F4">
      <w:pPr>
        <w:ind w:firstLine="708"/>
        <w:rPr>
          <w:rFonts w:eastAsia="MS Mincho"/>
          <w:vertAlign w:val="superscript"/>
        </w:rPr>
      </w:pPr>
      <w:r w:rsidRPr="00C505F4">
        <w:rPr>
          <w:rFonts w:eastAsia="MS Mincho"/>
        </w:rPr>
        <w:t>There are some social factors related with the fall of older people. It was shown that one-third of geriatric population falls each year and the incidence increases with age. The incidence of all falls is 25% at age 70 and it increases up to 35% after age 75.</w:t>
      </w:r>
      <w:r w:rsidRPr="00C505F4">
        <w:rPr>
          <w:rFonts w:eastAsia="MS Mincho"/>
          <w:vertAlign w:val="superscript"/>
        </w:rPr>
        <w:t>8</w:t>
      </w:r>
      <w:r w:rsidRPr="00C505F4">
        <w:rPr>
          <w:rFonts w:eastAsia="MS Mincho"/>
        </w:rPr>
        <w:t xml:space="preserve"> Older females fall more than older men (36% vs 27%).</w:t>
      </w:r>
      <w:r w:rsidRPr="00C505F4">
        <w:rPr>
          <w:rFonts w:eastAsia="MS Mincho"/>
          <w:vertAlign w:val="superscript"/>
        </w:rPr>
        <w:t>9</w:t>
      </w:r>
      <w:r w:rsidRPr="00C505F4">
        <w:rPr>
          <w:rFonts w:eastAsia="MS Mincho"/>
        </w:rPr>
        <w:t xml:space="preserve"> Aoyagi et al reported the risk ratios of falls 2 times more in women than men.</w:t>
      </w:r>
      <w:r w:rsidRPr="00C505F4">
        <w:rPr>
          <w:rFonts w:eastAsia="MS Mincho"/>
          <w:vertAlign w:val="superscript"/>
        </w:rPr>
        <w:t>9</w:t>
      </w:r>
      <w:r w:rsidRPr="00C505F4">
        <w:rPr>
          <w:rFonts w:eastAsia="MS Mincho"/>
        </w:rPr>
        <w:t xml:space="preserve"> It was demonstrated that socioeconomic differences have modest effect on geriatric falls, but the rate of hospitalization is more in lower socioeconomic groups.</w:t>
      </w:r>
      <w:r w:rsidRPr="00C505F4">
        <w:rPr>
          <w:rFonts w:eastAsia="MS Mincho"/>
          <w:vertAlign w:val="superscript"/>
        </w:rPr>
        <w:t xml:space="preserve">11,12 </w:t>
      </w:r>
      <w:r w:rsidRPr="00C505F4">
        <w:rPr>
          <w:rFonts w:eastAsia="MS Mincho"/>
        </w:rPr>
        <w:t>Only 20% of falls occur at night, most of the falls take place at daytime and outside the home. The most frequent time of falls at night was between 9 pm and 7 am.</w:t>
      </w:r>
      <w:r w:rsidRPr="00C505F4">
        <w:rPr>
          <w:rFonts w:eastAsia="MS Mincho"/>
          <w:vertAlign w:val="superscript"/>
        </w:rPr>
        <w:t>13</w:t>
      </w:r>
    </w:p>
    <w:p w14:paraId="70E4AB5E" w14:textId="77777777" w:rsidR="00C505F4" w:rsidRDefault="00C505F4" w:rsidP="00C505F4">
      <w:pPr>
        <w:rPr>
          <w:rFonts w:eastAsia="MS Mincho"/>
        </w:rPr>
      </w:pPr>
    </w:p>
    <w:p w14:paraId="0F8F1908" w14:textId="77777777" w:rsidR="00C505F4" w:rsidRPr="00C505F4" w:rsidRDefault="00C505F4" w:rsidP="00C505F4">
      <w:pPr>
        <w:ind w:firstLine="708"/>
        <w:rPr>
          <w:rFonts w:eastAsia="MS Mincho"/>
        </w:rPr>
      </w:pPr>
      <w:r w:rsidRPr="00C505F4">
        <w:rPr>
          <w:rFonts w:eastAsia="MS Mincho"/>
        </w:rPr>
        <w:t>The best and cost-effective management method for trauma in geriatric population is prevention. It was estimated that up to 30% of falls are preventable with a standardized multidisciplinary approach.</w:t>
      </w:r>
      <w:r w:rsidRPr="00C505F4">
        <w:rPr>
          <w:rFonts w:eastAsia="MS Mincho"/>
          <w:vertAlign w:val="superscript"/>
        </w:rPr>
        <w:t>14</w:t>
      </w:r>
      <w:r w:rsidRPr="00C505F4">
        <w:rPr>
          <w:rFonts w:eastAsia="MS Mincho"/>
        </w:rPr>
        <w:t xml:space="preserve"> Any type of prevention planning requires epidemiological data on trauma which can guide the development of precautions, in elderly patients. The aim of this study is to describe the demographical profile of fall-related emergency department admissions of elderly individuals.</w:t>
      </w:r>
    </w:p>
    <w:p w14:paraId="7FC00053" w14:textId="77777777" w:rsidR="00C505F4" w:rsidRDefault="00C505F4" w:rsidP="00C505F4">
      <w:pPr>
        <w:rPr>
          <w:rFonts w:eastAsia="MS Mincho"/>
          <w:b/>
        </w:rPr>
      </w:pPr>
    </w:p>
    <w:p w14:paraId="03D967BE" w14:textId="77777777" w:rsidR="00C505F4" w:rsidRPr="00C505F4" w:rsidRDefault="00C505F4" w:rsidP="00C505F4">
      <w:pPr>
        <w:rPr>
          <w:rFonts w:eastAsia="MS Mincho"/>
          <w:b/>
        </w:rPr>
      </w:pPr>
      <w:r w:rsidRPr="00C505F4">
        <w:rPr>
          <w:rFonts w:eastAsia="MS Mincho"/>
          <w:b/>
        </w:rPr>
        <w:t>MATERIALS AND METHODS</w:t>
      </w:r>
    </w:p>
    <w:p w14:paraId="466D939A" w14:textId="77777777" w:rsidR="00C505F4" w:rsidRDefault="00C505F4" w:rsidP="00C505F4">
      <w:pPr>
        <w:rPr>
          <w:rFonts w:eastAsia="MS Mincho"/>
        </w:rPr>
      </w:pPr>
    </w:p>
    <w:p w14:paraId="74C461E5" w14:textId="77777777" w:rsidR="00C505F4" w:rsidRPr="00C505F4" w:rsidRDefault="00C505F4" w:rsidP="00C505F4">
      <w:pPr>
        <w:rPr>
          <w:rFonts w:eastAsia="MS Mincho"/>
        </w:rPr>
      </w:pPr>
      <w:r w:rsidRPr="00C505F4">
        <w:rPr>
          <w:rFonts w:eastAsia="MS Mincho"/>
        </w:rPr>
        <w:t xml:space="preserve">The present study was a retrospective cross-sectional study, carried out in elderly patients (≥65 years old) admitted to the emergency department between January 2013 to 31 December 2017. During this period total number of patient admitted to hospital is 54.257. Regardless of age, the number of trauma patients was 11.009. All of the cases below 65 years and who had trauma other </w:t>
      </w:r>
      <w:r w:rsidR="008674F2" w:rsidRPr="00C505F4">
        <w:rPr>
          <w:rFonts w:eastAsia="MS Mincho"/>
        </w:rPr>
        <w:t>than</w:t>
      </w:r>
      <w:r w:rsidRPr="00C505F4">
        <w:rPr>
          <w:rFonts w:eastAsia="MS Mincho"/>
        </w:rPr>
        <w:t xml:space="preserve"> falls excluded from the study. A fall is defined as a situation coded as E880-E888 in ICD9 and W00-W19 according to ICD 10 in an electronic database. According to electronic database, 460 cases (% 0.84 of all emergency admissions and %4.1 of admissions due to trauma patients) included. All of the demographical data were obtained from hospital records. One hundred forty-nine patients were excluded from the study because of the missing data (Figure 1) and the data of 311 cases were analyzed.</w:t>
      </w:r>
    </w:p>
    <w:p w14:paraId="2CEC7E10" w14:textId="77777777" w:rsidR="00C505F4" w:rsidRPr="00C505F4" w:rsidRDefault="00C505F4" w:rsidP="00C505F4">
      <w:pPr>
        <w:rPr>
          <w:rFonts w:eastAsia="MS Mincho"/>
        </w:rPr>
      </w:pPr>
      <w:r w:rsidRPr="00C505F4">
        <w:rPr>
          <w:rFonts w:eastAsia="MS Mincho"/>
        </w:rPr>
        <w:t>The study was approved by the local ethic committee. Data were analyzed by SPSS version 21. Quantitative data are reported as the mean and standard deviation and qualitative ones are reported as frequency and percentage. Comparisons were made with the χ2 test. Statistical significance was accepted as p&lt;0.05.</w:t>
      </w:r>
    </w:p>
    <w:p w14:paraId="07ACE6A3" w14:textId="77777777" w:rsidR="00C505F4" w:rsidRDefault="00C505F4" w:rsidP="00C505F4">
      <w:pPr>
        <w:rPr>
          <w:rFonts w:eastAsia="MS Mincho"/>
          <w:b/>
        </w:rPr>
      </w:pPr>
    </w:p>
    <w:p w14:paraId="0F189EE2" w14:textId="77777777" w:rsidR="00C505F4" w:rsidRPr="00C505F4" w:rsidRDefault="00C505F4" w:rsidP="00C505F4">
      <w:pPr>
        <w:rPr>
          <w:rFonts w:eastAsia="MS Mincho"/>
          <w:b/>
        </w:rPr>
      </w:pPr>
      <w:r w:rsidRPr="00C505F4">
        <w:rPr>
          <w:rFonts w:eastAsia="MS Mincho"/>
          <w:b/>
        </w:rPr>
        <w:t>RESULTS</w:t>
      </w:r>
    </w:p>
    <w:p w14:paraId="3E940943" w14:textId="77777777" w:rsidR="00C505F4" w:rsidRDefault="00C505F4" w:rsidP="00C505F4">
      <w:pPr>
        <w:rPr>
          <w:rFonts w:eastAsia="MS Mincho"/>
        </w:rPr>
      </w:pPr>
    </w:p>
    <w:p w14:paraId="50341BEA" w14:textId="77777777" w:rsidR="00C505F4" w:rsidRPr="00C505F4" w:rsidRDefault="00C505F4" w:rsidP="00C505F4">
      <w:pPr>
        <w:rPr>
          <w:rFonts w:eastAsia="MS Mincho"/>
        </w:rPr>
      </w:pPr>
      <w:r w:rsidRPr="00C505F4">
        <w:rPr>
          <w:rFonts w:eastAsia="MS Mincho"/>
        </w:rPr>
        <w:t xml:space="preserve">Between the dates 1.01.2013- 31.12.2017 there were total of 54.257 admissions to the emergency department. Trauma cases in all age groups were 11.009 (20,3%). The emergency admissions due to trauma in years were shown in Figure 1. Trauma related admission rates ranges between 3.9 – 13,5% during this time. It reached maximum level at year 2016. On the other hand, admission rates of elderly to the emergency department show a stable increase between 2014-2017 from 8,6% to 18,2%. Elderly trauma rates within the total trauma cases reaches its maximum level (16,4%) in 2017 (ranges between 9,9 and 16,4% within years). Moreover, elderly fall related trauma rates within total elderly admissions also show </w:t>
      </w:r>
      <w:r w:rsidR="008674F2" w:rsidRPr="00C505F4">
        <w:rPr>
          <w:rFonts w:eastAsia="MS Mincho"/>
        </w:rPr>
        <w:t>a</w:t>
      </w:r>
      <w:r w:rsidRPr="00C505F4">
        <w:rPr>
          <w:rFonts w:eastAsia="MS Mincho"/>
        </w:rPr>
        <w:t xml:space="preserve"> wavelike pattern and ranges between 4,1-13,6 %.</w:t>
      </w:r>
    </w:p>
    <w:p w14:paraId="7A1FD245" w14:textId="77777777" w:rsidR="00C505F4" w:rsidRDefault="00C505F4" w:rsidP="00C505F4">
      <w:pPr>
        <w:rPr>
          <w:rFonts w:eastAsia="MS Mincho"/>
        </w:rPr>
      </w:pPr>
      <w:r>
        <w:rPr>
          <w:rFonts w:eastAsia="MS Mincho"/>
        </w:rPr>
        <w:t xml:space="preserve"> </w:t>
      </w:r>
    </w:p>
    <w:p w14:paraId="31D2A158" w14:textId="77777777" w:rsidR="00C505F4" w:rsidRPr="00C505F4" w:rsidRDefault="00C505F4" w:rsidP="00C505F4">
      <w:pPr>
        <w:ind w:firstLine="708"/>
        <w:rPr>
          <w:rFonts w:eastAsia="MS Mincho"/>
        </w:rPr>
      </w:pPr>
      <w:r w:rsidRPr="00C505F4">
        <w:rPr>
          <w:rFonts w:eastAsia="MS Mincho"/>
        </w:rPr>
        <w:t xml:space="preserve">In Table 1, baseline characteristics of study cases were summarized. The mean age of the group was 74.8±7.5 years, and most of the patients have at least one underlying diseases. Orthopedic diseases are more frequent in females (p=0,012). Most of the falls occurred outside from home, in summer and there is no significant difference between genders. Women fall at night whereas men at day time (p=0,016). Only 1 death occurs due to falls (Table 2). </w:t>
      </w:r>
    </w:p>
    <w:p w14:paraId="7884859B" w14:textId="77777777" w:rsidR="00C505F4" w:rsidRDefault="00C505F4" w:rsidP="00C505F4">
      <w:pPr>
        <w:rPr>
          <w:rFonts w:eastAsia="MS Mincho"/>
          <w:b/>
        </w:rPr>
      </w:pPr>
    </w:p>
    <w:p w14:paraId="0F0686F2" w14:textId="77777777" w:rsidR="00C505F4" w:rsidRDefault="00C505F4" w:rsidP="00C505F4">
      <w:pPr>
        <w:rPr>
          <w:rFonts w:eastAsia="MS Mincho"/>
          <w:b/>
        </w:rPr>
      </w:pPr>
    </w:p>
    <w:p w14:paraId="08739A4E" w14:textId="77777777" w:rsidR="00C505F4" w:rsidRDefault="00C505F4" w:rsidP="00C505F4">
      <w:pPr>
        <w:rPr>
          <w:rFonts w:eastAsia="MS Mincho"/>
          <w:b/>
        </w:rPr>
      </w:pPr>
    </w:p>
    <w:p w14:paraId="55F35224" w14:textId="77777777" w:rsidR="001E4EEB" w:rsidRDefault="001E4EEB" w:rsidP="00C505F4">
      <w:pPr>
        <w:rPr>
          <w:rFonts w:eastAsia="MS Mincho"/>
          <w:b/>
        </w:rPr>
        <w:sectPr w:rsidR="001E4EEB" w:rsidSect="00C505F4">
          <w:headerReference w:type="default" r:id="rId11"/>
          <w:pgSz w:w="11900" w:h="16840"/>
          <w:pgMar w:top="1417" w:right="1417" w:bottom="1417" w:left="1417" w:header="708" w:footer="708" w:gutter="0"/>
          <w:cols w:num="2" w:space="708"/>
          <w:docGrid w:linePitch="360"/>
        </w:sectPr>
      </w:pPr>
    </w:p>
    <w:p w14:paraId="72A30492" w14:textId="77777777" w:rsidR="001E4EEB" w:rsidRPr="007315F9" w:rsidRDefault="001E4EEB" w:rsidP="001E4EEB">
      <w:pPr>
        <w:pStyle w:val="ListeParagraf"/>
        <w:numPr>
          <w:ilvl w:val="0"/>
          <w:numId w:val="5"/>
        </w:numPr>
        <w:spacing w:before="100" w:beforeAutospacing="1" w:after="100" w:afterAutospacing="1"/>
        <w:rPr>
          <w:rFonts w:eastAsiaTheme="minorHAnsi"/>
          <w:lang w:val="tr-TR" w:eastAsia="tr-TR"/>
        </w:rPr>
        <w:sectPr w:rsidR="001E4EEB" w:rsidRPr="007315F9" w:rsidSect="007315F9">
          <w:type w:val="continuous"/>
          <w:pgSz w:w="11900" w:h="16840"/>
          <w:pgMar w:top="1417" w:right="1417" w:bottom="1417" w:left="1417" w:header="708" w:footer="708" w:gutter="0"/>
          <w:cols w:num="2" w:space="708"/>
          <w:docGrid w:linePitch="360"/>
        </w:sectPr>
      </w:pPr>
    </w:p>
    <w:p w14:paraId="72F3388B" w14:textId="77777777" w:rsidR="001E4EEB" w:rsidRDefault="001E4EEB" w:rsidP="001E4EEB">
      <w:pPr>
        <w:rPr>
          <w:b/>
        </w:rPr>
        <w:sectPr w:rsidR="001E4EEB" w:rsidSect="00002D1F">
          <w:type w:val="continuous"/>
          <w:pgSz w:w="11900" w:h="16840"/>
          <w:pgMar w:top="1417" w:right="1417" w:bottom="1417" w:left="1417" w:header="708" w:footer="708" w:gutter="0"/>
          <w:cols w:space="708"/>
          <w:docGrid w:linePitch="360"/>
        </w:sectPr>
      </w:pPr>
    </w:p>
    <w:p w14:paraId="77CD0EB9" w14:textId="77777777" w:rsidR="001E4EEB" w:rsidRDefault="001E4EEB" w:rsidP="001E4EEB">
      <w:pPr>
        <w:sectPr w:rsidR="001E4EEB" w:rsidSect="00C81417">
          <w:type w:val="continuous"/>
          <w:pgSz w:w="11900" w:h="16840"/>
          <w:pgMar w:top="1417" w:right="1417" w:bottom="1417" w:left="1417" w:header="708" w:footer="708" w:gutter="0"/>
          <w:cols w:num="2" w:space="708"/>
          <w:docGrid w:linePitch="360"/>
        </w:sectPr>
      </w:pPr>
    </w:p>
    <w:p w14:paraId="10BAD482" w14:textId="77777777" w:rsidR="001E4EEB" w:rsidRDefault="001E4EEB" w:rsidP="001E4EEB">
      <w:r w:rsidRPr="006B4FFD">
        <w:rPr>
          <w:noProof/>
        </w:rPr>
        <w:lastRenderedPageBreak/>
        <w:drawing>
          <wp:inline distT="0" distB="0" distL="0" distR="0" wp14:anchorId="171BF523" wp14:editId="269802ED">
            <wp:extent cx="5486400" cy="3200400"/>
            <wp:effectExtent l="19050" t="0" r="19050" b="0"/>
            <wp:docPr id="1"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6A773818" w14:textId="77777777" w:rsidR="001E4EEB" w:rsidRDefault="001E4EEB" w:rsidP="001E4EEB">
      <w:r w:rsidRPr="008006B6">
        <w:rPr>
          <w:b/>
        </w:rPr>
        <w:t>Figure 1.  Emergency admissions, trauma and fall cases in annual bases</w:t>
      </w:r>
    </w:p>
    <w:p w14:paraId="7AAFEBBF" w14:textId="77777777" w:rsidR="001E4EEB" w:rsidRDefault="001E4EEB" w:rsidP="001E4EEB"/>
    <w:p w14:paraId="49F40854" w14:textId="77777777" w:rsidR="001E4EEB" w:rsidRDefault="001E4EEB" w:rsidP="001E4EEB"/>
    <w:p w14:paraId="31F067CB" w14:textId="77777777" w:rsidR="001E4EEB" w:rsidRDefault="001E4EEB" w:rsidP="001E4EEB"/>
    <w:p w14:paraId="6ECA9216" w14:textId="77777777" w:rsidR="001E4EEB" w:rsidRDefault="001E4EEB" w:rsidP="001E4EEB"/>
    <w:p w14:paraId="6C5350CC" w14:textId="77777777" w:rsidR="001E4EEB" w:rsidRDefault="001E4EEB" w:rsidP="001E4EEB"/>
    <w:tbl>
      <w:tblPr>
        <w:tblStyle w:val="TabloKlavuzu"/>
        <w:tblW w:w="9212" w:type="dxa"/>
        <w:tblLook w:val="04A0" w:firstRow="1" w:lastRow="0" w:firstColumn="1" w:lastColumn="0" w:noHBand="0" w:noVBand="1"/>
      </w:tblPr>
      <w:tblGrid>
        <w:gridCol w:w="2356"/>
        <w:gridCol w:w="1827"/>
        <w:gridCol w:w="1777"/>
        <w:gridCol w:w="1818"/>
        <w:gridCol w:w="1434"/>
      </w:tblGrid>
      <w:tr w:rsidR="001E4EEB" w:rsidRPr="00E8224F" w14:paraId="2F693BF3" w14:textId="77777777" w:rsidTr="00A93E2B">
        <w:trPr>
          <w:trHeight w:val="427"/>
        </w:trPr>
        <w:tc>
          <w:tcPr>
            <w:tcW w:w="9212" w:type="dxa"/>
            <w:gridSpan w:val="5"/>
          </w:tcPr>
          <w:p w14:paraId="534F9739" w14:textId="77777777" w:rsidR="001E4EEB" w:rsidRPr="00E8224F" w:rsidRDefault="001E4EEB" w:rsidP="00A93E2B">
            <w:pPr>
              <w:jc w:val="left"/>
            </w:pPr>
            <w:r w:rsidRPr="00E8224F">
              <w:rPr>
                <w:b/>
              </w:rPr>
              <w:t>Table 1</w:t>
            </w:r>
            <w:r>
              <w:rPr>
                <w:b/>
              </w:rPr>
              <w:t>.</w:t>
            </w:r>
            <w:r w:rsidRPr="00E8224F">
              <w:t xml:space="preserve"> </w:t>
            </w:r>
            <w:r w:rsidRPr="008006B6">
              <w:rPr>
                <w:b/>
              </w:rPr>
              <w:t>Baseline characteristics of the patients</w:t>
            </w:r>
          </w:p>
        </w:tc>
      </w:tr>
      <w:tr w:rsidR="001E4EEB" w:rsidRPr="00E8224F" w14:paraId="0331BB58" w14:textId="77777777" w:rsidTr="00A93E2B">
        <w:trPr>
          <w:trHeight w:val="924"/>
        </w:trPr>
        <w:tc>
          <w:tcPr>
            <w:tcW w:w="2356" w:type="dxa"/>
          </w:tcPr>
          <w:p w14:paraId="732DB5BC" w14:textId="77777777" w:rsidR="001E4EEB" w:rsidRPr="00E8224F" w:rsidRDefault="001E4EEB" w:rsidP="00A93E2B"/>
        </w:tc>
        <w:tc>
          <w:tcPr>
            <w:tcW w:w="1827" w:type="dxa"/>
          </w:tcPr>
          <w:p w14:paraId="3BA1F30B" w14:textId="77777777" w:rsidR="001E4EEB" w:rsidRPr="00E8224F" w:rsidRDefault="001E4EEB" w:rsidP="00A93E2B">
            <w:pPr>
              <w:jc w:val="center"/>
            </w:pPr>
            <w:r w:rsidRPr="00E8224F">
              <w:t>Male</w:t>
            </w:r>
          </w:p>
          <w:p w14:paraId="4EF5CFAD" w14:textId="77777777" w:rsidR="001E4EEB" w:rsidRPr="00E8224F" w:rsidRDefault="001E4EEB" w:rsidP="00A93E2B">
            <w:pPr>
              <w:jc w:val="center"/>
            </w:pPr>
            <w:r w:rsidRPr="00E8224F">
              <w:t>(n=116)</w:t>
            </w:r>
          </w:p>
          <w:p w14:paraId="472D0227" w14:textId="77777777" w:rsidR="001E4EEB" w:rsidRPr="00E8224F" w:rsidRDefault="001E4EEB" w:rsidP="00A93E2B">
            <w:pPr>
              <w:jc w:val="center"/>
            </w:pPr>
            <w:r w:rsidRPr="00E8224F">
              <w:t>% (n)</w:t>
            </w:r>
          </w:p>
        </w:tc>
        <w:tc>
          <w:tcPr>
            <w:tcW w:w="1777" w:type="dxa"/>
          </w:tcPr>
          <w:p w14:paraId="24B877FF" w14:textId="77777777" w:rsidR="001E4EEB" w:rsidRPr="00E8224F" w:rsidRDefault="001E4EEB" w:rsidP="00A93E2B">
            <w:pPr>
              <w:jc w:val="center"/>
            </w:pPr>
            <w:r w:rsidRPr="00E8224F">
              <w:t>Female</w:t>
            </w:r>
          </w:p>
          <w:p w14:paraId="53E045B5" w14:textId="77777777" w:rsidR="001E4EEB" w:rsidRPr="00E8224F" w:rsidRDefault="001E4EEB" w:rsidP="00A93E2B">
            <w:pPr>
              <w:jc w:val="center"/>
            </w:pPr>
            <w:r w:rsidRPr="00E8224F">
              <w:t>(n=195)</w:t>
            </w:r>
          </w:p>
          <w:p w14:paraId="5DDF02F3" w14:textId="77777777" w:rsidR="001E4EEB" w:rsidRPr="00E8224F" w:rsidRDefault="001E4EEB" w:rsidP="00A93E2B">
            <w:pPr>
              <w:jc w:val="center"/>
            </w:pPr>
            <w:r w:rsidRPr="00E8224F">
              <w:t>% (n)</w:t>
            </w:r>
          </w:p>
        </w:tc>
        <w:tc>
          <w:tcPr>
            <w:tcW w:w="1818" w:type="dxa"/>
          </w:tcPr>
          <w:p w14:paraId="4F810815" w14:textId="77777777" w:rsidR="001E4EEB" w:rsidRPr="00E8224F" w:rsidRDefault="001E4EEB" w:rsidP="00A93E2B">
            <w:pPr>
              <w:jc w:val="center"/>
            </w:pPr>
            <w:r w:rsidRPr="00E8224F">
              <w:t>Total</w:t>
            </w:r>
          </w:p>
          <w:p w14:paraId="241FE55F" w14:textId="77777777" w:rsidR="001E4EEB" w:rsidRPr="00E8224F" w:rsidRDefault="001E4EEB" w:rsidP="00A93E2B">
            <w:pPr>
              <w:jc w:val="center"/>
            </w:pPr>
            <w:r w:rsidRPr="00E8224F">
              <w:t>(n=311)</w:t>
            </w:r>
          </w:p>
          <w:p w14:paraId="76AF3BE2" w14:textId="77777777" w:rsidR="001E4EEB" w:rsidRPr="00E8224F" w:rsidRDefault="001E4EEB" w:rsidP="00A93E2B">
            <w:pPr>
              <w:jc w:val="center"/>
            </w:pPr>
            <w:r w:rsidRPr="00E8224F">
              <w:t>% (n)</w:t>
            </w:r>
          </w:p>
        </w:tc>
        <w:tc>
          <w:tcPr>
            <w:tcW w:w="1434" w:type="dxa"/>
          </w:tcPr>
          <w:p w14:paraId="3B994D28" w14:textId="77777777" w:rsidR="001E4EEB" w:rsidRPr="00E8224F" w:rsidRDefault="001E4EEB" w:rsidP="00A93E2B">
            <w:pPr>
              <w:jc w:val="center"/>
            </w:pPr>
            <w:r w:rsidRPr="00E8224F">
              <w:t>P value</w:t>
            </w:r>
          </w:p>
        </w:tc>
      </w:tr>
      <w:tr w:rsidR="001E4EEB" w:rsidRPr="00E8224F" w14:paraId="0AD82B71" w14:textId="77777777" w:rsidTr="00A93E2B">
        <w:trPr>
          <w:trHeight w:val="439"/>
        </w:trPr>
        <w:tc>
          <w:tcPr>
            <w:tcW w:w="2356" w:type="dxa"/>
          </w:tcPr>
          <w:p w14:paraId="25ECE135" w14:textId="77777777" w:rsidR="001E4EEB" w:rsidRPr="00E8224F" w:rsidRDefault="001E4EEB" w:rsidP="00A93E2B">
            <w:pPr>
              <w:rPr>
                <w:vertAlign w:val="superscript"/>
              </w:rPr>
            </w:pPr>
            <w:r w:rsidRPr="00E8224F">
              <w:t>Age  (Mean±SD)</w:t>
            </w:r>
          </w:p>
        </w:tc>
        <w:tc>
          <w:tcPr>
            <w:tcW w:w="1827" w:type="dxa"/>
          </w:tcPr>
          <w:p w14:paraId="0B88779D" w14:textId="77777777" w:rsidR="001E4EEB" w:rsidRPr="00E8224F" w:rsidRDefault="001E4EEB" w:rsidP="00A93E2B">
            <w:pPr>
              <w:jc w:val="center"/>
            </w:pPr>
            <w:r w:rsidRPr="00E8224F">
              <w:t>74,01±7,28</w:t>
            </w:r>
          </w:p>
        </w:tc>
        <w:tc>
          <w:tcPr>
            <w:tcW w:w="1777" w:type="dxa"/>
          </w:tcPr>
          <w:p w14:paraId="0D6185D9" w14:textId="77777777" w:rsidR="001E4EEB" w:rsidRPr="00E8224F" w:rsidRDefault="001E4EEB" w:rsidP="00A93E2B">
            <w:pPr>
              <w:jc w:val="center"/>
            </w:pPr>
            <w:r w:rsidRPr="00E8224F">
              <w:t>75,60±7,24</w:t>
            </w:r>
          </w:p>
        </w:tc>
        <w:tc>
          <w:tcPr>
            <w:tcW w:w="1818" w:type="dxa"/>
          </w:tcPr>
          <w:p w14:paraId="71589811" w14:textId="77777777" w:rsidR="001E4EEB" w:rsidRPr="00E8224F" w:rsidRDefault="001E4EEB" w:rsidP="00A93E2B">
            <w:pPr>
              <w:jc w:val="center"/>
            </w:pPr>
            <w:r w:rsidRPr="00E8224F">
              <w:t>74,80±7,46</w:t>
            </w:r>
          </w:p>
        </w:tc>
        <w:tc>
          <w:tcPr>
            <w:tcW w:w="1434" w:type="dxa"/>
          </w:tcPr>
          <w:p w14:paraId="6ECEB3E4" w14:textId="77777777" w:rsidR="001E4EEB" w:rsidRPr="00E8224F" w:rsidRDefault="001E4EEB" w:rsidP="00A93E2B">
            <w:pPr>
              <w:jc w:val="center"/>
              <w:rPr>
                <w:vertAlign w:val="superscript"/>
              </w:rPr>
            </w:pPr>
            <w:r w:rsidRPr="00E8224F">
              <w:t>0.068</w:t>
            </w:r>
            <w:r w:rsidRPr="00E8224F">
              <w:rPr>
                <w:vertAlign w:val="superscript"/>
              </w:rPr>
              <w:t>1</w:t>
            </w:r>
          </w:p>
        </w:tc>
      </w:tr>
      <w:tr w:rsidR="001E4EEB" w:rsidRPr="00E8224F" w14:paraId="3B02A057" w14:textId="77777777" w:rsidTr="00A93E2B">
        <w:trPr>
          <w:trHeight w:val="427"/>
        </w:trPr>
        <w:tc>
          <w:tcPr>
            <w:tcW w:w="2356" w:type="dxa"/>
          </w:tcPr>
          <w:p w14:paraId="22073A09" w14:textId="77777777" w:rsidR="001E4EEB" w:rsidRPr="00E8224F" w:rsidRDefault="001E4EEB" w:rsidP="00A93E2B">
            <w:r w:rsidRPr="00E8224F">
              <w:t>65-69</w:t>
            </w:r>
          </w:p>
        </w:tc>
        <w:tc>
          <w:tcPr>
            <w:tcW w:w="1827" w:type="dxa"/>
          </w:tcPr>
          <w:p w14:paraId="0A4A36A7" w14:textId="77777777" w:rsidR="001E4EEB" w:rsidRPr="00E8224F" w:rsidRDefault="001E4EEB" w:rsidP="00A93E2B">
            <w:pPr>
              <w:jc w:val="center"/>
            </w:pPr>
            <w:r w:rsidRPr="00E8224F">
              <w:t>33,6 (39)</w:t>
            </w:r>
          </w:p>
        </w:tc>
        <w:tc>
          <w:tcPr>
            <w:tcW w:w="1777" w:type="dxa"/>
          </w:tcPr>
          <w:p w14:paraId="5C1F4DCD" w14:textId="77777777" w:rsidR="001E4EEB" w:rsidRPr="00E8224F" w:rsidRDefault="001E4EEB" w:rsidP="00A93E2B">
            <w:pPr>
              <w:jc w:val="center"/>
            </w:pPr>
            <w:r w:rsidRPr="00E8224F">
              <w:t>21,5 (42)</w:t>
            </w:r>
          </w:p>
        </w:tc>
        <w:tc>
          <w:tcPr>
            <w:tcW w:w="1818" w:type="dxa"/>
          </w:tcPr>
          <w:p w14:paraId="37F8A6F6" w14:textId="77777777" w:rsidR="001E4EEB" w:rsidRPr="00E8224F" w:rsidRDefault="001E4EEB" w:rsidP="00A93E2B">
            <w:pPr>
              <w:jc w:val="center"/>
            </w:pPr>
            <w:r w:rsidRPr="00E8224F">
              <w:t>26,0 (81)</w:t>
            </w:r>
          </w:p>
        </w:tc>
        <w:tc>
          <w:tcPr>
            <w:tcW w:w="1434" w:type="dxa"/>
            <w:vMerge w:val="restart"/>
            <w:vAlign w:val="center"/>
          </w:tcPr>
          <w:p w14:paraId="5929FE03" w14:textId="77777777" w:rsidR="001E4EEB" w:rsidRPr="00E8224F" w:rsidRDefault="001E4EEB" w:rsidP="00A93E2B">
            <w:pPr>
              <w:jc w:val="center"/>
              <w:rPr>
                <w:vertAlign w:val="superscript"/>
              </w:rPr>
            </w:pPr>
            <w:r w:rsidRPr="00E8224F">
              <w:t>0.735</w:t>
            </w:r>
            <w:r w:rsidRPr="00E8224F">
              <w:rPr>
                <w:vertAlign w:val="superscript"/>
              </w:rPr>
              <w:t>2</w:t>
            </w:r>
          </w:p>
        </w:tc>
      </w:tr>
      <w:tr w:rsidR="001E4EEB" w:rsidRPr="00E8224F" w14:paraId="01E38708" w14:textId="77777777" w:rsidTr="00A93E2B">
        <w:trPr>
          <w:trHeight w:val="439"/>
        </w:trPr>
        <w:tc>
          <w:tcPr>
            <w:tcW w:w="2356" w:type="dxa"/>
          </w:tcPr>
          <w:p w14:paraId="6ECE0EFB" w14:textId="77777777" w:rsidR="001E4EEB" w:rsidRPr="00E8224F" w:rsidRDefault="001E4EEB" w:rsidP="00A93E2B">
            <w:r w:rsidRPr="00E8224F">
              <w:t>70-74</w:t>
            </w:r>
          </w:p>
        </w:tc>
        <w:tc>
          <w:tcPr>
            <w:tcW w:w="1827" w:type="dxa"/>
          </w:tcPr>
          <w:p w14:paraId="7221AA2B" w14:textId="77777777" w:rsidR="001E4EEB" w:rsidRPr="00E8224F" w:rsidRDefault="001E4EEB" w:rsidP="00A93E2B">
            <w:pPr>
              <w:jc w:val="center"/>
            </w:pPr>
            <w:r w:rsidRPr="00E8224F">
              <w:t>25,0 (29)</w:t>
            </w:r>
          </w:p>
        </w:tc>
        <w:tc>
          <w:tcPr>
            <w:tcW w:w="1777" w:type="dxa"/>
          </w:tcPr>
          <w:p w14:paraId="108A1E8C" w14:textId="77777777" w:rsidR="001E4EEB" w:rsidRPr="00E8224F" w:rsidRDefault="001E4EEB" w:rsidP="00A93E2B">
            <w:pPr>
              <w:jc w:val="center"/>
            </w:pPr>
            <w:r w:rsidRPr="00E8224F">
              <w:t>27,2 (53)</w:t>
            </w:r>
          </w:p>
        </w:tc>
        <w:tc>
          <w:tcPr>
            <w:tcW w:w="1818" w:type="dxa"/>
          </w:tcPr>
          <w:p w14:paraId="1DC29C21" w14:textId="77777777" w:rsidR="001E4EEB" w:rsidRPr="00E8224F" w:rsidRDefault="001E4EEB" w:rsidP="00A93E2B">
            <w:pPr>
              <w:jc w:val="center"/>
            </w:pPr>
            <w:r w:rsidRPr="00E8224F">
              <w:t>26,4 (82)</w:t>
            </w:r>
          </w:p>
        </w:tc>
        <w:tc>
          <w:tcPr>
            <w:tcW w:w="1434" w:type="dxa"/>
            <w:vMerge/>
          </w:tcPr>
          <w:p w14:paraId="4DEC6B77" w14:textId="77777777" w:rsidR="001E4EEB" w:rsidRPr="00E8224F" w:rsidRDefault="001E4EEB" w:rsidP="00A93E2B">
            <w:pPr>
              <w:jc w:val="center"/>
            </w:pPr>
          </w:p>
        </w:tc>
      </w:tr>
      <w:tr w:rsidR="001E4EEB" w:rsidRPr="00E8224F" w14:paraId="28BA27BC" w14:textId="77777777" w:rsidTr="00A93E2B">
        <w:trPr>
          <w:trHeight w:val="427"/>
        </w:trPr>
        <w:tc>
          <w:tcPr>
            <w:tcW w:w="2356" w:type="dxa"/>
          </w:tcPr>
          <w:p w14:paraId="10BFE65F" w14:textId="77777777" w:rsidR="001E4EEB" w:rsidRPr="00E8224F" w:rsidRDefault="001E4EEB" w:rsidP="00A93E2B">
            <w:r w:rsidRPr="00E8224F">
              <w:t>75-79</w:t>
            </w:r>
          </w:p>
        </w:tc>
        <w:tc>
          <w:tcPr>
            <w:tcW w:w="1827" w:type="dxa"/>
          </w:tcPr>
          <w:p w14:paraId="2CF5814A" w14:textId="77777777" w:rsidR="001E4EEB" w:rsidRPr="00E8224F" w:rsidRDefault="001E4EEB" w:rsidP="00A93E2B">
            <w:pPr>
              <w:jc w:val="center"/>
            </w:pPr>
            <w:r w:rsidRPr="00E8224F">
              <w:t>18,1 (21)</w:t>
            </w:r>
          </w:p>
        </w:tc>
        <w:tc>
          <w:tcPr>
            <w:tcW w:w="1777" w:type="dxa"/>
          </w:tcPr>
          <w:p w14:paraId="616DB5E5" w14:textId="77777777" w:rsidR="001E4EEB" w:rsidRPr="00E8224F" w:rsidRDefault="001E4EEB" w:rsidP="00A93E2B">
            <w:pPr>
              <w:jc w:val="center"/>
            </w:pPr>
            <w:r w:rsidRPr="00E8224F">
              <w:t>22,6 (44)</w:t>
            </w:r>
          </w:p>
        </w:tc>
        <w:tc>
          <w:tcPr>
            <w:tcW w:w="1818" w:type="dxa"/>
          </w:tcPr>
          <w:p w14:paraId="48E7ED01" w14:textId="77777777" w:rsidR="001E4EEB" w:rsidRPr="00E8224F" w:rsidRDefault="001E4EEB" w:rsidP="00A93E2B">
            <w:pPr>
              <w:jc w:val="center"/>
            </w:pPr>
            <w:r w:rsidRPr="00E8224F">
              <w:t>20,9 (65)</w:t>
            </w:r>
          </w:p>
        </w:tc>
        <w:tc>
          <w:tcPr>
            <w:tcW w:w="1434" w:type="dxa"/>
            <w:vMerge/>
          </w:tcPr>
          <w:p w14:paraId="047C1EE7" w14:textId="77777777" w:rsidR="001E4EEB" w:rsidRPr="00E8224F" w:rsidRDefault="001E4EEB" w:rsidP="00A93E2B">
            <w:pPr>
              <w:jc w:val="center"/>
            </w:pPr>
          </w:p>
        </w:tc>
      </w:tr>
      <w:tr w:rsidR="001E4EEB" w:rsidRPr="00E8224F" w14:paraId="3A8CA0E7" w14:textId="77777777" w:rsidTr="00A93E2B">
        <w:trPr>
          <w:trHeight w:val="427"/>
        </w:trPr>
        <w:tc>
          <w:tcPr>
            <w:tcW w:w="2356" w:type="dxa"/>
          </w:tcPr>
          <w:p w14:paraId="08932A65" w14:textId="77777777" w:rsidR="001E4EEB" w:rsidRPr="00E8224F" w:rsidRDefault="001E4EEB" w:rsidP="00A93E2B">
            <w:r w:rsidRPr="00E8224F">
              <w:t>&gt;80</w:t>
            </w:r>
          </w:p>
        </w:tc>
        <w:tc>
          <w:tcPr>
            <w:tcW w:w="1827" w:type="dxa"/>
          </w:tcPr>
          <w:p w14:paraId="10CE2907" w14:textId="77777777" w:rsidR="001E4EEB" w:rsidRPr="00E8224F" w:rsidRDefault="001E4EEB" w:rsidP="00A93E2B">
            <w:pPr>
              <w:jc w:val="center"/>
            </w:pPr>
            <w:r w:rsidRPr="00E8224F">
              <w:t>23,3 (27)</w:t>
            </w:r>
          </w:p>
        </w:tc>
        <w:tc>
          <w:tcPr>
            <w:tcW w:w="1777" w:type="dxa"/>
          </w:tcPr>
          <w:p w14:paraId="5008BE32" w14:textId="77777777" w:rsidR="001E4EEB" w:rsidRPr="00E8224F" w:rsidRDefault="001E4EEB" w:rsidP="00A93E2B">
            <w:pPr>
              <w:jc w:val="center"/>
            </w:pPr>
            <w:r w:rsidRPr="00E8224F">
              <w:t>28,7 (56)</w:t>
            </w:r>
          </w:p>
        </w:tc>
        <w:tc>
          <w:tcPr>
            <w:tcW w:w="1818" w:type="dxa"/>
          </w:tcPr>
          <w:p w14:paraId="7A755708" w14:textId="77777777" w:rsidR="001E4EEB" w:rsidRPr="00E8224F" w:rsidRDefault="001E4EEB" w:rsidP="00A93E2B">
            <w:pPr>
              <w:jc w:val="center"/>
            </w:pPr>
            <w:r w:rsidRPr="00E8224F">
              <w:t>26,7 (83)</w:t>
            </w:r>
          </w:p>
        </w:tc>
        <w:tc>
          <w:tcPr>
            <w:tcW w:w="1434" w:type="dxa"/>
            <w:vMerge/>
          </w:tcPr>
          <w:p w14:paraId="0298CA11" w14:textId="77777777" w:rsidR="001E4EEB" w:rsidRPr="00E8224F" w:rsidRDefault="001E4EEB" w:rsidP="00A93E2B">
            <w:pPr>
              <w:jc w:val="center"/>
            </w:pPr>
          </w:p>
        </w:tc>
      </w:tr>
      <w:tr w:rsidR="001E4EEB" w:rsidRPr="00E8224F" w14:paraId="5ABC464A" w14:textId="77777777" w:rsidTr="00A93E2B">
        <w:trPr>
          <w:trHeight w:val="439"/>
        </w:trPr>
        <w:tc>
          <w:tcPr>
            <w:tcW w:w="2356" w:type="dxa"/>
          </w:tcPr>
          <w:p w14:paraId="400596A3" w14:textId="77777777" w:rsidR="001E4EEB" w:rsidRPr="00E8224F" w:rsidRDefault="001E4EEB" w:rsidP="00A93E2B">
            <w:r w:rsidRPr="00E8224F">
              <w:t>Underlying disease</w:t>
            </w:r>
          </w:p>
        </w:tc>
        <w:tc>
          <w:tcPr>
            <w:tcW w:w="1827" w:type="dxa"/>
          </w:tcPr>
          <w:p w14:paraId="3170B818" w14:textId="77777777" w:rsidR="001E4EEB" w:rsidRPr="00E8224F" w:rsidRDefault="001E4EEB" w:rsidP="00A93E2B">
            <w:pPr>
              <w:jc w:val="center"/>
            </w:pPr>
            <w:r w:rsidRPr="00E8224F">
              <w:t>87,7 (85)</w:t>
            </w:r>
          </w:p>
        </w:tc>
        <w:tc>
          <w:tcPr>
            <w:tcW w:w="1777" w:type="dxa"/>
          </w:tcPr>
          <w:p w14:paraId="4C533221" w14:textId="77777777" w:rsidR="001E4EEB" w:rsidRPr="00E8224F" w:rsidRDefault="001E4EEB" w:rsidP="00A93E2B">
            <w:pPr>
              <w:jc w:val="center"/>
            </w:pPr>
            <w:r w:rsidRPr="00E8224F">
              <w:t>88,9 (145)</w:t>
            </w:r>
          </w:p>
        </w:tc>
        <w:tc>
          <w:tcPr>
            <w:tcW w:w="1818" w:type="dxa"/>
          </w:tcPr>
          <w:p w14:paraId="2EB70BC8" w14:textId="77777777" w:rsidR="001E4EEB" w:rsidRPr="00E8224F" w:rsidRDefault="001E4EEB" w:rsidP="00A93E2B">
            <w:pPr>
              <w:jc w:val="center"/>
            </w:pPr>
            <w:r w:rsidRPr="00E8224F">
              <w:t>87,4 (230)*</w:t>
            </w:r>
          </w:p>
        </w:tc>
        <w:tc>
          <w:tcPr>
            <w:tcW w:w="1434" w:type="dxa"/>
          </w:tcPr>
          <w:p w14:paraId="3F4BD1CC" w14:textId="77777777" w:rsidR="001E4EEB" w:rsidRPr="00E8224F" w:rsidRDefault="001E4EEB" w:rsidP="00A93E2B">
            <w:pPr>
              <w:jc w:val="center"/>
              <w:rPr>
                <w:vertAlign w:val="superscript"/>
              </w:rPr>
            </w:pPr>
            <w:r w:rsidRPr="00E8224F">
              <w:t>0,674</w:t>
            </w:r>
            <w:r w:rsidRPr="00E8224F">
              <w:rPr>
                <w:vertAlign w:val="superscript"/>
              </w:rPr>
              <w:t>2</w:t>
            </w:r>
          </w:p>
        </w:tc>
      </w:tr>
      <w:tr w:rsidR="001E4EEB" w:rsidRPr="00E8224F" w14:paraId="21D3AB69" w14:textId="77777777" w:rsidTr="00A93E2B">
        <w:trPr>
          <w:trHeight w:val="427"/>
        </w:trPr>
        <w:tc>
          <w:tcPr>
            <w:tcW w:w="2356" w:type="dxa"/>
          </w:tcPr>
          <w:p w14:paraId="03E17428" w14:textId="77777777" w:rsidR="001E4EEB" w:rsidRPr="00E8224F" w:rsidRDefault="001E4EEB" w:rsidP="00A93E2B">
            <w:r w:rsidRPr="00E8224F">
              <w:t>DM</w:t>
            </w:r>
          </w:p>
        </w:tc>
        <w:tc>
          <w:tcPr>
            <w:tcW w:w="1827" w:type="dxa"/>
          </w:tcPr>
          <w:p w14:paraId="7B31CBE3" w14:textId="77777777" w:rsidR="001E4EEB" w:rsidRPr="00E8224F" w:rsidRDefault="001E4EEB" w:rsidP="00A93E2B">
            <w:pPr>
              <w:jc w:val="center"/>
            </w:pPr>
            <w:r w:rsidRPr="00E8224F">
              <w:t>40,0 (34)</w:t>
            </w:r>
          </w:p>
        </w:tc>
        <w:tc>
          <w:tcPr>
            <w:tcW w:w="1777" w:type="dxa"/>
          </w:tcPr>
          <w:p w14:paraId="4067CDDC" w14:textId="77777777" w:rsidR="001E4EEB" w:rsidRPr="00E8224F" w:rsidRDefault="001E4EEB" w:rsidP="00A93E2B">
            <w:pPr>
              <w:jc w:val="center"/>
            </w:pPr>
            <w:r w:rsidRPr="00E8224F">
              <w:t>35,9 (52)</w:t>
            </w:r>
          </w:p>
        </w:tc>
        <w:tc>
          <w:tcPr>
            <w:tcW w:w="1818" w:type="dxa"/>
          </w:tcPr>
          <w:p w14:paraId="69513747" w14:textId="77777777" w:rsidR="001E4EEB" w:rsidRPr="00E8224F" w:rsidRDefault="001E4EEB" w:rsidP="00A93E2B">
            <w:pPr>
              <w:jc w:val="center"/>
            </w:pPr>
            <w:r w:rsidRPr="00E8224F">
              <w:t>37,4 (86)</w:t>
            </w:r>
          </w:p>
        </w:tc>
        <w:tc>
          <w:tcPr>
            <w:tcW w:w="1434" w:type="dxa"/>
          </w:tcPr>
          <w:p w14:paraId="6BC28E22" w14:textId="77777777" w:rsidR="001E4EEB" w:rsidRPr="00E8224F" w:rsidRDefault="001E4EEB" w:rsidP="00A93E2B">
            <w:pPr>
              <w:jc w:val="center"/>
              <w:rPr>
                <w:vertAlign w:val="superscript"/>
              </w:rPr>
            </w:pPr>
            <w:r w:rsidRPr="00E8224F">
              <w:t>0,087</w:t>
            </w:r>
            <w:r w:rsidRPr="00E8224F">
              <w:rPr>
                <w:vertAlign w:val="superscript"/>
              </w:rPr>
              <w:t>2</w:t>
            </w:r>
          </w:p>
        </w:tc>
      </w:tr>
      <w:tr w:rsidR="001E4EEB" w:rsidRPr="00E8224F" w14:paraId="66173088" w14:textId="77777777" w:rsidTr="00A93E2B">
        <w:trPr>
          <w:trHeight w:val="439"/>
        </w:trPr>
        <w:tc>
          <w:tcPr>
            <w:tcW w:w="2356" w:type="dxa"/>
          </w:tcPr>
          <w:p w14:paraId="506394C4" w14:textId="77777777" w:rsidR="001E4EEB" w:rsidRPr="00E8224F" w:rsidRDefault="001E4EEB" w:rsidP="00A93E2B">
            <w:r w:rsidRPr="00E8224F">
              <w:t>HT</w:t>
            </w:r>
          </w:p>
        </w:tc>
        <w:tc>
          <w:tcPr>
            <w:tcW w:w="1827" w:type="dxa"/>
          </w:tcPr>
          <w:p w14:paraId="174EF0D5" w14:textId="77777777" w:rsidR="001E4EEB" w:rsidRPr="00E8224F" w:rsidRDefault="001E4EEB" w:rsidP="00A93E2B">
            <w:pPr>
              <w:jc w:val="center"/>
            </w:pPr>
            <w:r w:rsidRPr="00E8224F">
              <w:t>76,4 (65)</w:t>
            </w:r>
          </w:p>
        </w:tc>
        <w:tc>
          <w:tcPr>
            <w:tcW w:w="1777" w:type="dxa"/>
          </w:tcPr>
          <w:p w14:paraId="4A79D5BF" w14:textId="77777777" w:rsidR="001E4EEB" w:rsidRPr="00E8224F" w:rsidRDefault="001E4EEB" w:rsidP="00A93E2B">
            <w:pPr>
              <w:jc w:val="center"/>
            </w:pPr>
            <w:r w:rsidRPr="00E8224F">
              <w:t>77,2 (112)</w:t>
            </w:r>
          </w:p>
        </w:tc>
        <w:tc>
          <w:tcPr>
            <w:tcW w:w="1818" w:type="dxa"/>
          </w:tcPr>
          <w:p w14:paraId="3F09ED55" w14:textId="77777777" w:rsidR="001E4EEB" w:rsidRPr="00E8224F" w:rsidRDefault="001E4EEB" w:rsidP="00A93E2B">
            <w:pPr>
              <w:jc w:val="center"/>
            </w:pPr>
            <w:r w:rsidRPr="00E8224F">
              <w:t>76,9 (177)</w:t>
            </w:r>
          </w:p>
        </w:tc>
        <w:tc>
          <w:tcPr>
            <w:tcW w:w="1434" w:type="dxa"/>
          </w:tcPr>
          <w:p w14:paraId="7AE2B3C3" w14:textId="77777777" w:rsidR="001E4EEB" w:rsidRPr="00E8224F" w:rsidRDefault="001E4EEB" w:rsidP="00A93E2B">
            <w:pPr>
              <w:jc w:val="center"/>
              <w:rPr>
                <w:vertAlign w:val="superscript"/>
              </w:rPr>
            </w:pPr>
            <w:r w:rsidRPr="00E8224F">
              <w:t>0,629</w:t>
            </w:r>
            <w:r w:rsidRPr="00E8224F">
              <w:rPr>
                <w:vertAlign w:val="superscript"/>
              </w:rPr>
              <w:t>2</w:t>
            </w:r>
          </w:p>
        </w:tc>
      </w:tr>
      <w:tr w:rsidR="001E4EEB" w:rsidRPr="00E8224F" w14:paraId="7A57433C" w14:textId="77777777" w:rsidTr="00A93E2B">
        <w:trPr>
          <w:trHeight w:val="427"/>
        </w:trPr>
        <w:tc>
          <w:tcPr>
            <w:tcW w:w="2356" w:type="dxa"/>
          </w:tcPr>
          <w:p w14:paraId="22ADB271" w14:textId="77777777" w:rsidR="001E4EEB" w:rsidRPr="00E8224F" w:rsidRDefault="001E4EEB" w:rsidP="00A93E2B">
            <w:r w:rsidRPr="00E8224F">
              <w:t>Orthopedic diseases</w:t>
            </w:r>
          </w:p>
        </w:tc>
        <w:tc>
          <w:tcPr>
            <w:tcW w:w="1827" w:type="dxa"/>
          </w:tcPr>
          <w:p w14:paraId="7CA35524" w14:textId="77777777" w:rsidR="001E4EEB" w:rsidRPr="00E8224F" w:rsidRDefault="001E4EEB" w:rsidP="00A93E2B">
            <w:pPr>
              <w:jc w:val="center"/>
            </w:pPr>
            <w:r w:rsidRPr="00E8224F">
              <w:t>4,7 (4)</w:t>
            </w:r>
          </w:p>
        </w:tc>
        <w:tc>
          <w:tcPr>
            <w:tcW w:w="1777" w:type="dxa"/>
          </w:tcPr>
          <w:p w14:paraId="210639D8" w14:textId="77777777" w:rsidR="001E4EEB" w:rsidRPr="00E8224F" w:rsidRDefault="001E4EEB" w:rsidP="00A93E2B">
            <w:pPr>
              <w:jc w:val="center"/>
            </w:pPr>
            <w:r w:rsidRPr="00E8224F">
              <w:t>11,7 (17)</w:t>
            </w:r>
          </w:p>
        </w:tc>
        <w:tc>
          <w:tcPr>
            <w:tcW w:w="1818" w:type="dxa"/>
          </w:tcPr>
          <w:p w14:paraId="06E5DF60" w14:textId="77777777" w:rsidR="001E4EEB" w:rsidRPr="00E8224F" w:rsidRDefault="001E4EEB" w:rsidP="00A93E2B">
            <w:pPr>
              <w:jc w:val="center"/>
            </w:pPr>
            <w:r w:rsidRPr="00E8224F">
              <w:t>9,1 (21)</w:t>
            </w:r>
          </w:p>
        </w:tc>
        <w:tc>
          <w:tcPr>
            <w:tcW w:w="1434" w:type="dxa"/>
          </w:tcPr>
          <w:p w14:paraId="3BB7196D" w14:textId="77777777" w:rsidR="001E4EEB" w:rsidRPr="00E8224F" w:rsidRDefault="001E4EEB" w:rsidP="00A93E2B">
            <w:pPr>
              <w:jc w:val="center"/>
              <w:rPr>
                <w:b/>
                <w:vertAlign w:val="superscript"/>
              </w:rPr>
            </w:pPr>
            <w:r w:rsidRPr="00E8224F">
              <w:rPr>
                <w:b/>
              </w:rPr>
              <w:t>0,012</w:t>
            </w:r>
            <w:r w:rsidRPr="00E8224F">
              <w:rPr>
                <w:b/>
                <w:vertAlign w:val="superscript"/>
              </w:rPr>
              <w:t>2</w:t>
            </w:r>
          </w:p>
        </w:tc>
      </w:tr>
      <w:tr w:rsidR="001E4EEB" w:rsidRPr="00E8224F" w14:paraId="4F53519A" w14:textId="77777777" w:rsidTr="00A93E2B">
        <w:trPr>
          <w:trHeight w:val="439"/>
        </w:trPr>
        <w:tc>
          <w:tcPr>
            <w:tcW w:w="2356" w:type="dxa"/>
          </w:tcPr>
          <w:p w14:paraId="00BB506F" w14:textId="77777777" w:rsidR="001E4EEB" w:rsidRPr="00E8224F" w:rsidRDefault="001E4EEB" w:rsidP="00A93E2B">
            <w:r w:rsidRPr="00E8224F">
              <w:t>Neurologic diseases</w:t>
            </w:r>
          </w:p>
        </w:tc>
        <w:tc>
          <w:tcPr>
            <w:tcW w:w="1827" w:type="dxa"/>
          </w:tcPr>
          <w:p w14:paraId="2D095AB6" w14:textId="77777777" w:rsidR="001E4EEB" w:rsidRPr="00E8224F" w:rsidRDefault="001E4EEB" w:rsidP="00A93E2B">
            <w:pPr>
              <w:jc w:val="center"/>
            </w:pPr>
            <w:r w:rsidRPr="00E8224F">
              <w:t>21,2 (18)</w:t>
            </w:r>
          </w:p>
        </w:tc>
        <w:tc>
          <w:tcPr>
            <w:tcW w:w="1777" w:type="dxa"/>
          </w:tcPr>
          <w:p w14:paraId="5AE9CE49" w14:textId="77777777" w:rsidR="001E4EEB" w:rsidRPr="00E8224F" w:rsidRDefault="001E4EEB" w:rsidP="00A93E2B">
            <w:pPr>
              <w:jc w:val="center"/>
            </w:pPr>
            <w:r w:rsidRPr="00E8224F">
              <w:t>17,25 (25)</w:t>
            </w:r>
          </w:p>
        </w:tc>
        <w:tc>
          <w:tcPr>
            <w:tcW w:w="1818" w:type="dxa"/>
          </w:tcPr>
          <w:p w14:paraId="569BA783" w14:textId="77777777" w:rsidR="001E4EEB" w:rsidRPr="00E8224F" w:rsidRDefault="001E4EEB" w:rsidP="00A93E2B">
            <w:pPr>
              <w:jc w:val="center"/>
            </w:pPr>
            <w:r w:rsidRPr="00E8224F">
              <w:t>18,7 (43)</w:t>
            </w:r>
          </w:p>
        </w:tc>
        <w:tc>
          <w:tcPr>
            <w:tcW w:w="1434" w:type="dxa"/>
          </w:tcPr>
          <w:p w14:paraId="2C763EC8" w14:textId="77777777" w:rsidR="001E4EEB" w:rsidRPr="00E8224F" w:rsidRDefault="001E4EEB" w:rsidP="00A93E2B">
            <w:pPr>
              <w:jc w:val="center"/>
              <w:rPr>
                <w:vertAlign w:val="superscript"/>
              </w:rPr>
            </w:pPr>
            <w:r w:rsidRPr="00E8224F">
              <w:t>0,985</w:t>
            </w:r>
            <w:r w:rsidRPr="00E8224F">
              <w:rPr>
                <w:vertAlign w:val="superscript"/>
              </w:rPr>
              <w:t>2</w:t>
            </w:r>
          </w:p>
        </w:tc>
      </w:tr>
      <w:tr w:rsidR="001E4EEB" w:rsidRPr="00E8224F" w14:paraId="1563CE71" w14:textId="77777777" w:rsidTr="00A93E2B">
        <w:trPr>
          <w:trHeight w:val="439"/>
        </w:trPr>
        <w:tc>
          <w:tcPr>
            <w:tcW w:w="2356" w:type="dxa"/>
          </w:tcPr>
          <w:p w14:paraId="4A6E5DB5" w14:textId="77777777" w:rsidR="001E4EEB" w:rsidRPr="00E8224F" w:rsidRDefault="001E4EEB" w:rsidP="00A93E2B">
            <w:r w:rsidRPr="00E8224F">
              <w:t>Other</w:t>
            </w:r>
          </w:p>
        </w:tc>
        <w:tc>
          <w:tcPr>
            <w:tcW w:w="1827" w:type="dxa"/>
          </w:tcPr>
          <w:p w14:paraId="070DBDA7" w14:textId="77777777" w:rsidR="001E4EEB" w:rsidRPr="00E8224F" w:rsidRDefault="001E4EEB" w:rsidP="00A93E2B">
            <w:pPr>
              <w:jc w:val="center"/>
            </w:pPr>
            <w:r w:rsidRPr="00E8224F">
              <w:t>61,2 (52)</w:t>
            </w:r>
          </w:p>
        </w:tc>
        <w:tc>
          <w:tcPr>
            <w:tcW w:w="1777" w:type="dxa"/>
          </w:tcPr>
          <w:p w14:paraId="35315B6D" w14:textId="77777777" w:rsidR="001E4EEB" w:rsidRPr="00E8224F" w:rsidRDefault="001E4EEB" w:rsidP="00A93E2B">
            <w:pPr>
              <w:jc w:val="center"/>
            </w:pPr>
            <w:r w:rsidRPr="00E8224F">
              <w:t>60,0 (87)</w:t>
            </w:r>
          </w:p>
        </w:tc>
        <w:tc>
          <w:tcPr>
            <w:tcW w:w="1818" w:type="dxa"/>
          </w:tcPr>
          <w:p w14:paraId="418D416F" w14:textId="77777777" w:rsidR="001E4EEB" w:rsidRPr="00E8224F" w:rsidRDefault="001E4EEB" w:rsidP="00A93E2B">
            <w:pPr>
              <w:jc w:val="center"/>
            </w:pPr>
            <w:r w:rsidRPr="00E8224F">
              <w:t>60,4 (139)</w:t>
            </w:r>
          </w:p>
        </w:tc>
        <w:tc>
          <w:tcPr>
            <w:tcW w:w="1434" w:type="dxa"/>
          </w:tcPr>
          <w:p w14:paraId="63141B2F" w14:textId="77777777" w:rsidR="001E4EEB" w:rsidRPr="00E8224F" w:rsidRDefault="001E4EEB" w:rsidP="00A93E2B">
            <w:pPr>
              <w:jc w:val="center"/>
              <w:rPr>
                <w:vertAlign w:val="superscript"/>
              </w:rPr>
            </w:pPr>
            <w:r w:rsidRPr="00E8224F">
              <w:t>0,075</w:t>
            </w:r>
            <w:r w:rsidRPr="00E8224F">
              <w:rPr>
                <w:vertAlign w:val="superscript"/>
              </w:rPr>
              <w:t>2</w:t>
            </w:r>
          </w:p>
        </w:tc>
      </w:tr>
    </w:tbl>
    <w:p w14:paraId="30F37BE6" w14:textId="77777777" w:rsidR="001E4EEB" w:rsidRDefault="001E4EEB" w:rsidP="001E4EEB">
      <w:r w:rsidRPr="00E8224F">
        <w:t>*48 cases has no records about underlying diseases</w:t>
      </w:r>
      <w:r>
        <w:tab/>
      </w:r>
      <w:r>
        <w:tab/>
      </w:r>
      <w:r>
        <w:tab/>
      </w:r>
      <w:r w:rsidRPr="00E8224F">
        <w:rPr>
          <w:vertAlign w:val="superscript"/>
        </w:rPr>
        <w:t xml:space="preserve">1 </w:t>
      </w:r>
      <w:r w:rsidRPr="00E8224F">
        <w:t>Analyzed with student t test</w:t>
      </w:r>
    </w:p>
    <w:p w14:paraId="07E4FEE6" w14:textId="77777777" w:rsidR="001E4EEB" w:rsidRDefault="001E4EEB" w:rsidP="001E4EEB">
      <w:r w:rsidRPr="00E8224F">
        <w:rPr>
          <w:vertAlign w:val="superscript"/>
        </w:rPr>
        <w:t>2</w:t>
      </w:r>
      <w:r w:rsidRPr="00E8224F">
        <w:t>Analyzed with chi-square test</w:t>
      </w:r>
    </w:p>
    <w:p w14:paraId="771376F2" w14:textId="77777777" w:rsidR="001E4EEB" w:rsidRDefault="001E4EEB" w:rsidP="001E4EEB"/>
    <w:p w14:paraId="40C7275D" w14:textId="77777777" w:rsidR="001E4EEB" w:rsidRPr="00E8224F" w:rsidRDefault="001E4EEB" w:rsidP="001E4EEB"/>
    <w:p w14:paraId="333DE198" w14:textId="77777777" w:rsidR="001E4EEB" w:rsidRDefault="001E4EEB" w:rsidP="001E4EEB"/>
    <w:tbl>
      <w:tblPr>
        <w:tblStyle w:val="TabloKlavuzu"/>
        <w:tblW w:w="0" w:type="auto"/>
        <w:tblLook w:val="04A0" w:firstRow="1" w:lastRow="0" w:firstColumn="1" w:lastColumn="0" w:noHBand="0" w:noVBand="1"/>
      </w:tblPr>
      <w:tblGrid>
        <w:gridCol w:w="1900"/>
        <w:gridCol w:w="1790"/>
        <w:gridCol w:w="1507"/>
        <w:gridCol w:w="1529"/>
        <w:gridCol w:w="1525"/>
        <w:gridCol w:w="805"/>
      </w:tblGrid>
      <w:tr w:rsidR="001E4EEB" w:rsidRPr="006B4FFD" w14:paraId="0896AE46" w14:textId="77777777" w:rsidTr="00A93E2B">
        <w:tc>
          <w:tcPr>
            <w:tcW w:w="9056" w:type="dxa"/>
            <w:gridSpan w:val="6"/>
          </w:tcPr>
          <w:p w14:paraId="680450A5" w14:textId="77777777" w:rsidR="001E4EEB" w:rsidRPr="008006B6" w:rsidRDefault="001E4EEB" w:rsidP="00A93E2B">
            <w:pPr>
              <w:jc w:val="left"/>
            </w:pPr>
            <w:r w:rsidRPr="008006B6">
              <w:rPr>
                <w:b/>
              </w:rPr>
              <w:lastRenderedPageBreak/>
              <w:t>Table 2.</w:t>
            </w:r>
            <w:r w:rsidRPr="008006B6">
              <w:t xml:space="preserve"> </w:t>
            </w:r>
            <w:r w:rsidRPr="008006B6">
              <w:rPr>
                <w:b/>
              </w:rPr>
              <w:t>Baseline characteristics of the fall</w:t>
            </w:r>
          </w:p>
        </w:tc>
      </w:tr>
      <w:tr w:rsidR="001E4EEB" w:rsidRPr="006B4FFD" w14:paraId="13F9AB78" w14:textId="77777777" w:rsidTr="00A93E2B">
        <w:tc>
          <w:tcPr>
            <w:tcW w:w="1900" w:type="dxa"/>
          </w:tcPr>
          <w:p w14:paraId="17A86F3A" w14:textId="77777777" w:rsidR="001E4EEB" w:rsidRPr="006B4FFD" w:rsidRDefault="001E4EEB" w:rsidP="00A93E2B"/>
        </w:tc>
        <w:tc>
          <w:tcPr>
            <w:tcW w:w="1790" w:type="dxa"/>
          </w:tcPr>
          <w:p w14:paraId="33BFB599" w14:textId="77777777" w:rsidR="001E4EEB" w:rsidRPr="006B4FFD" w:rsidRDefault="001E4EEB" w:rsidP="00A93E2B"/>
        </w:tc>
        <w:tc>
          <w:tcPr>
            <w:tcW w:w="1507" w:type="dxa"/>
          </w:tcPr>
          <w:p w14:paraId="5CA68AE4" w14:textId="77777777" w:rsidR="001E4EEB" w:rsidRPr="006B4FFD" w:rsidRDefault="001E4EEB" w:rsidP="00A93E2B">
            <w:pPr>
              <w:jc w:val="center"/>
            </w:pPr>
            <w:r w:rsidRPr="006B4FFD">
              <w:t>Male</w:t>
            </w:r>
          </w:p>
          <w:p w14:paraId="7C2B44A3" w14:textId="77777777" w:rsidR="001E4EEB" w:rsidRPr="006B4FFD" w:rsidRDefault="001E4EEB" w:rsidP="00A93E2B">
            <w:pPr>
              <w:jc w:val="center"/>
            </w:pPr>
            <w:r w:rsidRPr="006B4FFD">
              <w:t>(n=116); % (n)</w:t>
            </w:r>
          </w:p>
        </w:tc>
        <w:tc>
          <w:tcPr>
            <w:tcW w:w="1529" w:type="dxa"/>
          </w:tcPr>
          <w:p w14:paraId="22F50C11" w14:textId="77777777" w:rsidR="001E4EEB" w:rsidRPr="006B4FFD" w:rsidRDefault="001E4EEB" w:rsidP="00A93E2B">
            <w:pPr>
              <w:jc w:val="center"/>
            </w:pPr>
            <w:r w:rsidRPr="006B4FFD">
              <w:t>Female</w:t>
            </w:r>
          </w:p>
          <w:p w14:paraId="2DDC9C8D" w14:textId="77777777" w:rsidR="001E4EEB" w:rsidRPr="006B4FFD" w:rsidRDefault="001E4EEB" w:rsidP="00A93E2B">
            <w:pPr>
              <w:jc w:val="center"/>
            </w:pPr>
            <w:r w:rsidRPr="006B4FFD">
              <w:t>(n=195);% (n)</w:t>
            </w:r>
          </w:p>
        </w:tc>
        <w:tc>
          <w:tcPr>
            <w:tcW w:w="1525" w:type="dxa"/>
          </w:tcPr>
          <w:p w14:paraId="036EA5CB" w14:textId="77777777" w:rsidR="001E4EEB" w:rsidRPr="006B4FFD" w:rsidRDefault="001E4EEB" w:rsidP="00A93E2B">
            <w:pPr>
              <w:jc w:val="center"/>
            </w:pPr>
            <w:r w:rsidRPr="006B4FFD">
              <w:t>Total</w:t>
            </w:r>
          </w:p>
          <w:p w14:paraId="46DB04AF" w14:textId="77777777" w:rsidR="001E4EEB" w:rsidRPr="006B4FFD" w:rsidRDefault="001E4EEB" w:rsidP="00A93E2B">
            <w:pPr>
              <w:jc w:val="center"/>
            </w:pPr>
            <w:r w:rsidRPr="006B4FFD">
              <w:t>(n=311);% (n)</w:t>
            </w:r>
          </w:p>
        </w:tc>
        <w:tc>
          <w:tcPr>
            <w:tcW w:w="805" w:type="dxa"/>
            <w:vAlign w:val="center"/>
          </w:tcPr>
          <w:p w14:paraId="5B4F804B" w14:textId="77777777" w:rsidR="001E4EEB" w:rsidRPr="006B4FFD" w:rsidRDefault="001E4EEB" w:rsidP="00A93E2B">
            <w:pPr>
              <w:jc w:val="center"/>
            </w:pPr>
            <w:r w:rsidRPr="006B4FFD">
              <w:t>P value</w:t>
            </w:r>
          </w:p>
        </w:tc>
      </w:tr>
      <w:tr w:rsidR="001E4EEB" w:rsidRPr="006B4FFD" w14:paraId="5B51EEAA" w14:textId="77777777" w:rsidTr="00A93E2B">
        <w:tc>
          <w:tcPr>
            <w:tcW w:w="1900" w:type="dxa"/>
            <w:vMerge w:val="restart"/>
          </w:tcPr>
          <w:p w14:paraId="6C33D57C" w14:textId="77777777" w:rsidR="001E4EEB" w:rsidRPr="006B4FFD" w:rsidRDefault="001E4EEB" w:rsidP="00A93E2B">
            <w:r w:rsidRPr="006B4FFD">
              <w:t>Location of fall*</w:t>
            </w:r>
          </w:p>
        </w:tc>
        <w:tc>
          <w:tcPr>
            <w:tcW w:w="1790" w:type="dxa"/>
          </w:tcPr>
          <w:p w14:paraId="1B91ED69" w14:textId="77777777" w:rsidR="001E4EEB" w:rsidRPr="006B4FFD" w:rsidRDefault="001E4EEB" w:rsidP="00A93E2B">
            <w:r w:rsidRPr="006B4FFD">
              <w:t>Home</w:t>
            </w:r>
          </w:p>
        </w:tc>
        <w:tc>
          <w:tcPr>
            <w:tcW w:w="1507" w:type="dxa"/>
          </w:tcPr>
          <w:p w14:paraId="484D9642" w14:textId="77777777" w:rsidR="001E4EEB" w:rsidRPr="006B4FFD" w:rsidRDefault="001E4EEB" w:rsidP="00A93E2B">
            <w:r w:rsidRPr="006B4FFD">
              <w:t>28,7 (27)</w:t>
            </w:r>
          </w:p>
        </w:tc>
        <w:tc>
          <w:tcPr>
            <w:tcW w:w="1529" w:type="dxa"/>
          </w:tcPr>
          <w:p w14:paraId="638A35E5" w14:textId="77777777" w:rsidR="001E4EEB" w:rsidRPr="006B4FFD" w:rsidRDefault="001E4EEB" w:rsidP="00A93E2B">
            <w:r w:rsidRPr="006B4FFD">
              <w:t>25,7 (38)</w:t>
            </w:r>
          </w:p>
        </w:tc>
        <w:tc>
          <w:tcPr>
            <w:tcW w:w="1525" w:type="dxa"/>
          </w:tcPr>
          <w:p w14:paraId="48427CD0" w14:textId="77777777" w:rsidR="001E4EEB" w:rsidRPr="006B4FFD" w:rsidRDefault="001E4EEB" w:rsidP="00A93E2B">
            <w:r w:rsidRPr="006B4FFD">
              <w:t>26,9 (65)</w:t>
            </w:r>
          </w:p>
        </w:tc>
        <w:tc>
          <w:tcPr>
            <w:tcW w:w="805" w:type="dxa"/>
            <w:vMerge w:val="restart"/>
            <w:vAlign w:val="center"/>
          </w:tcPr>
          <w:p w14:paraId="39BB239C" w14:textId="77777777" w:rsidR="001E4EEB" w:rsidRPr="006B4FFD" w:rsidRDefault="001E4EEB" w:rsidP="00A93E2B">
            <w:pPr>
              <w:jc w:val="center"/>
            </w:pPr>
            <w:r w:rsidRPr="006B4FFD">
              <w:t>0,075</w:t>
            </w:r>
          </w:p>
        </w:tc>
      </w:tr>
      <w:tr w:rsidR="001E4EEB" w:rsidRPr="006B4FFD" w14:paraId="3FFD9671" w14:textId="77777777" w:rsidTr="00A93E2B">
        <w:tc>
          <w:tcPr>
            <w:tcW w:w="1900" w:type="dxa"/>
            <w:vMerge/>
          </w:tcPr>
          <w:p w14:paraId="713DC52C" w14:textId="77777777" w:rsidR="001E4EEB" w:rsidRPr="006B4FFD" w:rsidRDefault="001E4EEB" w:rsidP="00A93E2B"/>
        </w:tc>
        <w:tc>
          <w:tcPr>
            <w:tcW w:w="1790" w:type="dxa"/>
          </w:tcPr>
          <w:p w14:paraId="69C22BE2" w14:textId="77777777" w:rsidR="001E4EEB" w:rsidRPr="006B4FFD" w:rsidRDefault="001E4EEB" w:rsidP="00A93E2B">
            <w:r w:rsidRPr="006B4FFD">
              <w:t>Outside</w:t>
            </w:r>
          </w:p>
        </w:tc>
        <w:tc>
          <w:tcPr>
            <w:tcW w:w="1507" w:type="dxa"/>
          </w:tcPr>
          <w:p w14:paraId="591A6387" w14:textId="77777777" w:rsidR="001E4EEB" w:rsidRPr="006B4FFD" w:rsidRDefault="001E4EEB" w:rsidP="00A93E2B">
            <w:r w:rsidRPr="006B4FFD">
              <w:t>71,3 (67)</w:t>
            </w:r>
          </w:p>
        </w:tc>
        <w:tc>
          <w:tcPr>
            <w:tcW w:w="1529" w:type="dxa"/>
          </w:tcPr>
          <w:p w14:paraId="6469177E" w14:textId="77777777" w:rsidR="001E4EEB" w:rsidRPr="006B4FFD" w:rsidRDefault="001E4EEB" w:rsidP="00A93E2B">
            <w:r w:rsidRPr="006B4FFD">
              <w:t>74,3 (110)</w:t>
            </w:r>
          </w:p>
        </w:tc>
        <w:tc>
          <w:tcPr>
            <w:tcW w:w="1525" w:type="dxa"/>
          </w:tcPr>
          <w:p w14:paraId="2EB73ABB" w14:textId="77777777" w:rsidR="001E4EEB" w:rsidRPr="006B4FFD" w:rsidRDefault="001E4EEB" w:rsidP="00A93E2B">
            <w:r w:rsidRPr="006B4FFD">
              <w:t>72,1 (177)</w:t>
            </w:r>
          </w:p>
        </w:tc>
        <w:tc>
          <w:tcPr>
            <w:tcW w:w="805" w:type="dxa"/>
            <w:vMerge/>
            <w:vAlign w:val="center"/>
          </w:tcPr>
          <w:p w14:paraId="4654D85F" w14:textId="77777777" w:rsidR="001E4EEB" w:rsidRPr="006B4FFD" w:rsidRDefault="001E4EEB" w:rsidP="00A93E2B">
            <w:pPr>
              <w:jc w:val="center"/>
            </w:pPr>
          </w:p>
        </w:tc>
      </w:tr>
      <w:tr w:rsidR="001E4EEB" w:rsidRPr="006B4FFD" w14:paraId="20E86BDB" w14:textId="77777777" w:rsidTr="00A93E2B">
        <w:tc>
          <w:tcPr>
            <w:tcW w:w="1900" w:type="dxa"/>
            <w:vMerge w:val="restart"/>
          </w:tcPr>
          <w:p w14:paraId="7E815665" w14:textId="77777777" w:rsidR="001E4EEB" w:rsidRPr="006B4FFD" w:rsidRDefault="001E4EEB" w:rsidP="00A93E2B">
            <w:r w:rsidRPr="006B4FFD">
              <w:t>Month/ Season</w:t>
            </w:r>
          </w:p>
        </w:tc>
        <w:tc>
          <w:tcPr>
            <w:tcW w:w="1790" w:type="dxa"/>
          </w:tcPr>
          <w:p w14:paraId="42DC6FBB" w14:textId="77777777" w:rsidR="001E4EEB" w:rsidRPr="006B4FFD" w:rsidRDefault="001E4EEB" w:rsidP="00A93E2B">
            <w:r w:rsidRPr="006B4FFD">
              <w:t>Summer</w:t>
            </w:r>
          </w:p>
        </w:tc>
        <w:tc>
          <w:tcPr>
            <w:tcW w:w="1507" w:type="dxa"/>
          </w:tcPr>
          <w:p w14:paraId="1DB72956" w14:textId="77777777" w:rsidR="001E4EEB" w:rsidRPr="006B4FFD" w:rsidRDefault="001E4EEB" w:rsidP="00A93E2B">
            <w:r w:rsidRPr="006B4FFD">
              <w:t>41,4 (48)</w:t>
            </w:r>
          </w:p>
        </w:tc>
        <w:tc>
          <w:tcPr>
            <w:tcW w:w="1529" w:type="dxa"/>
          </w:tcPr>
          <w:p w14:paraId="16B977E6" w14:textId="77777777" w:rsidR="001E4EEB" w:rsidRPr="006B4FFD" w:rsidRDefault="001E4EEB" w:rsidP="00A93E2B">
            <w:r w:rsidRPr="006B4FFD">
              <w:t>51,7 (101)</w:t>
            </w:r>
          </w:p>
        </w:tc>
        <w:tc>
          <w:tcPr>
            <w:tcW w:w="1525" w:type="dxa"/>
          </w:tcPr>
          <w:p w14:paraId="64397A1C" w14:textId="77777777" w:rsidR="001E4EEB" w:rsidRPr="006B4FFD" w:rsidRDefault="001E4EEB" w:rsidP="00A93E2B">
            <w:r w:rsidRPr="006B4FFD">
              <w:t>47,9 (149)</w:t>
            </w:r>
          </w:p>
        </w:tc>
        <w:tc>
          <w:tcPr>
            <w:tcW w:w="805" w:type="dxa"/>
            <w:vMerge w:val="restart"/>
            <w:vAlign w:val="center"/>
          </w:tcPr>
          <w:p w14:paraId="0C0E6FEC" w14:textId="77777777" w:rsidR="001E4EEB" w:rsidRPr="006B4FFD" w:rsidRDefault="001E4EEB" w:rsidP="00A93E2B">
            <w:pPr>
              <w:jc w:val="center"/>
            </w:pPr>
            <w:r w:rsidRPr="006B4FFD">
              <w:t>0,200</w:t>
            </w:r>
          </w:p>
        </w:tc>
      </w:tr>
      <w:tr w:rsidR="001E4EEB" w:rsidRPr="006B4FFD" w14:paraId="31CE130C" w14:textId="77777777" w:rsidTr="00A93E2B">
        <w:tc>
          <w:tcPr>
            <w:tcW w:w="1900" w:type="dxa"/>
            <w:vMerge/>
          </w:tcPr>
          <w:p w14:paraId="0F7E701A" w14:textId="77777777" w:rsidR="001E4EEB" w:rsidRPr="006B4FFD" w:rsidRDefault="001E4EEB" w:rsidP="00A93E2B"/>
        </w:tc>
        <w:tc>
          <w:tcPr>
            <w:tcW w:w="1790" w:type="dxa"/>
          </w:tcPr>
          <w:p w14:paraId="009F4A20" w14:textId="77777777" w:rsidR="001E4EEB" w:rsidRPr="006B4FFD" w:rsidRDefault="001E4EEB" w:rsidP="00A93E2B">
            <w:r w:rsidRPr="006B4FFD">
              <w:t>Autumn</w:t>
            </w:r>
          </w:p>
        </w:tc>
        <w:tc>
          <w:tcPr>
            <w:tcW w:w="1507" w:type="dxa"/>
          </w:tcPr>
          <w:p w14:paraId="79EB5555" w14:textId="77777777" w:rsidR="001E4EEB" w:rsidRPr="006B4FFD" w:rsidRDefault="001E4EEB" w:rsidP="00A93E2B">
            <w:r w:rsidRPr="006B4FFD">
              <w:t>20,7 (24)</w:t>
            </w:r>
          </w:p>
        </w:tc>
        <w:tc>
          <w:tcPr>
            <w:tcW w:w="1529" w:type="dxa"/>
          </w:tcPr>
          <w:p w14:paraId="5435A86C" w14:textId="77777777" w:rsidR="001E4EEB" w:rsidRPr="006B4FFD" w:rsidRDefault="001E4EEB" w:rsidP="00A93E2B">
            <w:r w:rsidRPr="006B4FFD">
              <w:t>23,2 (45)</w:t>
            </w:r>
          </w:p>
        </w:tc>
        <w:tc>
          <w:tcPr>
            <w:tcW w:w="1525" w:type="dxa"/>
          </w:tcPr>
          <w:p w14:paraId="298B1712" w14:textId="77777777" w:rsidR="001E4EEB" w:rsidRPr="006B4FFD" w:rsidRDefault="001E4EEB" w:rsidP="00A93E2B">
            <w:r w:rsidRPr="006B4FFD">
              <w:t>22,2 (69)</w:t>
            </w:r>
          </w:p>
        </w:tc>
        <w:tc>
          <w:tcPr>
            <w:tcW w:w="805" w:type="dxa"/>
            <w:vMerge/>
            <w:vAlign w:val="center"/>
          </w:tcPr>
          <w:p w14:paraId="5800CD3A" w14:textId="77777777" w:rsidR="001E4EEB" w:rsidRPr="006B4FFD" w:rsidRDefault="001E4EEB" w:rsidP="00A93E2B">
            <w:pPr>
              <w:jc w:val="center"/>
            </w:pPr>
          </w:p>
        </w:tc>
      </w:tr>
      <w:tr w:rsidR="001E4EEB" w:rsidRPr="006B4FFD" w14:paraId="04A3152D" w14:textId="77777777" w:rsidTr="00A93E2B">
        <w:tc>
          <w:tcPr>
            <w:tcW w:w="1900" w:type="dxa"/>
            <w:vMerge/>
          </w:tcPr>
          <w:p w14:paraId="49BD7931" w14:textId="77777777" w:rsidR="001E4EEB" w:rsidRPr="006B4FFD" w:rsidRDefault="001E4EEB" w:rsidP="00A93E2B"/>
        </w:tc>
        <w:tc>
          <w:tcPr>
            <w:tcW w:w="1790" w:type="dxa"/>
          </w:tcPr>
          <w:p w14:paraId="04DF31BC" w14:textId="77777777" w:rsidR="001E4EEB" w:rsidRPr="006B4FFD" w:rsidRDefault="001E4EEB" w:rsidP="00A93E2B">
            <w:r w:rsidRPr="006B4FFD">
              <w:t>Fall</w:t>
            </w:r>
          </w:p>
        </w:tc>
        <w:tc>
          <w:tcPr>
            <w:tcW w:w="1507" w:type="dxa"/>
          </w:tcPr>
          <w:p w14:paraId="0183A01D" w14:textId="77777777" w:rsidR="001E4EEB" w:rsidRPr="006B4FFD" w:rsidRDefault="001E4EEB" w:rsidP="00A93E2B">
            <w:r w:rsidRPr="006B4FFD">
              <w:t>24,1 (28)</w:t>
            </w:r>
          </w:p>
        </w:tc>
        <w:tc>
          <w:tcPr>
            <w:tcW w:w="1529" w:type="dxa"/>
          </w:tcPr>
          <w:p w14:paraId="31A22F75" w14:textId="77777777" w:rsidR="001E4EEB" w:rsidRPr="006B4FFD" w:rsidRDefault="001E4EEB" w:rsidP="00A93E2B">
            <w:r w:rsidRPr="006B4FFD">
              <w:t>16,9 (33)</w:t>
            </w:r>
          </w:p>
        </w:tc>
        <w:tc>
          <w:tcPr>
            <w:tcW w:w="1525" w:type="dxa"/>
          </w:tcPr>
          <w:p w14:paraId="36037AD1" w14:textId="77777777" w:rsidR="001E4EEB" w:rsidRPr="006B4FFD" w:rsidRDefault="001E4EEB" w:rsidP="00A93E2B">
            <w:r w:rsidRPr="006B4FFD">
              <w:t>19,6 (61)</w:t>
            </w:r>
          </w:p>
        </w:tc>
        <w:tc>
          <w:tcPr>
            <w:tcW w:w="805" w:type="dxa"/>
            <w:vMerge/>
            <w:vAlign w:val="center"/>
          </w:tcPr>
          <w:p w14:paraId="3E8B64B4" w14:textId="77777777" w:rsidR="001E4EEB" w:rsidRPr="006B4FFD" w:rsidRDefault="001E4EEB" w:rsidP="00A93E2B">
            <w:pPr>
              <w:jc w:val="center"/>
            </w:pPr>
          </w:p>
        </w:tc>
      </w:tr>
      <w:tr w:rsidR="001E4EEB" w:rsidRPr="006B4FFD" w14:paraId="7B2BCFC6" w14:textId="77777777" w:rsidTr="00A93E2B">
        <w:tc>
          <w:tcPr>
            <w:tcW w:w="1900" w:type="dxa"/>
            <w:vMerge/>
          </w:tcPr>
          <w:p w14:paraId="7F701345" w14:textId="77777777" w:rsidR="001E4EEB" w:rsidRPr="006B4FFD" w:rsidRDefault="001E4EEB" w:rsidP="00A93E2B"/>
        </w:tc>
        <w:tc>
          <w:tcPr>
            <w:tcW w:w="1790" w:type="dxa"/>
          </w:tcPr>
          <w:p w14:paraId="09A0398D" w14:textId="77777777" w:rsidR="001E4EEB" w:rsidRPr="006B4FFD" w:rsidRDefault="001E4EEB" w:rsidP="00A93E2B">
            <w:r w:rsidRPr="006B4FFD">
              <w:t>Winter</w:t>
            </w:r>
          </w:p>
        </w:tc>
        <w:tc>
          <w:tcPr>
            <w:tcW w:w="1507" w:type="dxa"/>
          </w:tcPr>
          <w:p w14:paraId="62CC96E2" w14:textId="77777777" w:rsidR="001E4EEB" w:rsidRPr="006B4FFD" w:rsidRDefault="001E4EEB" w:rsidP="00A93E2B">
            <w:r w:rsidRPr="006B4FFD">
              <w:t>13,8 (16)</w:t>
            </w:r>
          </w:p>
        </w:tc>
        <w:tc>
          <w:tcPr>
            <w:tcW w:w="1529" w:type="dxa"/>
          </w:tcPr>
          <w:p w14:paraId="5DC552F0" w14:textId="77777777" w:rsidR="001E4EEB" w:rsidRPr="006B4FFD" w:rsidRDefault="001E4EEB" w:rsidP="00A93E2B">
            <w:r w:rsidRPr="006B4FFD">
              <w:t>8,2 (16)</w:t>
            </w:r>
          </w:p>
        </w:tc>
        <w:tc>
          <w:tcPr>
            <w:tcW w:w="1525" w:type="dxa"/>
          </w:tcPr>
          <w:p w14:paraId="760B9E2C" w14:textId="77777777" w:rsidR="001E4EEB" w:rsidRPr="006B4FFD" w:rsidRDefault="001E4EEB" w:rsidP="00A93E2B">
            <w:r w:rsidRPr="006B4FFD">
              <w:t>10,3 (32)</w:t>
            </w:r>
          </w:p>
        </w:tc>
        <w:tc>
          <w:tcPr>
            <w:tcW w:w="805" w:type="dxa"/>
            <w:vMerge/>
            <w:vAlign w:val="center"/>
          </w:tcPr>
          <w:p w14:paraId="36BFE7C9" w14:textId="77777777" w:rsidR="001E4EEB" w:rsidRPr="006B4FFD" w:rsidRDefault="001E4EEB" w:rsidP="00A93E2B">
            <w:pPr>
              <w:jc w:val="center"/>
            </w:pPr>
          </w:p>
        </w:tc>
      </w:tr>
      <w:tr w:rsidR="001E4EEB" w:rsidRPr="006B4FFD" w14:paraId="263E40E0" w14:textId="77777777" w:rsidTr="00A93E2B">
        <w:tc>
          <w:tcPr>
            <w:tcW w:w="1900" w:type="dxa"/>
            <w:vMerge w:val="restart"/>
          </w:tcPr>
          <w:p w14:paraId="5ACEE340" w14:textId="77777777" w:rsidR="001E4EEB" w:rsidRPr="006B4FFD" w:rsidRDefault="001E4EEB" w:rsidP="00A93E2B">
            <w:r w:rsidRPr="006B4FFD">
              <w:t>Day</w:t>
            </w:r>
          </w:p>
        </w:tc>
        <w:tc>
          <w:tcPr>
            <w:tcW w:w="1790" w:type="dxa"/>
          </w:tcPr>
          <w:p w14:paraId="4DF1060F" w14:textId="77777777" w:rsidR="001E4EEB" w:rsidRPr="006B4FFD" w:rsidRDefault="001E4EEB" w:rsidP="00A93E2B">
            <w:r w:rsidRPr="006B4FFD">
              <w:t>Week days</w:t>
            </w:r>
          </w:p>
        </w:tc>
        <w:tc>
          <w:tcPr>
            <w:tcW w:w="1507" w:type="dxa"/>
          </w:tcPr>
          <w:p w14:paraId="3282584C" w14:textId="77777777" w:rsidR="001E4EEB" w:rsidRPr="006B4FFD" w:rsidRDefault="001E4EEB" w:rsidP="00A93E2B">
            <w:r w:rsidRPr="006B4FFD">
              <w:t>69,8 (81)</w:t>
            </w:r>
          </w:p>
        </w:tc>
        <w:tc>
          <w:tcPr>
            <w:tcW w:w="1529" w:type="dxa"/>
          </w:tcPr>
          <w:p w14:paraId="4D823632" w14:textId="77777777" w:rsidR="001E4EEB" w:rsidRPr="006B4FFD" w:rsidRDefault="001E4EEB" w:rsidP="00A93E2B">
            <w:r w:rsidRPr="006B4FFD">
              <w:t>76,4 (149)</w:t>
            </w:r>
          </w:p>
        </w:tc>
        <w:tc>
          <w:tcPr>
            <w:tcW w:w="1525" w:type="dxa"/>
          </w:tcPr>
          <w:p w14:paraId="17660D29" w14:textId="77777777" w:rsidR="001E4EEB" w:rsidRPr="006B4FFD" w:rsidRDefault="001E4EEB" w:rsidP="00A93E2B">
            <w:r w:rsidRPr="006B4FFD">
              <w:t>74,0 (230)</w:t>
            </w:r>
          </w:p>
        </w:tc>
        <w:tc>
          <w:tcPr>
            <w:tcW w:w="805" w:type="dxa"/>
            <w:vMerge w:val="restart"/>
            <w:vAlign w:val="center"/>
          </w:tcPr>
          <w:p w14:paraId="41138E13" w14:textId="77777777" w:rsidR="001E4EEB" w:rsidRPr="006B4FFD" w:rsidRDefault="001E4EEB" w:rsidP="00A93E2B">
            <w:pPr>
              <w:jc w:val="center"/>
            </w:pPr>
            <w:r w:rsidRPr="006B4FFD">
              <w:t>0,138</w:t>
            </w:r>
          </w:p>
        </w:tc>
      </w:tr>
      <w:tr w:rsidR="001E4EEB" w:rsidRPr="006B4FFD" w14:paraId="3913BA03" w14:textId="77777777" w:rsidTr="00A93E2B">
        <w:tc>
          <w:tcPr>
            <w:tcW w:w="1900" w:type="dxa"/>
            <w:vMerge/>
          </w:tcPr>
          <w:p w14:paraId="3D4BA046" w14:textId="77777777" w:rsidR="001E4EEB" w:rsidRPr="006B4FFD" w:rsidRDefault="001E4EEB" w:rsidP="00A93E2B"/>
        </w:tc>
        <w:tc>
          <w:tcPr>
            <w:tcW w:w="1790" w:type="dxa"/>
          </w:tcPr>
          <w:p w14:paraId="19508189" w14:textId="77777777" w:rsidR="001E4EEB" w:rsidRPr="006B4FFD" w:rsidRDefault="001E4EEB" w:rsidP="00A93E2B">
            <w:r w:rsidRPr="006B4FFD">
              <w:t>Weekend</w:t>
            </w:r>
          </w:p>
        </w:tc>
        <w:tc>
          <w:tcPr>
            <w:tcW w:w="1507" w:type="dxa"/>
          </w:tcPr>
          <w:p w14:paraId="40863205" w14:textId="77777777" w:rsidR="001E4EEB" w:rsidRPr="006B4FFD" w:rsidRDefault="001E4EEB" w:rsidP="00A93E2B">
            <w:r w:rsidRPr="006B4FFD">
              <w:t>30,2 (35)</w:t>
            </w:r>
          </w:p>
        </w:tc>
        <w:tc>
          <w:tcPr>
            <w:tcW w:w="1529" w:type="dxa"/>
          </w:tcPr>
          <w:p w14:paraId="7739CE11" w14:textId="77777777" w:rsidR="001E4EEB" w:rsidRPr="006B4FFD" w:rsidRDefault="001E4EEB" w:rsidP="00A93E2B">
            <w:r w:rsidRPr="006B4FFD">
              <w:t>23,7 (46)</w:t>
            </w:r>
          </w:p>
        </w:tc>
        <w:tc>
          <w:tcPr>
            <w:tcW w:w="1525" w:type="dxa"/>
          </w:tcPr>
          <w:p w14:paraId="7FA363B9" w14:textId="77777777" w:rsidR="001E4EEB" w:rsidRPr="006B4FFD" w:rsidRDefault="001E4EEB" w:rsidP="00A93E2B">
            <w:r w:rsidRPr="006B4FFD">
              <w:t>26,0 (81)</w:t>
            </w:r>
          </w:p>
        </w:tc>
        <w:tc>
          <w:tcPr>
            <w:tcW w:w="805" w:type="dxa"/>
            <w:vMerge/>
            <w:vAlign w:val="center"/>
          </w:tcPr>
          <w:p w14:paraId="3A35B2A8" w14:textId="77777777" w:rsidR="001E4EEB" w:rsidRPr="006B4FFD" w:rsidRDefault="001E4EEB" w:rsidP="00A93E2B">
            <w:pPr>
              <w:jc w:val="center"/>
            </w:pPr>
          </w:p>
        </w:tc>
      </w:tr>
      <w:tr w:rsidR="001E4EEB" w:rsidRPr="006B4FFD" w14:paraId="081AE953" w14:textId="77777777" w:rsidTr="00A93E2B">
        <w:tc>
          <w:tcPr>
            <w:tcW w:w="1900" w:type="dxa"/>
            <w:vMerge w:val="restart"/>
          </w:tcPr>
          <w:p w14:paraId="44D3DCE8" w14:textId="77777777" w:rsidR="001E4EEB" w:rsidRPr="006B4FFD" w:rsidRDefault="001E4EEB" w:rsidP="00A93E2B">
            <w:r w:rsidRPr="006B4FFD">
              <w:t>Time**</w:t>
            </w:r>
          </w:p>
        </w:tc>
        <w:tc>
          <w:tcPr>
            <w:tcW w:w="1790" w:type="dxa"/>
          </w:tcPr>
          <w:p w14:paraId="0ECE85A1" w14:textId="77777777" w:rsidR="001E4EEB" w:rsidRPr="006B4FFD" w:rsidRDefault="001E4EEB" w:rsidP="00A93E2B">
            <w:r w:rsidRPr="006B4FFD">
              <w:t>06-18</w:t>
            </w:r>
          </w:p>
        </w:tc>
        <w:tc>
          <w:tcPr>
            <w:tcW w:w="1507" w:type="dxa"/>
          </w:tcPr>
          <w:p w14:paraId="23E920B2" w14:textId="77777777" w:rsidR="001E4EEB" w:rsidRPr="006B4FFD" w:rsidRDefault="001E4EEB" w:rsidP="00A93E2B">
            <w:r w:rsidRPr="006B4FFD">
              <w:t>82,3 (79)</w:t>
            </w:r>
          </w:p>
        </w:tc>
        <w:tc>
          <w:tcPr>
            <w:tcW w:w="1529" w:type="dxa"/>
          </w:tcPr>
          <w:p w14:paraId="419810C6" w14:textId="77777777" w:rsidR="001E4EEB" w:rsidRPr="006B4FFD" w:rsidRDefault="001E4EEB" w:rsidP="00A93E2B">
            <w:r w:rsidRPr="006B4FFD">
              <w:t>73,0 (125)</w:t>
            </w:r>
          </w:p>
        </w:tc>
        <w:tc>
          <w:tcPr>
            <w:tcW w:w="1525" w:type="dxa"/>
          </w:tcPr>
          <w:p w14:paraId="01C85A0B" w14:textId="77777777" w:rsidR="001E4EEB" w:rsidRPr="006B4FFD" w:rsidRDefault="001E4EEB" w:rsidP="00A93E2B">
            <w:r w:rsidRPr="006B4FFD">
              <w:t>76,4 (204)</w:t>
            </w:r>
          </w:p>
        </w:tc>
        <w:tc>
          <w:tcPr>
            <w:tcW w:w="805" w:type="dxa"/>
            <w:vMerge w:val="restart"/>
            <w:vAlign w:val="center"/>
          </w:tcPr>
          <w:p w14:paraId="7E3310DD" w14:textId="77777777" w:rsidR="001E4EEB" w:rsidRPr="006B4FFD" w:rsidRDefault="001E4EEB" w:rsidP="00A93E2B">
            <w:pPr>
              <w:jc w:val="center"/>
              <w:rPr>
                <w:b/>
              </w:rPr>
            </w:pPr>
            <w:r w:rsidRPr="006B4FFD">
              <w:rPr>
                <w:b/>
              </w:rPr>
              <w:t>0,016</w:t>
            </w:r>
          </w:p>
        </w:tc>
      </w:tr>
      <w:tr w:rsidR="001E4EEB" w:rsidRPr="006B4FFD" w14:paraId="70FBE489" w14:textId="77777777" w:rsidTr="00A93E2B">
        <w:tc>
          <w:tcPr>
            <w:tcW w:w="1900" w:type="dxa"/>
            <w:vMerge/>
          </w:tcPr>
          <w:p w14:paraId="0B75C316" w14:textId="77777777" w:rsidR="001E4EEB" w:rsidRPr="006B4FFD" w:rsidRDefault="001E4EEB" w:rsidP="00A93E2B"/>
        </w:tc>
        <w:tc>
          <w:tcPr>
            <w:tcW w:w="1790" w:type="dxa"/>
          </w:tcPr>
          <w:p w14:paraId="3FC9E3BB" w14:textId="77777777" w:rsidR="001E4EEB" w:rsidRPr="006B4FFD" w:rsidRDefault="001E4EEB" w:rsidP="00A93E2B">
            <w:r w:rsidRPr="006B4FFD">
              <w:t>18-06</w:t>
            </w:r>
          </w:p>
        </w:tc>
        <w:tc>
          <w:tcPr>
            <w:tcW w:w="1507" w:type="dxa"/>
          </w:tcPr>
          <w:p w14:paraId="3F325460" w14:textId="77777777" w:rsidR="001E4EEB" w:rsidRPr="006B4FFD" w:rsidRDefault="001E4EEB" w:rsidP="00A93E2B">
            <w:r w:rsidRPr="006B4FFD">
              <w:t>17,7 (17)</w:t>
            </w:r>
          </w:p>
        </w:tc>
        <w:tc>
          <w:tcPr>
            <w:tcW w:w="1529" w:type="dxa"/>
          </w:tcPr>
          <w:p w14:paraId="08DBBFBE" w14:textId="77777777" w:rsidR="001E4EEB" w:rsidRPr="006B4FFD" w:rsidRDefault="001E4EEB" w:rsidP="00A93E2B">
            <w:r w:rsidRPr="006B4FFD">
              <w:t>27,0 (46)</w:t>
            </w:r>
          </w:p>
        </w:tc>
        <w:tc>
          <w:tcPr>
            <w:tcW w:w="1525" w:type="dxa"/>
          </w:tcPr>
          <w:p w14:paraId="71579FD5" w14:textId="77777777" w:rsidR="001E4EEB" w:rsidRPr="006B4FFD" w:rsidRDefault="001E4EEB" w:rsidP="00A93E2B">
            <w:r w:rsidRPr="006B4FFD">
              <w:t>23,7 (63)</w:t>
            </w:r>
          </w:p>
        </w:tc>
        <w:tc>
          <w:tcPr>
            <w:tcW w:w="805" w:type="dxa"/>
            <w:vMerge/>
          </w:tcPr>
          <w:p w14:paraId="499B96FB" w14:textId="77777777" w:rsidR="001E4EEB" w:rsidRPr="006B4FFD" w:rsidRDefault="001E4EEB" w:rsidP="00A93E2B"/>
        </w:tc>
      </w:tr>
      <w:tr w:rsidR="001E4EEB" w:rsidRPr="006B4FFD" w14:paraId="678C0BA0" w14:textId="77777777" w:rsidTr="00A93E2B">
        <w:tc>
          <w:tcPr>
            <w:tcW w:w="1900" w:type="dxa"/>
            <w:vMerge w:val="restart"/>
          </w:tcPr>
          <w:p w14:paraId="0A7B554F" w14:textId="77777777" w:rsidR="001E4EEB" w:rsidRPr="006B4FFD" w:rsidRDefault="001E4EEB" w:rsidP="00A93E2B">
            <w:r w:rsidRPr="006B4FFD">
              <w:t>Exposed area***</w:t>
            </w:r>
          </w:p>
        </w:tc>
        <w:tc>
          <w:tcPr>
            <w:tcW w:w="1790" w:type="dxa"/>
          </w:tcPr>
          <w:p w14:paraId="38845CCA" w14:textId="77777777" w:rsidR="001E4EEB" w:rsidRPr="006B4FFD" w:rsidRDefault="001E4EEB" w:rsidP="00A93E2B">
            <w:r w:rsidRPr="006B4FFD">
              <w:t>Head</w:t>
            </w:r>
          </w:p>
        </w:tc>
        <w:tc>
          <w:tcPr>
            <w:tcW w:w="1507" w:type="dxa"/>
          </w:tcPr>
          <w:p w14:paraId="48E887DA" w14:textId="77777777" w:rsidR="001E4EEB" w:rsidRPr="006B4FFD" w:rsidRDefault="001E4EEB" w:rsidP="00A93E2B">
            <w:r w:rsidRPr="006B4FFD">
              <w:t>24,1 (28)</w:t>
            </w:r>
          </w:p>
        </w:tc>
        <w:tc>
          <w:tcPr>
            <w:tcW w:w="1529" w:type="dxa"/>
          </w:tcPr>
          <w:p w14:paraId="1BB08133" w14:textId="77777777" w:rsidR="001E4EEB" w:rsidRPr="006B4FFD" w:rsidRDefault="001E4EEB" w:rsidP="00A93E2B">
            <w:r w:rsidRPr="006B4FFD">
              <w:t xml:space="preserve">27,1 (53) </w:t>
            </w:r>
          </w:p>
        </w:tc>
        <w:tc>
          <w:tcPr>
            <w:tcW w:w="1525" w:type="dxa"/>
          </w:tcPr>
          <w:p w14:paraId="5D59548C" w14:textId="77777777" w:rsidR="001E4EEB" w:rsidRPr="006B4FFD" w:rsidRDefault="001E4EEB" w:rsidP="00A93E2B">
            <w:r w:rsidRPr="006B4FFD">
              <w:t>26,0 (81)</w:t>
            </w:r>
          </w:p>
        </w:tc>
        <w:tc>
          <w:tcPr>
            <w:tcW w:w="805" w:type="dxa"/>
            <w:vMerge w:val="restart"/>
            <w:vAlign w:val="center"/>
          </w:tcPr>
          <w:p w14:paraId="470D6297" w14:textId="77777777" w:rsidR="001E4EEB" w:rsidRPr="006B4FFD" w:rsidRDefault="001E4EEB" w:rsidP="00A93E2B">
            <w:pPr>
              <w:jc w:val="center"/>
            </w:pPr>
            <w:r w:rsidRPr="006B4FFD">
              <w:t>0,683</w:t>
            </w:r>
          </w:p>
        </w:tc>
      </w:tr>
      <w:tr w:rsidR="001E4EEB" w:rsidRPr="006B4FFD" w14:paraId="67EC5790" w14:textId="77777777" w:rsidTr="00A93E2B">
        <w:tc>
          <w:tcPr>
            <w:tcW w:w="1900" w:type="dxa"/>
            <w:vMerge/>
          </w:tcPr>
          <w:p w14:paraId="02A6F1FD" w14:textId="77777777" w:rsidR="001E4EEB" w:rsidRPr="006B4FFD" w:rsidRDefault="001E4EEB" w:rsidP="00A93E2B"/>
        </w:tc>
        <w:tc>
          <w:tcPr>
            <w:tcW w:w="1790" w:type="dxa"/>
          </w:tcPr>
          <w:p w14:paraId="599E29DC" w14:textId="77777777" w:rsidR="001E4EEB" w:rsidRPr="006B4FFD" w:rsidRDefault="001E4EEB" w:rsidP="00A93E2B">
            <w:r w:rsidRPr="006B4FFD">
              <w:t>U extremity</w:t>
            </w:r>
          </w:p>
        </w:tc>
        <w:tc>
          <w:tcPr>
            <w:tcW w:w="1507" w:type="dxa"/>
          </w:tcPr>
          <w:p w14:paraId="23B8CA8C" w14:textId="77777777" w:rsidR="001E4EEB" w:rsidRPr="006B4FFD" w:rsidRDefault="001E4EEB" w:rsidP="00A93E2B">
            <w:r w:rsidRPr="006B4FFD">
              <w:t>42,2 (49)</w:t>
            </w:r>
          </w:p>
        </w:tc>
        <w:tc>
          <w:tcPr>
            <w:tcW w:w="1529" w:type="dxa"/>
          </w:tcPr>
          <w:p w14:paraId="033F1D60" w14:textId="77777777" w:rsidR="001E4EEB" w:rsidRPr="006B4FFD" w:rsidRDefault="001E4EEB" w:rsidP="00A93E2B">
            <w:r w:rsidRPr="006B4FFD">
              <w:t>39,4 (77)</w:t>
            </w:r>
          </w:p>
        </w:tc>
        <w:tc>
          <w:tcPr>
            <w:tcW w:w="1525" w:type="dxa"/>
          </w:tcPr>
          <w:p w14:paraId="2756AE6A" w14:textId="77777777" w:rsidR="001E4EEB" w:rsidRPr="006B4FFD" w:rsidRDefault="001E4EEB" w:rsidP="00A93E2B">
            <w:r w:rsidRPr="006B4FFD">
              <w:t>40,5 (126)</w:t>
            </w:r>
          </w:p>
        </w:tc>
        <w:tc>
          <w:tcPr>
            <w:tcW w:w="805" w:type="dxa"/>
            <w:vMerge/>
            <w:vAlign w:val="center"/>
          </w:tcPr>
          <w:p w14:paraId="436DD760" w14:textId="77777777" w:rsidR="001E4EEB" w:rsidRPr="006B4FFD" w:rsidRDefault="001E4EEB" w:rsidP="00A93E2B">
            <w:pPr>
              <w:jc w:val="center"/>
            </w:pPr>
          </w:p>
        </w:tc>
      </w:tr>
      <w:tr w:rsidR="001E4EEB" w:rsidRPr="006B4FFD" w14:paraId="6A6935CF" w14:textId="77777777" w:rsidTr="00A93E2B">
        <w:tc>
          <w:tcPr>
            <w:tcW w:w="1900" w:type="dxa"/>
            <w:vMerge/>
          </w:tcPr>
          <w:p w14:paraId="70E81969" w14:textId="77777777" w:rsidR="001E4EEB" w:rsidRPr="006B4FFD" w:rsidRDefault="001E4EEB" w:rsidP="00A93E2B"/>
        </w:tc>
        <w:tc>
          <w:tcPr>
            <w:tcW w:w="1790" w:type="dxa"/>
          </w:tcPr>
          <w:p w14:paraId="1323B2C7" w14:textId="77777777" w:rsidR="001E4EEB" w:rsidRPr="006B4FFD" w:rsidRDefault="001E4EEB" w:rsidP="00A93E2B">
            <w:r w:rsidRPr="006B4FFD">
              <w:t>L extremity</w:t>
            </w:r>
          </w:p>
        </w:tc>
        <w:tc>
          <w:tcPr>
            <w:tcW w:w="1507" w:type="dxa"/>
          </w:tcPr>
          <w:p w14:paraId="5B8E49D8" w14:textId="77777777" w:rsidR="001E4EEB" w:rsidRPr="006B4FFD" w:rsidRDefault="001E4EEB" w:rsidP="00A93E2B">
            <w:r w:rsidRPr="006B4FFD">
              <w:t>27,5 (32)</w:t>
            </w:r>
          </w:p>
        </w:tc>
        <w:tc>
          <w:tcPr>
            <w:tcW w:w="1529" w:type="dxa"/>
          </w:tcPr>
          <w:p w14:paraId="7CB3BD3B" w14:textId="77777777" w:rsidR="001E4EEB" w:rsidRPr="006B4FFD" w:rsidRDefault="001E4EEB" w:rsidP="00A93E2B">
            <w:r w:rsidRPr="006B4FFD">
              <w:t>35,8 (70)</w:t>
            </w:r>
          </w:p>
        </w:tc>
        <w:tc>
          <w:tcPr>
            <w:tcW w:w="1525" w:type="dxa"/>
          </w:tcPr>
          <w:p w14:paraId="166F7181" w14:textId="77777777" w:rsidR="001E4EEB" w:rsidRPr="006B4FFD" w:rsidRDefault="001E4EEB" w:rsidP="00A93E2B">
            <w:r w:rsidRPr="006B4FFD">
              <w:t>32,7 (102)</w:t>
            </w:r>
          </w:p>
        </w:tc>
        <w:tc>
          <w:tcPr>
            <w:tcW w:w="805" w:type="dxa"/>
            <w:vMerge/>
            <w:vAlign w:val="center"/>
          </w:tcPr>
          <w:p w14:paraId="4C621916" w14:textId="77777777" w:rsidR="001E4EEB" w:rsidRPr="006B4FFD" w:rsidRDefault="001E4EEB" w:rsidP="00A93E2B">
            <w:pPr>
              <w:jc w:val="center"/>
            </w:pPr>
          </w:p>
        </w:tc>
      </w:tr>
      <w:tr w:rsidR="001E4EEB" w:rsidRPr="006B4FFD" w14:paraId="701F7A07" w14:textId="77777777" w:rsidTr="00A93E2B">
        <w:tc>
          <w:tcPr>
            <w:tcW w:w="1900" w:type="dxa"/>
            <w:vMerge/>
          </w:tcPr>
          <w:p w14:paraId="614237B7" w14:textId="77777777" w:rsidR="001E4EEB" w:rsidRPr="006B4FFD" w:rsidRDefault="001E4EEB" w:rsidP="00A93E2B"/>
        </w:tc>
        <w:tc>
          <w:tcPr>
            <w:tcW w:w="1790" w:type="dxa"/>
          </w:tcPr>
          <w:p w14:paraId="44604870" w14:textId="77777777" w:rsidR="001E4EEB" w:rsidRPr="006B4FFD" w:rsidRDefault="001E4EEB" w:rsidP="00A93E2B">
            <w:r w:rsidRPr="006B4FFD">
              <w:t>Dorsal area</w:t>
            </w:r>
          </w:p>
        </w:tc>
        <w:tc>
          <w:tcPr>
            <w:tcW w:w="1507" w:type="dxa"/>
          </w:tcPr>
          <w:p w14:paraId="3CC7CC2D" w14:textId="77777777" w:rsidR="001E4EEB" w:rsidRPr="006B4FFD" w:rsidRDefault="001E4EEB" w:rsidP="00A93E2B">
            <w:r w:rsidRPr="006B4FFD">
              <w:t>12,0 (14)</w:t>
            </w:r>
          </w:p>
        </w:tc>
        <w:tc>
          <w:tcPr>
            <w:tcW w:w="1529" w:type="dxa"/>
          </w:tcPr>
          <w:p w14:paraId="57F0ABDE" w14:textId="77777777" w:rsidR="001E4EEB" w:rsidRPr="006B4FFD" w:rsidRDefault="001E4EEB" w:rsidP="00A93E2B">
            <w:r w:rsidRPr="006B4FFD">
              <w:t>8,2 (16)</w:t>
            </w:r>
          </w:p>
        </w:tc>
        <w:tc>
          <w:tcPr>
            <w:tcW w:w="1525" w:type="dxa"/>
          </w:tcPr>
          <w:p w14:paraId="46FE5577" w14:textId="77777777" w:rsidR="001E4EEB" w:rsidRPr="006B4FFD" w:rsidRDefault="001E4EEB" w:rsidP="00A93E2B">
            <w:r w:rsidRPr="006B4FFD">
              <w:t>9,6 (30)</w:t>
            </w:r>
          </w:p>
        </w:tc>
        <w:tc>
          <w:tcPr>
            <w:tcW w:w="805" w:type="dxa"/>
            <w:vMerge/>
            <w:vAlign w:val="center"/>
          </w:tcPr>
          <w:p w14:paraId="26218CB3" w14:textId="77777777" w:rsidR="001E4EEB" w:rsidRPr="006B4FFD" w:rsidRDefault="001E4EEB" w:rsidP="00A93E2B">
            <w:pPr>
              <w:jc w:val="center"/>
            </w:pPr>
          </w:p>
        </w:tc>
      </w:tr>
      <w:tr w:rsidR="001E4EEB" w:rsidRPr="006B4FFD" w14:paraId="2B275918" w14:textId="77777777" w:rsidTr="00A93E2B">
        <w:trPr>
          <w:trHeight w:val="838"/>
        </w:trPr>
        <w:tc>
          <w:tcPr>
            <w:tcW w:w="1900" w:type="dxa"/>
            <w:vMerge/>
          </w:tcPr>
          <w:p w14:paraId="029957EE" w14:textId="77777777" w:rsidR="001E4EEB" w:rsidRPr="006B4FFD" w:rsidRDefault="001E4EEB" w:rsidP="00A93E2B"/>
        </w:tc>
        <w:tc>
          <w:tcPr>
            <w:tcW w:w="1790" w:type="dxa"/>
          </w:tcPr>
          <w:p w14:paraId="4FCF02D4" w14:textId="77777777" w:rsidR="001E4EEB" w:rsidRPr="006B4FFD" w:rsidRDefault="001E4EEB" w:rsidP="00A93E2B">
            <w:r w:rsidRPr="006B4FFD">
              <w:t>Thoracic area and/ or abdomen</w:t>
            </w:r>
          </w:p>
        </w:tc>
        <w:tc>
          <w:tcPr>
            <w:tcW w:w="1507" w:type="dxa"/>
          </w:tcPr>
          <w:p w14:paraId="53AC4FCA" w14:textId="77777777" w:rsidR="001E4EEB" w:rsidRPr="006B4FFD" w:rsidRDefault="001E4EEB" w:rsidP="00A93E2B">
            <w:r w:rsidRPr="006B4FFD">
              <w:t>8,6 (10)</w:t>
            </w:r>
          </w:p>
        </w:tc>
        <w:tc>
          <w:tcPr>
            <w:tcW w:w="1529" w:type="dxa"/>
          </w:tcPr>
          <w:p w14:paraId="147DE1E3" w14:textId="77777777" w:rsidR="001E4EEB" w:rsidRPr="006B4FFD" w:rsidRDefault="001E4EEB" w:rsidP="00A93E2B">
            <w:r w:rsidRPr="006B4FFD">
              <w:t>11,7 (23)</w:t>
            </w:r>
          </w:p>
        </w:tc>
        <w:tc>
          <w:tcPr>
            <w:tcW w:w="1525" w:type="dxa"/>
          </w:tcPr>
          <w:p w14:paraId="3C4F6B5A" w14:textId="77777777" w:rsidR="001E4EEB" w:rsidRPr="006B4FFD" w:rsidRDefault="001E4EEB" w:rsidP="00A93E2B">
            <w:r w:rsidRPr="006B4FFD">
              <w:t>10,6 (33)</w:t>
            </w:r>
          </w:p>
        </w:tc>
        <w:tc>
          <w:tcPr>
            <w:tcW w:w="805" w:type="dxa"/>
            <w:vMerge/>
            <w:vAlign w:val="center"/>
          </w:tcPr>
          <w:p w14:paraId="4DD623C7" w14:textId="77777777" w:rsidR="001E4EEB" w:rsidRPr="006B4FFD" w:rsidRDefault="001E4EEB" w:rsidP="00A93E2B">
            <w:pPr>
              <w:jc w:val="center"/>
            </w:pPr>
          </w:p>
        </w:tc>
      </w:tr>
      <w:tr w:rsidR="001E4EEB" w:rsidRPr="006B4FFD" w14:paraId="448E4980" w14:textId="77777777" w:rsidTr="00A93E2B">
        <w:tc>
          <w:tcPr>
            <w:tcW w:w="1900" w:type="dxa"/>
          </w:tcPr>
          <w:p w14:paraId="1F91B25B" w14:textId="77777777" w:rsidR="001E4EEB" w:rsidRPr="006B4FFD" w:rsidRDefault="001E4EEB" w:rsidP="00A93E2B">
            <w:pPr>
              <w:jc w:val="left"/>
            </w:pPr>
            <w:r w:rsidRPr="006B4FFD">
              <w:t>Presence of fracture****</w:t>
            </w:r>
          </w:p>
        </w:tc>
        <w:tc>
          <w:tcPr>
            <w:tcW w:w="1790" w:type="dxa"/>
          </w:tcPr>
          <w:p w14:paraId="33740F39" w14:textId="77777777" w:rsidR="001E4EEB" w:rsidRPr="006B4FFD" w:rsidRDefault="001E4EEB" w:rsidP="00A93E2B">
            <w:r w:rsidRPr="006B4FFD">
              <w:t>Yes</w:t>
            </w:r>
          </w:p>
        </w:tc>
        <w:tc>
          <w:tcPr>
            <w:tcW w:w="1507" w:type="dxa"/>
          </w:tcPr>
          <w:p w14:paraId="0678C019" w14:textId="77777777" w:rsidR="001E4EEB" w:rsidRPr="006B4FFD" w:rsidRDefault="001E4EEB" w:rsidP="00A93E2B">
            <w:r w:rsidRPr="006B4FFD">
              <w:t>14,0 (16)</w:t>
            </w:r>
          </w:p>
        </w:tc>
        <w:tc>
          <w:tcPr>
            <w:tcW w:w="1529" w:type="dxa"/>
          </w:tcPr>
          <w:p w14:paraId="616E3002" w14:textId="77777777" w:rsidR="001E4EEB" w:rsidRPr="006B4FFD" w:rsidRDefault="001E4EEB" w:rsidP="00A93E2B">
            <w:r w:rsidRPr="006B4FFD">
              <w:t>14,4 (28)</w:t>
            </w:r>
          </w:p>
        </w:tc>
        <w:tc>
          <w:tcPr>
            <w:tcW w:w="1525" w:type="dxa"/>
          </w:tcPr>
          <w:p w14:paraId="5B34AE04" w14:textId="77777777" w:rsidR="001E4EEB" w:rsidRPr="006B4FFD" w:rsidRDefault="001E4EEB" w:rsidP="00A93E2B">
            <w:r w:rsidRPr="006B4FFD">
              <w:t>14,4 (44)</w:t>
            </w:r>
          </w:p>
        </w:tc>
        <w:tc>
          <w:tcPr>
            <w:tcW w:w="805" w:type="dxa"/>
            <w:vAlign w:val="center"/>
          </w:tcPr>
          <w:p w14:paraId="0F04C1DF" w14:textId="77777777" w:rsidR="001E4EEB" w:rsidRPr="006B4FFD" w:rsidRDefault="001E4EEB" w:rsidP="00A93E2B">
            <w:pPr>
              <w:jc w:val="center"/>
            </w:pPr>
            <w:r w:rsidRPr="006B4FFD">
              <w:t>0,454</w:t>
            </w:r>
          </w:p>
        </w:tc>
      </w:tr>
      <w:tr w:rsidR="001E4EEB" w:rsidRPr="006B4FFD" w14:paraId="75E9F247" w14:textId="77777777" w:rsidTr="00A93E2B">
        <w:tc>
          <w:tcPr>
            <w:tcW w:w="1900" w:type="dxa"/>
            <w:vMerge w:val="restart"/>
          </w:tcPr>
          <w:p w14:paraId="21A683E6" w14:textId="77777777" w:rsidR="001E4EEB" w:rsidRPr="006B4FFD" w:rsidRDefault="001E4EEB" w:rsidP="00A93E2B">
            <w:r w:rsidRPr="006B4FFD">
              <w:t>Result</w:t>
            </w:r>
          </w:p>
        </w:tc>
        <w:tc>
          <w:tcPr>
            <w:tcW w:w="1790" w:type="dxa"/>
          </w:tcPr>
          <w:p w14:paraId="0C1EE493" w14:textId="77777777" w:rsidR="001E4EEB" w:rsidRPr="006B4FFD" w:rsidRDefault="001E4EEB" w:rsidP="00A93E2B">
            <w:r w:rsidRPr="006B4FFD">
              <w:t>Discharged</w:t>
            </w:r>
          </w:p>
        </w:tc>
        <w:tc>
          <w:tcPr>
            <w:tcW w:w="1507" w:type="dxa"/>
          </w:tcPr>
          <w:p w14:paraId="1833A2F6" w14:textId="77777777" w:rsidR="001E4EEB" w:rsidRPr="006B4FFD" w:rsidRDefault="001E4EEB" w:rsidP="00A93E2B">
            <w:r w:rsidRPr="006B4FFD">
              <w:t>75,0 (87)</w:t>
            </w:r>
          </w:p>
        </w:tc>
        <w:tc>
          <w:tcPr>
            <w:tcW w:w="1529" w:type="dxa"/>
          </w:tcPr>
          <w:p w14:paraId="0FFF7CC1" w14:textId="77777777" w:rsidR="001E4EEB" w:rsidRPr="006B4FFD" w:rsidRDefault="001E4EEB" w:rsidP="00A93E2B">
            <w:r w:rsidRPr="006B4FFD">
              <w:t>72,3 (141)</w:t>
            </w:r>
          </w:p>
        </w:tc>
        <w:tc>
          <w:tcPr>
            <w:tcW w:w="1525" w:type="dxa"/>
          </w:tcPr>
          <w:p w14:paraId="5761B33B" w14:textId="77777777" w:rsidR="001E4EEB" w:rsidRPr="006B4FFD" w:rsidRDefault="001E4EEB" w:rsidP="00A93E2B">
            <w:r w:rsidRPr="006B4FFD">
              <w:t>73,3 (228)</w:t>
            </w:r>
          </w:p>
        </w:tc>
        <w:tc>
          <w:tcPr>
            <w:tcW w:w="805" w:type="dxa"/>
            <w:vMerge w:val="restart"/>
            <w:vAlign w:val="center"/>
          </w:tcPr>
          <w:p w14:paraId="5A25C456" w14:textId="77777777" w:rsidR="001E4EEB" w:rsidRPr="006B4FFD" w:rsidRDefault="001E4EEB" w:rsidP="00A93E2B">
            <w:pPr>
              <w:jc w:val="center"/>
            </w:pPr>
            <w:r w:rsidRPr="006B4FFD">
              <w:t>0,630</w:t>
            </w:r>
          </w:p>
        </w:tc>
      </w:tr>
      <w:tr w:rsidR="001E4EEB" w:rsidRPr="006B4FFD" w14:paraId="60CDC3B6" w14:textId="77777777" w:rsidTr="00A93E2B">
        <w:tc>
          <w:tcPr>
            <w:tcW w:w="1900" w:type="dxa"/>
            <w:vMerge/>
          </w:tcPr>
          <w:p w14:paraId="2B00823C" w14:textId="77777777" w:rsidR="001E4EEB" w:rsidRPr="006B4FFD" w:rsidRDefault="001E4EEB" w:rsidP="00A93E2B"/>
        </w:tc>
        <w:tc>
          <w:tcPr>
            <w:tcW w:w="1790" w:type="dxa"/>
          </w:tcPr>
          <w:p w14:paraId="4D90F5C3" w14:textId="77777777" w:rsidR="001E4EEB" w:rsidRPr="006B4FFD" w:rsidRDefault="001E4EEB" w:rsidP="00A93E2B">
            <w:r w:rsidRPr="006B4FFD">
              <w:t>Observed ≥8 hours</w:t>
            </w:r>
          </w:p>
        </w:tc>
        <w:tc>
          <w:tcPr>
            <w:tcW w:w="1507" w:type="dxa"/>
          </w:tcPr>
          <w:p w14:paraId="4D311BFF" w14:textId="77777777" w:rsidR="001E4EEB" w:rsidRPr="006B4FFD" w:rsidRDefault="001E4EEB" w:rsidP="00A93E2B">
            <w:r w:rsidRPr="006B4FFD">
              <w:t>3,6 (4)</w:t>
            </w:r>
          </w:p>
        </w:tc>
        <w:tc>
          <w:tcPr>
            <w:tcW w:w="1529" w:type="dxa"/>
          </w:tcPr>
          <w:p w14:paraId="700BDD86" w14:textId="77777777" w:rsidR="001E4EEB" w:rsidRPr="006B4FFD" w:rsidRDefault="001E4EEB" w:rsidP="00A93E2B">
            <w:r w:rsidRPr="006B4FFD">
              <w:t>2,5 (5)</w:t>
            </w:r>
          </w:p>
        </w:tc>
        <w:tc>
          <w:tcPr>
            <w:tcW w:w="1525" w:type="dxa"/>
          </w:tcPr>
          <w:p w14:paraId="123E605C" w14:textId="77777777" w:rsidR="001E4EEB" w:rsidRPr="006B4FFD" w:rsidRDefault="001E4EEB" w:rsidP="00A93E2B">
            <w:r w:rsidRPr="006B4FFD">
              <w:t>2,9 (9)</w:t>
            </w:r>
          </w:p>
        </w:tc>
        <w:tc>
          <w:tcPr>
            <w:tcW w:w="805" w:type="dxa"/>
            <w:vMerge/>
          </w:tcPr>
          <w:p w14:paraId="7E035481" w14:textId="77777777" w:rsidR="001E4EEB" w:rsidRPr="006B4FFD" w:rsidRDefault="001E4EEB" w:rsidP="00A93E2B"/>
        </w:tc>
      </w:tr>
      <w:tr w:rsidR="001E4EEB" w:rsidRPr="006B4FFD" w14:paraId="7805382C" w14:textId="77777777" w:rsidTr="00A93E2B">
        <w:tc>
          <w:tcPr>
            <w:tcW w:w="1900" w:type="dxa"/>
            <w:vMerge/>
          </w:tcPr>
          <w:p w14:paraId="50D9F7DB" w14:textId="77777777" w:rsidR="001E4EEB" w:rsidRPr="006B4FFD" w:rsidRDefault="001E4EEB" w:rsidP="00A93E2B"/>
        </w:tc>
        <w:tc>
          <w:tcPr>
            <w:tcW w:w="1790" w:type="dxa"/>
          </w:tcPr>
          <w:p w14:paraId="5506651F" w14:textId="77777777" w:rsidR="001E4EEB" w:rsidRPr="006B4FFD" w:rsidRDefault="001E4EEB" w:rsidP="00A93E2B">
            <w:r w:rsidRPr="006B4FFD">
              <w:t>Referral</w:t>
            </w:r>
          </w:p>
        </w:tc>
        <w:tc>
          <w:tcPr>
            <w:tcW w:w="1507" w:type="dxa"/>
          </w:tcPr>
          <w:p w14:paraId="71624AEC" w14:textId="77777777" w:rsidR="001E4EEB" w:rsidRPr="006B4FFD" w:rsidRDefault="001E4EEB" w:rsidP="00A93E2B">
            <w:r w:rsidRPr="006B4FFD">
              <w:t>20,6 (24)</w:t>
            </w:r>
          </w:p>
        </w:tc>
        <w:tc>
          <w:tcPr>
            <w:tcW w:w="1529" w:type="dxa"/>
          </w:tcPr>
          <w:p w14:paraId="62E138D1" w14:textId="77777777" w:rsidR="001E4EEB" w:rsidRPr="006B4FFD" w:rsidRDefault="001E4EEB" w:rsidP="00A93E2B">
            <w:r w:rsidRPr="006B4FFD">
              <w:t>25,2 (49)</w:t>
            </w:r>
          </w:p>
        </w:tc>
        <w:tc>
          <w:tcPr>
            <w:tcW w:w="1525" w:type="dxa"/>
          </w:tcPr>
          <w:p w14:paraId="754D9824" w14:textId="77777777" w:rsidR="001E4EEB" w:rsidRPr="006B4FFD" w:rsidRDefault="001E4EEB" w:rsidP="00A93E2B">
            <w:r w:rsidRPr="006B4FFD">
              <w:t>23,4 (73)</w:t>
            </w:r>
          </w:p>
        </w:tc>
        <w:tc>
          <w:tcPr>
            <w:tcW w:w="805" w:type="dxa"/>
            <w:vMerge/>
          </w:tcPr>
          <w:p w14:paraId="3CD2A4B3" w14:textId="77777777" w:rsidR="001E4EEB" w:rsidRPr="006B4FFD" w:rsidRDefault="001E4EEB" w:rsidP="00A93E2B"/>
        </w:tc>
      </w:tr>
      <w:tr w:rsidR="001E4EEB" w:rsidRPr="006B4FFD" w14:paraId="62B8E3AA" w14:textId="77777777" w:rsidTr="00A93E2B">
        <w:tc>
          <w:tcPr>
            <w:tcW w:w="1900" w:type="dxa"/>
            <w:vMerge/>
          </w:tcPr>
          <w:p w14:paraId="7B48E552" w14:textId="77777777" w:rsidR="001E4EEB" w:rsidRPr="006B4FFD" w:rsidRDefault="001E4EEB" w:rsidP="00A93E2B"/>
        </w:tc>
        <w:tc>
          <w:tcPr>
            <w:tcW w:w="1790" w:type="dxa"/>
          </w:tcPr>
          <w:p w14:paraId="36926603" w14:textId="77777777" w:rsidR="001E4EEB" w:rsidRPr="006B4FFD" w:rsidRDefault="001E4EEB" w:rsidP="00A93E2B">
            <w:r w:rsidRPr="006B4FFD">
              <w:t>Death</w:t>
            </w:r>
          </w:p>
        </w:tc>
        <w:tc>
          <w:tcPr>
            <w:tcW w:w="1507" w:type="dxa"/>
          </w:tcPr>
          <w:p w14:paraId="2960583C" w14:textId="77777777" w:rsidR="001E4EEB" w:rsidRPr="006B4FFD" w:rsidRDefault="001E4EEB" w:rsidP="00A93E2B">
            <w:r w:rsidRPr="006B4FFD">
              <w:t>0,8 (1)</w:t>
            </w:r>
          </w:p>
        </w:tc>
        <w:tc>
          <w:tcPr>
            <w:tcW w:w="1529" w:type="dxa"/>
          </w:tcPr>
          <w:p w14:paraId="7025B2C9" w14:textId="77777777" w:rsidR="001E4EEB" w:rsidRPr="006B4FFD" w:rsidRDefault="001E4EEB" w:rsidP="00A93E2B">
            <w:r w:rsidRPr="006B4FFD">
              <w:t>0</w:t>
            </w:r>
          </w:p>
        </w:tc>
        <w:tc>
          <w:tcPr>
            <w:tcW w:w="1525" w:type="dxa"/>
          </w:tcPr>
          <w:p w14:paraId="7148C3AD" w14:textId="77777777" w:rsidR="001E4EEB" w:rsidRPr="006B4FFD" w:rsidRDefault="001E4EEB" w:rsidP="00A93E2B">
            <w:r w:rsidRPr="006B4FFD">
              <w:t>0,04 (1)</w:t>
            </w:r>
          </w:p>
        </w:tc>
        <w:tc>
          <w:tcPr>
            <w:tcW w:w="805" w:type="dxa"/>
            <w:vMerge/>
          </w:tcPr>
          <w:p w14:paraId="0F87AB07" w14:textId="77777777" w:rsidR="001E4EEB" w:rsidRPr="006B4FFD" w:rsidRDefault="001E4EEB" w:rsidP="00A93E2B"/>
        </w:tc>
      </w:tr>
    </w:tbl>
    <w:p w14:paraId="6A02CC78" w14:textId="77777777" w:rsidR="001E4EEB" w:rsidRPr="00E8224F" w:rsidRDefault="001E4EEB" w:rsidP="001E4EEB">
      <w:r w:rsidRPr="00E8224F">
        <w:t>* 69 data missing</w:t>
      </w:r>
      <w:r>
        <w:tab/>
      </w:r>
      <w:r>
        <w:tab/>
      </w:r>
      <w:r w:rsidRPr="00E8224F">
        <w:t>** 44 data missing</w:t>
      </w:r>
      <w:r>
        <w:tab/>
      </w:r>
      <w:r w:rsidRPr="00E8224F">
        <w:t xml:space="preserve">*** due to </w:t>
      </w:r>
      <w:r>
        <w:t xml:space="preserve">multiple trauma the total is &gt; </w:t>
      </w:r>
      <w:r w:rsidRPr="00E8224F">
        <w:t xml:space="preserve">%100 </w:t>
      </w:r>
    </w:p>
    <w:p w14:paraId="086AFE06" w14:textId="77777777" w:rsidR="001E4EEB" w:rsidRPr="00364B04" w:rsidRDefault="001E4EEB" w:rsidP="001E4EEB">
      <w:r w:rsidRPr="00E8224F">
        <w:t>**** 6 data missing</w:t>
      </w:r>
      <w:r>
        <w:tab/>
      </w:r>
      <w:r w:rsidRPr="00E8224F">
        <w:t>Analyzed with chi-square test</w:t>
      </w:r>
    </w:p>
    <w:p w14:paraId="0B9FEB46" w14:textId="77777777" w:rsidR="001E4EEB" w:rsidRDefault="001E4EEB" w:rsidP="00C505F4">
      <w:pPr>
        <w:rPr>
          <w:rFonts w:eastAsia="MS Mincho"/>
          <w:b/>
        </w:rPr>
        <w:sectPr w:rsidR="001E4EEB" w:rsidSect="001E4EEB">
          <w:type w:val="continuous"/>
          <w:pgSz w:w="11900" w:h="16840"/>
          <w:pgMar w:top="1417" w:right="1417" w:bottom="1417" w:left="1417" w:header="708" w:footer="708" w:gutter="0"/>
          <w:cols w:space="708"/>
          <w:docGrid w:linePitch="360"/>
        </w:sectPr>
      </w:pPr>
    </w:p>
    <w:p w14:paraId="11118DA9" w14:textId="77777777" w:rsidR="001E4EEB" w:rsidRDefault="001E4EEB" w:rsidP="00C505F4">
      <w:pPr>
        <w:rPr>
          <w:rFonts w:eastAsia="MS Mincho"/>
          <w:b/>
        </w:rPr>
      </w:pPr>
    </w:p>
    <w:p w14:paraId="69744CD5" w14:textId="77777777" w:rsidR="00C505F4" w:rsidRPr="00C505F4" w:rsidRDefault="00C505F4" w:rsidP="00C505F4">
      <w:pPr>
        <w:rPr>
          <w:rFonts w:eastAsia="MS Mincho"/>
          <w:b/>
        </w:rPr>
      </w:pPr>
      <w:r w:rsidRPr="00C505F4">
        <w:rPr>
          <w:rFonts w:eastAsia="MS Mincho"/>
          <w:b/>
        </w:rPr>
        <w:t>DISCUSSION</w:t>
      </w:r>
    </w:p>
    <w:p w14:paraId="2DB46950" w14:textId="77777777" w:rsidR="00C505F4" w:rsidRDefault="00C505F4" w:rsidP="00C505F4">
      <w:pPr>
        <w:rPr>
          <w:rFonts w:eastAsia="MS Mincho"/>
        </w:rPr>
      </w:pPr>
    </w:p>
    <w:p w14:paraId="7D38E50C" w14:textId="77777777" w:rsidR="00C505F4" w:rsidRPr="00C505F4" w:rsidRDefault="00C505F4" w:rsidP="00C505F4">
      <w:pPr>
        <w:rPr>
          <w:rFonts w:eastAsia="MS Mincho"/>
        </w:rPr>
      </w:pPr>
      <w:r w:rsidRPr="00C505F4">
        <w:rPr>
          <w:rFonts w:eastAsia="MS Mincho"/>
        </w:rPr>
        <w:t>Falls is one of the external causes of unintentional injury and frequently seen in elderly. In elderly population frequency of falls increases due to the morphologic and physiologic changes in organ systems resulting in reduced physical activity, muscle weakness, and imbalance. The results of falls may be severe. In this study, the demographical profile of elderly and baseline characteristics of falls was studied.</w:t>
      </w:r>
    </w:p>
    <w:p w14:paraId="0AB7E60A" w14:textId="77777777" w:rsidR="00C505F4" w:rsidRDefault="00C505F4" w:rsidP="00C505F4">
      <w:pPr>
        <w:rPr>
          <w:rFonts w:eastAsia="MS Mincho"/>
        </w:rPr>
      </w:pPr>
    </w:p>
    <w:p w14:paraId="4C00B7AB" w14:textId="77777777" w:rsidR="008674F2" w:rsidRDefault="00C505F4" w:rsidP="00C505F4">
      <w:pPr>
        <w:ind w:firstLine="708"/>
        <w:rPr>
          <w:rFonts w:eastAsia="MS Mincho"/>
        </w:rPr>
      </w:pPr>
      <w:r w:rsidRPr="00C505F4">
        <w:rPr>
          <w:rFonts w:eastAsia="MS Mincho"/>
        </w:rPr>
        <w:t>Our elderly patients’ admissions rate of falls ranges between 5% and 14% in annual bases. Recent studies were found that nearly 10% of all emergency department admissions of elderly were due to falls and it was expected to increase up to 40% in coming decades.</w:t>
      </w:r>
      <w:r w:rsidRPr="00C505F4">
        <w:rPr>
          <w:rFonts w:eastAsia="MS Mincho"/>
          <w:vertAlign w:val="superscript"/>
        </w:rPr>
        <w:t>15,16</w:t>
      </w:r>
      <w:r w:rsidRPr="00C505F4">
        <w:rPr>
          <w:rFonts w:eastAsia="MS Mincho"/>
        </w:rPr>
        <w:t xml:space="preserve"> In this study we found that most of the fall cases are women (%62.7) and the rate of cases does not increase with age. On the other hand, recent studies show that nearly 28 to 35% of older people over 65 years of age falls each year. This rates increase with age and reaches up to 32 to 42% in patients over 70 years of age.</w:t>
      </w:r>
      <w:r w:rsidRPr="00C505F4">
        <w:rPr>
          <w:rFonts w:eastAsia="MS Mincho"/>
          <w:vertAlign w:val="superscript"/>
        </w:rPr>
        <w:t xml:space="preserve">15 </w:t>
      </w:r>
      <w:r w:rsidRPr="00C505F4">
        <w:rPr>
          <w:rFonts w:eastAsia="MS Mincho"/>
        </w:rPr>
        <w:t>Contrary to our findings, there are also studies that showed a higher frequency of falls in men.</w:t>
      </w:r>
      <w:r w:rsidRPr="00C505F4">
        <w:rPr>
          <w:rFonts w:eastAsia="MS Mincho"/>
          <w:vertAlign w:val="superscript"/>
        </w:rPr>
        <w:t>17</w:t>
      </w:r>
      <w:r w:rsidRPr="00C505F4">
        <w:rPr>
          <w:rFonts w:eastAsia="MS Mincho"/>
        </w:rPr>
        <w:t xml:space="preserve"> This variation in age and gender is due to the lifestyle habits between the elderly and their environmental difference.</w:t>
      </w:r>
      <w:r w:rsidRPr="00C505F4">
        <w:rPr>
          <w:rFonts w:eastAsia="MS Mincho"/>
          <w:vertAlign w:val="superscript"/>
        </w:rPr>
        <w:t>5</w:t>
      </w:r>
      <w:r w:rsidRPr="00C505F4">
        <w:rPr>
          <w:rFonts w:eastAsia="MS Mincho"/>
        </w:rPr>
        <w:t xml:space="preserve"> The medical status of the elderly is directly related with falls. Elderly with diabetes, neurologic diseases, </w:t>
      </w:r>
    </w:p>
    <w:p w14:paraId="5292F123" w14:textId="77777777" w:rsidR="008674F2" w:rsidRDefault="008674F2" w:rsidP="00C505F4">
      <w:pPr>
        <w:ind w:firstLine="708"/>
        <w:rPr>
          <w:rFonts w:eastAsia="MS Mincho"/>
        </w:rPr>
      </w:pPr>
    </w:p>
    <w:p w14:paraId="6A39B9A2" w14:textId="77777777" w:rsidR="008674F2" w:rsidRDefault="008674F2" w:rsidP="00C505F4">
      <w:pPr>
        <w:ind w:firstLine="708"/>
        <w:rPr>
          <w:rFonts w:eastAsia="MS Mincho"/>
        </w:rPr>
      </w:pPr>
    </w:p>
    <w:p w14:paraId="43936799" w14:textId="77777777" w:rsidR="008674F2" w:rsidRDefault="008674F2" w:rsidP="00C505F4">
      <w:pPr>
        <w:ind w:firstLine="708"/>
        <w:rPr>
          <w:rFonts w:eastAsia="MS Mincho"/>
        </w:rPr>
      </w:pPr>
    </w:p>
    <w:p w14:paraId="08FA3A11" w14:textId="77777777" w:rsidR="00C505F4" w:rsidRPr="00C505F4" w:rsidRDefault="00C505F4" w:rsidP="008674F2">
      <w:pPr>
        <w:rPr>
          <w:rFonts w:eastAsia="MS Mincho"/>
        </w:rPr>
      </w:pPr>
      <w:r w:rsidRPr="00C505F4">
        <w:rPr>
          <w:rFonts w:eastAsia="MS Mincho"/>
        </w:rPr>
        <w:t>incontinence, visual impairments and orthopedic problems are more likely to fall and have fall-related injuries.</w:t>
      </w:r>
      <w:r w:rsidRPr="00C505F4">
        <w:rPr>
          <w:rFonts w:eastAsia="MS Mincho"/>
          <w:vertAlign w:val="superscript"/>
        </w:rPr>
        <w:t xml:space="preserve">15 </w:t>
      </w:r>
      <w:r w:rsidRPr="00C505F4">
        <w:rPr>
          <w:rFonts w:eastAsia="MS Mincho"/>
        </w:rPr>
        <w:t>In our study, nearly all of the cases have at least one comorbidity.</w:t>
      </w:r>
    </w:p>
    <w:p w14:paraId="02925DB8" w14:textId="77777777" w:rsidR="00C505F4" w:rsidRDefault="00C505F4" w:rsidP="00C505F4">
      <w:pPr>
        <w:rPr>
          <w:rFonts w:eastAsia="MS Mincho"/>
        </w:rPr>
      </w:pPr>
    </w:p>
    <w:p w14:paraId="44221085" w14:textId="77777777" w:rsidR="00C505F4" w:rsidRPr="00C505F4" w:rsidRDefault="00C505F4" w:rsidP="00C505F4">
      <w:pPr>
        <w:ind w:firstLine="708"/>
        <w:rPr>
          <w:rFonts w:eastAsia="MS Mincho"/>
        </w:rPr>
      </w:pPr>
      <w:r w:rsidRPr="00C505F4">
        <w:rPr>
          <w:rFonts w:eastAsia="MS Mincho"/>
        </w:rPr>
        <w:t>Most of the falls occur in winter and during daytime.</w:t>
      </w:r>
      <w:r w:rsidRPr="00C505F4">
        <w:rPr>
          <w:rFonts w:eastAsia="MS Mincho"/>
          <w:vertAlign w:val="superscript"/>
        </w:rPr>
        <w:t>15,18</w:t>
      </w:r>
      <w:r w:rsidRPr="00C505F4">
        <w:rPr>
          <w:rFonts w:eastAsia="MS Mincho"/>
        </w:rPr>
        <w:t xml:space="preserve"> Hypothermia decrease reaction time of elderly and slow down motion. Especially pronounced changes in weather temperatures in winter increase the time spent in bed and sedentary behavior resulting deconditioning.</w:t>
      </w:r>
      <w:r w:rsidRPr="00C505F4">
        <w:rPr>
          <w:rFonts w:eastAsia="MS Mincho"/>
          <w:vertAlign w:val="superscript"/>
        </w:rPr>
        <w:t xml:space="preserve">15 </w:t>
      </w:r>
      <w:r w:rsidRPr="00C505F4">
        <w:rPr>
          <w:rFonts w:eastAsia="MS Mincho"/>
        </w:rPr>
        <w:t>On the other hand, we found that most of the falls occur outdoor, in summer, in weekdays and during daytime. This difference may be due to the location of our emergency department. Our department is in a touristic island so the population increases dramatically in the summer season and there is no motorized vehicle in the island.</w:t>
      </w:r>
    </w:p>
    <w:p w14:paraId="69E08C64" w14:textId="77777777" w:rsidR="00C505F4" w:rsidRDefault="00C505F4" w:rsidP="00C505F4">
      <w:pPr>
        <w:rPr>
          <w:rFonts w:eastAsia="MS Mincho"/>
        </w:rPr>
      </w:pPr>
    </w:p>
    <w:p w14:paraId="6676D382" w14:textId="77777777" w:rsidR="00C505F4" w:rsidRPr="00C505F4" w:rsidRDefault="00C505F4" w:rsidP="00C505F4">
      <w:pPr>
        <w:ind w:firstLine="708"/>
        <w:rPr>
          <w:rFonts w:eastAsia="MS Mincho"/>
        </w:rPr>
      </w:pPr>
      <w:r w:rsidRPr="00C505F4">
        <w:rPr>
          <w:rFonts w:eastAsia="MS Mincho"/>
        </w:rPr>
        <w:t>In the present study most common sites of injury due to trauma were extremities and head. In concordance with our finding, most of the studies showed that the extremities, head, and neck is the most common sites of injury.</w:t>
      </w:r>
      <w:r w:rsidRPr="00C505F4">
        <w:rPr>
          <w:rFonts w:eastAsia="MS Mincho"/>
          <w:vertAlign w:val="superscript"/>
        </w:rPr>
        <w:t>15,19,20</w:t>
      </w:r>
      <w:r w:rsidRPr="00C505F4">
        <w:rPr>
          <w:rFonts w:eastAsia="MS Mincho"/>
        </w:rPr>
        <w:t xml:space="preserve"> Nearly 15% of all falls results in fractures. It was shown that approximately 10 to 20% of all falls result in fractures, and most of the fractures occur at home.</w:t>
      </w:r>
      <w:r w:rsidRPr="00C505F4">
        <w:rPr>
          <w:rFonts w:eastAsia="MS Mincho"/>
          <w:vertAlign w:val="superscript"/>
        </w:rPr>
        <w:t xml:space="preserve">15,21 </w:t>
      </w:r>
      <w:r w:rsidRPr="00C505F4">
        <w:rPr>
          <w:rFonts w:eastAsia="MS Mincho"/>
        </w:rPr>
        <w:t xml:space="preserve">Mortality rates are 6.4% in trauma-related </w:t>
      </w:r>
      <w:r w:rsidRPr="00C505F4">
        <w:rPr>
          <w:rFonts w:eastAsia="MS Mincho"/>
        </w:rPr>
        <w:lastRenderedPageBreak/>
        <w:t>emergency department admissions in elderly. Our mortality rates were very low compared with this rate (0.04%), because severely injured cases were transferred in a referral hospital.</w:t>
      </w:r>
    </w:p>
    <w:p w14:paraId="779D13BD" w14:textId="77777777" w:rsidR="00C505F4" w:rsidRDefault="00C505F4" w:rsidP="00C505F4">
      <w:pPr>
        <w:rPr>
          <w:rFonts w:eastAsia="MS Mincho"/>
        </w:rPr>
      </w:pPr>
    </w:p>
    <w:p w14:paraId="600B40FB" w14:textId="77777777" w:rsidR="00C505F4" w:rsidRPr="00C505F4" w:rsidRDefault="00C505F4" w:rsidP="00C505F4">
      <w:pPr>
        <w:ind w:firstLine="708"/>
        <w:rPr>
          <w:rFonts w:eastAsia="MS Mincho"/>
        </w:rPr>
      </w:pPr>
      <w:r w:rsidRPr="00C505F4">
        <w:rPr>
          <w:rFonts w:eastAsia="MS Mincho"/>
        </w:rPr>
        <w:t xml:space="preserve">Falls and related injuries are an important public health problem due to growing elderly population. In conclusion nearly 1 in 6 elderly admitted to the emergency department due to falls, and this rate is expected to increase. One in 10 fall cases result in fractures, most of the time extremities were common sites of injury. Preventive measures must be taken to reduce these falls and related injuries. Because of the cultural and environmental difference, epidemiological data should be gathered regularly and methodologically.  </w:t>
      </w:r>
    </w:p>
    <w:p w14:paraId="2AC8B8D3" w14:textId="77777777" w:rsidR="00C505F4" w:rsidRDefault="00C505F4" w:rsidP="00C505F4">
      <w:pPr>
        <w:rPr>
          <w:rFonts w:eastAsia="MS Mincho"/>
        </w:rPr>
      </w:pPr>
    </w:p>
    <w:p w14:paraId="71672FBF" w14:textId="77777777" w:rsidR="00C81417" w:rsidRPr="00C3514A" w:rsidRDefault="00C505F4" w:rsidP="00C505F4">
      <w:pPr>
        <w:ind w:firstLine="708"/>
        <w:rPr>
          <w:rFonts w:eastAsia="MS Mincho"/>
          <w:lang w:val="tr-TR"/>
        </w:rPr>
      </w:pPr>
      <w:r w:rsidRPr="00C505F4">
        <w:rPr>
          <w:rFonts w:eastAsia="MS Mincho"/>
        </w:rPr>
        <w:t>Small sample size, one-centered and retrospective design of the study was the limitations. Due to the retrospective design effect of co-morbidities, drugs, and the real outcome of falls cannot be evaluated because of the insufficiency of patient’s records.</w:t>
      </w:r>
    </w:p>
    <w:p w14:paraId="1E9F9BF7" w14:textId="77777777" w:rsidR="00C505F4" w:rsidRDefault="00C505F4" w:rsidP="00C81417">
      <w:pPr>
        <w:rPr>
          <w:rFonts w:eastAsia="MS Mincho"/>
          <w:b/>
          <w:lang w:val="tr-TR"/>
        </w:rPr>
      </w:pPr>
    </w:p>
    <w:p w14:paraId="6C2F03A8" w14:textId="77777777" w:rsidR="00ED4EBA" w:rsidRPr="00C81417" w:rsidRDefault="008006B6" w:rsidP="00C81417">
      <w:pPr>
        <w:rPr>
          <w:rFonts w:eastAsia="MS Mincho"/>
          <w:b/>
          <w:lang w:val="tr-TR"/>
        </w:rPr>
      </w:pPr>
      <w:r>
        <w:rPr>
          <w:rFonts w:eastAsia="MS Mincho"/>
          <w:b/>
          <w:lang w:val="tr-TR"/>
        </w:rPr>
        <w:t>REFERENCES</w:t>
      </w:r>
    </w:p>
    <w:p w14:paraId="62AC3552" w14:textId="77777777" w:rsidR="009706B6" w:rsidRPr="009706B6" w:rsidRDefault="009706B6" w:rsidP="008674F2">
      <w:pPr>
        <w:pStyle w:val="ListeParagraf"/>
        <w:numPr>
          <w:ilvl w:val="0"/>
          <w:numId w:val="7"/>
        </w:numPr>
        <w:spacing w:before="100" w:beforeAutospacing="1" w:after="100" w:afterAutospacing="1"/>
        <w:rPr>
          <w:rFonts w:ascii="Times New Roman,BoldItalic" w:eastAsiaTheme="minorHAnsi" w:hAnsi="Times New Roman,BoldItalic"/>
          <w:lang w:val="tr-TR" w:eastAsia="tr-TR"/>
        </w:rPr>
      </w:pPr>
      <w:r w:rsidRPr="009706B6">
        <w:rPr>
          <w:rFonts w:ascii="Times New Roman,BoldItalic" w:eastAsiaTheme="minorHAnsi" w:hAnsi="Times New Roman,BoldItalic"/>
          <w:lang w:val="tr-TR" w:eastAsia="tr-TR"/>
        </w:rPr>
        <w:t xml:space="preserve">Türkiye </w:t>
      </w:r>
      <w:r w:rsidR="00C230C5">
        <w:rPr>
          <w:rFonts w:ascii="Times New Roman,BoldItalic" w:eastAsiaTheme="minorHAnsi" w:hAnsi="Times New Roman,BoldItalic"/>
          <w:lang w:val="tr-TR" w:eastAsia="tr-TR"/>
        </w:rPr>
        <w:t>İstatis</w:t>
      </w:r>
      <w:r w:rsidR="00C230C5" w:rsidRPr="009706B6">
        <w:rPr>
          <w:rFonts w:ascii="Times New Roman,BoldItalic" w:eastAsiaTheme="minorHAnsi" w:hAnsi="Times New Roman,BoldItalic"/>
          <w:lang w:val="tr-TR" w:eastAsia="tr-TR"/>
        </w:rPr>
        <w:t>tik</w:t>
      </w:r>
      <w:r w:rsidRPr="009706B6">
        <w:rPr>
          <w:rFonts w:ascii="Times New Roman,BoldItalic" w:eastAsiaTheme="minorHAnsi" w:hAnsi="Times New Roman,BoldItalic"/>
          <w:lang w:val="tr-TR" w:eastAsia="tr-TR"/>
        </w:rPr>
        <w:t xml:space="preserve"> Kurumu. Haber Bülteni, Bülten No:24638.(Erişim tarihi: 18.10.2018 In:  http://www.tuik.gov.tr/PreHaberBultenleri.do?id=24638)</w:t>
      </w:r>
    </w:p>
    <w:p w14:paraId="03867D35" w14:textId="77777777" w:rsidR="009706B6" w:rsidRPr="009706B6" w:rsidRDefault="009706B6" w:rsidP="008674F2">
      <w:pPr>
        <w:pStyle w:val="ListeParagraf"/>
        <w:numPr>
          <w:ilvl w:val="0"/>
          <w:numId w:val="7"/>
        </w:numPr>
        <w:spacing w:before="100" w:beforeAutospacing="1" w:after="100" w:afterAutospacing="1"/>
        <w:rPr>
          <w:rFonts w:ascii="Times New Roman,BoldItalic" w:eastAsiaTheme="minorHAnsi" w:hAnsi="Times New Roman,BoldItalic"/>
          <w:lang w:val="tr-TR" w:eastAsia="tr-TR"/>
        </w:rPr>
      </w:pPr>
      <w:r w:rsidRPr="009706B6">
        <w:rPr>
          <w:rFonts w:ascii="Times New Roman,BoldItalic" w:eastAsiaTheme="minorHAnsi" w:hAnsi="Times New Roman,BoldItalic"/>
          <w:lang w:val="tr-TR" w:eastAsia="tr-TR"/>
        </w:rPr>
        <w:t>Akoglu H,</w:t>
      </w:r>
      <w:r w:rsidR="00C230C5">
        <w:rPr>
          <w:rFonts w:ascii="Times New Roman,BoldItalic" w:eastAsiaTheme="minorHAnsi" w:hAnsi="Times New Roman,BoldItalic"/>
          <w:lang w:val="tr-TR" w:eastAsia="tr-TR"/>
        </w:rPr>
        <w:t xml:space="preserve"> </w:t>
      </w:r>
      <w:r w:rsidRPr="009706B6">
        <w:rPr>
          <w:rFonts w:ascii="Times New Roman,BoldItalic" w:eastAsiaTheme="minorHAnsi" w:hAnsi="Times New Roman,BoldItalic"/>
          <w:lang w:val="tr-TR" w:eastAsia="tr-TR"/>
        </w:rPr>
        <w:t>Denizbası A, Ünlüer E, Güneysel Ö, Onu Ö. Marmara Üniversitesi Hastanesi acil servisine başvuran travmalı hastaların demografik özellikleri.</w:t>
      </w:r>
      <w:r w:rsidR="00C230C5">
        <w:rPr>
          <w:rFonts w:ascii="Times New Roman,BoldItalic" w:eastAsiaTheme="minorHAnsi" w:hAnsi="Times New Roman,BoldItalic"/>
          <w:lang w:val="tr-TR" w:eastAsia="tr-TR"/>
        </w:rPr>
        <w:t xml:space="preserve"> </w:t>
      </w:r>
      <w:r w:rsidRPr="009706B6">
        <w:rPr>
          <w:rFonts w:ascii="Times New Roman,BoldItalic" w:eastAsiaTheme="minorHAnsi" w:hAnsi="Times New Roman,BoldItalic"/>
          <w:lang w:val="tr-TR" w:eastAsia="tr-TR"/>
        </w:rPr>
        <w:t>Marmara Medical Journal 2005;18(3):113-122.</w:t>
      </w:r>
    </w:p>
    <w:p w14:paraId="597E1BBD" w14:textId="77777777" w:rsidR="009706B6" w:rsidRPr="009706B6" w:rsidRDefault="009706B6" w:rsidP="008674F2">
      <w:pPr>
        <w:pStyle w:val="ListeParagraf"/>
        <w:numPr>
          <w:ilvl w:val="0"/>
          <w:numId w:val="7"/>
        </w:numPr>
        <w:spacing w:before="100" w:beforeAutospacing="1" w:after="100" w:afterAutospacing="1"/>
        <w:rPr>
          <w:rFonts w:ascii="Times New Roman,BoldItalic" w:eastAsiaTheme="minorHAnsi" w:hAnsi="Times New Roman,BoldItalic"/>
          <w:lang w:val="tr-TR" w:eastAsia="tr-TR"/>
        </w:rPr>
      </w:pPr>
      <w:r w:rsidRPr="009706B6">
        <w:rPr>
          <w:rFonts w:ascii="Times New Roman,BoldItalic" w:eastAsiaTheme="minorHAnsi" w:hAnsi="Times New Roman,BoldItalic"/>
          <w:lang w:val="tr-TR" w:eastAsia="tr-TR"/>
        </w:rPr>
        <w:t xml:space="preserve">Kannus P, Sievan H, Palvanen M, Jarvien T, Parkkari J. Prevention of falls and consequent injuries in elderly people. Lancet. 2005;366(9500):1885–1893. </w:t>
      </w:r>
    </w:p>
    <w:p w14:paraId="55FB186C" w14:textId="77777777" w:rsidR="009706B6" w:rsidRPr="009706B6" w:rsidRDefault="009706B6" w:rsidP="008674F2">
      <w:pPr>
        <w:pStyle w:val="ListeParagraf"/>
        <w:numPr>
          <w:ilvl w:val="0"/>
          <w:numId w:val="7"/>
        </w:numPr>
        <w:spacing w:before="100" w:beforeAutospacing="1" w:after="100" w:afterAutospacing="1"/>
        <w:rPr>
          <w:rFonts w:ascii="Times New Roman,BoldItalic" w:eastAsiaTheme="minorHAnsi" w:hAnsi="Times New Roman,BoldItalic"/>
          <w:lang w:val="tr-TR" w:eastAsia="tr-TR"/>
        </w:rPr>
      </w:pPr>
      <w:r w:rsidRPr="009706B6">
        <w:rPr>
          <w:rFonts w:ascii="Times New Roman,BoldItalic" w:eastAsiaTheme="minorHAnsi" w:hAnsi="Times New Roman,BoldItalic"/>
          <w:lang w:val="tr-TR" w:eastAsia="tr-TR"/>
        </w:rPr>
        <w:t>Aydın AŞ,</w:t>
      </w:r>
      <w:r w:rsidR="00C230C5">
        <w:rPr>
          <w:rFonts w:ascii="Times New Roman,BoldItalic" w:eastAsiaTheme="minorHAnsi" w:hAnsi="Times New Roman,BoldItalic"/>
          <w:lang w:val="tr-TR" w:eastAsia="tr-TR"/>
        </w:rPr>
        <w:t xml:space="preserve"> </w:t>
      </w:r>
      <w:r w:rsidRPr="009706B6">
        <w:rPr>
          <w:rFonts w:ascii="Times New Roman,BoldItalic" w:eastAsiaTheme="minorHAnsi" w:hAnsi="Times New Roman,BoldItalic"/>
          <w:lang w:val="tr-TR" w:eastAsia="tr-TR"/>
        </w:rPr>
        <w:t>Bulut M, Fedakar R, Özgürer A, Özdemir F. Trauma in elderly patients in Bursa. Ulus Travma Acil Cerrahi Derg 2006;12(3):230-234.</w:t>
      </w:r>
    </w:p>
    <w:p w14:paraId="1CE4BD41" w14:textId="77777777" w:rsidR="009706B6" w:rsidRPr="009706B6" w:rsidRDefault="009706B6" w:rsidP="008674F2">
      <w:pPr>
        <w:pStyle w:val="ListeParagraf"/>
        <w:numPr>
          <w:ilvl w:val="0"/>
          <w:numId w:val="7"/>
        </w:numPr>
        <w:spacing w:before="100" w:beforeAutospacing="1" w:after="100" w:afterAutospacing="1"/>
        <w:rPr>
          <w:rFonts w:ascii="Times New Roman,BoldItalic" w:eastAsiaTheme="minorHAnsi" w:hAnsi="Times New Roman,BoldItalic"/>
          <w:lang w:val="tr-TR" w:eastAsia="tr-TR"/>
        </w:rPr>
      </w:pPr>
      <w:r w:rsidRPr="009706B6">
        <w:rPr>
          <w:rFonts w:ascii="Times New Roman,BoldItalic" w:eastAsiaTheme="minorHAnsi" w:hAnsi="Times New Roman,BoldItalic"/>
          <w:lang w:val="tr-TR" w:eastAsia="tr-TR"/>
        </w:rPr>
        <w:t>Kara H, Bayır A, Akıncı M, Tüfekci N,Degirmenci S, Azap M.</w:t>
      </w:r>
      <w:r w:rsidR="00C230C5">
        <w:rPr>
          <w:rFonts w:ascii="Times New Roman,BoldItalic" w:eastAsiaTheme="minorHAnsi" w:hAnsi="Times New Roman,BoldItalic"/>
          <w:lang w:val="tr-TR" w:eastAsia="tr-TR"/>
        </w:rPr>
        <w:t xml:space="preserve"> </w:t>
      </w:r>
      <w:r w:rsidRPr="009706B6">
        <w:rPr>
          <w:rFonts w:ascii="Times New Roman,BoldItalic" w:eastAsiaTheme="minorHAnsi" w:hAnsi="Times New Roman,BoldItalic"/>
          <w:lang w:val="tr-TR" w:eastAsia="tr-TR"/>
        </w:rPr>
        <w:t>Trauma in elderly patients evaluated in a hospital emergency department in Konya, Turkey: a retrospective study. Clinical Interventions in Aging 2014; 9:17-21.</w:t>
      </w:r>
    </w:p>
    <w:p w14:paraId="0E3D2E2C" w14:textId="77777777" w:rsidR="009706B6" w:rsidRPr="009706B6" w:rsidRDefault="009706B6" w:rsidP="008674F2">
      <w:pPr>
        <w:pStyle w:val="ListeParagraf"/>
        <w:numPr>
          <w:ilvl w:val="0"/>
          <w:numId w:val="7"/>
        </w:numPr>
        <w:spacing w:before="100" w:beforeAutospacing="1" w:after="100" w:afterAutospacing="1"/>
        <w:rPr>
          <w:rFonts w:ascii="Times New Roman,BoldItalic" w:eastAsiaTheme="minorHAnsi" w:hAnsi="Times New Roman,BoldItalic"/>
          <w:lang w:val="tr-TR" w:eastAsia="tr-TR"/>
        </w:rPr>
      </w:pPr>
      <w:r w:rsidRPr="009706B6">
        <w:rPr>
          <w:rFonts w:ascii="Times New Roman,BoldItalic" w:eastAsiaTheme="minorHAnsi" w:hAnsi="Times New Roman,BoldItalic"/>
          <w:lang w:val="tr-TR" w:eastAsia="tr-TR"/>
        </w:rPr>
        <w:t>Yıldız M, Bozdemir MN, Kılıcaslan I, Atescelik M, Gürbüz S, Mutlu B et al. Elderly trauma: the two years experience of a university-affiliated emergency department. Eur Rev Med Pharmacol Sci 2012; 16(S1):62-67.</w:t>
      </w:r>
    </w:p>
    <w:p w14:paraId="5C21135E" w14:textId="77777777" w:rsidR="009706B6" w:rsidRPr="009706B6" w:rsidRDefault="009706B6" w:rsidP="008674F2">
      <w:pPr>
        <w:pStyle w:val="ListeParagraf"/>
        <w:numPr>
          <w:ilvl w:val="0"/>
          <w:numId w:val="7"/>
        </w:numPr>
        <w:spacing w:before="100" w:beforeAutospacing="1" w:after="100" w:afterAutospacing="1"/>
        <w:rPr>
          <w:rFonts w:ascii="Times New Roman,BoldItalic" w:eastAsiaTheme="minorHAnsi" w:hAnsi="Times New Roman,BoldItalic"/>
          <w:lang w:val="tr-TR" w:eastAsia="tr-TR"/>
        </w:rPr>
      </w:pPr>
      <w:r w:rsidRPr="009706B6">
        <w:rPr>
          <w:rFonts w:ascii="Times New Roman,BoldItalic" w:eastAsiaTheme="minorHAnsi" w:hAnsi="Times New Roman,BoldItalic"/>
          <w:lang w:val="tr-TR" w:eastAsia="tr-TR"/>
        </w:rPr>
        <w:t>Fuller GF. Falls in the elderly Am Fam Physician 2000;61(7):2159-2168.</w:t>
      </w:r>
    </w:p>
    <w:p w14:paraId="7BF0DEA0" w14:textId="77777777" w:rsidR="009706B6" w:rsidRPr="009706B6" w:rsidRDefault="009706B6" w:rsidP="008674F2">
      <w:pPr>
        <w:pStyle w:val="ListeParagraf"/>
        <w:numPr>
          <w:ilvl w:val="0"/>
          <w:numId w:val="7"/>
        </w:numPr>
        <w:spacing w:before="100" w:beforeAutospacing="1" w:after="100" w:afterAutospacing="1"/>
        <w:rPr>
          <w:rFonts w:ascii="Times New Roman,BoldItalic" w:eastAsiaTheme="minorHAnsi" w:hAnsi="Times New Roman,BoldItalic"/>
          <w:lang w:val="tr-TR" w:eastAsia="tr-TR"/>
        </w:rPr>
      </w:pPr>
      <w:r w:rsidRPr="009706B6">
        <w:rPr>
          <w:rFonts w:ascii="Times New Roman,BoldItalic" w:eastAsiaTheme="minorHAnsi" w:hAnsi="Times New Roman,BoldItalic"/>
          <w:lang w:val="tr-TR" w:eastAsia="tr-TR"/>
        </w:rPr>
        <w:t xml:space="preserve">Gillespie LD, Robetson MC, Gillespie WJ, Sherrington C, Gates S, Clemson LM et al. </w:t>
      </w:r>
      <w:r w:rsidRPr="009706B6">
        <w:rPr>
          <w:rFonts w:ascii="Times New Roman,BoldItalic" w:eastAsiaTheme="minorHAnsi" w:hAnsi="Times New Roman,BoldItalic"/>
          <w:lang w:val="tr-TR" w:eastAsia="tr-TR"/>
        </w:rPr>
        <w:t>Interventions for preventing falls in older people living in the community. Cochrane Database Syst Rev 2012; 12(9):CD007146.</w:t>
      </w:r>
    </w:p>
    <w:p w14:paraId="6299AC64" w14:textId="77777777" w:rsidR="009706B6" w:rsidRPr="009706B6" w:rsidRDefault="009706B6" w:rsidP="008674F2">
      <w:pPr>
        <w:pStyle w:val="ListeParagraf"/>
        <w:numPr>
          <w:ilvl w:val="0"/>
          <w:numId w:val="7"/>
        </w:numPr>
        <w:spacing w:before="100" w:beforeAutospacing="1" w:after="100" w:afterAutospacing="1"/>
        <w:rPr>
          <w:rFonts w:ascii="Times New Roman,BoldItalic" w:eastAsiaTheme="minorHAnsi" w:hAnsi="Times New Roman,BoldItalic"/>
          <w:lang w:val="tr-TR" w:eastAsia="tr-TR"/>
        </w:rPr>
      </w:pPr>
      <w:r w:rsidRPr="009706B6">
        <w:rPr>
          <w:rFonts w:ascii="Times New Roman,BoldItalic" w:eastAsiaTheme="minorHAnsi" w:hAnsi="Times New Roman,BoldItalic"/>
          <w:lang w:val="tr-TR" w:eastAsia="tr-TR"/>
        </w:rPr>
        <w:t>Todd C. Ballinger C, Whitehead S. Reviews of sociodemographic factors related to falls and environmental interventions to prevent falls amongst older people living in the community.(Erişim tarihi:18.10.2018 In:http://www.who.int/ageing/projects/3.Environmental%20and%20socioeconomic%20risk%20factors%20on%20falls.pdf)</w:t>
      </w:r>
    </w:p>
    <w:p w14:paraId="3C77535E" w14:textId="77777777" w:rsidR="009706B6" w:rsidRPr="009706B6" w:rsidRDefault="009706B6" w:rsidP="008674F2">
      <w:pPr>
        <w:pStyle w:val="ListeParagraf"/>
        <w:numPr>
          <w:ilvl w:val="0"/>
          <w:numId w:val="7"/>
        </w:numPr>
        <w:spacing w:before="100" w:beforeAutospacing="1" w:after="100" w:afterAutospacing="1"/>
        <w:rPr>
          <w:rFonts w:ascii="Times New Roman,BoldItalic" w:eastAsiaTheme="minorHAnsi" w:hAnsi="Times New Roman,BoldItalic"/>
          <w:lang w:val="tr-TR" w:eastAsia="tr-TR"/>
        </w:rPr>
      </w:pPr>
      <w:r w:rsidRPr="009706B6">
        <w:rPr>
          <w:rFonts w:ascii="Times New Roman,BoldItalic" w:eastAsiaTheme="minorHAnsi" w:hAnsi="Times New Roman,BoldItalic"/>
          <w:lang w:val="tr-TR" w:eastAsia="tr-TR"/>
        </w:rPr>
        <w:t>Aoyagi K, Ross PD, Davis JW, Wasnich RD, Hayashi T, Takemoto T-I. Falls among community-dwelling elderly in Japan. Journal of Bone and Mineral Research, 1998; 13: 1468-1474.</w:t>
      </w:r>
    </w:p>
    <w:p w14:paraId="48C60B39" w14:textId="77777777" w:rsidR="009706B6" w:rsidRPr="009706B6" w:rsidRDefault="009706B6" w:rsidP="008674F2">
      <w:pPr>
        <w:pStyle w:val="ListeParagraf"/>
        <w:numPr>
          <w:ilvl w:val="0"/>
          <w:numId w:val="7"/>
        </w:numPr>
        <w:spacing w:before="100" w:beforeAutospacing="1" w:after="100" w:afterAutospacing="1"/>
        <w:rPr>
          <w:rFonts w:ascii="Times New Roman,BoldItalic" w:eastAsiaTheme="minorHAnsi" w:hAnsi="Times New Roman,BoldItalic"/>
          <w:lang w:val="tr-TR" w:eastAsia="tr-TR"/>
        </w:rPr>
      </w:pPr>
      <w:r w:rsidRPr="009706B6">
        <w:rPr>
          <w:rFonts w:ascii="Times New Roman,BoldItalic" w:eastAsiaTheme="minorHAnsi" w:hAnsi="Times New Roman,BoldItalic"/>
          <w:lang w:val="tr-TR" w:eastAsia="tr-TR"/>
        </w:rPr>
        <w:t xml:space="preserve">Lawlor DA, Patel R, Ebrahim S. Association between falls in elderly women and chronic diseases and drug use: cross-sectional study. British Medical Journal. 2003; 327: 712-718. </w:t>
      </w:r>
    </w:p>
    <w:p w14:paraId="70A96DE2" w14:textId="77777777" w:rsidR="009706B6" w:rsidRPr="009706B6" w:rsidRDefault="009706B6" w:rsidP="008674F2">
      <w:pPr>
        <w:pStyle w:val="ListeParagraf"/>
        <w:numPr>
          <w:ilvl w:val="0"/>
          <w:numId w:val="7"/>
        </w:numPr>
        <w:spacing w:before="100" w:beforeAutospacing="1" w:after="100" w:afterAutospacing="1"/>
        <w:rPr>
          <w:rFonts w:ascii="Times New Roman,BoldItalic" w:eastAsiaTheme="minorHAnsi" w:hAnsi="Times New Roman,BoldItalic"/>
          <w:lang w:val="tr-TR" w:eastAsia="tr-TR"/>
        </w:rPr>
      </w:pPr>
      <w:r w:rsidRPr="009706B6">
        <w:rPr>
          <w:rFonts w:ascii="Times New Roman,BoldItalic" w:eastAsiaTheme="minorHAnsi" w:hAnsi="Times New Roman,BoldItalic"/>
          <w:lang w:val="tr-TR" w:eastAsia="tr-TR"/>
        </w:rPr>
        <w:t>Lyons RA, Jones SJ, Deacon T, Heaven M. Socioeconomic variation in injury in children and older people: a population based study. Injury Prevention, 2003; 9: 33-37.</w:t>
      </w:r>
    </w:p>
    <w:p w14:paraId="2EE971B0" w14:textId="77777777" w:rsidR="009706B6" w:rsidRPr="009706B6" w:rsidRDefault="009706B6" w:rsidP="008674F2">
      <w:pPr>
        <w:pStyle w:val="ListeParagraf"/>
        <w:numPr>
          <w:ilvl w:val="0"/>
          <w:numId w:val="7"/>
        </w:numPr>
        <w:spacing w:before="100" w:beforeAutospacing="1" w:after="100" w:afterAutospacing="1"/>
        <w:rPr>
          <w:rFonts w:ascii="Times New Roman,BoldItalic" w:eastAsiaTheme="minorHAnsi" w:hAnsi="Times New Roman,BoldItalic"/>
          <w:lang w:val="tr-TR" w:eastAsia="tr-TR"/>
        </w:rPr>
      </w:pPr>
      <w:r w:rsidRPr="009706B6">
        <w:rPr>
          <w:rFonts w:ascii="Times New Roman,BoldItalic" w:eastAsiaTheme="minorHAnsi" w:hAnsi="Times New Roman,BoldItalic"/>
          <w:lang w:val="tr-TR" w:eastAsia="tr-TR"/>
        </w:rPr>
        <w:t>Yoshida S. Epidemiology of Falls. WHO, Geneva,2008.pp 6.</w:t>
      </w:r>
    </w:p>
    <w:p w14:paraId="4CBB26B5" w14:textId="77777777" w:rsidR="009706B6" w:rsidRPr="009706B6" w:rsidRDefault="009706B6" w:rsidP="008674F2">
      <w:pPr>
        <w:pStyle w:val="ListeParagraf"/>
        <w:numPr>
          <w:ilvl w:val="0"/>
          <w:numId w:val="7"/>
        </w:numPr>
        <w:spacing w:before="100" w:beforeAutospacing="1" w:after="100" w:afterAutospacing="1"/>
        <w:rPr>
          <w:rFonts w:ascii="Times New Roman,BoldItalic" w:eastAsiaTheme="minorHAnsi" w:hAnsi="Times New Roman,BoldItalic"/>
          <w:lang w:val="tr-TR" w:eastAsia="tr-TR"/>
        </w:rPr>
      </w:pPr>
      <w:r w:rsidRPr="009706B6">
        <w:rPr>
          <w:rFonts w:ascii="Times New Roman,BoldItalic" w:eastAsiaTheme="minorHAnsi" w:hAnsi="Times New Roman,BoldItalic"/>
          <w:lang w:val="tr-TR" w:eastAsia="tr-TR"/>
        </w:rPr>
        <w:t>Anderson KE. Falls in the elderly. JR Coll Physicians Edinb 2008;38:138-143.</w:t>
      </w:r>
    </w:p>
    <w:p w14:paraId="42C8C951" w14:textId="77777777" w:rsidR="009706B6" w:rsidRPr="009706B6" w:rsidRDefault="009706B6" w:rsidP="008674F2">
      <w:pPr>
        <w:pStyle w:val="ListeParagraf"/>
        <w:numPr>
          <w:ilvl w:val="0"/>
          <w:numId w:val="7"/>
        </w:numPr>
        <w:spacing w:before="100" w:beforeAutospacing="1" w:after="100" w:afterAutospacing="1"/>
        <w:rPr>
          <w:rFonts w:ascii="Times New Roman,BoldItalic" w:eastAsiaTheme="minorHAnsi" w:hAnsi="Times New Roman,BoldItalic"/>
          <w:lang w:val="tr-TR" w:eastAsia="tr-TR"/>
        </w:rPr>
      </w:pPr>
      <w:r w:rsidRPr="009706B6">
        <w:rPr>
          <w:rFonts w:ascii="Times New Roman,BoldItalic" w:eastAsiaTheme="minorHAnsi" w:hAnsi="Times New Roman,BoldItalic"/>
          <w:lang w:val="tr-TR" w:eastAsia="tr-TR"/>
        </w:rPr>
        <w:t xml:space="preserve">Owens P.L. (AHRQ), Russo, C.A. (Thomson Reuters), Spector, W. (AHRQ) and Mutter, R. (AHRQ). Emergency Department Visits for Injurious Falls among the Elderly, 2006. HCUP Statistical Brief #80. October 2009. Agency for Healthcare Research and Quality, Rockville, MD. http://www.hcup-us.ahrq.gov/reports/statbriefs/sb80.pdf. </w:t>
      </w:r>
    </w:p>
    <w:p w14:paraId="2BE000EB" w14:textId="77777777" w:rsidR="009706B6" w:rsidRPr="009706B6" w:rsidRDefault="009706B6" w:rsidP="008674F2">
      <w:pPr>
        <w:pStyle w:val="ListeParagraf"/>
        <w:numPr>
          <w:ilvl w:val="0"/>
          <w:numId w:val="7"/>
        </w:numPr>
        <w:spacing w:before="100" w:beforeAutospacing="1" w:after="100" w:afterAutospacing="1"/>
        <w:rPr>
          <w:rFonts w:ascii="Times New Roman,BoldItalic" w:eastAsiaTheme="minorHAnsi" w:hAnsi="Times New Roman,BoldItalic"/>
          <w:lang w:val="tr-TR" w:eastAsia="tr-TR"/>
        </w:rPr>
      </w:pPr>
      <w:r w:rsidRPr="009706B6">
        <w:rPr>
          <w:rFonts w:ascii="Times New Roman,BoldItalic" w:eastAsiaTheme="minorHAnsi" w:hAnsi="Times New Roman,BoldItalic"/>
          <w:lang w:val="tr-TR" w:eastAsia="tr-TR"/>
        </w:rPr>
        <w:t>Blumenthal J, Plummer E, Gambert S. Trauma in the elderly: causes and prevention. Clin Geriatr. 2010;8:21–24</w:t>
      </w:r>
    </w:p>
    <w:p w14:paraId="4B8FFEB4" w14:textId="77777777" w:rsidR="009706B6" w:rsidRPr="009706B6" w:rsidRDefault="009706B6" w:rsidP="008674F2">
      <w:pPr>
        <w:pStyle w:val="ListeParagraf"/>
        <w:numPr>
          <w:ilvl w:val="0"/>
          <w:numId w:val="7"/>
        </w:numPr>
        <w:spacing w:before="100" w:beforeAutospacing="1" w:after="100" w:afterAutospacing="1"/>
        <w:rPr>
          <w:rFonts w:ascii="Times New Roman,BoldItalic" w:eastAsiaTheme="minorHAnsi" w:hAnsi="Times New Roman,BoldItalic"/>
          <w:lang w:val="tr-TR" w:eastAsia="tr-TR"/>
        </w:rPr>
      </w:pPr>
      <w:r w:rsidRPr="009706B6">
        <w:rPr>
          <w:rFonts w:ascii="Times New Roman,BoldItalic" w:eastAsiaTheme="minorHAnsi" w:hAnsi="Times New Roman,BoldItalic"/>
          <w:lang w:val="tr-TR" w:eastAsia="tr-TR"/>
        </w:rPr>
        <w:t>Isık AT, Cankurtaran M, Doruk H, Mas MR. Evaluation of falls in geriatric patients. Turk J Geriatr. 2006;9(1):45–50</w:t>
      </w:r>
    </w:p>
    <w:p w14:paraId="6E2B163B" w14:textId="77777777" w:rsidR="009706B6" w:rsidRPr="009706B6" w:rsidRDefault="009706B6" w:rsidP="008674F2">
      <w:pPr>
        <w:pStyle w:val="ListeParagraf"/>
        <w:numPr>
          <w:ilvl w:val="0"/>
          <w:numId w:val="7"/>
        </w:numPr>
        <w:spacing w:before="100" w:beforeAutospacing="1" w:after="100" w:afterAutospacing="1"/>
        <w:rPr>
          <w:rFonts w:ascii="Times New Roman,BoldItalic" w:eastAsiaTheme="minorHAnsi" w:hAnsi="Times New Roman,BoldItalic"/>
          <w:lang w:val="tr-TR" w:eastAsia="tr-TR"/>
        </w:rPr>
      </w:pPr>
      <w:r w:rsidRPr="009706B6">
        <w:rPr>
          <w:rFonts w:ascii="Times New Roman,BoldItalic" w:eastAsiaTheme="minorHAnsi" w:hAnsi="Times New Roman,BoldItalic"/>
          <w:lang w:val="tr-TR" w:eastAsia="tr-TR"/>
        </w:rPr>
        <w:t>Campbell, A.J., et al., Circumstances and consequences of falls experienced by a community population 70 years and over during a prospective study. Age Ageing, 1990. 19(2): p. 136-41.</w:t>
      </w:r>
    </w:p>
    <w:p w14:paraId="0600C348" w14:textId="77777777" w:rsidR="009706B6" w:rsidRPr="009706B6" w:rsidRDefault="009706B6" w:rsidP="008674F2">
      <w:pPr>
        <w:pStyle w:val="ListeParagraf"/>
        <w:numPr>
          <w:ilvl w:val="0"/>
          <w:numId w:val="7"/>
        </w:numPr>
        <w:spacing w:before="100" w:beforeAutospacing="1" w:after="100" w:afterAutospacing="1"/>
        <w:rPr>
          <w:rFonts w:ascii="Times New Roman,BoldItalic" w:eastAsiaTheme="minorHAnsi" w:hAnsi="Times New Roman,BoldItalic"/>
          <w:lang w:val="tr-TR" w:eastAsia="tr-TR"/>
        </w:rPr>
      </w:pPr>
      <w:r w:rsidRPr="009706B6">
        <w:rPr>
          <w:rFonts w:ascii="Times New Roman,BoldItalic" w:eastAsiaTheme="minorHAnsi" w:hAnsi="Times New Roman,BoldItalic"/>
          <w:lang w:val="tr-TR" w:eastAsia="tr-TR"/>
        </w:rPr>
        <w:t xml:space="preserve">Adam SH, Eid HO, Barss P, et al. Epidemiology of geriatric trauma in United Arab Emirates. Arch Gerontol Geriatr. 2008;47:377–382. </w:t>
      </w:r>
    </w:p>
    <w:p w14:paraId="66505FB8" w14:textId="77777777" w:rsidR="009706B6" w:rsidRPr="009706B6" w:rsidRDefault="009706B6" w:rsidP="008674F2">
      <w:pPr>
        <w:pStyle w:val="ListeParagraf"/>
        <w:numPr>
          <w:ilvl w:val="0"/>
          <w:numId w:val="7"/>
        </w:numPr>
        <w:spacing w:before="100" w:beforeAutospacing="1" w:after="100" w:afterAutospacing="1"/>
        <w:rPr>
          <w:rFonts w:ascii="Times New Roman,BoldItalic" w:eastAsiaTheme="minorHAnsi" w:hAnsi="Times New Roman,BoldItalic"/>
          <w:lang w:val="tr-TR" w:eastAsia="tr-TR"/>
        </w:rPr>
      </w:pPr>
      <w:r w:rsidRPr="009706B6">
        <w:rPr>
          <w:rFonts w:ascii="Times New Roman,BoldItalic" w:eastAsiaTheme="minorHAnsi" w:hAnsi="Times New Roman,BoldItalic"/>
          <w:lang w:val="tr-TR" w:eastAsia="tr-TR"/>
        </w:rPr>
        <w:t>Gowing R, Jain MK. Injury patterns and outcomes associated with elderly trauma victims in Kingston, Ontario. Can J Surg. 2007;50:437–444</w:t>
      </w:r>
    </w:p>
    <w:p w14:paraId="34750962" w14:textId="77777777" w:rsidR="007315F9" w:rsidRDefault="009706B6" w:rsidP="008674F2">
      <w:pPr>
        <w:pStyle w:val="ListeParagraf"/>
        <w:numPr>
          <w:ilvl w:val="0"/>
          <w:numId w:val="7"/>
        </w:numPr>
        <w:spacing w:before="100" w:beforeAutospacing="1" w:after="100" w:afterAutospacing="1"/>
        <w:rPr>
          <w:rFonts w:ascii="Times New Roman,BoldItalic" w:eastAsiaTheme="minorHAnsi" w:hAnsi="Times New Roman,BoldItalic"/>
          <w:lang w:val="tr-TR" w:eastAsia="tr-TR"/>
        </w:rPr>
        <w:sectPr w:rsidR="007315F9" w:rsidSect="001E4EEB">
          <w:type w:val="continuous"/>
          <w:pgSz w:w="11900" w:h="16840"/>
          <w:pgMar w:top="1417" w:right="1417" w:bottom="1417" w:left="1417" w:header="708" w:footer="708" w:gutter="0"/>
          <w:cols w:num="2" w:space="708"/>
          <w:docGrid w:linePitch="360"/>
        </w:sectPr>
      </w:pPr>
      <w:r w:rsidRPr="009706B6">
        <w:rPr>
          <w:rFonts w:ascii="Times New Roman,BoldItalic" w:eastAsiaTheme="minorHAnsi" w:hAnsi="Times New Roman,BoldItalic"/>
          <w:lang w:val="tr-TR" w:eastAsia="tr-TR"/>
        </w:rPr>
        <w:t>Alexander, B.H., F.P. Rivara, and M.E. Wolf, The cost and frequency of hospitalization for fall-related injuries in older adults. Am J Public Health, 1992. 82(7): p. 1020-3.</w:t>
      </w:r>
    </w:p>
    <w:p w14:paraId="08F5D1E4" w14:textId="77777777" w:rsidR="00E8224F" w:rsidRPr="00364B04" w:rsidRDefault="00E8224F" w:rsidP="008674F2">
      <w:pPr>
        <w:pStyle w:val="ListeParagraf"/>
        <w:spacing w:before="100" w:beforeAutospacing="1" w:after="100" w:afterAutospacing="1"/>
        <w:ind w:left="360"/>
      </w:pPr>
    </w:p>
    <w:sectPr w:rsidR="00E8224F" w:rsidRPr="00364B04" w:rsidSect="001E4EEB">
      <w:type w:val="continuous"/>
      <w:pgSz w:w="11900" w:h="16840"/>
      <w:pgMar w:top="1417" w:right="1417" w:bottom="1417" w:left="1417"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EA050D" w14:textId="77777777" w:rsidR="00457895" w:rsidRDefault="00457895" w:rsidP="005E37D7">
      <w:r>
        <w:separator/>
      </w:r>
    </w:p>
  </w:endnote>
  <w:endnote w:type="continuationSeparator" w:id="0">
    <w:p w14:paraId="4F625B37" w14:textId="77777777" w:rsidR="00457895" w:rsidRDefault="00457895" w:rsidP="005E37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Verdana">
    <w:panose1 w:val="020B0604030504040204"/>
    <w:charset w:val="A2"/>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BoldItalic">
    <w:altName w:val="Times New Roman"/>
    <w:charset w:val="00"/>
    <w:family w:val="auto"/>
    <w:pitch w:val="variable"/>
    <w:sig w:usb0="00000003" w:usb1="00000000" w:usb2="00000000" w:usb3="00000000" w:csb0="00000001"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F088D5" w14:textId="77777777" w:rsidR="00194281" w:rsidRDefault="00194281" w:rsidP="00194281">
    <w:pPr>
      <w:pStyle w:val="AltBilgi"/>
      <w:framePr w:wrap="none"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end"/>
    </w:r>
  </w:p>
  <w:p w14:paraId="74BE231A" w14:textId="77777777" w:rsidR="00194281" w:rsidRDefault="00194281" w:rsidP="00892784">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2E8EAE" w14:textId="77777777" w:rsidR="00194281" w:rsidRDefault="00194281" w:rsidP="00194281">
    <w:pPr>
      <w:pStyle w:val="AltBilgi"/>
      <w:framePr w:wrap="none"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separate"/>
    </w:r>
    <w:r w:rsidR="00C00A99">
      <w:rPr>
        <w:rStyle w:val="SayfaNumaras"/>
        <w:noProof/>
      </w:rPr>
      <w:t>1</w:t>
    </w:r>
    <w:r>
      <w:rPr>
        <w:rStyle w:val="SayfaNumaras"/>
      </w:rPr>
      <w:fldChar w:fldCharType="end"/>
    </w:r>
  </w:p>
  <w:p w14:paraId="59247231" w14:textId="77777777" w:rsidR="00194281" w:rsidRDefault="00E4327E" w:rsidP="00892784">
    <w:pPr>
      <w:pStyle w:val="AltBilgi"/>
      <w:tabs>
        <w:tab w:val="clear" w:pos="4536"/>
        <w:tab w:val="clear" w:pos="9072"/>
        <w:tab w:val="left" w:pos="9184"/>
        <w:tab w:val="right" w:pos="10160"/>
      </w:tabs>
      <w:ind w:right="360"/>
      <w:jc w:val="center"/>
    </w:pPr>
    <w:r>
      <w:t>Oner</w:t>
    </w:r>
    <w:r w:rsidR="00D52325">
      <w:t xml:space="preserve"> </w:t>
    </w:r>
    <w:r w:rsidR="008006B6">
      <w:t>et al</w:t>
    </w:r>
    <w:r w:rsidR="00194281">
      <w:t>., TJFM</w:t>
    </w:r>
    <w:r w:rsidR="00194281" w:rsidRPr="00CA6094">
      <w:t xml:space="preserve">PC </w:t>
    </w:r>
    <w:hyperlink r:id="rId1" w:history="1">
      <w:r w:rsidR="00194281" w:rsidRPr="00CA6094">
        <w:rPr>
          <w:rStyle w:val="Kpr"/>
        </w:rPr>
        <w:t>www.tjfmpc.gen.tr</w:t>
      </w:r>
    </w:hyperlink>
    <w:r w:rsidR="00194281">
      <w:t xml:space="preserve"> 2019; 13 (</w:t>
    </w:r>
    <w:r w:rsidR="00D52325">
      <w:t>3</w:t>
    </w:r>
    <w:r w:rsidR="00194281">
      <w:t>)</w:t>
    </w:r>
  </w:p>
  <w:p w14:paraId="663D987E" w14:textId="77777777" w:rsidR="00194281" w:rsidRPr="00CA6094" w:rsidRDefault="00194281" w:rsidP="00892784">
    <w:pPr>
      <w:pStyle w:val="AltBilgi"/>
      <w:tabs>
        <w:tab w:val="clear" w:pos="4536"/>
        <w:tab w:val="clear" w:pos="9072"/>
        <w:tab w:val="left" w:pos="9184"/>
        <w:tab w:val="right" w:pos="10160"/>
      </w:tabs>
      <w:ind w:right="360"/>
      <w:jc w:val="center"/>
    </w:pPr>
  </w:p>
  <w:p w14:paraId="640FF9AE" w14:textId="77777777" w:rsidR="00194281" w:rsidRDefault="00194281">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98DCD5" w14:textId="77777777" w:rsidR="00457895" w:rsidRDefault="00457895" w:rsidP="005E37D7">
      <w:r>
        <w:separator/>
      </w:r>
    </w:p>
  </w:footnote>
  <w:footnote w:type="continuationSeparator" w:id="0">
    <w:p w14:paraId="2FC8F3E7" w14:textId="77777777" w:rsidR="00457895" w:rsidRDefault="00457895" w:rsidP="005E37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ED1CD1" w14:textId="77777777" w:rsidR="00194281" w:rsidRDefault="00194281">
    <w:pPr>
      <w:pStyle w:val="stBilgi"/>
    </w:pPr>
  </w:p>
  <w:p w14:paraId="6D775391" w14:textId="77777777" w:rsidR="00194281" w:rsidRDefault="00194281" w:rsidP="008B1E0C">
    <w:pPr>
      <w:pStyle w:val="stBilgi"/>
      <w:jc w:val="left"/>
    </w:pPr>
    <w:r>
      <w:rPr>
        <w:noProof/>
      </w:rPr>
      <w:drawing>
        <wp:inline distT="0" distB="0" distL="0" distR="0" wp14:anchorId="05732F18" wp14:editId="2EE2530F">
          <wp:extent cx="2286000" cy="417830"/>
          <wp:effectExtent l="0" t="0" r="0" b="0"/>
          <wp:docPr id="5" name="Picture 49" descr="tjfmpc_logo_2"/>
          <wp:cNvGraphicFramePr/>
          <a:graphic xmlns:a="http://schemas.openxmlformats.org/drawingml/2006/main">
            <a:graphicData uri="http://schemas.openxmlformats.org/drawingml/2006/picture">
              <pic:pic xmlns:pic="http://schemas.openxmlformats.org/drawingml/2006/picture">
                <pic:nvPicPr>
                  <pic:cNvPr id="13" name="Picture 49" descr="tjfmpc_logo_2"/>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0" cy="417830"/>
                  </a:xfrm>
                  <a:prstGeom prst="rect">
                    <a:avLst/>
                  </a:prstGeom>
                  <a:noFill/>
                </pic:spPr>
              </pic:pic>
            </a:graphicData>
          </a:graphic>
        </wp:inline>
      </w:drawing>
    </w:r>
    <w:r>
      <w:rPr>
        <w:noProof/>
      </w:rPr>
      <w:t xml:space="preserve">                                                                                                              </w:t>
    </w:r>
    <w:r>
      <w:rPr>
        <w:noProof/>
      </w:rPr>
      <w:drawing>
        <wp:inline distT="0" distB="0" distL="0" distR="0" wp14:anchorId="3B9927CA" wp14:editId="7D9832D7">
          <wp:extent cx="547321" cy="507756"/>
          <wp:effectExtent l="0" t="0" r="12065" b="635"/>
          <wp:docPr id="9" name="Resim 9"/>
          <wp:cNvGraphicFramePr/>
          <a:graphic xmlns:a="http://schemas.openxmlformats.org/drawingml/2006/main">
            <a:graphicData uri="http://schemas.openxmlformats.org/drawingml/2006/picture">
              <pic:pic xmlns:pic="http://schemas.openxmlformats.org/drawingml/2006/picture">
                <pic:nvPicPr>
                  <pic:cNvPr id="14" name="Resim 14"/>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52500" cy="512560"/>
                  </a:xfrm>
                  <a:prstGeom prst="rect">
                    <a:avLst/>
                  </a:prstGeom>
                  <a:noFill/>
                </pic:spPr>
              </pic:pic>
            </a:graphicData>
          </a:graphic>
        </wp:inline>
      </w:drawing>
    </w:r>
    <w:r>
      <w:rPr>
        <w:noProof/>
      </w:rPr>
      <w:t xml:space="preserve"> </w:t>
    </w:r>
  </w:p>
  <w:p w14:paraId="15CDD31F" w14:textId="77777777" w:rsidR="00194281" w:rsidRDefault="00194281">
    <w:pPr>
      <w:pStyle w:val="stBilgi"/>
      <w:rPr>
        <w:b/>
        <w:sz w:val="22"/>
        <w:szCs w:val="22"/>
      </w:rPr>
    </w:pPr>
  </w:p>
  <w:p w14:paraId="1429000A" w14:textId="77777777" w:rsidR="00194281" w:rsidRPr="005E37D7" w:rsidRDefault="00194281" w:rsidP="008F1E26">
    <w:pPr>
      <w:pStyle w:val="stBilgi"/>
      <w:rPr>
        <w:b/>
        <w:sz w:val="22"/>
        <w:szCs w:val="22"/>
      </w:rPr>
    </w:pPr>
    <w:r w:rsidRPr="008F1E26">
      <w:rPr>
        <w:b/>
        <w:sz w:val="22"/>
        <w:szCs w:val="22"/>
      </w:rPr>
      <w:t>Original Research / Özgün Araştırma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A03D49" w14:textId="77777777" w:rsidR="00194281" w:rsidRDefault="00194281">
    <w:pPr>
      <w:pStyle w:val="stBilgi"/>
    </w:pPr>
  </w:p>
  <w:p w14:paraId="725C0616" w14:textId="77777777" w:rsidR="00194281" w:rsidRDefault="00194281">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3143A8"/>
    <w:multiLevelType w:val="hybridMultilevel"/>
    <w:tmpl w:val="B1CC8018"/>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 w15:restartNumberingAfterBreak="0">
    <w:nsid w:val="0DCC7A1A"/>
    <w:multiLevelType w:val="hybridMultilevel"/>
    <w:tmpl w:val="190A1AFE"/>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 w15:restartNumberingAfterBreak="0">
    <w:nsid w:val="257D57F2"/>
    <w:multiLevelType w:val="multilevel"/>
    <w:tmpl w:val="5A388E8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BDB5453"/>
    <w:multiLevelType w:val="hybridMultilevel"/>
    <w:tmpl w:val="963AA846"/>
    <w:lvl w:ilvl="0" w:tplc="24AA1038">
      <w:start w:val="4"/>
      <w:numFmt w:val="bullet"/>
      <w:lvlText w:val="-"/>
      <w:lvlJc w:val="left"/>
      <w:pPr>
        <w:ind w:left="720" w:hanging="360"/>
      </w:pPr>
      <w:rPr>
        <w:rFonts w:ascii="Times New Roman" w:eastAsia="Cambria"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BBA47BD"/>
    <w:multiLevelType w:val="hybridMultilevel"/>
    <w:tmpl w:val="AE6E285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5CDC38FE"/>
    <w:multiLevelType w:val="hybridMultilevel"/>
    <w:tmpl w:val="62D86E46"/>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73BB15EB"/>
    <w:multiLevelType w:val="hybridMultilevel"/>
    <w:tmpl w:val="36BE96EE"/>
    <w:lvl w:ilvl="0" w:tplc="0409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num w:numId="1">
    <w:abstractNumId w:val="5"/>
  </w:num>
  <w:num w:numId="2">
    <w:abstractNumId w:val="4"/>
  </w:num>
  <w:num w:numId="3">
    <w:abstractNumId w:val="2"/>
  </w:num>
  <w:num w:numId="4">
    <w:abstractNumId w:val="0"/>
  </w:num>
  <w:num w:numId="5">
    <w:abstractNumId w:val="1"/>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37D7"/>
    <w:rsid w:val="00002D1F"/>
    <w:rsid w:val="00076BAD"/>
    <w:rsid w:val="00082D4E"/>
    <w:rsid w:val="0008515E"/>
    <w:rsid w:val="000A52E9"/>
    <w:rsid w:val="00194281"/>
    <w:rsid w:val="001E4EEB"/>
    <w:rsid w:val="00257815"/>
    <w:rsid w:val="00296168"/>
    <w:rsid w:val="002D4157"/>
    <w:rsid w:val="00306287"/>
    <w:rsid w:val="00364B04"/>
    <w:rsid w:val="0038372D"/>
    <w:rsid w:val="0043639B"/>
    <w:rsid w:val="00451A03"/>
    <w:rsid w:val="00457895"/>
    <w:rsid w:val="00487162"/>
    <w:rsid w:val="005979DA"/>
    <w:rsid w:val="005E37D7"/>
    <w:rsid w:val="007315F9"/>
    <w:rsid w:val="00735283"/>
    <w:rsid w:val="00747054"/>
    <w:rsid w:val="007824E9"/>
    <w:rsid w:val="00783FE7"/>
    <w:rsid w:val="007B2386"/>
    <w:rsid w:val="008006B6"/>
    <w:rsid w:val="00847D0C"/>
    <w:rsid w:val="008674F2"/>
    <w:rsid w:val="00892784"/>
    <w:rsid w:val="008B1E0C"/>
    <w:rsid w:val="008F1E26"/>
    <w:rsid w:val="00944156"/>
    <w:rsid w:val="009706B6"/>
    <w:rsid w:val="00AF1881"/>
    <w:rsid w:val="00B117CC"/>
    <w:rsid w:val="00B44CBA"/>
    <w:rsid w:val="00B72E4D"/>
    <w:rsid w:val="00BA11EC"/>
    <w:rsid w:val="00BE0B69"/>
    <w:rsid w:val="00C00A99"/>
    <w:rsid w:val="00C230C5"/>
    <w:rsid w:val="00C336EE"/>
    <w:rsid w:val="00C3514A"/>
    <w:rsid w:val="00C505F4"/>
    <w:rsid w:val="00C7078B"/>
    <w:rsid w:val="00C81417"/>
    <w:rsid w:val="00CE44BB"/>
    <w:rsid w:val="00CF4FBC"/>
    <w:rsid w:val="00D01EC8"/>
    <w:rsid w:val="00D476DA"/>
    <w:rsid w:val="00D52325"/>
    <w:rsid w:val="00D56100"/>
    <w:rsid w:val="00D6125E"/>
    <w:rsid w:val="00DD6CB8"/>
    <w:rsid w:val="00DF14EC"/>
    <w:rsid w:val="00E4327E"/>
    <w:rsid w:val="00E605DA"/>
    <w:rsid w:val="00E8224F"/>
    <w:rsid w:val="00ED4EBA"/>
    <w:rsid w:val="00EF1873"/>
    <w:rsid w:val="00F54395"/>
    <w:rsid w:val="00F65C0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21EA4B"/>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5E37D7"/>
    <w:pPr>
      <w:jc w:val="both"/>
    </w:pPr>
    <w:rPr>
      <w:rFonts w:ascii="Times New Roman" w:eastAsia="Times New Roman" w:hAnsi="Times New Roman" w:cs="Times New Roman"/>
      <w:sz w:val="20"/>
      <w:szCs w:val="20"/>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5E37D7"/>
    <w:pPr>
      <w:tabs>
        <w:tab w:val="center" w:pos="4536"/>
        <w:tab w:val="right" w:pos="9072"/>
      </w:tabs>
    </w:pPr>
  </w:style>
  <w:style w:type="character" w:customStyle="1" w:styleId="stBilgiChar">
    <w:name w:val="Üst Bilgi Char"/>
    <w:basedOn w:val="VarsaylanParagrafYazTipi"/>
    <w:link w:val="stBilgi"/>
    <w:uiPriority w:val="99"/>
    <w:rsid w:val="005E37D7"/>
  </w:style>
  <w:style w:type="paragraph" w:styleId="AltBilgi">
    <w:name w:val="footer"/>
    <w:basedOn w:val="Normal"/>
    <w:link w:val="AltBilgiChar"/>
    <w:uiPriority w:val="99"/>
    <w:unhideWhenUsed/>
    <w:rsid w:val="005E37D7"/>
    <w:pPr>
      <w:tabs>
        <w:tab w:val="center" w:pos="4536"/>
        <w:tab w:val="right" w:pos="9072"/>
      </w:tabs>
    </w:pPr>
  </w:style>
  <w:style w:type="character" w:customStyle="1" w:styleId="AltBilgiChar">
    <w:name w:val="Alt Bilgi Char"/>
    <w:basedOn w:val="VarsaylanParagrafYazTipi"/>
    <w:link w:val="AltBilgi"/>
    <w:uiPriority w:val="99"/>
    <w:rsid w:val="005E37D7"/>
  </w:style>
  <w:style w:type="paragraph" w:styleId="NormalWeb">
    <w:name w:val="Normal (Web)"/>
    <w:basedOn w:val="Normal"/>
    <w:uiPriority w:val="99"/>
    <w:unhideWhenUsed/>
    <w:rsid w:val="005E37D7"/>
    <w:pPr>
      <w:spacing w:before="100" w:beforeAutospacing="1" w:after="100" w:afterAutospacing="1"/>
      <w:jc w:val="left"/>
    </w:pPr>
    <w:rPr>
      <w:sz w:val="24"/>
      <w:szCs w:val="24"/>
      <w:lang w:val="tr-TR" w:eastAsia="tr-TR"/>
    </w:rPr>
  </w:style>
  <w:style w:type="paragraph" w:styleId="ListeParagraf">
    <w:name w:val="List Paragraph"/>
    <w:basedOn w:val="Normal"/>
    <w:uiPriority w:val="34"/>
    <w:qFormat/>
    <w:rsid w:val="008B1E0C"/>
    <w:pPr>
      <w:ind w:left="720"/>
      <w:contextualSpacing/>
    </w:pPr>
  </w:style>
  <w:style w:type="character" w:styleId="Kpr">
    <w:name w:val="Hyperlink"/>
    <w:uiPriority w:val="99"/>
    <w:rsid w:val="008B1E0C"/>
    <w:rPr>
      <w:color w:val="0000FF"/>
      <w:u w:val="single"/>
    </w:rPr>
  </w:style>
  <w:style w:type="character" w:styleId="zlenenKpr">
    <w:name w:val="FollowedHyperlink"/>
    <w:basedOn w:val="VarsaylanParagrafYazTipi"/>
    <w:uiPriority w:val="99"/>
    <w:semiHidden/>
    <w:unhideWhenUsed/>
    <w:rsid w:val="008B1E0C"/>
    <w:rPr>
      <w:color w:val="954F72" w:themeColor="followedHyperlink"/>
      <w:u w:val="single"/>
    </w:rPr>
  </w:style>
  <w:style w:type="character" w:styleId="SayfaNumaras">
    <w:name w:val="page number"/>
    <w:basedOn w:val="VarsaylanParagrafYazTipi"/>
    <w:uiPriority w:val="99"/>
    <w:semiHidden/>
    <w:unhideWhenUsed/>
    <w:rsid w:val="00892784"/>
  </w:style>
  <w:style w:type="paragraph" w:styleId="AralkYok">
    <w:name w:val="No Spacing"/>
    <w:uiPriority w:val="1"/>
    <w:qFormat/>
    <w:rsid w:val="00892784"/>
    <w:rPr>
      <w:rFonts w:eastAsiaTheme="minorEastAsia"/>
      <w:sz w:val="22"/>
      <w:szCs w:val="22"/>
      <w:lang w:val="en-US" w:eastAsia="zh-CN"/>
    </w:rPr>
  </w:style>
  <w:style w:type="paragraph" w:styleId="HTMLncedenBiimlendirilmi">
    <w:name w:val="HTML Preformatted"/>
    <w:basedOn w:val="Normal"/>
    <w:link w:val="HTMLncedenBiimlendirilmiChar"/>
    <w:uiPriority w:val="99"/>
    <w:semiHidden/>
    <w:unhideWhenUsed/>
    <w:rsid w:val="00076B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heme="minorHAnsi" w:hAnsi="Courier New" w:cs="Courier New"/>
      <w:lang w:val="tr-TR" w:eastAsia="tr-TR"/>
    </w:rPr>
  </w:style>
  <w:style w:type="character" w:customStyle="1" w:styleId="HTMLncedenBiimlendirilmiChar">
    <w:name w:val="HTML Önceden Biçimlendirilmiş Char"/>
    <w:basedOn w:val="VarsaylanParagrafYazTipi"/>
    <w:link w:val="HTMLncedenBiimlendirilmi"/>
    <w:uiPriority w:val="99"/>
    <w:semiHidden/>
    <w:rsid w:val="00076BAD"/>
    <w:rPr>
      <w:rFonts w:ascii="Courier New" w:hAnsi="Courier New" w:cs="Courier New"/>
      <w:sz w:val="20"/>
      <w:szCs w:val="20"/>
      <w:lang w:eastAsia="tr-TR"/>
    </w:rPr>
  </w:style>
  <w:style w:type="table" w:styleId="TabloKlavuzu">
    <w:name w:val="Table Grid"/>
    <w:basedOn w:val="NormalTablo"/>
    <w:uiPriority w:val="59"/>
    <w:rsid w:val="002578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D52325"/>
    <w:rPr>
      <w:sz w:val="18"/>
      <w:szCs w:val="18"/>
    </w:rPr>
  </w:style>
  <w:style w:type="character" w:customStyle="1" w:styleId="BalonMetniChar">
    <w:name w:val="Balon Metni Char"/>
    <w:basedOn w:val="VarsaylanParagrafYazTipi"/>
    <w:link w:val="BalonMetni"/>
    <w:uiPriority w:val="99"/>
    <w:semiHidden/>
    <w:rsid w:val="00D52325"/>
    <w:rPr>
      <w:rFonts w:ascii="Times New Roman" w:eastAsia="Times New Roman" w:hAnsi="Times New Roman" w:cs="Times New Roman"/>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763185">
      <w:bodyDiv w:val="1"/>
      <w:marLeft w:val="0"/>
      <w:marRight w:val="0"/>
      <w:marTop w:val="0"/>
      <w:marBottom w:val="0"/>
      <w:divBdr>
        <w:top w:val="none" w:sz="0" w:space="0" w:color="auto"/>
        <w:left w:val="none" w:sz="0" w:space="0" w:color="auto"/>
        <w:bottom w:val="none" w:sz="0" w:space="0" w:color="auto"/>
        <w:right w:val="none" w:sz="0" w:space="0" w:color="auto"/>
      </w:divBdr>
      <w:divsChild>
        <w:div w:id="307326917">
          <w:marLeft w:val="0"/>
          <w:marRight w:val="0"/>
          <w:marTop w:val="0"/>
          <w:marBottom w:val="0"/>
          <w:divBdr>
            <w:top w:val="none" w:sz="0" w:space="0" w:color="auto"/>
            <w:left w:val="none" w:sz="0" w:space="0" w:color="auto"/>
            <w:bottom w:val="none" w:sz="0" w:space="0" w:color="auto"/>
            <w:right w:val="none" w:sz="0" w:space="0" w:color="auto"/>
          </w:divBdr>
          <w:divsChild>
            <w:div w:id="1147087192">
              <w:marLeft w:val="0"/>
              <w:marRight w:val="0"/>
              <w:marTop w:val="0"/>
              <w:marBottom w:val="0"/>
              <w:divBdr>
                <w:top w:val="none" w:sz="0" w:space="0" w:color="auto"/>
                <w:left w:val="none" w:sz="0" w:space="0" w:color="auto"/>
                <w:bottom w:val="none" w:sz="0" w:space="0" w:color="auto"/>
                <w:right w:val="none" w:sz="0" w:space="0" w:color="auto"/>
              </w:divBdr>
              <w:divsChild>
                <w:div w:id="1375689619">
                  <w:marLeft w:val="0"/>
                  <w:marRight w:val="0"/>
                  <w:marTop w:val="0"/>
                  <w:marBottom w:val="0"/>
                  <w:divBdr>
                    <w:top w:val="none" w:sz="0" w:space="0" w:color="auto"/>
                    <w:left w:val="none" w:sz="0" w:space="0" w:color="auto"/>
                    <w:bottom w:val="none" w:sz="0" w:space="0" w:color="auto"/>
                    <w:right w:val="none" w:sz="0" w:space="0" w:color="auto"/>
                  </w:divBdr>
                </w:div>
              </w:divsChild>
            </w:div>
            <w:div w:id="1396123301">
              <w:marLeft w:val="0"/>
              <w:marRight w:val="0"/>
              <w:marTop w:val="0"/>
              <w:marBottom w:val="0"/>
              <w:divBdr>
                <w:top w:val="none" w:sz="0" w:space="0" w:color="auto"/>
                <w:left w:val="none" w:sz="0" w:space="0" w:color="auto"/>
                <w:bottom w:val="none" w:sz="0" w:space="0" w:color="auto"/>
                <w:right w:val="none" w:sz="0" w:space="0" w:color="auto"/>
              </w:divBdr>
              <w:divsChild>
                <w:div w:id="582106493">
                  <w:marLeft w:val="0"/>
                  <w:marRight w:val="0"/>
                  <w:marTop w:val="0"/>
                  <w:marBottom w:val="0"/>
                  <w:divBdr>
                    <w:top w:val="none" w:sz="0" w:space="0" w:color="auto"/>
                    <w:left w:val="none" w:sz="0" w:space="0" w:color="auto"/>
                    <w:bottom w:val="none" w:sz="0" w:space="0" w:color="auto"/>
                    <w:right w:val="none" w:sz="0" w:space="0" w:color="auto"/>
                  </w:divBdr>
                </w:div>
                <w:div w:id="20472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9629508">
      <w:bodyDiv w:val="1"/>
      <w:marLeft w:val="0"/>
      <w:marRight w:val="0"/>
      <w:marTop w:val="0"/>
      <w:marBottom w:val="0"/>
      <w:divBdr>
        <w:top w:val="none" w:sz="0" w:space="0" w:color="auto"/>
        <w:left w:val="none" w:sz="0" w:space="0" w:color="auto"/>
        <w:bottom w:val="none" w:sz="0" w:space="0" w:color="auto"/>
        <w:right w:val="none" w:sz="0" w:space="0" w:color="auto"/>
      </w:divBdr>
    </w:div>
    <w:div w:id="1116368287">
      <w:bodyDiv w:val="1"/>
      <w:marLeft w:val="0"/>
      <w:marRight w:val="0"/>
      <w:marTop w:val="0"/>
      <w:marBottom w:val="0"/>
      <w:divBdr>
        <w:top w:val="none" w:sz="0" w:space="0" w:color="auto"/>
        <w:left w:val="none" w:sz="0" w:space="0" w:color="auto"/>
        <w:bottom w:val="none" w:sz="0" w:space="0" w:color="auto"/>
        <w:right w:val="none" w:sz="0" w:space="0" w:color="auto"/>
      </w:divBdr>
    </w:div>
    <w:div w:id="1154906625">
      <w:bodyDiv w:val="1"/>
      <w:marLeft w:val="0"/>
      <w:marRight w:val="0"/>
      <w:marTop w:val="0"/>
      <w:marBottom w:val="0"/>
      <w:divBdr>
        <w:top w:val="none" w:sz="0" w:space="0" w:color="auto"/>
        <w:left w:val="none" w:sz="0" w:space="0" w:color="auto"/>
        <w:bottom w:val="none" w:sz="0" w:space="0" w:color="auto"/>
        <w:right w:val="none" w:sz="0" w:space="0" w:color="auto"/>
      </w:divBdr>
    </w:div>
    <w:div w:id="135275555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www.tjfmpc.gen.t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Sayfa1!$B$1</c:f>
              <c:strCache>
                <c:ptCount val="1"/>
                <c:pt idx="0">
                  <c:v>2013</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Sayfa1!$A$2:$A$5</c:f>
              <c:strCache>
                <c:ptCount val="4"/>
                <c:pt idx="0">
                  <c:v>Trauma/Total</c:v>
                </c:pt>
                <c:pt idx="1">
                  <c:v>Elderly/Total</c:v>
                </c:pt>
                <c:pt idx="2">
                  <c:v>Elderly trauma/ Total trauma</c:v>
                </c:pt>
                <c:pt idx="3">
                  <c:v>Elderly falls/ Elderly admissions</c:v>
                </c:pt>
              </c:strCache>
            </c:strRef>
          </c:cat>
          <c:val>
            <c:numRef>
              <c:f>Sayfa1!$B$2:$B$5</c:f>
              <c:numCache>
                <c:formatCode>General</c:formatCode>
                <c:ptCount val="4"/>
                <c:pt idx="0">
                  <c:v>6.1</c:v>
                </c:pt>
                <c:pt idx="1">
                  <c:v>18.2</c:v>
                </c:pt>
                <c:pt idx="2">
                  <c:v>12.3</c:v>
                </c:pt>
                <c:pt idx="3">
                  <c:v>4.0999999999999996</c:v>
                </c:pt>
              </c:numCache>
            </c:numRef>
          </c:val>
          <c:extLst>
            <c:ext xmlns:c16="http://schemas.microsoft.com/office/drawing/2014/chart" uri="{C3380CC4-5D6E-409C-BE32-E72D297353CC}">
              <c16:uniqueId val="{00000000-65BE-475D-9B2D-D5B1D041C085}"/>
            </c:ext>
          </c:extLst>
        </c:ser>
        <c:ser>
          <c:idx val="1"/>
          <c:order val="1"/>
          <c:tx>
            <c:strRef>
              <c:f>Sayfa1!$C$1</c:f>
              <c:strCache>
                <c:ptCount val="1"/>
                <c:pt idx="0">
                  <c:v>2014</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Sayfa1!$A$2:$A$5</c:f>
              <c:strCache>
                <c:ptCount val="4"/>
                <c:pt idx="0">
                  <c:v>Trauma/Total</c:v>
                </c:pt>
                <c:pt idx="1">
                  <c:v>Elderly/Total</c:v>
                </c:pt>
                <c:pt idx="2">
                  <c:v>Elderly trauma/ Total trauma</c:v>
                </c:pt>
                <c:pt idx="3">
                  <c:v>Elderly falls/ Elderly admissions</c:v>
                </c:pt>
              </c:strCache>
            </c:strRef>
          </c:cat>
          <c:val>
            <c:numRef>
              <c:f>Sayfa1!$C$2:$C$5</c:f>
              <c:numCache>
                <c:formatCode>General</c:formatCode>
                <c:ptCount val="4"/>
                <c:pt idx="0">
                  <c:v>3.9</c:v>
                </c:pt>
                <c:pt idx="1">
                  <c:v>8.6</c:v>
                </c:pt>
                <c:pt idx="2">
                  <c:v>10.8</c:v>
                </c:pt>
                <c:pt idx="3">
                  <c:v>4.9000000000000004</c:v>
                </c:pt>
              </c:numCache>
            </c:numRef>
          </c:val>
          <c:extLst>
            <c:ext xmlns:c16="http://schemas.microsoft.com/office/drawing/2014/chart" uri="{C3380CC4-5D6E-409C-BE32-E72D297353CC}">
              <c16:uniqueId val="{00000001-65BE-475D-9B2D-D5B1D041C085}"/>
            </c:ext>
          </c:extLst>
        </c:ser>
        <c:ser>
          <c:idx val="2"/>
          <c:order val="2"/>
          <c:tx>
            <c:strRef>
              <c:f>Sayfa1!$D$1</c:f>
              <c:strCache>
                <c:ptCount val="1"/>
                <c:pt idx="0">
                  <c:v>2015</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Sayfa1!$A$2:$A$5</c:f>
              <c:strCache>
                <c:ptCount val="4"/>
                <c:pt idx="0">
                  <c:v>Trauma/Total</c:v>
                </c:pt>
                <c:pt idx="1">
                  <c:v>Elderly/Total</c:v>
                </c:pt>
                <c:pt idx="2">
                  <c:v>Elderly trauma/ Total trauma</c:v>
                </c:pt>
                <c:pt idx="3">
                  <c:v>Elderly falls/ Elderly admissions</c:v>
                </c:pt>
              </c:strCache>
            </c:strRef>
          </c:cat>
          <c:val>
            <c:numRef>
              <c:f>Sayfa1!$D$2:$D$5</c:f>
              <c:numCache>
                <c:formatCode>General</c:formatCode>
                <c:ptCount val="4"/>
                <c:pt idx="0">
                  <c:v>5.3</c:v>
                </c:pt>
                <c:pt idx="1">
                  <c:v>10.1</c:v>
                </c:pt>
                <c:pt idx="2">
                  <c:v>9.9</c:v>
                </c:pt>
                <c:pt idx="3">
                  <c:v>5.3</c:v>
                </c:pt>
              </c:numCache>
            </c:numRef>
          </c:val>
          <c:extLst>
            <c:ext xmlns:c16="http://schemas.microsoft.com/office/drawing/2014/chart" uri="{C3380CC4-5D6E-409C-BE32-E72D297353CC}">
              <c16:uniqueId val="{00000002-65BE-475D-9B2D-D5B1D041C085}"/>
            </c:ext>
          </c:extLst>
        </c:ser>
        <c:ser>
          <c:idx val="3"/>
          <c:order val="3"/>
          <c:tx>
            <c:strRef>
              <c:f>Sayfa1!$E$1</c:f>
              <c:strCache>
                <c:ptCount val="1"/>
                <c:pt idx="0">
                  <c:v>2016</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Sayfa1!$A$2:$A$5</c:f>
              <c:strCache>
                <c:ptCount val="4"/>
                <c:pt idx="0">
                  <c:v>Trauma/Total</c:v>
                </c:pt>
                <c:pt idx="1">
                  <c:v>Elderly/Total</c:v>
                </c:pt>
                <c:pt idx="2">
                  <c:v>Elderly trauma/ Total trauma</c:v>
                </c:pt>
                <c:pt idx="3">
                  <c:v>Elderly falls/ Elderly admissions</c:v>
                </c:pt>
              </c:strCache>
            </c:strRef>
          </c:cat>
          <c:val>
            <c:numRef>
              <c:f>Sayfa1!$E$2:$E$5</c:f>
              <c:numCache>
                <c:formatCode>General</c:formatCode>
                <c:ptCount val="4"/>
                <c:pt idx="0">
                  <c:v>13.5</c:v>
                </c:pt>
                <c:pt idx="1">
                  <c:v>10.8</c:v>
                </c:pt>
                <c:pt idx="2">
                  <c:v>15.6</c:v>
                </c:pt>
                <c:pt idx="3">
                  <c:v>19.600000000000001</c:v>
                </c:pt>
              </c:numCache>
            </c:numRef>
          </c:val>
          <c:extLst>
            <c:ext xmlns:c16="http://schemas.microsoft.com/office/drawing/2014/chart" uri="{C3380CC4-5D6E-409C-BE32-E72D297353CC}">
              <c16:uniqueId val="{00000003-65BE-475D-9B2D-D5B1D041C085}"/>
            </c:ext>
          </c:extLst>
        </c:ser>
        <c:ser>
          <c:idx val="4"/>
          <c:order val="4"/>
          <c:tx>
            <c:strRef>
              <c:f>Sayfa1!$F$1</c:f>
              <c:strCache>
                <c:ptCount val="1"/>
                <c:pt idx="0">
                  <c:v>2017</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Sayfa1!$A$2:$A$5</c:f>
              <c:strCache>
                <c:ptCount val="4"/>
                <c:pt idx="0">
                  <c:v>Trauma/Total</c:v>
                </c:pt>
                <c:pt idx="1">
                  <c:v>Elderly/Total</c:v>
                </c:pt>
                <c:pt idx="2">
                  <c:v>Elderly trauma/ Total trauma</c:v>
                </c:pt>
                <c:pt idx="3">
                  <c:v>Elderly falls/ Elderly admissions</c:v>
                </c:pt>
              </c:strCache>
            </c:strRef>
          </c:cat>
          <c:val>
            <c:numRef>
              <c:f>Sayfa1!$F$2:$F$5</c:f>
              <c:numCache>
                <c:formatCode>General</c:formatCode>
                <c:ptCount val="4"/>
                <c:pt idx="0">
                  <c:v>11.2</c:v>
                </c:pt>
                <c:pt idx="1">
                  <c:v>14</c:v>
                </c:pt>
                <c:pt idx="2">
                  <c:v>16.399999999999999</c:v>
                </c:pt>
                <c:pt idx="3">
                  <c:v>13.4</c:v>
                </c:pt>
              </c:numCache>
            </c:numRef>
          </c:val>
          <c:extLst>
            <c:ext xmlns:c16="http://schemas.microsoft.com/office/drawing/2014/chart" uri="{C3380CC4-5D6E-409C-BE32-E72D297353CC}">
              <c16:uniqueId val="{00000004-65BE-475D-9B2D-D5B1D041C085}"/>
            </c:ext>
          </c:extLst>
        </c:ser>
        <c:dLbls>
          <c:showLegendKey val="0"/>
          <c:showVal val="1"/>
          <c:showCatName val="0"/>
          <c:showSerName val="0"/>
          <c:showPercent val="0"/>
          <c:showBubbleSize val="0"/>
        </c:dLbls>
        <c:gapWidth val="150"/>
        <c:overlap val="-25"/>
        <c:axId val="-2095644896"/>
        <c:axId val="-2145411680"/>
      </c:barChart>
      <c:catAx>
        <c:axId val="-2095644896"/>
        <c:scaling>
          <c:orientation val="minMax"/>
        </c:scaling>
        <c:delete val="0"/>
        <c:axPos val="b"/>
        <c:numFmt formatCode="General" sourceLinked="0"/>
        <c:majorTickMark val="none"/>
        <c:minorTickMark val="none"/>
        <c:tickLblPos val="nextTo"/>
        <c:crossAx val="-2145411680"/>
        <c:crosses val="autoZero"/>
        <c:auto val="1"/>
        <c:lblAlgn val="ctr"/>
        <c:lblOffset val="100"/>
        <c:noMultiLvlLbl val="0"/>
      </c:catAx>
      <c:valAx>
        <c:axId val="-2145411680"/>
        <c:scaling>
          <c:orientation val="minMax"/>
        </c:scaling>
        <c:delete val="1"/>
        <c:axPos val="l"/>
        <c:numFmt formatCode="General" sourceLinked="1"/>
        <c:majorTickMark val="out"/>
        <c:minorTickMark val="none"/>
        <c:tickLblPos val="none"/>
        <c:crossAx val="-2095644896"/>
        <c:crosses val="autoZero"/>
        <c:crossBetween val="between"/>
      </c:valAx>
    </c:plotArea>
    <c:legend>
      <c:legendPos val="t"/>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eması">
  <a:themeElements>
    <a:clrScheme name="Ofis">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is">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91FC1B-C864-471D-B34E-DAD4676026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5</Pages>
  <Words>2706</Words>
  <Characters>15426</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Nafiz Bozdemir</cp:lastModifiedBy>
  <cp:revision>2</cp:revision>
  <dcterms:created xsi:type="dcterms:W3CDTF">2019-08-09T08:19:00Z</dcterms:created>
  <dcterms:modified xsi:type="dcterms:W3CDTF">2019-08-21T08:43:00Z</dcterms:modified>
</cp:coreProperties>
</file>