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73162C" w:rsidRDefault="00850D5F" w:rsidP="00CE4A93">
      <w:pPr>
        <w:pStyle w:val="KonuBal"/>
        <w:rPr>
          <w:lang w:val="en-US"/>
        </w:rPr>
      </w:pPr>
      <w:r w:rsidRPr="0073162C">
        <w:rPr>
          <w:noProof/>
          <w:lang w:val="tr-TR" w:eastAsia="tr-TR" w:bidi="he-IL"/>
        </w:rPr>
        <mc:AlternateContent>
          <mc:Choice Requires="wps">
            <w:drawing>
              <wp:anchor distT="0" distB="0" distL="114300" distR="114300" simplePos="0" relativeHeight="251662336"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CE4A93" w:rsidRPr="001C1E0F" w:rsidRDefault="00CE4A93"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E4A93" w:rsidRPr="001C1E0F" w:rsidRDefault="00CE4A93" w:rsidP="009B0CDE">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9B0CDE">
                              <w:rPr>
                                <w:rFonts w:ascii="Cambria" w:hAnsi="Cambria"/>
                                <w:color w:val="808080"/>
                                <w:sz w:val="17"/>
                                <w:szCs w:val="17"/>
                              </w:rPr>
                              <w:t>453</w:t>
                            </w:r>
                            <w:r>
                              <w:rPr>
                                <w:rFonts w:ascii="Cambria" w:hAnsi="Cambria"/>
                                <w:color w:val="808080"/>
                                <w:sz w:val="17"/>
                                <w:szCs w:val="17"/>
                              </w:rPr>
                              <w:t>-</w:t>
                            </w:r>
                            <w:r w:rsidR="009B0CDE">
                              <w:rPr>
                                <w:rFonts w:ascii="Cambria" w:hAnsi="Cambria"/>
                                <w:color w:val="808080"/>
                                <w:sz w:val="17"/>
                                <w:szCs w:val="17"/>
                              </w:rPr>
                              <w:t>463</w:t>
                            </w:r>
                          </w:p>
                          <w:p w:rsidR="00CE4A93" w:rsidRPr="001C1E0F" w:rsidRDefault="00CE4A93" w:rsidP="009B0CDE">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9B0CDE">
                              <w:rPr>
                                <w:rFonts w:ascii="Cambria" w:hAnsi="Cambria"/>
                                <w:color w:val="808080"/>
                                <w:spacing w:val="-10"/>
                                <w:sz w:val="17"/>
                                <w:szCs w:val="17"/>
                              </w:rPr>
                              <w:t>2</w:t>
                            </w:r>
                            <w:r>
                              <w:rPr>
                                <w:rFonts w:ascii="Cambria" w:hAnsi="Cambria"/>
                                <w:color w:val="808080"/>
                                <w:spacing w:val="-10"/>
                                <w:sz w:val="17"/>
                                <w:szCs w:val="17"/>
                              </w:rPr>
                              <w:t>1</w:t>
                            </w:r>
                          </w:p>
                          <w:p w:rsidR="00CE4A93" w:rsidRPr="001C1E0F" w:rsidRDefault="00CE4A93"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CE4A93" w:rsidRPr="001C1E0F" w:rsidRDefault="00CE4A93"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CE4A93" w:rsidRPr="001C1E0F" w:rsidRDefault="00CE4A93" w:rsidP="009B0CDE">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sidR="009B0CDE">
                        <w:rPr>
                          <w:rFonts w:ascii="Cambria" w:hAnsi="Cambria"/>
                          <w:color w:val="808080"/>
                          <w:sz w:val="17"/>
                          <w:szCs w:val="17"/>
                        </w:rPr>
                        <w:t>453</w:t>
                      </w:r>
                      <w:r>
                        <w:rPr>
                          <w:rFonts w:ascii="Cambria" w:hAnsi="Cambria"/>
                          <w:color w:val="808080"/>
                          <w:sz w:val="17"/>
                          <w:szCs w:val="17"/>
                        </w:rPr>
                        <w:t>-</w:t>
                      </w:r>
                      <w:r w:rsidR="009B0CDE">
                        <w:rPr>
                          <w:rFonts w:ascii="Cambria" w:hAnsi="Cambria"/>
                          <w:color w:val="808080"/>
                          <w:sz w:val="17"/>
                          <w:szCs w:val="17"/>
                        </w:rPr>
                        <w:t>463</w:t>
                      </w:r>
                    </w:p>
                    <w:p w:rsidR="00CE4A93" w:rsidRPr="001C1E0F" w:rsidRDefault="00CE4A93" w:rsidP="009B0CDE">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Pr>
                          <w:rFonts w:ascii="Cambria" w:hAnsi="Cambria"/>
                          <w:color w:val="808080"/>
                          <w:spacing w:val="-10"/>
                          <w:sz w:val="17"/>
                          <w:szCs w:val="17"/>
                        </w:rPr>
                        <w:t>8</w:t>
                      </w:r>
                      <w:r w:rsidR="009B0CDE">
                        <w:rPr>
                          <w:rFonts w:ascii="Cambria" w:hAnsi="Cambria"/>
                          <w:color w:val="808080"/>
                          <w:spacing w:val="-10"/>
                          <w:sz w:val="17"/>
                          <w:szCs w:val="17"/>
                        </w:rPr>
                        <w:t>2</w:t>
                      </w:r>
                      <w:r>
                        <w:rPr>
                          <w:rFonts w:ascii="Cambria" w:hAnsi="Cambria"/>
                          <w:color w:val="808080"/>
                          <w:spacing w:val="-10"/>
                          <w:sz w:val="17"/>
                          <w:szCs w:val="17"/>
                        </w:rPr>
                        <w:t>1</w:t>
                      </w:r>
                    </w:p>
                    <w:p w:rsidR="00CE4A93" w:rsidRPr="001C1E0F" w:rsidRDefault="00CE4A93"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54144"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CE4A93" w:rsidRPr="001C1E0F" w:rsidRDefault="00CE4A93"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CE4A93" w:rsidRPr="001C1E0F" w:rsidRDefault="00CE4A93"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73162C">
        <w:rPr>
          <w:noProof/>
          <w:lang w:val="tr-TR" w:eastAsia="tr-TR" w:bidi="he-IL"/>
        </w:rPr>
        <mc:AlternateContent>
          <mc:Choice Requires="wps">
            <w:drawing>
              <wp:anchor distT="0" distB="0" distL="114300" distR="114300" simplePos="0" relativeHeight="25166028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CE4A93" w:rsidRPr="001C1E0F" w:rsidRDefault="00CE4A93"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CE4A93" w:rsidRPr="001C1E0F" w:rsidRDefault="00CE4A93"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73162C">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5F6115">
        <w:rPr>
          <w:noProof/>
          <w:lang w:val="tr-TR" w:eastAsia="tr-TR" w:bidi="he-IL"/>
        </w:rPr>
        <w:t>A</w:t>
      </w:r>
      <w:r w:rsidR="00CE4A93">
        <w:rPr>
          <w:noProof/>
          <w:lang w:val="tr-TR" w:eastAsia="tr-TR" w:bidi="he-IL"/>
        </w:rPr>
        <w:t>n Early Byzantıne Lıvıng Cross Relıef from Caunus</w:t>
      </w:r>
      <w:r w:rsidR="001A5B0E" w:rsidRPr="001A5B0E">
        <w:rPr>
          <w:noProof/>
          <w:lang w:val="tr-TR" w:eastAsia="tr-TR" w:bidi="he-IL"/>
        </w:rPr>
        <w:t xml:space="preserve"> </w:t>
      </w:r>
    </w:p>
    <w:p w:rsidR="0094073F" w:rsidRPr="001B4171" w:rsidRDefault="00AC7F60" w:rsidP="003364DA">
      <w:pPr>
        <w:pStyle w:val="kinciBalk"/>
      </w:pPr>
      <w:r w:rsidRPr="00AC7F60">
        <w:t>Kaunos’tan erken B</w:t>
      </w:r>
      <w:r w:rsidR="003364DA" w:rsidRPr="003364DA">
        <w:rPr>
          <w:sz w:val="22"/>
          <w:szCs w:val="24"/>
        </w:rPr>
        <w:t>İ</w:t>
      </w:r>
      <w:r w:rsidRPr="00AC7F60">
        <w:t>zans dönem</w:t>
      </w:r>
      <w:r w:rsidR="003364DA" w:rsidRPr="003364DA">
        <w:rPr>
          <w:sz w:val="22"/>
          <w:szCs w:val="24"/>
        </w:rPr>
        <w:t>İ</w:t>
      </w:r>
      <w:r w:rsidRPr="00AC7F60">
        <w:t>ne a</w:t>
      </w:r>
      <w:r w:rsidR="003364DA" w:rsidRPr="003364DA">
        <w:rPr>
          <w:sz w:val="22"/>
          <w:szCs w:val="24"/>
        </w:rPr>
        <w:t>İ</w:t>
      </w:r>
      <w:r w:rsidRPr="00AC7F60">
        <w:t>t b</w:t>
      </w:r>
      <w:r w:rsidR="003364DA" w:rsidRPr="003364DA">
        <w:rPr>
          <w:sz w:val="22"/>
          <w:szCs w:val="24"/>
        </w:rPr>
        <w:t>İ</w:t>
      </w:r>
      <w:r w:rsidRPr="00AC7F60">
        <w:t xml:space="preserve">r yaşam haçı kabartması </w:t>
      </w:r>
      <w:r w:rsidR="00A8575E">
        <w:t xml:space="preserve"> </w:t>
      </w:r>
    </w:p>
    <w:p w:rsidR="00110A7D" w:rsidRPr="0073162C" w:rsidRDefault="00850D5F" w:rsidP="005F6115">
      <w:pPr>
        <w:pStyle w:val="Yazarlar"/>
        <w:rPr>
          <w:vertAlign w:val="superscript"/>
          <w:lang w:val="en-US"/>
        </w:rPr>
      </w:pPr>
      <w:r w:rsidRPr="0073162C">
        <w:rPr>
          <w:noProof/>
          <w:lang w:eastAsia="tr-TR" w:bidi="he-IL"/>
        </w:rPr>
        <mc:AlternateContent>
          <mc:Choice Requires="wps">
            <w:drawing>
              <wp:anchor distT="0" distB="0" distL="114299" distR="114299" simplePos="0" relativeHeight="251656192" behindDoc="0" locked="0" layoutInCell="1" allowOverlap="1" wp14:anchorId="659D5677" wp14:editId="600B0AF7">
                <wp:simplePos x="0" y="0"/>
                <wp:positionH relativeFrom="column">
                  <wp:posOffset>2730746</wp:posOffset>
                </wp:positionH>
                <wp:positionV relativeFrom="paragraph">
                  <wp:posOffset>487812</wp:posOffset>
                </wp:positionV>
                <wp:extent cx="0" cy="5819390"/>
                <wp:effectExtent l="0" t="0" r="19050" b="2921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81939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085B9E4" id="Düz Bağlayıcı 2" o:spid="_x0000_s1026" style="position:absolute;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5pt,38.4pt" to="215pt,4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" strokecolor="#a6a6a6" strokeweight=".5pt">
                <o:lock v:ext="edit" shapetype="f"/>
              </v:line>
            </w:pict>
          </mc:Fallback>
        </mc:AlternateContent>
      </w:r>
      <w:r w:rsidR="00DA763A">
        <w:rPr>
          <w:noProof/>
          <w:lang w:eastAsia="tr-TR" w:bidi="he-IL"/>
        </w:rPr>
        <w:t>Nilüfer PEKER</w:t>
      </w:r>
      <w:r w:rsidR="001A5B0E" w:rsidRPr="0073162C">
        <w:rPr>
          <w:rStyle w:val="DipnotBavurusu"/>
          <w:rFonts w:ascii="Minion Pro Disp" w:hAnsi="Minion Pro Disp"/>
          <w:spacing w:val="10"/>
          <w:sz w:val="22"/>
          <w:lang w:val="en-US"/>
        </w:rPr>
        <w:footnoteReference w:customMarkFollows="1" w:id="1"/>
        <w:sym w:font="Symbol" w:char="F02A"/>
      </w:r>
      <w:r w:rsidR="001B4171">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73162C" w:rsidTr="00A8575E">
        <w:trPr>
          <w:trHeight w:val="1244"/>
        </w:trPr>
        <w:tc>
          <w:tcPr>
            <w:tcW w:w="2419" w:type="pct"/>
            <w:shd w:val="clear" w:color="auto" w:fill="auto"/>
          </w:tcPr>
          <w:p w:rsidR="00C6042E" w:rsidRPr="003364DA" w:rsidRDefault="003364DA" w:rsidP="00CE4A93">
            <w:pPr>
              <w:pStyle w:val="zet"/>
              <w:rPr>
                <w:rFonts w:ascii="Minion Pro Disp" w:hAnsi="Minion Pro Disp"/>
                <w:color w:val="auto"/>
                <w:spacing w:val="-2"/>
                <w:lang w:val="en-US"/>
              </w:rPr>
            </w:pPr>
            <w:r w:rsidRPr="003364DA">
              <w:rPr>
                <w:color w:val="auto"/>
                <w:lang w:val="en-US"/>
              </w:rPr>
              <w:t>Abstract</w:t>
            </w:r>
            <w:r w:rsidRPr="003364DA">
              <w:rPr>
                <w:rFonts w:ascii="Minion Pro Disp" w:hAnsi="Minion Pro Disp"/>
                <w:color w:val="auto"/>
                <w:spacing w:val="-2"/>
                <w:lang w:val="en-US"/>
              </w:rPr>
              <w:t xml:space="preserve">: </w:t>
            </w:r>
            <w:r w:rsidR="00CE4A93" w:rsidRPr="003364DA">
              <w:rPr>
                <w:rFonts w:ascii="Minion Pro Disp" w:hAnsi="Minion Pro Disp"/>
                <w:color w:val="auto"/>
                <w:spacing w:val="-2"/>
                <w:lang w:val="en-US"/>
              </w:rPr>
              <w:t>Caunus is known as a city in Caria which is located coast of Dalyan (Calbis) bay near K</w:t>
            </w:r>
            <w:r w:rsidR="00CE4A93" w:rsidRPr="003364DA">
              <w:rPr>
                <w:rFonts w:ascii="Minion Pro Disp" w:hAnsi="Minion Pro Disp"/>
                <w:color w:val="auto"/>
                <w:spacing w:val="-2"/>
                <w:lang w:val="sv-SE"/>
              </w:rPr>
              <w:t>ö</w:t>
            </w:r>
            <w:r w:rsidR="00CE4A93" w:rsidRPr="003364DA">
              <w:rPr>
                <w:rFonts w:ascii="Minion Pro Disp" w:hAnsi="Minion Pro Disp"/>
                <w:color w:val="auto"/>
                <w:spacing w:val="-2"/>
                <w:lang w:val="en-US"/>
              </w:rPr>
              <w:t>yceğiz in Muğla. Accord</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ing to ancient sources and several ec</w:t>
            </w:r>
            <w:r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clesiastical docu</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ments Caunus was christianized at an early date and when the Roman Empire officially adopt</w:t>
            </w:r>
            <w:r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 xml:space="preserve">ed the Christian faith, its name changed into </w:t>
            </w:r>
            <w:r w:rsidR="00CE4A93" w:rsidRPr="003364DA">
              <w:rPr>
                <w:rFonts w:ascii="Minion Pro Disp" w:hAnsi="Minion Pro Disp"/>
                <w:color w:val="auto"/>
                <w:spacing w:val="-2"/>
                <w:lang w:val="es-ES_tradnl"/>
              </w:rPr>
              <w:t>Hagia-Caunus</w:t>
            </w:r>
            <w:r w:rsidR="00CE4A93" w:rsidRPr="003364DA">
              <w:rPr>
                <w:rFonts w:ascii="Minion Pro Disp" w:hAnsi="Minion Pro Disp"/>
                <w:color w:val="auto"/>
                <w:spacing w:val="-2"/>
                <w:lang w:val="en-US"/>
              </w:rPr>
              <w:t>. Today, there are five churches in different places of the city which co</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me to light thanks to the excavations. It is argued that a domed church on Palaestra Terrace which has been con</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structed between the first half of VI</w:t>
            </w:r>
            <w:r w:rsidR="00CE4A93" w:rsidRPr="003364DA">
              <w:rPr>
                <w:rFonts w:ascii="Minion Pro Disp" w:hAnsi="Minion Pro Disp"/>
                <w:color w:val="auto"/>
                <w:spacing w:val="-2"/>
                <w:vertAlign w:val="superscript"/>
                <w:lang w:val="en-US"/>
              </w:rPr>
              <w:t>th</w:t>
            </w:r>
            <w:r w:rsidR="00A8575E" w:rsidRPr="003364DA">
              <w:rPr>
                <w:rFonts w:ascii="Minion Pro Disp" w:hAnsi="Minion Pro Disp"/>
                <w:color w:val="auto"/>
                <w:spacing w:val="-2"/>
                <w:lang w:val="en-US"/>
              </w:rPr>
              <w:t xml:space="preserve"> </w:t>
            </w:r>
            <w:r w:rsidR="00CE4A93" w:rsidRPr="003364DA">
              <w:rPr>
                <w:rFonts w:ascii="Minion Pro Disp" w:hAnsi="Minion Pro Disp"/>
                <w:color w:val="auto"/>
                <w:spacing w:val="-2"/>
                <w:lang w:val="en-US"/>
              </w:rPr>
              <w:t>century and the mid. VII</w:t>
            </w:r>
            <w:r w:rsidR="00CE4A93" w:rsidRPr="003364DA">
              <w:rPr>
                <w:rFonts w:ascii="Minion Pro Disp" w:hAnsi="Minion Pro Disp"/>
                <w:color w:val="auto"/>
                <w:spacing w:val="-2"/>
                <w:vertAlign w:val="superscript"/>
                <w:lang w:val="en-US"/>
              </w:rPr>
              <w:t>th</w:t>
            </w:r>
            <w:r w:rsidR="00CE4A93" w:rsidRPr="003364DA">
              <w:rPr>
                <w:rFonts w:ascii="Minion Pro Disp" w:hAnsi="Minion Pro Disp"/>
                <w:color w:val="auto"/>
                <w:spacing w:val="-2"/>
                <w:lang w:val="en-US"/>
              </w:rPr>
              <w:t xml:space="preserve"> centuries. Undoubtedly find</w:t>
            </w:r>
            <w:r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ings of around the church shed light on the Byzantine period of the city. There are a lot of remarkable architec</w:t>
            </w:r>
            <w:r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tural sculptures at the around and inside of domed church on Palaestra Ter</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race. One of these examples is found at the 1998 excavation season. The front face of the marble block is car</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ved relief technique which is a cross motive with styl</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ized leaves and the alpha (Α) and omega (ω) that de</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pends from arms of the cross. As it is known in Byzan</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tine Art, cross is used to symbolize the Christ’s sufferings, his sacrifice and the hope of salvation. Besides the alpha (Α) and omega (ω) means beginning and end in Chris</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tian belief refer to the eternal nature of God. Cross varie</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ties are commonly used in Byzantine depic</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tion art. It seems that the carved marble block must have been used as an arc</w:t>
            </w:r>
            <w:r w:rsidR="00A8575E" w:rsidRPr="003364DA">
              <w:rPr>
                <w:rFonts w:ascii="Minion Pro Disp" w:hAnsi="Minion Pro Disp"/>
                <w:color w:val="auto"/>
                <w:spacing w:val="-2"/>
                <w:lang w:val="en-US"/>
              </w:rPr>
              <w:t xml:space="preserve">hitectural stone in the church. </w:t>
            </w:r>
            <w:r w:rsidR="00CE4A93" w:rsidRPr="003364DA">
              <w:rPr>
                <w:rFonts w:ascii="Minion Pro Disp" w:hAnsi="Minion Pro Disp"/>
                <w:color w:val="auto"/>
                <w:spacing w:val="-2"/>
                <w:lang w:val="en-US"/>
              </w:rPr>
              <w:t>Thus in this paper I have tried to examine meaning of the com</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po</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si</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tion and to give careful consideration to a series of questions linked to the context of use of the cross carved block in the church as well as discuss its signifi</w:t>
            </w:r>
            <w:r w:rsidR="00A8575E" w:rsidRPr="003364DA">
              <w:rPr>
                <w:rFonts w:ascii="Minion Pro Disp" w:hAnsi="Minion Pro Disp"/>
                <w:color w:val="auto"/>
                <w:spacing w:val="-2"/>
                <w:lang w:val="en-US"/>
              </w:rPr>
              <w:softHyphen/>
            </w:r>
            <w:r w:rsidR="00CE4A93" w:rsidRPr="003364DA">
              <w:rPr>
                <w:rFonts w:ascii="Minion Pro Disp" w:hAnsi="Minion Pro Disp"/>
                <w:color w:val="auto"/>
                <w:spacing w:val="-2"/>
                <w:lang w:val="en-US"/>
              </w:rPr>
              <w:t xml:space="preserve">cance within regional (Caunus ve Caria) and broader cultural contexts of Early Byzantine art.  </w:t>
            </w:r>
          </w:p>
          <w:p w:rsidR="003364DA" w:rsidRPr="003364DA" w:rsidRDefault="003364DA" w:rsidP="00CE4A93">
            <w:pPr>
              <w:pStyle w:val="zet"/>
              <w:rPr>
                <w:color w:val="auto"/>
              </w:rPr>
            </w:pPr>
          </w:p>
        </w:tc>
        <w:tc>
          <w:tcPr>
            <w:tcW w:w="212" w:type="pct"/>
            <w:shd w:val="clear" w:color="auto" w:fill="auto"/>
          </w:tcPr>
          <w:p w:rsidR="005660CE" w:rsidRPr="003364DA" w:rsidRDefault="005660CE" w:rsidP="00270E3C">
            <w:pPr>
              <w:pStyle w:val="zet"/>
              <w:rPr>
                <w:color w:val="auto"/>
              </w:rPr>
            </w:pPr>
          </w:p>
        </w:tc>
        <w:tc>
          <w:tcPr>
            <w:tcW w:w="2369" w:type="pct"/>
            <w:shd w:val="clear" w:color="auto" w:fill="auto"/>
          </w:tcPr>
          <w:p w:rsidR="00D83FFA" w:rsidRPr="003364DA" w:rsidRDefault="003364DA" w:rsidP="00CE4A93">
            <w:pPr>
              <w:pStyle w:val="zet"/>
              <w:rPr>
                <w:rFonts w:ascii="Minion Pro Disp" w:hAnsi="Minion Pro Disp"/>
                <w:bCs/>
                <w:color w:val="auto"/>
                <w:spacing w:val="-2"/>
                <w:lang w:val="en-US"/>
              </w:rPr>
            </w:pPr>
            <w:r w:rsidRPr="003364DA">
              <w:rPr>
                <w:color w:val="auto"/>
                <w:lang w:val="en-US"/>
              </w:rPr>
              <w:t>Öz</w:t>
            </w:r>
            <w:r w:rsidR="00BA22E8" w:rsidRPr="003364DA">
              <w:rPr>
                <w:color w:val="auto"/>
                <w:lang w:val="en-US"/>
              </w:rPr>
              <w:t>:</w:t>
            </w:r>
            <w:r w:rsidR="00BA22E8" w:rsidRPr="003364DA">
              <w:t xml:space="preserve"> </w:t>
            </w:r>
            <w:r w:rsidR="00CE4A93" w:rsidRPr="003364DA">
              <w:rPr>
                <w:rFonts w:ascii="Minion Pro Disp" w:hAnsi="Minion Pro Disp"/>
                <w:bCs/>
                <w:color w:val="auto"/>
                <w:spacing w:val="-2"/>
                <w:lang w:val="en-US"/>
              </w:rPr>
              <w:t>Bir Karia kenti olan K</w:t>
            </w:r>
            <w:r w:rsidR="00CE4A93" w:rsidRPr="003364DA">
              <w:rPr>
                <w:rFonts w:ascii="Minion Pro Disp" w:hAnsi="Minion Pro Disp"/>
                <w:bCs/>
                <w:color w:val="auto"/>
                <w:spacing w:val="-2"/>
                <w:lang w:val="es-ES_tradnl"/>
              </w:rPr>
              <w:t>aunos Mu</w:t>
            </w:r>
            <w:r w:rsidR="00CE4A93" w:rsidRPr="003364DA">
              <w:rPr>
                <w:rFonts w:ascii="Minion Pro Disp" w:hAnsi="Minion Pro Disp"/>
                <w:bCs/>
                <w:color w:val="auto"/>
                <w:spacing w:val="-2"/>
                <w:lang w:val="en-US"/>
              </w:rPr>
              <w:t>ğla’ya bağlı K</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y</w:t>
            </w:r>
            <w:r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 xml:space="preserve">ceğiz yakınlarında Dalyan </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ayı’nın kıyısı</w:t>
            </w:r>
            <w:r w:rsidR="00CE4A93" w:rsidRPr="003364DA">
              <w:rPr>
                <w:rFonts w:ascii="Minion Pro Disp" w:hAnsi="Minion Pro Disp"/>
                <w:bCs/>
                <w:color w:val="auto"/>
                <w:spacing w:val="-2"/>
                <w:lang w:val="pt-PT"/>
              </w:rPr>
              <w:t>ndad</w:t>
            </w:r>
            <w:r w:rsidR="00CE4A93" w:rsidRPr="003364DA">
              <w:rPr>
                <w:rFonts w:ascii="Minion Pro Disp" w:hAnsi="Minion Pro Disp"/>
                <w:bCs/>
                <w:color w:val="auto"/>
                <w:spacing w:val="-2"/>
                <w:lang w:val="en-US"/>
              </w:rPr>
              <w:t>ır. Antik kaynaklara ve birkaç konsil belgesine g</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re erken bir tarihte Hıristiyanlaşan K</w:t>
            </w:r>
            <w:r w:rsidR="00CE4A93" w:rsidRPr="003364DA">
              <w:rPr>
                <w:rFonts w:ascii="Minion Pro Disp" w:hAnsi="Minion Pro Disp"/>
                <w:bCs/>
                <w:color w:val="auto"/>
                <w:spacing w:val="-2"/>
                <w:lang w:val="es-ES_tradnl"/>
              </w:rPr>
              <w:t>aunos</w:t>
            </w:r>
            <w:r w:rsidR="00CE4A93" w:rsidRPr="003364DA">
              <w:rPr>
                <w:rFonts w:ascii="Minion Pro Disp" w:hAnsi="Minion Pro Disp"/>
                <w:bCs/>
                <w:color w:val="auto"/>
                <w:spacing w:val="-2"/>
                <w:lang w:val="en-US"/>
              </w:rPr>
              <w:t>’un adı bu d</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nemde Ha</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gia-Kaunos olarak değiştirilmiştir. Bugün, kentin fark</w:t>
            </w:r>
            <w:r w:rsidR="00A8575E"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lı yerlerinde bulunan beş kilise K</w:t>
            </w:r>
            <w:r w:rsidR="00CE4A93" w:rsidRPr="003364DA">
              <w:rPr>
                <w:rFonts w:ascii="Minion Pro Disp" w:hAnsi="Minion Pro Disp"/>
                <w:bCs/>
                <w:color w:val="auto"/>
                <w:spacing w:val="-2"/>
                <w:lang w:val="es-ES_tradnl"/>
              </w:rPr>
              <w:t>aunos kaz</w:t>
            </w:r>
            <w:r w:rsidR="00CE4A93" w:rsidRPr="003364DA">
              <w:rPr>
                <w:rFonts w:ascii="Minion Pro Disp" w:hAnsi="Minion Pro Disp"/>
                <w:bCs/>
                <w:color w:val="auto"/>
                <w:spacing w:val="-2"/>
                <w:lang w:val="en-US"/>
              </w:rPr>
              <w:t>ıları sayesinde ortaya çıkarılmıştır. Bunlardan biri olan Pala</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es</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tra tera</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sında yer alan kubbeli kilisenin VI. yüzyılın ilk yarısı ile VII. yüzyılın ortalarında yapılmış olduğu düşü</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nülür. Kuş</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 xml:space="preserve">kusuz kilisenin </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evresindeki buluntular kentin Do</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ğu Roma D</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nemi’ne ışık tutmaktadır. Kazı</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lar</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da Palaes</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tra terasındaki kubbeli kilisenin i</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 xml:space="preserve">inde ve etrafında pek </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ok dikkate değer mimari plastik par</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a ele ge</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 xml:space="preserve">miştir. Bu </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rneklerden biri 1998 kazı sezonunda bu</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l</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un</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muştur. S</w:t>
            </w:r>
            <w:r w:rsidR="00CE4A93" w:rsidRPr="003364DA">
              <w:rPr>
                <w:rFonts w:ascii="Minion Pro Disp" w:hAnsi="Minion Pro Disp"/>
                <w:bCs/>
                <w:color w:val="auto"/>
                <w:spacing w:val="-2"/>
                <w:lang w:val="sv-SE"/>
              </w:rPr>
              <w:t>ö</w:t>
            </w:r>
            <w:r w:rsidR="008769AB">
              <w:rPr>
                <w:rFonts w:ascii="Minion Pro Disp" w:hAnsi="Minion Pro Disp"/>
                <w:bCs/>
                <w:color w:val="auto"/>
                <w:spacing w:val="-2"/>
                <w:lang w:val="sv-SE"/>
              </w:rPr>
              <w:softHyphen/>
            </w:r>
            <w:r w:rsidR="00CE4A93" w:rsidRPr="003364DA">
              <w:rPr>
                <w:rFonts w:ascii="Minion Pro Disp" w:hAnsi="Minion Pro Disp"/>
                <w:bCs/>
                <w:color w:val="auto"/>
                <w:spacing w:val="-2"/>
                <w:lang w:val="en-US"/>
              </w:rPr>
              <w:t xml:space="preserve">zü edilen </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rnek olasılıkla mimari bir ya</w:t>
            </w:r>
            <w:r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pı</w:t>
            </w:r>
            <w:r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nı</w:t>
            </w:r>
            <w:r w:rsidR="00CE4A93" w:rsidRPr="003364DA">
              <w:rPr>
                <w:rFonts w:ascii="Minion Pro Disp" w:hAnsi="Minion Pro Disp"/>
                <w:bCs/>
                <w:color w:val="auto"/>
                <w:spacing w:val="-2"/>
                <w:lang w:val="fr-FR"/>
              </w:rPr>
              <w:t>n par</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 xml:space="preserve">ası olarak kullanılmıştır. Örneğin </w:t>
            </w:r>
            <w:r w:rsidR="00CE4A93" w:rsidRPr="003364DA">
              <w:rPr>
                <w:rFonts w:ascii="Minion Pro Disp" w:hAnsi="Minion Pro Disp"/>
                <w:bCs/>
                <w:color w:val="auto"/>
                <w:spacing w:val="-2"/>
                <w:lang w:val="sv-SE"/>
              </w:rPr>
              <w:t>ö</w:t>
            </w:r>
            <w:r w:rsidR="00CE4A93" w:rsidRPr="003364DA">
              <w:rPr>
                <w:rFonts w:ascii="Minion Pro Disp" w:hAnsi="Minion Pro Disp"/>
                <w:bCs/>
                <w:color w:val="auto"/>
                <w:spacing w:val="-2"/>
                <w:lang w:val="en-US"/>
              </w:rPr>
              <w:t>n yüzünde kabartma tek</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niğinde bir haç motifi ile stilize yapraklar ve haçın kollarından sarkan alpha (A) ve omega (ω) harfleri g</w:t>
            </w:r>
            <w:r w:rsidR="00CE4A93" w:rsidRPr="003364DA">
              <w:rPr>
                <w:rFonts w:ascii="Minion Pro Disp" w:hAnsi="Minion Pro Disp"/>
                <w:bCs/>
                <w:color w:val="auto"/>
                <w:spacing w:val="-2"/>
                <w:lang w:val="sv-SE"/>
              </w:rPr>
              <w:t>ö</w:t>
            </w:r>
            <w:r w:rsidR="008769AB">
              <w:rPr>
                <w:rFonts w:ascii="Minion Pro Disp" w:hAnsi="Minion Pro Disp"/>
                <w:bCs/>
                <w:color w:val="auto"/>
                <w:spacing w:val="-2"/>
                <w:lang w:val="sv-SE"/>
              </w:rPr>
              <w:softHyphen/>
            </w:r>
            <w:r w:rsidR="00CE4A93" w:rsidRPr="003364DA">
              <w:rPr>
                <w:rFonts w:ascii="Minion Pro Disp" w:hAnsi="Minion Pro Disp"/>
                <w:bCs/>
                <w:color w:val="auto"/>
                <w:spacing w:val="-2"/>
                <w:lang w:val="en-US"/>
              </w:rPr>
              <w:t>rü</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en-US"/>
              </w:rPr>
              <w:t xml:space="preserve">lür. Doğu Roma sanatında haç İsa’nın </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ektiklerini, kurban edilişini ve kurtuluş umu</w:t>
            </w:r>
            <w:r w:rsidR="00AC7F60"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dunu sem</w:t>
            </w:r>
            <w:r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bolize etmek i</w:t>
            </w:r>
            <w:r w:rsidR="00CE4A93" w:rsidRPr="003364DA">
              <w:rPr>
                <w:rFonts w:ascii="Minion Pro Disp" w:hAnsi="Minion Pro Disp"/>
                <w:bCs/>
                <w:color w:val="auto"/>
                <w:spacing w:val="-2"/>
                <w:lang w:val="pt-PT"/>
              </w:rPr>
              <w:t>ç</w:t>
            </w:r>
            <w:r w:rsidR="00CE4A93" w:rsidRPr="003364DA">
              <w:rPr>
                <w:rFonts w:ascii="Minion Pro Disp" w:hAnsi="Minion Pro Disp"/>
                <w:bCs/>
                <w:color w:val="auto"/>
                <w:spacing w:val="-2"/>
                <w:lang w:val="en-US"/>
              </w:rPr>
              <w:t>in kullanılır. Bunun yanı sıra Hıristi</w:t>
            </w:r>
            <w:r w:rsidRPr="003364DA">
              <w:rPr>
                <w:rFonts w:ascii="Minion Pro Disp" w:hAnsi="Minion Pro Disp"/>
                <w:bCs/>
                <w:color w:val="auto"/>
                <w:spacing w:val="-2"/>
                <w:lang w:val="en-US"/>
              </w:rPr>
              <w:softHyphen/>
            </w:r>
            <w:r w:rsidR="00CE4A93" w:rsidRPr="003364DA">
              <w:rPr>
                <w:rFonts w:ascii="Minion Pro Disp" w:hAnsi="Minion Pro Disp"/>
                <w:bCs/>
                <w:color w:val="auto"/>
                <w:spacing w:val="-2"/>
                <w:lang w:val="en-US"/>
              </w:rPr>
              <w:t>yan inancında baş</w:t>
            </w:r>
            <w:r w:rsidR="008769AB">
              <w:rPr>
                <w:rFonts w:ascii="Minion Pro Disp" w:hAnsi="Minion Pro Disp"/>
                <w:bCs/>
                <w:color w:val="auto"/>
                <w:spacing w:val="-2"/>
                <w:lang w:val="en-US"/>
              </w:rPr>
              <w:softHyphen/>
            </w:r>
            <w:r w:rsidR="00CE4A93" w:rsidRPr="003364DA">
              <w:rPr>
                <w:rFonts w:ascii="Minion Pro Disp" w:hAnsi="Minion Pro Disp"/>
                <w:bCs/>
                <w:color w:val="auto"/>
                <w:spacing w:val="-2"/>
                <w:lang w:val="nl-NL"/>
              </w:rPr>
              <w:t>lang</w:t>
            </w:r>
            <w:r w:rsidR="00CE4A93" w:rsidRPr="003364DA">
              <w:rPr>
                <w:rFonts w:ascii="Minion Pro Disp" w:hAnsi="Minion Pro Disp"/>
                <w:bCs/>
                <w:color w:val="auto"/>
                <w:spacing w:val="-2"/>
                <w:lang w:val="en-US"/>
              </w:rPr>
              <w:t>ıç ve son anlamına gelen alpha (A) ve omega (ω) Tan</w:t>
            </w:r>
            <w:r w:rsidR="00CE4A93" w:rsidRPr="008769AB">
              <w:rPr>
                <w:rFonts w:ascii="Minion Pro Disp" w:hAnsi="Minion Pro Disp"/>
                <w:bCs/>
                <w:color w:val="auto"/>
                <w:spacing w:val="-4"/>
                <w:lang w:val="en-US"/>
              </w:rPr>
              <w:t xml:space="preserve">rı’nın ezeli doğasına işaret eder. Haçın </w:t>
            </w:r>
            <w:r w:rsidR="00CE4A93" w:rsidRPr="008769AB">
              <w:rPr>
                <w:rFonts w:ascii="Minion Pro Disp" w:hAnsi="Minion Pro Disp"/>
                <w:bCs/>
                <w:color w:val="auto"/>
                <w:spacing w:val="-4"/>
                <w:lang w:val="pt-PT"/>
              </w:rPr>
              <w:t>ç</w:t>
            </w:r>
            <w:r w:rsidR="00CE4A93" w:rsidRPr="008769AB">
              <w:rPr>
                <w:rFonts w:ascii="Minion Pro Disp" w:hAnsi="Minion Pro Disp"/>
                <w:bCs/>
                <w:color w:val="auto"/>
                <w:spacing w:val="-4"/>
                <w:lang w:val="en-US"/>
              </w:rPr>
              <w:t>eşitleri Doğu Roma tasvir sanatında yay</w:t>
            </w:r>
            <w:r w:rsidR="00AC7F60"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gın ola</w:t>
            </w:r>
            <w:r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rak kullanılır. Bu ma</w:t>
            </w:r>
            <w:r w:rsid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kalede, s</w:t>
            </w:r>
            <w:r w:rsidR="00CE4A93" w:rsidRPr="008769AB">
              <w:rPr>
                <w:rFonts w:ascii="Minion Pro Disp" w:hAnsi="Minion Pro Disp"/>
                <w:bCs/>
                <w:color w:val="auto"/>
                <w:spacing w:val="-4"/>
                <w:lang w:val="sv-SE"/>
              </w:rPr>
              <w:t>ö</w:t>
            </w:r>
            <w:r w:rsidR="00CE4A93" w:rsidRPr="008769AB">
              <w:rPr>
                <w:rFonts w:ascii="Minion Pro Disp" w:hAnsi="Minion Pro Disp"/>
                <w:bCs/>
                <w:color w:val="auto"/>
                <w:spacing w:val="-4"/>
                <w:lang w:val="en-US"/>
              </w:rPr>
              <w:t>zü edilen kompo</w:t>
            </w:r>
            <w:r w:rsidR="00AC7F60"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zisy</w:t>
            </w:r>
            <w:r w:rsidR="00AC7F60"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onun anlamını tar</w:t>
            </w:r>
            <w:r w:rsidR="008769AB"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tışmayı ve haç betimli bloğun kilise</w:t>
            </w:r>
            <w:r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deki kullanımını değer</w:t>
            </w:r>
            <w:r w:rsid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 xml:space="preserve">lendirerek betimin </w:t>
            </w:r>
            <w:r w:rsidR="00CE4A93" w:rsidRPr="008769AB">
              <w:rPr>
                <w:rFonts w:ascii="Minion Pro Disp" w:hAnsi="Minion Pro Disp"/>
                <w:bCs/>
                <w:color w:val="auto"/>
                <w:spacing w:val="-4"/>
                <w:lang w:val="sv-SE"/>
              </w:rPr>
              <w:t>ö</w:t>
            </w:r>
            <w:r w:rsidR="00CE4A93" w:rsidRPr="008769AB">
              <w:rPr>
                <w:rFonts w:ascii="Minion Pro Disp" w:hAnsi="Minion Pro Disp"/>
                <w:bCs/>
                <w:color w:val="auto"/>
                <w:spacing w:val="-4"/>
                <w:lang w:val="en-US"/>
              </w:rPr>
              <w:t>nemini Do</w:t>
            </w:r>
            <w:r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ğu Roma sanatının b</w:t>
            </w:r>
            <w:r w:rsidR="00CE4A93" w:rsidRPr="008769AB">
              <w:rPr>
                <w:rFonts w:ascii="Minion Pro Disp" w:hAnsi="Minion Pro Disp"/>
                <w:bCs/>
                <w:color w:val="auto"/>
                <w:spacing w:val="-4"/>
                <w:lang w:val="sv-SE"/>
              </w:rPr>
              <w:t>ö</w:t>
            </w:r>
            <w:r w:rsidR="00CE4A93" w:rsidRPr="008769AB">
              <w:rPr>
                <w:rFonts w:ascii="Minion Pro Disp" w:hAnsi="Minion Pro Disp"/>
                <w:bCs/>
                <w:color w:val="auto"/>
                <w:spacing w:val="-4"/>
                <w:lang w:val="en-US"/>
              </w:rPr>
              <w:t>l</w:t>
            </w:r>
            <w:r w:rsid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gesel (Kaunos ve Karia) ve genel kültü</w:t>
            </w:r>
            <w:r w:rsidR="00CE4A93" w:rsidRPr="008769AB">
              <w:rPr>
                <w:rFonts w:ascii="Minion Pro Disp" w:hAnsi="Minion Pro Disp"/>
                <w:bCs/>
                <w:color w:val="auto"/>
                <w:spacing w:val="-4"/>
                <w:lang w:val="es-ES_tradnl"/>
              </w:rPr>
              <w:t>rel ba</w:t>
            </w:r>
            <w:r w:rsidR="00CE4A93" w:rsidRPr="008769AB">
              <w:rPr>
                <w:rFonts w:ascii="Minion Pro Disp" w:hAnsi="Minion Pro Disp"/>
                <w:bCs/>
                <w:color w:val="auto"/>
                <w:spacing w:val="-4"/>
                <w:lang w:val="en-US"/>
              </w:rPr>
              <w:t xml:space="preserve">ğlamlarında tartışmayı deniyoruz.      </w:t>
            </w:r>
          </w:p>
          <w:p w:rsidR="005F6115" w:rsidRPr="003364DA" w:rsidRDefault="005F6115" w:rsidP="005F6115">
            <w:pPr>
              <w:pStyle w:val="zet"/>
              <w:rPr>
                <w:rFonts w:ascii="Minion Pro Disp" w:hAnsi="Minion Pro Disp"/>
                <w:bCs/>
                <w:color w:val="auto"/>
                <w:spacing w:val="-2"/>
                <w:lang w:val="en-US"/>
              </w:rPr>
            </w:pPr>
          </w:p>
        </w:tc>
      </w:tr>
      <w:tr w:rsidR="006A3496" w:rsidRPr="0073162C" w:rsidTr="00A8575E">
        <w:trPr>
          <w:trHeight w:val="51"/>
        </w:trPr>
        <w:tc>
          <w:tcPr>
            <w:tcW w:w="2419" w:type="pct"/>
            <w:shd w:val="clear" w:color="auto" w:fill="auto"/>
          </w:tcPr>
          <w:p w:rsidR="006A3496" w:rsidRPr="003364DA" w:rsidRDefault="003364DA" w:rsidP="003364DA">
            <w:pPr>
              <w:pStyle w:val="zet"/>
              <w:rPr>
                <w:color w:val="auto"/>
              </w:rPr>
            </w:pPr>
            <w:r w:rsidRPr="003364DA">
              <w:rPr>
                <w:color w:val="auto"/>
              </w:rPr>
              <w:t>Keywords</w:t>
            </w:r>
            <w:r w:rsidR="00BA22E8" w:rsidRPr="003364DA">
              <w:rPr>
                <w:color w:val="auto"/>
              </w:rPr>
              <w:t xml:space="preserve">: </w:t>
            </w:r>
            <w:r w:rsidR="00CE4A93" w:rsidRPr="003364DA">
              <w:rPr>
                <w:rFonts w:ascii="Minion Pro Disp" w:hAnsi="Minion Pro Disp"/>
                <w:bCs/>
                <w:color w:val="auto"/>
              </w:rPr>
              <w:t>Caunus • Early Byzantine Period • Arc</w:t>
            </w:r>
            <w:r w:rsidR="00A8575E" w:rsidRPr="003364DA">
              <w:rPr>
                <w:rFonts w:ascii="Minion Pro Disp" w:hAnsi="Minion Pro Disp"/>
                <w:bCs/>
                <w:color w:val="auto"/>
              </w:rPr>
              <w:softHyphen/>
            </w:r>
            <w:r w:rsidR="00CE4A93" w:rsidRPr="003364DA">
              <w:rPr>
                <w:rFonts w:ascii="Minion Pro Disp" w:hAnsi="Minion Pro Disp"/>
                <w:bCs/>
                <w:color w:val="auto"/>
              </w:rPr>
              <w:t>hitectu</w:t>
            </w:r>
            <w:r w:rsidR="00A8575E" w:rsidRPr="003364DA">
              <w:rPr>
                <w:rFonts w:ascii="Minion Pro Disp" w:hAnsi="Minion Pro Disp"/>
                <w:bCs/>
                <w:color w:val="auto"/>
              </w:rPr>
              <w:softHyphen/>
            </w:r>
            <w:r w:rsidR="00CE4A93" w:rsidRPr="003364DA">
              <w:rPr>
                <w:rFonts w:ascii="Minion Pro Disp" w:hAnsi="Minion Pro Disp"/>
                <w:bCs/>
                <w:color w:val="auto"/>
              </w:rPr>
              <w:t>ral Relief • Living Cross • Alpha and Omega</w:t>
            </w:r>
          </w:p>
        </w:tc>
        <w:tc>
          <w:tcPr>
            <w:tcW w:w="212" w:type="pct"/>
            <w:shd w:val="clear" w:color="auto" w:fill="auto"/>
          </w:tcPr>
          <w:p w:rsidR="006A3496" w:rsidRPr="003364DA" w:rsidRDefault="006A3496" w:rsidP="00270E3C">
            <w:pPr>
              <w:pStyle w:val="zet"/>
              <w:rPr>
                <w:color w:val="auto"/>
              </w:rPr>
            </w:pPr>
          </w:p>
        </w:tc>
        <w:tc>
          <w:tcPr>
            <w:tcW w:w="2369" w:type="pct"/>
            <w:shd w:val="clear" w:color="auto" w:fill="auto"/>
          </w:tcPr>
          <w:p w:rsidR="006A3496" w:rsidRPr="003364DA" w:rsidRDefault="003364DA" w:rsidP="00CE4A93">
            <w:pPr>
              <w:pStyle w:val="zet"/>
              <w:rPr>
                <w:rFonts w:ascii="Minion Pro Disp" w:hAnsi="Minion Pro Disp"/>
                <w:bCs/>
                <w:color w:val="auto"/>
                <w:lang w:val="en-US"/>
              </w:rPr>
            </w:pPr>
            <w:r w:rsidRPr="003364DA">
              <w:rPr>
                <w:color w:val="auto"/>
              </w:rPr>
              <w:t>A</w:t>
            </w:r>
            <w:r w:rsidRPr="008769AB">
              <w:rPr>
                <w:color w:val="auto"/>
                <w:spacing w:val="-4"/>
              </w:rPr>
              <w:t>nahtar Kelimeler</w:t>
            </w:r>
            <w:r w:rsidR="00BA22E8" w:rsidRPr="008769AB">
              <w:rPr>
                <w:color w:val="auto"/>
                <w:spacing w:val="-4"/>
              </w:rPr>
              <w:t>:</w:t>
            </w:r>
            <w:r w:rsidR="00CE4A93" w:rsidRPr="008769AB">
              <w:rPr>
                <w:color w:val="auto"/>
                <w:spacing w:val="-4"/>
              </w:rPr>
              <w:t xml:space="preserve"> </w:t>
            </w:r>
            <w:r w:rsidR="00CE4A93" w:rsidRPr="008769AB">
              <w:rPr>
                <w:rFonts w:ascii="Minion Pro Disp" w:hAnsi="Minion Pro Disp"/>
                <w:bCs/>
                <w:color w:val="auto"/>
                <w:spacing w:val="-4"/>
                <w:lang w:val="en-US"/>
              </w:rPr>
              <w:t>Kaunos</w:t>
            </w:r>
            <w:r w:rsidR="00CE4A93" w:rsidRPr="008769AB">
              <w:rPr>
                <w:rFonts w:ascii="Minion Pro Disp" w:hAnsi="Minion Pro Disp"/>
                <w:bCs/>
                <w:color w:val="auto"/>
                <w:spacing w:val="-4"/>
              </w:rPr>
              <w:t xml:space="preserve"> • </w:t>
            </w:r>
            <w:r w:rsidR="00CE4A93" w:rsidRPr="008769AB">
              <w:rPr>
                <w:rFonts w:ascii="Minion Pro Disp" w:hAnsi="Minion Pro Disp"/>
                <w:bCs/>
                <w:color w:val="auto"/>
                <w:spacing w:val="-4"/>
                <w:lang w:val="en-US"/>
              </w:rPr>
              <w:t>Erken Doğu Roma D</w:t>
            </w:r>
            <w:r w:rsidR="00CE4A93" w:rsidRPr="008769AB">
              <w:rPr>
                <w:rFonts w:ascii="Minion Pro Disp" w:hAnsi="Minion Pro Disp"/>
                <w:bCs/>
                <w:color w:val="auto"/>
                <w:spacing w:val="-4"/>
                <w:lang w:val="sv-SE"/>
              </w:rPr>
              <w:t>ö</w:t>
            </w:r>
            <w:r w:rsidRPr="008769AB">
              <w:rPr>
                <w:rFonts w:ascii="Minion Pro Disp" w:hAnsi="Minion Pro Disp"/>
                <w:bCs/>
                <w:color w:val="auto"/>
                <w:spacing w:val="-4"/>
                <w:lang w:val="sv-SE"/>
              </w:rPr>
              <w:softHyphen/>
            </w:r>
            <w:r w:rsidR="00CE4A93" w:rsidRPr="008769AB">
              <w:rPr>
                <w:rFonts w:ascii="Minion Pro Disp" w:hAnsi="Minion Pro Disp"/>
                <w:bCs/>
                <w:color w:val="auto"/>
                <w:spacing w:val="-4"/>
                <w:lang w:val="en-US"/>
              </w:rPr>
              <w:t>ne</w:t>
            </w:r>
            <w:r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mi</w:t>
            </w:r>
            <w:r w:rsidR="00CE4A93" w:rsidRPr="008769AB">
              <w:rPr>
                <w:rFonts w:ascii="Minion Pro Disp" w:hAnsi="Minion Pro Disp"/>
                <w:bCs/>
                <w:color w:val="auto"/>
                <w:spacing w:val="-4"/>
              </w:rPr>
              <w:t xml:space="preserve"> •</w:t>
            </w:r>
            <w:r w:rsidR="00CE4A93" w:rsidRPr="008769AB">
              <w:rPr>
                <w:rFonts w:ascii="Minion Pro Disp" w:hAnsi="Minion Pro Disp"/>
                <w:bCs/>
                <w:color w:val="auto"/>
                <w:spacing w:val="-4"/>
                <w:lang w:val="en-US"/>
              </w:rPr>
              <w:t xml:space="preserve"> Mimari Kabartma</w:t>
            </w:r>
            <w:r w:rsidR="00CE4A93" w:rsidRPr="008769AB">
              <w:rPr>
                <w:rFonts w:ascii="Minion Pro Disp" w:hAnsi="Minion Pro Disp"/>
                <w:bCs/>
                <w:color w:val="auto"/>
                <w:spacing w:val="-4"/>
              </w:rPr>
              <w:t xml:space="preserve"> • </w:t>
            </w:r>
            <w:r w:rsidR="00CE4A93" w:rsidRPr="008769AB">
              <w:rPr>
                <w:rFonts w:ascii="Minion Pro Disp" w:hAnsi="Minion Pro Disp"/>
                <w:bCs/>
                <w:color w:val="auto"/>
                <w:spacing w:val="-4"/>
                <w:lang w:val="en-US"/>
              </w:rPr>
              <w:t>Yaşam Haçı</w:t>
            </w:r>
            <w:r w:rsidR="00CE4A93" w:rsidRPr="008769AB">
              <w:rPr>
                <w:rFonts w:ascii="Minion Pro Disp" w:hAnsi="Minion Pro Disp"/>
                <w:bCs/>
                <w:color w:val="auto"/>
                <w:spacing w:val="-4"/>
              </w:rPr>
              <w:t xml:space="preserve"> • </w:t>
            </w:r>
            <w:r w:rsidR="00CE4A93" w:rsidRPr="008769AB">
              <w:rPr>
                <w:rFonts w:ascii="Minion Pro Disp" w:hAnsi="Minion Pro Disp"/>
                <w:bCs/>
                <w:color w:val="auto"/>
                <w:spacing w:val="-4"/>
                <w:lang w:val="en-US"/>
              </w:rPr>
              <w:t>Alfa ve Ome</w:t>
            </w:r>
            <w:r w:rsidRPr="008769AB">
              <w:rPr>
                <w:rFonts w:ascii="Minion Pro Disp" w:hAnsi="Minion Pro Disp"/>
                <w:bCs/>
                <w:color w:val="auto"/>
                <w:spacing w:val="-4"/>
                <w:lang w:val="en-US"/>
              </w:rPr>
              <w:softHyphen/>
            </w:r>
            <w:r w:rsidR="00CE4A93" w:rsidRPr="008769AB">
              <w:rPr>
                <w:rFonts w:ascii="Minion Pro Disp" w:hAnsi="Minion Pro Disp"/>
                <w:bCs/>
                <w:color w:val="auto"/>
                <w:spacing w:val="-4"/>
                <w:lang w:val="en-US"/>
              </w:rPr>
              <w:t>ga</w:t>
            </w:r>
          </w:p>
          <w:p w:rsidR="001B4171" w:rsidRPr="003364DA" w:rsidRDefault="001B4171" w:rsidP="001A5B0E">
            <w:pPr>
              <w:pStyle w:val="zet"/>
              <w:rPr>
                <w:color w:val="auto"/>
                <w:lang w:val="en-US"/>
              </w:rPr>
            </w:pPr>
          </w:p>
        </w:tc>
      </w:tr>
    </w:tbl>
    <w:p w:rsidR="001B4171" w:rsidRDefault="001B4171" w:rsidP="00D83FFA">
      <w:pPr>
        <w:ind w:firstLine="0"/>
      </w:pPr>
    </w:p>
    <w:p w:rsidR="008769AB" w:rsidRPr="008769AB" w:rsidRDefault="008769AB" w:rsidP="008769AB">
      <w:pPr>
        <w:pStyle w:val="AraBalk"/>
      </w:pPr>
      <w:r w:rsidRPr="008769AB">
        <w:lastRenderedPageBreak/>
        <w:t>Description of the Relief Cross</w:t>
      </w:r>
    </w:p>
    <w:p w:rsidR="008769AB" w:rsidRPr="008769AB" w:rsidRDefault="008769AB" w:rsidP="008769AB">
      <w:pPr>
        <w:ind w:firstLine="0"/>
        <w:rPr>
          <w:lang w:val="en-US"/>
        </w:rPr>
      </w:pPr>
      <w:r w:rsidRPr="008769AB">
        <w:rPr>
          <w:lang w:val="en-US"/>
        </w:rPr>
        <w:t>The domed church on Palaestra terrace in the city is one of the most important examples of mason</w:t>
      </w:r>
      <w:r>
        <w:rPr>
          <w:lang w:val="en-US"/>
        </w:rPr>
        <w:softHyphen/>
      </w:r>
      <w:r w:rsidRPr="008769AB">
        <w:rPr>
          <w:lang w:val="en-US"/>
        </w:rPr>
        <w:t>ry architecture surviving in Caria from the early Byzantine period (Fig. 1). The excavation in the Pa</w:t>
      </w:r>
      <w:r>
        <w:rPr>
          <w:lang w:val="en-US"/>
        </w:rPr>
        <w:softHyphen/>
      </w:r>
      <w:r w:rsidRPr="008769AB">
        <w:rPr>
          <w:lang w:val="en-US"/>
        </w:rPr>
        <w:t>laestra terrace has been conducted by B. Schmaltz, and the current excavations in Caunus are being led by Cengiz Işık</w:t>
      </w:r>
      <w:r w:rsidRPr="008769AB">
        <w:rPr>
          <w:vertAlign w:val="superscript"/>
          <w:lang w:val="en-US"/>
        </w:rPr>
        <w:footnoteReference w:id="2"/>
      </w:r>
      <w:r w:rsidRPr="008769AB">
        <w:rPr>
          <w:lang w:val="en-US"/>
        </w:rPr>
        <w:t xml:space="preserve">. </w:t>
      </w:r>
    </w:p>
    <w:p w:rsidR="008769AB" w:rsidRPr="008769AB" w:rsidRDefault="008769AB" w:rsidP="008769AB">
      <w:pPr>
        <w:rPr>
          <w:lang w:val="en-US"/>
        </w:rPr>
      </w:pPr>
      <w:r w:rsidRPr="008769AB">
        <w:rPr>
          <w:lang w:val="en-US"/>
        </w:rPr>
        <w:tab/>
        <w:t>A marble block found in 1998 at the church excavation has a high quality technique and style (Fig. 2)</w:t>
      </w:r>
      <w:r w:rsidRPr="008769AB">
        <w:rPr>
          <w:vertAlign w:val="superscript"/>
          <w:lang w:val="en-US"/>
        </w:rPr>
        <w:footnoteReference w:id="3"/>
      </w:r>
      <w:r w:rsidRPr="008769AB">
        <w:rPr>
          <w:lang w:val="en-US"/>
        </w:rPr>
        <w:t>. The diamond-shaped block is decorated with a highly deep relief living (leaved) cross on the front face (Fig. 3). The cutting technique on the side faces of the block suggests that the block is a spolia (fig. 4). It is likely that it might have been carried from the theatre located at the southeast of the church and must been reshaped and carved in order to be reused. The cross’ equal arms are dec</w:t>
      </w:r>
      <w:r>
        <w:rPr>
          <w:lang w:val="en-US"/>
        </w:rPr>
        <w:softHyphen/>
      </w:r>
      <w:r w:rsidRPr="008769AB">
        <w:rPr>
          <w:lang w:val="en-US"/>
        </w:rPr>
        <w:t>orated with pearl-shaped knobs at the corners in imitation of Byzantine metal works. The top arm is flanked by symmetrical acanthus leaves, which connect to both side arms (Fig. 5). An alpha (A) and an omega (ω), the first and the last letters in Greek alphabet, dangle with chains from both side arms (Fig. 6). There is a tang at the foot of the cross similar to the ones that can be seen in processional crosses.</w:t>
      </w:r>
    </w:p>
    <w:p w:rsidR="008769AB" w:rsidRPr="008769AB" w:rsidRDefault="008769AB" w:rsidP="008769AB">
      <w:pPr>
        <w:pStyle w:val="AraBalk"/>
      </w:pPr>
      <w:r w:rsidRPr="008769AB">
        <w:t>The iconography of the decoration and its meaning</w:t>
      </w:r>
    </w:p>
    <w:p w:rsidR="008769AB" w:rsidRPr="008769AB" w:rsidRDefault="008769AB" w:rsidP="008769AB">
      <w:pPr>
        <w:ind w:firstLine="0"/>
        <w:rPr>
          <w:lang w:val="en-US"/>
        </w:rPr>
      </w:pPr>
      <w:r w:rsidRPr="008769AB">
        <w:rPr>
          <w:lang w:val="en-US"/>
        </w:rPr>
        <w:t>The imagery called the living cross in Byzantine material culture is composed of a cross with varia</w:t>
      </w:r>
      <w:r>
        <w:rPr>
          <w:lang w:val="en-US"/>
        </w:rPr>
        <w:softHyphen/>
      </w:r>
      <w:r w:rsidRPr="008769AB">
        <w:rPr>
          <w:lang w:val="en-US"/>
        </w:rPr>
        <w:t>tions of leaves attached to its arms. On the other hand, Byzantine cross compositions that include letters of alpha and omega are mostly seen in processional material. The decoration of the marble block represents a combination of</w:t>
      </w:r>
      <w:r w:rsidRPr="008769AB">
        <w:rPr>
          <w:i/>
          <w:iCs/>
          <w:lang w:val="en-US"/>
        </w:rPr>
        <w:t xml:space="preserve"> </w:t>
      </w:r>
      <w:r w:rsidRPr="008769AB">
        <w:rPr>
          <w:lang w:val="en-US"/>
        </w:rPr>
        <w:t>the living cross and a processional cross, which is quite excep</w:t>
      </w:r>
      <w:r>
        <w:rPr>
          <w:lang w:val="en-US"/>
        </w:rPr>
        <w:softHyphen/>
      </w:r>
      <w:r w:rsidRPr="008769AB">
        <w:rPr>
          <w:lang w:val="en-US"/>
        </w:rPr>
        <w:t xml:space="preserve">tional in terms of both composition and iconography. </w:t>
      </w:r>
    </w:p>
    <w:p w:rsidR="008769AB" w:rsidRPr="008769AB" w:rsidRDefault="008769AB" w:rsidP="008769AB">
      <w:pPr>
        <w:rPr>
          <w:lang w:val="en-US"/>
        </w:rPr>
      </w:pPr>
      <w:r w:rsidRPr="008769AB">
        <w:rPr>
          <w:lang w:val="en-US"/>
        </w:rPr>
        <w:tab/>
        <w:t>First, let us consider the meaning of the living cross and its interpretation in Christian sources. In Byzantine culture the living cross derives particularly from the tree of life (the tree of knowledge) in Paradise, as the following quotation attests: “</w:t>
      </w:r>
      <w:r w:rsidRPr="008769AB">
        <w:rPr>
          <w:i/>
          <w:iCs/>
          <w:lang w:val="en-US"/>
        </w:rPr>
        <w:t>In the middle of the garden were the tree of life and the tree of the knowledge of good and evil.</w:t>
      </w:r>
      <w:r w:rsidRPr="008769AB">
        <w:rPr>
          <w:lang w:val="en-US"/>
        </w:rPr>
        <w:t>”</w:t>
      </w:r>
      <w:r w:rsidRPr="008769AB">
        <w:rPr>
          <w:i/>
          <w:iCs/>
          <w:lang w:val="en-US"/>
        </w:rPr>
        <w:t xml:space="preserve"> </w:t>
      </w:r>
      <w:r w:rsidRPr="008769AB">
        <w:rPr>
          <w:lang w:val="en-US"/>
        </w:rPr>
        <w:t>(Genesis 2:9). On the other hand, initial forms of this symbol</w:t>
      </w:r>
      <w:r>
        <w:rPr>
          <w:lang w:val="en-US"/>
        </w:rPr>
        <w:softHyphen/>
      </w:r>
      <w:r w:rsidRPr="008769AB">
        <w:rPr>
          <w:lang w:val="en-US"/>
        </w:rPr>
        <w:t>ic image called living cross were originally brought together to present different concepts of paradis</w:t>
      </w:r>
      <w:r>
        <w:rPr>
          <w:lang w:val="en-US"/>
        </w:rPr>
        <w:softHyphen/>
      </w:r>
      <w:r w:rsidRPr="008769AB">
        <w:rPr>
          <w:lang w:val="en-US"/>
        </w:rPr>
        <w:t>iac gardens, many of which previously existed in Pagan, Iranian and Semitic worlds</w:t>
      </w:r>
      <w:r w:rsidRPr="008769AB">
        <w:rPr>
          <w:vertAlign w:val="superscript"/>
          <w:lang w:val="en-US"/>
        </w:rPr>
        <w:footnoteReference w:id="4"/>
      </w:r>
      <w:r w:rsidRPr="008769AB">
        <w:rPr>
          <w:lang w:val="en-US"/>
        </w:rPr>
        <w:t>. Talbot Rice suggests that these symbols might have evolved in Mesopotamian art long before Christianity and then passed from there to the later cultures of both East and West</w:t>
      </w:r>
      <w:r w:rsidRPr="008769AB">
        <w:rPr>
          <w:vertAlign w:val="superscript"/>
          <w:lang w:val="en-US"/>
        </w:rPr>
        <w:footnoteReference w:id="5"/>
      </w:r>
      <w:r w:rsidRPr="008769AB">
        <w:rPr>
          <w:lang w:val="en-US"/>
        </w:rPr>
        <w:t>. In Early Christianity, the tree of life, planted in the middle of the Eden for Adam by God, is identified with the crucifix. The apostle Paul sets up a comparison between Adam and Christ as well. (1 Cor. 15:22, 45, 47; Rom. 5:12–21; 6:5, 9-11). Indeed, in Early Christianity the Syriac Fathers established a semantic link between the tree of life and the cross. According to them, Genesis and the Crucifixion are like the two faces of a coin. Especially Ephrem the Syrian, in his Hymns, forges links between the tree of life and the tree of cross. S. Brock indicates that he prefers to dwell on the typological contrast between the tree of knowledge, whose fruit brought death to Adam, and the tree of the cross, whose fruit restores life to humanity</w:t>
      </w:r>
      <w:r w:rsidRPr="008769AB">
        <w:rPr>
          <w:vertAlign w:val="superscript"/>
          <w:lang w:val="en-US"/>
        </w:rPr>
        <w:footnoteReference w:id="6"/>
      </w:r>
      <w:r w:rsidRPr="008769AB">
        <w:rPr>
          <w:lang w:val="en-US"/>
        </w:rPr>
        <w:t>. As Ephrem the Syrian states:</w:t>
      </w:r>
    </w:p>
    <w:p w:rsidR="008769AB" w:rsidRPr="008769AB" w:rsidRDefault="008769AB" w:rsidP="008769AB">
      <w:pPr>
        <w:rPr>
          <w:lang w:val="en-US"/>
        </w:rPr>
      </w:pPr>
    </w:p>
    <w:p w:rsidR="008769AB" w:rsidRPr="008769AB" w:rsidRDefault="008769AB" w:rsidP="008769AB">
      <w:pPr>
        <w:ind w:left="567" w:right="567" w:firstLine="0"/>
        <w:rPr>
          <w:lang w:val="en-US"/>
        </w:rPr>
      </w:pPr>
      <w:r w:rsidRPr="008769AB">
        <w:rPr>
          <w:i/>
          <w:iCs/>
          <w:lang w:val="en-US"/>
        </w:rPr>
        <w:t>In his love there came to us the blessed Tree: the one wood undid the work of the other, the one fruit was annulled by the other, that which brought death by that which is alive</w:t>
      </w:r>
      <w:r w:rsidRPr="008769AB">
        <w:rPr>
          <w:lang w:val="en-US"/>
        </w:rPr>
        <w:t>. (Hymn on Virginity VIII.1)</w:t>
      </w:r>
      <w:r w:rsidRPr="008769AB">
        <w:rPr>
          <w:vertAlign w:val="superscript"/>
          <w:lang w:val="en-US"/>
        </w:rPr>
        <w:footnoteReference w:id="7"/>
      </w:r>
    </w:p>
    <w:p w:rsidR="008769AB" w:rsidRPr="008769AB" w:rsidRDefault="008769AB" w:rsidP="008769AB">
      <w:pPr>
        <w:rPr>
          <w:lang w:val="en-US"/>
        </w:rPr>
      </w:pPr>
      <w:r w:rsidRPr="008769AB">
        <w:rPr>
          <w:lang w:val="en-US"/>
        </w:rPr>
        <w:t>The actual relic of the True Cross was interpreted to have come from the Tree of Life in Eden; but, saturated by the blood of Christ, it became imperishable and a witness to salvation and Para</w:t>
      </w:r>
      <w:r>
        <w:rPr>
          <w:lang w:val="en-US"/>
        </w:rPr>
        <w:softHyphen/>
      </w:r>
      <w:r w:rsidRPr="008769AB">
        <w:rPr>
          <w:lang w:val="en-US"/>
        </w:rPr>
        <w:t>dise</w:t>
      </w:r>
      <w:r w:rsidRPr="008769AB">
        <w:rPr>
          <w:vertAlign w:val="superscript"/>
          <w:lang w:val="en-US"/>
        </w:rPr>
        <w:footnoteReference w:id="8"/>
      </w:r>
      <w:r w:rsidRPr="008769AB">
        <w:rPr>
          <w:lang w:val="en-US"/>
        </w:rPr>
        <w:t>. Thus, in early Byzantine period, all foliated crosses signified Paradise. In the VI</w:t>
      </w:r>
      <w:r w:rsidRPr="008769AB">
        <w:rPr>
          <w:vertAlign w:val="superscript"/>
          <w:lang w:val="en-US"/>
        </w:rPr>
        <w:t>th</w:t>
      </w:r>
      <w:r w:rsidRPr="008769AB">
        <w:rPr>
          <w:lang w:val="en-US"/>
        </w:rPr>
        <w:t xml:space="preserve"> century A.D., Leontius compared the cross and the tree of life in Eden as follows:</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171"/>
      </w:tblGrid>
      <w:tr w:rsidR="008769AB" w:rsidTr="007173EB">
        <w:tc>
          <w:tcPr>
            <w:tcW w:w="4322"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74DA8ECA" wp14:editId="7FA4DF2E">
                  <wp:extent cx="2752645" cy="1548000"/>
                  <wp:effectExtent l="0" t="0" r="0" b="0"/>
                  <wp:docPr id="1" name="Resim 1" descr="C:\Users\unv\Google Drive\Cedrus 2018\99) Nilüfer PEKER\2-Görseller\thumbnail_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52645" cy="1548000"/>
                          </a:xfrm>
                          <a:prstGeom prst="rect">
                            <a:avLst/>
                          </a:prstGeom>
                          <a:noFill/>
                          <a:ln>
                            <a:noFill/>
                          </a:ln>
                        </pic:spPr>
                      </pic:pic>
                    </a:graphicData>
                  </a:graphic>
                </wp:inline>
              </w:drawing>
            </w:r>
          </w:p>
        </w:tc>
        <w:tc>
          <w:tcPr>
            <w:tcW w:w="4323"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7312D507" wp14:editId="34836E59">
                  <wp:extent cx="1615877" cy="1764000"/>
                  <wp:effectExtent l="0" t="0" r="3810" b="825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615877" cy="1764000"/>
                          </a:xfrm>
                          <a:prstGeom prst="rect">
                            <a:avLst/>
                          </a:prstGeom>
                          <a:noFill/>
                          <a:ln>
                            <a:noFill/>
                          </a:ln>
                        </pic:spPr>
                      </pic:pic>
                    </a:graphicData>
                  </a:graphic>
                </wp:inline>
              </w:drawing>
            </w:r>
          </w:p>
        </w:tc>
      </w:tr>
      <w:tr w:rsidR="008769AB" w:rsidTr="007173EB">
        <w:tc>
          <w:tcPr>
            <w:tcW w:w="4322"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1. </w:t>
            </w:r>
            <w:r w:rsidRPr="007065A8">
              <w:rPr>
                <w:rFonts w:ascii="Minion Pro Disp" w:hAnsi="Minion Pro Disp"/>
                <w:i/>
                <w:iCs/>
                <w:sz w:val="20"/>
                <w:szCs w:val="20"/>
                <w:lang w:val="en-US"/>
              </w:rPr>
              <w:t>The Domed Church, general view.</w:t>
            </w:r>
          </w:p>
        </w:tc>
        <w:tc>
          <w:tcPr>
            <w:tcW w:w="4323"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2. </w:t>
            </w:r>
            <w:r w:rsidRPr="007065A8">
              <w:rPr>
                <w:rFonts w:ascii="Minion Pro Disp" w:hAnsi="Minion Pro Disp"/>
                <w:i/>
                <w:iCs/>
                <w:sz w:val="20"/>
                <w:szCs w:val="20"/>
                <w:lang w:val="en-US"/>
              </w:rPr>
              <w:t>The Cross Carved Marble Block, front face.</w:t>
            </w:r>
          </w:p>
        </w:tc>
      </w:tr>
      <w:tr w:rsidR="008769AB" w:rsidTr="007173EB">
        <w:tc>
          <w:tcPr>
            <w:tcW w:w="4322"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312D091A" wp14:editId="27C2E9D6">
                  <wp:extent cx="1213164" cy="1770639"/>
                  <wp:effectExtent l="0" t="0" r="6350" b="127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22432" cy="1784166"/>
                          </a:xfrm>
                          <a:prstGeom prst="rect">
                            <a:avLst/>
                          </a:prstGeom>
                          <a:noFill/>
                          <a:ln>
                            <a:noFill/>
                          </a:ln>
                        </pic:spPr>
                      </pic:pic>
                    </a:graphicData>
                  </a:graphic>
                </wp:inline>
              </w:drawing>
            </w:r>
          </w:p>
        </w:tc>
        <w:tc>
          <w:tcPr>
            <w:tcW w:w="4323"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7B9183D7" wp14:editId="187BCBCA">
                  <wp:extent cx="2455909" cy="1801640"/>
                  <wp:effectExtent l="0" t="0" r="1905" b="825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463554" cy="1807248"/>
                          </a:xfrm>
                          <a:prstGeom prst="rect">
                            <a:avLst/>
                          </a:prstGeom>
                          <a:noFill/>
                          <a:ln>
                            <a:noFill/>
                          </a:ln>
                        </pic:spPr>
                      </pic:pic>
                    </a:graphicData>
                  </a:graphic>
                </wp:inline>
              </w:drawing>
            </w:r>
          </w:p>
        </w:tc>
      </w:tr>
      <w:tr w:rsidR="008769AB" w:rsidTr="007173EB">
        <w:tc>
          <w:tcPr>
            <w:tcW w:w="4322"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3. </w:t>
            </w:r>
            <w:r w:rsidRPr="007065A8">
              <w:rPr>
                <w:rStyle w:val="Yok"/>
                <w:rFonts w:ascii="Minion Pro Disp" w:hAnsi="Minion Pro Disp"/>
                <w:i/>
                <w:iCs/>
                <w:sz w:val="20"/>
                <w:szCs w:val="20"/>
                <w:lang w:val="en-US"/>
              </w:rPr>
              <w:t>The Cross Carved Marble Block</w:t>
            </w:r>
            <w:r w:rsidRPr="007065A8">
              <w:rPr>
                <w:rFonts w:ascii="Minion Pro Disp" w:hAnsi="Minion Pro Disp"/>
                <w:i/>
                <w:iCs/>
                <w:sz w:val="20"/>
                <w:szCs w:val="20"/>
                <w:lang w:val="en-US"/>
              </w:rPr>
              <w:t xml:space="preserve"> (drawing: Aykut Fenerci)</w:t>
            </w:r>
          </w:p>
        </w:tc>
        <w:tc>
          <w:tcPr>
            <w:tcW w:w="4323"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4. </w:t>
            </w:r>
            <w:r w:rsidRPr="007065A8">
              <w:rPr>
                <w:rStyle w:val="Yok"/>
                <w:rFonts w:ascii="Minion Pro Disp" w:hAnsi="Minion Pro Disp"/>
                <w:i/>
                <w:iCs/>
                <w:sz w:val="20"/>
                <w:szCs w:val="20"/>
                <w:lang w:val="en-US"/>
              </w:rPr>
              <w:t>The Cross Carved Marble Block</w:t>
            </w:r>
            <w:r w:rsidRPr="007065A8">
              <w:rPr>
                <w:rFonts w:ascii="Minion Pro Disp" w:hAnsi="Minion Pro Disp"/>
                <w:i/>
                <w:iCs/>
                <w:sz w:val="20"/>
                <w:szCs w:val="20"/>
                <w:lang w:val="en-US"/>
              </w:rPr>
              <w:t>, side face.</w:t>
            </w:r>
          </w:p>
        </w:tc>
      </w:tr>
      <w:tr w:rsidR="008769AB" w:rsidTr="007173EB">
        <w:tc>
          <w:tcPr>
            <w:tcW w:w="4322"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6045C173" wp14:editId="6F1B340A">
                  <wp:extent cx="2490080" cy="1584000"/>
                  <wp:effectExtent l="0" t="0" r="5715"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490080" cy="1584000"/>
                          </a:xfrm>
                          <a:prstGeom prst="rect">
                            <a:avLst/>
                          </a:prstGeom>
                          <a:noFill/>
                          <a:ln>
                            <a:noFill/>
                          </a:ln>
                        </pic:spPr>
                      </pic:pic>
                    </a:graphicData>
                  </a:graphic>
                </wp:inline>
              </w:drawing>
            </w:r>
          </w:p>
        </w:tc>
        <w:tc>
          <w:tcPr>
            <w:tcW w:w="4323" w:type="dxa"/>
          </w:tcPr>
          <w:p w:rsidR="008769AB" w:rsidRPr="007065A8" w:rsidRDefault="008769AB" w:rsidP="007173EB">
            <w:pPr>
              <w:ind w:firstLine="0"/>
              <w:jc w:val="center"/>
              <w:rPr>
                <w:sz w:val="20"/>
                <w:lang w:val="en-US"/>
              </w:rPr>
            </w:pPr>
            <w:r w:rsidRPr="007065A8">
              <w:rPr>
                <w:noProof/>
                <w:sz w:val="20"/>
                <w:lang w:eastAsia="tr-TR" w:bidi="he-IL"/>
              </w:rPr>
              <w:drawing>
                <wp:inline distT="0" distB="0" distL="0" distR="0" wp14:anchorId="01A8469E" wp14:editId="2FA9CCED">
                  <wp:extent cx="2379718" cy="1584000"/>
                  <wp:effectExtent l="0" t="0" r="190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v\Google Drive\Cedrus 2018\99) Nilüfer PEKER\2-Görseller\thumbnail_fig.1.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379718" cy="1584000"/>
                          </a:xfrm>
                          <a:prstGeom prst="rect">
                            <a:avLst/>
                          </a:prstGeom>
                          <a:noFill/>
                          <a:ln>
                            <a:noFill/>
                          </a:ln>
                        </pic:spPr>
                      </pic:pic>
                    </a:graphicData>
                  </a:graphic>
                </wp:inline>
              </w:drawing>
            </w:r>
          </w:p>
        </w:tc>
      </w:tr>
      <w:tr w:rsidR="008769AB" w:rsidTr="007173EB">
        <w:tc>
          <w:tcPr>
            <w:tcW w:w="4322"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5. </w:t>
            </w:r>
            <w:r w:rsidRPr="007065A8">
              <w:rPr>
                <w:rStyle w:val="Yok"/>
                <w:rFonts w:ascii="Minion Pro Disp" w:hAnsi="Minion Pro Disp"/>
                <w:i/>
                <w:iCs/>
                <w:sz w:val="20"/>
                <w:szCs w:val="20"/>
                <w:lang w:val="en-US"/>
              </w:rPr>
              <w:t>The Cross Carved Marble Block,</w:t>
            </w:r>
            <w:r w:rsidRPr="007065A8">
              <w:rPr>
                <w:rFonts w:ascii="Minion Pro Disp" w:hAnsi="Minion Pro Disp"/>
                <w:i/>
                <w:iCs/>
                <w:sz w:val="20"/>
                <w:szCs w:val="20"/>
                <w:lang w:val="en-US"/>
              </w:rPr>
              <w:t xml:space="preserve"> acanthus leaves.</w:t>
            </w:r>
          </w:p>
        </w:tc>
        <w:tc>
          <w:tcPr>
            <w:tcW w:w="4323" w:type="dxa"/>
          </w:tcPr>
          <w:p w:rsidR="008769AB" w:rsidRPr="007065A8" w:rsidRDefault="008769AB" w:rsidP="007173EB">
            <w:pPr>
              <w:pStyle w:val="GvdeB"/>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jc w:val="center"/>
              <w:rPr>
                <w:rFonts w:ascii="Minion Pro Disp" w:hAnsi="Minion Pro Disp"/>
                <w:sz w:val="20"/>
                <w:szCs w:val="20"/>
                <w:lang w:val="en-US"/>
              </w:rPr>
            </w:pPr>
            <w:r w:rsidRPr="007065A8">
              <w:rPr>
                <w:rFonts w:ascii="Minion Pro Disp" w:hAnsi="Minion Pro Disp"/>
                <w:sz w:val="20"/>
                <w:szCs w:val="20"/>
                <w:lang w:val="en-US"/>
              </w:rPr>
              <w:t xml:space="preserve">Fig. 6. </w:t>
            </w:r>
            <w:r w:rsidRPr="007065A8">
              <w:rPr>
                <w:rStyle w:val="Yok"/>
                <w:rFonts w:ascii="Minion Pro Disp" w:hAnsi="Minion Pro Disp"/>
                <w:i/>
                <w:iCs/>
                <w:sz w:val="20"/>
                <w:szCs w:val="20"/>
                <w:lang w:val="en-US"/>
              </w:rPr>
              <w:t>The Cross Carved Marble Block,</w:t>
            </w:r>
            <w:r w:rsidRPr="007065A8">
              <w:rPr>
                <w:rFonts w:ascii="Minion Pro Disp" w:hAnsi="Minion Pro Disp"/>
                <w:i/>
                <w:iCs/>
                <w:sz w:val="20"/>
                <w:szCs w:val="20"/>
                <w:lang w:val="en-US"/>
              </w:rPr>
              <w:t xml:space="preserve"> alpha and omega.</w:t>
            </w:r>
          </w:p>
        </w:tc>
      </w:tr>
    </w:tbl>
    <w:p w:rsidR="008769AB" w:rsidRPr="008769AB" w:rsidRDefault="008769AB" w:rsidP="008769AB">
      <w:pPr>
        <w:ind w:left="567" w:right="567" w:firstLine="0"/>
        <w:rPr>
          <w:lang w:val="en-US"/>
        </w:rPr>
      </w:pPr>
      <w:r w:rsidRPr="008769AB">
        <w:rPr>
          <w:lang w:val="en-US"/>
        </w:rPr>
        <w:lastRenderedPageBreak/>
        <w:t xml:space="preserve"> “</w:t>
      </w:r>
      <w:r w:rsidRPr="008769AB">
        <w:rPr>
          <w:i/>
          <w:iCs/>
          <w:lang w:val="en-US"/>
        </w:rPr>
        <w:t>He has planted a tree which brings a curse, I am building a cross which brings a blessing; he has hewn a grave, I am making it an altar; he has abandoned me to the Jews to be killed, I am quicker in strangling him</w:t>
      </w:r>
      <w:r w:rsidRPr="008769AB">
        <w:rPr>
          <w:lang w:val="en-US"/>
        </w:rPr>
        <w:t>.” (Leontius homilies, VIII. 2, 10)</w:t>
      </w:r>
      <w:r w:rsidRPr="008769AB">
        <w:rPr>
          <w:vertAlign w:val="superscript"/>
          <w:lang w:val="en-US"/>
        </w:rPr>
        <w:footnoteReference w:id="9"/>
      </w:r>
      <w:r w:rsidRPr="008769AB">
        <w:rPr>
          <w:lang w:val="en-US"/>
        </w:rPr>
        <w:t xml:space="preserve">. </w:t>
      </w:r>
    </w:p>
    <w:p w:rsidR="008769AB" w:rsidRPr="008769AB" w:rsidRDefault="008769AB" w:rsidP="008769AB">
      <w:pPr>
        <w:rPr>
          <w:lang w:val="en-US"/>
        </w:rPr>
      </w:pPr>
      <w:r w:rsidRPr="008769AB">
        <w:rPr>
          <w:lang w:val="en-US"/>
        </w:rPr>
        <w:t xml:space="preserve">Romanos the Melodist, in his </w:t>
      </w:r>
      <w:r w:rsidRPr="008769AB">
        <w:rPr>
          <w:i/>
          <w:iCs/>
          <w:lang w:val="en-US"/>
        </w:rPr>
        <w:t>Kontakia,</w:t>
      </w:r>
      <w:r w:rsidRPr="008769AB">
        <w:rPr>
          <w:lang w:val="en-US"/>
        </w:rPr>
        <w:t xml:space="preserve"> used the same word for the cross and the tree, as well as describing the cross as the second tree</w:t>
      </w:r>
      <w:r w:rsidRPr="008769AB">
        <w:rPr>
          <w:vertAlign w:val="superscript"/>
          <w:lang w:val="en-US"/>
        </w:rPr>
        <w:footnoteReference w:id="10"/>
      </w:r>
      <w:r w:rsidRPr="008769AB">
        <w:rPr>
          <w:lang w:val="en-US"/>
        </w:rPr>
        <w:t>. He focused on the correction of sins and the perfection of humanity, which God achieves by becoming, in Jesus Christ, the second Adam</w:t>
      </w:r>
      <w:r w:rsidRPr="008769AB">
        <w:rPr>
          <w:vertAlign w:val="superscript"/>
          <w:lang w:val="en-US"/>
        </w:rPr>
        <w:footnoteReference w:id="11"/>
      </w:r>
      <w:r w:rsidRPr="008769AB">
        <w:rPr>
          <w:lang w:val="en-US"/>
        </w:rPr>
        <w:t>. As the Devil con</w:t>
      </w:r>
      <w:r>
        <w:rPr>
          <w:lang w:val="en-US"/>
        </w:rPr>
        <w:softHyphen/>
      </w:r>
      <w:r w:rsidRPr="008769AB">
        <w:rPr>
          <w:lang w:val="en-US"/>
        </w:rPr>
        <w:t>quered Adam through the wood of the tree of life, so Christ overcomes Hell through the wood of the cross, leading human beings, who were held captive there, to freedom</w:t>
      </w:r>
      <w:r w:rsidRPr="008769AB">
        <w:rPr>
          <w:vertAlign w:val="superscript"/>
          <w:lang w:val="en-US"/>
        </w:rPr>
        <w:footnoteReference w:id="12"/>
      </w:r>
      <w:r w:rsidRPr="008769AB">
        <w:rPr>
          <w:lang w:val="en-US"/>
        </w:rPr>
        <w:t>. Undoubtedly, as E. Cruikshank Dodd states, the cross was the single most powerful symbol in the church, evocative of triumph over death and the everlasting life, in the late VI</w:t>
      </w:r>
      <w:r w:rsidRPr="008769AB">
        <w:rPr>
          <w:vertAlign w:val="superscript"/>
          <w:lang w:val="en-US"/>
        </w:rPr>
        <w:t>th</w:t>
      </w:r>
      <w:r w:rsidRPr="008769AB">
        <w:rPr>
          <w:lang w:val="en-US"/>
        </w:rPr>
        <w:t xml:space="preserve"> and VII</w:t>
      </w:r>
      <w:r w:rsidRPr="008769AB">
        <w:rPr>
          <w:vertAlign w:val="superscript"/>
          <w:lang w:val="en-US"/>
        </w:rPr>
        <w:t>th</w:t>
      </w:r>
      <w:r w:rsidRPr="008769AB">
        <w:rPr>
          <w:lang w:val="en-US"/>
        </w:rPr>
        <w:t xml:space="preserve"> centuries A.D.</w:t>
      </w:r>
      <w:r w:rsidRPr="008769AB">
        <w:rPr>
          <w:vertAlign w:val="superscript"/>
          <w:lang w:val="en-US"/>
        </w:rPr>
        <w:footnoteReference w:id="13"/>
      </w:r>
      <w:r w:rsidRPr="008769AB">
        <w:rPr>
          <w:lang w:val="en-US"/>
        </w:rPr>
        <w:t>. At the same time, in Byzantine culture True Cross referred to victory-bearers or victory-makers.</w:t>
      </w:r>
      <w:r w:rsidRPr="008769AB">
        <w:rPr>
          <w:vertAlign w:val="superscript"/>
          <w:lang w:val="en-US"/>
        </w:rPr>
        <w:footnoteReference w:id="14"/>
      </w:r>
      <w:r w:rsidRPr="008769AB">
        <w:rPr>
          <w:lang w:val="en-US"/>
        </w:rPr>
        <w:t xml:space="preserve"> </w:t>
      </w:r>
    </w:p>
    <w:p w:rsidR="008769AB" w:rsidRPr="008769AB" w:rsidRDefault="008769AB" w:rsidP="008769AB">
      <w:pPr>
        <w:rPr>
          <w:lang w:val="en-US"/>
        </w:rPr>
      </w:pPr>
      <w:r w:rsidRPr="008769AB">
        <w:rPr>
          <w:lang w:val="en-US"/>
        </w:rPr>
        <w:tab/>
        <w:t>In Byzantine material culture, living cross consists of a plant or leaves, which extend upwards as far as the arms of the cross and then turn inwards. Besides, leaves can also stem from the upper arm of the cross as it can be seen in the Caunus relief. Talbot Rice indicates that the earliest example of the living cross motive is on a slab dating to the VI</w:t>
      </w:r>
      <w:r w:rsidRPr="008769AB">
        <w:rPr>
          <w:vertAlign w:val="superscript"/>
          <w:lang w:val="en-US"/>
        </w:rPr>
        <w:t>th</w:t>
      </w:r>
      <w:r w:rsidRPr="008769AB">
        <w:rPr>
          <w:lang w:val="en-US"/>
        </w:rPr>
        <w:t xml:space="preserve"> century A.D at Sts. Sergius and Bakhos church in Istanbul.</w:t>
      </w:r>
      <w:r w:rsidRPr="008769AB">
        <w:rPr>
          <w:vertAlign w:val="superscript"/>
          <w:lang w:val="en-US"/>
        </w:rPr>
        <w:footnoteReference w:id="15"/>
      </w:r>
      <w:r w:rsidRPr="008769AB">
        <w:rPr>
          <w:lang w:val="en-US"/>
        </w:rPr>
        <w:t xml:space="preserve"> A group of early Byzantine capitals from Istanbul and Asia Minor contain the relief of the living cross</w:t>
      </w:r>
      <w:r w:rsidRPr="008769AB">
        <w:rPr>
          <w:vertAlign w:val="superscript"/>
          <w:lang w:val="en-US"/>
        </w:rPr>
        <w:footnoteReference w:id="16"/>
      </w:r>
      <w:r w:rsidRPr="008769AB">
        <w:rPr>
          <w:lang w:val="en-US"/>
        </w:rPr>
        <w:t>. Another remarkable example dating to between the VI</w:t>
      </w:r>
      <w:r w:rsidRPr="008769AB">
        <w:rPr>
          <w:vertAlign w:val="superscript"/>
          <w:lang w:val="en-US"/>
        </w:rPr>
        <w:t>th</w:t>
      </w:r>
      <w:r w:rsidRPr="008769AB">
        <w:rPr>
          <w:lang w:val="en-US"/>
        </w:rPr>
        <w:t xml:space="preserve"> and the VIII</w:t>
      </w:r>
      <w:r w:rsidRPr="008769AB">
        <w:rPr>
          <w:vertAlign w:val="superscript"/>
          <w:lang w:val="en-US"/>
        </w:rPr>
        <w:t>th</w:t>
      </w:r>
      <w:r w:rsidRPr="008769AB">
        <w:rPr>
          <w:lang w:val="en-US"/>
        </w:rPr>
        <w:t xml:space="preserve"> centuries was found in the excavation of St. Nicolaos Church in Myra</w:t>
      </w:r>
      <w:r w:rsidRPr="008769AB">
        <w:rPr>
          <w:vertAlign w:val="superscript"/>
          <w:lang w:val="en-US"/>
        </w:rPr>
        <w:footnoteReference w:id="17"/>
      </w:r>
      <w:r w:rsidRPr="008769AB">
        <w:rPr>
          <w:lang w:val="en-US"/>
        </w:rPr>
        <w:t>. It seems that the living cross had al</w:t>
      </w:r>
      <w:r>
        <w:rPr>
          <w:lang w:val="en-US"/>
        </w:rPr>
        <w:softHyphen/>
      </w:r>
      <w:r w:rsidRPr="008769AB">
        <w:rPr>
          <w:lang w:val="en-US"/>
        </w:rPr>
        <w:t>ready emerged by the VI</w:t>
      </w:r>
      <w:r w:rsidRPr="008769AB">
        <w:rPr>
          <w:vertAlign w:val="superscript"/>
          <w:lang w:val="en-US"/>
        </w:rPr>
        <w:t>th</w:t>
      </w:r>
      <w:r w:rsidRPr="008769AB">
        <w:rPr>
          <w:lang w:val="en-US"/>
        </w:rPr>
        <w:t xml:space="preserve"> century A.D. in Byzantine art. Indeed, the aforementioned liturgical texts from the VI</w:t>
      </w:r>
      <w:r w:rsidRPr="008769AB">
        <w:rPr>
          <w:vertAlign w:val="superscript"/>
          <w:lang w:val="en-US"/>
        </w:rPr>
        <w:t>th</w:t>
      </w:r>
      <w:r w:rsidRPr="008769AB">
        <w:rPr>
          <w:lang w:val="en-US"/>
        </w:rPr>
        <w:t xml:space="preserve"> century A.D that are related to the living cross support the appearance of the living cross in this century.   </w:t>
      </w:r>
    </w:p>
    <w:p w:rsidR="008769AB" w:rsidRPr="008769AB" w:rsidRDefault="008769AB" w:rsidP="008769AB">
      <w:pPr>
        <w:rPr>
          <w:lang w:val="en-US"/>
        </w:rPr>
      </w:pPr>
      <w:r w:rsidRPr="008769AB">
        <w:rPr>
          <w:lang w:val="en-US"/>
        </w:rPr>
        <w:tab/>
        <w:t>As I have mentioned before, the decoration of the marble block that contains a living cross is al</w:t>
      </w:r>
      <w:r>
        <w:rPr>
          <w:lang w:val="en-US"/>
        </w:rPr>
        <w:softHyphen/>
      </w:r>
      <w:r w:rsidRPr="008769AB">
        <w:rPr>
          <w:lang w:val="en-US"/>
        </w:rPr>
        <w:t xml:space="preserve">so composed as a processional cross. The alpha (A) and omega (ω) that dangle from both side arms are the first and the last letters in the Greek alphabet. As it is known, the </w:t>
      </w:r>
      <w:r w:rsidRPr="008769AB">
        <w:rPr>
          <w:i/>
          <w:iCs/>
          <w:lang w:val="en-US"/>
        </w:rPr>
        <w:t>Revelation</w:t>
      </w:r>
      <w:r w:rsidRPr="008769AB">
        <w:rPr>
          <w:lang w:val="en-US"/>
        </w:rPr>
        <w:t xml:space="preserve"> is the most pow</w:t>
      </w:r>
      <w:r>
        <w:rPr>
          <w:lang w:val="en-US"/>
        </w:rPr>
        <w:softHyphen/>
      </w:r>
      <w:r w:rsidRPr="008769AB">
        <w:rPr>
          <w:lang w:val="en-US"/>
        </w:rPr>
        <w:t xml:space="preserve">erful reference to understand the meaning of these symbols in Christianity: </w:t>
      </w:r>
    </w:p>
    <w:p w:rsidR="008769AB" w:rsidRPr="008769AB" w:rsidRDefault="008769AB" w:rsidP="008769AB">
      <w:pPr>
        <w:ind w:left="567" w:right="567" w:firstLine="0"/>
        <w:rPr>
          <w:lang w:val="en-US"/>
        </w:rPr>
      </w:pPr>
      <w:r w:rsidRPr="008769AB">
        <w:rPr>
          <w:lang w:val="en-US"/>
        </w:rPr>
        <w:t>“</w:t>
      </w:r>
      <w:r w:rsidRPr="008769AB">
        <w:rPr>
          <w:i/>
          <w:iCs/>
          <w:lang w:val="en-US"/>
        </w:rPr>
        <w:t>I am Alpha and Omega, the beginning and the ending, saith the Lord, which is, and which was, and which is to come, the Almighty</w:t>
      </w:r>
      <w:r w:rsidRPr="008769AB">
        <w:rPr>
          <w:lang w:val="en-US"/>
        </w:rPr>
        <w:t xml:space="preserve">.” (1:8); </w:t>
      </w:r>
    </w:p>
    <w:p w:rsidR="008769AB" w:rsidRPr="008769AB" w:rsidRDefault="008769AB" w:rsidP="008769AB">
      <w:pPr>
        <w:ind w:left="567" w:right="567" w:firstLine="0"/>
        <w:rPr>
          <w:lang w:val="en-US"/>
        </w:rPr>
      </w:pPr>
      <w:r w:rsidRPr="008769AB">
        <w:rPr>
          <w:lang w:val="en-US"/>
        </w:rPr>
        <w:t>“</w:t>
      </w:r>
      <w:r w:rsidRPr="008769AB">
        <w:rPr>
          <w:i/>
          <w:iCs/>
          <w:lang w:val="en-US"/>
        </w:rPr>
        <w:t>I am the first and the last</w:t>
      </w:r>
      <w:r w:rsidRPr="008769AB">
        <w:rPr>
          <w:lang w:val="en-US"/>
        </w:rPr>
        <w:t>” (1:17); “</w:t>
      </w:r>
      <w:r w:rsidRPr="008769AB">
        <w:rPr>
          <w:i/>
          <w:iCs/>
          <w:lang w:val="en-US"/>
        </w:rPr>
        <w:t xml:space="preserve">I am Alpha and Omega, the beginning and the end, the first and the last.” </w:t>
      </w:r>
      <w:r w:rsidRPr="008769AB">
        <w:rPr>
          <w:lang w:val="en-US"/>
        </w:rPr>
        <w:t>(22:13)</w:t>
      </w:r>
      <w:r w:rsidRPr="008769AB">
        <w:rPr>
          <w:i/>
          <w:iCs/>
          <w:lang w:val="en-US"/>
        </w:rPr>
        <w:t xml:space="preserve"> </w:t>
      </w:r>
      <w:r w:rsidRPr="008769AB">
        <w:rPr>
          <w:lang w:val="en-US"/>
        </w:rPr>
        <w:t xml:space="preserve">. </w:t>
      </w:r>
    </w:p>
    <w:p w:rsidR="008769AB" w:rsidRPr="008769AB" w:rsidRDefault="008769AB" w:rsidP="008769AB">
      <w:pPr>
        <w:rPr>
          <w:lang w:val="en-US"/>
        </w:rPr>
      </w:pPr>
      <w:r w:rsidRPr="008769AB">
        <w:rPr>
          <w:lang w:val="en-US"/>
        </w:rPr>
        <w:t xml:space="preserve">Clearly, these letters indicate the beginning and the end, which refer to the eternal nature of God </w:t>
      </w:r>
      <w:r w:rsidRPr="008769AB">
        <w:rPr>
          <w:lang w:val="en-US"/>
        </w:rPr>
        <w:lastRenderedPageBreak/>
        <w:t>as well as being references to the Last Judgment in Christian belief in terms of symbolizing the end of the universe. For that reason, these letters can be seen in burial places as well. Among early Chris</w:t>
      </w:r>
      <w:r>
        <w:rPr>
          <w:lang w:val="en-US"/>
        </w:rPr>
        <w:softHyphen/>
      </w:r>
      <w:r w:rsidRPr="008769AB">
        <w:rPr>
          <w:lang w:val="en-US"/>
        </w:rPr>
        <w:t xml:space="preserve">tian interpretations, the exegesis of Clement of Alexandria about these symbols is quite remarkable. In his commentary called </w:t>
      </w:r>
      <w:r w:rsidRPr="008769AB">
        <w:rPr>
          <w:i/>
          <w:iCs/>
          <w:lang w:val="en-US"/>
        </w:rPr>
        <w:t>The Stromata</w:t>
      </w:r>
      <w:r w:rsidRPr="008769AB">
        <w:rPr>
          <w:lang w:val="en-US"/>
        </w:rPr>
        <w:t>, the meaning of these letters is interpreted by way of Christ’s integrity</w:t>
      </w:r>
      <w:r w:rsidRPr="008769AB">
        <w:rPr>
          <w:vertAlign w:val="superscript"/>
          <w:lang w:val="en-US"/>
        </w:rPr>
        <w:footnoteReference w:id="18"/>
      </w:r>
      <w:r w:rsidRPr="008769AB">
        <w:rPr>
          <w:lang w:val="en-US"/>
        </w:rPr>
        <w:t>. He comments as follows:</w:t>
      </w:r>
    </w:p>
    <w:p w:rsidR="008769AB" w:rsidRPr="008769AB" w:rsidRDefault="008769AB" w:rsidP="008769AB">
      <w:pPr>
        <w:ind w:left="567" w:right="567" w:firstLine="0"/>
        <w:rPr>
          <w:lang w:val="en-US"/>
        </w:rPr>
      </w:pPr>
      <w:r w:rsidRPr="008769AB">
        <w:rPr>
          <w:lang w:val="en-US"/>
        </w:rPr>
        <w:t xml:space="preserve"> “</w:t>
      </w:r>
      <w:r w:rsidRPr="008769AB">
        <w:rPr>
          <w:i/>
          <w:iCs/>
          <w:lang w:val="en-US"/>
        </w:rPr>
        <w:t>And the Son is neither simply one thing as one thing, nor many things as parts, but one thing as all things; whence also He is all things. For He is the circle of all powers rolled and united into one unity. Wherefore the Word is called the Alpha and the Omega, of whom alone the end becomes beginning, and ends again at the original beginning without any break. Wherefore also to believe in Him, and by Him, is to become a unit, being indissol</w:t>
      </w:r>
      <w:r>
        <w:rPr>
          <w:i/>
          <w:iCs/>
          <w:lang w:val="en-US"/>
        </w:rPr>
        <w:softHyphen/>
      </w:r>
      <w:r w:rsidRPr="008769AB">
        <w:rPr>
          <w:i/>
          <w:iCs/>
          <w:lang w:val="en-US"/>
        </w:rPr>
        <w:t>ubly united in Him; and to disbelieve is to be separated, disjoined, divided.</w:t>
      </w:r>
      <w:r w:rsidRPr="008769AB">
        <w:rPr>
          <w:lang w:val="en-US"/>
        </w:rPr>
        <w:t>”</w:t>
      </w:r>
      <w:r w:rsidRPr="008769AB">
        <w:rPr>
          <w:vertAlign w:val="superscript"/>
          <w:lang w:val="en-US"/>
        </w:rPr>
        <w:footnoteReference w:id="19"/>
      </w:r>
      <w:r w:rsidRPr="008769AB">
        <w:rPr>
          <w:lang w:val="en-US"/>
        </w:rPr>
        <w:t xml:space="preserve">. </w:t>
      </w:r>
    </w:p>
    <w:p w:rsidR="008769AB" w:rsidRPr="008769AB" w:rsidRDefault="008769AB" w:rsidP="008769AB">
      <w:pPr>
        <w:ind w:left="567" w:right="567" w:firstLine="0"/>
        <w:rPr>
          <w:lang w:val="en-US"/>
        </w:rPr>
      </w:pPr>
      <w:r w:rsidRPr="008769AB">
        <w:rPr>
          <w:lang w:val="en-US"/>
        </w:rPr>
        <w:t>“</w:t>
      </w:r>
      <w:r w:rsidRPr="008769AB">
        <w:rPr>
          <w:i/>
          <w:iCs/>
          <w:lang w:val="en-US"/>
        </w:rPr>
        <w:t>Thus the Lord Himself is called “Alpha and Omega, the beginning and the end, by whom all things were made, and without whom not even one thing was made</w:t>
      </w:r>
      <w:r w:rsidRPr="008769AB">
        <w:rPr>
          <w:lang w:val="en-US"/>
        </w:rPr>
        <w:t>.”</w:t>
      </w:r>
      <w:r w:rsidRPr="008769AB">
        <w:rPr>
          <w:vertAlign w:val="superscript"/>
          <w:lang w:val="en-US"/>
        </w:rPr>
        <w:footnoteReference w:id="20"/>
      </w:r>
      <w:r w:rsidRPr="008769AB">
        <w:rPr>
          <w:lang w:val="en-US"/>
        </w:rPr>
        <w:t xml:space="preserve">. </w:t>
      </w:r>
    </w:p>
    <w:p w:rsidR="008769AB" w:rsidRPr="008769AB" w:rsidRDefault="008769AB" w:rsidP="008769AB">
      <w:pPr>
        <w:rPr>
          <w:lang w:val="en-US"/>
        </w:rPr>
      </w:pPr>
      <w:r w:rsidRPr="008769AB">
        <w:rPr>
          <w:lang w:val="en-US"/>
        </w:rPr>
        <w:tab/>
        <w:t>One of the earliest depictions, dating to the III</w:t>
      </w:r>
      <w:r w:rsidRPr="008769AB">
        <w:rPr>
          <w:vertAlign w:val="superscript"/>
          <w:lang w:val="en-US"/>
        </w:rPr>
        <w:t>rd</w:t>
      </w:r>
      <w:r w:rsidRPr="008769AB">
        <w:rPr>
          <w:lang w:val="en-US"/>
        </w:rPr>
        <w:t xml:space="preserve"> century A.D., is on a tomb’s plaque in the Cata</w:t>
      </w:r>
      <w:r>
        <w:rPr>
          <w:lang w:val="en-US"/>
        </w:rPr>
        <w:softHyphen/>
      </w:r>
      <w:r w:rsidRPr="008769AB">
        <w:rPr>
          <w:lang w:val="en-US"/>
        </w:rPr>
        <w:t>comb of Callixtus in Rome</w:t>
      </w:r>
      <w:r w:rsidRPr="008769AB">
        <w:rPr>
          <w:vertAlign w:val="superscript"/>
          <w:lang w:val="en-US"/>
        </w:rPr>
        <w:footnoteReference w:id="21"/>
      </w:r>
      <w:r w:rsidRPr="008769AB">
        <w:rPr>
          <w:lang w:val="en-US"/>
        </w:rPr>
        <w:t>. A wall-painting from the catacomb of Commodilla presents Christ as the Lord of the Universe, whose head is flanked by alpha and omega</w:t>
      </w:r>
      <w:r w:rsidRPr="008769AB">
        <w:rPr>
          <w:vertAlign w:val="superscript"/>
          <w:lang w:val="en-US"/>
        </w:rPr>
        <w:footnoteReference w:id="22"/>
      </w:r>
      <w:r w:rsidRPr="008769AB">
        <w:rPr>
          <w:lang w:val="en-US"/>
        </w:rPr>
        <w:t>. An in-situ cross relief with these letters is on the south apse wall in Karabel church located at Batı Asarcık settlement in Lycia</w:t>
      </w:r>
      <w:r w:rsidRPr="008769AB">
        <w:rPr>
          <w:vertAlign w:val="superscript"/>
          <w:lang w:val="en-US"/>
        </w:rPr>
        <w:footnoteReference w:id="23"/>
      </w:r>
      <w:r w:rsidRPr="008769AB">
        <w:rPr>
          <w:lang w:val="en-US"/>
        </w:rPr>
        <w:t>. In the same place, a cross carved slab with an alpha and an omega dangle with chains from both side arms</w:t>
      </w:r>
      <w:r w:rsidRPr="008769AB">
        <w:rPr>
          <w:vertAlign w:val="superscript"/>
          <w:lang w:val="en-US"/>
        </w:rPr>
        <w:footnoteReference w:id="24"/>
      </w:r>
      <w:r w:rsidRPr="008769AB">
        <w:rPr>
          <w:lang w:val="en-US"/>
        </w:rPr>
        <w:t>. Both are dated from the VI</w:t>
      </w:r>
      <w:r w:rsidRPr="008769AB">
        <w:rPr>
          <w:vertAlign w:val="superscript"/>
          <w:lang w:val="en-US"/>
        </w:rPr>
        <w:t>th</w:t>
      </w:r>
      <w:r w:rsidRPr="008769AB">
        <w:rPr>
          <w:lang w:val="en-US"/>
        </w:rPr>
        <w:t xml:space="preserve"> century A.D. Another example comes from Gemiler Ada da</w:t>
      </w:r>
      <w:r>
        <w:rPr>
          <w:lang w:val="en-US"/>
        </w:rPr>
        <w:softHyphen/>
      </w:r>
      <w:r w:rsidRPr="008769AB">
        <w:rPr>
          <w:lang w:val="en-US"/>
        </w:rPr>
        <w:t>ting to the VI</w:t>
      </w:r>
      <w:r w:rsidRPr="008769AB">
        <w:rPr>
          <w:vertAlign w:val="superscript"/>
          <w:lang w:val="en-US"/>
        </w:rPr>
        <w:t>th</w:t>
      </w:r>
      <w:r w:rsidRPr="008769AB">
        <w:rPr>
          <w:lang w:val="en-US"/>
        </w:rPr>
        <w:t xml:space="preserve"> century A.D., which is presented in a fresco </w:t>
      </w:r>
      <w:r w:rsidRPr="008769AB">
        <w:rPr>
          <w:i/>
          <w:iCs/>
          <w:lang w:val="en-US"/>
        </w:rPr>
        <w:t>tabula ansata</w:t>
      </w:r>
      <w:r w:rsidRPr="008769AB">
        <w:rPr>
          <w:vertAlign w:val="superscript"/>
          <w:lang w:val="en-US"/>
        </w:rPr>
        <w:footnoteReference w:id="25"/>
      </w:r>
      <w:r w:rsidRPr="008769AB">
        <w:rPr>
          <w:i/>
          <w:iCs/>
          <w:lang w:val="en-US"/>
        </w:rPr>
        <w:t xml:space="preserve">. </w:t>
      </w:r>
      <w:r w:rsidRPr="008769AB">
        <w:rPr>
          <w:lang w:val="en-US"/>
        </w:rPr>
        <w:t>Doubtlessly, some com</w:t>
      </w:r>
      <w:r>
        <w:rPr>
          <w:lang w:val="en-US"/>
        </w:rPr>
        <w:softHyphen/>
      </w:r>
      <w:r w:rsidRPr="008769AB">
        <w:rPr>
          <w:lang w:val="en-US"/>
        </w:rPr>
        <w:t>positions from the VI</w:t>
      </w:r>
      <w:r w:rsidRPr="008769AB">
        <w:rPr>
          <w:vertAlign w:val="superscript"/>
          <w:lang w:val="en-US"/>
        </w:rPr>
        <w:t>th</w:t>
      </w:r>
      <w:r w:rsidRPr="008769AB">
        <w:rPr>
          <w:lang w:val="en-US"/>
        </w:rPr>
        <w:t xml:space="preserve"> century A.D. are quite remarkable in terms of their similarities to the Cau</w:t>
      </w:r>
      <w:r>
        <w:rPr>
          <w:lang w:val="en-US"/>
        </w:rPr>
        <w:softHyphen/>
      </w:r>
      <w:r w:rsidRPr="008769AB">
        <w:rPr>
          <w:lang w:val="en-US"/>
        </w:rPr>
        <w:t>nus relief. One of them is in the catacomb of Pontianus, which is composed as a living cross with al</w:t>
      </w:r>
      <w:r>
        <w:rPr>
          <w:lang w:val="en-US"/>
        </w:rPr>
        <w:softHyphen/>
      </w:r>
      <w:r w:rsidRPr="008769AB">
        <w:rPr>
          <w:lang w:val="en-US"/>
        </w:rPr>
        <w:t>pha and omega</w:t>
      </w:r>
      <w:r w:rsidRPr="008769AB">
        <w:rPr>
          <w:vertAlign w:val="superscript"/>
          <w:lang w:val="en-US"/>
        </w:rPr>
        <w:footnoteReference w:id="26"/>
      </w:r>
      <w:r w:rsidRPr="008769AB">
        <w:rPr>
          <w:lang w:val="en-US"/>
        </w:rPr>
        <w:t>. The other similar example is located on a tomb’s wall at the church IV</w:t>
      </w:r>
      <w:r w:rsidRPr="008769AB">
        <w:rPr>
          <w:vertAlign w:val="superscript"/>
          <w:lang w:val="en-US"/>
        </w:rPr>
        <w:t>th</w:t>
      </w:r>
      <w:r w:rsidRPr="008769AB">
        <w:rPr>
          <w:lang w:val="en-US"/>
        </w:rPr>
        <w:t xml:space="preserve"> in Gemiler Ada, which presents a living cross along with alpha and omega at the lower part</w:t>
      </w:r>
      <w:r w:rsidRPr="008769AB">
        <w:rPr>
          <w:vertAlign w:val="superscript"/>
          <w:lang w:val="en-US"/>
        </w:rPr>
        <w:footnoteReference w:id="27"/>
      </w:r>
      <w:r w:rsidRPr="008769AB">
        <w:rPr>
          <w:lang w:val="en-US"/>
        </w:rPr>
        <w:t>. In Met</w:t>
      </w:r>
      <w:r>
        <w:rPr>
          <w:lang w:val="en-US"/>
        </w:rPr>
        <w:softHyphen/>
      </w:r>
      <w:r w:rsidRPr="008769AB">
        <w:rPr>
          <w:lang w:val="en-US"/>
        </w:rPr>
        <w:t>ropolitan museum, a lintel fragment from the northern Syria dating to between 400 and 550, con</w:t>
      </w:r>
      <w:r>
        <w:rPr>
          <w:lang w:val="en-US"/>
        </w:rPr>
        <w:softHyphen/>
      </w:r>
      <w:r w:rsidRPr="008769AB">
        <w:rPr>
          <w:lang w:val="en-US"/>
        </w:rPr>
        <w:t>tains alpha and omega which are located at the upper part of the cross. There is an equal armed cross as a variant of the Christogram and leaves at the lower part of the cross</w:t>
      </w:r>
      <w:r w:rsidRPr="008769AB">
        <w:rPr>
          <w:vertAlign w:val="superscript"/>
          <w:lang w:val="en-US"/>
        </w:rPr>
        <w:footnoteReference w:id="28"/>
      </w:r>
      <w:r w:rsidRPr="008769AB">
        <w:rPr>
          <w:lang w:val="en-US"/>
        </w:rPr>
        <w:t>. Another architectur</w:t>
      </w:r>
      <w:r>
        <w:rPr>
          <w:lang w:val="en-US"/>
        </w:rPr>
        <w:softHyphen/>
      </w:r>
      <w:r w:rsidRPr="008769AB">
        <w:rPr>
          <w:lang w:val="en-US"/>
        </w:rPr>
        <w:t>al fragment, from Kafaca village located ca. 9 km north west of Milas in Caria, corresponds to the Caunus relief with a carved cross along with dangled alpha and omega, and two isolated flowers on the upper part of the cross.</w:t>
      </w:r>
      <w:r w:rsidRPr="008769AB">
        <w:rPr>
          <w:vertAlign w:val="superscript"/>
          <w:lang w:val="en-US"/>
        </w:rPr>
        <w:footnoteReference w:id="29"/>
      </w:r>
      <w:r w:rsidRPr="008769AB">
        <w:rPr>
          <w:lang w:val="en-US"/>
        </w:rPr>
        <w:t xml:space="preserve">             </w:t>
      </w:r>
    </w:p>
    <w:p w:rsidR="008769AB" w:rsidRPr="008769AB" w:rsidRDefault="008769AB" w:rsidP="008769AB">
      <w:pPr>
        <w:rPr>
          <w:lang w:val="en-US"/>
        </w:rPr>
      </w:pPr>
      <w:r w:rsidRPr="008769AB">
        <w:rPr>
          <w:lang w:val="en-US"/>
        </w:rPr>
        <w:tab/>
        <w:t>The decoration of the Caunus relief including a living cross and a processional cross combina</w:t>
      </w:r>
      <w:r>
        <w:rPr>
          <w:lang w:val="en-US"/>
        </w:rPr>
        <w:softHyphen/>
      </w:r>
      <w:r w:rsidRPr="008769AB">
        <w:rPr>
          <w:lang w:val="en-US"/>
        </w:rPr>
        <w:lastRenderedPageBreak/>
        <w:t xml:space="preserve">tion does not seem to be accidental, but rather is part of a pattern reflecting a specific theological meaning. The decoration undoubtedly is a kind of echo that expresses the eternal triumph over death as well as symbolizing paradise. Concordantly, this composition conveys messages similar to the Last Judgment because of its nature. The living cross that replaces the tree of life in paradise, as Romanos states in his </w:t>
      </w:r>
      <w:r w:rsidRPr="008769AB">
        <w:rPr>
          <w:i/>
          <w:iCs/>
          <w:lang w:val="en-US"/>
        </w:rPr>
        <w:t>kontakia</w:t>
      </w:r>
      <w:r w:rsidRPr="008769AB">
        <w:rPr>
          <w:lang w:val="en-US"/>
        </w:rPr>
        <w:t xml:space="preserve">, leads humankind to return to paradise. Romanos refers to the theme of the cross with its role for humanity in his </w:t>
      </w:r>
      <w:r w:rsidRPr="008769AB">
        <w:rPr>
          <w:i/>
          <w:iCs/>
          <w:lang w:val="en-US"/>
        </w:rPr>
        <w:t>kontakia</w:t>
      </w:r>
      <w:r w:rsidRPr="008769AB">
        <w:rPr>
          <w:lang w:val="en-US"/>
        </w:rPr>
        <w:t xml:space="preserve"> as follows:</w:t>
      </w:r>
    </w:p>
    <w:p w:rsidR="008769AB" w:rsidRPr="008769AB" w:rsidRDefault="008769AB" w:rsidP="008769AB">
      <w:pPr>
        <w:ind w:left="567" w:right="567" w:firstLine="0"/>
        <w:rPr>
          <w:lang w:val="en-US"/>
        </w:rPr>
      </w:pPr>
      <w:r w:rsidRPr="008769AB">
        <w:rPr>
          <w:lang w:val="en-US"/>
        </w:rPr>
        <w:t xml:space="preserve"> “</w:t>
      </w:r>
      <w:r w:rsidRPr="008769AB">
        <w:rPr>
          <w:i/>
          <w:iCs/>
          <w:lang w:val="en-US"/>
        </w:rPr>
        <w:t>Let us all all boast in Thy cross: we shall nail our hearts upon it, in order that we may hang on it our instruments and sing to Thee, Lord of universe, from the odes of Zion. A ship from Tarshish once furnished gold to Solomon at just the right time, as it is written; Thy cross gives us untold wealth daily and at time of the Last Judgement, for it leads us all again into Paradise.</w:t>
      </w:r>
      <w:r w:rsidRPr="008769AB">
        <w:rPr>
          <w:lang w:val="en-US"/>
        </w:rPr>
        <w:t>”</w:t>
      </w:r>
      <w:r w:rsidRPr="008769AB">
        <w:rPr>
          <w:vertAlign w:val="superscript"/>
          <w:lang w:val="en-US"/>
        </w:rPr>
        <w:footnoteReference w:id="30"/>
      </w:r>
      <w:r w:rsidRPr="008769AB">
        <w:rPr>
          <w:lang w:val="en-US"/>
        </w:rPr>
        <w:t xml:space="preserve">. </w:t>
      </w:r>
    </w:p>
    <w:p w:rsidR="008769AB" w:rsidRPr="008769AB" w:rsidRDefault="008769AB" w:rsidP="008769AB">
      <w:pPr>
        <w:rPr>
          <w:lang w:val="en-US"/>
        </w:rPr>
      </w:pPr>
      <w:r w:rsidRPr="008769AB">
        <w:rPr>
          <w:lang w:val="en-US"/>
        </w:rPr>
        <w:t>In apocalyptic discourse, the eternal triumph over the death of Christ, who is the beginning and the end, is indicated with alpha and omega letters. The living cross became popular particularly in the VI</w:t>
      </w:r>
      <w:r w:rsidRPr="008769AB">
        <w:rPr>
          <w:vertAlign w:val="superscript"/>
          <w:lang w:val="en-US"/>
        </w:rPr>
        <w:t>th</w:t>
      </w:r>
      <w:r w:rsidRPr="008769AB">
        <w:rPr>
          <w:lang w:val="en-US"/>
        </w:rPr>
        <w:t xml:space="preserve"> century A.D., which can be already seen in the presence of depictions and rise of the exeget</w:t>
      </w:r>
      <w:r>
        <w:rPr>
          <w:lang w:val="en-US"/>
        </w:rPr>
        <w:softHyphen/>
      </w:r>
      <w:r w:rsidRPr="008769AB">
        <w:rPr>
          <w:lang w:val="en-US"/>
        </w:rPr>
        <w:t>ical and literary traditions. Although the living cross was also depicted in later times in Byzantine material culture, alpha and omega disappeared after the VII</w:t>
      </w:r>
      <w:r w:rsidRPr="008769AB">
        <w:rPr>
          <w:vertAlign w:val="superscript"/>
          <w:lang w:val="en-US"/>
        </w:rPr>
        <w:t>th</w:t>
      </w:r>
      <w:r w:rsidRPr="008769AB">
        <w:rPr>
          <w:lang w:val="en-US"/>
        </w:rPr>
        <w:t xml:space="preserve"> century A.D. To understand the dis</w:t>
      </w:r>
      <w:r>
        <w:rPr>
          <w:lang w:val="en-US"/>
        </w:rPr>
        <w:softHyphen/>
      </w:r>
      <w:r w:rsidRPr="008769AB">
        <w:rPr>
          <w:lang w:val="en-US"/>
        </w:rPr>
        <w:t>appearance of this symbolic image, we have to turn to the new imperial perspective of the empire in late VI</w:t>
      </w:r>
      <w:r w:rsidRPr="008769AB">
        <w:rPr>
          <w:vertAlign w:val="superscript"/>
          <w:lang w:val="en-US"/>
        </w:rPr>
        <w:t>th</w:t>
      </w:r>
      <w:r w:rsidRPr="008769AB">
        <w:rPr>
          <w:lang w:val="en-US"/>
        </w:rPr>
        <w:t xml:space="preserve"> century A.D. With Justin II (565-574) imperial ceremonies were transformed, which is a powerful visual sign for the transformation of this period. Indeed, as A. Cameron states the inaugu</w:t>
      </w:r>
      <w:r>
        <w:rPr>
          <w:lang w:val="en-US"/>
        </w:rPr>
        <w:softHyphen/>
      </w:r>
      <w:r w:rsidRPr="008769AB">
        <w:rPr>
          <w:lang w:val="en-US"/>
        </w:rPr>
        <w:t>ration of Justin II marks the exact turning-point. The secular and some pagan elements are still there, but each of these is given a religious interpretation in the panegyric</w:t>
      </w:r>
      <w:r w:rsidRPr="008769AB">
        <w:rPr>
          <w:vertAlign w:val="superscript"/>
          <w:lang w:val="en-US"/>
        </w:rPr>
        <w:footnoteReference w:id="31"/>
      </w:r>
      <w:r w:rsidRPr="008769AB">
        <w:rPr>
          <w:lang w:val="en-US"/>
        </w:rPr>
        <w:t>. As a result of this trans</w:t>
      </w:r>
      <w:r>
        <w:rPr>
          <w:lang w:val="en-US"/>
        </w:rPr>
        <w:softHyphen/>
      </w:r>
      <w:r w:rsidRPr="008769AB">
        <w:rPr>
          <w:lang w:val="en-US"/>
        </w:rPr>
        <w:t xml:space="preserve">formation, both symbolic and figurative images of Christ deriving from Old Testament prophetic types and pagan figures were forbidden at the council of Trullo (692). The council decreed:    </w:t>
      </w:r>
    </w:p>
    <w:p w:rsidR="008769AB" w:rsidRPr="008769AB" w:rsidRDefault="008769AB" w:rsidP="008769AB">
      <w:pPr>
        <w:ind w:left="567" w:right="567" w:firstLine="0"/>
        <w:rPr>
          <w:i/>
          <w:iCs/>
          <w:lang w:val="en-US"/>
        </w:rPr>
      </w:pPr>
      <w:r w:rsidRPr="008769AB">
        <w:rPr>
          <w:i/>
          <w:iCs/>
          <w:lang w:val="en-US"/>
        </w:rPr>
        <w:t>“In some pictures of the venerable icons, a lamb is painted to which the Precursor points his finger, which is received as a type of grace, indicating beforehand through the Law, our true Lamb, Christ our God. Embracing therefore the ancient types and shadows as sym</w:t>
      </w:r>
      <w:r>
        <w:rPr>
          <w:i/>
          <w:iCs/>
          <w:lang w:val="en-US"/>
        </w:rPr>
        <w:softHyphen/>
      </w:r>
      <w:r w:rsidRPr="008769AB">
        <w:rPr>
          <w:i/>
          <w:iCs/>
          <w:lang w:val="en-US"/>
        </w:rPr>
        <w:t>bols of the truth, and patterns given to the Church, we prefer "grace and truth," receiving it as the fulfilment of the Law. In order therefore that "that which is perfect" may be deline</w:t>
      </w:r>
      <w:r>
        <w:rPr>
          <w:i/>
          <w:iCs/>
          <w:lang w:val="en-US"/>
        </w:rPr>
        <w:softHyphen/>
      </w:r>
      <w:r w:rsidRPr="008769AB">
        <w:rPr>
          <w:i/>
          <w:iCs/>
          <w:lang w:val="en-US"/>
        </w:rPr>
        <w:t>ated to the eyes of all, at least in coloured expression, we decree that the figure in human form of the Lamb who taketh away the sin of the world, Christ our God, be henceforth ex</w:t>
      </w:r>
      <w:r>
        <w:rPr>
          <w:i/>
          <w:iCs/>
          <w:lang w:val="en-US"/>
        </w:rPr>
        <w:softHyphen/>
      </w:r>
      <w:r w:rsidRPr="008769AB">
        <w:rPr>
          <w:i/>
          <w:iCs/>
          <w:lang w:val="en-US"/>
        </w:rPr>
        <w:t>hibited in images, instead of the ancient lamb, so that all may understand by means of it the depths of the humiliation of the Word of God, and that we may recall to our memory his conversation in the flesh, his passion and salutary death, and his redemption which was wrought for the whole world.”</w:t>
      </w:r>
      <w:r w:rsidRPr="008769AB">
        <w:rPr>
          <w:vertAlign w:val="superscript"/>
          <w:lang w:val="en-US"/>
        </w:rPr>
        <w:footnoteReference w:id="32"/>
      </w:r>
      <w:r w:rsidRPr="008769AB">
        <w:rPr>
          <w:i/>
          <w:iCs/>
          <w:lang w:val="en-US"/>
        </w:rPr>
        <w:t>.</w:t>
      </w:r>
    </w:p>
    <w:p w:rsidR="008769AB" w:rsidRPr="008769AB" w:rsidRDefault="008769AB" w:rsidP="008769AB">
      <w:pPr>
        <w:rPr>
          <w:lang w:val="en-US"/>
        </w:rPr>
      </w:pPr>
      <w:r w:rsidRPr="008769AB">
        <w:rPr>
          <w:lang w:val="en-US"/>
        </w:rPr>
        <w:t>As it is known, alpha and omega, which are the first and last letters in the Greek alphabet, are used before Christianity as well. Both in Jewish literature and Mithraic cult some remarkable evi</w:t>
      </w:r>
      <w:r>
        <w:rPr>
          <w:lang w:val="en-US"/>
        </w:rPr>
        <w:softHyphen/>
      </w:r>
      <w:r w:rsidRPr="008769AB">
        <w:rPr>
          <w:lang w:val="en-US"/>
        </w:rPr>
        <w:t>dence about the use of these letters can be traced in visual and written remains</w:t>
      </w:r>
      <w:r w:rsidRPr="008769AB">
        <w:rPr>
          <w:vertAlign w:val="superscript"/>
          <w:lang w:val="en-US"/>
        </w:rPr>
        <w:footnoteReference w:id="33"/>
      </w:r>
      <w:r w:rsidRPr="008769AB">
        <w:rPr>
          <w:lang w:val="en-US"/>
        </w:rPr>
        <w:t xml:space="preserve">.      </w:t>
      </w:r>
    </w:p>
    <w:p w:rsidR="008769AB" w:rsidRDefault="008769AB" w:rsidP="008769AB">
      <w:pPr>
        <w:pStyle w:val="AraBalk"/>
      </w:pPr>
    </w:p>
    <w:p w:rsidR="008769AB" w:rsidRPr="008769AB" w:rsidRDefault="008769AB" w:rsidP="008769AB">
      <w:pPr>
        <w:pStyle w:val="AraBalk"/>
      </w:pPr>
      <w:r w:rsidRPr="008769AB">
        <w:lastRenderedPageBreak/>
        <w:t>A Dating Suggestion for the Cross Relief</w:t>
      </w:r>
    </w:p>
    <w:p w:rsidR="008769AB" w:rsidRPr="008769AB" w:rsidRDefault="008769AB" w:rsidP="008769AB">
      <w:pPr>
        <w:ind w:firstLine="0"/>
        <w:rPr>
          <w:lang w:val="en-US"/>
        </w:rPr>
      </w:pPr>
      <w:r w:rsidRPr="008769AB">
        <w:rPr>
          <w:lang w:val="en-US"/>
        </w:rPr>
        <w:t>Eventually, how should we suggest a date for the depiction of the Caunus relief within the broader cultural contexts of the Early Byzantine art? First of all I would like to draw a historical framework about Caunus. In the ecclesiastical documents, the city is called Hagia, which is one of the suffragan of Myra in Lycia</w:t>
      </w:r>
      <w:r w:rsidRPr="008769AB">
        <w:rPr>
          <w:vertAlign w:val="superscript"/>
          <w:lang w:val="en-US"/>
        </w:rPr>
        <w:footnoteReference w:id="34"/>
      </w:r>
      <w:r w:rsidRPr="008769AB">
        <w:rPr>
          <w:lang w:val="en-US"/>
        </w:rPr>
        <w:t>. Furthermore, the episcopal lists include the names of four bishops from Caunus that attended to different councils, namely Basileus (359 Seleukiea in Isauria), Antipatros (451 Khalkedon), Nikolaos (457 the synod of Leon I) and  Stephanos (787 Nicea)</w:t>
      </w:r>
      <w:r w:rsidRPr="008769AB">
        <w:rPr>
          <w:vertAlign w:val="superscript"/>
          <w:lang w:val="en-US"/>
        </w:rPr>
        <w:footnoteReference w:id="35"/>
      </w:r>
      <w:r w:rsidRPr="008769AB">
        <w:rPr>
          <w:lang w:val="en-US"/>
        </w:rPr>
        <w:t>. Although Caunus was placed in Caria by Stephanos of Byzantium, as I have mentioned before, ecclesiastical docu</w:t>
      </w:r>
      <w:r>
        <w:rPr>
          <w:lang w:val="en-US"/>
        </w:rPr>
        <w:softHyphen/>
      </w:r>
      <w:r w:rsidRPr="008769AB">
        <w:rPr>
          <w:lang w:val="en-US"/>
        </w:rPr>
        <w:t>ments state its dependence on Myra in Lycia</w:t>
      </w:r>
      <w:r w:rsidRPr="008769AB">
        <w:rPr>
          <w:vertAlign w:val="superscript"/>
          <w:lang w:val="en-US"/>
        </w:rPr>
        <w:footnoteReference w:id="36"/>
      </w:r>
      <w:r w:rsidRPr="008769AB">
        <w:rPr>
          <w:lang w:val="en-US"/>
        </w:rPr>
        <w:t>. A. Zäh also indicates that the city might have been attached to the eparchy of Lycia by the II</w:t>
      </w:r>
      <w:r w:rsidRPr="008769AB">
        <w:rPr>
          <w:vertAlign w:val="superscript"/>
          <w:lang w:val="en-US"/>
        </w:rPr>
        <w:t>nd</w:t>
      </w:r>
      <w:r w:rsidRPr="008769AB">
        <w:rPr>
          <w:lang w:val="en-US"/>
        </w:rPr>
        <w:t xml:space="preserve"> century A.D.</w:t>
      </w:r>
      <w:r w:rsidRPr="008769AB">
        <w:rPr>
          <w:vertAlign w:val="superscript"/>
          <w:lang w:val="en-US"/>
        </w:rPr>
        <w:footnoteReference w:id="37"/>
      </w:r>
      <w:r w:rsidRPr="008769AB">
        <w:rPr>
          <w:lang w:val="en-US"/>
        </w:rPr>
        <w:t>. After Arab invasion in the VII</w:t>
      </w:r>
      <w:r w:rsidRPr="008769AB">
        <w:rPr>
          <w:vertAlign w:val="superscript"/>
          <w:lang w:val="en-US"/>
        </w:rPr>
        <w:t>th</w:t>
      </w:r>
      <w:r w:rsidRPr="008769AB">
        <w:rPr>
          <w:lang w:val="en-US"/>
        </w:rPr>
        <w:t xml:space="preserve"> and VIII</w:t>
      </w:r>
      <w:r w:rsidRPr="008769AB">
        <w:rPr>
          <w:vertAlign w:val="superscript"/>
          <w:lang w:val="en-US"/>
        </w:rPr>
        <w:t>th</w:t>
      </w:r>
      <w:r w:rsidRPr="008769AB">
        <w:rPr>
          <w:lang w:val="en-US"/>
        </w:rPr>
        <w:t xml:space="preserve"> centuries, it seems that Caunus turned into a small fortress. Caunus fortress, as a kastron, must have been built in this period as well. Clearly stability was not regained until the 10</w:t>
      </w:r>
      <w:r w:rsidRPr="008769AB">
        <w:rPr>
          <w:vertAlign w:val="superscript"/>
          <w:lang w:val="en-US"/>
        </w:rPr>
        <w:t xml:space="preserve">th </w:t>
      </w:r>
      <w:r w:rsidRPr="008769AB">
        <w:rPr>
          <w:lang w:val="en-US"/>
        </w:rPr>
        <w:t xml:space="preserve">century in the city. With the administrative reform of Byzantine Empire and the consequent transformation of the Eparchies into larger administrative units of the themes, Caunus became part of the naval theme Kibyraiôton. In </w:t>
      </w:r>
      <w:r w:rsidRPr="008769AB">
        <w:rPr>
          <w:i/>
          <w:iCs/>
          <w:lang w:val="en-US"/>
        </w:rPr>
        <w:t>de Thematibus</w:t>
      </w:r>
      <w:r w:rsidRPr="008769AB">
        <w:rPr>
          <w:lang w:val="en-US"/>
        </w:rPr>
        <w:t xml:space="preserve"> of the Emperor Constantine Porphyrogenitus (913-959), the city was called Hagiapolis</w:t>
      </w:r>
      <w:r w:rsidRPr="008769AB">
        <w:rPr>
          <w:vertAlign w:val="superscript"/>
          <w:lang w:val="en-US"/>
        </w:rPr>
        <w:footnoteReference w:id="38"/>
      </w:r>
      <w:r w:rsidRPr="008769AB">
        <w:rPr>
          <w:lang w:val="en-US"/>
        </w:rPr>
        <w:t>. During the 12</w:t>
      </w:r>
      <w:r w:rsidRPr="008769AB">
        <w:rPr>
          <w:vertAlign w:val="superscript"/>
          <w:lang w:val="en-US"/>
        </w:rPr>
        <w:t xml:space="preserve">th </w:t>
      </w:r>
      <w:r w:rsidRPr="008769AB">
        <w:rPr>
          <w:lang w:val="en-US"/>
        </w:rPr>
        <w:t>and the 13</w:t>
      </w:r>
      <w:r w:rsidRPr="008769AB">
        <w:rPr>
          <w:vertAlign w:val="superscript"/>
          <w:lang w:val="en-US"/>
        </w:rPr>
        <w:t xml:space="preserve">th </w:t>
      </w:r>
      <w:r w:rsidRPr="008769AB">
        <w:rPr>
          <w:lang w:val="en-US"/>
        </w:rPr>
        <w:t>centuries Caunus was one of the suffragan of Myra in Lycia</w:t>
      </w:r>
      <w:r w:rsidRPr="008769AB">
        <w:rPr>
          <w:vertAlign w:val="superscript"/>
          <w:lang w:val="en-US"/>
        </w:rPr>
        <w:footnoteReference w:id="39"/>
      </w:r>
      <w:r w:rsidRPr="008769AB">
        <w:rPr>
          <w:lang w:val="en-US"/>
        </w:rPr>
        <w:t>. By the end of the 13</w:t>
      </w:r>
      <w:r w:rsidRPr="008769AB">
        <w:rPr>
          <w:vertAlign w:val="superscript"/>
          <w:lang w:val="en-US"/>
        </w:rPr>
        <w:t xml:space="preserve">th </w:t>
      </w:r>
      <w:r w:rsidRPr="008769AB">
        <w:rPr>
          <w:lang w:val="en-US"/>
        </w:rPr>
        <w:t>century the stability came to an end when Turks dominated in Car</w:t>
      </w:r>
      <w:r>
        <w:rPr>
          <w:lang w:val="en-US"/>
        </w:rPr>
        <w:softHyphen/>
      </w:r>
      <w:r w:rsidRPr="008769AB">
        <w:rPr>
          <w:lang w:val="en-US"/>
        </w:rPr>
        <w:t xml:space="preserve">ia.   </w:t>
      </w:r>
    </w:p>
    <w:p w:rsidR="008769AB" w:rsidRPr="008769AB" w:rsidRDefault="008769AB" w:rsidP="008769AB">
      <w:pPr>
        <w:rPr>
          <w:lang w:val="en-US"/>
        </w:rPr>
      </w:pPr>
      <w:r w:rsidRPr="008769AB">
        <w:rPr>
          <w:lang w:val="en-US"/>
        </w:rPr>
        <w:tab/>
        <w:t>The domed church on the palaestra terrace has three naves and a three-faceted apse which is situated between the bath and the theatre. Given the archaeological evidence, the main nave is domed, and the northern and the southern naves are covered with barrel vaults although its roof is damaged. There are two rectangular chapels with apses at the north-eastern and the south-eastern corners which apparently postdate the church</w:t>
      </w:r>
      <w:r w:rsidRPr="008769AB">
        <w:rPr>
          <w:vertAlign w:val="superscript"/>
          <w:lang w:val="en-US"/>
        </w:rPr>
        <w:footnoteReference w:id="40"/>
      </w:r>
      <w:r w:rsidRPr="008769AB">
        <w:rPr>
          <w:lang w:val="en-US"/>
        </w:rPr>
        <w:t>. Also the narthex at the west is the same. The mate</w:t>
      </w:r>
      <w:r>
        <w:rPr>
          <w:lang w:val="en-US"/>
        </w:rPr>
        <w:softHyphen/>
      </w:r>
      <w:r w:rsidRPr="008769AB">
        <w:rPr>
          <w:lang w:val="en-US"/>
        </w:rPr>
        <w:t>rial of the building is finely cut stone and limited spolia marble, and the latter might have been brought from the other buildings. Zäh, who has published an extensive book about the church, has dated the building to between ca. 540 and the middle of the VII</w:t>
      </w:r>
      <w:r w:rsidRPr="008769AB">
        <w:rPr>
          <w:vertAlign w:val="superscript"/>
          <w:lang w:val="en-US"/>
        </w:rPr>
        <w:t>th</w:t>
      </w:r>
      <w:r w:rsidRPr="008769AB">
        <w:rPr>
          <w:lang w:val="en-US"/>
        </w:rPr>
        <w:t xml:space="preserve"> century A.D. through examining the excavation findings</w:t>
      </w:r>
      <w:r w:rsidRPr="008769AB">
        <w:rPr>
          <w:vertAlign w:val="superscript"/>
          <w:lang w:val="en-US"/>
        </w:rPr>
        <w:footnoteReference w:id="41"/>
      </w:r>
      <w:r w:rsidRPr="008769AB">
        <w:rPr>
          <w:lang w:val="en-US"/>
        </w:rPr>
        <w:t>. Gençler Güray has dated the glass findings discovered in the church exca</w:t>
      </w:r>
      <w:r>
        <w:rPr>
          <w:lang w:val="en-US"/>
        </w:rPr>
        <w:softHyphen/>
      </w:r>
      <w:r w:rsidRPr="008769AB">
        <w:rPr>
          <w:lang w:val="en-US"/>
        </w:rPr>
        <w:t>vation to between the V</w:t>
      </w:r>
      <w:r w:rsidRPr="008769AB">
        <w:rPr>
          <w:vertAlign w:val="superscript"/>
          <w:lang w:val="en-US"/>
        </w:rPr>
        <w:t>th</w:t>
      </w:r>
      <w:r w:rsidRPr="008769AB">
        <w:rPr>
          <w:lang w:val="en-US"/>
        </w:rPr>
        <w:t xml:space="preserve"> and the VII</w:t>
      </w:r>
      <w:r w:rsidRPr="008769AB">
        <w:rPr>
          <w:vertAlign w:val="superscript"/>
          <w:lang w:val="en-US"/>
        </w:rPr>
        <w:t>th</w:t>
      </w:r>
      <w:r w:rsidRPr="008769AB">
        <w:rPr>
          <w:lang w:val="en-US"/>
        </w:rPr>
        <w:t xml:space="preserve"> centuries in terms of both their forms and production tech</w:t>
      </w:r>
      <w:r>
        <w:rPr>
          <w:lang w:val="en-US"/>
        </w:rPr>
        <w:softHyphen/>
      </w:r>
      <w:r w:rsidRPr="008769AB">
        <w:rPr>
          <w:lang w:val="en-US"/>
        </w:rPr>
        <w:t>niques</w:t>
      </w:r>
      <w:r w:rsidRPr="008769AB">
        <w:rPr>
          <w:vertAlign w:val="superscript"/>
          <w:lang w:val="en-US"/>
        </w:rPr>
        <w:footnoteReference w:id="42"/>
      </w:r>
      <w:r w:rsidRPr="008769AB">
        <w:rPr>
          <w:lang w:val="en-US"/>
        </w:rPr>
        <w:t xml:space="preserve">. A </w:t>
      </w:r>
      <w:r w:rsidRPr="008769AB">
        <w:rPr>
          <w:i/>
          <w:iCs/>
          <w:lang w:val="en-US"/>
        </w:rPr>
        <w:t>miliaresion</w:t>
      </w:r>
      <w:r w:rsidRPr="008769AB">
        <w:rPr>
          <w:lang w:val="en-US"/>
        </w:rPr>
        <w:t xml:space="preserve"> from Constantine VI (780-797) period is founded in the uppermost strati</w:t>
      </w:r>
      <w:r>
        <w:rPr>
          <w:lang w:val="en-US"/>
        </w:rPr>
        <w:softHyphen/>
      </w:r>
      <w:r w:rsidRPr="008769AB">
        <w:rPr>
          <w:lang w:val="en-US"/>
        </w:rPr>
        <w:t>graphic layer</w:t>
      </w:r>
      <w:r w:rsidRPr="008769AB">
        <w:rPr>
          <w:vertAlign w:val="superscript"/>
          <w:lang w:val="en-US"/>
        </w:rPr>
        <w:footnoteReference w:id="43"/>
      </w:r>
      <w:r w:rsidRPr="008769AB">
        <w:rPr>
          <w:lang w:val="en-US"/>
        </w:rPr>
        <w:t>. Although the coin is the latest finding from this area, it is identified without contex</w:t>
      </w:r>
      <w:r>
        <w:rPr>
          <w:lang w:val="en-US"/>
        </w:rPr>
        <w:softHyphen/>
      </w:r>
      <w:r w:rsidRPr="008769AB">
        <w:rPr>
          <w:lang w:val="en-US"/>
        </w:rPr>
        <w:t>tualized material by B. Schmaltz, who has conducted the palaestra terrace excavation</w:t>
      </w:r>
      <w:r w:rsidRPr="008769AB">
        <w:rPr>
          <w:vertAlign w:val="superscript"/>
          <w:lang w:val="en-US"/>
        </w:rPr>
        <w:footnoteReference w:id="44"/>
      </w:r>
      <w:r w:rsidRPr="008769AB">
        <w:rPr>
          <w:lang w:val="en-US"/>
        </w:rPr>
        <w:t xml:space="preserve">.     </w:t>
      </w:r>
    </w:p>
    <w:p w:rsidR="008769AB" w:rsidRPr="008769AB" w:rsidRDefault="008769AB" w:rsidP="008769AB">
      <w:pPr>
        <w:rPr>
          <w:lang w:val="en-US"/>
        </w:rPr>
      </w:pPr>
      <w:r w:rsidRPr="008769AB">
        <w:rPr>
          <w:lang w:val="en-US"/>
        </w:rPr>
        <w:lastRenderedPageBreak/>
        <w:tab/>
        <w:t>Indeed our analysis has emphasized the stylistic details, and the iconographic meaning of the Caunus relief and the historical framework of the city tell parallel stories. As I have mentioned be</w:t>
      </w:r>
      <w:r>
        <w:rPr>
          <w:lang w:val="en-US"/>
        </w:rPr>
        <w:softHyphen/>
      </w:r>
      <w:r w:rsidRPr="008769AB">
        <w:rPr>
          <w:lang w:val="en-US"/>
        </w:rPr>
        <w:t>fore, alpha and omega in Byzantine material culture are used till the end of the VII</w:t>
      </w:r>
      <w:r w:rsidRPr="008769AB">
        <w:rPr>
          <w:vertAlign w:val="superscript"/>
          <w:lang w:val="en-US"/>
        </w:rPr>
        <w:t>th</w:t>
      </w:r>
      <w:r w:rsidRPr="008769AB">
        <w:rPr>
          <w:lang w:val="en-US"/>
        </w:rPr>
        <w:t xml:space="preserve"> century A.D., which is the solid evidence to securely date it. Furthermore, the relief’s stylistic features have some connections with the examples dated to the VI</w:t>
      </w:r>
      <w:r w:rsidRPr="008769AB">
        <w:rPr>
          <w:vertAlign w:val="superscript"/>
          <w:lang w:val="en-US"/>
        </w:rPr>
        <w:t>th</w:t>
      </w:r>
      <w:r w:rsidRPr="008769AB">
        <w:rPr>
          <w:lang w:val="en-US"/>
        </w:rPr>
        <w:t xml:space="preserve"> century A.D. Some remarkable fragments of the ar</w:t>
      </w:r>
      <w:r>
        <w:rPr>
          <w:lang w:val="en-US"/>
        </w:rPr>
        <w:softHyphen/>
      </w:r>
      <w:r w:rsidRPr="008769AB">
        <w:rPr>
          <w:lang w:val="en-US"/>
        </w:rPr>
        <w:t>chitectural sculpture at Batı Asarcık settlement in Lycia, found in and around of the reliquary chap</w:t>
      </w:r>
      <w:r>
        <w:rPr>
          <w:lang w:val="en-US"/>
        </w:rPr>
        <w:softHyphen/>
      </w:r>
      <w:r w:rsidRPr="008769AB">
        <w:rPr>
          <w:lang w:val="en-US"/>
        </w:rPr>
        <w:t>el, are similar to the Caunus relief in terms of style and production techniques</w:t>
      </w:r>
      <w:r w:rsidRPr="008769AB">
        <w:rPr>
          <w:vertAlign w:val="superscript"/>
          <w:lang w:val="en-US"/>
        </w:rPr>
        <w:footnoteReference w:id="45"/>
      </w:r>
      <w:r w:rsidRPr="008769AB">
        <w:rPr>
          <w:lang w:val="en-US"/>
        </w:rPr>
        <w:t>. These notable sty</w:t>
      </w:r>
      <w:r>
        <w:rPr>
          <w:lang w:val="en-US"/>
        </w:rPr>
        <w:softHyphen/>
      </w:r>
      <w:r w:rsidRPr="008769AB">
        <w:rPr>
          <w:lang w:val="en-US"/>
        </w:rPr>
        <w:t>listic similarities and using of the letters alpha and omega encourage us to think that the Caunus re</w:t>
      </w:r>
      <w:r>
        <w:rPr>
          <w:lang w:val="en-US"/>
        </w:rPr>
        <w:softHyphen/>
      </w:r>
      <w:r w:rsidRPr="008769AB">
        <w:rPr>
          <w:lang w:val="en-US"/>
        </w:rPr>
        <w:t>lief must be dated to the VI</w:t>
      </w:r>
      <w:r w:rsidRPr="008769AB">
        <w:rPr>
          <w:vertAlign w:val="superscript"/>
          <w:lang w:val="en-US"/>
        </w:rPr>
        <w:t>th</w:t>
      </w:r>
      <w:r w:rsidRPr="008769AB">
        <w:rPr>
          <w:lang w:val="en-US"/>
        </w:rPr>
        <w:t xml:space="preserve"> century A.D.   </w:t>
      </w:r>
    </w:p>
    <w:p w:rsidR="008769AB" w:rsidRPr="008769AB" w:rsidRDefault="008769AB" w:rsidP="008769AB">
      <w:pPr>
        <w:pStyle w:val="AraBalk"/>
      </w:pPr>
      <w:r w:rsidRPr="008769AB">
        <w:t>Conclusion</w:t>
      </w:r>
    </w:p>
    <w:p w:rsidR="008769AB" w:rsidRPr="008769AB" w:rsidRDefault="008769AB" w:rsidP="008769AB">
      <w:pPr>
        <w:ind w:firstLine="0"/>
        <w:rPr>
          <w:lang w:val="en-US"/>
        </w:rPr>
      </w:pPr>
      <w:r w:rsidRPr="008769AB">
        <w:rPr>
          <w:lang w:val="en-US"/>
        </w:rPr>
        <w:t>The block is diamond-shaped, including the cross relief, which seems to have belonged to the thea</w:t>
      </w:r>
      <w:r>
        <w:rPr>
          <w:lang w:val="en-US"/>
        </w:rPr>
        <w:softHyphen/>
      </w:r>
      <w:r w:rsidRPr="008769AB">
        <w:rPr>
          <w:lang w:val="en-US"/>
        </w:rPr>
        <w:t>tre. I have argued that the marble block was reused; and, indeed, it is most likely to have been carried from the theatre in order to be used in the first phase of the domed church as well. Because of its di</w:t>
      </w:r>
      <w:r>
        <w:rPr>
          <w:lang w:val="en-US"/>
        </w:rPr>
        <w:softHyphen/>
      </w:r>
      <w:r w:rsidRPr="008769AB">
        <w:rPr>
          <w:lang w:val="en-US"/>
        </w:rPr>
        <w:t>amond-shape it must have been used between the two arches in the church. N. Güzererler Sağman suggests restitution for the building by drawing analogies with Byzantine domed churches in the VI</w:t>
      </w:r>
      <w:r w:rsidRPr="008769AB">
        <w:rPr>
          <w:vertAlign w:val="superscript"/>
          <w:lang w:val="en-US"/>
        </w:rPr>
        <w:t>th</w:t>
      </w:r>
      <w:r w:rsidRPr="008769AB">
        <w:rPr>
          <w:lang w:val="en-US"/>
        </w:rPr>
        <w:t xml:space="preserve"> century A.D. (Fig 7)</w:t>
      </w:r>
      <w:r w:rsidRPr="008769AB">
        <w:rPr>
          <w:vertAlign w:val="superscript"/>
          <w:lang w:val="en-US"/>
        </w:rPr>
        <w:footnoteReference w:id="46"/>
      </w:r>
      <w:r w:rsidRPr="008769AB">
        <w:rPr>
          <w:lang w:val="en-US"/>
        </w:rPr>
        <w:t xml:space="preserve">. The restitution offers that the apse is composed with a doubled window. On the basis of this design, we may hypothesize that the cross carved block might have been located between the apse’s doubled window.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1"/>
      </w:tblGrid>
      <w:tr w:rsidR="008769AB" w:rsidTr="007173EB">
        <w:tc>
          <w:tcPr>
            <w:tcW w:w="8645" w:type="dxa"/>
          </w:tcPr>
          <w:p w:rsidR="008769AB" w:rsidRDefault="008769AB" w:rsidP="007173EB">
            <w:pPr>
              <w:ind w:firstLine="0"/>
              <w:rPr>
                <w:lang w:val="en-US"/>
              </w:rPr>
            </w:pPr>
            <w:r>
              <w:rPr>
                <w:noProof/>
                <w:lang w:eastAsia="tr-TR" w:bidi="he-IL"/>
              </w:rPr>
              <w:drawing>
                <wp:inline distT="0" distB="0" distL="0" distR="0" wp14:anchorId="0D9C45F1" wp14:editId="3F33DB3F">
                  <wp:extent cx="5437180" cy="3784348"/>
                  <wp:effectExtent l="0" t="0" r="0" b="6985"/>
                  <wp:docPr id="11" name="Resim 11" descr="C:\Users\unv\Google Drive\Cedrus 2018\99) Nilüfer PEKER\2-Görseller\thumbnail_fi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v\Google Drive\Cedrus 2018\99) Nilüfer PEKER\2-Görseller\thumbnail_fig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58853" cy="3799433"/>
                          </a:xfrm>
                          <a:prstGeom prst="rect">
                            <a:avLst/>
                          </a:prstGeom>
                          <a:noFill/>
                          <a:ln>
                            <a:noFill/>
                          </a:ln>
                        </pic:spPr>
                      </pic:pic>
                    </a:graphicData>
                  </a:graphic>
                </wp:inline>
              </w:drawing>
            </w:r>
          </w:p>
        </w:tc>
      </w:tr>
      <w:tr w:rsidR="008769AB" w:rsidTr="007173EB">
        <w:tc>
          <w:tcPr>
            <w:tcW w:w="8645" w:type="dxa"/>
          </w:tcPr>
          <w:p w:rsidR="008769AB" w:rsidRPr="007065A8" w:rsidRDefault="008769AB" w:rsidP="007173EB">
            <w:pPr>
              <w:ind w:firstLine="0"/>
              <w:jc w:val="center"/>
              <w:rPr>
                <w:sz w:val="20"/>
                <w:szCs w:val="16"/>
                <w:lang w:val="en-US"/>
              </w:rPr>
            </w:pPr>
            <w:r w:rsidRPr="007065A8">
              <w:rPr>
                <w:rFonts w:ascii="Minion Pro SmBd Disp" w:hAnsi="Minion Pro SmBd Disp"/>
                <w:sz w:val="20"/>
                <w:szCs w:val="16"/>
                <w:lang w:val="en-US"/>
              </w:rPr>
              <w:t xml:space="preserve">Fig. 7. </w:t>
            </w:r>
            <w:r w:rsidRPr="007065A8">
              <w:rPr>
                <w:i/>
                <w:iCs/>
                <w:sz w:val="20"/>
                <w:szCs w:val="16"/>
                <w:lang w:val="en-US"/>
              </w:rPr>
              <w:t>The Domed Church, section</w:t>
            </w:r>
            <w:r w:rsidRPr="007065A8">
              <w:rPr>
                <w:sz w:val="20"/>
                <w:szCs w:val="16"/>
                <w:lang w:val="en-US"/>
              </w:rPr>
              <w:t xml:space="preserve"> (after Güzererler-Sağman 2007).</w:t>
            </w:r>
            <w:r>
              <w:rPr>
                <w:sz w:val="20"/>
                <w:szCs w:val="16"/>
                <w:lang w:val="en-US"/>
              </w:rPr>
              <w:br/>
            </w:r>
          </w:p>
        </w:tc>
      </w:tr>
    </w:tbl>
    <w:p w:rsidR="008769AB" w:rsidRPr="008769AB" w:rsidRDefault="008769AB" w:rsidP="008769AB">
      <w:pPr>
        <w:rPr>
          <w:lang w:val="en-US"/>
        </w:rPr>
      </w:pPr>
      <w:r w:rsidRPr="008769AB">
        <w:rPr>
          <w:lang w:val="en-US"/>
        </w:rPr>
        <w:lastRenderedPageBreak/>
        <w:t>Furthermore, the relief is quite convenient in terms of not only shape but also meaning for the apse’s window. As N. Teteriatnikov emphasizes, in Byzantine church the apse was understood as a place of Paradise</w:t>
      </w:r>
      <w:r w:rsidRPr="008769AB">
        <w:rPr>
          <w:vertAlign w:val="superscript"/>
          <w:lang w:val="en-US"/>
        </w:rPr>
        <w:footnoteReference w:id="47"/>
      </w:r>
      <w:r w:rsidRPr="008769AB">
        <w:rPr>
          <w:lang w:val="en-US"/>
        </w:rPr>
        <w:t>. She also states that the cross depictions in the apse conch refer to the cross in Paradise</w:t>
      </w:r>
      <w:r w:rsidRPr="008769AB">
        <w:rPr>
          <w:vertAlign w:val="superscript"/>
          <w:lang w:val="en-US"/>
        </w:rPr>
        <w:footnoteReference w:id="48"/>
      </w:r>
      <w:r w:rsidRPr="008769AB">
        <w:rPr>
          <w:lang w:val="en-US"/>
        </w:rPr>
        <w:t>. As I have already mentioned above, the living cross derives from the tree of life in Para</w:t>
      </w:r>
      <w:r>
        <w:rPr>
          <w:lang w:val="en-US"/>
        </w:rPr>
        <w:softHyphen/>
      </w:r>
      <w:r w:rsidRPr="008769AB">
        <w:rPr>
          <w:lang w:val="en-US"/>
        </w:rPr>
        <w:t>dise. No doubt the composition of the Caunus relief including a living cross with an alpha and ome</w:t>
      </w:r>
      <w:r>
        <w:rPr>
          <w:lang w:val="en-US"/>
        </w:rPr>
        <w:softHyphen/>
      </w:r>
      <w:r w:rsidRPr="008769AB">
        <w:rPr>
          <w:lang w:val="en-US"/>
        </w:rPr>
        <w:t>ga combination is part of a pattern reflecting the eternal triumph over death and returning of hu</w:t>
      </w:r>
      <w:r>
        <w:rPr>
          <w:lang w:val="en-US"/>
        </w:rPr>
        <w:softHyphen/>
      </w:r>
      <w:r w:rsidRPr="008769AB">
        <w:rPr>
          <w:lang w:val="en-US"/>
        </w:rPr>
        <w:t>mankind to paradise. Furthermore, the cross depiction located between windows is also associated with light of life, which refers to Christ’s divine nature. The doctrine of the light of life is formulated from the John 8:12. Among the commentators, Ephrem the Syrian and Romanos the Melodist wrote extensive interpretations concerning the light of Christ</w:t>
      </w:r>
      <w:r w:rsidRPr="008769AB">
        <w:rPr>
          <w:vertAlign w:val="superscript"/>
          <w:lang w:val="en-US"/>
        </w:rPr>
        <w:footnoteReference w:id="49"/>
      </w:r>
      <w:r w:rsidRPr="008769AB">
        <w:rPr>
          <w:lang w:val="en-US"/>
        </w:rPr>
        <w:t>. When we interpret all of the above, although this location that I have offered for the cross carved block is quite likely, it is certainly al</w:t>
      </w:r>
      <w:r>
        <w:rPr>
          <w:lang w:val="en-US"/>
        </w:rPr>
        <w:softHyphen/>
      </w:r>
      <w:r w:rsidRPr="008769AB">
        <w:rPr>
          <w:lang w:val="en-US"/>
        </w:rPr>
        <w:t xml:space="preserve">ways open to contrastive approaches and new arguments as well. </w:t>
      </w:r>
    </w:p>
    <w:p w:rsidR="00CE4A93" w:rsidRPr="00AF5C56" w:rsidRDefault="008769AB" w:rsidP="008769AB">
      <w:pPr>
        <w:rPr>
          <w:lang w:val="en-US"/>
        </w:rPr>
      </w:pPr>
      <w:r w:rsidRPr="008769AB">
        <w:rPr>
          <w:lang w:val="en-US"/>
        </w:rPr>
        <w:tab/>
        <w:t>Ultimately, it seems that the iconography of the Caunus relief reflects an early Byzantine sym</w:t>
      </w:r>
      <w:r>
        <w:rPr>
          <w:lang w:val="en-US"/>
        </w:rPr>
        <w:softHyphen/>
      </w:r>
      <w:r w:rsidRPr="008769AB">
        <w:rPr>
          <w:lang w:val="en-US"/>
        </w:rPr>
        <w:t>bolism. Moreover, paradise exegesis and apocalyptic discourse of the VI</w:t>
      </w:r>
      <w:r w:rsidRPr="008769AB">
        <w:rPr>
          <w:vertAlign w:val="superscript"/>
          <w:lang w:val="en-US"/>
        </w:rPr>
        <w:t>th</w:t>
      </w:r>
      <w:r w:rsidRPr="008769AB">
        <w:rPr>
          <w:lang w:val="en-US"/>
        </w:rPr>
        <w:t xml:space="preserve"> century A.D. in Byzantine world finds their visual echo in the Caunus relief within their historical and religious context.</w:t>
      </w:r>
    </w:p>
    <w:p w:rsidR="00CE4A93" w:rsidRDefault="00CE4A93" w:rsidP="00CE4A93">
      <w:pPr>
        <w:rPr>
          <w:lang w:val="en-US"/>
        </w:rPr>
      </w:pPr>
    </w:p>
    <w:p w:rsidR="00101800" w:rsidRDefault="00101800" w:rsidP="00101800">
      <w:pPr>
        <w:rPr>
          <w:rFonts w:ascii="Minion Pro SmBd Disp" w:hAnsi="Minion Pro SmBd Disp"/>
        </w:rPr>
      </w:pPr>
      <w:r>
        <w:rPr>
          <w:rFonts w:ascii="Minion Pro SmBd Disp" w:hAnsi="Minion Pro SmBd Disp"/>
        </w:rPr>
        <w:br w:type="page"/>
      </w:r>
    </w:p>
    <w:p w:rsidR="00B44CB4" w:rsidRPr="00101800" w:rsidRDefault="003364DA" w:rsidP="003364DA">
      <w:pPr>
        <w:ind w:firstLine="0"/>
        <w:jc w:val="center"/>
        <w:rPr>
          <w:rFonts w:ascii="Minion Pro SmBd Disp" w:hAnsi="Minion Pro SmBd Disp"/>
          <w:b/>
          <w:bCs/>
          <w:sz w:val="24"/>
          <w:szCs w:val="22"/>
        </w:rPr>
      </w:pPr>
      <w:r w:rsidRPr="003364DA">
        <w:rPr>
          <w:rFonts w:ascii="Minion Pro SmBd Disp" w:hAnsi="Minion Pro SmBd Disp"/>
          <w:b/>
          <w:bCs/>
          <w:sz w:val="24"/>
          <w:szCs w:val="22"/>
        </w:rPr>
        <w:lastRenderedPageBreak/>
        <w:t>BI</w:t>
      </w:r>
      <w:r w:rsidR="00CE1870" w:rsidRPr="003364DA">
        <w:rPr>
          <w:rFonts w:ascii="Minion Pro SmBd Disp" w:hAnsi="Minion Pro SmBd Disp"/>
          <w:b/>
          <w:bCs/>
          <w:sz w:val="24"/>
          <w:szCs w:val="22"/>
        </w:rPr>
        <w:t>BL</w:t>
      </w:r>
      <w:r w:rsidRPr="003364DA">
        <w:rPr>
          <w:rFonts w:ascii="Minion Pro SmBd Disp" w:hAnsi="Minion Pro SmBd Disp"/>
          <w:b/>
          <w:bCs/>
          <w:sz w:val="24"/>
          <w:szCs w:val="22"/>
        </w:rPr>
        <w:t>IOGRAPHY</w:t>
      </w:r>
    </w:p>
    <w:p w:rsidR="00AF5C56" w:rsidRPr="00AF5C56" w:rsidRDefault="00AF5C56" w:rsidP="00AF5C56">
      <w:pPr>
        <w:spacing w:after="0" w:line="240" w:lineRule="auto"/>
        <w:ind w:left="2552" w:hanging="2552"/>
        <w:rPr>
          <w:sz w:val="22"/>
          <w:szCs w:val="22"/>
        </w:rPr>
      </w:pPr>
      <w:r w:rsidRPr="00AF5C56">
        <w:rPr>
          <w:bCs/>
          <w:sz w:val="22"/>
          <w:szCs w:val="22"/>
        </w:rPr>
        <w:t>Aydın 2011</w:t>
      </w:r>
      <w:r w:rsidRPr="00AF5C56">
        <w:rPr>
          <w:sz w:val="22"/>
          <w:szCs w:val="22"/>
        </w:rPr>
        <w:tab/>
        <w:t>A. Aydın, “</w:t>
      </w:r>
      <w:r w:rsidRPr="00AF5C56">
        <w:rPr>
          <w:sz w:val="22"/>
          <w:szCs w:val="22"/>
          <w:lang w:val="de-DE"/>
        </w:rPr>
        <w:t xml:space="preserve">Das Fussbodenmosaik des Annexbaus in der Kuppelkirche in </w:t>
      </w:r>
      <w:r w:rsidRPr="00AF5C56">
        <w:rPr>
          <w:sz w:val="22"/>
          <w:szCs w:val="22"/>
        </w:rPr>
        <w:t xml:space="preserve">Kaunos”. Ed. M. Şahin, </w:t>
      </w:r>
      <w:r w:rsidRPr="00AF5C56">
        <w:rPr>
          <w:i/>
          <w:iCs/>
          <w:sz w:val="22"/>
          <w:szCs w:val="22"/>
          <w:lang w:val="en-US"/>
        </w:rPr>
        <w:t>11</w:t>
      </w:r>
      <w:r w:rsidRPr="00AF5C56">
        <w:rPr>
          <w:i/>
          <w:iCs/>
          <w:sz w:val="22"/>
          <w:szCs w:val="22"/>
          <w:vertAlign w:val="superscript"/>
          <w:lang w:val="en-US"/>
        </w:rPr>
        <w:t>th</w:t>
      </w:r>
      <w:r w:rsidRPr="00AF5C56">
        <w:rPr>
          <w:i/>
          <w:iCs/>
          <w:sz w:val="22"/>
          <w:szCs w:val="22"/>
          <w:lang w:val="en-US"/>
        </w:rPr>
        <w:t>. International Colloquium on Ancient Mosa</w:t>
      </w:r>
      <w:r w:rsidR="00A8575E">
        <w:rPr>
          <w:i/>
          <w:iCs/>
          <w:sz w:val="22"/>
          <w:szCs w:val="22"/>
          <w:lang w:val="en-US"/>
        </w:rPr>
        <w:softHyphen/>
      </w:r>
      <w:r w:rsidRPr="00AF5C56">
        <w:rPr>
          <w:i/>
          <w:iCs/>
          <w:sz w:val="22"/>
          <w:szCs w:val="22"/>
          <w:lang w:val="en-US"/>
        </w:rPr>
        <w:t>ics</w:t>
      </w:r>
      <w:r w:rsidRPr="00AF5C56">
        <w:rPr>
          <w:iCs/>
          <w:sz w:val="22"/>
          <w:szCs w:val="22"/>
        </w:rPr>
        <w:t xml:space="preserve">. İstanbul </w:t>
      </w:r>
      <w:r w:rsidRPr="00AF5C56">
        <w:rPr>
          <w:sz w:val="22"/>
          <w:szCs w:val="22"/>
        </w:rPr>
        <w:t>(2011) 31-42.</w:t>
      </w:r>
    </w:p>
    <w:p w:rsidR="00AF5C56" w:rsidRPr="00AF5C56" w:rsidRDefault="00AF5C56" w:rsidP="00AF5C56">
      <w:pPr>
        <w:spacing w:after="0" w:line="240" w:lineRule="auto"/>
        <w:ind w:left="2552" w:hanging="2552"/>
        <w:rPr>
          <w:sz w:val="22"/>
          <w:szCs w:val="22"/>
        </w:rPr>
      </w:pPr>
      <w:r w:rsidRPr="00AF5C56">
        <w:rPr>
          <w:bCs/>
          <w:sz w:val="22"/>
          <w:szCs w:val="22"/>
          <w:lang w:val="en-US"/>
        </w:rPr>
        <w:t>Brock 1992</w:t>
      </w:r>
      <w:r w:rsidRPr="00AF5C56">
        <w:rPr>
          <w:sz w:val="22"/>
          <w:szCs w:val="22"/>
        </w:rPr>
        <w:tab/>
        <w:t xml:space="preserve">S. P. </w:t>
      </w:r>
      <w:r w:rsidRPr="00AF5C56">
        <w:rPr>
          <w:sz w:val="22"/>
          <w:szCs w:val="22"/>
          <w:lang w:val="en-US"/>
        </w:rPr>
        <w:t xml:space="preserve">Brock, </w:t>
      </w:r>
      <w:r w:rsidRPr="00AF5C56">
        <w:rPr>
          <w:i/>
          <w:iCs/>
          <w:sz w:val="22"/>
          <w:szCs w:val="22"/>
          <w:lang w:val="en-US"/>
        </w:rPr>
        <w:t>The Luminous Eye: The Spiritual World Vision of Saint Ephrem</w:t>
      </w:r>
      <w:r w:rsidRPr="00AF5C56">
        <w:rPr>
          <w:iCs/>
          <w:sz w:val="22"/>
          <w:szCs w:val="22"/>
        </w:rPr>
        <w:t xml:space="preserve">. </w:t>
      </w:r>
      <w:r w:rsidRPr="00AF5C56">
        <w:rPr>
          <w:sz w:val="22"/>
          <w:szCs w:val="22"/>
          <w:lang w:val="en-US"/>
        </w:rPr>
        <w:t>Michigan 1992.</w:t>
      </w:r>
    </w:p>
    <w:p w:rsidR="00AF5C56" w:rsidRPr="00AF5C56" w:rsidRDefault="00AF5C56" w:rsidP="00AF5C56">
      <w:pPr>
        <w:spacing w:after="0" w:line="240" w:lineRule="auto"/>
        <w:ind w:left="2552" w:hanging="2552"/>
        <w:rPr>
          <w:sz w:val="22"/>
          <w:szCs w:val="22"/>
        </w:rPr>
      </w:pPr>
      <w:r w:rsidRPr="00AF5C56">
        <w:rPr>
          <w:bCs/>
          <w:sz w:val="22"/>
          <w:szCs w:val="22"/>
          <w:lang w:val="es-ES_tradnl"/>
        </w:rPr>
        <w:t>Cameron</w:t>
      </w:r>
      <w:r w:rsidRPr="00AF5C56">
        <w:rPr>
          <w:bCs/>
          <w:sz w:val="22"/>
          <w:szCs w:val="22"/>
        </w:rPr>
        <w:t xml:space="preserve"> 1979</w:t>
      </w:r>
      <w:r w:rsidRPr="00AF5C56">
        <w:rPr>
          <w:sz w:val="22"/>
          <w:szCs w:val="22"/>
        </w:rPr>
        <w:tab/>
        <w:t xml:space="preserve">A. </w:t>
      </w:r>
      <w:r w:rsidRPr="00AF5C56">
        <w:rPr>
          <w:sz w:val="22"/>
          <w:szCs w:val="22"/>
          <w:lang w:val="es-ES_tradnl"/>
        </w:rPr>
        <w:t>Cameron</w:t>
      </w:r>
      <w:r w:rsidRPr="00AF5C56">
        <w:rPr>
          <w:sz w:val="22"/>
          <w:szCs w:val="22"/>
        </w:rPr>
        <w:t>, “</w:t>
      </w:r>
      <w:r w:rsidRPr="00AF5C56">
        <w:rPr>
          <w:sz w:val="22"/>
          <w:szCs w:val="22"/>
          <w:lang w:val="en-US"/>
        </w:rPr>
        <w:t xml:space="preserve">Images of Authority: Elites and Icons in late sixth-century </w:t>
      </w:r>
      <w:r w:rsidRPr="00AF5C56">
        <w:rPr>
          <w:sz w:val="22"/>
          <w:szCs w:val="22"/>
          <w:lang w:val="pt-PT"/>
        </w:rPr>
        <w:t>Byzantium</w:t>
      </w:r>
      <w:r w:rsidRPr="00AF5C56">
        <w:rPr>
          <w:sz w:val="22"/>
          <w:szCs w:val="22"/>
        </w:rPr>
        <w:t xml:space="preserve">”. </w:t>
      </w:r>
      <w:r w:rsidRPr="00AF5C56">
        <w:rPr>
          <w:i/>
          <w:iCs/>
          <w:sz w:val="22"/>
          <w:szCs w:val="22"/>
          <w:lang w:val="en-US"/>
        </w:rPr>
        <w:t>Past &amp; Present</w:t>
      </w:r>
      <w:r w:rsidRPr="00AF5C56">
        <w:rPr>
          <w:sz w:val="22"/>
          <w:szCs w:val="22"/>
        </w:rPr>
        <w:t xml:space="preserve"> 84 (1979) 3-35.</w:t>
      </w:r>
    </w:p>
    <w:p w:rsidR="00AF5C56" w:rsidRPr="00AF5C56" w:rsidRDefault="00AF5C56" w:rsidP="00AF5C56">
      <w:pPr>
        <w:spacing w:after="0" w:line="240" w:lineRule="auto"/>
        <w:ind w:left="2552" w:hanging="2552"/>
        <w:rPr>
          <w:sz w:val="22"/>
          <w:szCs w:val="22"/>
        </w:rPr>
      </w:pPr>
      <w:r w:rsidRPr="00AF5C56">
        <w:rPr>
          <w:bCs/>
          <w:sz w:val="22"/>
          <w:szCs w:val="22"/>
        </w:rPr>
        <w:t xml:space="preserve">Clem. </w:t>
      </w:r>
      <w:r w:rsidRPr="00AF5C56">
        <w:rPr>
          <w:bCs/>
          <w:sz w:val="22"/>
          <w:szCs w:val="22"/>
        </w:rPr>
        <w:tab/>
      </w:r>
      <w:r w:rsidRPr="00AF5C56">
        <w:rPr>
          <w:sz w:val="22"/>
          <w:szCs w:val="22"/>
          <w:lang w:val="en-US"/>
        </w:rPr>
        <w:t xml:space="preserve">Clement of Alexandria, </w:t>
      </w:r>
      <w:r w:rsidRPr="00AF5C56">
        <w:rPr>
          <w:iCs/>
          <w:sz w:val="22"/>
          <w:szCs w:val="22"/>
          <w:lang w:val="en-US"/>
        </w:rPr>
        <w:t>The Stromata, or Miscellanies: Ante-Nicene Fa</w:t>
      </w:r>
      <w:r w:rsidR="00A8575E">
        <w:rPr>
          <w:iCs/>
          <w:sz w:val="22"/>
          <w:szCs w:val="22"/>
          <w:lang w:val="en-US"/>
        </w:rPr>
        <w:softHyphen/>
      </w:r>
      <w:r w:rsidRPr="00AF5C56">
        <w:rPr>
          <w:iCs/>
          <w:sz w:val="22"/>
          <w:szCs w:val="22"/>
          <w:lang w:val="en-US"/>
        </w:rPr>
        <w:t>thers Translations of The Writings of the Fathers down to A.D. 325</w:t>
      </w:r>
      <w:r w:rsidRPr="00AF5C56">
        <w:rPr>
          <w:sz w:val="22"/>
          <w:szCs w:val="22"/>
          <w:lang w:val="en-US"/>
        </w:rPr>
        <w:t>. Eds. A. Roberts, J. Donaldson – A. C. Coxe. Edinburg 2001.</w:t>
      </w:r>
    </w:p>
    <w:p w:rsidR="00AF5C56" w:rsidRPr="00AF5C56" w:rsidRDefault="00AF5C56" w:rsidP="00AF5C56">
      <w:pPr>
        <w:spacing w:after="0" w:line="240" w:lineRule="auto"/>
        <w:ind w:left="2552" w:hanging="2552"/>
        <w:rPr>
          <w:sz w:val="22"/>
          <w:szCs w:val="22"/>
        </w:rPr>
      </w:pPr>
      <w:r w:rsidRPr="00AF5C56">
        <w:rPr>
          <w:bCs/>
          <w:sz w:val="22"/>
          <w:szCs w:val="22"/>
        </w:rPr>
        <w:t>Const.</w:t>
      </w:r>
      <w:r w:rsidRPr="00AF5C56">
        <w:rPr>
          <w:sz w:val="22"/>
          <w:szCs w:val="22"/>
        </w:rPr>
        <w:tab/>
      </w:r>
      <w:r w:rsidRPr="00AF5C56">
        <w:rPr>
          <w:sz w:val="22"/>
          <w:szCs w:val="22"/>
          <w:lang w:val="en-US"/>
        </w:rPr>
        <w:t>Constantine Porphyrogenitus</w:t>
      </w:r>
      <w:r w:rsidRPr="00AF5C56">
        <w:rPr>
          <w:sz w:val="22"/>
          <w:szCs w:val="22"/>
        </w:rPr>
        <w:t xml:space="preserve">, </w:t>
      </w:r>
      <w:r w:rsidRPr="00AF5C56">
        <w:rPr>
          <w:i/>
          <w:iCs/>
          <w:sz w:val="22"/>
          <w:szCs w:val="22"/>
          <w:lang w:val="nl-NL"/>
        </w:rPr>
        <w:t xml:space="preserve">De </w:t>
      </w:r>
      <w:r w:rsidRPr="00AF5C56">
        <w:rPr>
          <w:i/>
          <w:iCs/>
          <w:sz w:val="22"/>
          <w:szCs w:val="22"/>
          <w:lang w:val="en-US"/>
        </w:rPr>
        <w:t>Thematibus</w:t>
      </w:r>
      <w:r w:rsidRPr="00AF5C56">
        <w:rPr>
          <w:sz w:val="22"/>
          <w:szCs w:val="22"/>
          <w:lang w:val="en-US"/>
        </w:rPr>
        <w:t xml:space="preserve">. Ed. A. </w:t>
      </w:r>
      <w:r w:rsidRPr="00AF5C56">
        <w:rPr>
          <w:sz w:val="22"/>
          <w:szCs w:val="22"/>
          <w:lang w:val="nl-NL"/>
        </w:rPr>
        <w:t>Pertusi.</w:t>
      </w:r>
      <w:r w:rsidRPr="00AF5C56">
        <w:rPr>
          <w:sz w:val="22"/>
          <w:szCs w:val="22"/>
        </w:rPr>
        <w:t xml:space="preserve"> </w:t>
      </w:r>
      <w:r w:rsidRPr="00AF5C56">
        <w:rPr>
          <w:sz w:val="22"/>
          <w:szCs w:val="22"/>
          <w:lang w:val="en-US"/>
        </w:rPr>
        <w:t xml:space="preserve">Vatican </w:t>
      </w:r>
      <w:r w:rsidRPr="00AF5C56">
        <w:rPr>
          <w:sz w:val="22"/>
          <w:szCs w:val="22"/>
        </w:rPr>
        <w:t>1952.</w:t>
      </w:r>
    </w:p>
    <w:p w:rsidR="00AF5C56" w:rsidRPr="00AF5C56" w:rsidRDefault="00AF5C56" w:rsidP="00AF5C56">
      <w:pPr>
        <w:spacing w:after="0" w:line="240" w:lineRule="auto"/>
        <w:ind w:left="2552" w:hanging="2552"/>
        <w:rPr>
          <w:sz w:val="22"/>
          <w:szCs w:val="22"/>
        </w:rPr>
      </w:pPr>
      <w:r w:rsidRPr="00AF5C56">
        <w:rPr>
          <w:bCs/>
          <w:sz w:val="22"/>
          <w:szCs w:val="22"/>
          <w:lang w:val="en-US"/>
        </w:rPr>
        <w:t>Cotsonis</w:t>
      </w:r>
      <w:r w:rsidRPr="00AF5C56">
        <w:rPr>
          <w:bCs/>
          <w:sz w:val="22"/>
          <w:szCs w:val="22"/>
        </w:rPr>
        <w:t xml:space="preserve"> 1994</w:t>
      </w:r>
      <w:r w:rsidRPr="00AF5C56">
        <w:rPr>
          <w:sz w:val="22"/>
          <w:szCs w:val="22"/>
          <w:lang w:val="en-US"/>
        </w:rPr>
        <w:tab/>
        <w:t xml:space="preserve">J. A. Cotsonis, </w:t>
      </w:r>
      <w:r w:rsidRPr="00AF5C56">
        <w:rPr>
          <w:i/>
          <w:iCs/>
          <w:sz w:val="22"/>
          <w:szCs w:val="22"/>
          <w:lang w:val="en-US"/>
        </w:rPr>
        <w:t>Byzantine Figural Processional Crosses</w:t>
      </w:r>
      <w:r w:rsidRPr="00AF5C56">
        <w:rPr>
          <w:sz w:val="22"/>
          <w:szCs w:val="22"/>
          <w:lang w:val="en-US"/>
        </w:rPr>
        <w:t>. Washington 1994.</w:t>
      </w:r>
    </w:p>
    <w:p w:rsidR="00AF5C56" w:rsidRPr="00AF5C56" w:rsidRDefault="00AF5C56" w:rsidP="00AF5C56">
      <w:pPr>
        <w:spacing w:after="0" w:line="240" w:lineRule="auto"/>
        <w:ind w:left="2552" w:hanging="2552"/>
        <w:rPr>
          <w:sz w:val="22"/>
          <w:szCs w:val="22"/>
        </w:rPr>
      </w:pPr>
      <w:r w:rsidRPr="00AF5C56">
        <w:rPr>
          <w:bCs/>
          <w:sz w:val="22"/>
          <w:szCs w:val="22"/>
          <w:lang w:val="nl-NL"/>
        </w:rPr>
        <w:t>Cruikshank-</w:t>
      </w:r>
      <w:r w:rsidRPr="00AF5C56">
        <w:rPr>
          <w:bCs/>
          <w:sz w:val="22"/>
          <w:szCs w:val="22"/>
        </w:rPr>
        <w:t>Dodd 1987</w:t>
      </w:r>
      <w:r w:rsidRPr="00AF5C56">
        <w:rPr>
          <w:sz w:val="22"/>
          <w:szCs w:val="22"/>
          <w:lang w:val="nl-NL"/>
        </w:rPr>
        <w:tab/>
        <w:t xml:space="preserve">E. Cruikshank Dodd, </w:t>
      </w:r>
      <w:r w:rsidRPr="00AF5C56">
        <w:rPr>
          <w:sz w:val="22"/>
          <w:szCs w:val="22"/>
        </w:rPr>
        <w:t>“</w:t>
      </w:r>
      <w:r w:rsidRPr="00AF5C56">
        <w:rPr>
          <w:sz w:val="22"/>
          <w:szCs w:val="22"/>
          <w:lang w:val="en-US"/>
        </w:rPr>
        <w:t>Three Early Byzantine Silver Crosses</w:t>
      </w:r>
      <w:r w:rsidRPr="00AF5C56">
        <w:rPr>
          <w:sz w:val="22"/>
          <w:szCs w:val="22"/>
        </w:rPr>
        <w:t xml:space="preserve">”. </w:t>
      </w:r>
      <w:r w:rsidRPr="00AF5C56">
        <w:rPr>
          <w:i/>
          <w:iCs/>
          <w:sz w:val="22"/>
          <w:szCs w:val="22"/>
        </w:rPr>
        <w:t xml:space="preserve">Dumbarton Oaks Papers </w:t>
      </w:r>
      <w:r w:rsidRPr="00AF5C56">
        <w:rPr>
          <w:sz w:val="22"/>
          <w:szCs w:val="22"/>
        </w:rPr>
        <w:t xml:space="preserve">41 (1987) 165-179. </w:t>
      </w:r>
    </w:p>
    <w:p w:rsidR="00AF5C56" w:rsidRPr="00AF5C56" w:rsidRDefault="00AF5C56" w:rsidP="00AF5C56">
      <w:pPr>
        <w:spacing w:after="0" w:line="240" w:lineRule="auto"/>
        <w:ind w:left="2552" w:hanging="2552"/>
        <w:rPr>
          <w:sz w:val="22"/>
          <w:szCs w:val="22"/>
        </w:rPr>
      </w:pPr>
      <w:r w:rsidRPr="00AF5C56">
        <w:rPr>
          <w:bCs/>
          <w:sz w:val="22"/>
          <w:szCs w:val="22"/>
        </w:rPr>
        <w:t>Çizmeli-Öğün 2007</w:t>
      </w:r>
      <w:r w:rsidRPr="00AF5C56">
        <w:rPr>
          <w:sz w:val="22"/>
          <w:szCs w:val="22"/>
        </w:rPr>
        <w:tab/>
        <w:t>Z. Çizmeli Öğün, “Kaunos Kentinin Bizans Donemi Sikke Buluntuları (1965-2002)”</w:t>
      </w:r>
      <w:r w:rsidRPr="00AF5C56">
        <w:rPr>
          <w:sz w:val="22"/>
          <w:szCs w:val="22"/>
          <w:lang w:val="pt-PT"/>
        </w:rPr>
        <w:t>. Eds. C. I</w:t>
      </w:r>
      <w:r w:rsidRPr="00AF5C56">
        <w:rPr>
          <w:sz w:val="22"/>
          <w:szCs w:val="22"/>
        </w:rPr>
        <w:t xml:space="preserve">şık – Z. Çizmeli Öğün, </w:t>
      </w:r>
      <w:r w:rsidRPr="00AF5C56">
        <w:rPr>
          <w:i/>
          <w:iCs/>
          <w:sz w:val="22"/>
          <w:szCs w:val="22"/>
        </w:rPr>
        <w:t>Calbis, Baki Öğün’</w:t>
      </w:r>
      <w:r w:rsidRPr="00AF5C56">
        <w:rPr>
          <w:i/>
          <w:iCs/>
          <w:sz w:val="22"/>
          <w:szCs w:val="22"/>
          <w:lang w:val="pt-PT"/>
        </w:rPr>
        <w:t>e Arma</w:t>
      </w:r>
      <w:r w:rsidR="00A8575E">
        <w:rPr>
          <w:i/>
          <w:iCs/>
          <w:sz w:val="22"/>
          <w:szCs w:val="22"/>
          <w:lang w:val="pt-PT"/>
        </w:rPr>
        <w:softHyphen/>
      </w:r>
      <w:r w:rsidRPr="00AF5C56">
        <w:rPr>
          <w:i/>
          <w:iCs/>
          <w:sz w:val="22"/>
          <w:szCs w:val="22"/>
        </w:rPr>
        <w:t>ğan</w:t>
      </w:r>
      <w:r w:rsidRPr="00AF5C56">
        <w:rPr>
          <w:sz w:val="22"/>
          <w:szCs w:val="22"/>
        </w:rPr>
        <w:t xml:space="preserve">. Ankara (2007) 39-63. </w:t>
      </w:r>
    </w:p>
    <w:p w:rsidR="00AF5C56" w:rsidRPr="00AF5C56" w:rsidRDefault="00AF5C56" w:rsidP="00AF5C56">
      <w:pPr>
        <w:spacing w:after="0" w:line="240" w:lineRule="auto"/>
        <w:ind w:left="2552" w:hanging="2552"/>
        <w:rPr>
          <w:sz w:val="22"/>
          <w:szCs w:val="22"/>
        </w:rPr>
      </w:pPr>
      <w:r w:rsidRPr="00AF5C56">
        <w:rPr>
          <w:bCs/>
          <w:sz w:val="22"/>
          <w:szCs w:val="22"/>
          <w:lang w:val="fr-FR"/>
        </w:rPr>
        <w:t>Darrouzès 1981</w:t>
      </w:r>
      <w:r w:rsidRPr="00AF5C56">
        <w:rPr>
          <w:sz w:val="22"/>
          <w:szCs w:val="22"/>
        </w:rPr>
        <w:tab/>
        <w:t xml:space="preserve">J. </w:t>
      </w:r>
      <w:r w:rsidRPr="00AF5C56">
        <w:rPr>
          <w:sz w:val="22"/>
          <w:szCs w:val="22"/>
          <w:lang w:val="fr-FR"/>
        </w:rPr>
        <w:t>Darrouzè</w:t>
      </w:r>
      <w:r w:rsidRPr="00AF5C56">
        <w:rPr>
          <w:sz w:val="22"/>
          <w:szCs w:val="22"/>
        </w:rPr>
        <w:t xml:space="preserve">s, </w:t>
      </w:r>
      <w:r w:rsidRPr="00AF5C56">
        <w:rPr>
          <w:i/>
          <w:iCs/>
          <w:sz w:val="22"/>
          <w:szCs w:val="22"/>
        </w:rPr>
        <w:t xml:space="preserve">Notitiae episcopatuum Ecclesiae Constantinopolitanae / texte </w:t>
      </w:r>
      <w:r w:rsidRPr="00AF5C56">
        <w:rPr>
          <w:i/>
          <w:iCs/>
          <w:sz w:val="22"/>
          <w:szCs w:val="22"/>
          <w:lang w:val="fr-FR"/>
        </w:rPr>
        <w:t>critique, introduction et notes</w:t>
      </w:r>
      <w:r w:rsidRPr="00AF5C56">
        <w:rPr>
          <w:sz w:val="22"/>
          <w:szCs w:val="22"/>
          <w:lang w:val="pt-PT"/>
        </w:rPr>
        <w:t>. Paris 1981.</w:t>
      </w:r>
    </w:p>
    <w:p w:rsidR="00AF5C56" w:rsidRPr="00AF5C56" w:rsidRDefault="00AF5C56" w:rsidP="00AF5C56">
      <w:pPr>
        <w:spacing w:after="0" w:line="240" w:lineRule="auto"/>
        <w:ind w:left="2552" w:hanging="2552"/>
        <w:rPr>
          <w:sz w:val="22"/>
          <w:szCs w:val="22"/>
        </w:rPr>
      </w:pPr>
      <w:r w:rsidRPr="00AF5C56">
        <w:rPr>
          <w:bCs/>
          <w:sz w:val="22"/>
          <w:szCs w:val="22"/>
        </w:rPr>
        <w:t>Eph.</w:t>
      </w:r>
      <w:r w:rsidR="009449B6">
        <w:rPr>
          <w:bCs/>
          <w:sz w:val="22"/>
          <w:szCs w:val="22"/>
        </w:rPr>
        <w:t xml:space="preserve"> </w:t>
      </w:r>
      <w:r w:rsidRPr="00AF5C56">
        <w:rPr>
          <w:bCs/>
          <w:sz w:val="22"/>
          <w:szCs w:val="22"/>
        </w:rPr>
        <w:t>1</w:t>
      </w:r>
      <w:r w:rsidRPr="00AF5C56">
        <w:rPr>
          <w:bCs/>
          <w:sz w:val="22"/>
          <w:szCs w:val="22"/>
        </w:rPr>
        <w:tab/>
      </w:r>
      <w:r w:rsidRPr="00AF5C56">
        <w:rPr>
          <w:i/>
          <w:sz w:val="22"/>
          <w:szCs w:val="22"/>
          <w:lang w:val="en-US"/>
        </w:rPr>
        <w:t>Ephrem the Syrian</w:t>
      </w:r>
      <w:r w:rsidRPr="00AF5C56">
        <w:rPr>
          <w:i/>
          <w:sz w:val="22"/>
          <w:szCs w:val="22"/>
        </w:rPr>
        <w:t>,</w:t>
      </w:r>
      <w:r w:rsidRPr="00AF5C56">
        <w:rPr>
          <w:sz w:val="22"/>
          <w:szCs w:val="22"/>
        </w:rPr>
        <w:t xml:space="preserve"> </w:t>
      </w:r>
      <w:r w:rsidRPr="00AF5C56">
        <w:rPr>
          <w:i/>
          <w:iCs/>
          <w:sz w:val="22"/>
          <w:szCs w:val="22"/>
        </w:rPr>
        <w:t>Hymns</w:t>
      </w:r>
      <w:r w:rsidRPr="00AF5C56">
        <w:rPr>
          <w:sz w:val="22"/>
          <w:szCs w:val="22"/>
        </w:rPr>
        <w:t>. T</w:t>
      </w:r>
      <w:r w:rsidRPr="00AF5C56">
        <w:rPr>
          <w:sz w:val="22"/>
          <w:szCs w:val="22"/>
          <w:lang w:val="en-US"/>
        </w:rPr>
        <w:t>rasl. K. E. McVey. New York 1989.</w:t>
      </w:r>
    </w:p>
    <w:p w:rsidR="00AF5C56" w:rsidRPr="00AF5C56" w:rsidRDefault="00AF5C56" w:rsidP="00AF5C56">
      <w:pPr>
        <w:spacing w:after="0" w:line="240" w:lineRule="auto"/>
        <w:ind w:left="2552" w:hanging="2552"/>
        <w:rPr>
          <w:sz w:val="22"/>
          <w:szCs w:val="22"/>
        </w:rPr>
      </w:pPr>
      <w:r w:rsidRPr="00AF5C56">
        <w:rPr>
          <w:bCs/>
          <w:sz w:val="22"/>
          <w:szCs w:val="22"/>
        </w:rPr>
        <w:t>Eph.</w:t>
      </w:r>
      <w:r w:rsidR="009449B6">
        <w:rPr>
          <w:bCs/>
          <w:sz w:val="22"/>
          <w:szCs w:val="22"/>
        </w:rPr>
        <w:t xml:space="preserve"> </w:t>
      </w:r>
      <w:r w:rsidRPr="00AF5C56">
        <w:rPr>
          <w:bCs/>
          <w:sz w:val="22"/>
          <w:szCs w:val="22"/>
        </w:rPr>
        <w:t>2</w:t>
      </w:r>
      <w:r w:rsidRPr="00AF5C56">
        <w:rPr>
          <w:sz w:val="22"/>
          <w:szCs w:val="22"/>
          <w:lang w:val="fr-FR"/>
        </w:rPr>
        <w:tab/>
      </w:r>
      <w:r w:rsidRPr="00AF5C56">
        <w:rPr>
          <w:i/>
          <w:sz w:val="22"/>
          <w:szCs w:val="22"/>
          <w:lang w:val="fr-FR"/>
        </w:rPr>
        <w:t xml:space="preserve">Saint </w:t>
      </w:r>
      <w:r w:rsidRPr="00AF5C56">
        <w:rPr>
          <w:i/>
          <w:sz w:val="22"/>
          <w:szCs w:val="22"/>
          <w:lang w:val="en-US"/>
        </w:rPr>
        <w:t>Ephrem the Syrian</w:t>
      </w:r>
      <w:r w:rsidRPr="00AF5C56">
        <w:rPr>
          <w:i/>
          <w:sz w:val="22"/>
          <w:szCs w:val="22"/>
        </w:rPr>
        <w:t>,</w:t>
      </w:r>
      <w:r w:rsidRPr="00AF5C56">
        <w:rPr>
          <w:sz w:val="22"/>
          <w:szCs w:val="22"/>
        </w:rPr>
        <w:t xml:space="preserve"> </w:t>
      </w:r>
      <w:r w:rsidRPr="00AF5C56">
        <w:rPr>
          <w:i/>
          <w:iCs/>
          <w:sz w:val="22"/>
          <w:szCs w:val="22"/>
          <w:lang w:val="en-US"/>
        </w:rPr>
        <w:t>Hymns on Paradise</w:t>
      </w:r>
      <w:r w:rsidRPr="00AF5C56">
        <w:rPr>
          <w:sz w:val="22"/>
          <w:szCs w:val="22"/>
        </w:rPr>
        <w:t>. T</w:t>
      </w:r>
      <w:r w:rsidRPr="00AF5C56">
        <w:rPr>
          <w:sz w:val="22"/>
          <w:szCs w:val="22"/>
          <w:lang w:val="en-US"/>
        </w:rPr>
        <w:t>rasl. S. Brock. New York 1990.</w:t>
      </w:r>
    </w:p>
    <w:p w:rsidR="00AF5C56" w:rsidRPr="00AF5C56" w:rsidRDefault="00AF5C56" w:rsidP="00AF5C56">
      <w:pPr>
        <w:spacing w:after="0" w:line="240" w:lineRule="auto"/>
        <w:ind w:left="2552" w:hanging="2552"/>
        <w:rPr>
          <w:sz w:val="22"/>
          <w:szCs w:val="22"/>
        </w:rPr>
      </w:pPr>
      <w:r w:rsidRPr="00AF5C56">
        <w:rPr>
          <w:bCs/>
          <w:sz w:val="22"/>
          <w:szCs w:val="22"/>
          <w:lang w:val="nl-NL"/>
        </w:rPr>
        <w:t xml:space="preserve">Evans </w:t>
      </w:r>
      <w:r w:rsidRPr="00AF5C56">
        <w:rPr>
          <w:bCs/>
          <w:i/>
          <w:sz w:val="22"/>
          <w:szCs w:val="22"/>
          <w:lang w:val="nl-NL"/>
        </w:rPr>
        <w:t>et al</w:t>
      </w:r>
      <w:r w:rsidRPr="00AF5C56">
        <w:rPr>
          <w:bCs/>
          <w:sz w:val="22"/>
          <w:szCs w:val="22"/>
          <w:lang w:val="nl-NL"/>
        </w:rPr>
        <w:t>.</w:t>
      </w:r>
      <w:r w:rsidRPr="00AF5C56">
        <w:rPr>
          <w:bCs/>
          <w:sz w:val="22"/>
          <w:szCs w:val="22"/>
        </w:rPr>
        <w:t xml:space="preserve"> 2001</w:t>
      </w:r>
      <w:r w:rsidRPr="00AF5C56">
        <w:rPr>
          <w:sz w:val="22"/>
          <w:szCs w:val="22"/>
        </w:rPr>
        <w:tab/>
        <w:t xml:space="preserve">H. </w:t>
      </w:r>
      <w:r w:rsidRPr="00AF5C56">
        <w:rPr>
          <w:sz w:val="22"/>
          <w:szCs w:val="22"/>
          <w:lang w:val="nl-NL"/>
        </w:rPr>
        <w:t>Evans, M</w:t>
      </w:r>
      <w:r w:rsidRPr="00AF5C56">
        <w:rPr>
          <w:sz w:val="22"/>
          <w:szCs w:val="22"/>
        </w:rPr>
        <w:t>.</w:t>
      </w:r>
      <w:r w:rsidRPr="00AF5C56">
        <w:rPr>
          <w:sz w:val="22"/>
          <w:szCs w:val="22"/>
          <w:lang w:val="en-US"/>
        </w:rPr>
        <w:t xml:space="preserve"> Holcomb – R</w:t>
      </w:r>
      <w:r w:rsidRPr="00AF5C56">
        <w:rPr>
          <w:sz w:val="22"/>
          <w:szCs w:val="22"/>
        </w:rPr>
        <w:t>.</w:t>
      </w:r>
      <w:r w:rsidRPr="00AF5C56">
        <w:rPr>
          <w:sz w:val="22"/>
          <w:szCs w:val="22"/>
          <w:lang w:val="en-US"/>
        </w:rPr>
        <w:t xml:space="preserve"> Hallman</w:t>
      </w:r>
      <w:r w:rsidRPr="00AF5C56">
        <w:rPr>
          <w:sz w:val="22"/>
          <w:szCs w:val="22"/>
        </w:rPr>
        <w:t>, “</w:t>
      </w:r>
      <w:r w:rsidRPr="00AF5C56">
        <w:rPr>
          <w:sz w:val="22"/>
          <w:szCs w:val="22"/>
          <w:lang w:val="en-US"/>
        </w:rPr>
        <w:t xml:space="preserve">The Arts of </w:t>
      </w:r>
      <w:r w:rsidRPr="00AF5C56">
        <w:rPr>
          <w:sz w:val="22"/>
          <w:szCs w:val="22"/>
          <w:lang w:val="pt-PT"/>
        </w:rPr>
        <w:t>Byzantium</w:t>
      </w:r>
      <w:r w:rsidRPr="00AF5C56">
        <w:rPr>
          <w:sz w:val="22"/>
          <w:szCs w:val="22"/>
        </w:rPr>
        <w:t xml:space="preserve">”. </w:t>
      </w:r>
      <w:r w:rsidRPr="00AF5C56">
        <w:rPr>
          <w:i/>
          <w:iCs/>
          <w:sz w:val="22"/>
          <w:szCs w:val="22"/>
          <w:lang w:val="en-US"/>
        </w:rPr>
        <w:t>The Met</w:t>
      </w:r>
      <w:r w:rsidR="00A8575E">
        <w:rPr>
          <w:i/>
          <w:iCs/>
          <w:sz w:val="22"/>
          <w:szCs w:val="22"/>
          <w:lang w:val="en-US"/>
        </w:rPr>
        <w:softHyphen/>
      </w:r>
      <w:r w:rsidRPr="00AF5C56">
        <w:rPr>
          <w:i/>
          <w:iCs/>
          <w:sz w:val="22"/>
          <w:szCs w:val="22"/>
          <w:lang w:val="en-US"/>
        </w:rPr>
        <w:t>ropolitan Museum of Art Bulletin</w:t>
      </w:r>
      <w:r w:rsidRPr="00AF5C56">
        <w:rPr>
          <w:sz w:val="22"/>
          <w:szCs w:val="22"/>
          <w:lang w:val="ru-RU"/>
        </w:rPr>
        <w:t xml:space="preserve"> 58 (2001) 4-68. </w:t>
      </w:r>
    </w:p>
    <w:p w:rsidR="00AF5C56" w:rsidRPr="00AF5C56" w:rsidRDefault="00AF5C56" w:rsidP="00AF5C56">
      <w:pPr>
        <w:spacing w:after="0" w:line="240" w:lineRule="auto"/>
        <w:ind w:left="2552" w:hanging="2552"/>
        <w:rPr>
          <w:sz w:val="22"/>
          <w:szCs w:val="22"/>
        </w:rPr>
      </w:pPr>
      <w:r w:rsidRPr="00AF5C56">
        <w:rPr>
          <w:bCs/>
          <w:sz w:val="22"/>
          <w:szCs w:val="22"/>
          <w:lang w:val="en-US"/>
        </w:rPr>
        <w:t>Ferguson</w:t>
      </w:r>
      <w:r w:rsidRPr="00AF5C56">
        <w:rPr>
          <w:bCs/>
          <w:sz w:val="22"/>
          <w:szCs w:val="22"/>
        </w:rPr>
        <w:t xml:space="preserve"> 2003</w:t>
      </w:r>
      <w:r w:rsidRPr="00AF5C56">
        <w:rPr>
          <w:bCs/>
          <w:sz w:val="22"/>
          <w:szCs w:val="22"/>
        </w:rPr>
        <w:tab/>
      </w:r>
      <w:r w:rsidRPr="00AF5C56">
        <w:rPr>
          <w:sz w:val="22"/>
          <w:szCs w:val="22"/>
        </w:rPr>
        <w:t xml:space="preserve">E. </w:t>
      </w:r>
      <w:r w:rsidRPr="00AF5C56">
        <w:rPr>
          <w:sz w:val="22"/>
          <w:szCs w:val="22"/>
          <w:lang w:val="en-US"/>
        </w:rPr>
        <w:t xml:space="preserve">Ferguson, </w:t>
      </w:r>
      <w:r w:rsidRPr="00AF5C56">
        <w:rPr>
          <w:i/>
          <w:iCs/>
          <w:sz w:val="22"/>
          <w:szCs w:val="22"/>
          <w:lang w:val="en-US"/>
        </w:rPr>
        <w:t>Backgrounds of early Christianity</w:t>
      </w:r>
      <w:r w:rsidRPr="00AF5C56">
        <w:rPr>
          <w:sz w:val="22"/>
          <w:szCs w:val="22"/>
          <w:lang w:val="en-US"/>
        </w:rPr>
        <w:t>. Michigan 2003.</w:t>
      </w:r>
    </w:p>
    <w:p w:rsidR="00AF5C56" w:rsidRPr="00AF5C56" w:rsidRDefault="00AF5C56" w:rsidP="00AF5C56">
      <w:pPr>
        <w:spacing w:after="0" w:line="240" w:lineRule="auto"/>
        <w:ind w:left="2552" w:hanging="2552"/>
        <w:rPr>
          <w:sz w:val="22"/>
          <w:szCs w:val="22"/>
        </w:rPr>
      </w:pPr>
      <w:r w:rsidRPr="00AF5C56">
        <w:rPr>
          <w:bCs/>
          <w:sz w:val="22"/>
          <w:szCs w:val="22"/>
          <w:lang w:val="en-US"/>
        </w:rPr>
        <w:t>Gador-Whyte</w:t>
      </w:r>
      <w:r w:rsidRPr="00AF5C56">
        <w:rPr>
          <w:bCs/>
          <w:sz w:val="22"/>
          <w:szCs w:val="22"/>
        </w:rPr>
        <w:t xml:space="preserve"> 2017</w:t>
      </w:r>
      <w:r w:rsidRPr="00AF5C56">
        <w:rPr>
          <w:sz w:val="22"/>
          <w:szCs w:val="22"/>
          <w:lang w:val="en-US"/>
        </w:rPr>
        <w:tab/>
        <w:t xml:space="preserve">S. Gador-Whyte, </w:t>
      </w:r>
      <w:r w:rsidRPr="00AF5C56">
        <w:rPr>
          <w:i/>
          <w:iCs/>
          <w:sz w:val="22"/>
          <w:szCs w:val="22"/>
          <w:lang w:val="pt-PT"/>
        </w:rPr>
        <w:t xml:space="preserve">Theology and Poetry in Early Byzantium, </w:t>
      </w:r>
      <w:r w:rsidR="009449B6">
        <w:rPr>
          <w:i/>
          <w:iCs/>
          <w:sz w:val="22"/>
          <w:szCs w:val="22"/>
          <w:lang w:val="pt-PT"/>
        </w:rPr>
        <w:t>t</w:t>
      </w:r>
      <w:r w:rsidRPr="00AF5C56">
        <w:rPr>
          <w:i/>
          <w:iCs/>
          <w:sz w:val="22"/>
          <w:szCs w:val="22"/>
          <w:lang w:val="pt-PT"/>
        </w:rPr>
        <w:t>he Kontakia of Romanos Melodist</w:t>
      </w:r>
      <w:r w:rsidRPr="00AF5C56">
        <w:rPr>
          <w:sz w:val="22"/>
          <w:szCs w:val="22"/>
          <w:lang w:val="en-US"/>
        </w:rPr>
        <w:t>. Cambridge 2017.</w:t>
      </w:r>
    </w:p>
    <w:p w:rsidR="00AF5C56" w:rsidRPr="00AF5C56" w:rsidRDefault="00AF5C56" w:rsidP="00AF5C56">
      <w:pPr>
        <w:spacing w:after="0" w:line="240" w:lineRule="auto"/>
        <w:ind w:left="2552" w:hanging="2552"/>
        <w:rPr>
          <w:sz w:val="22"/>
          <w:szCs w:val="22"/>
        </w:rPr>
      </w:pPr>
      <w:r w:rsidRPr="00AF5C56">
        <w:rPr>
          <w:bCs/>
          <w:sz w:val="22"/>
          <w:szCs w:val="22"/>
          <w:lang w:val="en-US"/>
        </w:rPr>
        <w:t>Gen</w:t>
      </w:r>
      <w:r w:rsidRPr="00AF5C56">
        <w:rPr>
          <w:bCs/>
          <w:sz w:val="22"/>
          <w:szCs w:val="22"/>
          <w:lang w:val="pt-PT"/>
        </w:rPr>
        <w:t>ç</w:t>
      </w:r>
      <w:r w:rsidRPr="00AF5C56">
        <w:rPr>
          <w:bCs/>
          <w:sz w:val="22"/>
          <w:szCs w:val="22"/>
          <w:lang w:val="en-US"/>
        </w:rPr>
        <w:t>ler-G</w:t>
      </w:r>
      <w:r w:rsidRPr="00AF5C56">
        <w:rPr>
          <w:bCs/>
          <w:sz w:val="22"/>
          <w:szCs w:val="22"/>
        </w:rPr>
        <w:t>ü</w:t>
      </w:r>
      <w:r w:rsidRPr="00AF5C56">
        <w:rPr>
          <w:bCs/>
          <w:sz w:val="22"/>
          <w:szCs w:val="22"/>
          <w:lang w:val="en-US"/>
        </w:rPr>
        <w:t>ray 2010</w:t>
      </w:r>
      <w:r w:rsidRPr="00AF5C56">
        <w:rPr>
          <w:sz w:val="22"/>
          <w:szCs w:val="22"/>
        </w:rPr>
        <w:tab/>
        <w:t>Ç</w:t>
      </w:r>
      <w:r w:rsidRPr="00AF5C56">
        <w:rPr>
          <w:sz w:val="22"/>
          <w:szCs w:val="22"/>
          <w:lang w:val="en-US"/>
        </w:rPr>
        <w:t>. Gen</w:t>
      </w:r>
      <w:r w:rsidRPr="00AF5C56">
        <w:rPr>
          <w:sz w:val="22"/>
          <w:szCs w:val="22"/>
          <w:lang w:val="pt-PT"/>
        </w:rPr>
        <w:t>ç</w:t>
      </w:r>
      <w:r w:rsidRPr="00AF5C56">
        <w:rPr>
          <w:sz w:val="22"/>
          <w:szCs w:val="22"/>
          <w:lang w:val="en-US"/>
        </w:rPr>
        <w:t>ler G</w:t>
      </w:r>
      <w:r w:rsidRPr="00AF5C56">
        <w:rPr>
          <w:sz w:val="22"/>
          <w:szCs w:val="22"/>
        </w:rPr>
        <w:t>üray, “Kaunos’un Erken Bizans D</w:t>
      </w:r>
      <w:r w:rsidRPr="00AF5C56">
        <w:rPr>
          <w:sz w:val="22"/>
          <w:szCs w:val="22"/>
          <w:lang w:val="sv-SE"/>
        </w:rPr>
        <w:t>ö</w:t>
      </w:r>
      <w:r w:rsidRPr="00AF5C56">
        <w:rPr>
          <w:sz w:val="22"/>
          <w:szCs w:val="22"/>
        </w:rPr>
        <w:t xml:space="preserve">nemi Cam Buluntuları”. </w:t>
      </w:r>
      <w:r w:rsidRPr="00AF5C56">
        <w:rPr>
          <w:i/>
          <w:iCs/>
          <w:sz w:val="22"/>
          <w:szCs w:val="22"/>
        </w:rPr>
        <w:t xml:space="preserve">Anadolu </w:t>
      </w:r>
      <w:r w:rsidRPr="00AF5C56">
        <w:rPr>
          <w:iCs/>
          <w:sz w:val="22"/>
          <w:szCs w:val="22"/>
        </w:rPr>
        <w:t>36</w:t>
      </w:r>
      <w:r w:rsidRPr="00AF5C56">
        <w:rPr>
          <w:i/>
          <w:iCs/>
          <w:sz w:val="22"/>
          <w:szCs w:val="22"/>
        </w:rPr>
        <w:t xml:space="preserve"> </w:t>
      </w:r>
      <w:r w:rsidRPr="00AF5C56">
        <w:rPr>
          <w:sz w:val="22"/>
          <w:szCs w:val="22"/>
        </w:rPr>
        <w:t xml:space="preserve">(2010) 215-226. </w:t>
      </w:r>
    </w:p>
    <w:p w:rsidR="00AF5C56" w:rsidRPr="00AF5C56" w:rsidRDefault="00AF5C56" w:rsidP="00AF5C56">
      <w:pPr>
        <w:spacing w:after="0" w:line="240" w:lineRule="auto"/>
        <w:ind w:left="2552" w:hanging="2552"/>
        <w:rPr>
          <w:sz w:val="22"/>
          <w:szCs w:val="22"/>
        </w:rPr>
      </w:pPr>
      <w:r w:rsidRPr="00AF5C56">
        <w:rPr>
          <w:bCs/>
          <w:sz w:val="22"/>
          <w:szCs w:val="22"/>
          <w:lang w:val="es-ES_tradnl"/>
        </w:rPr>
        <w:t>Grabar 1980</w:t>
      </w:r>
      <w:r w:rsidRPr="00AF5C56">
        <w:rPr>
          <w:sz w:val="22"/>
          <w:szCs w:val="22"/>
        </w:rPr>
        <w:tab/>
        <w:t xml:space="preserve">A. </w:t>
      </w:r>
      <w:r w:rsidRPr="00AF5C56">
        <w:rPr>
          <w:sz w:val="22"/>
          <w:szCs w:val="22"/>
          <w:lang w:val="es-ES_tradnl"/>
        </w:rPr>
        <w:t xml:space="preserve">Grabar, </w:t>
      </w:r>
      <w:r w:rsidRPr="00AF5C56">
        <w:rPr>
          <w:i/>
          <w:iCs/>
          <w:sz w:val="22"/>
          <w:szCs w:val="22"/>
          <w:lang w:val="da-DK"/>
        </w:rPr>
        <w:t xml:space="preserve">Christian </w:t>
      </w:r>
      <w:r w:rsidRPr="00AF5C56">
        <w:rPr>
          <w:i/>
          <w:iCs/>
          <w:sz w:val="22"/>
          <w:szCs w:val="22"/>
        </w:rPr>
        <w:t>I</w:t>
      </w:r>
      <w:r w:rsidRPr="00AF5C56">
        <w:rPr>
          <w:i/>
          <w:iCs/>
          <w:sz w:val="22"/>
          <w:szCs w:val="22"/>
          <w:lang w:val="fr-FR"/>
        </w:rPr>
        <w:t xml:space="preserve">conography: </w:t>
      </w:r>
      <w:r w:rsidRPr="00AF5C56">
        <w:rPr>
          <w:i/>
          <w:iCs/>
          <w:sz w:val="22"/>
          <w:szCs w:val="22"/>
        </w:rPr>
        <w:t>A</w:t>
      </w:r>
      <w:r w:rsidRPr="00AF5C56">
        <w:rPr>
          <w:i/>
          <w:iCs/>
          <w:sz w:val="22"/>
          <w:szCs w:val="22"/>
          <w:lang w:val="en-US"/>
        </w:rPr>
        <w:t xml:space="preserve"> study of </w:t>
      </w:r>
      <w:r w:rsidRPr="00AF5C56">
        <w:rPr>
          <w:i/>
          <w:iCs/>
          <w:sz w:val="22"/>
          <w:szCs w:val="22"/>
        </w:rPr>
        <w:t>I</w:t>
      </w:r>
      <w:r w:rsidRPr="00AF5C56">
        <w:rPr>
          <w:i/>
          <w:iCs/>
          <w:sz w:val="22"/>
          <w:szCs w:val="22"/>
          <w:lang w:val="en-US"/>
        </w:rPr>
        <w:t xml:space="preserve">ts </w:t>
      </w:r>
      <w:r w:rsidRPr="00AF5C56">
        <w:rPr>
          <w:i/>
          <w:iCs/>
          <w:sz w:val="22"/>
          <w:szCs w:val="22"/>
        </w:rPr>
        <w:t>O</w:t>
      </w:r>
      <w:r w:rsidRPr="00AF5C56">
        <w:rPr>
          <w:i/>
          <w:iCs/>
          <w:sz w:val="22"/>
          <w:szCs w:val="22"/>
          <w:lang w:val="en-US"/>
        </w:rPr>
        <w:t>rigins</w:t>
      </w:r>
      <w:r w:rsidRPr="00AF5C56">
        <w:rPr>
          <w:sz w:val="22"/>
          <w:szCs w:val="22"/>
          <w:lang w:val="en-US"/>
        </w:rPr>
        <w:t>. Princeton 1980.</w:t>
      </w:r>
    </w:p>
    <w:p w:rsidR="00AF5C56" w:rsidRPr="00AF5C56" w:rsidRDefault="00AF5C56" w:rsidP="00AF5C56">
      <w:pPr>
        <w:spacing w:after="0" w:line="240" w:lineRule="auto"/>
        <w:ind w:left="2552" w:hanging="2552"/>
        <w:rPr>
          <w:sz w:val="22"/>
          <w:szCs w:val="22"/>
        </w:rPr>
      </w:pPr>
      <w:r w:rsidRPr="00AF5C56">
        <w:rPr>
          <w:bCs/>
          <w:sz w:val="22"/>
          <w:szCs w:val="22"/>
        </w:rPr>
        <w:t>Güzererler-Sağman 2007</w:t>
      </w:r>
      <w:r w:rsidRPr="00AF5C56">
        <w:rPr>
          <w:sz w:val="22"/>
          <w:szCs w:val="22"/>
        </w:rPr>
        <w:tab/>
        <w:t xml:space="preserve">N. Güzererler Sağman, </w:t>
      </w:r>
      <w:r w:rsidRPr="00AF5C56">
        <w:rPr>
          <w:i/>
          <w:iCs/>
          <w:sz w:val="22"/>
          <w:szCs w:val="22"/>
          <w:lang w:val="es-ES_tradnl"/>
        </w:rPr>
        <w:t>Kaunos Palaestra Teras</w:t>
      </w:r>
      <w:r w:rsidRPr="00AF5C56">
        <w:rPr>
          <w:i/>
          <w:iCs/>
          <w:sz w:val="22"/>
          <w:szCs w:val="22"/>
        </w:rPr>
        <w:t xml:space="preserve">ı Kubbeli Bazilikası </w:t>
      </w:r>
      <w:r w:rsidRPr="00AF5C56">
        <w:rPr>
          <w:iCs/>
          <w:sz w:val="22"/>
          <w:szCs w:val="22"/>
        </w:rPr>
        <w:t>Resto</w:t>
      </w:r>
      <w:r w:rsidR="00A8575E">
        <w:rPr>
          <w:iCs/>
          <w:sz w:val="22"/>
          <w:szCs w:val="22"/>
        </w:rPr>
        <w:softHyphen/>
      </w:r>
      <w:r w:rsidRPr="00AF5C56">
        <w:rPr>
          <w:iCs/>
          <w:sz w:val="22"/>
          <w:szCs w:val="22"/>
        </w:rPr>
        <w:t>rasyon</w:t>
      </w:r>
      <w:r w:rsidRPr="00AF5C56">
        <w:rPr>
          <w:i/>
          <w:iCs/>
          <w:sz w:val="22"/>
          <w:szCs w:val="22"/>
        </w:rPr>
        <w:t xml:space="preserve"> Projesi</w:t>
      </w:r>
      <w:r w:rsidRPr="00AF5C56">
        <w:rPr>
          <w:sz w:val="22"/>
          <w:szCs w:val="22"/>
        </w:rPr>
        <w:t>. Yayı</w:t>
      </w:r>
      <w:r w:rsidR="009449B6">
        <w:rPr>
          <w:sz w:val="22"/>
          <w:szCs w:val="22"/>
        </w:rPr>
        <w:t>m</w:t>
      </w:r>
      <w:r w:rsidRPr="00AF5C56">
        <w:rPr>
          <w:sz w:val="22"/>
          <w:szCs w:val="22"/>
        </w:rPr>
        <w:t>lanmamış Yüksek Lisans</w:t>
      </w:r>
      <w:r w:rsidRPr="00AF5C56">
        <w:rPr>
          <w:sz w:val="22"/>
          <w:szCs w:val="22"/>
          <w:lang w:val="en-US"/>
        </w:rPr>
        <w:t xml:space="preserve"> Tezi, </w:t>
      </w:r>
      <w:r w:rsidRPr="00AF5C56">
        <w:rPr>
          <w:sz w:val="22"/>
          <w:szCs w:val="22"/>
        </w:rPr>
        <w:t xml:space="preserve">İstanbul Teknik </w:t>
      </w:r>
      <w:r w:rsidRPr="00AF5C56">
        <w:rPr>
          <w:sz w:val="22"/>
          <w:szCs w:val="22"/>
          <w:lang w:val="en-US"/>
        </w:rPr>
        <w:t>Ü</w:t>
      </w:r>
      <w:r w:rsidRPr="00AF5C56">
        <w:rPr>
          <w:sz w:val="22"/>
          <w:szCs w:val="22"/>
        </w:rPr>
        <w:t>ni</w:t>
      </w:r>
      <w:r w:rsidR="00A8575E">
        <w:rPr>
          <w:sz w:val="22"/>
          <w:szCs w:val="22"/>
        </w:rPr>
        <w:softHyphen/>
      </w:r>
      <w:r w:rsidRPr="00AF5C56">
        <w:rPr>
          <w:sz w:val="22"/>
          <w:szCs w:val="22"/>
        </w:rPr>
        <w:t xml:space="preserve">versitesi. İstanbul 2007. </w:t>
      </w:r>
    </w:p>
    <w:p w:rsidR="00AF5C56" w:rsidRPr="00AF5C56" w:rsidRDefault="00AF5C56" w:rsidP="00AF5C56">
      <w:pPr>
        <w:spacing w:after="0" w:line="240" w:lineRule="auto"/>
        <w:ind w:left="2552" w:hanging="2552"/>
        <w:rPr>
          <w:sz w:val="22"/>
          <w:szCs w:val="22"/>
        </w:rPr>
      </w:pPr>
      <w:r w:rsidRPr="00AF5C56">
        <w:rPr>
          <w:bCs/>
          <w:sz w:val="22"/>
          <w:szCs w:val="22"/>
          <w:lang w:val="en-US"/>
        </w:rPr>
        <w:t>Harrison</w:t>
      </w:r>
      <w:r w:rsidRPr="00AF5C56">
        <w:rPr>
          <w:bCs/>
          <w:sz w:val="22"/>
          <w:szCs w:val="22"/>
        </w:rPr>
        <w:t xml:space="preserve"> 1963</w:t>
      </w:r>
      <w:r w:rsidRPr="00AF5C56">
        <w:rPr>
          <w:sz w:val="22"/>
          <w:szCs w:val="22"/>
        </w:rPr>
        <w:tab/>
        <w:t xml:space="preserve">R. M. </w:t>
      </w:r>
      <w:r w:rsidRPr="00AF5C56">
        <w:rPr>
          <w:sz w:val="22"/>
          <w:szCs w:val="22"/>
          <w:lang w:val="en-US"/>
        </w:rPr>
        <w:t>Harrison,</w:t>
      </w:r>
      <w:r w:rsidRPr="00AF5C56">
        <w:rPr>
          <w:sz w:val="22"/>
          <w:szCs w:val="22"/>
        </w:rPr>
        <w:t xml:space="preserve"> “</w:t>
      </w:r>
      <w:r w:rsidRPr="00AF5C56">
        <w:rPr>
          <w:sz w:val="22"/>
          <w:szCs w:val="22"/>
          <w:lang w:val="en-US"/>
        </w:rPr>
        <w:t>Churches and chapels of central Lycia</w:t>
      </w:r>
      <w:r w:rsidRPr="00AF5C56">
        <w:rPr>
          <w:sz w:val="22"/>
          <w:szCs w:val="22"/>
        </w:rPr>
        <w:t xml:space="preserve">”. </w:t>
      </w:r>
      <w:r w:rsidRPr="00AF5C56">
        <w:rPr>
          <w:i/>
          <w:iCs/>
          <w:sz w:val="22"/>
          <w:szCs w:val="22"/>
        </w:rPr>
        <w:t>Anatolian Stu</w:t>
      </w:r>
      <w:r w:rsidR="00A8575E">
        <w:rPr>
          <w:i/>
          <w:iCs/>
          <w:sz w:val="22"/>
          <w:szCs w:val="22"/>
        </w:rPr>
        <w:softHyphen/>
      </w:r>
      <w:r w:rsidRPr="00AF5C56">
        <w:rPr>
          <w:i/>
          <w:iCs/>
          <w:sz w:val="22"/>
          <w:szCs w:val="22"/>
        </w:rPr>
        <w:t>dies</w:t>
      </w:r>
      <w:r w:rsidRPr="00AF5C56">
        <w:rPr>
          <w:sz w:val="22"/>
          <w:szCs w:val="22"/>
        </w:rPr>
        <w:t xml:space="preserve"> 13 (1963) 117-151.</w:t>
      </w:r>
    </w:p>
    <w:p w:rsidR="00AF5C56" w:rsidRPr="00AF5C56" w:rsidRDefault="00AF5C56" w:rsidP="00AF5C56">
      <w:pPr>
        <w:spacing w:after="0" w:line="240" w:lineRule="auto"/>
        <w:ind w:left="2552" w:hanging="2552"/>
        <w:rPr>
          <w:sz w:val="22"/>
          <w:szCs w:val="22"/>
        </w:rPr>
      </w:pPr>
      <w:r w:rsidRPr="00AF5C56">
        <w:rPr>
          <w:bCs/>
          <w:sz w:val="22"/>
          <w:szCs w:val="22"/>
        </w:rPr>
        <w:t>İşler 2009</w:t>
      </w:r>
      <w:r w:rsidRPr="00AF5C56">
        <w:rPr>
          <w:sz w:val="22"/>
          <w:szCs w:val="22"/>
        </w:rPr>
        <w:tab/>
        <w:t xml:space="preserve">B. İşler, </w:t>
      </w:r>
      <w:r w:rsidRPr="00AF5C56">
        <w:rPr>
          <w:i/>
          <w:iCs/>
          <w:sz w:val="22"/>
          <w:szCs w:val="22"/>
        </w:rPr>
        <w:t>Likya B</w:t>
      </w:r>
      <w:r w:rsidRPr="00AF5C56">
        <w:rPr>
          <w:i/>
          <w:iCs/>
          <w:sz w:val="22"/>
          <w:szCs w:val="22"/>
          <w:lang w:val="sv-SE"/>
        </w:rPr>
        <w:t>ö</w:t>
      </w:r>
      <w:r w:rsidRPr="00AF5C56">
        <w:rPr>
          <w:i/>
          <w:iCs/>
          <w:sz w:val="22"/>
          <w:szCs w:val="22"/>
        </w:rPr>
        <w:t>lgesindeki Karabel Asarcık’taki Erken Bizans D</w:t>
      </w:r>
      <w:r w:rsidRPr="00AF5C56">
        <w:rPr>
          <w:i/>
          <w:iCs/>
          <w:sz w:val="22"/>
          <w:szCs w:val="22"/>
          <w:lang w:val="sv-SE"/>
        </w:rPr>
        <w:t>ö</w:t>
      </w:r>
      <w:r w:rsidRPr="00AF5C56">
        <w:rPr>
          <w:i/>
          <w:iCs/>
          <w:sz w:val="22"/>
          <w:szCs w:val="22"/>
        </w:rPr>
        <w:t>nemi Yerles</w:t>
      </w:r>
      <w:r w:rsidRPr="00AF5C56">
        <w:rPr>
          <w:rFonts w:ascii="Times New Roman" w:hAnsi="Times New Roman"/>
          <w:i/>
          <w:iCs/>
          <w:sz w:val="22"/>
          <w:szCs w:val="22"/>
        </w:rPr>
        <w:t>̧</w:t>
      </w:r>
      <w:r w:rsidRPr="00AF5C56">
        <w:rPr>
          <w:i/>
          <w:iCs/>
          <w:sz w:val="22"/>
          <w:szCs w:val="22"/>
        </w:rPr>
        <w:t>imi</w:t>
      </w:r>
      <w:r w:rsidRPr="00AF5C56">
        <w:rPr>
          <w:sz w:val="22"/>
          <w:szCs w:val="22"/>
        </w:rPr>
        <w:t xml:space="preserve">. Yayınlanmamış Doktora Tezi, Hacettepe </w:t>
      </w:r>
      <w:r w:rsidRPr="00AF5C56">
        <w:rPr>
          <w:sz w:val="22"/>
          <w:szCs w:val="22"/>
          <w:lang w:val="de-DE"/>
        </w:rPr>
        <w:t>Ü</w:t>
      </w:r>
      <w:r w:rsidRPr="00AF5C56">
        <w:rPr>
          <w:sz w:val="22"/>
          <w:szCs w:val="22"/>
        </w:rPr>
        <w:t xml:space="preserve">niversitesi. Ankara 2009. </w:t>
      </w:r>
    </w:p>
    <w:p w:rsidR="00AF5C56" w:rsidRPr="00AF5C56" w:rsidRDefault="00AF5C56" w:rsidP="00AF5C56">
      <w:pPr>
        <w:spacing w:after="0" w:line="240" w:lineRule="auto"/>
        <w:ind w:left="2552" w:hanging="2552"/>
        <w:rPr>
          <w:sz w:val="22"/>
          <w:szCs w:val="22"/>
        </w:rPr>
      </w:pPr>
      <w:r w:rsidRPr="00AF5C56">
        <w:rPr>
          <w:bCs/>
          <w:sz w:val="22"/>
          <w:szCs w:val="22"/>
        </w:rPr>
        <w:t>İşler 2017</w:t>
      </w:r>
      <w:r w:rsidRPr="00AF5C56">
        <w:rPr>
          <w:sz w:val="22"/>
          <w:szCs w:val="22"/>
        </w:rPr>
        <w:tab/>
        <w:t>B. İşler, “Karabel Asarcık’taki Sion Manastırı Mezar Odası ve Bizans La</w:t>
      </w:r>
      <w:r w:rsidR="00A8575E">
        <w:rPr>
          <w:sz w:val="22"/>
          <w:szCs w:val="22"/>
        </w:rPr>
        <w:softHyphen/>
      </w:r>
      <w:r w:rsidRPr="00AF5C56">
        <w:rPr>
          <w:sz w:val="22"/>
          <w:szCs w:val="22"/>
        </w:rPr>
        <w:t xml:space="preserve">hitleri”. </w:t>
      </w:r>
      <w:r w:rsidRPr="00AF5C56">
        <w:rPr>
          <w:i/>
          <w:iCs/>
          <w:sz w:val="22"/>
          <w:szCs w:val="22"/>
        </w:rPr>
        <w:t>Seleucia</w:t>
      </w:r>
      <w:r w:rsidRPr="00AF5C56">
        <w:rPr>
          <w:sz w:val="22"/>
          <w:szCs w:val="22"/>
        </w:rPr>
        <w:t xml:space="preserve"> 7 (2017) 161-185.  </w:t>
      </w:r>
    </w:p>
    <w:p w:rsidR="00AF5C56" w:rsidRPr="00AF5C56" w:rsidRDefault="00AF5C56" w:rsidP="00AF5C56">
      <w:pPr>
        <w:spacing w:after="0" w:line="240" w:lineRule="auto"/>
        <w:ind w:left="2552" w:hanging="2552"/>
        <w:rPr>
          <w:sz w:val="22"/>
          <w:szCs w:val="22"/>
        </w:rPr>
      </w:pPr>
      <w:r w:rsidRPr="00AF5C56">
        <w:rPr>
          <w:bCs/>
          <w:sz w:val="22"/>
          <w:szCs w:val="22"/>
          <w:lang w:val="es-ES_tradnl"/>
        </w:rPr>
        <w:t>Le Quien</w:t>
      </w:r>
      <w:r w:rsidRPr="00AF5C56">
        <w:rPr>
          <w:bCs/>
          <w:sz w:val="22"/>
          <w:szCs w:val="22"/>
          <w:lang w:val="ru-RU"/>
        </w:rPr>
        <w:t xml:space="preserve"> 1740</w:t>
      </w:r>
      <w:r w:rsidRPr="00AF5C56">
        <w:rPr>
          <w:bCs/>
          <w:sz w:val="22"/>
          <w:szCs w:val="22"/>
          <w:lang w:val="ru-RU"/>
        </w:rPr>
        <w:tab/>
      </w:r>
      <w:r w:rsidRPr="00AF5C56">
        <w:rPr>
          <w:sz w:val="22"/>
          <w:szCs w:val="22"/>
        </w:rPr>
        <w:t xml:space="preserve">M. </w:t>
      </w:r>
      <w:r w:rsidRPr="00AF5C56">
        <w:rPr>
          <w:sz w:val="22"/>
          <w:szCs w:val="22"/>
          <w:lang w:val="es-ES_tradnl"/>
        </w:rPr>
        <w:t>Le Quien</w:t>
      </w:r>
      <w:r w:rsidRPr="00AF5C56">
        <w:rPr>
          <w:sz w:val="22"/>
          <w:szCs w:val="22"/>
        </w:rPr>
        <w:t xml:space="preserve">, </w:t>
      </w:r>
      <w:r w:rsidRPr="00AF5C56">
        <w:rPr>
          <w:i/>
          <w:iCs/>
          <w:sz w:val="22"/>
          <w:szCs w:val="22"/>
        </w:rPr>
        <w:t xml:space="preserve">Oriens christianus, in quatuor patriarchatus digestus, quo </w:t>
      </w:r>
      <w:r w:rsidRPr="00AF5C56">
        <w:rPr>
          <w:i/>
          <w:iCs/>
          <w:sz w:val="22"/>
          <w:szCs w:val="22"/>
          <w:lang w:val="es-ES_tradnl"/>
        </w:rPr>
        <w:t>exhibentur Ecclesiae, patriarchae, caeterique praesules totius Orientis</w:t>
      </w:r>
      <w:r w:rsidRPr="00AF5C56">
        <w:rPr>
          <w:i/>
          <w:sz w:val="22"/>
          <w:szCs w:val="22"/>
        </w:rPr>
        <w:t>, 1</w:t>
      </w:r>
      <w:r w:rsidRPr="00AF5C56">
        <w:rPr>
          <w:sz w:val="22"/>
          <w:szCs w:val="22"/>
        </w:rPr>
        <w:t xml:space="preserve">. </w:t>
      </w:r>
      <w:r w:rsidRPr="00AF5C56">
        <w:rPr>
          <w:sz w:val="22"/>
          <w:szCs w:val="22"/>
          <w:lang w:val="fr-FR"/>
        </w:rPr>
        <w:t>Paris</w:t>
      </w:r>
      <w:r w:rsidRPr="00AF5C56">
        <w:rPr>
          <w:sz w:val="22"/>
          <w:szCs w:val="22"/>
        </w:rPr>
        <w:t xml:space="preserve"> 1740.</w:t>
      </w:r>
    </w:p>
    <w:p w:rsidR="00AF5C56" w:rsidRPr="00AF5C56" w:rsidRDefault="00AF5C56" w:rsidP="00AF5C56">
      <w:pPr>
        <w:spacing w:after="0" w:line="240" w:lineRule="auto"/>
        <w:ind w:left="2552" w:hanging="2552"/>
        <w:rPr>
          <w:sz w:val="22"/>
          <w:szCs w:val="22"/>
        </w:rPr>
      </w:pPr>
      <w:r w:rsidRPr="00AF5C56">
        <w:rPr>
          <w:bCs/>
          <w:sz w:val="22"/>
          <w:szCs w:val="22"/>
        </w:rPr>
        <w:t>Leont.</w:t>
      </w:r>
      <w:r w:rsidRPr="00AF5C56">
        <w:rPr>
          <w:sz w:val="22"/>
          <w:szCs w:val="22"/>
        </w:rPr>
        <w:tab/>
      </w:r>
      <w:r w:rsidRPr="00AF5C56">
        <w:rPr>
          <w:sz w:val="22"/>
          <w:szCs w:val="22"/>
          <w:lang w:val="pt-PT"/>
        </w:rPr>
        <w:t xml:space="preserve">Leontius </w:t>
      </w:r>
      <w:r w:rsidRPr="00AF5C56">
        <w:rPr>
          <w:sz w:val="22"/>
          <w:szCs w:val="22"/>
          <w:lang w:val="en-US"/>
        </w:rPr>
        <w:t xml:space="preserve">Presbyter of Constantinople, </w:t>
      </w:r>
      <w:r w:rsidRPr="00AF5C56">
        <w:rPr>
          <w:i/>
          <w:iCs/>
          <w:sz w:val="22"/>
          <w:szCs w:val="22"/>
          <w:lang w:val="en-US"/>
        </w:rPr>
        <w:t>Fourteen Homilies</w:t>
      </w:r>
      <w:r w:rsidRPr="00AF5C56">
        <w:rPr>
          <w:sz w:val="22"/>
          <w:szCs w:val="22"/>
        </w:rPr>
        <w:t xml:space="preserve">. </w:t>
      </w:r>
      <w:r w:rsidRPr="00AF5C56">
        <w:rPr>
          <w:sz w:val="22"/>
          <w:szCs w:val="22"/>
          <w:lang w:val="pt-PT"/>
        </w:rPr>
        <w:t>Trans.</w:t>
      </w:r>
      <w:r w:rsidRPr="00AF5C56">
        <w:rPr>
          <w:sz w:val="22"/>
          <w:szCs w:val="22"/>
          <w:lang w:val="en-US"/>
        </w:rPr>
        <w:t xml:space="preserve"> P. Allen </w:t>
      </w:r>
      <w:r w:rsidRPr="00AF5C56">
        <w:rPr>
          <w:sz w:val="22"/>
          <w:szCs w:val="22"/>
          <w:lang w:val="en-US"/>
        </w:rPr>
        <w:lastRenderedPageBreak/>
        <w:t>– C. Datema. Leiden – Boston 1991.</w:t>
      </w:r>
    </w:p>
    <w:p w:rsidR="00AF5C56" w:rsidRPr="00AF5C56" w:rsidRDefault="00AF5C56" w:rsidP="00AF5C56">
      <w:pPr>
        <w:spacing w:after="0" w:line="240" w:lineRule="auto"/>
        <w:ind w:left="2552" w:hanging="2552"/>
        <w:rPr>
          <w:i/>
          <w:iCs/>
          <w:sz w:val="22"/>
          <w:szCs w:val="22"/>
        </w:rPr>
      </w:pPr>
      <w:r w:rsidRPr="00AF5C56">
        <w:rPr>
          <w:bCs/>
          <w:sz w:val="22"/>
          <w:szCs w:val="22"/>
          <w:lang w:val="da-DK"/>
        </w:rPr>
        <w:t>Mendel</w:t>
      </w:r>
      <w:r w:rsidRPr="00AF5C56">
        <w:rPr>
          <w:bCs/>
          <w:sz w:val="22"/>
          <w:szCs w:val="22"/>
        </w:rPr>
        <w:t xml:space="preserve"> 1914</w:t>
      </w:r>
      <w:r w:rsidRPr="00AF5C56">
        <w:rPr>
          <w:sz w:val="22"/>
          <w:szCs w:val="22"/>
        </w:rPr>
        <w:tab/>
        <w:t xml:space="preserve">G. </w:t>
      </w:r>
      <w:r w:rsidRPr="00AF5C56">
        <w:rPr>
          <w:sz w:val="22"/>
          <w:szCs w:val="22"/>
          <w:lang w:val="da-DK"/>
        </w:rPr>
        <w:t xml:space="preserve">Mendel, </w:t>
      </w:r>
      <w:r w:rsidRPr="00AF5C56">
        <w:rPr>
          <w:i/>
          <w:iCs/>
          <w:sz w:val="22"/>
          <w:szCs w:val="22"/>
          <w:lang w:val="fr-FR"/>
        </w:rPr>
        <w:t xml:space="preserve">Catalogue des </w:t>
      </w:r>
      <w:r w:rsidRPr="00AF5C56">
        <w:rPr>
          <w:i/>
          <w:iCs/>
          <w:sz w:val="22"/>
          <w:szCs w:val="22"/>
        </w:rPr>
        <w:t>S</w:t>
      </w:r>
      <w:r w:rsidRPr="00AF5C56">
        <w:rPr>
          <w:i/>
          <w:iCs/>
          <w:sz w:val="22"/>
          <w:szCs w:val="22"/>
          <w:lang w:val="fr-FR"/>
        </w:rPr>
        <w:t xml:space="preserve">culptures </w:t>
      </w:r>
      <w:r w:rsidRPr="00AF5C56">
        <w:rPr>
          <w:i/>
          <w:iCs/>
          <w:sz w:val="22"/>
          <w:szCs w:val="22"/>
        </w:rPr>
        <w:t>G</w:t>
      </w:r>
      <w:r w:rsidRPr="00AF5C56">
        <w:rPr>
          <w:i/>
          <w:iCs/>
          <w:sz w:val="22"/>
          <w:szCs w:val="22"/>
          <w:lang w:val="fr-FR"/>
        </w:rPr>
        <w:t xml:space="preserve">recques, </w:t>
      </w:r>
      <w:r w:rsidRPr="00AF5C56">
        <w:rPr>
          <w:i/>
          <w:iCs/>
          <w:sz w:val="22"/>
          <w:szCs w:val="22"/>
        </w:rPr>
        <w:t>R</w:t>
      </w:r>
      <w:r w:rsidRPr="00AF5C56">
        <w:rPr>
          <w:i/>
          <w:iCs/>
          <w:sz w:val="22"/>
          <w:szCs w:val="22"/>
          <w:lang w:val="fr-FR"/>
        </w:rPr>
        <w:t xml:space="preserve">omaines et </w:t>
      </w:r>
      <w:r w:rsidRPr="00AF5C56">
        <w:rPr>
          <w:i/>
          <w:iCs/>
          <w:sz w:val="22"/>
          <w:szCs w:val="22"/>
        </w:rPr>
        <w:t>Byzantines</w:t>
      </w:r>
      <w:r w:rsidRPr="00AF5C56">
        <w:rPr>
          <w:i/>
          <w:sz w:val="22"/>
          <w:szCs w:val="22"/>
          <w:lang w:val="nl-NL"/>
        </w:rPr>
        <w:t xml:space="preserve">, vol. </w:t>
      </w:r>
      <w:r w:rsidRPr="00AF5C56">
        <w:rPr>
          <w:i/>
          <w:sz w:val="22"/>
          <w:szCs w:val="22"/>
        </w:rPr>
        <w:t>2</w:t>
      </w:r>
      <w:r w:rsidRPr="00AF5C56">
        <w:rPr>
          <w:sz w:val="22"/>
          <w:szCs w:val="22"/>
        </w:rPr>
        <w:t>. İstanbul 1914.</w:t>
      </w:r>
    </w:p>
    <w:p w:rsidR="00AF5C56" w:rsidRPr="00AF5C56" w:rsidRDefault="00AF5C56" w:rsidP="00AF5C56">
      <w:pPr>
        <w:spacing w:after="0" w:line="240" w:lineRule="auto"/>
        <w:ind w:left="2552" w:hanging="2552"/>
        <w:rPr>
          <w:sz w:val="22"/>
          <w:szCs w:val="22"/>
        </w:rPr>
      </w:pPr>
      <w:r w:rsidRPr="00AF5C56">
        <w:rPr>
          <w:bCs/>
          <w:sz w:val="22"/>
          <w:szCs w:val="22"/>
          <w:lang w:val="en-US"/>
        </w:rPr>
        <w:t>Nedungatt – Featherstone</w:t>
      </w:r>
      <w:r w:rsidRPr="00AF5C56">
        <w:rPr>
          <w:bCs/>
          <w:sz w:val="22"/>
          <w:szCs w:val="22"/>
        </w:rPr>
        <w:t xml:space="preserve"> 1995</w:t>
      </w:r>
      <w:r w:rsidR="00DA763A">
        <w:rPr>
          <w:bCs/>
          <w:sz w:val="22"/>
          <w:szCs w:val="22"/>
        </w:rPr>
        <w:t xml:space="preserve"> </w:t>
      </w:r>
      <w:r w:rsidR="00DA763A">
        <w:rPr>
          <w:bCs/>
          <w:sz w:val="22"/>
          <w:szCs w:val="22"/>
        </w:rPr>
        <w:tab/>
      </w:r>
      <w:r w:rsidR="00DA763A">
        <w:rPr>
          <w:bCs/>
          <w:sz w:val="22"/>
          <w:szCs w:val="22"/>
        </w:rPr>
        <w:br/>
      </w:r>
      <w:r w:rsidRPr="00AF5C56">
        <w:rPr>
          <w:sz w:val="22"/>
          <w:szCs w:val="22"/>
        </w:rPr>
        <w:t xml:space="preserve">G. </w:t>
      </w:r>
      <w:r w:rsidRPr="00AF5C56">
        <w:rPr>
          <w:sz w:val="22"/>
          <w:szCs w:val="22"/>
          <w:lang w:val="en-US"/>
        </w:rPr>
        <w:t>Nedungatt – M. Featherstone</w:t>
      </w:r>
      <w:r w:rsidRPr="00AF5C56">
        <w:rPr>
          <w:sz w:val="22"/>
          <w:szCs w:val="22"/>
        </w:rPr>
        <w:t xml:space="preserve">, </w:t>
      </w:r>
      <w:r w:rsidRPr="00AF5C56">
        <w:rPr>
          <w:i/>
          <w:iCs/>
          <w:sz w:val="22"/>
          <w:szCs w:val="22"/>
        </w:rPr>
        <w:t>T</w:t>
      </w:r>
      <w:r w:rsidRPr="00AF5C56">
        <w:rPr>
          <w:i/>
          <w:iCs/>
          <w:sz w:val="22"/>
          <w:szCs w:val="22"/>
          <w:lang w:val="en-US"/>
        </w:rPr>
        <w:t>he Council in Trullo Revisited</w:t>
      </w:r>
      <w:r w:rsidRPr="00AF5C56">
        <w:rPr>
          <w:sz w:val="22"/>
          <w:szCs w:val="22"/>
          <w:lang w:val="en-US"/>
        </w:rPr>
        <w:t xml:space="preserve">. </w:t>
      </w:r>
      <w:r w:rsidRPr="00AF5C56">
        <w:rPr>
          <w:sz w:val="22"/>
          <w:szCs w:val="22"/>
          <w:lang w:val="de-DE"/>
        </w:rPr>
        <w:t>Rome 1995.</w:t>
      </w:r>
    </w:p>
    <w:p w:rsidR="00AF5C56" w:rsidRPr="00AF5C56" w:rsidRDefault="00AF5C56" w:rsidP="00AF5C56">
      <w:pPr>
        <w:spacing w:after="0" w:line="240" w:lineRule="auto"/>
        <w:ind w:left="2552" w:hanging="2552"/>
        <w:rPr>
          <w:sz w:val="22"/>
          <w:szCs w:val="22"/>
        </w:rPr>
      </w:pPr>
      <w:r w:rsidRPr="00AF5C56">
        <w:rPr>
          <w:bCs/>
          <w:sz w:val="22"/>
          <w:szCs w:val="22"/>
        </w:rPr>
        <w:t>Niew</w:t>
      </w:r>
      <w:r w:rsidRPr="00AF5C56">
        <w:rPr>
          <w:bCs/>
          <w:sz w:val="22"/>
          <w:szCs w:val="22"/>
          <w:lang w:val="sv-SE"/>
        </w:rPr>
        <w:t>ö</w:t>
      </w:r>
      <w:r w:rsidRPr="00AF5C56">
        <w:rPr>
          <w:bCs/>
          <w:sz w:val="22"/>
          <w:szCs w:val="22"/>
          <w:lang w:val="de-DE"/>
        </w:rPr>
        <w:t>hner</w:t>
      </w:r>
      <w:r w:rsidRPr="00AF5C56">
        <w:rPr>
          <w:bCs/>
          <w:sz w:val="22"/>
          <w:szCs w:val="22"/>
        </w:rPr>
        <w:t xml:space="preserve"> 2006</w:t>
      </w:r>
      <w:r w:rsidRPr="00AF5C56">
        <w:rPr>
          <w:sz w:val="22"/>
          <w:szCs w:val="22"/>
        </w:rPr>
        <w:tab/>
        <w:t>P. Niew</w:t>
      </w:r>
      <w:r w:rsidRPr="00AF5C56">
        <w:rPr>
          <w:sz w:val="22"/>
          <w:szCs w:val="22"/>
          <w:lang w:val="sv-SE"/>
        </w:rPr>
        <w:t>ö</w:t>
      </w:r>
      <w:r w:rsidRPr="00AF5C56">
        <w:rPr>
          <w:sz w:val="22"/>
          <w:szCs w:val="22"/>
          <w:lang w:val="de-DE"/>
        </w:rPr>
        <w:t xml:space="preserve">hner, </w:t>
      </w:r>
      <w:r w:rsidRPr="00AF5C56">
        <w:rPr>
          <w:sz w:val="22"/>
          <w:szCs w:val="22"/>
        </w:rPr>
        <w:t>“Frü</w:t>
      </w:r>
      <w:r w:rsidRPr="00AF5C56">
        <w:rPr>
          <w:sz w:val="22"/>
          <w:szCs w:val="22"/>
          <w:lang w:val="de-DE"/>
        </w:rPr>
        <w:t>hbyzantinische Steinmetzarbeiten in K</w:t>
      </w:r>
      <w:r w:rsidRPr="00AF5C56">
        <w:rPr>
          <w:sz w:val="22"/>
          <w:szCs w:val="22"/>
        </w:rPr>
        <w:t>ü</w:t>
      </w:r>
      <w:r w:rsidRPr="00AF5C56">
        <w:rPr>
          <w:sz w:val="22"/>
          <w:szCs w:val="22"/>
          <w:lang w:val="de-DE"/>
        </w:rPr>
        <w:t>tahya Zu Topographie, Steinmetzwesen und Siedlungsgeschichte einer zentral</w:t>
      </w:r>
      <w:r w:rsidR="00A8575E">
        <w:rPr>
          <w:sz w:val="22"/>
          <w:szCs w:val="22"/>
          <w:lang w:val="de-DE"/>
        </w:rPr>
        <w:softHyphen/>
      </w:r>
      <w:r w:rsidRPr="00AF5C56">
        <w:rPr>
          <w:sz w:val="22"/>
          <w:szCs w:val="22"/>
          <w:lang w:val="de-DE"/>
        </w:rPr>
        <w:t>anatolischen Region</w:t>
      </w:r>
      <w:r w:rsidRPr="00AF5C56">
        <w:rPr>
          <w:sz w:val="22"/>
          <w:szCs w:val="22"/>
        </w:rPr>
        <w:t xml:space="preserve">”. </w:t>
      </w:r>
      <w:r w:rsidRPr="00AF5C56">
        <w:rPr>
          <w:i/>
          <w:iCs/>
          <w:sz w:val="22"/>
          <w:szCs w:val="22"/>
        </w:rPr>
        <w:t>Istanbuler Mitteilungen</w:t>
      </w:r>
      <w:r w:rsidRPr="00AF5C56">
        <w:rPr>
          <w:sz w:val="22"/>
          <w:szCs w:val="22"/>
        </w:rPr>
        <w:t xml:space="preserve"> 56 (2006) 407-473.</w:t>
      </w:r>
    </w:p>
    <w:p w:rsidR="00AF5C56" w:rsidRPr="00AF5C56" w:rsidRDefault="00AF5C56" w:rsidP="00AF5C56">
      <w:pPr>
        <w:spacing w:after="0" w:line="240" w:lineRule="auto"/>
        <w:ind w:left="2552" w:hanging="2552"/>
        <w:rPr>
          <w:sz w:val="22"/>
          <w:szCs w:val="22"/>
        </w:rPr>
      </w:pPr>
      <w:r w:rsidRPr="00AF5C56">
        <w:rPr>
          <w:bCs/>
          <w:sz w:val="22"/>
          <w:szCs w:val="22"/>
          <w:lang w:val="pt-PT"/>
        </w:rPr>
        <w:t>Osborn</w:t>
      </w:r>
      <w:r w:rsidRPr="00AF5C56">
        <w:rPr>
          <w:bCs/>
          <w:sz w:val="22"/>
          <w:szCs w:val="22"/>
        </w:rPr>
        <w:t xml:space="preserve"> 2005</w:t>
      </w:r>
      <w:r w:rsidRPr="00AF5C56">
        <w:rPr>
          <w:sz w:val="22"/>
          <w:szCs w:val="22"/>
        </w:rPr>
        <w:tab/>
        <w:t xml:space="preserve">E. Osborn, </w:t>
      </w:r>
      <w:r w:rsidRPr="00AF5C56">
        <w:rPr>
          <w:i/>
          <w:iCs/>
          <w:sz w:val="22"/>
          <w:szCs w:val="22"/>
        </w:rPr>
        <w:t>Clement of Alexandria</w:t>
      </w:r>
      <w:r w:rsidRPr="00AF5C56">
        <w:rPr>
          <w:sz w:val="22"/>
          <w:szCs w:val="22"/>
        </w:rPr>
        <w:t>. Cambridge 2005.</w:t>
      </w:r>
    </w:p>
    <w:p w:rsidR="00AF5C56" w:rsidRPr="00AF5C56" w:rsidRDefault="00AF5C56" w:rsidP="00AF5C56">
      <w:pPr>
        <w:spacing w:after="0" w:line="240" w:lineRule="auto"/>
        <w:ind w:left="2552" w:hanging="2552"/>
        <w:rPr>
          <w:sz w:val="22"/>
          <w:szCs w:val="22"/>
        </w:rPr>
      </w:pPr>
      <w:r w:rsidRPr="00AF5C56">
        <w:rPr>
          <w:bCs/>
          <w:sz w:val="22"/>
          <w:szCs w:val="22"/>
        </w:rPr>
        <w:t>Ötüken 2007</w:t>
      </w:r>
      <w:r w:rsidRPr="00AF5C56">
        <w:rPr>
          <w:sz w:val="22"/>
          <w:szCs w:val="22"/>
        </w:rPr>
        <w:tab/>
        <w:t>S. Y. Ötüken, “Işık-Yaşam PWC-ZWH”. E</w:t>
      </w:r>
      <w:r w:rsidRPr="00AF5C56">
        <w:rPr>
          <w:sz w:val="22"/>
          <w:szCs w:val="22"/>
          <w:lang w:val="pt-PT"/>
        </w:rPr>
        <w:t>ds.</w:t>
      </w:r>
      <w:r w:rsidRPr="00AF5C56">
        <w:rPr>
          <w:sz w:val="22"/>
          <w:szCs w:val="22"/>
        </w:rPr>
        <w:t xml:space="preserve"> C. Işık – Z. Çizmeli Öğün, </w:t>
      </w:r>
      <w:r w:rsidRPr="00AF5C56">
        <w:rPr>
          <w:i/>
          <w:iCs/>
          <w:sz w:val="22"/>
          <w:szCs w:val="22"/>
        </w:rPr>
        <w:t>Calbis, Baki Öğün’e Armağan</w:t>
      </w:r>
      <w:r w:rsidRPr="00AF5C56">
        <w:rPr>
          <w:sz w:val="22"/>
          <w:szCs w:val="22"/>
        </w:rPr>
        <w:t>. Ankara (2007) 131-136.</w:t>
      </w:r>
    </w:p>
    <w:p w:rsidR="00AF5C56" w:rsidRPr="00AF5C56" w:rsidRDefault="00AF5C56" w:rsidP="00AF5C56">
      <w:pPr>
        <w:spacing w:after="0" w:line="240" w:lineRule="auto"/>
        <w:ind w:left="2552" w:hanging="2552"/>
        <w:rPr>
          <w:sz w:val="22"/>
          <w:szCs w:val="22"/>
        </w:rPr>
      </w:pPr>
      <w:r w:rsidRPr="00AF5C56">
        <w:rPr>
          <w:bCs/>
          <w:sz w:val="22"/>
          <w:szCs w:val="22"/>
        </w:rPr>
        <w:t>Özyurt-Özcan 2011</w:t>
      </w:r>
      <w:r w:rsidRPr="00AF5C56">
        <w:rPr>
          <w:sz w:val="22"/>
          <w:szCs w:val="22"/>
        </w:rPr>
        <w:tab/>
        <w:t>H. Özyurt Özcan, “Muğla, Milas ve Bodrum Arkeoloji Müzesi’nde Bulu</w:t>
      </w:r>
      <w:r w:rsidR="00A8575E">
        <w:rPr>
          <w:sz w:val="22"/>
          <w:szCs w:val="22"/>
        </w:rPr>
        <w:softHyphen/>
      </w:r>
      <w:r w:rsidRPr="00AF5C56">
        <w:rPr>
          <w:sz w:val="22"/>
          <w:szCs w:val="22"/>
        </w:rPr>
        <w:t>nan Erken Hıristiyanlık ve Bizans Dönemi’ne Ait Taş Eserler Üzerine İn</w:t>
      </w:r>
      <w:r w:rsidR="00A8575E">
        <w:rPr>
          <w:sz w:val="22"/>
          <w:szCs w:val="22"/>
        </w:rPr>
        <w:softHyphen/>
      </w:r>
      <w:r w:rsidRPr="00AF5C56">
        <w:rPr>
          <w:sz w:val="22"/>
          <w:szCs w:val="22"/>
        </w:rPr>
        <w:t xml:space="preserve">celemeler”. </w:t>
      </w:r>
      <w:r w:rsidRPr="00AF5C56">
        <w:rPr>
          <w:i/>
          <w:iCs/>
          <w:sz w:val="22"/>
          <w:szCs w:val="22"/>
        </w:rPr>
        <w:t>AST</w:t>
      </w:r>
      <w:r w:rsidRPr="00AF5C56">
        <w:rPr>
          <w:sz w:val="22"/>
          <w:szCs w:val="22"/>
        </w:rPr>
        <w:t xml:space="preserve"> XXVIII/1 (2011) 389-400. </w:t>
      </w:r>
    </w:p>
    <w:p w:rsidR="00AF5C56" w:rsidRPr="00AF5C56" w:rsidRDefault="00AF5C56" w:rsidP="00AF5C56">
      <w:pPr>
        <w:spacing w:after="0" w:line="240" w:lineRule="auto"/>
        <w:ind w:left="2552" w:hanging="2552"/>
        <w:rPr>
          <w:sz w:val="22"/>
          <w:szCs w:val="22"/>
        </w:rPr>
      </w:pPr>
      <w:r w:rsidRPr="00AF5C56">
        <w:rPr>
          <w:bCs/>
          <w:sz w:val="22"/>
          <w:szCs w:val="22"/>
        </w:rPr>
        <w:t>Podskalsky 1991</w:t>
      </w:r>
      <w:r w:rsidRPr="00AF5C56">
        <w:rPr>
          <w:sz w:val="22"/>
          <w:szCs w:val="22"/>
        </w:rPr>
        <w:tab/>
        <w:t>G. Podskalsky, “</w:t>
      </w:r>
      <w:r w:rsidRPr="00AF5C56">
        <w:rPr>
          <w:sz w:val="22"/>
          <w:szCs w:val="22"/>
          <w:lang w:val="en-US"/>
        </w:rPr>
        <w:t>Cross</w:t>
      </w:r>
      <w:r w:rsidRPr="00AF5C56">
        <w:rPr>
          <w:sz w:val="22"/>
          <w:szCs w:val="22"/>
        </w:rPr>
        <w:t xml:space="preserve">”. </w:t>
      </w:r>
      <w:r w:rsidRPr="00AF5C56">
        <w:rPr>
          <w:i/>
          <w:iCs/>
          <w:sz w:val="22"/>
          <w:szCs w:val="22"/>
          <w:lang w:val="en-US"/>
        </w:rPr>
        <w:t>The Oxford Dictionary of Byzantium</w:t>
      </w:r>
      <w:r w:rsidRPr="00AF5C56">
        <w:rPr>
          <w:sz w:val="22"/>
          <w:szCs w:val="22"/>
        </w:rPr>
        <w:t xml:space="preserve"> I (1991) 549-550.</w:t>
      </w:r>
    </w:p>
    <w:p w:rsidR="00AF5C56" w:rsidRPr="00AF5C56" w:rsidRDefault="00AF5C56" w:rsidP="00AF5C56">
      <w:pPr>
        <w:spacing w:after="0" w:line="240" w:lineRule="auto"/>
        <w:ind w:left="2552" w:hanging="2552"/>
        <w:rPr>
          <w:sz w:val="22"/>
          <w:szCs w:val="22"/>
        </w:rPr>
      </w:pPr>
      <w:r w:rsidRPr="00AF5C56">
        <w:rPr>
          <w:bCs/>
          <w:sz w:val="22"/>
          <w:szCs w:val="22"/>
          <w:lang w:val="en-US"/>
        </w:rPr>
        <w:t>Rom</w:t>
      </w:r>
      <w:r w:rsidRPr="00AF5C56">
        <w:rPr>
          <w:sz w:val="22"/>
          <w:szCs w:val="22"/>
          <w:lang w:val="pt-PT"/>
        </w:rPr>
        <w:t xml:space="preserve">. </w:t>
      </w:r>
      <w:r w:rsidRPr="00AF5C56">
        <w:rPr>
          <w:sz w:val="22"/>
          <w:szCs w:val="22"/>
          <w:lang w:val="pt-PT"/>
        </w:rPr>
        <w:tab/>
        <w:t xml:space="preserve">Romanos, </w:t>
      </w:r>
      <w:r w:rsidRPr="00AF5C56">
        <w:rPr>
          <w:i/>
          <w:iCs/>
          <w:sz w:val="22"/>
          <w:szCs w:val="22"/>
          <w:lang w:val="en-US"/>
        </w:rPr>
        <w:t xml:space="preserve">Kontakia of Romanos, Byzantine Melodist: On the Person of </w:t>
      </w:r>
      <w:r w:rsidRPr="00AF5C56">
        <w:rPr>
          <w:i/>
          <w:iCs/>
          <w:sz w:val="22"/>
          <w:szCs w:val="22"/>
          <w:lang w:val="da-DK"/>
        </w:rPr>
        <w:t>Christ</w:t>
      </w:r>
      <w:r w:rsidRPr="00AF5C56">
        <w:rPr>
          <w:sz w:val="22"/>
          <w:szCs w:val="22"/>
        </w:rPr>
        <w:t xml:space="preserve">. </w:t>
      </w:r>
      <w:r w:rsidRPr="00AF5C56">
        <w:rPr>
          <w:sz w:val="22"/>
          <w:szCs w:val="22"/>
          <w:lang w:val="en-US"/>
        </w:rPr>
        <w:t xml:space="preserve">Trans. </w:t>
      </w:r>
      <w:r w:rsidRPr="00AF5C56">
        <w:rPr>
          <w:sz w:val="22"/>
          <w:szCs w:val="22"/>
        </w:rPr>
        <w:t xml:space="preserve">M. Carpenter. Columbia 1970. </w:t>
      </w:r>
    </w:p>
    <w:p w:rsidR="00AF5C56" w:rsidRPr="00AF5C56" w:rsidRDefault="00AF5C56" w:rsidP="00AF5C56">
      <w:pPr>
        <w:spacing w:after="0" w:line="240" w:lineRule="auto"/>
        <w:ind w:left="2552" w:hanging="2552"/>
        <w:rPr>
          <w:sz w:val="22"/>
          <w:szCs w:val="22"/>
        </w:rPr>
      </w:pPr>
      <w:r w:rsidRPr="00AF5C56">
        <w:rPr>
          <w:bCs/>
          <w:sz w:val="22"/>
          <w:szCs w:val="22"/>
          <w:lang w:val="it-IT"/>
        </w:rPr>
        <w:t>Ruggieri</w:t>
      </w:r>
      <w:r w:rsidRPr="00AF5C56">
        <w:rPr>
          <w:bCs/>
          <w:sz w:val="22"/>
          <w:szCs w:val="22"/>
        </w:rPr>
        <w:t xml:space="preserve"> 2005</w:t>
      </w:r>
      <w:r w:rsidRPr="00AF5C56">
        <w:rPr>
          <w:sz w:val="22"/>
          <w:szCs w:val="22"/>
        </w:rPr>
        <w:tab/>
        <w:t xml:space="preserve">V. </w:t>
      </w:r>
      <w:r w:rsidRPr="00AF5C56">
        <w:rPr>
          <w:sz w:val="22"/>
          <w:szCs w:val="22"/>
          <w:lang w:val="it-IT"/>
        </w:rPr>
        <w:t xml:space="preserve">Ruggieri, </w:t>
      </w:r>
      <w:r w:rsidRPr="00AF5C56">
        <w:rPr>
          <w:i/>
          <w:iCs/>
          <w:sz w:val="22"/>
          <w:szCs w:val="22"/>
          <w:lang w:val="it-IT"/>
        </w:rPr>
        <w:t xml:space="preserve">La Caria </w:t>
      </w:r>
      <w:r w:rsidRPr="00AF5C56">
        <w:rPr>
          <w:i/>
          <w:iCs/>
          <w:sz w:val="22"/>
          <w:szCs w:val="22"/>
        </w:rPr>
        <w:t>B</w:t>
      </w:r>
      <w:r w:rsidRPr="00AF5C56">
        <w:rPr>
          <w:i/>
          <w:iCs/>
          <w:sz w:val="22"/>
          <w:szCs w:val="22"/>
          <w:lang w:val="it-IT"/>
        </w:rPr>
        <w:t xml:space="preserve">izantina: </w:t>
      </w:r>
      <w:r w:rsidRPr="00AF5C56">
        <w:rPr>
          <w:i/>
          <w:iCs/>
          <w:sz w:val="22"/>
          <w:szCs w:val="22"/>
        </w:rPr>
        <w:t>T</w:t>
      </w:r>
      <w:r w:rsidRPr="00AF5C56">
        <w:rPr>
          <w:i/>
          <w:iCs/>
          <w:sz w:val="22"/>
          <w:szCs w:val="22"/>
          <w:lang w:val="it-IT"/>
        </w:rPr>
        <w:t xml:space="preserve">opografia, </w:t>
      </w:r>
      <w:r w:rsidRPr="00AF5C56">
        <w:rPr>
          <w:i/>
          <w:iCs/>
          <w:sz w:val="22"/>
          <w:szCs w:val="22"/>
        </w:rPr>
        <w:t>A</w:t>
      </w:r>
      <w:r w:rsidRPr="00AF5C56">
        <w:rPr>
          <w:i/>
          <w:iCs/>
          <w:sz w:val="22"/>
          <w:szCs w:val="22"/>
          <w:lang w:val="it-IT"/>
        </w:rPr>
        <w:t xml:space="preserve">rcheologia ed </w:t>
      </w:r>
      <w:r w:rsidRPr="00AF5C56">
        <w:rPr>
          <w:i/>
          <w:iCs/>
          <w:sz w:val="22"/>
          <w:szCs w:val="22"/>
        </w:rPr>
        <w:t>A</w:t>
      </w:r>
      <w:r w:rsidRPr="00AF5C56">
        <w:rPr>
          <w:i/>
          <w:iCs/>
          <w:sz w:val="22"/>
          <w:szCs w:val="22"/>
          <w:lang w:val="it-IT"/>
        </w:rPr>
        <w:t xml:space="preserve">rte: Mylasa, </w:t>
      </w:r>
      <w:r w:rsidRPr="00AF5C56">
        <w:rPr>
          <w:i/>
          <w:iCs/>
          <w:sz w:val="22"/>
          <w:szCs w:val="22"/>
        </w:rPr>
        <w:t>Stratonikeia, Bargylia, Myndus, Halicarnassus</w:t>
      </w:r>
      <w:r w:rsidRPr="00AF5C56">
        <w:rPr>
          <w:iCs/>
          <w:sz w:val="22"/>
          <w:szCs w:val="22"/>
        </w:rPr>
        <w:t>.</w:t>
      </w:r>
      <w:r w:rsidRPr="00AF5C56">
        <w:rPr>
          <w:sz w:val="22"/>
          <w:szCs w:val="22"/>
        </w:rPr>
        <w:t xml:space="preserve"> </w:t>
      </w:r>
      <w:r w:rsidRPr="00AF5C56">
        <w:rPr>
          <w:sz w:val="22"/>
          <w:szCs w:val="22"/>
          <w:lang w:val="de-DE"/>
        </w:rPr>
        <w:t>Rubbettino</w:t>
      </w:r>
      <w:r w:rsidRPr="00AF5C56">
        <w:rPr>
          <w:sz w:val="22"/>
          <w:szCs w:val="22"/>
        </w:rPr>
        <w:t xml:space="preserve"> 2005.</w:t>
      </w:r>
    </w:p>
    <w:p w:rsidR="00AF5C56" w:rsidRPr="00AF5C56" w:rsidRDefault="00AF5C56" w:rsidP="00AF5C56">
      <w:pPr>
        <w:spacing w:after="0" w:line="240" w:lineRule="auto"/>
        <w:ind w:left="2552" w:hanging="2552"/>
        <w:rPr>
          <w:sz w:val="22"/>
          <w:szCs w:val="22"/>
        </w:rPr>
      </w:pPr>
      <w:r w:rsidRPr="00AF5C56">
        <w:rPr>
          <w:bCs/>
          <w:sz w:val="22"/>
          <w:szCs w:val="22"/>
          <w:lang w:val="de-DE"/>
        </w:rPr>
        <w:t>Schmaltz 2000</w:t>
      </w:r>
      <w:r w:rsidRPr="00AF5C56">
        <w:rPr>
          <w:bCs/>
          <w:sz w:val="22"/>
          <w:szCs w:val="22"/>
          <w:lang w:val="de-DE"/>
        </w:rPr>
        <w:tab/>
      </w:r>
      <w:r w:rsidRPr="00AF5C56">
        <w:rPr>
          <w:sz w:val="22"/>
          <w:szCs w:val="22"/>
          <w:lang w:val="de-DE"/>
        </w:rPr>
        <w:t xml:space="preserve">B. Schmaltz, “Die sogenannte Palästraterasse in Kaunos”. </w:t>
      </w:r>
      <w:r w:rsidRPr="00AF5C56">
        <w:rPr>
          <w:i/>
          <w:iCs/>
          <w:sz w:val="22"/>
          <w:szCs w:val="22"/>
          <w:lang w:val="de-DE"/>
        </w:rPr>
        <w:t xml:space="preserve">Archäologischer Anzeiger </w:t>
      </w:r>
      <w:r w:rsidRPr="00AF5C56">
        <w:rPr>
          <w:sz w:val="22"/>
          <w:szCs w:val="22"/>
          <w:lang w:val="de-DE"/>
        </w:rPr>
        <w:t>(2000) 17-54.</w:t>
      </w:r>
    </w:p>
    <w:p w:rsidR="00AF5C56" w:rsidRPr="00AF5C56" w:rsidRDefault="00AF5C56" w:rsidP="00AF5C56">
      <w:pPr>
        <w:spacing w:after="0" w:line="240" w:lineRule="auto"/>
        <w:ind w:left="2552" w:hanging="2552"/>
        <w:rPr>
          <w:sz w:val="22"/>
          <w:szCs w:val="22"/>
        </w:rPr>
      </w:pPr>
      <w:r w:rsidRPr="00AF5C56">
        <w:rPr>
          <w:bCs/>
          <w:sz w:val="22"/>
          <w:szCs w:val="22"/>
          <w:lang w:val="en-US"/>
        </w:rPr>
        <w:t>Sheppard 1969</w:t>
      </w:r>
      <w:r w:rsidRPr="00AF5C56">
        <w:rPr>
          <w:sz w:val="22"/>
          <w:szCs w:val="22"/>
          <w:lang w:val="en-US"/>
        </w:rPr>
        <w:tab/>
        <w:t xml:space="preserve">C. D. Sheppard, </w:t>
      </w:r>
      <w:r w:rsidRPr="00AF5C56">
        <w:rPr>
          <w:sz w:val="22"/>
          <w:szCs w:val="22"/>
        </w:rPr>
        <w:t>“Byzantine C</w:t>
      </w:r>
      <w:r w:rsidRPr="00AF5C56">
        <w:rPr>
          <w:sz w:val="22"/>
          <w:szCs w:val="22"/>
          <w:lang w:val="en-US"/>
        </w:rPr>
        <w:t xml:space="preserve">arved </w:t>
      </w:r>
      <w:r w:rsidRPr="00AF5C56">
        <w:rPr>
          <w:sz w:val="22"/>
          <w:szCs w:val="22"/>
        </w:rPr>
        <w:t>M</w:t>
      </w:r>
      <w:r w:rsidRPr="00AF5C56">
        <w:rPr>
          <w:sz w:val="22"/>
          <w:szCs w:val="22"/>
          <w:lang w:val="en-US"/>
        </w:rPr>
        <w:t xml:space="preserve">arble </w:t>
      </w:r>
      <w:r w:rsidRPr="00AF5C56">
        <w:rPr>
          <w:sz w:val="22"/>
          <w:szCs w:val="22"/>
        </w:rPr>
        <w:t xml:space="preserve">Slabs”. </w:t>
      </w:r>
      <w:r w:rsidRPr="00AF5C56">
        <w:rPr>
          <w:i/>
          <w:iCs/>
          <w:sz w:val="22"/>
          <w:szCs w:val="22"/>
          <w:lang w:val="de-DE"/>
        </w:rPr>
        <w:t>The Art Bulletin</w:t>
      </w:r>
      <w:r w:rsidRPr="00AF5C56">
        <w:rPr>
          <w:sz w:val="22"/>
          <w:szCs w:val="22"/>
        </w:rPr>
        <w:t xml:space="preserve"> 51/1 (1969) 65-71.</w:t>
      </w:r>
    </w:p>
    <w:p w:rsidR="00AF5C56" w:rsidRPr="00AF5C56" w:rsidRDefault="00AF5C56" w:rsidP="00AF5C56">
      <w:pPr>
        <w:spacing w:after="0" w:line="240" w:lineRule="auto"/>
        <w:ind w:left="2552" w:hanging="2552"/>
        <w:rPr>
          <w:sz w:val="22"/>
          <w:szCs w:val="22"/>
        </w:rPr>
      </w:pPr>
      <w:r w:rsidRPr="00AF5C56">
        <w:rPr>
          <w:bCs/>
          <w:sz w:val="22"/>
          <w:szCs w:val="22"/>
          <w:lang w:val="de-DE"/>
        </w:rPr>
        <w:t>Spitzing 1989</w:t>
      </w:r>
      <w:r w:rsidRPr="00AF5C56">
        <w:rPr>
          <w:sz w:val="22"/>
          <w:szCs w:val="22"/>
        </w:rPr>
        <w:tab/>
        <w:t xml:space="preserve">G. </w:t>
      </w:r>
      <w:r w:rsidRPr="00AF5C56">
        <w:rPr>
          <w:sz w:val="22"/>
          <w:szCs w:val="22"/>
          <w:lang w:val="de-DE"/>
        </w:rPr>
        <w:t xml:space="preserve">Spitzing, </w:t>
      </w:r>
      <w:r w:rsidRPr="00AF5C56">
        <w:rPr>
          <w:i/>
          <w:iCs/>
          <w:sz w:val="22"/>
          <w:szCs w:val="22"/>
        </w:rPr>
        <w:t>Lexikon B</w:t>
      </w:r>
      <w:r w:rsidRPr="00AF5C56">
        <w:rPr>
          <w:i/>
          <w:iCs/>
          <w:sz w:val="22"/>
          <w:szCs w:val="22"/>
          <w:lang w:val="de-DE"/>
        </w:rPr>
        <w:t>yzantinisch-</w:t>
      </w:r>
      <w:r w:rsidRPr="00AF5C56">
        <w:rPr>
          <w:i/>
          <w:iCs/>
          <w:sz w:val="22"/>
          <w:szCs w:val="22"/>
        </w:rPr>
        <w:t>C</w:t>
      </w:r>
      <w:r w:rsidRPr="00AF5C56">
        <w:rPr>
          <w:i/>
          <w:iCs/>
          <w:sz w:val="22"/>
          <w:szCs w:val="22"/>
          <w:lang w:val="de-DE"/>
        </w:rPr>
        <w:t>hristlicher Symbole: die Bilderwelt Griechenlands und Kleinasiens</w:t>
      </w:r>
      <w:r w:rsidRPr="00AF5C56">
        <w:rPr>
          <w:iCs/>
          <w:sz w:val="22"/>
          <w:szCs w:val="22"/>
        </w:rPr>
        <w:t>.</w:t>
      </w:r>
      <w:r w:rsidRPr="00AF5C56">
        <w:rPr>
          <w:sz w:val="22"/>
          <w:szCs w:val="22"/>
          <w:lang w:val="de-DE"/>
        </w:rPr>
        <w:t xml:space="preserve"> Diederichs 1989.</w:t>
      </w:r>
    </w:p>
    <w:p w:rsidR="00AF5C56" w:rsidRPr="00AF5C56" w:rsidRDefault="00AF5C56" w:rsidP="00AF5C56">
      <w:pPr>
        <w:spacing w:after="0" w:line="240" w:lineRule="auto"/>
        <w:ind w:left="2552" w:hanging="2552"/>
        <w:rPr>
          <w:sz w:val="22"/>
          <w:szCs w:val="22"/>
        </w:rPr>
      </w:pPr>
      <w:r w:rsidRPr="00AF5C56">
        <w:rPr>
          <w:bCs/>
          <w:sz w:val="22"/>
          <w:szCs w:val="22"/>
        </w:rPr>
        <w:t>Steph.</w:t>
      </w:r>
      <w:r w:rsidRPr="00AF5C56">
        <w:rPr>
          <w:bCs/>
          <w:sz w:val="22"/>
          <w:szCs w:val="22"/>
        </w:rPr>
        <w:tab/>
      </w:r>
      <w:r w:rsidRPr="00AF5C56">
        <w:rPr>
          <w:sz w:val="22"/>
          <w:szCs w:val="22"/>
        </w:rPr>
        <w:t xml:space="preserve">Stephani Byzantii, </w:t>
      </w:r>
      <w:r w:rsidRPr="00AF5C56">
        <w:rPr>
          <w:i/>
          <w:iCs/>
          <w:sz w:val="22"/>
          <w:szCs w:val="22"/>
          <w:lang w:val="de-DE"/>
        </w:rPr>
        <w:t>Ethnikon</w:t>
      </w:r>
      <w:r w:rsidRPr="00AF5C56">
        <w:rPr>
          <w:i/>
          <w:sz w:val="22"/>
          <w:szCs w:val="22"/>
          <w:lang w:val="de-DE"/>
        </w:rPr>
        <w:t xml:space="preserve">, Quae </w:t>
      </w:r>
      <w:r w:rsidRPr="00AF5C56">
        <w:rPr>
          <w:i/>
          <w:sz w:val="22"/>
          <w:szCs w:val="22"/>
        </w:rPr>
        <w:t>S</w:t>
      </w:r>
      <w:r w:rsidRPr="00AF5C56">
        <w:rPr>
          <w:i/>
          <w:sz w:val="22"/>
          <w:szCs w:val="22"/>
          <w:lang w:val="de-DE"/>
        </w:rPr>
        <w:t>upersunt</w:t>
      </w:r>
      <w:r w:rsidRPr="00AF5C56">
        <w:rPr>
          <w:sz w:val="22"/>
          <w:szCs w:val="22"/>
          <w:lang w:val="de-DE"/>
        </w:rPr>
        <w:t>.</w:t>
      </w:r>
      <w:r w:rsidRPr="00AF5C56">
        <w:rPr>
          <w:sz w:val="22"/>
          <w:szCs w:val="22"/>
        </w:rPr>
        <w:t xml:space="preserve"> Ed. A. </w:t>
      </w:r>
      <w:r w:rsidRPr="00AF5C56">
        <w:rPr>
          <w:sz w:val="22"/>
          <w:szCs w:val="22"/>
          <w:lang w:val="de-DE"/>
        </w:rPr>
        <w:t xml:space="preserve">Westermann. </w:t>
      </w:r>
      <w:r w:rsidRPr="00AF5C56">
        <w:rPr>
          <w:sz w:val="22"/>
          <w:szCs w:val="22"/>
          <w:lang w:val="en-US"/>
        </w:rPr>
        <w:t>Leip</w:t>
      </w:r>
      <w:r w:rsidR="00A8575E">
        <w:rPr>
          <w:sz w:val="22"/>
          <w:szCs w:val="22"/>
          <w:lang w:val="en-US"/>
        </w:rPr>
        <w:softHyphen/>
      </w:r>
      <w:r w:rsidRPr="00AF5C56">
        <w:rPr>
          <w:sz w:val="22"/>
          <w:szCs w:val="22"/>
          <w:lang w:val="en-US"/>
        </w:rPr>
        <w:t xml:space="preserve">zig </w:t>
      </w:r>
      <w:r w:rsidRPr="00AF5C56">
        <w:rPr>
          <w:sz w:val="22"/>
          <w:szCs w:val="22"/>
        </w:rPr>
        <w:t>1839.</w:t>
      </w:r>
    </w:p>
    <w:p w:rsidR="00AF5C56" w:rsidRPr="00AF5C56" w:rsidRDefault="00AF5C56" w:rsidP="00AF5C56">
      <w:pPr>
        <w:spacing w:after="0" w:line="240" w:lineRule="auto"/>
        <w:ind w:left="2552" w:hanging="2552"/>
        <w:rPr>
          <w:sz w:val="22"/>
          <w:szCs w:val="22"/>
        </w:rPr>
      </w:pPr>
      <w:r w:rsidRPr="00AF5C56">
        <w:rPr>
          <w:bCs/>
          <w:sz w:val="22"/>
          <w:szCs w:val="22"/>
          <w:lang w:val="en-US"/>
        </w:rPr>
        <w:t>Talbot-Rice 1950</w:t>
      </w:r>
      <w:r w:rsidR="009449B6">
        <w:rPr>
          <w:sz w:val="22"/>
          <w:szCs w:val="22"/>
          <w:lang w:val="en-US"/>
        </w:rPr>
        <w:tab/>
        <w:t>D. Talbot-</w:t>
      </w:r>
      <w:r w:rsidRPr="00AF5C56">
        <w:rPr>
          <w:sz w:val="22"/>
          <w:szCs w:val="22"/>
          <w:lang w:val="en-US"/>
        </w:rPr>
        <w:t xml:space="preserve">Rice, </w:t>
      </w:r>
      <w:r w:rsidRPr="00AF5C56">
        <w:rPr>
          <w:sz w:val="22"/>
          <w:szCs w:val="22"/>
        </w:rPr>
        <w:t>“</w:t>
      </w:r>
      <w:r w:rsidRPr="00AF5C56">
        <w:rPr>
          <w:sz w:val="22"/>
          <w:szCs w:val="22"/>
          <w:lang w:val="en-US"/>
        </w:rPr>
        <w:t>The Leaved Cross</w:t>
      </w:r>
      <w:r w:rsidRPr="00AF5C56">
        <w:rPr>
          <w:sz w:val="22"/>
          <w:szCs w:val="22"/>
        </w:rPr>
        <w:t xml:space="preserve">”. </w:t>
      </w:r>
      <w:r w:rsidRPr="00AF5C56">
        <w:rPr>
          <w:i/>
          <w:iCs/>
          <w:sz w:val="22"/>
          <w:szCs w:val="22"/>
        </w:rPr>
        <w:t>Byzantinoslavica</w:t>
      </w:r>
      <w:r w:rsidRPr="00AF5C56">
        <w:rPr>
          <w:sz w:val="22"/>
          <w:szCs w:val="22"/>
        </w:rPr>
        <w:t xml:space="preserve"> 11 (1950) 69-81. </w:t>
      </w:r>
    </w:p>
    <w:p w:rsidR="00AF5C56" w:rsidRPr="00AF5C56" w:rsidRDefault="00AF5C56" w:rsidP="00AF5C56">
      <w:pPr>
        <w:spacing w:after="0" w:line="240" w:lineRule="auto"/>
        <w:ind w:left="2552" w:hanging="2552"/>
        <w:rPr>
          <w:sz w:val="22"/>
          <w:szCs w:val="22"/>
        </w:rPr>
      </w:pPr>
      <w:r w:rsidRPr="00AF5C56">
        <w:rPr>
          <w:bCs/>
          <w:sz w:val="22"/>
          <w:szCs w:val="22"/>
        </w:rPr>
        <w:t>Teteriatnikov 1995</w:t>
      </w:r>
      <w:r w:rsidRPr="00AF5C56">
        <w:rPr>
          <w:sz w:val="22"/>
          <w:szCs w:val="22"/>
        </w:rPr>
        <w:tab/>
        <w:t>N. Teteriatnikov, “</w:t>
      </w:r>
      <w:r w:rsidRPr="00AF5C56">
        <w:rPr>
          <w:sz w:val="22"/>
          <w:szCs w:val="22"/>
          <w:lang w:val="en-US"/>
        </w:rPr>
        <w:t>The Hidden Cross and Tree Program in the Brick</w:t>
      </w:r>
      <w:r w:rsidR="00A8575E">
        <w:rPr>
          <w:sz w:val="22"/>
          <w:szCs w:val="22"/>
          <w:lang w:val="en-US"/>
        </w:rPr>
        <w:softHyphen/>
      </w:r>
      <w:r w:rsidRPr="00AF5C56">
        <w:rPr>
          <w:sz w:val="22"/>
          <w:szCs w:val="22"/>
          <w:lang w:val="en-US"/>
        </w:rPr>
        <w:t>work of Hagia Sophia</w:t>
      </w:r>
      <w:r w:rsidRPr="00AF5C56">
        <w:rPr>
          <w:sz w:val="22"/>
          <w:szCs w:val="22"/>
        </w:rPr>
        <w:t xml:space="preserve">”. </w:t>
      </w:r>
      <w:r w:rsidRPr="00AF5C56">
        <w:rPr>
          <w:i/>
          <w:iCs/>
          <w:sz w:val="22"/>
          <w:szCs w:val="22"/>
        </w:rPr>
        <w:t>Byzantinoslavica</w:t>
      </w:r>
      <w:r w:rsidRPr="00AF5C56">
        <w:rPr>
          <w:sz w:val="22"/>
          <w:szCs w:val="22"/>
        </w:rPr>
        <w:t xml:space="preserve"> 56 (1995) 689-699. </w:t>
      </w:r>
    </w:p>
    <w:p w:rsidR="00AF5C56" w:rsidRPr="00AF5C56" w:rsidRDefault="00AF5C56" w:rsidP="00AF5C56">
      <w:pPr>
        <w:spacing w:after="0" w:line="240" w:lineRule="auto"/>
        <w:ind w:left="2552" w:hanging="2552"/>
        <w:rPr>
          <w:sz w:val="22"/>
          <w:szCs w:val="22"/>
        </w:rPr>
      </w:pPr>
      <w:r w:rsidRPr="00AF5C56">
        <w:rPr>
          <w:bCs/>
          <w:sz w:val="22"/>
          <w:szCs w:val="22"/>
        </w:rPr>
        <w:t>Tsuji 1995</w:t>
      </w:r>
      <w:r w:rsidRPr="00AF5C56">
        <w:rPr>
          <w:sz w:val="22"/>
          <w:szCs w:val="22"/>
        </w:rPr>
        <w:tab/>
        <w:t xml:space="preserve">S. </w:t>
      </w:r>
      <w:r w:rsidRPr="00AF5C56">
        <w:rPr>
          <w:sz w:val="22"/>
          <w:szCs w:val="22"/>
          <w:lang w:val="en-US"/>
        </w:rPr>
        <w:t xml:space="preserve">Tsuji, </w:t>
      </w:r>
      <w:r w:rsidRPr="00AF5C56">
        <w:rPr>
          <w:i/>
          <w:iCs/>
          <w:sz w:val="22"/>
          <w:szCs w:val="22"/>
          <w:lang w:val="en-US"/>
        </w:rPr>
        <w:t xml:space="preserve">The </w:t>
      </w:r>
      <w:r w:rsidRPr="00AF5C56">
        <w:rPr>
          <w:i/>
          <w:iCs/>
          <w:sz w:val="22"/>
          <w:szCs w:val="22"/>
        </w:rPr>
        <w:t>S</w:t>
      </w:r>
      <w:r w:rsidRPr="00AF5C56">
        <w:rPr>
          <w:i/>
          <w:iCs/>
          <w:sz w:val="22"/>
          <w:szCs w:val="22"/>
          <w:lang w:val="en-US"/>
        </w:rPr>
        <w:t xml:space="preserve">urvey of </w:t>
      </w:r>
      <w:r w:rsidRPr="00AF5C56">
        <w:rPr>
          <w:i/>
          <w:iCs/>
          <w:sz w:val="22"/>
          <w:szCs w:val="22"/>
        </w:rPr>
        <w:t>E</w:t>
      </w:r>
      <w:r w:rsidRPr="00AF5C56">
        <w:rPr>
          <w:i/>
          <w:iCs/>
          <w:sz w:val="22"/>
          <w:szCs w:val="22"/>
          <w:lang w:val="en-US"/>
        </w:rPr>
        <w:t xml:space="preserve">arly Byzantine </w:t>
      </w:r>
      <w:r w:rsidRPr="00AF5C56">
        <w:rPr>
          <w:i/>
          <w:iCs/>
          <w:sz w:val="22"/>
          <w:szCs w:val="22"/>
        </w:rPr>
        <w:t>S</w:t>
      </w:r>
      <w:r w:rsidRPr="00AF5C56">
        <w:rPr>
          <w:i/>
          <w:iCs/>
          <w:sz w:val="22"/>
          <w:szCs w:val="22"/>
          <w:lang w:val="en-US"/>
        </w:rPr>
        <w:t xml:space="preserve">ites in </w:t>
      </w:r>
      <w:r w:rsidRPr="00AF5C56">
        <w:rPr>
          <w:i/>
          <w:iCs/>
          <w:sz w:val="22"/>
          <w:szCs w:val="22"/>
        </w:rPr>
        <w:t>Ölüdeniz Area (Lycia, Tur</w:t>
      </w:r>
      <w:r w:rsidR="00A8575E">
        <w:rPr>
          <w:i/>
          <w:iCs/>
          <w:sz w:val="22"/>
          <w:szCs w:val="22"/>
        </w:rPr>
        <w:softHyphen/>
      </w:r>
      <w:r w:rsidRPr="00AF5C56">
        <w:rPr>
          <w:i/>
          <w:iCs/>
          <w:sz w:val="22"/>
          <w:szCs w:val="22"/>
        </w:rPr>
        <w:t>key): T</w:t>
      </w:r>
      <w:r w:rsidRPr="00AF5C56">
        <w:rPr>
          <w:i/>
          <w:iCs/>
          <w:sz w:val="22"/>
          <w:szCs w:val="22"/>
          <w:lang w:val="en-US"/>
        </w:rPr>
        <w:t xml:space="preserve">he </w:t>
      </w:r>
      <w:r w:rsidRPr="00AF5C56">
        <w:rPr>
          <w:i/>
          <w:iCs/>
          <w:sz w:val="22"/>
          <w:szCs w:val="22"/>
        </w:rPr>
        <w:t>F</w:t>
      </w:r>
      <w:r w:rsidRPr="00AF5C56">
        <w:rPr>
          <w:i/>
          <w:iCs/>
          <w:sz w:val="22"/>
          <w:szCs w:val="22"/>
          <w:lang w:val="en-US"/>
        </w:rPr>
        <w:t xml:space="preserve">irst </w:t>
      </w:r>
      <w:r w:rsidRPr="00AF5C56">
        <w:rPr>
          <w:i/>
          <w:iCs/>
          <w:sz w:val="22"/>
          <w:szCs w:val="22"/>
        </w:rPr>
        <w:t>P</w:t>
      </w:r>
      <w:r w:rsidRPr="00AF5C56">
        <w:rPr>
          <w:i/>
          <w:iCs/>
          <w:sz w:val="22"/>
          <w:szCs w:val="22"/>
          <w:lang w:val="en-US"/>
        </w:rPr>
        <w:t xml:space="preserve">reliminary </w:t>
      </w:r>
      <w:r w:rsidRPr="00AF5C56">
        <w:rPr>
          <w:i/>
          <w:iCs/>
          <w:sz w:val="22"/>
          <w:szCs w:val="22"/>
        </w:rPr>
        <w:t>R</w:t>
      </w:r>
      <w:r w:rsidRPr="00AF5C56">
        <w:rPr>
          <w:i/>
          <w:iCs/>
          <w:sz w:val="22"/>
          <w:szCs w:val="22"/>
          <w:lang w:val="es-ES_tradnl"/>
        </w:rPr>
        <w:t>eport</w:t>
      </w:r>
      <w:r w:rsidRPr="00AF5C56">
        <w:rPr>
          <w:iCs/>
          <w:sz w:val="22"/>
          <w:szCs w:val="22"/>
        </w:rPr>
        <w:t>.</w:t>
      </w:r>
      <w:r w:rsidRPr="00AF5C56">
        <w:rPr>
          <w:sz w:val="22"/>
          <w:szCs w:val="22"/>
        </w:rPr>
        <w:t xml:space="preserve"> Osaka 1995.</w:t>
      </w:r>
    </w:p>
    <w:p w:rsidR="00AF5C56" w:rsidRPr="00AF5C56" w:rsidRDefault="00AF5C56" w:rsidP="00AF5C56">
      <w:pPr>
        <w:spacing w:after="0" w:line="240" w:lineRule="auto"/>
        <w:ind w:left="2552" w:hanging="2552"/>
        <w:rPr>
          <w:sz w:val="22"/>
          <w:szCs w:val="22"/>
        </w:rPr>
      </w:pPr>
      <w:r w:rsidRPr="00AF5C56">
        <w:rPr>
          <w:bCs/>
          <w:sz w:val="22"/>
          <w:szCs w:val="22"/>
        </w:rPr>
        <w:t>Wilpert 1903</w:t>
      </w:r>
      <w:r w:rsidRPr="00AF5C56">
        <w:rPr>
          <w:sz w:val="22"/>
          <w:szCs w:val="22"/>
        </w:rPr>
        <w:tab/>
        <w:t xml:space="preserve">J. Wilpert, </w:t>
      </w:r>
      <w:r w:rsidRPr="00AF5C56">
        <w:rPr>
          <w:i/>
          <w:iCs/>
          <w:sz w:val="22"/>
          <w:szCs w:val="22"/>
          <w:lang w:val="de-DE"/>
        </w:rPr>
        <w:t>Die Malereien der Katakomben Roms</w:t>
      </w:r>
      <w:r w:rsidRPr="00AF5C56">
        <w:rPr>
          <w:sz w:val="22"/>
          <w:szCs w:val="22"/>
          <w:lang w:val="de-DE"/>
        </w:rPr>
        <w:t>. Freiburg 1903.</w:t>
      </w:r>
    </w:p>
    <w:p w:rsidR="00AF5C56" w:rsidRPr="00AF5C56" w:rsidRDefault="00AF5C56" w:rsidP="00AF5C56">
      <w:pPr>
        <w:spacing w:after="0" w:line="240" w:lineRule="auto"/>
        <w:ind w:left="2552" w:hanging="2552"/>
        <w:rPr>
          <w:sz w:val="22"/>
          <w:szCs w:val="22"/>
        </w:rPr>
      </w:pPr>
      <w:r w:rsidRPr="00AF5C56">
        <w:rPr>
          <w:bCs/>
          <w:sz w:val="22"/>
          <w:szCs w:val="22"/>
        </w:rPr>
        <w:t>Zäh 2001</w:t>
      </w:r>
      <w:r w:rsidRPr="00AF5C56">
        <w:rPr>
          <w:sz w:val="22"/>
          <w:szCs w:val="22"/>
        </w:rPr>
        <w:tab/>
      </w:r>
      <w:r w:rsidRPr="00AF5C56">
        <w:rPr>
          <w:sz w:val="22"/>
          <w:szCs w:val="22"/>
          <w:lang w:val="de-DE"/>
        </w:rPr>
        <w:t xml:space="preserve">A. Zäh, “Das Spätantike und Byzantische Kaunos”. </w:t>
      </w:r>
      <w:r w:rsidRPr="00AF5C56">
        <w:rPr>
          <w:i/>
          <w:iCs/>
          <w:sz w:val="22"/>
          <w:szCs w:val="22"/>
          <w:lang w:val="de-DE"/>
        </w:rPr>
        <w:t>Istanbuler Mitteilun</w:t>
      </w:r>
      <w:r w:rsidR="00A8575E">
        <w:rPr>
          <w:i/>
          <w:iCs/>
          <w:sz w:val="22"/>
          <w:szCs w:val="22"/>
          <w:lang w:val="de-DE"/>
        </w:rPr>
        <w:softHyphen/>
      </w:r>
      <w:r w:rsidRPr="00AF5C56">
        <w:rPr>
          <w:i/>
          <w:iCs/>
          <w:sz w:val="22"/>
          <w:szCs w:val="22"/>
          <w:lang w:val="de-DE"/>
        </w:rPr>
        <w:t xml:space="preserve">gen </w:t>
      </w:r>
      <w:r w:rsidRPr="00AF5C56">
        <w:rPr>
          <w:sz w:val="22"/>
          <w:szCs w:val="22"/>
          <w:lang w:val="de-DE"/>
        </w:rPr>
        <w:t>51 (2001) 403-413.</w:t>
      </w:r>
    </w:p>
    <w:p w:rsidR="00AF5C56" w:rsidRPr="00AF5C56" w:rsidRDefault="00AF5C56" w:rsidP="00AF5C56">
      <w:pPr>
        <w:spacing w:after="0" w:line="240" w:lineRule="auto"/>
        <w:ind w:left="2552" w:hanging="2552"/>
        <w:rPr>
          <w:sz w:val="22"/>
          <w:szCs w:val="22"/>
        </w:rPr>
      </w:pPr>
      <w:r w:rsidRPr="00AF5C56">
        <w:rPr>
          <w:bCs/>
          <w:sz w:val="22"/>
          <w:szCs w:val="22"/>
        </w:rPr>
        <w:t>Zäh 2003</w:t>
      </w:r>
      <w:r w:rsidRPr="00AF5C56">
        <w:rPr>
          <w:sz w:val="22"/>
          <w:szCs w:val="22"/>
        </w:rPr>
        <w:tab/>
        <w:t xml:space="preserve">A. Zäh, </w:t>
      </w:r>
      <w:r w:rsidRPr="00AF5C56">
        <w:rPr>
          <w:i/>
          <w:iCs/>
          <w:sz w:val="22"/>
          <w:szCs w:val="22"/>
          <w:lang w:val="de-DE"/>
        </w:rPr>
        <w:t xml:space="preserve">Zur Typologie </w:t>
      </w:r>
      <w:r w:rsidRPr="00AF5C56">
        <w:rPr>
          <w:i/>
          <w:iCs/>
          <w:sz w:val="22"/>
          <w:szCs w:val="22"/>
        </w:rPr>
        <w:t>K</w:t>
      </w:r>
      <w:r w:rsidRPr="00AF5C56">
        <w:rPr>
          <w:i/>
          <w:iCs/>
          <w:sz w:val="22"/>
          <w:szCs w:val="22"/>
          <w:lang w:val="de-DE"/>
        </w:rPr>
        <w:t xml:space="preserve">irchlicher Architektur im </w:t>
      </w:r>
      <w:r w:rsidRPr="00AF5C56">
        <w:rPr>
          <w:i/>
          <w:iCs/>
          <w:sz w:val="22"/>
          <w:szCs w:val="22"/>
        </w:rPr>
        <w:t>Sü</w:t>
      </w:r>
      <w:r w:rsidRPr="00AF5C56">
        <w:rPr>
          <w:i/>
          <w:iCs/>
          <w:sz w:val="22"/>
          <w:szCs w:val="22"/>
          <w:lang w:val="de-DE"/>
        </w:rPr>
        <w:t>dwestlichen Kleinasi</w:t>
      </w:r>
      <w:r w:rsidR="00A8575E">
        <w:rPr>
          <w:i/>
          <w:iCs/>
          <w:sz w:val="22"/>
          <w:szCs w:val="22"/>
          <w:lang w:val="de-DE"/>
        </w:rPr>
        <w:softHyphen/>
      </w:r>
      <w:r w:rsidRPr="00AF5C56">
        <w:rPr>
          <w:i/>
          <w:iCs/>
          <w:sz w:val="22"/>
          <w:szCs w:val="22"/>
          <w:lang w:val="de-DE"/>
        </w:rPr>
        <w:t>en</w:t>
      </w:r>
      <w:r w:rsidRPr="00AF5C56">
        <w:rPr>
          <w:sz w:val="22"/>
          <w:szCs w:val="22"/>
          <w:lang w:val="de-DE"/>
        </w:rPr>
        <w:t xml:space="preserve">. Maintal 2003. </w:t>
      </w:r>
    </w:p>
    <w:p w:rsidR="00AF5C56" w:rsidRPr="00AF5C56" w:rsidRDefault="00AF5C56" w:rsidP="00AF5C56">
      <w:pPr>
        <w:spacing w:after="0" w:line="240" w:lineRule="auto"/>
        <w:ind w:left="2552" w:hanging="2552"/>
        <w:rPr>
          <w:sz w:val="22"/>
          <w:szCs w:val="22"/>
        </w:rPr>
      </w:pPr>
      <w:r w:rsidRPr="00AF5C56">
        <w:rPr>
          <w:bCs/>
          <w:sz w:val="22"/>
          <w:szCs w:val="22"/>
        </w:rPr>
        <w:t>Zolt 1994</w:t>
      </w:r>
      <w:r w:rsidRPr="00AF5C56">
        <w:rPr>
          <w:sz w:val="22"/>
          <w:szCs w:val="22"/>
        </w:rPr>
        <w:tab/>
        <w:t xml:space="preserve">T. </w:t>
      </w:r>
      <w:r w:rsidRPr="00AF5C56">
        <w:rPr>
          <w:sz w:val="22"/>
          <w:szCs w:val="22"/>
          <w:lang w:val="de-DE"/>
        </w:rPr>
        <w:t xml:space="preserve">Zollt, </w:t>
      </w:r>
      <w:r w:rsidRPr="00AF5C56">
        <w:rPr>
          <w:i/>
          <w:iCs/>
          <w:sz w:val="22"/>
          <w:szCs w:val="22"/>
          <w:lang w:val="de-DE"/>
        </w:rPr>
        <w:t>Kapitellplastik</w:t>
      </w:r>
      <w:r w:rsidRPr="00AF5C56">
        <w:rPr>
          <w:sz w:val="22"/>
          <w:szCs w:val="22"/>
        </w:rPr>
        <w:t xml:space="preserve"> </w:t>
      </w:r>
      <w:r w:rsidRPr="00AF5C56">
        <w:rPr>
          <w:i/>
          <w:iCs/>
          <w:sz w:val="22"/>
          <w:szCs w:val="22"/>
          <w:lang w:val="de-DE"/>
        </w:rPr>
        <w:t>Konstantinopels vom 4. bis 6. Jahrhundert n. Chr.: mit einem Beitrag zur Untersuchung des ionischen K</w:t>
      </w:r>
      <w:r w:rsidRPr="00AF5C56">
        <w:rPr>
          <w:i/>
          <w:iCs/>
          <w:sz w:val="22"/>
          <w:szCs w:val="22"/>
        </w:rPr>
        <w:t>ä</w:t>
      </w:r>
      <w:r w:rsidRPr="00AF5C56">
        <w:rPr>
          <w:i/>
          <w:iCs/>
          <w:sz w:val="22"/>
          <w:szCs w:val="22"/>
          <w:lang w:val="de-DE"/>
        </w:rPr>
        <w:t>mpferkapitells</w:t>
      </w:r>
      <w:r w:rsidRPr="00AF5C56">
        <w:rPr>
          <w:iCs/>
          <w:sz w:val="22"/>
          <w:szCs w:val="22"/>
        </w:rPr>
        <w:t>.</w:t>
      </w:r>
      <w:r w:rsidRPr="00AF5C56">
        <w:rPr>
          <w:sz w:val="22"/>
          <w:szCs w:val="22"/>
        </w:rPr>
        <w:t xml:space="preserve"> Ha</w:t>
      </w:r>
      <w:r w:rsidR="00A8575E">
        <w:rPr>
          <w:sz w:val="22"/>
          <w:szCs w:val="22"/>
        </w:rPr>
        <w:softHyphen/>
      </w:r>
      <w:r w:rsidRPr="00AF5C56">
        <w:rPr>
          <w:sz w:val="22"/>
          <w:szCs w:val="22"/>
        </w:rPr>
        <w:t>belt 1994.</w:t>
      </w:r>
    </w:p>
    <w:p w:rsidR="00AD65A9" w:rsidRPr="003F0B7E" w:rsidRDefault="00AD65A9" w:rsidP="00DB5F6B">
      <w:pPr>
        <w:spacing w:after="0" w:line="240" w:lineRule="auto"/>
        <w:ind w:firstLine="0"/>
        <w:rPr>
          <w:sz w:val="22"/>
          <w:szCs w:val="22"/>
        </w:rPr>
      </w:pPr>
    </w:p>
    <w:sectPr w:rsidR="00AD65A9" w:rsidRPr="003F0B7E" w:rsidSect="009B0CDE">
      <w:headerReference w:type="even" r:id="rId16"/>
      <w:headerReference w:type="default" r:id="rId17"/>
      <w:headerReference w:type="first" r:id="rId18"/>
      <w:type w:val="oddPage"/>
      <w:pgSz w:w="11907" w:h="16840" w:code="9"/>
      <w:pgMar w:top="1701" w:right="1701" w:bottom="1701" w:left="1701" w:header="1701" w:footer="0" w:gutter="0"/>
      <w:pgNumType w:start="45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237" w:rsidRDefault="00B01237">
      <w:r>
        <w:separator/>
      </w:r>
    </w:p>
  </w:endnote>
  <w:endnote w:type="continuationSeparator" w:id="0">
    <w:p w:rsidR="00B01237" w:rsidRDefault="00B0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Arial Unicode MS">
    <w:panose1 w:val="020B0604020202020204"/>
    <w:charset w:val="80"/>
    <w:family w:val="swiss"/>
    <w:pitch w:val="variable"/>
    <w:sig w:usb0="F7FFAFFF" w:usb1="E9DFFFFF" w:usb2="0000003F" w:usb3="00000000" w:csb0="003F01FF"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237" w:rsidRDefault="00B01237">
      <w:r>
        <w:separator/>
      </w:r>
    </w:p>
  </w:footnote>
  <w:footnote w:type="continuationSeparator" w:id="0">
    <w:p w:rsidR="00B01237" w:rsidRDefault="00B01237">
      <w:r>
        <w:continuationSeparator/>
      </w:r>
    </w:p>
  </w:footnote>
  <w:footnote w:id="1">
    <w:p w:rsidR="00DA763A" w:rsidRPr="008769AB" w:rsidRDefault="00CE4A93" w:rsidP="008769AB">
      <w:pPr>
        <w:pStyle w:val="DipnotNumaralar"/>
        <w:spacing w:line="0" w:lineRule="atLeast"/>
        <w:rPr>
          <w:lang w:val="de-DE"/>
        </w:rPr>
      </w:pPr>
      <w:r w:rsidRPr="008769AB">
        <w:rPr>
          <w:rStyle w:val="DipnotBavurusu"/>
          <w:rFonts w:ascii="Minion Pro Disp" w:hAnsi="Minion Pro Disp"/>
          <w:color w:val="auto"/>
          <w:lang w:val="tr-TR"/>
        </w:rPr>
        <w:sym w:font="Symbol" w:char="F02A"/>
      </w:r>
      <w:r w:rsidRPr="008769AB">
        <w:rPr>
          <w:lang w:val="de-DE"/>
        </w:rPr>
        <w:t xml:space="preserve"> </w:t>
      </w:r>
      <w:r w:rsidRPr="008769AB">
        <w:rPr>
          <w:lang w:val="de-DE"/>
        </w:rPr>
        <w:tab/>
      </w:r>
      <w:r w:rsidR="00DA763A" w:rsidRPr="008769AB">
        <w:rPr>
          <w:lang w:val="de-DE"/>
        </w:rPr>
        <w:t>Dr. Öğr. Üyesi, Hacı Bektaş Veli Üniversitesi, Fen-Edebiyat Fakültesi, Arkeoloji Bölümü, Nevşehir.</w:t>
      </w:r>
    </w:p>
    <w:p w:rsidR="00CE4A93" w:rsidRPr="008769AB" w:rsidRDefault="00DA763A" w:rsidP="008769AB">
      <w:pPr>
        <w:pStyle w:val="DipnotNumaralar"/>
        <w:spacing w:line="0" w:lineRule="atLeast"/>
        <w:rPr>
          <w:lang w:val="tr-TR"/>
        </w:rPr>
      </w:pPr>
      <w:r w:rsidRPr="008769AB">
        <w:rPr>
          <w:lang w:val="de-DE"/>
        </w:rPr>
        <w:t xml:space="preserve">   </w:t>
      </w:r>
      <w:r w:rsidRPr="008769AB">
        <w:rPr>
          <w:lang w:val="de-DE"/>
        </w:rPr>
        <w:tab/>
        <w:t>pekernilufer@gmail.com</w:t>
      </w:r>
    </w:p>
  </w:footnote>
  <w:footnote w:id="2">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I am grateful to Prof. Dr. Cengiz I</w:t>
      </w:r>
      <w:r w:rsidRPr="008769AB">
        <w:rPr>
          <w:sz w:val="20"/>
        </w:rPr>
        <w:t>şı</w:t>
      </w:r>
      <w:r w:rsidRPr="008769AB">
        <w:rPr>
          <w:sz w:val="20"/>
          <w:lang w:val="en-US"/>
        </w:rPr>
        <w:t>k for giving me the opportunity to work Byzantine materials in Caunus.</w:t>
      </w:r>
    </w:p>
  </w:footnote>
  <w:footnote w:id="3">
    <w:p w:rsidR="008769AB" w:rsidRPr="008769AB" w:rsidRDefault="008769AB" w:rsidP="008769AB">
      <w:pPr>
        <w:spacing w:after="0" w:line="0" w:lineRule="atLeast"/>
        <w:ind w:left="284" w:hanging="284"/>
        <w:rPr>
          <w:sz w:val="20"/>
        </w:rPr>
      </w:pPr>
      <w:r w:rsidRPr="008769AB">
        <w:rPr>
          <w:sz w:val="20"/>
          <w:vertAlign w:val="superscript"/>
        </w:rPr>
        <w:footnoteRef/>
      </w:r>
      <w:r w:rsidRPr="008769AB">
        <w:rPr>
          <w:sz w:val="20"/>
        </w:rPr>
        <w:t xml:space="preserve"> </w:t>
      </w:r>
      <w:r>
        <w:rPr>
          <w:sz w:val="20"/>
        </w:rPr>
        <w:tab/>
      </w:r>
      <w:r w:rsidRPr="008769AB">
        <w:rPr>
          <w:sz w:val="20"/>
        </w:rPr>
        <w:t>0,40 x0,37x 0,35 m.</w:t>
      </w:r>
    </w:p>
  </w:footnote>
  <w:footnote w:id="4">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it-IT"/>
        </w:rPr>
        <w:t xml:space="preserve"> </w:t>
      </w:r>
      <w:r>
        <w:rPr>
          <w:sz w:val="20"/>
          <w:lang w:val="it-IT"/>
        </w:rPr>
        <w:tab/>
      </w:r>
      <w:r w:rsidRPr="008769AB">
        <w:rPr>
          <w:sz w:val="20"/>
          <w:lang w:val="it-IT"/>
        </w:rPr>
        <w:t>Sheppard 1969, 65.</w:t>
      </w:r>
    </w:p>
  </w:footnote>
  <w:footnote w:id="5">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Talbot Rice 1950, 77.</w:t>
      </w:r>
    </w:p>
  </w:footnote>
  <w:footnote w:id="6">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 xml:space="preserve">For further information about the theological approach </w:t>
      </w:r>
      <w:r w:rsidRPr="008769AB">
        <w:rPr>
          <w:sz w:val="20"/>
        </w:rPr>
        <w:t>to</w:t>
      </w:r>
      <w:r w:rsidRPr="008769AB">
        <w:rPr>
          <w:sz w:val="20"/>
          <w:lang w:val="en-US"/>
        </w:rPr>
        <w:t xml:space="preserve"> the tree of life </w:t>
      </w:r>
      <w:r w:rsidRPr="008769AB">
        <w:rPr>
          <w:sz w:val="20"/>
        </w:rPr>
        <w:t>by</w:t>
      </w:r>
      <w:r w:rsidRPr="008769AB">
        <w:rPr>
          <w:sz w:val="20"/>
          <w:lang w:val="en-US"/>
        </w:rPr>
        <w:t xml:space="preserve"> Ephrem the Syrian see, Brock 1992.</w:t>
      </w:r>
    </w:p>
  </w:footnote>
  <w:footnote w:id="7">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Eph.2, 61</w:t>
      </w:r>
    </w:p>
  </w:footnote>
  <w:footnote w:id="8">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Sheppard 1969, 66.</w:t>
      </w:r>
    </w:p>
  </w:footnote>
  <w:footnote w:id="9">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Leont. 108.  </w:t>
      </w:r>
    </w:p>
  </w:footnote>
  <w:footnote w:id="10">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Gador-Whyte 2017, 74-78.</w:t>
      </w:r>
    </w:p>
  </w:footnote>
  <w:footnote w:id="11">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lang w:val="en-US"/>
        </w:rPr>
        <w:t>Romanos uses three main rhetorical techniques to explore some ideas of correcting human wrongs and perfecting the human race: typology, comparison and metaphor. Types for Christ, Mary and the cross show Christ as the second Adam, Mary as the second Eve and the cross as the second Tree (of Life or Knowledge), all demonstrating that by the life and death of Jesus Christ God restores humans to life. For further information see Gador-Whyte 2017, 54, 72-79.</w:t>
      </w:r>
    </w:p>
  </w:footnote>
  <w:footnote w:id="12">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Podskalsky 1991, 550.</w:t>
      </w:r>
    </w:p>
  </w:footnote>
  <w:footnote w:id="13">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nl-NL"/>
        </w:rPr>
        <w:t xml:space="preserve"> </w:t>
      </w:r>
      <w:r>
        <w:rPr>
          <w:sz w:val="20"/>
          <w:lang w:val="nl-NL"/>
        </w:rPr>
        <w:tab/>
      </w:r>
      <w:r w:rsidRPr="008769AB">
        <w:rPr>
          <w:sz w:val="20"/>
          <w:lang w:val="nl-NL"/>
        </w:rPr>
        <w:t>Cruikshank Dodd 1987, 165-179, 169.</w:t>
      </w:r>
    </w:p>
  </w:footnote>
  <w:footnote w:id="14">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Cotsonis 1994, 49.</w:t>
      </w:r>
    </w:p>
  </w:footnote>
  <w:footnote w:id="15">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 xml:space="preserve">Talbot Rice 1950, 69, pl. 1; </w:t>
      </w:r>
      <w:r w:rsidRPr="008769AB">
        <w:rPr>
          <w:sz w:val="20"/>
          <w:lang w:val="da-DK"/>
        </w:rPr>
        <w:t>Mendel</w:t>
      </w:r>
      <w:r w:rsidRPr="008769AB">
        <w:rPr>
          <w:sz w:val="20"/>
          <w:lang w:val="it-IT"/>
        </w:rPr>
        <w:t xml:space="preserve"> 1914, 524, no:726. </w:t>
      </w:r>
    </w:p>
  </w:footnote>
  <w:footnote w:id="16">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nl-NL"/>
        </w:rPr>
        <w:t xml:space="preserve"> </w:t>
      </w:r>
      <w:r>
        <w:rPr>
          <w:sz w:val="20"/>
          <w:lang w:val="nl-NL"/>
        </w:rPr>
        <w:tab/>
      </w:r>
      <w:r w:rsidRPr="008769AB">
        <w:rPr>
          <w:sz w:val="20"/>
          <w:lang w:val="nl-NL"/>
        </w:rPr>
        <w:t>Zolt 1994, tafel 1-3, 4.9, 6.14-15, 8.22-23, 26.113, 28.133-134, 29.136, 31.152-156a; Niew</w:t>
      </w:r>
      <w:r w:rsidRPr="008769AB">
        <w:rPr>
          <w:sz w:val="20"/>
          <w:lang w:val="sv-SE"/>
        </w:rPr>
        <w:t>ö</w:t>
      </w:r>
      <w:r w:rsidRPr="008769AB">
        <w:rPr>
          <w:sz w:val="20"/>
        </w:rPr>
        <w:t>hner 2006, 407-473, 409, 413, kat. 20, 21, abb.13, 14.</w:t>
      </w:r>
    </w:p>
  </w:footnote>
  <w:footnote w:id="17">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Ötü</w:t>
      </w:r>
      <w:r w:rsidRPr="008769AB">
        <w:rPr>
          <w:sz w:val="20"/>
          <w:lang w:val="pt-PT"/>
        </w:rPr>
        <w:t>ken 2007, 131-136, figs.1-2.</w:t>
      </w:r>
    </w:p>
  </w:footnote>
  <w:footnote w:id="18">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For further theological discussion see Osborn 2005, 124-127.</w:t>
      </w:r>
    </w:p>
  </w:footnote>
  <w:footnote w:id="19">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Clem. 438. </w:t>
      </w:r>
    </w:p>
  </w:footnote>
  <w:footnote w:id="20">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Clem. 513. </w:t>
      </w:r>
    </w:p>
  </w:footnote>
  <w:footnote w:id="21">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Spitzing 1989, 29.</w:t>
      </w:r>
    </w:p>
  </w:footnote>
  <w:footnote w:id="22">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pt-PT"/>
        </w:rPr>
        <w:t xml:space="preserve"> </w:t>
      </w:r>
      <w:r>
        <w:rPr>
          <w:sz w:val="20"/>
          <w:lang w:val="pt-PT"/>
        </w:rPr>
        <w:tab/>
      </w:r>
      <w:r w:rsidRPr="008769AB">
        <w:rPr>
          <w:sz w:val="20"/>
          <w:lang w:val="pt-PT"/>
        </w:rPr>
        <w:t>Grabar 1980, fig. 81.</w:t>
      </w:r>
    </w:p>
  </w:footnote>
  <w:footnote w:id="23">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The cross is composed as a monogram-cross, inscribed Z</w:t>
      </w:r>
      <w:r w:rsidRPr="008769AB">
        <w:rPr>
          <w:sz w:val="20"/>
        </w:rPr>
        <w:t>ωΗ</w:t>
      </w:r>
      <w:r w:rsidRPr="008769AB">
        <w:rPr>
          <w:sz w:val="20"/>
          <w:lang w:val="it-IT"/>
        </w:rPr>
        <w:t>. Harrison 1963, 132, pl. XLa; İşler 2017, 172-173, pls. 14-15.</w:t>
      </w:r>
    </w:p>
  </w:footnote>
  <w:footnote w:id="24">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lang w:val="it-IT"/>
        </w:rPr>
        <w:t xml:space="preserve">İşler 2017, 172-173, pls. 16-17. </w:t>
      </w:r>
    </w:p>
  </w:footnote>
  <w:footnote w:id="25">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Tsuji 1995, 119, fig. III. 4.</w:t>
      </w:r>
    </w:p>
  </w:footnote>
  <w:footnote w:id="26">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Wilpert 1903, 497, pl. 259. </w:t>
      </w:r>
    </w:p>
  </w:footnote>
  <w:footnote w:id="27">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Tsuji 1995, 123, fig. III. 11.</w:t>
      </w:r>
    </w:p>
  </w:footnote>
  <w:footnote w:id="28">
    <w:p w:rsidR="008769AB" w:rsidRPr="008769AB" w:rsidRDefault="008769AB" w:rsidP="008769AB">
      <w:pPr>
        <w:spacing w:after="0" w:line="0" w:lineRule="atLeast"/>
        <w:ind w:left="284" w:hanging="284"/>
        <w:rPr>
          <w:sz w:val="20"/>
        </w:rPr>
      </w:pPr>
      <w:r w:rsidRPr="008769AB">
        <w:rPr>
          <w:sz w:val="20"/>
          <w:u w:color="AC2849"/>
          <w:vertAlign w:val="superscript"/>
          <w:lang w:val="en-US"/>
        </w:rPr>
        <w:footnoteRef/>
      </w:r>
      <w:r w:rsidRPr="008769AB">
        <w:rPr>
          <w:sz w:val="20"/>
          <w:lang w:val="en-US"/>
        </w:rPr>
        <w:t xml:space="preserve"> </w:t>
      </w:r>
      <w:r>
        <w:rPr>
          <w:sz w:val="20"/>
          <w:lang w:val="en-US"/>
        </w:rPr>
        <w:tab/>
      </w:r>
      <w:r w:rsidRPr="008769AB">
        <w:rPr>
          <w:sz w:val="20"/>
          <w:lang w:val="en-US"/>
        </w:rPr>
        <w:t>Evans, Holcomb,</w:t>
      </w:r>
      <w:r w:rsidRPr="008769AB">
        <w:rPr>
          <w:sz w:val="20"/>
        </w:rPr>
        <w:t xml:space="preserve"> Hallman 2001, 20. </w:t>
      </w:r>
    </w:p>
  </w:footnote>
  <w:footnote w:id="29">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it-IT"/>
        </w:rPr>
        <w:t xml:space="preserve"> </w:t>
      </w:r>
      <w:r>
        <w:rPr>
          <w:sz w:val="20"/>
          <w:lang w:val="it-IT"/>
        </w:rPr>
        <w:tab/>
      </w:r>
      <w:r w:rsidRPr="008769AB">
        <w:rPr>
          <w:sz w:val="20"/>
          <w:lang w:val="it-IT"/>
        </w:rPr>
        <w:t>Ruggieri 2005, 88, fig. II/49.</w:t>
      </w:r>
    </w:p>
  </w:footnote>
  <w:footnote w:id="30">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pt-PT"/>
        </w:rPr>
        <w:t xml:space="preserve"> </w:t>
      </w:r>
      <w:r>
        <w:rPr>
          <w:sz w:val="20"/>
          <w:lang w:val="pt-PT"/>
        </w:rPr>
        <w:tab/>
      </w:r>
      <w:r w:rsidRPr="008769AB">
        <w:rPr>
          <w:sz w:val="20"/>
          <w:lang w:val="pt-PT"/>
        </w:rPr>
        <w:t xml:space="preserve">Rom., 237-238, strophe 18. </w:t>
      </w:r>
    </w:p>
  </w:footnote>
  <w:footnote w:id="31">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 xml:space="preserve">For further discussion see Cameron 1979, 3-35. </w:t>
      </w:r>
    </w:p>
  </w:footnote>
  <w:footnote w:id="32">
    <w:p w:rsidR="008769AB" w:rsidRPr="008769AB" w:rsidRDefault="008769AB" w:rsidP="008769AB">
      <w:pPr>
        <w:spacing w:after="0" w:line="0" w:lineRule="atLeast"/>
        <w:ind w:left="284" w:hanging="284"/>
        <w:rPr>
          <w:sz w:val="20"/>
        </w:rPr>
      </w:pPr>
      <w:r w:rsidRPr="008769AB">
        <w:rPr>
          <w:sz w:val="20"/>
          <w:vertAlign w:val="superscript"/>
        </w:rPr>
        <w:footnoteRef/>
      </w:r>
      <w:r w:rsidRPr="008769AB">
        <w:rPr>
          <w:sz w:val="20"/>
        </w:rPr>
        <w:t xml:space="preserve"> </w:t>
      </w:r>
      <w:r>
        <w:rPr>
          <w:sz w:val="20"/>
        </w:rPr>
        <w:tab/>
      </w:r>
      <w:r w:rsidRPr="008769AB">
        <w:rPr>
          <w:sz w:val="20"/>
          <w:lang w:val="en-US"/>
        </w:rPr>
        <w:t>Nedungatt, Featherstone</w:t>
      </w:r>
      <w:r w:rsidRPr="008769AB">
        <w:rPr>
          <w:sz w:val="20"/>
          <w:lang w:val="it-IT"/>
        </w:rPr>
        <w:t xml:space="preserve"> 1995, canon LXXXII, 162-163.</w:t>
      </w:r>
    </w:p>
  </w:footnote>
  <w:footnote w:id="33">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For further discussion and the pre-Christian examples see Ferguson 2003, 553-554.</w:t>
      </w:r>
    </w:p>
  </w:footnote>
  <w:footnote w:id="34">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i/>
          <w:iCs/>
          <w:sz w:val="20"/>
          <w:lang w:val="en-US"/>
        </w:rPr>
        <w:t xml:space="preserve"> </w:t>
      </w:r>
      <w:r>
        <w:rPr>
          <w:i/>
          <w:iCs/>
          <w:sz w:val="20"/>
          <w:lang w:val="en-US"/>
        </w:rPr>
        <w:tab/>
      </w:r>
      <w:r w:rsidRPr="008769AB">
        <w:rPr>
          <w:i/>
          <w:iCs/>
          <w:sz w:val="20"/>
          <w:lang w:val="en-US"/>
        </w:rPr>
        <w:t xml:space="preserve">Notitia 7 </w:t>
      </w:r>
      <w:r w:rsidRPr="008769AB">
        <w:rPr>
          <w:sz w:val="20"/>
          <w:lang w:val="en-US"/>
        </w:rPr>
        <w:t>(the beginning of the 10</w:t>
      </w:r>
      <w:r w:rsidRPr="008769AB">
        <w:rPr>
          <w:sz w:val="20"/>
          <w:vertAlign w:val="superscript"/>
          <w:lang w:val="en-US"/>
        </w:rPr>
        <w:t>th</w:t>
      </w:r>
      <w:r w:rsidRPr="008769AB">
        <w:rPr>
          <w:sz w:val="20"/>
          <w:vertAlign w:val="superscript"/>
        </w:rPr>
        <w:t xml:space="preserve"> </w:t>
      </w:r>
      <w:r w:rsidRPr="008769AB">
        <w:rPr>
          <w:sz w:val="20"/>
          <w:lang w:val="en-US"/>
        </w:rPr>
        <w:t xml:space="preserve">century) 333, </w:t>
      </w:r>
      <w:r w:rsidRPr="008769AB">
        <w:rPr>
          <w:i/>
          <w:iCs/>
          <w:sz w:val="20"/>
          <w:lang w:val="it-IT"/>
        </w:rPr>
        <w:t xml:space="preserve"> Notita 9</w:t>
      </w:r>
      <w:r w:rsidRPr="008769AB">
        <w:rPr>
          <w:sz w:val="20"/>
        </w:rPr>
        <w:t xml:space="preserve"> (946) 215, </w:t>
      </w:r>
      <w:r w:rsidRPr="008769AB">
        <w:rPr>
          <w:i/>
          <w:iCs/>
          <w:sz w:val="20"/>
        </w:rPr>
        <w:t>Notitia 10</w:t>
      </w:r>
      <w:r w:rsidRPr="008769AB">
        <w:rPr>
          <w:sz w:val="20"/>
          <w:lang w:val="en-US"/>
        </w:rPr>
        <w:t xml:space="preserve"> (the end of  the10</w:t>
      </w:r>
      <w:r w:rsidRPr="008769AB">
        <w:rPr>
          <w:sz w:val="20"/>
          <w:vertAlign w:val="superscript"/>
          <w:lang w:val="en-US"/>
        </w:rPr>
        <w:t>th</w:t>
      </w:r>
      <w:r w:rsidRPr="008769AB">
        <w:rPr>
          <w:sz w:val="20"/>
          <w:lang w:val="en-US"/>
        </w:rPr>
        <w:t>- the begin</w:t>
      </w:r>
      <w:r w:rsidR="00502F66">
        <w:rPr>
          <w:sz w:val="20"/>
          <w:lang w:val="en-US"/>
        </w:rPr>
        <w:softHyphen/>
      </w:r>
      <w:r w:rsidRPr="008769AB">
        <w:rPr>
          <w:sz w:val="20"/>
          <w:lang w:val="en-US"/>
        </w:rPr>
        <w:t>ning of the 11</w:t>
      </w:r>
      <w:r w:rsidRPr="008769AB">
        <w:rPr>
          <w:sz w:val="20"/>
          <w:vertAlign w:val="superscript"/>
          <w:lang w:val="en-US"/>
        </w:rPr>
        <w:t>th</w:t>
      </w:r>
      <w:r w:rsidRPr="008769AB">
        <w:rPr>
          <w:sz w:val="20"/>
          <w:vertAlign w:val="superscript"/>
        </w:rPr>
        <w:t xml:space="preserve"> </w:t>
      </w:r>
      <w:r w:rsidRPr="008769AB">
        <w:rPr>
          <w:sz w:val="20"/>
          <w:lang w:val="en-US"/>
        </w:rPr>
        <w:t>centur</w:t>
      </w:r>
      <w:r w:rsidRPr="008769AB">
        <w:rPr>
          <w:sz w:val="20"/>
        </w:rPr>
        <w:t xml:space="preserve">y) 264, </w:t>
      </w:r>
      <w:r w:rsidRPr="008769AB">
        <w:rPr>
          <w:i/>
          <w:iCs/>
          <w:sz w:val="20"/>
          <w:lang w:val="it-IT"/>
        </w:rPr>
        <w:t>Notitia 13</w:t>
      </w:r>
      <w:r w:rsidRPr="008769AB">
        <w:rPr>
          <w:sz w:val="20"/>
        </w:rPr>
        <w:t xml:space="preserve"> (</w:t>
      </w:r>
      <w:r w:rsidRPr="008769AB">
        <w:rPr>
          <w:sz w:val="20"/>
          <w:lang w:val="en-US"/>
        </w:rPr>
        <w:t>12</w:t>
      </w:r>
      <w:r w:rsidRPr="008769AB">
        <w:rPr>
          <w:sz w:val="20"/>
          <w:vertAlign w:val="superscript"/>
          <w:lang w:val="en-US"/>
        </w:rPr>
        <w:t>th</w:t>
      </w:r>
      <w:r w:rsidRPr="008769AB">
        <w:rPr>
          <w:sz w:val="20"/>
          <w:lang w:val="en-US"/>
        </w:rPr>
        <w:t xml:space="preserve"> century) 267. </w:t>
      </w:r>
      <w:r w:rsidRPr="008769AB">
        <w:rPr>
          <w:sz w:val="20"/>
          <w:lang w:val="fr-FR"/>
        </w:rPr>
        <w:t>Darrouzè</w:t>
      </w:r>
      <w:r w:rsidRPr="008769AB">
        <w:rPr>
          <w:sz w:val="20"/>
        </w:rPr>
        <w:t xml:space="preserve">s 1981, 279, 300, 318, 358. </w:t>
      </w:r>
    </w:p>
  </w:footnote>
  <w:footnote w:id="35">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lang w:val="es-ES_tradnl"/>
        </w:rPr>
        <w:t>Le Quien,</w:t>
      </w:r>
      <w:r w:rsidRPr="008769AB">
        <w:rPr>
          <w:sz w:val="20"/>
        </w:rPr>
        <w:t xml:space="preserve"> 1740, 981-982.</w:t>
      </w:r>
    </w:p>
  </w:footnote>
  <w:footnote w:id="36">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Steph. 164.</w:t>
      </w:r>
    </w:p>
  </w:footnote>
  <w:footnote w:id="37">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Zäh 2003, 6. </w:t>
      </w:r>
    </w:p>
  </w:footnote>
  <w:footnote w:id="38">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Const.78-79.</w:t>
      </w:r>
    </w:p>
  </w:footnote>
  <w:footnote w:id="39">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Zäh 2003, 20–21.</w:t>
      </w:r>
    </w:p>
  </w:footnote>
  <w:footnote w:id="40">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en-US"/>
        </w:rPr>
        <w:t xml:space="preserve"> </w:t>
      </w:r>
      <w:r>
        <w:rPr>
          <w:sz w:val="20"/>
          <w:lang w:val="en-US"/>
        </w:rPr>
        <w:tab/>
      </w:r>
      <w:r w:rsidRPr="008769AB">
        <w:rPr>
          <w:sz w:val="20"/>
          <w:lang w:val="en-US"/>
        </w:rPr>
        <w:t>The southern chapel has a remarkable mosaic floor composed of a floral ornament with a cantharus. For further information see Ayd</w:t>
      </w:r>
      <w:r w:rsidRPr="008769AB">
        <w:rPr>
          <w:sz w:val="20"/>
        </w:rPr>
        <w:t>ın 2011, 31-42.</w:t>
      </w:r>
    </w:p>
  </w:footnote>
  <w:footnote w:id="41">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 xml:space="preserve">Zäh 2001, 412; Zäh 2003, 48. </w:t>
      </w:r>
    </w:p>
  </w:footnote>
  <w:footnote w:id="42">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Gen</w:t>
      </w:r>
      <w:r w:rsidRPr="008769AB">
        <w:rPr>
          <w:sz w:val="20"/>
          <w:lang w:val="pt-PT"/>
        </w:rPr>
        <w:t>ç</w:t>
      </w:r>
      <w:r w:rsidRPr="008769AB">
        <w:rPr>
          <w:sz w:val="20"/>
        </w:rPr>
        <w:t xml:space="preserve">ler-Güray 2010, 215-226. </w:t>
      </w:r>
    </w:p>
  </w:footnote>
  <w:footnote w:id="43">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Çizmeli-Öğün 2007, 54.</w:t>
      </w:r>
    </w:p>
  </w:footnote>
  <w:footnote w:id="44">
    <w:p w:rsidR="008769AB" w:rsidRPr="008769AB" w:rsidRDefault="008769AB" w:rsidP="008769AB">
      <w:pPr>
        <w:spacing w:after="0" w:line="0" w:lineRule="atLeast"/>
        <w:ind w:left="284" w:hanging="284"/>
        <w:rPr>
          <w:sz w:val="20"/>
        </w:rPr>
      </w:pPr>
      <w:r w:rsidRPr="008769AB">
        <w:rPr>
          <w:kern w:val="1"/>
          <w:sz w:val="20"/>
          <w:vertAlign w:val="superscript"/>
          <w:lang w:val="en-US"/>
        </w:rPr>
        <w:footnoteRef/>
      </w:r>
      <w:r w:rsidRPr="008769AB">
        <w:rPr>
          <w:sz w:val="20"/>
        </w:rPr>
        <w:t xml:space="preserve"> </w:t>
      </w:r>
      <w:r>
        <w:rPr>
          <w:sz w:val="20"/>
        </w:rPr>
        <w:tab/>
      </w:r>
      <w:r w:rsidRPr="008769AB">
        <w:rPr>
          <w:sz w:val="20"/>
        </w:rPr>
        <w:t xml:space="preserve">Schmaltz 2000, 17-54. </w:t>
      </w:r>
    </w:p>
  </w:footnote>
  <w:footnote w:id="45">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502F66">
        <w:rPr>
          <w:spacing w:val="-2"/>
          <w:sz w:val="20"/>
        </w:rPr>
        <w:t>İş</w:t>
      </w:r>
      <w:r w:rsidRPr="00502F66">
        <w:rPr>
          <w:spacing w:val="-2"/>
          <w:sz w:val="20"/>
          <w:lang w:val="en-US"/>
        </w:rPr>
        <w:t xml:space="preserve">ler 2009, 199, cat. no 118-119; Harrison identified this building as domed chapel. </w:t>
      </w:r>
      <w:r w:rsidRPr="00502F66">
        <w:rPr>
          <w:spacing w:val="-2"/>
          <w:sz w:val="20"/>
          <w:lang w:val="fr-FR"/>
        </w:rPr>
        <w:t xml:space="preserve">Harrison </w:t>
      </w:r>
      <w:r w:rsidRPr="00502F66">
        <w:rPr>
          <w:spacing w:val="-2"/>
          <w:sz w:val="20"/>
        </w:rPr>
        <w:t xml:space="preserve">1963, 134-135, pl. XLI. </w:t>
      </w:r>
    </w:p>
  </w:footnote>
  <w:footnote w:id="46">
    <w:p w:rsidR="008769AB" w:rsidRPr="008769AB" w:rsidRDefault="008769AB" w:rsidP="008769AB">
      <w:pPr>
        <w:spacing w:after="0" w:line="0" w:lineRule="atLeast"/>
        <w:ind w:left="284" w:hanging="284"/>
        <w:rPr>
          <w:sz w:val="20"/>
        </w:rPr>
      </w:pPr>
      <w:r w:rsidRPr="008769AB">
        <w:rPr>
          <w:sz w:val="20"/>
          <w:vertAlign w:val="superscript"/>
          <w:lang w:val="en-US"/>
        </w:rPr>
        <w:footnoteRef/>
      </w:r>
      <w:r>
        <w:rPr>
          <w:sz w:val="20"/>
        </w:rPr>
        <w:t xml:space="preserve"> </w:t>
      </w:r>
      <w:r>
        <w:rPr>
          <w:sz w:val="20"/>
        </w:rPr>
        <w:tab/>
      </w:r>
      <w:r w:rsidRPr="008769AB">
        <w:rPr>
          <w:sz w:val="20"/>
        </w:rPr>
        <w:t>Güz</w:t>
      </w:r>
      <w:bookmarkStart w:id="0" w:name="_GoBack"/>
      <w:bookmarkEnd w:id="0"/>
      <w:r w:rsidRPr="008769AB">
        <w:rPr>
          <w:sz w:val="20"/>
        </w:rPr>
        <w:t>ererler Sağman 2007, 63-76.</w:t>
      </w:r>
    </w:p>
  </w:footnote>
  <w:footnote w:id="47">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Teteriatnikov 1995, 693.</w:t>
      </w:r>
    </w:p>
  </w:footnote>
  <w:footnote w:id="48">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rPr>
        <w:t xml:space="preserve"> </w:t>
      </w:r>
      <w:r>
        <w:rPr>
          <w:sz w:val="20"/>
        </w:rPr>
        <w:tab/>
      </w:r>
      <w:r w:rsidRPr="008769AB">
        <w:rPr>
          <w:sz w:val="20"/>
        </w:rPr>
        <w:t>Teteriatnikov 1995, 693-694.</w:t>
      </w:r>
    </w:p>
  </w:footnote>
  <w:footnote w:id="49">
    <w:p w:rsidR="008769AB" w:rsidRPr="008769AB" w:rsidRDefault="008769AB" w:rsidP="008769AB">
      <w:pPr>
        <w:spacing w:after="0" w:line="0" w:lineRule="atLeast"/>
        <w:ind w:left="284" w:hanging="284"/>
        <w:rPr>
          <w:sz w:val="20"/>
        </w:rPr>
      </w:pPr>
      <w:r w:rsidRPr="008769AB">
        <w:rPr>
          <w:sz w:val="20"/>
          <w:vertAlign w:val="superscript"/>
          <w:lang w:val="en-US"/>
        </w:rPr>
        <w:footnoteRef/>
      </w:r>
      <w:r w:rsidRPr="008769AB">
        <w:rPr>
          <w:sz w:val="20"/>
          <w:lang w:val="pt-PT"/>
        </w:rPr>
        <w:t xml:space="preserve"> </w:t>
      </w:r>
      <w:r>
        <w:rPr>
          <w:sz w:val="20"/>
          <w:lang w:val="pt-PT"/>
        </w:rPr>
        <w:tab/>
      </w:r>
      <w:r w:rsidRPr="008769AB">
        <w:rPr>
          <w:sz w:val="20"/>
          <w:lang w:val="pt-PT"/>
        </w:rPr>
        <w:t xml:space="preserve">Eph.1, 276, 281, 283.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93" w:rsidRPr="00E41CC3" w:rsidRDefault="00CE4A93"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502F66">
      <w:rPr>
        <w:rStyle w:val="SayfaNumaras"/>
        <w:iCs/>
        <w:noProof/>
        <w:szCs w:val="18"/>
      </w:rPr>
      <w:t>462</w:t>
    </w:r>
    <w:r w:rsidRPr="00E41CC3">
      <w:rPr>
        <w:rStyle w:val="SayfaNumaras"/>
        <w:iCs/>
        <w:szCs w:val="18"/>
      </w:rPr>
      <w:fldChar w:fldCharType="end"/>
    </w:r>
  </w:p>
  <w:p w:rsidR="00CE4A93" w:rsidRDefault="00DA763A" w:rsidP="00DA763A">
    <w:pPr>
      <w:pStyle w:val="stbilgi"/>
      <w:tabs>
        <w:tab w:val="clear" w:pos="4703"/>
      </w:tabs>
      <w:ind w:firstLine="0"/>
    </w:pPr>
    <w:r w:rsidRPr="00DA763A">
      <w:t>Nilüfer PEKER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93" w:rsidRPr="00B63DCA" w:rsidRDefault="00CE4A93"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502F66">
      <w:rPr>
        <w:rStyle w:val="SayfaNumaras"/>
        <w:iCs/>
        <w:noProof/>
        <w:szCs w:val="18"/>
      </w:rPr>
      <w:t>463</w:t>
    </w:r>
    <w:r w:rsidRPr="00B63DCA">
      <w:rPr>
        <w:rStyle w:val="SayfaNumaras"/>
        <w:iCs/>
        <w:szCs w:val="18"/>
      </w:rPr>
      <w:fldChar w:fldCharType="end"/>
    </w:r>
  </w:p>
  <w:p w:rsidR="00CE4A93" w:rsidRPr="00256D43" w:rsidRDefault="00DA763A" w:rsidP="00DA763A">
    <w:pPr>
      <w:pStyle w:val="stbilgi"/>
      <w:ind w:right="-1"/>
      <w:rPr>
        <w:bCs/>
        <w:lang w:val="en-US"/>
      </w:rPr>
    </w:pPr>
    <w:r w:rsidRPr="00DA763A">
      <w:rPr>
        <w:bCs/>
      </w:rPr>
      <w:t>A</w:t>
    </w:r>
    <w:r>
      <w:rPr>
        <w:bCs/>
      </w:rPr>
      <w:t>n Early Byzantine Livi</w:t>
    </w:r>
    <w:r w:rsidRPr="00DA763A">
      <w:rPr>
        <w:bCs/>
      </w:rPr>
      <w:t>ng Cross Rel</w:t>
    </w:r>
    <w:r>
      <w:rPr>
        <w:bCs/>
      </w:rPr>
      <w:t>i</w:t>
    </w:r>
    <w:r w:rsidRPr="00DA763A">
      <w:rPr>
        <w:bCs/>
      </w:rPr>
      <w:t>ef from Caunus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A93" w:rsidRDefault="00CE4A93"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4"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num w:numId="1">
    <w:abstractNumId w:val="3"/>
  </w:num>
  <w:num w:numId="2">
    <w:abstractNumId w:val="4"/>
  </w:num>
  <w:num w:numId="3">
    <w:abstractNumId w:val="1"/>
  </w:num>
  <w:num w:numId="4">
    <w:abstractNumId w:val="0"/>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625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17C0"/>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6F46"/>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2E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39A"/>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4DA"/>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0B7E"/>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2F6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0DC4"/>
    <w:rsid w:val="006E137B"/>
    <w:rsid w:val="006E3DCC"/>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65A8"/>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2F18"/>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6F37"/>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199"/>
    <w:rsid w:val="008647C4"/>
    <w:rsid w:val="00864A5A"/>
    <w:rsid w:val="00864D4B"/>
    <w:rsid w:val="008657A7"/>
    <w:rsid w:val="00865808"/>
    <w:rsid w:val="008659A7"/>
    <w:rsid w:val="008678AA"/>
    <w:rsid w:val="00870719"/>
    <w:rsid w:val="008708BD"/>
    <w:rsid w:val="00870EEE"/>
    <w:rsid w:val="00872C06"/>
    <w:rsid w:val="00874BC7"/>
    <w:rsid w:val="00876214"/>
    <w:rsid w:val="008769AB"/>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49B6"/>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0CDE"/>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278"/>
    <w:rsid w:val="00A63385"/>
    <w:rsid w:val="00A63E5C"/>
    <w:rsid w:val="00A6417F"/>
    <w:rsid w:val="00A6424A"/>
    <w:rsid w:val="00A64625"/>
    <w:rsid w:val="00A64730"/>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75E"/>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270E"/>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C7F6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5C56"/>
    <w:rsid w:val="00AF61A5"/>
    <w:rsid w:val="00AF62DC"/>
    <w:rsid w:val="00AF68C8"/>
    <w:rsid w:val="00AF6AEC"/>
    <w:rsid w:val="00AF6B78"/>
    <w:rsid w:val="00AF79A1"/>
    <w:rsid w:val="00AF7A52"/>
    <w:rsid w:val="00B003E1"/>
    <w:rsid w:val="00B00482"/>
    <w:rsid w:val="00B00767"/>
    <w:rsid w:val="00B00A34"/>
    <w:rsid w:val="00B00BED"/>
    <w:rsid w:val="00B010A5"/>
    <w:rsid w:val="00B01237"/>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336"/>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0E6"/>
    <w:rsid w:val="00C972E1"/>
    <w:rsid w:val="00C976E4"/>
    <w:rsid w:val="00C97D39"/>
    <w:rsid w:val="00CA1529"/>
    <w:rsid w:val="00CA1556"/>
    <w:rsid w:val="00CA3B6B"/>
    <w:rsid w:val="00CA4AAE"/>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52F4"/>
    <w:rsid w:val="00CD5515"/>
    <w:rsid w:val="00CD60FA"/>
    <w:rsid w:val="00CD62BA"/>
    <w:rsid w:val="00CD693A"/>
    <w:rsid w:val="00CD6AF9"/>
    <w:rsid w:val="00CD73A1"/>
    <w:rsid w:val="00CE0D80"/>
    <w:rsid w:val="00CE167D"/>
    <w:rsid w:val="00CE1870"/>
    <w:rsid w:val="00CE1915"/>
    <w:rsid w:val="00CE1C52"/>
    <w:rsid w:val="00CE2FCB"/>
    <w:rsid w:val="00CE34F2"/>
    <w:rsid w:val="00CE36D0"/>
    <w:rsid w:val="00CE3818"/>
    <w:rsid w:val="00CE3BE5"/>
    <w:rsid w:val="00CE462D"/>
    <w:rsid w:val="00CE4A93"/>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60C5"/>
    <w:rsid w:val="00D86507"/>
    <w:rsid w:val="00D865EA"/>
    <w:rsid w:val="00D867CD"/>
    <w:rsid w:val="00D86E60"/>
    <w:rsid w:val="00D87E72"/>
    <w:rsid w:val="00D91756"/>
    <w:rsid w:val="00D923A1"/>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63A"/>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68B"/>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6F1A"/>
    <w:rsid w:val="00E472D4"/>
    <w:rsid w:val="00E47372"/>
    <w:rsid w:val="00E477C4"/>
    <w:rsid w:val="00E47D3D"/>
    <w:rsid w:val="00E501FC"/>
    <w:rsid w:val="00E50B23"/>
    <w:rsid w:val="00E50C06"/>
    <w:rsid w:val="00E50C9E"/>
    <w:rsid w:val="00E5134B"/>
    <w:rsid w:val="00E51411"/>
    <w:rsid w:val="00E52667"/>
    <w:rsid w:val="00E52F8D"/>
    <w:rsid w:val="00E53042"/>
    <w:rsid w:val="00E538D0"/>
    <w:rsid w:val="00E5396C"/>
    <w:rsid w:val="00E53ADD"/>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59C5AEA-ADE1-4CFC-BA88-E4FCF381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qFormat="1"/>
    <w:lsdException w:name="annotation text" w:locked="1" w:semiHidden="1" w:uiPriority="0" w:unhideWhenUsed="1"/>
    <w:lsdException w:name="header" w:semiHidden="1" w:unhideWhenUsed="1"/>
    <w:lsdException w:name="footer" w:semiHidden="1" w:unhideWhenUsed="1"/>
    <w:lsdException w:name="index heading" w:locked="1" w:semiHidden="1" w:unhideWhenUsed="1"/>
    <w:lsdException w:name="caption"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uiPriority w:val="99"/>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uiPriority w:val="99"/>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uiPriority w:val="99"/>
    <w:rsid w:val="00BF481B"/>
    <w:pPr>
      <w:tabs>
        <w:tab w:val="center" w:pos="4703"/>
        <w:tab w:val="right" w:pos="9406"/>
      </w:tabs>
    </w:pPr>
  </w:style>
  <w:style w:type="character" w:customStyle="1" w:styleId="AltbilgiChar">
    <w:name w:val="Altbilgi Char"/>
    <w:link w:val="Altbilgi"/>
    <w:uiPriority w:val="99"/>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iPriority w:val="99"/>
    <w:semiHidden/>
    <w:unhideWhenUsed/>
    <w:locked/>
    <w:rsid w:val="00277663"/>
    <w:pPr>
      <w:spacing w:after="0"/>
    </w:pPr>
    <w:rPr>
      <w:rFonts w:ascii="Tahoma" w:hAnsi="Tahoma" w:cs="Tahoma"/>
      <w:sz w:val="16"/>
      <w:szCs w:val="16"/>
    </w:rPr>
  </w:style>
  <w:style w:type="character" w:customStyle="1" w:styleId="BalonMetniChar">
    <w:name w:val="Balon Metni Char"/>
    <w:link w:val="BalonMetni"/>
    <w:uiPriority w:val="99"/>
    <w:semiHidden/>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uiPriority w:val="99"/>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uiPriority w:val="99"/>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customStyle="1" w:styleId="GvdeB">
    <w:name w:val="Gövde B"/>
    <w:rsid w:val="007065A8"/>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character" w:customStyle="1" w:styleId="Yok">
    <w:name w:val="Yok"/>
    <w:rsid w:val="00706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A3E7772D-38D0-4EEE-8AE6-5C3DCAE8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11</Pages>
  <Words>4189</Words>
  <Characters>23878</Characters>
  <Application>Microsoft Office Word</Application>
  <DocSecurity>0</DocSecurity>
  <Lines>198</Lines>
  <Paragraphs>56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54</cp:revision>
  <cp:lastPrinted>2016-06-21T09:41:00Z</cp:lastPrinted>
  <dcterms:created xsi:type="dcterms:W3CDTF">2017-09-26T13:57:00Z</dcterms:created>
  <dcterms:modified xsi:type="dcterms:W3CDTF">2018-07-09T13:04:00Z</dcterms:modified>
</cp:coreProperties>
</file>