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C6E" w:rsidRDefault="00D64C6E" w:rsidP="00D64C6E">
      <w:pPr>
        <w:keepNext/>
        <w:keepLines/>
        <w:spacing w:after="120"/>
        <w:jc w:val="center"/>
        <w:outlineLvl w:val="0"/>
        <w:rPr>
          <w:rFonts w:eastAsiaTheme="majorEastAsia" w:cstheme="majorBidi"/>
          <w:b/>
          <w:szCs w:val="32"/>
        </w:rPr>
      </w:pPr>
      <w:r w:rsidRPr="00FA25AB">
        <w:rPr>
          <w:b/>
          <w:sz w:val="28"/>
          <w:szCs w:val="24"/>
        </w:rPr>
        <w:t>Borsa İstanbul Konaklama İşletmelerinde Finansal Başarısızlık Riskinin Beaver Modeli Kullanılarak Analizi</w:t>
      </w:r>
      <w:r>
        <w:rPr>
          <w:rFonts w:eastAsiaTheme="majorEastAsia" w:cstheme="majorBidi"/>
          <w:b/>
          <w:sz w:val="28"/>
          <w:szCs w:val="32"/>
        </w:rPr>
        <w:t xml:space="preserve"> </w:t>
      </w:r>
    </w:p>
    <w:p w:rsidR="00D64C6E" w:rsidRDefault="00D64C6E" w:rsidP="00D64C6E">
      <w:pPr>
        <w:keepNext/>
        <w:keepLines/>
        <w:spacing w:after="120"/>
        <w:jc w:val="right"/>
        <w:outlineLvl w:val="0"/>
        <w:rPr>
          <w:rFonts w:eastAsiaTheme="majorEastAsia" w:cstheme="majorBidi"/>
          <w:b/>
          <w:szCs w:val="32"/>
        </w:rPr>
      </w:pPr>
    </w:p>
    <w:p w:rsidR="00D64C6E" w:rsidRDefault="00D64C6E" w:rsidP="00D64C6E">
      <w:pPr>
        <w:keepNext/>
        <w:keepLines/>
        <w:spacing w:after="120"/>
        <w:jc w:val="right"/>
        <w:outlineLvl w:val="0"/>
        <w:rPr>
          <w:rFonts w:eastAsiaTheme="majorEastAsia" w:cstheme="majorBidi"/>
          <w:b/>
          <w:szCs w:val="32"/>
        </w:rPr>
      </w:pPr>
      <w:r w:rsidRPr="00FA25AB">
        <w:rPr>
          <w:b/>
          <w:bCs/>
          <w:szCs w:val="24"/>
        </w:rPr>
        <w:t xml:space="preserve">Cemile </w:t>
      </w:r>
      <w:bookmarkStart w:id="0" w:name="_GoBack"/>
      <w:r w:rsidRPr="00FA25AB">
        <w:rPr>
          <w:b/>
          <w:bCs/>
          <w:szCs w:val="24"/>
        </w:rPr>
        <w:t>ÖCEK</w:t>
      </w:r>
      <w:r w:rsidRPr="00FA25AB">
        <w:rPr>
          <w:b/>
          <w:szCs w:val="24"/>
          <w:vertAlign w:val="superscript"/>
        </w:rPr>
        <w:t xml:space="preserve"> </w:t>
      </w:r>
      <w:bookmarkEnd w:id="0"/>
      <w:r w:rsidRPr="006E39C2">
        <w:rPr>
          <w:szCs w:val="24"/>
          <w:vertAlign w:val="superscript"/>
        </w:rPr>
        <w:footnoteReference w:id="1"/>
      </w:r>
    </w:p>
    <w:p w:rsidR="00D64C6E" w:rsidRDefault="00D64C6E" w:rsidP="00D64C6E">
      <w:pPr>
        <w:keepNext/>
        <w:keepLines/>
        <w:spacing w:after="120"/>
        <w:jc w:val="both"/>
        <w:outlineLvl w:val="0"/>
        <w:rPr>
          <w:rFonts w:eastAsiaTheme="majorEastAsia" w:cstheme="majorBidi"/>
          <w:b/>
          <w:szCs w:val="32"/>
        </w:rPr>
      </w:pPr>
    </w:p>
    <w:p w:rsidR="00D64C6E" w:rsidRPr="001E4FAD" w:rsidRDefault="00D64C6E" w:rsidP="00D64C6E">
      <w:pPr>
        <w:keepNext/>
        <w:keepLines/>
        <w:spacing w:after="120"/>
        <w:jc w:val="both"/>
        <w:outlineLvl w:val="0"/>
        <w:rPr>
          <w:rFonts w:eastAsiaTheme="majorEastAsia" w:cstheme="majorBidi"/>
          <w:b/>
          <w:szCs w:val="32"/>
        </w:rPr>
      </w:pPr>
      <w:r w:rsidRPr="001E4FAD">
        <w:rPr>
          <w:rFonts w:eastAsiaTheme="majorEastAsia" w:cstheme="majorBidi"/>
          <w:b/>
          <w:szCs w:val="32"/>
        </w:rPr>
        <w:t>Özet</w:t>
      </w:r>
    </w:p>
    <w:p w:rsidR="00D64C6E" w:rsidRPr="00FA25AB" w:rsidRDefault="00D64C6E" w:rsidP="00D64C6E">
      <w:pPr>
        <w:spacing w:after="120"/>
        <w:ind w:firstLine="709"/>
        <w:jc w:val="both"/>
        <w:rPr>
          <w:rFonts w:cs="Times New Roman"/>
          <w:szCs w:val="24"/>
        </w:rPr>
      </w:pPr>
      <w:r w:rsidRPr="00FA25AB">
        <w:rPr>
          <w:rFonts w:cs="Times New Roman"/>
          <w:szCs w:val="24"/>
        </w:rPr>
        <w:t xml:space="preserve">Dünyadaki siyasi, ekonomik, sosyal ve teknolojik gelişmelere bağlı olarak konaklama işletmelerinin varlıklarını sürdürebilmek için zorluklar yaşadığı gözlemlenmektedir. Günümüzde konaklama işletmelerinin faaliyetlerini başarılı bir şekilde devam ettirebilmeleri için güçlü finansal bir yapıya sahip olmaları gerekmektedir. Bu bağlamda, finansal başarısızlık riskinin konaklama işletmeleri açısından ölçülmesi ve yönetilmesi önem arz etmektedir. Bu araştırmanın amacı, Borsa İstanbul’da (BİST) işlem gören konaklama işletmelerinin 2012-2017 yıllarına ait finansal başarısızlık risklerinin Beaver modeliyle ölçülmesidir. Bu amaçla Borsa İstanbul’da (BİST) işlem gören 11 konaklama işletmesi, Beaver modelinin değişkenlerine göre analiz edilmiştir. Analiz sonucunda, BİST konaklama işletmelerinin bazılarının uzun vadeli yükümlülüklerini karşılamada yetersiz olduğu,  net çalışma sermayelerinin negatif olduğu, karlılıklarının düşük olduğu, nakit akışlarının yetersiz olduğu, finansal kaldıraç düzeylerini ise etkin kullanmaya çalıştıkları sonucuna ulaşılmıştır. </w:t>
      </w:r>
    </w:p>
    <w:p w:rsidR="00D64C6E" w:rsidRDefault="00D64C6E" w:rsidP="00D64C6E">
      <w:pPr>
        <w:spacing w:after="120"/>
        <w:ind w:firstLine="709"/>
        <w:jc w:val="both"/>
        <w:rPr>
          <w:rFonts w:cs="Times New Roman"/>
          <w:szCs w:val="24"/>
        </w:rPr>
      </w:pPr>
      <w:r w:rsidRPr="00FA25AB">
        <w:rPr>
          <w:rFonts w:cs="Times New Roman"/>
          <w:b/>
          <w:szCs w:val="24"/>
        </w:rPr>
        <w:t xml:space="preserve">Anahtar kelimeler: </w:t>
      </w:r>
      <w:r w:rsidRPr="00FA25AB">
        <w:rPr>
          <w:rFonts w:cs="Times New Roman"/>
          <w:szCs w:val="24"/>
        </w:rPr>
        <w:t>Finansal Başarısızlık, Finansal Başarısızlık Riski, Beaver Modeli, Konaklama İşletmeleri, Borsa İstanbul</w:t>
      </w:r>
      <w:r>
        <w:rPr>
          <w:rFonts w:cs="Times New Roman"/>
          <w:szCs w:val="24"/>
        </w:rPr>
        <w:t>.</w:t>
      </w:r>
    </w:p>
    <w:p w:rsidR="00D64C6E" w:rsidRDefault="00D64C6E" w:rsidP="00D64C6E">
      <w:pPr>
        <w:spacing w:after="120"/>
        <w:ind w:firstLine="709"/>
        <w:jc w:val="both"/>
        <w:rPr>
          <w:rFonts w:cs="Times New Roman"/>
          <w:szCs w:val="24"/>
        </w:rPr>
      </w:pPr>
    </w:p>
    <w:p w:rsidR="00D64C6E" w:rsidRPr="00D64C6E" w:rsidRDefault="00D64C6E" w:rsidP="00D64C6E">
      <w:pPr>
        <w:rPr>
          <w:rFonts w:eastAsiaTheme="majorEastAsia" w:cstheme="majorBidi"/>
          <w:b/>
          <w:szCs w:val="32"/>
        </w:rPr>
      </w:pPr>
      <w:r w:rsidRPr="00D64C6E">
        <w:br w:type="page"/>
      </w:r>
    </w:p>
    <w:p w:rsidR="00D64C6E" w:rsidRPr="00D64C6E" w:rsidRDefault="00D64C6E" w:rsidP="00D64C6E">
      <w:pPr>
        <w:pStyle w:val="Balk1"/>
        <w:rPr>
          <w:lang w:val="tr-TR"/>
        </w:rPr>
      </w:pPr>
    </w:p>
    <w:p w:rsidR="00D64C6E" w:rsidRDefault="00D64C6E" w:rsidP="00D64C6E">
      <w:pPr>
        <w:pStyle w:val="Balk1"/>
      </w:pPr>
      <w:r w:rsidRPr="00FA25AB">
        <w:rPr>
          <w:lang w:val="en-US"/>
        </w:rPr>
        <w:t>Analysis of Financial Failure Risk in Borsa Istanbul Lodging Companies with Beaver Model</w:t>
      </w:r>
    </w:p>
    <w:p w:rsidR="00D64C6E" w:rsidRDefault="00D64C6E" w:rsidP="00D64C6E">
      <w:pPr>
        <w:pStyle w:val="Balk1"/>
        <w:jc w:val="left"/>
      </w:pPr>
    </w:p>
    <w:p w:rsidR="00D64C6E" w:rsidRPr="006174C4" w:rsidRDefault="00D64C6E" w:rsidP="00D64C6E">
      <w:pPr>
        <w:pStyle w:val="Balk1"/>
        <w:jc w:val="left"/>
      </w:pPr>
      <w:r w:rsidRPr="006174C4">
        <w:t>Abstract</w:t>
      </w:r>
    </w:p>
    <w:p w:rsidR="00D64C6E" w:rsidRPr="00FA25AB" w:rsidRDefault="00D64C6E" w:rsidP="00D64C6E">
      <w:pPr>
        <w:spacing w:after="120"/>
        <w:jc w:val="both"/>
        <w:rPr>
          <w:rFonts w:cs="Times New Roman"/>
          <w:szCs w:val="24"/>
          <w:lang w:val="en-US"/>
        </w:rPr>
      </w:pPr>
      <w:r w:rsidRPr="00FA25AB">
        <w:rPr>
          <w:rFonts w:cs="Times New Roman"/>
          <w:szCs w:val="24"/>
          <w:lang w:val="en-US"/>
        </w:rPr>
        <w:t xml:space="preserve">Depending on the political, economic, social and technological developments in the world, </w:t>
      </w:r>
      <w:r w:rsidRPr="00FA25AB">
        <w:rPr>
          <w:rFonts w:cs="Times New Roman"/>
          <w:szCs w:val="24"/>
        </w:rPr>
        <w:t>it is observed that lodging companies have difficulties to sustain their existence</w:t>
      </w:r>
      <w:r w:rsidRPr="00FA25AB">
        <w:rPr>
          <w:rFonts w:cs="Times New Roman"/>
          <w:szCs w:val="24"/>
          <w:lang w:val="en-US"/>
        </w:rPr>
        <w:t xml:space="preserve">. </w:t>
      </w:r>
      <w:r w:rsidRPr="00FA25AB">
        <w:rPr>
          <w:rFonts w:cs="Times New Roman"/>
          <w:szCs w:val="24"/>
        </w:rPr>
        <w:t xml:space="preserve">Nowadays, lodging companies should have a strong financial structure in order to continue their activities successfully. </w:t>
      </w:r>
      <w:r w:rsidRPr="00FA25AB">
        <w:rPr>
          <w:rFonts w:cs="Times New Roman"/>
          <w:szCs w:val="24"/>
          <w:lang w:val="en-US"/>
        </w:rPr>
        <w:t xml:space="preserve">In this context, it is important to measure and manage the risk of financial failure in terms of </w:t>
      </w:r>
      <w:r w:rsidRPr="00FA25AB">
        <w:rPr>
          <w:rFonts w:cs="Times New Roman"/>
          <w:szCs w:val="24"/>
        </w:rPr>
        <w:t>lodging companies</w:t>
      </w:r>
      <w:r w:rsidRPr="00FA25AB">
        <w:rPr>
          <w:rFonts w:cs="Times New Roman"/>
          <w:szCs w:val="24"/>
          <w:lang w:val="en-US"/>
        </w:rPr>
        <w:t xml:space="preserve">. The purpose of this research is to measure the financial failure risks of the lodging companies traded in Borsa Istanbul (BIST) for the years 2012-2017 by  Beaver model. </w:t>
      </w:r>
      <w:r w:rsidRPr="00FA25AB">
        <w:rPr>
          <w:rFonts w:cs="Times New Roman"/>
          <w:szCs w:val="24"/>
        </w:rPr>
        <w:t>For this purpose, 11 lodging companies traded in Borsa Istanbul (BIST) were analyzed according to the variables of the Beaver model. As a result of the analysis, it was concluded that some of the BIST lodging companies were insufficient to meet their long-term obligations, that their net working capital was negative, their profitability was low, their cash flows were insufficient, and their financial leverage levels were effective.</w:t>
      </w:r>
    </w:p>
    <w:p w:rsidR="00D64C6E" w:rsidRDefault="00D64C6E" w:rsidP="00D64C6E">
      <w:pPr>
        <w:spacing w:after="120"/>
        <w:jc w:val="both"/>
        <w:rPr>
          <w:rFonts w:cs="Times New Roman"/>
          <w:szCs w:val="24"/>
        </w:rPr>
      </w:pPr>
      <w:r w:rsidRPr="00FA25AB">
        <w:rPr>
          <w:rFonts w:cs="Times New Roman"/>
          <w:b/>
          <w:szCs w:val="24"/>
        </w:rPr>
        <w:t xml:space="preserve">Key Words: </w:t>
      </w:r>
      <w:r w:rsidRPr="00FA25AB">
        <w:rPr>
          <w:rFonts w:cs="Times New Roman"/>
          <w:szCs w:val="24"/>
        </w:rPr>
        <w:t>Financial Failure, Financial Failure Risk, Beaver Model, Lodging Companies, Borsa Istanbul</w:t>
      </w:r>
      <w:r>
        <w:rPr>
          <w:rFonts w:cs="Times New Roman"/>
          <w:szCs w:val="24"/>
        </w:rPr>
        <w:t>.</w:t>
      </w:r>
    </w:p>
    <w:p w:rsidR="00D64C6E" w:rsidRPr="00982278" w:rsidRDefault="00D64C6E" w:rsidP="00D64C6E">
      <w:pPr>
        <w:spacing w:after="120"/>
        <w:ind w:firstLine="709"/>
        <w:jc w:val="both"/>
        <w:rPr>
          <w:rFonts w:cs="Times New Roman"/>
          <w:szCs w:val="24"/>
        </w:rPr>
      </w:pPr>
    </w:p>
    <w:p w:rsidR="00D64C6E" w:rsidRDefault="00D64C6E" w:rsidP="00D64C6E">
      <w:pPr>
        <w:pStyle w:val="Balk1"/>
      </w:pPr>
      <w:r>
        <w:br/>
      </w:r>
    </w:p>
    <w:p w:rsidR="00D64C6E" w:rsidRDefault="00D64C6E" w:rsidP="00D64C6E">
      <w:pPr>
        <w:spacing w:after="120"/>
        <w:rPr>
          <w:rFonts w:eastAsiaTheme="majorEastAsia" w:cstheme="majorBidi"/>
          <w:b/>
          <w:szCs w:val="32"/>
          <w:lang w:val="en"/>
        </w:rPr>
      </w:pPr>
      <w:r>
        <w:br w:type="page"/>
      </w:r>
    </w:p>
    <w:p w:rsidR="00D64C6E" w:rsidRPr="00DF0033" w:rsidRDefault="00D64C6E" w:rsidP="00D64C6E">
      <w:pPr>
        <w:spacing w:after="120"/>
        <w:jc w:val="both"/>
        <w:rPr>
          <w:rFonts w:eastAsia="Times New Roman" w:cs="Times New Roman"/>
          <w:b/>
          <w:color w:val="000000"/>
          <w:szCs w:val="24"/>
        </w:rPr>
      </w:pPr>
      <w:r w:rsidRPr="00DF0033">
        <w:rPr>
          <w:b/>
        </w:rPr>
        <w:lastRenderedPageBreak/>
        <w:t>GİRİŞ</w:t>
      </w:r>
      <w:r>
        <w:t xml:space="preserve"> </w:t>
      </w:r>
      <w:r>
        <w:rPr>
          <w:rStyle w:val="DipnotBavurusu"/>
          <w:rFonts w:eastAsia="Times New Roman" w:cs="Times New Roman"/>
          <w:b/>
          <w:kern w:val="24"/>
          <w:szCs w:val="24"/>
          <w:lang w:eastAsia="tr-TR"/>
        </w:rPr>
        <w:footnoteReference w:id="2"/>
      </w:r>
    </w:p>
    <w:p w:rsidR="00D64C6E" w:rsidRPr="00FA25AB" w:rsidRDefault="00D64C6E" w:rsidP="00D64C6E">
      <w:pPr>
        <w:spacing w:after="120"/>
        <w:jc w:val="both"/>
        <w:rPr>
          <w:rFonts w:eastAsia="Times New Roman" w:cs="Times New Roman"/>
          <w:sz w:val="22"/>
          <w:lang w:eastAsia="tr-TR"/>
        </w:rPr>
      </w:pPr>
      <w:bookmarkStart w:id="1" w:name="_Hlk530777582"/>
      <w:r w:rsidRPr="00FA25AB">
        <w:rPr>
          <w:rFonts w:eastAsia="Times New Roman" w:cs="Times New Roman"/>
          <w:sz w:val="22"/>
          <w:lang w:eastAsia="tr-TR"/>
        </w:rPr>
        <w:t>Son yıllarda yaşanan küreselleşmeye bağlı olarak sürekli değişen ve ağırlaşan rekabet şartları, ömürleri sonsuz olarak kabul edilen işletmelerin varlıklarını sürdürülebilirlik temelinde devam ettirmelerinde zorluklar yaşamalarına hatta finansal başarısızlık yaşayarak iflas ile karşı karşıya gelmelerine neden olabilmektedir.  Turizm sektöründe faaliyet gösteren konaklama işletmeleri, yatırım aşamasında büyük miktarda sabit varlığa ihtiyaç duyan, faaliyet aşamasında genişleme ve modernizasyon yatırımlarına gereksinim duyan; risk ve belirsizliğin her zaman var olduğu işletmelerdir. Bahsedilen unsurların konaklama işletmeleri üzerindeki etkilerinin önceden belirlenerek buna uygun önlemler alınması, işletmelerin sürdürülebilirlikleri açısından gerekli görülmektedir. Bu bağlamda finansal başarısızlık ve iflas riskinin konaklama işletmeleri açısından da ölçülmesi ve yönetilmesi büyük önem arz etmektedir.</w:t>
      </w:r>
    </w:p>
    <w:p w:rsidR="00D64C6E" w:rsidRPr="00FA25AB" w:rsidRDefault="00D64C6E" w:rsidP="00D64C6E">
      <w:pPr>
        <w:spacing w:after="120"/>
        <w:jc w:val="both"/>
        <w:rPr>
          <w:rFonts w:eastAsia="Times New Roman" w:cs="Times New Roman"/>
          <w:sz w:val="22"/>
          <w:lang w:eastAsia="tr-TR"/>
        </w:rPr>
      </w:pPr>
      <w:r w:rsidRPr="00FA25AB">
        <w:rPr>
          <w:rFonts w:eastAsia="Times New Roman" w:cs="Times New Roman"/>
          <w:sz w:val="22"/>
          <w:lang w:eastAsia="tr-TR"/>
        </w:rPr>
        <w:t>Başarısızlık, işletmelerin büyüklükleri ve bulundukları ülkelerin gelişmişlik düzeyleri ne olursa olsun karşılaşabilecekleri bir sorundur. İşletmelerin temel ya da yan faaliyet alanlarında faaliyetlerini gerçekleştirememesi, yükümlülüklerin vadesi geldiğinde ödenememesi hatta iflasına kadar birçok durum başarısızlık olarak tanımlanabilmektedir (Aydın, Başar ve Coşkun, 2014: 323). Bir başka tanıma göre başarısızlık, işletmelerin çevrelerine uyum sağlayamamaları, durgunluk, örgütsel gerileme, küçülme, iflas, işletmenin faaliyetinin durması ve işletmenin kapatılması olarak tanımlanmaktadır (Weitzel ve Jonsson, 1989: 91). İşletmeler açısından başarısızlık; ekonomik başarısızlık ve finansal başarısızlık olarak iki durumda ortaya çıkmaktadır (Ceylan, 2001: 340). Ekonomik başarısızlık, belirli düzeyde risk içeren yatırılan sermaye üzerinden sağlanan getiri oranında, eşdeğer yatırımlardaki getiri oranından dikkat çekici derecede ve sürekliliği devam eden bir şekilde düşüş yaşanmasıdır (Özdemir, 2011: 37). Finansal başarısızlık ise işletmenin faaliyetlerinin durması, iflas halinde olması, icra veya haciz sorunlarının yaşanması, tasfiye yaşanması, işletmeye kayyum atanması ve konkordato yapılması gibi durumlardan herhangi birini ya da tamamını yaşaması olarak tanımlanmaktadır (Altman ve Hotchkiss, 2006: 4). Genel olarak finansal başarısızlık kavramı, işletmelerin finansal başarısını belirlemek için kullanılan çalışmalarda iflas yerine kullanılan bir kavram olarak görülmektedir. Bunun nedeni ise finansal başarısızlık kavramının, iflas kavramına göre daha geniş kapsamlı olmasıdır. (Aktaş, 1993: 8).</w:t>
      </w:r>
    </w:p>
    <w:p w:rsidR="00D64C6E" w:rsidRPr="00FA25AB" w:rsidRDefault="00D64C6E" w:rsidP="00D64C6E">
      <w:pPr>
        <w:spacing w:after="120"/>
        <w:jc w:val="both"/>
        <w:rPr>
          <w:rFonts w:eastAsia="Times New Roman" w:cs="Times New Roman"/>
          <w:sz w:val="22"/>
          <w:lang w:eastAsia="tr-TR"/>
        </w:rPr>
      </w:pPr>
      <w:r w:rsidRPr="00FA25AB">
        <w:rPr>
          <w:rFonts w:eastAsia="Times New Roman" w:cs="Times New Roman"/>
          <w:sz w:val="22"/>
          <w:lang w:eastAsia="tr-TR"/>
        </w:rPr>
        <w:t xml:space="preserve">Genel olarak finansal açıdan başarısızlık, finansal yükümlülüklerin yerine getirilmemesi olarak tanımlanabilmektedir (Aydın, Başar ve Coşkun, 2014: 325). Finansal başarısızlık, işletmelerin borçlarını ödeme güçlerini kaybetmesi ve kredibilitesinin azalması bağlamında üç ana başlığa ayrılmaktadır. Bunlar; karın devamlı olarak düşük ya da negatif olması, teknik likidite probleminin (vadesi gelen yükümlülüklerin karşılanamaması) yaşanması ve iflastır (Aydın, Başar ve Coşkun, 2014: 325). Finansal başarısızlığın en son noktası olan iflasın tanımı ise Türk Dil Kurumu sözlüğünde “ticari borçlarını </w:t>
      </w:r>
      <w:r w:rsidRPr="00FA25AB">
        <w:rPr>
          <w:rFonts w:eastAsia="Times New Roman" w:cs="Times New Roman"/>
          <w:sz w:val="22"/>
          <w:lang w:eastAsia="tr-TR"/>
        </w:rPr>
        <w:lastRenderedPageBreak/>
        <w:t xml:space="preserve">ödeyemediği mahkeme kararı ile tespit ve ilan olunan işadamının durumu, batkı, batkınlık ve yenilgiye uğrama, değerini yitirme ya da işlevini veya görevini yapamama” olarak yapılmaktadır (www.tdk.gov.tr). İşletmenin yükümlülüklerini karşılayamaması, işletmenin her zaman iflas edeceği anlamına gelmemektedir. Dolayısıyla borçları karşılamadaki yetersizlik ve iflas kavramlarının farklı olduğunun bilinmesi önemlidir (Haber ve College, 2005: 88). İflas, işletmelerin finansal durumuna dayanılarak belirlenen bir durum olmasına rağmen, iflas kararı sadece işletmenin ya da üçüncü kişilerin isteği sonucunda yargının verdiği kararla kesinleşmektedir (Özdemir, 2011: 38). </w:t>
      </w:r>
    </w:p>
    <w:p w:rsidR="00D64C6E" w:rsidRPr="00FA25AB" w:rsidRDefault="00D64C6E" w:rsidP="00D64C6E">
      <w:pPr>
        <w:spacing w:after="120"/>
        <w:jc w:val="both"/>
        <w:rPr>
          <w:rFonts w:eastAsia="Times New Roman" w:cs="Times New Roman"/>
          <w:sz w:val="22"/>
          <w:lang w:eastAsia="tr-TR"/>
        </w:rPr>
      </w:pPr>
      <w:r w:rsidRPr="00FA25AB">
        <w:rPr>
          <w:rFonts w:eastAsia="Times New Roman" w:cs="Times New Roman"/>
          <w:sz w:val="22"/>
          <w:lang w:eastAsia="tr-TR"/>
        </w:rPr>
        <w:t xml:space="preserve">Finansal başarısızlık/iflas bir süreç halinde başlar ve satışların azalması, nakit akışlarının düzenli olmaması, maliyetlerin yükselmesi, vadesi gelen yükümlülükleri karşılayamama, banka ve cari hesaplarda düzensizlik, müşteri ve satıcı ilişkilerinde problemler, faaliyetlerde durağanlık vb. durumlarla ortaya çıkabilmektedir (Okka, 2009: 939). Bu bağlamda finansal başarısızlığın neden olacağı olumsuz etkileri ortadan kaldırmak ya da en aza indirmek için finansal başarısızlığın önceden tahmin edilmesi büyük önem arz etmektedir. Bu bağlamda çalışmanın amacı, Türkiye’de Borsa İstanbul’da işlem gören konaklama işletmelerinin finansal başarısızlık risklerini Beaver modeliyle ölçülmesidir. Belirlenen amaçlar doğrultusunda çalışma üç bölümden oluşmaktadır. Birinci bölümde literatürde yer alan benzer çalışmalara ve çalışmanın amacını belirleyen araştırma sorularına yer verilmiştir. İkinci bölümde ise araştırmanın amacı, yöntemi ve bulguları sunulmuştur. Son bölümde çalışmanın sonuç ve önerilerine yer verilmiştir. </w:t>
      </w:r>
    </w:p>
    <w:p w:rsidR="00D64C6E" w:rsidRPr="00FA25AB" w:rsidRDefault="00D64C6E" w:rsidP="00D64C6E">
      <w:pPr>
        <w:spacing w:after="120"/>
        <w:ind w:firstLine="708"/>
        <w:jc w:val="both"/>
        <w:rPr>
          <w:rFonts w:eastAsia="Times New Roman" w:cs="Times New Roman"/>
          <w:sz w:val="20"/>
          <w:szCs w:val="20"/>
          <w:lang w:eastAsia="tr-TR"/>
        </w:rPr>
      </w:pPr>
    </w:p>
    <w:p w:rsidR="00D64C6E" w:rsidRPr="00D64C6E" w:rsidRDefault="00D64C6E" w:rsidP="00D64C6E">
      <w:pPr>
        <w:spacing w:after="120"/>
        <w:jc w:val="both"/>
        <w:rPr>
          <w:rFonts w:eastAsia="Times New Roman" w:cs="Times New Roman"/>
          <w:b/>
          <w:sz w:val="22"/>
          <w:szCs w:val="20"/>
          <w:lang w:eastAsia="tr-TR"/>
        </w:rPr>
      </w:pPr>
      <w:r w:rsidRPr="00D64C6E">
        <w:rPr>
          <w:rFonts w:eastAsia="Times New Roman" w:cs="Times New Roman"/>
          <w:b/>
          <w:sz w:val="22"/>
          <w:szCs w:val="20"/>
          <w:lang w:eastAsia="tr-TR"/>
        </w:rPr>
        <w:t xml:space="preserve">1. LITERATÜR </w:t>
      </w:r>
    </w:p>
    <w:p w:rsidR="00D64C6E" w:rsidRPr="00FA25AB" w:rsidRDefault="00D64C6E" w:rsidP="00D64C6E">
      <w:pPr>
        <w:spacing w:after="120"/>
        <w:jc w:val="both"/>
        <w:rPr>
          <w:rFonts w:eastAsia="Times New Roman" w:cs="Times New Roman"/>
          <w:sz w:val="22"/>
          <w:lang w:eastAsia="tr-TR"/>
        </w:rPr>
      </w:pPr>
      <w:r w:rsidRPr="00FA25AB">
        <w:rPr>
          <w:rFonts w:eastAsia="Times New Roman" w:cs="Times New Roman"/>
          <w:sz w:val="22"/>
          <w:lang w:eastAsia="tr-TR"/>
        </w:rPr>
        <w:t>Konuyla ilgili yapılan literatür incelemesi sonucunda, konaklama işletmelerinin finans literatüründe kabul görmüş farklı model ve yöntemlerle finansal başarısızlık risklerinin ölçüldüğü çalışmaların kısıtlı olduğu görülmektedir. Bununla beraber konaklama işletmelerinin finansal başarısızlık risklerinin Beaver modeliyle ölçüldüğü çalışmaya tarafımızca rastlanmamıştır. Bu konu ile ilgili yapılan çalışmalar aşağıda sıralanmıştır.</w:t>
      </w:r>
    </w:p>
    <w:p w:rsidR="00D64C6E" w:rsidRPr="00FA25AB" w:rsidRDefault="00D64C6E" w:rsidP="00D64C6E">
      <w:pPr>
        <w:spacing w:after="120"/>
        <w:jc w:val="both"/>
        <w:rPr>
          <w:rFonts w:eastAsia="Times New Roman" w:cs="Times New Roman"/>
          <w:sz w:val="22"/>
          <w:lang w:eastAsia="tr-TR"/>
        </w:rPr>
      </w:pPr>
      <w:r w:rsidRPr="00FA25AB">
        <w:rPr>
          <w:rFonts w:eastAsia="Times New Roman" w:cs="Times New Roman"/>
          <w:sz w:val="22"/>
          <w:lang w:eastAsia="tr-TR"/>
        </w:rPr>
        <w:t xml:space="preserve">Kwansa ve Parsa (1990), çalışmalarında Amerika Birleşik Devletleri’ndeki restoran alt sektöründe finansal başarısızlığı araştırmışlardır. Bu amaçla çalışmada 1970-1988 yıllarında finansal başarısızlığını açıklamış 12 restoran ile başarılı 12 restoran karşılaştırılmıştır. Çalışmanın sonucunda finansal başarısızlığın nedenlerinin finansal yönetim eksikliği, pazarlama ve satış politikalarındaki eksikliklerin olduğu sonucuna varılmıştır. </w:t>
      </w:r>
    </w:p>
    <w:p w:rsidR="00D64C6E" w:rsidRPr="00FA25AB" w:rsidRDefault="00D64C6E" w:rsidP="00D64C6E">
      <w:pPr>
        <w:spacing w:after="120"/>
        <w:jc w:val="both"/>
        <w:rPr>
          <w:rFonts w:eastAsia="Times New Roman" w:cs="Times New Roman"/>
          <w:sz w:val="22"/>
          <w:lang w:eastAsia="tr-TR"/>
        </w:rPr>
      </w:pPr>
      <w:r w:rsidRPr="00FA25AB">
        <w:rPr>
          <w:rFonts w:eastAsia="Times New Roman" w:cs="Times New Roman"/>
          <w:sz w:val="22"/>
          <w:lang w:eastAsia="tr-TR"/>
        </w:rPr>
        <w:t xml:space="preserve">Cho (1994), çalışmasında konaklama ve restoran alt sektörlerindeki başarısızlıkların nedenlerini ve modellerin başarısızlığı önceden tahmin etme gücünü incelemiştir.  Bu amaçla çalışmada restoran ve otellerin başarısızlıklarını önceden tahmin etmede kullanılan logit modeller kullanılmıştır. Çalışma sonucunda söz konusu modellerin, restoranların finansal başarısızlığını önceden tahmin etme gücü %91, </w:t>
      </w:r>
      <w:r w:rsidRPr="00FA25AB">
        <w:rPr>
          <w:rFonts w:eastAsia="Times New Roman" w:cs="Times New Roman"/>
          <w:sz w:val="22"/>
          <w:lang w:eastAsia="tr-TR"/>
        </w:rPr>
        <w:lastRenderedPageBreak/>
        <w:t>otellerin finansal başarısızlıklarını tahmin etme gücü %92 olarak saptanmıştır. Çalışmada ayrıca modellerin bir yıl öncesinde tahmin başarısının yüksek olduğu vurgulanmıştır.</w:t>
      </w:r>
    </w:p>
    <w:p w:rsidR="00D64C6E" w:rsidRPr="00FA25AB" w:rsidRDefault="00D64C6E" w:rsidP="00D64C6E">
      <w:pPr>
        <w:spacing w:after="120"/>
        <w:jc w:val="both"/>
        <w:rPr>
          <w:rFonts w:eastAsia="Times New Roman" w:cs="Times New Roman"/>
          <w:sz w:val="22"/>
          <w:lang w:eastAsia="tr-TR"/>
        </w:rPr>
      </w:pPr>
      <w:r w:rsidRPr="00FA25AB">
        <w:rPr>
          <w:rFonts w:eastAsia="Times New Roman" w:cs="Times New Roman"/>
          <w:sz w:val="22"/>
          <w:lang w:eastAsia="tr-TR"/>
        </w:rPr>
        <w:t xml:space="preserve">Gu ve Gao (2000), çalışmalarında konaklama ve yiyecek-içecek işletmelerinin iflas riskini diskriminant analizi ile önceden tahmin etmeye çalışmışlardır. Çalışmada incelenen işletmelerin 4 tanesi otel ve motel, diğer 10 işletme ise yiyecek–içecek alt sektörüne aittir. İşletmelerin 1987-1996 yılları arasındaki finansal bilgileri kullanılarak 14 oran yardımıyla diskriminant analizi uygulanmıştır. Çalışmanın sonucunda kullanılan oranların ve sektöre göre özelleştirilen diskriminant analizinin, işletmelerin başarısızlıklarını önceden tahmin etmedeki başarısı % 93 bulunmuştur. </w:t>
      </w:r>
    </w:p>
    <w:p w:rsidR="00D64C6E" w:rsidRPr="00FA25AB" w:rsidRDefault="00D64C6E" w:rsidP="00D64C6E">
      <w:pPr>
        <w:spacing w:after="120"/>
        <w:jc w:val="both"/>
        <w:rPr>
          <w:rFonts w:eastAsia="Times New Roman" w:cs="Times New Roman"/>
          <w:sz w:val="22"/>
          <w:lang w:eastAsia="tr-TR"/>
        </w:rPr>
      </w:pPr>
      <w:r w:rsidRPr="00FA25AB">
        <w:rPr>
          <w:rFonts w:eastAsia="Times New Roman" w:cs="Times New Roman"/>
          <w:sz w:val="22"/>
          <w:lang w:eastAsia="tr-TR"/>
        </w:rPr>
        <w:t>Aksu (2000), çalışmasında otel işletmelerinin başarısını etkileyen dış çevre faktörlerini incelemiştir. Bu çalışmada dış çevre faktörlerinin işletmeyi ekonomik yönden çok etkilediği ortaya konulmuş ve işletmenin devamlılığı ve başarısı için önemli bir etken olduğu saptanmıştır.</w:t>
      </w:r>
    </w:p>
    <w:p w:rsidR="00D64C6E" w:rsidRPr="00FA25AB" w:rsidRDefault="00D64C6E" w:rsidP="00D64C6E">
      <w:pPr>
        <w:spacing w:after="120"/>
        <w:jc w:val="both"/>
        <w:rPr>
          <w:rFonts w:eastAsia="Times New Roman" w:cs="Times New Roman"/>
          <w:sz w:val="22"/>
          <w:lang w:eastAsia="tr-TR"/>
        </w:rPr>
      </w:pPr>
      <w:r w:rsidRPr="00FA25AB">
        <w:rPr>
          <w:rFonts w:eastAsia="Times New Roman" w:cs="Times New Roman"/>
          <w:sz w:val="22"/>
          <w:lang w:eastAsia="tr-TR"/>
        </w:rPr>
        <w:t xml:space="preserve">Poyraz ve Uçma (2006), ihracat sektörlerinden; tarımsal ürünler-gıda, tekstil, turizm ve ulaşım araçları sektörleri üzerinde bir çalışma gerçekleştirmişlerdir. Bahsedilen sektörlerin 1994-2001 krizlerindeki finansal başarısızlık riskleri Altman Z Skor modeliyle ölçülmüştür. Çalışmanın sonucuna göre turizm sektörü özelinde kriz ve kriz dışı dönemlere ait Altman Z değerlerinde çok büyük dalgalanmaların olmadığı ve bu bağlamda finansal krizlerin, turizm işletmelerinin iflas risklerini çok fazla etkilemediği sonucuna ulaşılmıştır. </w:t>
      </w:r>
    </w:p>
    <w:p w:rsidR="00D64C6E" w:rsidRPr="00FA25AB" w:rsidRDefault="00D64C6E" w:rsidP="00D64C6E">
      <w:pPr>
        <w:spacing w:after="120"/>
        <w:jc w:val="both"/>
        <w:rPr>
          <w:rFonts w:eastAsia="Times New Roman" w:cs="Times New Roman"/>
          <w:sz w:val="22"/>
          <w:lang w:eastAsia="tr-TR"/>
        </w:rPr>
      </w:pPr>
      <w:r w:rsidRPr="00FA25AB">
        <w:rPr>
          <w:rFonts w:eastAsia="Times New Roman" w:cs="Times New Roman"/>
          <w:sz w:val="22"/>
          <w:lang w:eastAsia="tr-TR"/>
        </w:rPr>
        <w:t>Kim ve Gu (2006), yaptıkları çalışmada, Amerika Birleşik Devletleri’ndeki 32 konaklama işletmesinin finansal başarısızlıklarını önceden tahmin etmek için logit model geliştirmişlerdir. Bu amaçla çalışmada Amerika Birleşik Devletleri’nde bulunan konaklama işletmelerinden 16 başarısız ve 16 başarılı işletmenin 1999-2004 yılları arasındaki verileri kullanılmıştır. Çalışmanın sonucunda, oluşturulan logit modelin finansal başarısızlığı iki yıl önceden tahmin etme başarısının %84-%91 arasında olduğu sonucuna ulaşılmıştır. Çalışmada ayrıca başarısız işletmelerin finansal verileri incelendiğinde nakit akışının düşük olduğu ve toplam yükümlülüklerini karşılamada yetersiz kaldığı sonucuna varılmıştır.</w:t>
      </w:r>
    </w:p>
    <w:p w:rsidR="00D64C6E" w:rsidRPr="00FA25AB" w:rsidRDefault="00D64C6E" w:rsidP="00D64C6E">
      <w:pPr>
        <w:spacing w:after="120"/>
        <w:jc w:val="both"/>
        <w:rPr>
          <w:rFonts w:eastAsia="Times New Roman" w:cs="Times New Roman"/>
          <w:sz w:val="22"/>
          <w:lang w:eastAsia="tr-TR"/>
        </w:rPr>
      </w:pPr>
      <w:r w:rsidRPr="00FA25AB">
        <w:rPr>
          <w:rFonts w:eastAsia="Times New Roman" w:cs="Times New Roman"/>
          <w:sz w:val="22"/>
          <w:lang w:eastAsia="tr-TR"/>
        </w:rPr>
        <w:t>Türksoy (2007), konaklama işletmelerinde finansal başarısızlığa yol açabilecek faktörleri belirlemeye yönelik bir çalışma gerçekleştirmiştir. Bu amaçla hisseleri İstanbul Menkul Kıymetler Borsası’nda on beş yılı aşkın bir süredir işlem gören üç konaklama işletmesini incelemiştir. Çalışmanın sonucunda konaklama işletmelerinin finansal başarısızlık nedenleri olarak, işletmelerin var olan kapasiteden tam olarak yararlanamaması, turizm talebi ve arzı arasında planlanan rakamların gerçekleşmemesi, nitelikli eleman bulmada yaşanan zorluk, yüksek maliyetler, müşteri istekleri doğrultusunda donanımın yenilenmesiyle artan finansal yük ve müşterilerin konaklama işletmelerini tercih farklılıkları olarak saptanmıştır.</w:t>
      </w:r>
    </w:p>
    <w:p w:rsidR="00D64C6E" w:rsidRPr="00FA25AB" w:rsidRDefault="00D64C6E" w:rsidP="00D64C6E">
      <w:pPr>
        <w:spacing w:after="120"/>
        <w:jc w:val="both"/>
        <w:rPr>
          <w:rFonts w:eastAsia="Times New Roman" w:cs="Times New Roman"/>
          <w:sz w:val="22"/>
          <w:lang w:eastAsia="tr-TR"/>
        </w:rPr>
      </w:pPr>
      <w:r w:rsidRPr="00FA25AB">
        <w:rPr>
          <w:rFonts w:eastAsia="Times New Roman" w:cs="Times New Roman"/>
          <w:sz w:val="22"/>
          <w:lang w:eastAsia="tr-TR"/>
        </w:rPr>
        <w:t xml:space="preserve">Diakomihalis (2012), çalışmasında Altman Z Skor modellerini Yunanistan’daki farklı otellerin başarısızlıklarını ölçmede kullanmıştır. Çalışma sonucunda Altman modellerinin Yunanistan’daki otel </w:t>
      </w:r>
      <w:r w:rsidRPr="00FA25AB">
        <w:rPr>
          <w:rFonts w:eastAsia="Times New Roman" w:cs="Times New Roman"/>
          <w:sz w:val="22"/>
          <w:lang w:eastAsia="tr-TR"/>
        </w:rPr>
        <w:lastRenderedPageBreak/>
        <w:t xml:space="preserve">işletmelerinin iflas risklerinin bir yıl öncesinden tahmin edilmesinde çok başarılı olduğu sonucuna varılmıştır. </w:t>
      </w:r>
    </w:p>
    <w:p w:rsidR="00D64C6E" w:rsidRPr="00FA25AB" w:rsidRDefault="00D64C6E" w:rsidP="00D64C6E">
      <w:pPr>
        <w:spacing w:after="120"/>
        <w:jc w:val="both"/>
        <w:rPr>
          <w:rFonts w:eastAsia="Times New Roman" w:cs="Times New Roman"/>
          <w:sz w:val="22"/>
          <w:lang w:eastAsia="tr-TR"/>
        </w:rPr>
      </w:pPr>
      <w:r w:rsidRPr="00FA25AB">
        <w:rPr>
          <w:rFonts w:eastAsia="Times New Roman" w:cs="Times New Roman"/>
          <w:sz w:val="22"/>
          <w:lang w:eastAsia="tr-TR"/>
        </w:rPr>
        <w:t xml:space="preserve">Kim ve Upneja (2013), Amerika Birleşik Devletleri’nde bulunan halka açık restoran işletmelerinin finansal başarısızlıklarını öngörebilmek için restoranların 1988-2010 yıllarına ait finansal verilerini kullanarak Karar Ağaçları ve Ad Boosted Karar Ağacı modellerini kullanmışlardır. Çalışmanın sonucunda Ad Boosted Karar Ağacı modelinin başarısızlığı önceden tahmin etmede daha başarılı olduğu sonucuna ulaşılmıştır. Ayrıca finansal başarısızlık yaşayan işletmelerin borçlanma oranlarının fazla olduğu, düşük kar marjına sahip oldukları ve verimlilik düzeyinin çok düşük olduğu vurgulanmıştır. </w:t>
      </w:r>
    </w:p>
    <w:p w:rsidR="00D64C6E" w:rsidRPr="00FA25AB" w:rsidRDefault="00D64C6E" w:rsidP="00D64C6E">
      <w:pPr>
        <w:spacing w:after="120"/>
        <w:jc w:val="both"/>
        <w:rPr>
          <w:rFonts w:eastAsia="Times New Roman" w:cs="Times New Roman"/>
          <w:sz w:val="22"/>
          <w:lang w:eastAsia="tr-TR"/>
        </w:rPr>
      </w:pPr>
      <w:r w:rsidRPr="00FA25AB">
        <w:rPr>
          <w:rFonts w:eastAsia="Times New Roman" w:cs="Times New Roman"/>
          <w:color w:val="000000"/>
          <w:sz w:val="22"/>
          <w:lang w:eastAsia="tr-TR"/>
        </w:rPr>
        <w:t xml:space="preserve">Cihangir ve Kara (2014), çalışmalarında Türkiye’nin Kapadokya destinasyonunda bulunan konaklama </w:t>
      </w:r>
      <w:r w:rsidRPr="00FA25AB">
        <w:rPr>
          <w:rFonts w:eastAsia="Times New Roman" w:cs="Times New Roman"/>
          <w:sz w:val="22"/>
          <w:lang w:eastAsia="tr-TR"/>
        </w:rPr>
        <w:t xml:space="preserve">işletmelerinin finansal başarısızlıklarına neden olabilecek etkenleri incelemişlerdir. Çalışmanın sonucunda Kapadokya’daki konaklama işletmelerinde finansal başarısızlık yaşanmadığı saptanmıştır.  </w:t>
      </w:r>
    </w:p>
    <w:p w:rsidR="00D64C6E" w:rsidRPr="00FA25AB" w:rsidRDefault="00D64C6E" w:rsidP="00D64C6E">
      <w:pPr>
        <w:spacing w:after="120"/>
        <w:jc w:val="both"/>
        <w:rPr>
          <w:rFonts w:eastAsia="Times New Roman" w:cs="Times New Roman"/>
          <w:sz w:val="22"/>
          <w:lang w:eastAsia="tr-TR"/>
        </w:rPr>
      </w:pPr>
      <w:r w:rsidRPr="00FA25AB">
        <w:rPr>
          <w:rFonts w:eastAsia="Times New Roman" w:cs="Times New Roman"/>
          <w:sz w:val="22"/>
          <w:lang w:eastAsia="tr-TR"/>
        </w:rPr>
        <w:t>Pacheco (2015), çalışmasında Portekiz’de bulunan küçük ve orta ölçekli konaklama işletmelerinin finansal başarısızlıklarını ölçmüştür. Çalışmanın sonucunda kullanılan modelin finansal başarısızlığı tahmin etmede zayıf olduğu belirlenerek bunun nedeninin ise işletmelerin doğru veri paylaşımında bulunmama ihtimali ve modelin konaklama işletmelerine çok uygun olmadığı vurgulanmıştır.</w:t>
      </w:r>
    </w:p>
    <w:p w:rsidR="00D64C6E" w:rsidRPr="00FA25AB" w:rsidRDefault="00D64C6E" w:rsidP="00D64C6E">
      <w:pPr>
        <w:spacing w:after="120"/>
        <w:jc w:val="both"/>
        <w:rPr>
          <w:rFonts w:eastAsia="Times New Roman" w:cs="Times New Roman"/>
          <w:sz w:val="22"/>
          <w:lang w:eastAsia="tr-TR"/>
        </w:rPr>
      </w:pPr>
      <w:r w:rsidRPr="00FA25AB">
        <w:rPr>
          <w:rFonts w:eastAsia="Times New Roman" w:cs="Times New Roman"/>
          <w:sz w:val="22"/>
          <w:lang w:eastAsia="tr-TR"/>
        </w:rPr>
        <w:t>Mizdrakovic, Knezevic ve Stanic (2015), çalışmalarında Sırbistan’da bulunan konaklama işletmelerinin borçluluk düzeylerini finansal başarısızlığı önceden tahmin etmede kullanılan modellerden yararlanarak incelemişlerdir. İşletmelere, 2008-2012 yıllarına ait finansal verileri kullanarak Altman Z’ Skoru, Altman Z Skoru’’, M Skor, Kralicek’s Df Skoru ve konaklama sektörü için oluşturulan Z-Skor modelleri kullanılmıştır. Çalışmanın sonucunda işletmelerin 2010 ve 2011 yıllarında finansal anlamda başarısızlık yaşadığı sonucuna varılmıştır.</w:t>
      </w:r>
    </w:p>
    <w:p w:rsidR="00D64C6E" w:rsidRPr="00FA25AB" w:rsidRDefault="00D64C6E" w:rsidP="00D64C6E">
      <w:pPr>
        <w:spacing w:after="120"/>
        <w:jc w:val="both"/>
        <w:rPr>
          <w:rFonts w:eastAsia="Times New Roman" w:cs="Times New Roman"/>
          <w:sz w:val="22"/>
          <w:lang w:eastAsia="tr-TR"/>
        </w:rPr>
      </w:pPr>
      <w:r w:rsidRPr="00FA25AB">
        <w:rPr>
          <w:rFonts w:eastAsia="Times New Roman" w:cs="Times New Roman"/>
          <w:sz w:val="22"/>
          <w:lang w:eastAsia="tr-TR"/>
        </w:rPr>
        <w:t xml:space="preserve">Bua, Sestayo ve Gonzalez (2016), çalışmalarında İspanya’da bulunan konaklama işletmelerinin finansal başarılarını probit ve logit modellerini kullanarak ölçmüşlerdir.  Örneklem olarak seçilen küçük ve orta ölçekli 682 işletmenin 2008-2011 yıllarına ait finansal verileri kullanılmıştır. Çalışmanın sonucunda kullanılan modellerin finansal başarısızlığı ölçmede başarılı olduğu fakat sektöre özel modellerin geliştirilmesi gerektiği vurgulanmıştır. </w:t>
      </w:r>
    </w:p>
    <w:p w:rsidR="00D64C6E" w:rsidRPr="00FA25AB" w:rsidRDefault="00D64C6E" w:rsidP="00D64C6E">
      <w:pPr>
        <w:spacing w:after="120"/>
        <w:jc w:val="both"/>
        <w:rPr>
          <w:rFonts w:eastAsia="Times New Roman" w:cs="Times New Roman"/>
          <w:bCs/>
          <w:sz w:val="22"/>
          <w:lang w:eastAsia="tr-TR"/>
        </w:rPr>
      </w:pPr>
      <w:r w:rsidRPr="00FA25AB">
        <w:rPr>
          <w:rFonts w:eastAsia="Times New Roman" w:cs="Times New Roman"/>
          <w:bCs/>
          <w:sz w:val="22"/>
          <w:lang w:eastAsia="tr-TR"/>
        </w:rPr>
        <w:t>Mammadli ve Helhel (2017), çalışmalarında “marka yetenek geliştiriciler” olarak adlandırılan ve “Fortune: 100 Best Companies to Work for 2017” listesinde yer alan turizm işletmelerinin iflas risklerini Altman Z’’ Skor modeliyle ölçmüşlerdir. Analiz sonucunda The Cheesecake Factory restoranının iflas riskinin bulunmadığı diğer iki işletmeye göre finansal durumunun daha iyi durumda olduğu; Hyatt Otel işletmesinin finansal başarıda belirsizlik gözlemlendiği ve Marriot International işletmesinin iflas riskinin yüksek olduğu sonucuna varılmıştır.</w:t>
      </w:r>
    </w:p>
    <w:p w:rsidR="00D64C6E" w:rsidRPr="00FA25AB" w:rsidRDefault="00D64C6E" w:rsidP="00D64C6E">
      <w:pPr>
        <w:spacing w:after="120"/>
        <w:jc w:val="both"/>
        <w:rPr>
          <w:rFonts w:eastAsia="Times New Roman" w:cs="Times New Roman"/>
          <w:bCs/>
          <w:sz w:val="22"/>
          <w:lang w:eastAsia="tr-TR"/>
        </w:rPr>
      </w:pPr>
      <w:r w:rsidRPr="00FA25AB">
        <w:rPr>
          <w:rFonts w:eastAsia="Times New Roman" w:cs="Times New Roman"/>
          <w:bCs/>
          <w:sz w:val="22"/>
          <w:lang w:eastAsia="tr-TR"/>
        </w:rPr>
        <w:t xml:space="preserve">Jawabreh, Rawashdeh ve Senjelawi (2017), çalışmalarında Ürdün’de bulunan konaklama işletmelerinin finansal başarısızlıklarını Altman Z Skoru yardımıyla ölçmüşlerdir. Bu amaçla Amman borsasında bulunan 13 konaklama işletmesinin 2008-2009 yıllarına ait verilerini Altman Z Skoruna tabi </w:t>
      </w:r>
      <w:r w:rsidRPr="00FA25AB">
        <w:rPr>
          <w:rFonts w:eastAsia="Times New Roman" w:cs="Times New Roman"/>
          <w:bCs/>
          <w:sz w:val="22"/>
          <w:lang w:eastAsia="tr-TR"/>
        </w:rPr>
        <w:lastRenderedPageBreak/>
        <w:t xml:space="preserve">tutmuşlardır. Çalışmanın sonucunda işletmelerin finansal başarısızlıklarının bir yıl öncesinden tahmin edilebileceği sonucuna varılmıştır. </w:t>
      </w:r>
    </w:p>
    <w:p w:rsidR="00D64C6E" w:rsidRDefault="00D64C6E" w:rsidP="00D64C6E">
      <w:pPr>
        <w:spacing w:after="120"/>
        <w:jc w:val="both"/>
        <w:rPr>
          <w:rFonts w:eastAsia="Times New Roman" w:cs="Times New Roman"/>
          <w:bCs/>
          <w:sz w:val="22"/>
          <w:lang w:eastAsia="tr-TR"/>
        </w:rPr>
      </w:pPr>
      <w:r w:rsidRPr="00FA25AB">
        <w:rPr>
          <w:rFonts w:eastAsia="Times New Roman" w:cs="Times New Roman"/>
          <w:bCs/>
          <w:sz w:val="22"/>
          <w:lang w:eastAsia="tr-TR"/>
        </w:rPr>
        <w:t>Karaca ve Özen (2017), yaptıkları çalışmada Türkiye turizm sektöründeki son gelişmelerin, Borsa İstanbul’da bulunan turizm işletmelerinin finansal başarısızlıkları üzerindeki etkisini incelemişlerdir. İşletmelerin finansal tablolarından yararlanarak 2009-2016 yılları arasındaki verileri yardımıyla Altman Z Skoru ile iflas riski taşıyıp taşımadığı ölçülmüştür. Aynı zamanda işletmelerin hisse senetlerinin döviz fiyatları hesaplanan Z Skoru ile karşılaştırılıp aradaki fiyat değişiminin ne kadar olduğu ölçülmüştür. Çalışmanın sonucunda 2015-2016 yıllarında yaşanan Türkiye ve Rusya arasındaki uçak krizinin neden olduğu sorunlar turizm işletmelerinin iflas riskini yükselttiği saptanmıştır. Ayrıca bu dönem için işletmelerin hisse senedi fiyatlarında önemli bir değişiklik olmadığı gözlemlenmiştir. Regresyon analizi sonucunda ise iflas olasılığının fiyatlar üzerindeki etkisinin anlamlı olmadığı saptanmıştır.</w:t>
      </w:r>
    </w:p>
    <w:p w:rsidR="00D64C6E" w:rsidRPr="00FA25AB" w:rsidRDefault="00D64C6E" w:rsidP="00D64C6E">
      <w:pPr>
        <w:spacing w:after="120"/>
        <w:jc w:val="both"/>
        <w:rPr>
          <w:rFonts w:eastAsia="Times New Roman" w:cs="Times New Roman"/>
          <w:bCs/>
          <w:sz w:val="22"/>
          <w:lang w:eastAsia="tr-TR"/>
        </w:rPr>
      </w:pPr>
    </w:p>
    <w:p w:rsidR="00D64C6E" w:rsidRPr="00D64C6E" w:rsidRDefault="00D64C6E" w:rsidP="00D64C6E">
      <w:pPr>
        <w:spacing w:after="120"/>
        <w:jc w:val="both"/>
        <w:rPr>
          <w:rFonts w:eastAsia="Times New Roman" w:cs="Times New Roman"/>
          <w:b/>
          <w:sz w:val="22"/>
          <w:szCs w:val="20"/>
          <w:lang w:eastAsia="tr-TR"/>
        </w:rPr>
      </w:pPr>
      <w:r w:rsidRPr="00D64C6E">
        <w:rPr>
          <w:rFonts w:eastAsia="Times New Roman" w:cs="Times New Roman"/>
          <w:b/>
          <w:sz w:val="22"/>
          <w:szCs w:val="20"/>
          <w:lang w:eastAsia="tr-TR"/>
        </w:rPr>
        <w:t>2. YÖNTEM</w:t>
      </w:r>
    </w:p>
    <w:p w:rsidR="00D64C6E" w:rsidRPr="00FA25AB" w:rsidRDefault="00D64C6E" w:rsidP="00D64C6E">
      <w:pPr>
        <w:spacing w:after="120"/>
        <w:ind w:firstLine="708"/>
        <w:jc w:val="both"/>
        <w:rPr>
          <w:rFonts w:eastAsia="Times New Roman" w:cs="Times New Roman"/>
          <w:sz w:val="22"/>
          <w:lang w:eastAsia="tr-TR"/>
        </w:rPr>
      </w:pPr>
      <w:r w:rsidRPr="00FA25AB">
        <w:rPr>
          <w:rFonts w:eastAsia="Times New Roman" w:cs="Times New Roman"/>
          <w:sz w:val="22"/>
          <w:lang w:eastAsia="tr-TR"/>
        </w:rPr>
        <w:t>Bu çalışmanın amacı, Türkiye’de Borsa İstanbul’da işlem gören konaklama işletmelerinin finansal başarısızlık risklerini Beaver modeliyle ölçmek ve yıllar arasında bir farklılık olup olmadığını ortaya koymaktır. Çalışmada belirlenen amaçlar doğrultusunda ikincil veriler kullanılarak araştırmaya dahil edilen ve Borsa İstanbul’da işlem gören 11 konaklama işletmesinin 2012-2017 yıllarına ait finansal tabloları incelenmiş ve Beaver modeli uygulanmıştır. Bu doğrultuda çalışma ile ilgili araştırma soruları aşağıdaki gibidir;</w:t>
      </w:r>
    </w:p>
    <w:p w:rsidR="00D64C6E" w:rsidRPr="00FA25AB" w:rsidRDefault="00D64C6E" w:rsidP="00D64C6E">
      <w:pPr>
        <w:numPr>
          <w:ilvl w:val="0"/>
          <w:numId w:val="14"/>
        </w:numPr>
        <w:spacing w:after="120"/>
        <w:jc w:val="both"/>
        <w:rPr>
          <w:rFonts w:eastAsia="Times New Roman" w:cs="Times New Roman"/>
          <w:sz w:val="22"/>
          <w:lang w:eastAsia="tr-TR"/>
        </w:rPr>
      </w:pPr>
      <w:r w:rsidRPr="00FA25AB">
        <w:rPr>
          <w:rFonts w:eastAsia="Times New Roman" w:cs="Times New Roman"/>
          <w:sz w:val="22"/>
          <w:lang w:eastAsia="tr-TR"/>
        </w:rPr>
        <w:t>Türkiye’de halka açık konaklama işletmelerinin Beaver Modeline göre finansal başarısızlık riski nedir?</w:t>
      </w:r>
    </w:p>
    <w:p w:rsidR="00D64C6E" w:rsidRPr="00FA25AB" w:rsidRDefault="00D64C6E" w:rsidP="00D64C6E">
      <w:pPr>
        <w:numPr>
          <w:ilvl w:val="0"/>
          <w:numId w:val="14"/>
        </w:numPr>
        <w:spacing w:after="120"/>
        <w:jc w:val="both"/>
        <w:rPr>
          <w:rFonts w:eastAsia="Times New Roman" w:cs="Times New Roman"/>
          <w:sz w:val="22"/>
          <w:lang w:eastAsia="tr-TR"/>
        </w:rPr>
      </w:pPr>
      <w:r w:rsidRPr="00FA25AB">
        <w:rPr>
          <w:rFonts w:eastAsia="Times New Roman" w:cs="Times New Roman"/>
          <w:sz w:val="22"/>
          <w:lang w:eastAsia="tr-TR"/>
        </w:rPr>
        <w:t>Türkiye’de halka açık konaklama işletmelerinin Beaver Modeline göre finansal başarısızlığını en çok etkileyen oranlar nelerdir?</w:t>
      </w:r>
    </w:p>
    <w:p w:rsidR="00D64C6E" w:rsidRPr="00FA25AB" w:rsidRDefault="00D64C6E" w:rsidP="00D64C6E">
      <w:pPr>
        <w:spacing w:after="120"/>
        <w:jc w:val="both"/>
        <w:rPr>
          <w:rFonts w:eastAsia="Times New Roman" w:cs="Times New Roman"/>
          <w:sz w:val="22"/>
          <w:lang w:eastAsia="tr-TR"/>
        </w:rPr>
      </w:pPr>
      <w:r w:rsidRPr="00FA25AB">
        <w:rPr>
          <w:rFonts w:eastAsia="Times New Roman" w:cs="Times New Roman"/>
          <w:sz w:val="22"/>
          <w:lang w:eastAsia="tr-TR"/>
        </w:rPr>
        <w:t>Analizde kullanılan model, ilk defa Beaver (1966) çalışmasında geliştirilmiştir.</w:t>
      </w:r>
      <w:r w:rsidRPr="00FA25AB">
        <w:rPr>
          <w:rFonts w:eastAsia="Times New Roman" w:cs="Times New Roman"/>
          <w:sz w:val="22"/>
          <w:lang w:val="en-US" w:eastAsia="tr-TR"/>
        </w:rPr>
        <w:t xml:space="preserve"> </w:t>
      </w:r>
      <w:r w:rsidRPr="00FA25AB">
        <w:rPr>
          <w:rFonts w:eastAsia="Times New Roman" w:cs="Times New Roman"/>
          <w:sz w:val="22"/>
          <w:lang w:eastAsia="tr-TR"/>
        </w:rPr>
        <w:t>Bu çalışmada başarısızlık, işletmelerin finansal yükümlülüklerini yerine getirmede yetersiz kalması olarak tanımlanmıştır. Beaver (1966), araştırmasında 1954-1964 dönemlerinde başarısızlığa uğramış 79 işletme seçmiştir. Bu işletmeler Moody’s tarafından hazırlanan başarısız işletme listesinden ve Dun &amp; Bradstreet tarafından hazırlanan listelerden seçilmiştir. Ardından işletmelerin varlık büyüklüklerine ve endüstriyel alanlarına göre Moody’s tarafından hazırlanmış 12.000 adet başarılı işletmenin bulunduğu listeden 79 başarılı işletme seçilmiştir. Bu liste oluşturulurken işletmeler, endüstri alanlarına ve büyüklüklerine göre sıraya konulmuş ve gruplandırılmıştır.</w:t>
      </w:r>
    </w:p>
    <w:p w:rsidR="00D64C6E" w:rsidRPr="00FA25AB" w:rsidRDefault="00D64C6E" w:rsidP="00D64C6E">
      <w:pPr>
        <w:spacing w:after="120"/>
        <w:jc w:val="both"/>
        <w:rPr>
          <w:rFonts w:eastAsia="Times New Roman" w:cs="Times New Roman"/>
          <w:sz w:val="22"/>
          <w:lang w:eastAsia="tr-TR"/>
        </w:rPr>
      </w:pPr>
      <w:r w:rsidRPr="00FA25AB">
        <w:rPr>
          <w:rFonts w:eastAsia="Times New Roman" w:cs="Times New Roman"/>
          <w:sz w:val="22"/>
          <w:lang w:eastAsia="tr-TR"/>
        </w:rPr>
        <w:t xml:space="preserve">Beaver, incelediği oranları literatürde en çok tercih edilme ve kullanım amaçlarını göz önünde bulundurarak 6 başlıkta toplamıştır. Daha sonra başarısız işletmelerin finansal başarısızlıklarının kendini göstermeye başladığı yıldan itibaren geriye dönük olarak 5 seneyi kapsayan ve finansal tablolardan elde </w:t>
      </w:r>
      <w:r w:rsidRPr="00FA25AB">
        <w:rPr>
          <w:rFonts w:eastAsia="Times New Roman" w:cs="Times New Roman"/>
          <w:sz w:val="22"/>
          <w:lang w:eastAsia="tr-TR"/>
        </w:rPr>
        <w:lastRenderedPageBreak/>
        <w:t>edilen verilerle başarılı işletmelerin finansal tablo verilerini karşılaştırmıştır. Beaver, oluşturduğu modelde aşağıdaki oranları kullanmıştır (Sevil, Başar ve Mehmet, 2013);</w:t>
      </w:r>
    </w:p>
    <w:p w:rsidR="00D64C6E" w:rsidRPr="00FA25AB" w:rsidRDefault="00D64C6E" w:rsidP="00D64C6E">
      <w:pPr>
        <w:numPr>
          <w:ilvl w:val="0"/>
          <w:numId w:val="15"/>
        </w:numPr>
        <w:spacing w:after="120"/>
        <w:contextualSpacing/>
        <w:jc w:val="both"/>
        <w:rPr>
          <w:rFonts w:eastAsia="Times New Roman" w:cs="Times New Roman"/>
          <w:sz w:val="22"/>
          <w:lang w:eastAsia="tr-TR"/>
        </w:rPr>
      </w:pPr>
      <w:r w:rsidRPr="00FA25AB">
        <w:rPr>
          <w:rFonts w:eastAsia="Times New Roman" w:cs="Times New Roman"/>
          <w:sz w:val="22"/>
          <w:lang w:eastAsia="tr-TR"/>
        </w:rPr>
        <w:t>Nakit Akış/Toplam Borçlar</w:t>
      </w:r>
    </w:p>
    <w:p w:rsidR="00D64C6E" w:rsidRPr="00FA25AB" w:rsidRDefault="00D64C6E" w:rsidP="00D64C6E">
      <w:pPr>
        <w:numPr>
          <w:ilvl w:val="0"/>
          <w:numId w:val="15"/>
        </w:numPr>
        <w:spacing w:after="120"/>
        <w:contextualSpacing/>
        <w:jc w:val="both"/>
        <w:rPr>
          <w:rFonts w:eastAsia="Times New Roman" w:cs="Times New Roman"/>
          <w:sz w:val="22"/>
          <w:lang w:eastAsia="tr-TR"/>
        </w:rPr>
      </w:pPr>
      <w:r w:rsidRPr="00FA25AB">
        <w:rPr>
          <w:rFonts w:eastAsia="Times New Roman" w:cs="Times New Roman"/>
          <w:sz w:val="22"/>
          <w:lang w:eastAsia="tr-TR"/>
        </w:rPr>
        <w:t>Net Kar/Toplam Varlıklar</w:t>
      </w:r>
    </w:p>
    <w:p w:rsidR="00D64C6E" w:rsidRPr="00FA25AB" w:rsidRDefault="00D64C6E" w:rsidP="00D64C6E">
      <w:pPr>
        <w:numPr>
          <w:ilvl w:val="0"/>
          <w:numId w:val="15"/>
        </w:numPr>
        <w:spacing w:after="120"/>
        <w:contextualSpacing/>
        <w:jc w:val="both"/>
        <w:rPr>
          <w:rFonts w:eastAsia="Times New Roman" w:cs="Times New Roman"/>
          <w:sz w:val="22"/>
          <w:lang w:eastAsia="tr-TR"/>
        </w:rPr>
      </w:pPr>
      <w:r w:rsidRPr="00FA25AB">
        <w:rPr>
          <w:rFonts w:eastAsia="Times New Roman" w:cs="Times New Roman"/>
          <w:sz w:val="22"/>
          <w:lang w:eastAsia="tr-TR"/>
        </w:rPr>
        <w:t>Toplam Borçlar/Toplam Varlıklar</w:t>
      </w:r>
    </w:p>
    <w:p w:rsidR="00D64C6E" w:rsidRPr="00FA25AB" w:rsidRDefault="00D64C6E" w:rsidP="00D64C6E">
      <w:pPr>
        <w:numPr>
          <w:ilvl w:val="0"/>
          <w:numId w:val="15"/>
        </w:numPr>
        <w:spacing w:after="120"/>
        <w:contextualSpacing/>
        <w:jc w:val="both"/>
        <w:rPr>
          <w:rFonts w:eastAsia="Times New Roman" w:cs="Times New Roman"/>
          <w:sz w:val="22"/>
          <w:lang w:eastAsia="tr-TR"/>
        </w:rPr>
      </w:pPr>
      <w:r w:rsidRPr="00FA25AB">
        <w:rPr>
          <w:rFonts w:eastAsia="Times New Roman" w:cs="Times New Roman"/>
          <w:sz w:val="22"/>
          <w:lang w:eastAsia="tr-TR"/>
        </w:rPr>
        <w:t>Dönen Varlıklar/Kısa Vadeli Yabancı Kaynaklar</w:t>
      </w:r>
    </w:p>
    <w:p w:rsidR="00D64C6E" w:rsidRPr="00FA25AB" w:rsidRDefault="00D64C6E" w:rsidP="00D64C6E">
      <w:pPr>
        <w:numPr>
          <w:ilvl w:val="0"/>
          <w:numId w:val="15"/>
        </w:numPr>
        <w:spacing w:after="120"/>
        <w:contextualSpacing/>
        <w:jc w:val="both"/>
        <w:rPr>
          <w:rFonts w:eastAsia="Times New Roman" w:cs="Times New Roman"/>
          <w:sz w:val="22"/>
          <w:lang w:eastAsia="tr-TR"/>
        </w:rPr>
      </w:pPr>
      <w:r w:rsidRPr="00FA25AB">
        <w:rPr>
          <w:rFonts w:eastAsia="Times New Roman" w:cs="Times New Roman"/>
          <w:sz w:val="22"/>
          <w:lang w:eastAsia="tr-TR"/>
        </w:rPr>
        <w:t>Net Çalışma Sermayesi/Faaliyet Giderleri</w:t>
      </w:r>
    </w:p>
    <w:p w:rsidR="00D64C6E" w:rsidRPr="00FA25AB" w:rsidRDefault="00D64C6E" w:rsidP="00D64C6E">
      <w:pPr>
        <w:numPr>
          <w:ilvl w:val="0"/>
          <w:numId w:val="15"/>
        </w:numPr>
        <w:spacing w:after="120"/>
        <w:contextualSpacing/>
        <w:jc w:val="both"/>
        <w:rPr>
          <w:rFonts w:eastAsia="Times New Roman" w:cs="Times New Roman"/>
          <w:sz w:val="22"/>
          <w:lang w:eastAsia="tr-TR"/>
        </w:rPr>
      </w:pPr>
      <w:r w:rsidRPr="00FA25AB">
        <w:rPr>
          <w:rFonts w:eastAsia="Times New Roman" w:cs="Times New Roman"/>
          <w:sz w:val="22"/>
          <w:lang w:eastAsia="tr-TR"/>
        </w:rPr>
        <w:t>Net Çalışma Sermayesi/Toplam Varlıklar</w:t>
      </w:r>
    </w:p>
    <w:p w:rsidR="00D64C6E" w:rsidRPr="00FA25AB" w:rsidRDefault="00D64C6E" w:rsidP="00D64C6E">
      <w:pPr>
        <w:spacing w:after="120"/>
        <w:ind w:firstLine="708"/>
        <w:jc w:val="both"/>
        <w:rPr>
          <w:rFonts w:eastAsia="Times New Roman" w:cs="Times New Roman"/>
          <w:sz w:val="22"/>
          <w:lang w:val="en-US" w:eastAsia="tr-TR"/>
        </w:rPr>
      </w:pPr>
    </w:p>
    <w:p w:rsidR="00D64C6E" w:rsidRPr="00FA25AB" w:rsidRDefault="00D64C6E" w:rsidP="00D64C6E">
      <w:pPr>
        <w:spacing w:after="120"/>
        <w:jc w:val="both"/>
        <w:rPr>
          <w:rFonts w:eastAsia="Times New Roman" w:cs="Times New Roman"/>
          <w:sz w:val="22"/>
          <w:lang w:eastAsia="tr-TR"/>
        </w:rPr>
      </w:pPr>
      <w:r w:rsidRPr="00FA25AB">
        <w:rPr>
          <w:rFonts w:eastAsia="Times New Roman" w:cs="Times New Roman"/>
          <w:sz w:val="22"/>
          <w:lang w:eastAsia="tr-TR"/>
        </w:rPr>
        <w:t xml:space="preserve">Beaver’ın araştırmasında, finansal oranların değerinin </w:t>
      </w:r>
      <w:r w:rsidRPr="00FA25AB">
        <w:rPr>
          <w:rFonts w:eastAsia="Times New Roman" w:cs="Times New Roman"/>
          <w:color w:val="000000"/>
          <w:sz w:val="22"/>
          <w:lang w:eastAsia="tr-TR"/>
        </w:rPr>
        <w:t xml:space="preserve">başarılı işletmelerde başarısız işletmelere nazaran daha yüksek bulunduğu göze çarpmıştır. Başarısız bulunan işletme </w:t>
      </w:r>
      <w:r w:rsidRPr="00FA25AB">
        <w:rPr>
          <w:rFonts w:eastAsia="Times New Roman" w:cs="Times New Roman"/>
          <w:sz w:val="22"/>
          <w:lang w:eastAsia="tr-TR"/>
        </w:rPr>
        <w:t>oranlarının, başarısız olarak nitelendirilen döneme doğru gidildikçe hızlı bir şekilde azaldığı saptanmıştır (Berk, 1998: 470). Beaver, en son olarak işletmelerin nihai olarak nakit akışı/toplam borç oranının işletmelerin finansal başarısızlıklarını önceden tahminlemede başarılı sonuçlar sergilediğini ortaya koymuştur (Aktaş, 1991; Sevil, Başar ve Mehmet, 2013).</w:t>
      </w:r>
    </w:p>
    <w:p w:rsidR="00D64C6E" w:rsidRPr="00FA25AB" w:rsidRDefault="00D64C6E" w:rsidP="00D64C6E">
      <w:pPr>
        <w:spacing w:after="120"/>
        <w:jc w:val="both"/>
        <w:rPr>
          <w:rFonts w:eastAsia="Times New Roman" w:cs="Times New Roman"/>
          <w:sz w:val="22"/>
          <w:lang w:eastAsia="tr-TR"/>
        </w:rPr>
      </w:pPr>
      <w:r w:rsidRPr="00FA25AB">
        <w:rPr>
          <w:rFonts w:eastAsia="Times New Roman" w:cs="Times New Roman"/>
          <w:sz w:val="22"/>
          <w:lang w:eastAsia="tr-TR"/>
        </w:rPr>
        <w:t>Çalışmanın evreni; Türkiye’de faaliyet gösteren halka açık 11 konaklama işletmesidir. Çalışmanın amacı doğrultusunda işletmelerin verileri Thomson Reuters Eikon veri tabanından ve Kamuyu Aydınlatma Platformu‘nda (</w:t>
      </w:r>
      <w:hyperlink r:id="rId7" w:history="1">
        <w:r w:rsidRPr="00FA25AB">
          <w:rPr>
            <w:rFonts w:eastAsia="Times New Roman" w:cs="Times New Roman"/>
            <w:sz w:val="22"/>
            <w:lang w:eastAsia="tr-TR"/>
          </w:rPr>
          <w:t>www.kap.org.tr</w:t>
        </w:r>
      </w:hyperlink>
      <w:r w:rsidRPr="00FA25AB">
        <w:rPr>
          <w:rFonts w:eastAsia="Times New Roman" w:cs="Times New Roman"/>
          <w:sz w:val="22"/>
          <w:lang w:eastAsia="tr-TR"/>
        </w:rPr>
        <w:t>) yer alan finansal tablolardan yıllık veriler halinde temin edilmiştir. Çalışmaya dâhil edilen işletmelerin her biri için 2012-2017 yılları arasındaki Beaver modeline ait oranlar hesaplanmıştır. Bu bağlamda 11 işletmenin altı yıl için ayrı ayrı 6 oranı hesaplanmış ve toplam olarak 396 gözlem gerçekleştirilmiştir. Çalışmada analiz kapsamındaki konaklama işletmeleri aşağıdaki tabloda sunulmaktadır.</w:t>
      </w:r>
    </w:p>
    <w:p w:rsidR="00D64C6E" w:rsidRPr="00FA25AB" w:rsidRDefault="00D64C6E" w:rsidP="00D64C6E">
      <w:pPr>
        <w:spacing w:after="0" w:line="240" w:lineRule="auto"/>
        <w:jc w:val="both"/>
        <w:rPr>
          <w:rFonts w:eastAsia="Times New Roman" w:cs="Times New Roman"/>
          <w:b/>
          <w:sz w:val="20"/>
          <w:szCs w:val="20"/>
          <w:lang w:eastAsia="tr-TR"/>
        </w:rPr>
      </w:pPr>
      <w:bookmarkStart w:id="2" w:name="_Toc512129602"/>
      <w:bookmarkStart w:id="3" w:name="_Toc518903801"/>
    </w:p>
    <w:p w:rsidR="00D64C6E" w:rsidRPr="00FA25AB" w:rsidRDefault="00D64C6E" w:rsidP="00D64C6E">
      <w:pPr>
        <w:spacing w:after="0" w:line="240" w:lineRule="auto"/>
        <w:jc w:val="both"/>
        <w:rPr>
          <w:rFonts w:eastAsia="Times New Roman" w:cs="Times New Roman"/>
          <w:sz w:val="20"/>
          <w:szCs w:val="20"/>
          <w:lang w:eastAsia="tr-TR"/>
        </w:rPr>
      </w:pPr>
      <w:r w:rsidRPr="00FA25AB">
        <w:rPr>
          <w:rFonts w:eastAsia="Times New Roman" w:cs="Times New Roman"/>
          <w:b/>
          <w:sz w:val="20"/>
          <w:szCs w:val="20"/>
          <w:lang w:eastAsia="tr-TR"/>
        </w:rPr>
        <w:t xml:space="preserve">Tablo 1. </w:t>
      </w:r>
      <w:r w:rsidRPr="00FA25AB">
        <w:rPr>
          <w:rFonts w:eastAsia="Times New Roman" w:cs="Times New Roman"/>
          <w:sz w:val="20"/>
          <w:szCs w:val="20"/>
          <w:lang w:eastAsia="tr-TR"/>
        </w:rPr>
        <w:t>Analiz Kapsamındaki Türkiye’de Faaliyet Gösteren Halka Açık Konaklama İşletmeleri</w:t>
      </w:r>
      <w:bookmarkEnd w:id="2"/>
      <w:bookmarkEnd w:id="3"/>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48"/>
        <w:gridCol w:w="7386"/>
      </w:tblGrid>
      <w:tr w:rsidR="00D64C6E" w:rsidRPr="00FA25AB" w:rsidTr="009235B6">
        <w:trPr>
          <w:trHeight w:val="286"/>
        </w:trPr>
        <w:tc>
          <w:tcPr>
            <w:tcW w:w="1560" w:type="dxa"/>
            <w:shd w:val="clear" w:color="auto" w:fill="auto"/>
          </w:tcPr>
          <w:p w:rsidR="00D64C6E" w:rsidRPr="00FA25AB" w:rsidRDefault="00D64C6E" w:rsidP="009235B6">
            <w:pPr>
              <w:spacing w:after="0" w:line="240" w:lineRule="auto"/>
              <w:rPr>
                <w:rFonts w:eastAsia="Times New Roman" w:cs="Times New Roman"/>
                <w:b/>
                <w:sz w:val="20"/>
                <w:szCs w:val="20"/>
                <w:lang w:eastAsia="tr-TR"/>
              </w:rPr>
            </w:pPr>
            <w:r w:rsidRPr="00FA25AB">
              <w:rPr>
                <w:rFonts w:eastAsia="Times New Roman" w:cs="Times New Roman"/>
                <w:b/>
                <w:sz w:val="20"/>
                <w:szCs w:val="20"/>
                <w:lang w:eastAsia="tr-TR"/>
              </w:rPr>
              <w:t>Borsa (Ülke)</w:t>
            </w:r>
          </w:p>
        </w:tc>
        <w:tc>
          <w:tcPr>
            <w:tcW w:w="7512" w:type="dxa"/>
            <w:shd w:val="clear" w:color="auto" w:fill="auto"/>
          </w:tcPr>
          <w:p w:rsidR="00D64C6E" w:rsidRPr="00FA25AB" w:rsidRDefault="00D64C6E" w:rsidP="009235B6">
            <w:pPr>
              <w:spacing w:after="0" w:line="240" w:lineRule="auto"/>
              <w:jc w:val="both"/>
              <w:rPr>
                <w:rFonts w:eastAsia="Times New Roman" w:cs="Times New Roman"/>
                <w:b/>
                <w:sz w:val="20"/>
                <w:szCs w:val="20"/>
                <w:lang w:eastAsia="tr-TR"/>
              </w:rPr>
            </w:pPr>
            <w:r w:rsidRPr="00FA25AB">
              <w:rPr>
                <w:rFonts w:eastAsia="Times New Roman" w:cs="Times New Roman"/>
                <w:b/>
                <w:sz w:val="20"/>
                <w:szCs w:val="20"/>
                <w:lang w:eastAsia="tr-TR"/>
              </w:rPr>
              <w:t>Halka Açık Konaklama İşletmeleri</w:t>
            </w:r>
          </w:p>
        </w:tc>
      </w:tr>
      <w:tr w:rsidR="00D64C6E" w:rsidRPr="00FA25AB" w:rsidTr="009235B6">
        <w:trPr>
          <w:trHeight w:val="1822"/>
        </w:trPr>
        <w:tc>
          <w:tcPr>
            <w:tcW w:w="1560" w:type="dxa"/>
            <w:shd w:val="clear" w:color="auto" w:fill="auto"/>
          </w:tcPr>
          <w:p w:rsidR="00D64C6E" w:rsidRPr="00FA25AB" w:rsidRDefault="00D64C6E" w:rsidP="009235B6">
            <w:pPr>
              <w:spacing w:after="200" w:line="240" w:lineRule="auto"/>
              <w:rPr>
                <w:rFonts w:eastAsia="Times New Roman" w:cs="Times New Roman"/>
                <w:sz w:val="20"/>
                <w:szCs w:val="20"/>
                <w:lang w:eastAsia="tr-TR"/>
              </w:rPr>
            </w:pPr>
            <w:r w:rsidRPr="00FA25AB">
              <w:rPr>
                <w:rFonts w:eastAsia="Times New Roman" w:cs="Times New Roman"/>
                <w:sz w:val="20"/>
                <w:szCs w:val="20"/>
                <w:lang w:eastAsia="tr-TR"/>
              </w:rPr>
              <w:t>Borsa İstanbul (Türkiye)</w:t>
            </w:r>
          </w:p>
        </w:tc>
        <w:tc>
          <w:tcPr>
            <w:tcW w:w="7512" w:type="dxa"/>
            <w:shd w:val="clear" w:color="auto" w:fill="auto"/>
          </w:tcPr>
          <w:p w:rsidR="00D64C6E" w:rsidRPr="00FA25AB" w:rsidRDefault="00D64C6E" w:rsidP="009235B6">
            <w:pPr>
              <w:spacing w:after="0" w:line="240" w:lineRule="auto"/>
              <w:jc w:val="both"/>
              <w:rPr>
                <w:rFonts w:eastAsia="Times New Roman" w:cs="Times New Roman"/>
                <w:sz w:val="20"/>
                <w:szCs w:val="20"/>
                <w:lang w:eastAsia="tr-TR"/>
              </w:rPr>
            </w:pPr>
            <w:r w:rsidRPr="00FA25AB">
              <w:rPr>
                <w:rFonts w:eastAsia="Times New Roman" w:cs="Times New Roman"/>
                <w:sz w:val="20"/>
                <w:szCs w:val="20"/>
                <w:lang w:eastAsia="tr-TR"/>
              </w:rPr>
              <w:t xml:space="preserve">Altınyunus Çeşme Turistik Tesisler A.Ş. (AYCES)*, </w:t>
            </w:r>
          </w:p>
          <w:p w:rsidR="00D64C6E" w:rsidRPr="00FA25AB" w:rsidRDefault="00D64C6E" w:rsidP="009235B6">
            <w:pPr>
              <w:spacing w:after="0" w:line="240" w:lineRule="auto"/>
              <w:jc w:val="both"/>
              <w:rPr>
                <w:rFonts w:eastAsia="Times New Roman" w:cs="Times New Roman"/>
                <w:sz w:val="20"/>
                <w:szCs w:val="20"/>
                <w:lang w:eastAsia="tr-TR"/>
              </w:rPr>
            </w:pPr>
            <w:r w:rsidRPr="00FA25AB">
              <w:rPr>
                <w:rFonts w:eastAsia="Times New Roman" w:cs="Times New Roman"/>
                <w:sz w:val="20"/>
                <w:szCs w:val="20"/>
                <w:lang w:eastAsia="tr-TR"/>
              </w:rPr>
              <w:t xml:space="preserve">Avrasya Petrol ve Turistik Tesisler Yatırımlar A.Ş. (AVTUR)*, </w:t>
            </w:r>
          </w:p>
          <w:p w:rsidR="00D64C6E" w:rsidRPr="00FA25AB" w:rsidRDefault="00D64C6E" w:rsidP="009235B6">
            <w:pPr>
              <w:spacing w:after="0" w:line="240" w:lineRule="auto"/>
              <w:jc w:val="both"/>
              <w:rPr>
                <w:rFonts w:eastAsia="Times New Roman" w:cs="Times New Roman"/>
                <w:sz w:val="20"/>
                <w:szCs w:val="20"/>
                <w:lang w:eastAsia="tr-TR"/>
              </w:rPr>
            </w:pPr>
            <w:r w:rsidRPr="00FA25AB">
              <w:rPr>
                <w:rFonts w:eastAsia="Times New Roman" w:cs="Times New Roman"/>
                <w:sz w:val="20"/>
                <w:szCs w:val="20"/>
                <w:lang w:eastAsia="tr-TR"/>
              </w:rPr>
              <w:t xml:space="preserve">Kuştur Kuşadası Turizm Endüstrisi A.Ş. (KSTUR)*, </w:t>
            </w:r>
          </w:p>
          <w:p w:rsidR="00D64C6E" w:rsidRPr="00FA25AB" w:rsidRDefault="00D64C6E" w:rsidP="009235B6">
            <w:pPr>
              <w:spacing w:after="0" w:line="240" w:lineRule="auto"/>
              <w:jc w:val="both"/>
              <w:rPr>
                <w:rFonts w:eastAsia="Times New Roman" w:cs="Times New Roman"/>
                <w:sz w:val="20"/>
                <w:szCs w:val="20"/>
                <w:lang w:eastAsia="tr-TR"/>
              </w:rPr>
            </w:pPr>
            <w:r w:rsidRPr="00FA25AB">
              <w:rPr>
                <w:rFonts w:eastAsia="Times New Roman" w:cs="Times New Roman"/>
                <w:sz w:val="20"/>
                <w:szCs w:val="20"/>
                <w:lang w:eastAsia="tr-TR"/>
              </w:rPr>
              <w:t xml:space="preserve">Marmaris Altınyunus Turistik Tesisler A.Ş. (MAALT)*, </w:t>
            </w:r>
          </w:p>
          <w:p w:rsidR="00D64C6E" w:rsidRPr="00FA25AB" w:rsidRDefault="00D64C6E" w:rsidP="009235B6">
            <w:pPr>
              <w:spacing w:after="0" w:line="240" w:lineRule="auto"/>
              <w:jc w:val="both"/>
              <w:rPr>
                <w:rFonts w:eastAsia="Times New Roman" w:cs="Times New Roman"/>
                <w:sz w:val="20"/>
                <w:szCs w:val="20"/>
                <w:lang w:eastAsia="tr-TR"/>
              </w:rPr>
            </w:pPr>
            <w:r w:rsidRPr="00FA25AB">
              <w:rPr>
                <w:rFonts w:eastAsia="Times New Roman" w:cs="Times New Roman"/>
                <w:sz w:val="20"/>
                <w:szCs w:val="20"/>
                <w:lang w:eastAsia="tr-TR"/>
              </w:rPr>
              <w:t xml:space="preserve">Martı Otel İşletmeleri A.Ş. (MARTI)*, </w:t>
            </w:r>
          </w:p>
          <w:p w:rsidR="00D64C6E" w:rsidRPr="00FA25AB" w:rsidRDefault="00D64C6E" w:rsidP="009235B6">
            <w:pPr>
              <w:spacing w:after="0" w:line="240" w:lineRule="auto"/>
              <w:jc w:val="both"/>
              <w:rPr>
                <w:rFonts w:eastAsia="Times New Roman" w:cs="Times New Roman"/>
                <w:sz w:val="20"/>
                <w:szCs w:val="20"/>
                <w:lang w:eastAsia="tr-TR"/>
              </w:rPr>
            </w:pPr>
            <w:r w:rsidRPr="00FA25AB">
              <w:rPr>
                <w:rFonts w:eastAsia="Times New Roman" w:cs="Times New Roman"/>
                <w:sz w:val="20"/>
                <w:szCs w:val="20"/>
                <w:lang w:eastAsia="tr-TR"/>
              </w:rPr>
              <w:t xml:space="preserve">Merit Turizm Yatırım ve İşletme A.Ş. (MERIT)*, </w:t>
            </w:r>
          </w:p>
          <w:p w:rsidR="00D64C6E" w:rsidRPr="00FA25AB" w:rsidRDefault="00D64C6E" w:rsidP="009235B6">
            <w:pPr>
              <w:spacing w:after="0" w:line="240" w:lineRule="auto"/>
              <w:jc w:val="both"/>
              <w:rPr>
                <w:rFonts w:eastAsia="Times New Roman" w:cs="Times New Roman"/>
                <w:sz w:val="20"/>
                <w:szCs w:val="20"/>
                <w:lang w:eastAsia="tr-TR"/>
              </w:rPr>
            </w:pPr>
            <w:r w:rsidRPr="00FA25AB">
              <w:rPr>
                <w:rFonts w:eastAsia="Times New Roman" w:cs="Times New Roman"/>
                <w:sz w:val="20"/>
                <w:szCs w:val="20"/>
                <w:lang w:eastAsia="tr-TR"/>
              </w:rPr>
              <w:t xml:space="preserve">Metemtur Otelcilik ve Turizm İşletmeleri A.Ş. (METUR)*, </w:t>
            </w:r>
          </w:p>
          <w:p w:rsidR="00D64C6E" w:rsidRPr="00FA25AB" w:rsidRDefault="00D64C6E" w:rsidP="009235B6">
            <w:pPr>
              <w:spacing w:after="0" w:line="240" w:lineRule="auto"/>
              <w:jc w:val="both"/>
              <w:rPr>
                <w:rFonts w:eastAsia="Times New Roman" w:cs="Times New Roman"/>
                <w:sz w:val="20"/>
                <w:szCs w:val="20"/>
                <w:lang w:eastAsia="tr-TR"/>
              </w:rPr>
            </w:pPr>
            <w:r w:rsidRPr="00FA25AB">
              <w:rPr>
                <w:rFonts w:eastAsia="Times New Roman" w:cs="Times New Roman"/>
                <w:sz w:val="20"/>
                <w:szCs w:val="20"/>
                <w:lang w:eastAsia="tr-TR"/>
              </w:rPr>
              <w:t xml:space="preserve">Petrokent Turizm A.Ş. (PKENT)*, </w:t>
            </w:r>
          </w:p>
          <w:p w:rsidR="00D64C6E" w:rsidRPr="00FA25AB" w:rsidRDefault="00D64C6E" w:rsidP="009235B6">
            <w:pPr>
              <w:spacing w:after="0" w:line="240" w:lineRule="auto"/>
              <w:jc w:val="both"/>
              <w:rPr>
                <w:rFonts w:eastAsia="Times New Roman" w:cs="Times New Roman"/>
                <w:sz w:val="20"/>
                <w:szCs w:val="20"/>
                <w:lang w:eastAsia="tr-TR"/>
              </w:rPr>
            </w:pPr>
            <w:r w:rsidRPr="00FA25AB">
              <w:rPr>
                <w:rFonts w:eastAsia="Times New Roman" w:cs="Times New Roman"/>
                <w:sz w:val="20"/>
                <w:szCs w:val="20"/>
                <w:lang w:eastAsia="tr-TR"/>
              </w:rPr>
              <w:t xml:space="preserve">Tek-Art İnşaat Ticaret Turizm Sanayi ve Yatırımlar A.Ş. (TEKTU)*, </w:t>
            </w:r>
          </w:p>
          <w:p w:rsidR="00D64C6E" w:rsidRPr="00FA25AB" w:rsidRDefault="00D64C6E" w:rsidP="009235B6">
            <w:pPr>
              <w:spacing w:after="0" w:line="240" w:lineRule="auto"/>
              <w:jc w:val="both"/>
              <w:rPr>
                <w:rFonts w:eastAsia="Times New Roman" w:cs="Times New Roman"/>
                <w:sz w:val="20"/>
                <w:szCs w:val="20"/>
                <w:lang w:eastAsia="tr-TR"/>
              </w:rPr>
            </w:pPr>
            <w:r w:rsidRPr="00FA25AB">
              <w:rPr>
                <w:rFonts w:eastAsia="Times New Roman" w:cs="Times New Roman"/>
                <w:sz w:val="20"/>
                <w:szCs w:val="20"/>
                <w:lang w:eastAsia="tr-TR"/>
              </w:rPr>
              <w:t xml:space="preserve">Ulaşlar Turizm Yatırımları ve Dayanıklı Tüketim Malları Ticaret Pazarlama A.Ş. (ULAS)*, </w:t>
            </w:r>
          </w:p>
          <w:p w:rsidR="00D64C6E" w:rsidRPr="00FA25AB" w:rsidRDefault="00D64C6E" w:rsidP="009235B6">
            <w:pPr>
              <w:spacing w:after="0" w:line="240" w:lineRule="auto"/>
              <w:jc w:val="both"/>
              <w:rPr>
                <w:rFonts w:eastAsia="Times New Roman" w:cs="Times New Roman"/>
                <w:sz w:val="20"/>
                <w:szCs w:val="20"/>
                <w:lang w:eastAsia="tr-TR"/>
              </w:rPr>
            </w:pPr>
            <w:r w:rsidRPr="00FA25AB">
              <w:rPr>
                <w:rFonts w:eastAsia="Times New Roman" w:cs="Times New Roman"/>
                <w:sz w:val="20"/>
                <w:szCs w:val="20"/>
                <w:lang w:eastAsia="tr-TR"/>
              </w:rPr>
              <w:t>Utopya Turizm İnşaat İşletmecilik Ticaret A.Ş. (UTPYA)*.</w:t>
            </w:r>
          </w:p>
        </w:tc>
      </w:tr>
    </w:tbl>
    <w:p w:rsidR="00D64C6E" w:rsidRPr="00FA25AB" w:rsidRDefault="00D64C6E" w:rsidP="00D64C6E">
      <w:pPr>
        <w:spacing w:after="200" w:line="240" w:lineRule="auto"/>
        <w:jc w:val="both"/>
        <w:rPr>
          <w:rFonts w:eastAsia="Times New Roman" w:cs="Times New Roman"/>
          <w:sz w:val="18"/>
          <w:szCs w:val="18"/>
          <w:lang w:eastAsia="tr-TR"/>
        </w:rPr>
      </w:pPr>
      <w:r w:rsidRPr="00FA25AB">
        <w:rPr>
          <w:rFonts w:eastAsia="Times New Roman" w:cs="Times New Roman"/>
          <w:sz w:val="18"/>
          <w:szCs w:val="18"/>
          <w:lang w:eastAsia="tr-TR"/>
        </w:rPr>
        <w:t>*= Tabloda yıldızla işaretlenen turizm işletmeleri sermaye piyasasında işlem gören halka açık işletmeler olduklarından dolayı, araştırmanın ilerleyen kısımlarında Sermaye Piyasası Kanunu uyarınca herhangi bir finansal spekülasyona neden olmamak için harflerle kodlanarak sunulmaktadır.</w:t>
      </w:r>
    </w:p>
    <w:p w:rsidR="00D64C6E" w:rsidRDefault="00D64C6E" w:rsidP="00D64C6E">
      <w:pPr>
        <w:spacing w:before="240" w:after="0" w:line="480" w:lineRule="auto"/>
        <w:jc w:val="both"/>
        <w:rPr>
          <w:rFonts w:eastAsia="Times New Roman" w:cs="Times New Roman"/>
          <w:b/>
          <w:sz w:val="22"/>
          <w:szCs w:val="20"/>
          <w:lang w:eastAsia="tr-TR"/>
        </w:rPr>
      </w:pPr>
    </w:p>
    <w:p w:rsidR="00D64C6E" w:rsidRDefault="00D64C6E" w:rsidP="00D64C6E">
      <w:pPr>
        <w:spacing w:after="120"/>
        <w:jc w:val="both"/>
        <w:rPr>
          <w:rFonts w:eastAsia="Times New Roman" w:cs="Times New Roman"/>
          <w:b/>
          <w:sz w:val="22"/>
          <w:szCs w:val="20"/>
          <w:lang w:eastAsia="tr-TR"/>
        </w:rPr>
      </w:pPr>
    </w:p>
    <w:p w:rsidR="00D64C6E" w:rsidRPr="00FA25AB" w:rsidRDefault="00D64C6E" w:rsidP="00D64C6E">
      <w:pPr>
        <w:spacing w:after="120"/>
        <w:jc w:val="both"/>
        <w:rPr>
          <w:rFonts w:eastAsia="Times New Roman" w:cs="Times New Roman"/>
          <w:sz w:val="22"/>
          <w:szCs w:val="20"/>
          <w:lang w:eastAsia="tr-TR"/>
        </w:rPr>
      </w:pPr>
      <w:r w:rsidRPr="00FA25AB">
        <w:rPr>
          <w:rFonts w:eastAsia="Times New Roman" w:cs="Times New Roman"/>
          <w:b/>
          <w:sz w:val="22"/>
          <w:szCs w:val="20"/>
          <w:lang w:eastAsia="tr-TR"/>
        </w:rPr>
        <w:t>3. BULGULAR</w:t>
      </w:r>
    </w:p>
    <w:p w:rsidR="00D64C6E" w:rsidRPr="00FA25AB" w:rsidRDefault="00D64C6E" w:rsidP="00D64C6E">
      <w:pPr>
        <w:spacing w:after="120"/>
        <w:jc w:val="both"/>
        <w:rPr>
          <w:rFonts w:eastAsia="Times New Roman" w:cs="Times New Roman"/>
          <w:sz w:val="22"/>
          <w:lang w:eastAsia="tr-TR"/>
        </w:rPr>
      </w:pPr>
      <w:r w:rsidRPr="00FA25AB">
        <w:rPr>
          <w:rFonts w:eastAsia="Times New Roman" w:cs="Times New Roman"/>
          <w:sz w:val="22"/>
          <w:lang w:eastAsia="tr-TR"/>
        </w:rPr>
        <w:t>Çalışmanın amacı doğrultusunda bu bölümde Beaver modelinde elde edilen bulgulara göre, Borsa İstanbul’da işlem gören halka açık konaklama işletmelerinin sonuçları sunulmakta ve elde edilen bulgular yorumlanmaktadır. Aşağıdaki tablo 2’de Borsa İstanbul’da işlem gören konaklama işletmelerinin 2012-2017 yılları arasındaki Beaver modelinde hesaplanan oranları sunulmaktadır. Tabloda analize dahil edilen her bir konaklama işletmesinin isimleri Borsa İstanbul’daki kısaltmalarıyla belirtilmektedir. Tabloda ayrıca her bir işletmenin analiz süreci içerisindeki Beaver oranlarının yıllar bağlamında ortalaması sunulmaktadır.</w:t>
      </w:r>
    </w:p>
    <w:p w:rsidR="00D64C6E" w:rsidRPr="00FA25AB" w:rsidRDefault="00D64C6E" w:rsidP="00D64C6E">
      <w:pPr>
        <w:spacing w:after="120"/>
        <w:jc w:val="both"/>
        <w:rPr>
          <w:rFonts w:eastAsia="Times New Roman" w:cs="Times New Roman"/>
          <w:sz w:val="22"/>
          <w:lang w:eastAsia="tr-TR"/>
        </w:rPr>
      </w:pPr>
      <w:r w:rsidRPr="00FA25AB">
        <w:rPr>
          <w:rFonts w:eastAsia="Times New Roman" w:cs="Times New Roman"/>
          <w:sz w:val="22"/>
          <w:lang w:eastAsia="tr-TR"/>
        </w:rPr>
        <w:t>Tablo 2. incelendiğinde Beaver’ın oranlarından ilki olan Nakit Akış/Toplam Borçlar oranı, işletmenin bir döneminde faaliyetlerinden elde ettiği nakitleriyle toplam borçlarının mukayese ederek, yükümlülükleriyle orantılı nakit kazanç sağlayıp sağlamadığını ifade etmektedir. Oran ne kadar yüksek olursa işletmelerin uzun vadeli borç sağlamaları o denli kolaylaşmaktadır. Söz konusu oranın 0.20 ya da daha yüksek olması yeterli görülmektedir (Schmidgall vd., 2003’den aktaran; Met, 2013: 124).</w:t>
      </w:r>
    </w:p>
    <w:p w:rsidR="00D64C6E" w:rsidRDefault="00D64C6E" w:rsidP="00D64C6E">
      <w:pPr>
        <w:spacing w:after="120"/>
        <w:jc w:val="both"/>
        <w:rPr>
          <w:rFonts w:eastAsia="Times New Roman" w:cs="Times New Roman"/>
          <w:sz w:val="22"/>
          <w:lang w:eastAsia="tr-TR"/>
        </w:rPr>
      </w:pPr>
      <w:r w:rsidRPr="00FA25AB">
        <w:rPr>
          <w:rFonts w:eastAsia="Times New Roman" w:cs="Times New Roman"/>
          <w:sz w:val="22"/>
          <w:lang w:eastAsia="tr-TR"/>
        </w:rPr>
        <w:t xml:space="preserve">A işletmesinin Nakit Akış/Toplam Borçlar oranına ait değerleri 2016 yılı haricinde istenilen oranın üzerindeyken, 2016 yılında optimum düzeyin oldukça altında kalarak negatif gerçekleşmiştir. B işletmesinin değerleri 2015 yılına kadar standardın altında gerçekleşmişken, 2015 ve 2016 yılında optimum düzeyin oldukça üstünde gerçekleşmiştir. 2015 yılında negatif değere sahip olan işletme, </w:t>
      </w:r>
      <w:r w:rsidRPr="00FA25AB">
        <w:rPr>
          <w:rFonts w:eastAsia="Times New Roman" w:cs="Times New Roman"/>
          <w:color w:val="000000"/>
          <w:sz w:val="22"/>
          <w:lang w:eastAsia="tr-TR"/>
        </w:rPr>
        <w:t>2017 yılında borcu olmadığı için oran hesaplanamamıştır</w:t>
      </w:r>
      <w:r w:rsidRPr="00FA25AB">
        <w:rPr>
          <w:rFonts w:eastAsia="Times New Roman" w:cs="Times New Roman"/>
          <w:sz w:val="22"/>
          <w:lang w:eastAsia="tr-TR"/>
        </w:rPr>
        <w:t>. C işletmesinin ise tüm yıllar bağlamında istenilen düzeyin oldukça üstünde değerlere sahip olduğu görülmektedir.</w:t>
      </w:r>
    </w:p>
    <w:p w:rsidR="00D64C6E" w:rsidRPr="00FA25AB" w:rsidRDefault="00D64C6E" w:rsidP="00D64C6E">
      <w:pPr>
        <w:spacing w:after="120"/>
        <w:ind w:firstLine="708"/>
        <w:jc w:val="both"/>
        <w:rPr>
          <w:rFonts w:eastAsia="Times New Roman" w:cs="Times New Roman"/>
          <w:sz w:val="22"/>
          <w:lang w:eastAsia="tr-TR"/>
        </w:rPr>
      </w:pPr>
    </w:p>
    <w:p w:rsidR="00D64C6E" w:rsidRPr="00FA25AB" w:rsidRDefault="00D64C6E" w:rsidP="00D64C6E">
      <w:pPr>
        <w:spacing w:before="240" w:after="0" w:line="240" w:lineRule="auto"/>
        <w:jc w:val="both"/>
        <w:rPr>
          <w:rFonts w:eastAsia="Times New Roman" w:cs="Times New Roman"/>
          <w:sz w:val="20"/>
          <w:szCs w:val="20"/>
          <w:lang w:eastAsia="tr-TR"/>
        </w:rPr>
      </w:pPr>
      <w:r w:rsidRPr="00FA25AB">
        <w:rPr>
          <w:rFonts w:eastAsia="Times New Roman" w:cs="Times New Roman"/>
          <w:b/>
          <w:sz w:val="20"/>
          <w:szCs w:val="20"/>
          <w:lang w:eastAsia="tr-TR"/>
        </w:rPr>
        <w:t xml:space="preserve">Tablo 2. </w:t>
      </w:r>
      <w:r w:rsidRPr="00FA25AB">
        <w:rPr>
          <w:rFonts w:eastAsia="Times New Roman" w:cs="Times New Roman"/>
          <w:sz w:val="20"/>
          <w:szCs w:val="20"/>
          <w:lang w:eastAsia="tr-TR"/>
        </w:rPr>
        <w:t>Borsa İstanbul’da İşlem Gören Konaklama İşletmelerinin Beaver Modeli Oranları</w:t>
      </w:r>
    </w:p>
    <w:tbl>
      <w:tblPr>
        <w:tblW w:w="4884"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16"/>
        <w:gridCol w:w="3035"/>
        <w:gridCol w:w="768"/>
        <w:gridCol w:w="770"/>
        <w:gridCol w:w="768"/>
        <w:gridCol w:w="770"/>
        <w:gridCol w:w="768"/>
        <w:gridCol w:w="770"/>
        <w:gridCol w:w="767"/>
      </w:tblGrid>
      <w:tr w:rsidR="00D64C6E" w:rsidRPr="00FA25AB" w:rsidTr="009235B6">
        <w:tc>
          <w:tcPr>
            <w:tcW w:w="235" w:type="pct"/>
            <w:shd w:val="clear" w:color="auto" w:fill="auto"/>
          </w:tcPr>
          <w:p w:rsidR="00D64C6E" w:rsidRPr="00FA25AB" w:rsidRDefault="00D64C6E" w:rsidP="009235B6">
            <w:pPr>
              <w:spacing w:after="0" w:line="240" w:lineRule="auto"/>
              <w:rPr>
                <w:rFonts w:eastAsia="Times New Roman" w:cs="Times New Roman"/>
                <w:b/>
                <w:sz w:val="20"/>
                <w:szCs w:val="20"/>
                <w:lang w:eastAsia="tr-TR"/>
              </w:rPr>
            </w:pPr>
            <w:r w:rsidRPr="00FA25AB">
              <w:rPr>
                <w:rFonts w:eastAsia="Times New Roman" w:cs="Times New Roman"/>
                <w:b/>
                <w:sz w:val="20"/>
                <w:szCs w:val="20"/>
                <w:lang w:eastAsia="tr-TR"/>
              </w:rPr>
              <w:t>İşl.</w:t>
            </w:r>
          </w:p>
        </w:tc>
        <w:tc>
          <w:tcPr>
            <w:tcW w:w="1718" w:type="pct"/>
            <w:shd w:val="clear" w:color="auto" w:fill="auto"/>
          </w:tcPr>
          <w:p w:rsidR="00D64C6E" w:rsidRPr="00FA25AB" w:rsidRDefault="00D64C6E" w:rsidP="009235B6">
            <w:pPr>
              <w:spacing w:after="0" w:line="240" w:lineRule="auto"/>
              <w:jc w:val="center"/>
              <w:rPr>
                <w:rFonts w:eastAsia="Times New Roman" w:cs="Times New Roman"/>
                <w:b/>
                <w:sz w:val="20"/>
                <w:szCs w:val="20"/>
                <w:lang w:eastAsia="tr-TR"/>
              </w:rPr>
            </w:pPr>
            <w:r w:rsidRPr="00FA25AB">
              <w:rPr>
                <w:rFonts w:eastAsia="Times New Roman" w:cs="Times New Roman"/>
                <w:b/>
                <w:sz w:val="20"/>
                <w:szCs w:val="20"/>
                <w:lang w:eastAsia="tr-TR"/>
              </w:rPr>
              <w:t>Beaver Modeli Oranları</w:t>
            </w:r>
          </w:p>
        </w:tc>
        <w:tc>
          <w:tcPr>
            <w:tcW w:w="435" w:type="pct"/>
          </w:tcPr>
          <w:p w:rsidR="00D64C6E" w:rsidRPr="00FA25AB" w:rsidRDefault="00D64C6E" w:rsidP="009235B6">
            <w:pPr>
              <w:spacing w:after="0" w:line="240" w:lineRule="auto"/>
              <w:jc w:val="center"/>
              <w:rPr>
                <w:rFonts w:eastAsia="Times New Roman" w:cs="Times New Roman"/>
                <w:b/>
                <w:sz w:val="20"/>
                <w:szCs w:val="20"/>
                <w:lang w:eastAsia="tr-TR"/>
              </w:rPr>
            </w:pPr>
            <w:r w:rsidRPr="00FA25AB">
              <w:rPr>
                <w:rFonts w:eastAsia="Times New Roman" w:cs="Times New Roman"/>
                <w:b/>
                <w:sz w:val="20"/>
                <w:szCs w:val="20"/>
                <w:lang w:eastAsia="tr-TR"/>
              </w:rPr>
              <w:t>2017</w:t>
            </w:r>
          </w:p>
        </w:tc>
        <w:tc>
          <w:tcPr>
            <w:tcW w:w="436" w:type="pct"/>
            <w:shd w:val="clear" w:color="auto" w:fill="auto"/>
          </w:tcPr>
          <w:p w:rsidR="00D64C6E" w:rsidRPr="00FA25AB" w:rsidRDefault="00D64C6E" w:rsidP="009235B6">
            <w:pPr>
              <w:spacing w:after="0" w:line="240" w:lineRule="auto"/>
              <w:jc w:val="center"/>
              <w:rPr>
                <w:rFonts w:eastAsia="Times New Roman" w:cs="Times New Roman"/>
                <w:b/>
                <w:sz w:val="20"/>
                <w:szCs w:val="20"/>
                <w:lang w:eastAsia="tr-TR"/>
              </w:rPr>
            </w:pPr>
            <w:r w:rsidRPr="00FA25AB">
              <w:rPr>
                <w:rFonts w:eastAsia="Times New Roman" w:cs="Times New Roman"/>
                <w:b/>
                <w:sz w:val="20"/>
                <w:szCs w:val="20"/>
                <w:lang w:eastAsia="tr-TR"/>
              </w:rPr>
              <w:t>2016</w:t>
            </w:r>
          </w:p>
        </w:tc>
        <w:tc>
          <w:tcPr>
            <w:tcW w:w="435" w:type="pct"/>
            <w:shd w:val="clear" w:color="auto" w:fill="auto"/>
          </w:tcPr>
          <w:p w:rsidR="00D64C6E" w:rsidRPr="00FA25AB" w:rsidRDefault="00D64C6E" w:rsidP="009235B6">
            <w:pPr>
              <w:spacing w:after="0" w:line="240" w:lineRule="auto"/>
              <w:jc w:val="center"/>
              <w:rPr>
                <w:rFonts w:eastAsia="Times New Roman" w:cs="Times New Roman"/>
                <w:b/>
                <w:sz w:val="20"/>
                <w:szCs w:val="20"/>
                <w:lang w:eastAsia="tr-TR"/>
              </w:rPr>
            </w:pPr>
            <w:r w:rsidRPr="00FA25AB">
              <w:rPr>
                <w:rFonts w:eastAsia="Times New Roman" w:cs="Times New Roman"/>
                <w:b/>
                <w:sz w:val="20"/>
                <w:szCs w:val="20"/>
                <w:lang w:eastAsia="tr-TR"/>
              </w:rPr>
              <w:t>2015</w:t>
            </w:r>
          </w:p>
        </w:tc>
        <w:tc>
          <w:tcPr>
            <w:tcW w:w="436" w:type="pct"/>
            <w:shd w:val="clear" w:color="auto" w:fill="auto"/>
          </w:tcPr>
          <w:p w:rsidR="00D64C6E" w:rsidRPr="00FA25AB" w:rsidRDefault="00D64C6E" w:rsidP="009235B6">
            <w:pPr>
              <w:spacing w:after="0" w:line="240" w:lineRule="auto"/>
              <w:jc w:val="center"/>
              <w:rPr>
                <w:rFonts w:eastAsia="Times New Roman" w:cs="Times New Roman"/>
                <w:b/>
                <w:sz w:val="20"/>
                <w:szCs w:val="20"/>
                <w:lang w:eastAsia="tr-TR"/>
              </w:rPr>
            </w:pPr>
            <w:r w:rsidRPr="00FA25AB">
              <w:rPr>
                <w:rFonts w:eastAsia="Times New Roman" w:cs="Times New Roman"/>
                <w:b/>
                <w:sz w:val="20"/>
                <w:szCs w:val="20"/>
                <w:lang w:eastAsia="tr-TR"/>
              </w:rPr>
              <w:t>2014</w:t>
            </w:r>
          </w:p>
        </w:tc>
        <w:tc>
          <w:tcPr>
            <w:tcW w:w="435" w:type="pct"/>
            <w:shd w:val="clear" w:color="auto" w:fill="auto"/>
          </w:tcPr>
          <w:p w:rsidR="00D64C6E" w:rsidRPr="00FA25AB" w:rsidRDefault="00D64C6E" w:rsidP="009235B6">
            <w:pPr>
              <w:spacing w:after="0" w:line="240" w:lineRule="auto"/>
              <w:jc w:val="center"/>
              <w:rPr>
                <w:rFonts w:eastAsia="Times New Roman" w:cs="Times New Roman"/>
                <w:b/>
                <w:sz w:val="20"/>
                <w:szCs w:val="20"/>
                <w:lang w:eastAsia="tr-TR"/>
              </w:rPr>
            </w:pPr>
            <w:r w:rsidRPr="00FA25AB">
              <w:rPr>
                <w:rFonts w:eastAsia="Times New Roman" w:cs="Times New Roman"/>
                <w:b/>
                <w:sz w:val="20"/>
                <w:szCs w:val="20"/>
                <w:lang w:eastAsia="tr-TR"/>
              </w:rPr>
              <w:t>2013</w:t>
            </w:r>
          </w:p>
        </w:tc>
        <w:tc>
          <w:tcPr>
            <w:tcW w:w="436" w:type="pct"/>
            <w:shd w:val="clear" w:color="auto" w:fill="auto"/>
          </w:tcPr>
          <w:p w:rsidR="00D64C6E" w:rsidRPr="00FA25AB" w:rsidRDefault="00D64C6E" w:rsidP="009235B6">
            <w:pPr>
              <w:spacing w:after="0" w:line="240" w:lineRule="auto"/>
              <w:jc w:val="center"/>
              <w:rPr>
                <w:rFonts w:eastAsia="Times New Roman" w:cs="Times New Roman"/>
                <w:b/>
                <w:sz w:val="20"/>
                <w:szCs w:val="20"/>
                <w:lang w:eastAsia="tr-TR"/>
              </w:rPr>
            </w:pPr>
            <w:r w:rsidRPr="00FA25AB">
              <w:rPr>
                <w:rFonts w:eastAsia="Times New Roman" w:cs="Times New Roman"/>
                <w:b/>
                <w:sz w:val="20"/>
                <w:szCs w:val="20"/>
                <w:lang w:eastAsia="tr-TR"/>
              </w:rPr>
              <w:t>2012</w:t>
            </w:r>
          </w:p>
        </w:tc>
        <w:tc>
          <w:tcPr>
            <w:tcW w:w="435" w:type="pct"/>
            <w:shd w:val="clear" w:color="auto" w:fill="auto"/>
          </w:tcPr>
          <w:p w:rsidR="00D64C6E" w:rsidRPr="00FA25AB" w:rsidRDefault="00D64C6E" w:rsidP="009235B6">
            <w:pPr>
              <w:spacing w:after="0" w:line="240" w:lineRule="auto"/>
              <w:jc w:val="center"/>
              <w:rPr>
                <w:rFonts w:eastAsia="Times New Roman" w:cs="Times New Roman"/>
                <w:b/>
                <w:sz w:val="20"/>
                <w:szCs w:val="20"/>
                <w:lang w:eastAsia="tr-TR"/>
              </w:rPr>
            </w:pPr>
            <w:r w:rsidRPr="00FA25AB">
              <w:rPr>
                <w:rFonts w:eastAsia="Times New Roman" w:cs="Times New Roman"/>
                <w:b/>
                <w:sz w:val="20"/>
                <w:szCs w:val="20"/>
                <w:lang w:eastAsia="tr-TR"/>
              </w:rPr>
              <w:t>Ort.</w:t>
            </w:r>
          </w:p>
        </w:tc>
      </w:tr>
      <w:tr w:rsidR="00D64C6E" w:rsidRPr="00FA25AB" w:rsidTr="009235B6">
        <w:tc>
          <w:tcPr>
            <w:tcW w:w="235" w:type="pct"/>
            <w:vMerge w:val="restart"/>
            <w:shd w:val="clear" w:color="auto" w:fill="auto"/>
            <w:textDirection w:val="btLr"/>
          </w:tcPr>
          <w:p w:rsidR="00D64C6E" w:rsidRPr="00FA25AB" w:rsidRDefault="00D64C6E" w:rsidP="009235B6">
            <w:pPr>
              <w:spacing w:after="0" w:line="240" w:lineRule="auto"/>
              <w:ind w:right="113"/>
              <w:jc w:val="center"/>
              <w:rPr>
                <w:rFonts w:eastAsia="Times New Roman" w:cs="Times New Roman"/>
                <w:b/>
                <w:sz w:val="20"/>
                <w:szCs w:val="20"/>
                <w:lang w:eastAsia="tr-TR"/>
              </w:rPr>
            </w:pPr>
            <w:r w:rsidRPr="00FA25AB">
              <w:rPr>
                <w:rFonts w:eastAsia="Times New Roman" w:cs="Times New Roman"/>
                <w:sz w:val="20"/>
                <w:szCs w:val="20"/>
                <w:lang w:eastAsia="tr-TR"/>
              </w:rPr>
              <w:t>A İşletmesi</w:t>
            </w: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Nakit Akışı / Toplam Borçlar</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0,00</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(0,01)</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0,32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0,25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0,77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0,45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0,30</w:t>
            </w:r>
          </w:p>
        </w:tc>
      </w:tr>
      <w:tr w:rsidR="00D64C6E" w:rsidRPr="00FA25AB" w:rsidTr="009235B6">
        <w:tc>
          <w:tcPr>
            <w:tcW w:w="235" w:type="pct"/>
            <w:vMerge/>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Net Kar / Toplam Varlıklar</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(0,03)</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(0,05)</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(0,01)</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(0,01)</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(0,01)</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0,01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(0,02)</w:t>
            </w:r>
          </w:p>
        </w:tc>
      </w:tr>
      <w:tr w:rsidR="00D64C6E" w:rsidRPr="00FA25AB" w:rsidTr="009235B6">
        <w:tc>
          <w:tcPr>
            <w:tcW w:w="235" w:type="pct"/>
            <w:vMerge/>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Toplam Borçlar / Toplam Varlıklar</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0,10</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0,09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0,05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0,06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0,06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0,06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0,07</w:t>
            </w:r>
          </w:p>
        </w:tc>
      </w:tr>
      <w:tr w:rsidR="00D64C6E" w:rsidRPr="00FA25AB" w:rsidTr="009235B6">
        <w:tc>
          <w:tcPr>
            <w:tcW w:w="235" w:type="pct"/>
            <w:vMerge/>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N.Ç.S. / Toplam Var.</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(0,06)</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(0,03)</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(0,01)</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(0,07)</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(0,05)</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(0,02)</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(0,04)</w:t>
            </w:r>
          </w:p>
        </w:tc>
      </w:tr>
      <w:tr w:rsidR="00D64C6E" w:rsidRPr="00FA25AB" w:rsidTr="009235B6">
        <w:tc>
          <w:tcPr>
            <w:tcW w:w="235" w:type="pct"/>
            <w:vMerge/>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Dönen Varlıklar / K.V.Y.K.</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0,23</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0,40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0,64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0,25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0,45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0,62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0,43</w:t>
            </w:r>
          </w:p>
        </w:tc>
      </w:tr>
      <w:tr w:rsidR="00D64C6E" w:rsidRPr="00FA25AB" w:rsidTr="009235B6">
        <w:tc>
          <w:tcPr>
            <w:tcW w:w="235" w:type="pct"/>
            <w:vMerge/>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N.Ç.S. / Faaliyet Gider.</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(0,37)</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(0,19)</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(0,06)</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(0,34)</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(0,22)</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(0,13)</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(0,22)</w:t>
            </w:r>
          </w:p>
        </w:tc>
      </w:tr>
      <w:tr w:rsidR="00D64C6E" w:rsidRPr="00FA25AB" w:rsidTr="009235B6">
        <w:tc>
          <w:tcPr>
            <w:tcW w:w="235" w:type="pct"/>
            <w:vMerge w:val="restart"/>
            <w:shd w:val="clear" w:color="auto" w:fill="auto"/>
            <w:textDirection w:val="btLr"/>
          </w:tcPr>
          <w:p w:rsidR="00D64C6E" w:rsidRPr="00FA25AB" w:rsidRDefault="00D64C6E" w:rsidP="009235B6">
            <w:pPr>
              <w:spacing w:after="0" w:line="240" w:lineRule="auto"/>
              <w:ind w:right="113"/>
              <w:jc w:val="center"/>
              <w:rPr>
                <w:rFonts w:eastAsia="Times New Roman" w:cs="Times New Roman"/>
                <w:b/>
                <w:sz w:val="20"/>
                <w:szCs w:val="20"/>
                <w:lang w:eastAsia="tr-TR"/>
              </w:rPr>
            </w:pPr>
            <w:r w:rsidRPr="00FA25AB">
              <w:rPr>
                <w:rFonts w:eastAsia="Times New Roman" w:cs="Times New Roman"/>
                <w:sz w:val="20"/>
                <w:szCs w:val="20"/>
                <w:lang w:eastAsia="tr-TR"/>
              </w:rPr>
              <w:t>B İşletmesi</w:t>
            </w: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Nakit Akışı / Toplam Borçlar</w:t>
            </w:r>
          </w:p>
        </w:tc>
        <w:tc>
          <w:tcPr>
            <w:tcW w:w="435" w:type="pct"/>
            <w:vAlign w:val="bottom"/>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color w:val="000000"/>
                <w:sz w:val="20"/>
                <w:szCs w:val="20"/>
                <w:lang w:eastAsia="tr-TR"/>
              </w:rPr>
              <w:t>-</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0,45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2,63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(3,46)</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0,05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0,06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(0,05)</w:t>
            </w:r>
          </w:p>
        </w:tc>
      </w:tr>
      <w:tr w:rsidR="00D64C6E" w:rsidRPr="00FA25AB" w:rsidTr="009235B6">
        <w:tc>
          <w:tcPr>
            <w:tcW w:w="235" w:type="pct"/>
            <w:vMerge/>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Net Kar / Toplam Varlıklar</w:t>
            </w:r>
          </w:p>
        </w:tc>
        <w:tc>
          <w:tcPr>
            <w:tcW w:w="435" w:type="pct"/>
            <w:vAlign w:val="bottom"/>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color w:val="000000"/>
                <w:sz w:val="20"/>
                <w:szCs w:val="20"/>
                <w:lang w:eastAsia="tr-TR"/>
              </w:rPr>
              <w:t>(0,10)</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0,09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0,02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0,09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(0,00)</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(0,03)</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0,01</w:t>
            </w:r>
          </w:p>
        </w:tc>
      </w:tr>
      <w:tr w:rsidR="00D64C6E" w:rsidRPr="00FA25AB" w:rsidTr="009235B6">
        <w:tc>
          <w:tcPr>
            <w:tcW w:w="235" w:type="pct"/>
            <w:vMerge/>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Toplam Borçlar / Toplam Varlıklar</w:t>
            </w:r>
          </w:p>
        </w:tc>
        <w:tc>
          <w:tcPr>
            <w:tcW w:w="435" w:type="pct"/>
            <w:vAlign w:val="bottom"/>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color w:val="000000"/>
                <w:sz w:val="20"/>
                <w:szCs w:val="20"/>
                <w:lang w:eastAsia="tr-TR"/>
              </w:rPr>
              <w:t>0,00</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0,18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0,12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0,08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0,10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0,08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0,09</w:t>
            </w:r>
          </w:p>
        </w:tc>
      </w:tr>
      <w:tr w:rsidR="00D64C6E" w:rsidRPr="00FA25AB" w:rsidTr="009235B6">
        <w:tc>
          <w:tcPr>
            <w:tcW w:w="235" w:type="pct"/>
            <w:vMerge/>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N.Ç.S. / Toplam Var.</w:t>
            </w:r>
          </w:p>
        </w:tc>
        <w:tc>
          <w:tcPr>
            <w:tcW w:w="435" w:type="pct"/>
            <w:vAlign w:val="bottom"/>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color w:val="000000"/>
                <w:sz w:val="20"/>
                <w:szCs w:val="20"/>
                <w:lang w:eastAsia="tr-TR"/>
              </w:rPr>
              <w:t>(0,01)</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(0,09)</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(0,02)</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0,33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(0,03)</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(0,02)</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0,03</w:t>
            </w:r>
          </w:p>
        </w:tc>
      </w:tr>
      <w:tr w:rsidR="00D64C6E" w:rsidRPr="00FA25AB" w:rsidTr="009235B6">
        <w:tc>
          <w:tcPr>
            <w:tcW w:w="235" w:type="pct"/>
            <w:vMerge/>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Dönen Varlıklar / K.V.Y.K.</w:t>
            </w:r>
          </w:p>
        </w:tc>
        <w:tc>
          <w:tcPr>
            <w:tcW w:w="435" w:type="pct"/>
            <w:vAlign w:val="bottom"/>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color w:val="000000"/>
                <w:sz w:val="20"/>
                <w:szCs w:val="20"/>
                <w:lang w:eastAsia="tr-TR"/>
              </w:rPr>
              <w:t>0,69</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0,30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0,80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10,69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0,45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0,51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2,24</w:t>
            </w:r>
          </w:p>
        </w:tc>
      </w:tr>
      <w:tr w:rsidR="00D64C6E" w:rsidRPr="00FA25AB" w:rsidTr="009235B6">
        <w:tc>
          <w:tcPr>
            <w:tcW w:w="235" w:type="pct"/>
            <w:vMerge/>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N.Ç.S. / Faaliyet Gider.</w:t>
            </w:r>
          </w:p>
        </w:tc>
        <w:tc>
          <w:tcPr>
            <w:tcW w:w="435" w:type="pct"/>
            <w:vAlign w:val="bottom"/>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color w:val="000000"/>
                <w:sz w:val="20"/>
                <w:szCs w:val="20"/>
                <w:lang w:eastAsia="tr-TR"/>
              </w:rPr>
              <w:t>(0,08)</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18"/>
                <w:szCs w:val="20"/>
                <w:lang w:eastAsia="tr-TR"/>
              </w:rPr>
              <w:t>(10,35)</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(1,77)</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55,46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(2,83)</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(1,29)</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6,52</w:t>
            </w:r>
          </w:p>
        </w:tc>
      </w:tr>
      <w:tr w:rsidR="00D64C6E" w:rsidRPr="00FA25AB" w:rsidTr="009235B6">
        <w:tc>
          <w:tcPr>
            <w:tcW w:w="235" w:type="pct"/>
            <w:vMerge w:val="restart"/>
            <w:shd w:val="clear" w:color="auto" w:fill="auto"/>
            <w:textDirection w:val="btLr"/>
            <w:vAlign w:val="center"/>
          </w:tcPr>
          <w:p w:rsidR="00D64C6E" w:rsidRPr="00FA25AB" w:rsidRDefault="00D64C6E" w:rsidP="009235B6">
            <w:pPr>
              <w:spacing w:after="0" w:line="240" w:lineRule="auto"/>
              <w:ind w:right="113"/>
              <w:jc w:val="center"/>
              <w:rPr>
                <w:rFonts w:eastAsia="Times New Roman" w:cs="Times New Roman"/>
                <w:b/>
                <w:sz w:val="20"/>
                <w:szCs w:val="20"/>
                <w:lang w:eastAsia="tr-TR"/>
              </w:rPr>
            </w:pPr>
            <w:r w:rsidRPr="00FA25AB">
              <w:rPr>
                <w:rFonts w:eastAsia="Times New Roman" w:cs="Times New Roman"/>
                <w:sz w:val="20"/>
                <w:szCs w:val="20"/>
                <w:lang w:eastAsia="tr-TR"/>
              </w:rPr>
              <w:t>C İşletmesi</w:t>
            </w: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Nakit Akışı / Toplam Borçlar</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1,47</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1,19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0,68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1,10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1,96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2,66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1,51</w:t>
            </w:r>
          </w:p>
        </w:tc>
      </w:tr>
      <w:tr w:rsidR="00D64C6E" w:rsidRPr="00FA25AB" w:rsidTr="009235B6">
        <w:tc>
          <w:tcPr>
            <w:tcW w:w="235" w:type="pct"/>
            <w:vMerge/>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Net Kar / Toplam Varlıklar</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0,13</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0,04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0,10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0,15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0,18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0,11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0,12</w:t>
            </w:r>
          </w:p>
        </w:tc>
      </w:tr>
      <w:tr w:rsidR="00D64C6E" w:rsidRPr="00FA25AB" w:rsidTr="009235B6">
        <w:tc>
          <w:tcPr>
            <w:tcW w:w="235" w:type="pct"/>
            <w:vMerge/>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Toplam Borçlar / Toplam Varlıklar</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0,06</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0,05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0,18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0,16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0,10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0,07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0,10</w:t>
            </w:r>
          </w:p>
        </w:tc>
      </w:tr>
      <w:tr w:rsidR="00D64C6E" w:rsidRPr="00FA25AB" w:rsidTr="009235B6">
        <w:tc>
          <w:tcPr>
            <w:tcW w:w="235" w:type="pct"/>
            <w:vMerge/>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N.Ç.S. / Toplam Var.</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0,00</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0,25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0,23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0,16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0,24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0,34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0,20</w:t>
            </w:r>
          </w:p>
        </w:tc>
      </w:tr>
      <w:tr w:rsidR="00D64C6E" w:rsidRPr="00FA25AB" w:rsidTr="009235B6">
        <w:tc>
          <w:tcPr>
            <w:tcW w:w="235" w:type="pct"/>
            <w:vMerge/>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Dönen Varlıklar / K.V.Y.K.</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6,51</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6,84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2,34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2,02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3,70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6,64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4,68</w:t>
            </w:r>
          </w:p>
        </w:tc>
      </w:tr>
      <w:tr w:rsidR="00D64C6E" w:rsidRPr="00FA25AB" w:rsidTr="009235B6">
        <w:tc>
          <w:tcPr>
            <w:tcW w:w="235" w:type="pct"/>
            <w:vMerge/>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N.Ç.S. / Faaliyet Gider.</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0,00</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9,04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13,01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6,01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9,15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9,25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7,74</w:t>
            </w:r>
          </w:p>
        </w:tc>
      </w:tr>
      <w:tr w:rsidR="00D64C6E" w:rsidRPr="00FA25AB" w:rsidTr="009235B6">
        <w:tc>
          <w:tcPr>
            <w:tcW w:w="235" w:type="pct"/>
            <w:vMerge w:val="restart"/>
            <w:shd w:val="clear" w:color="auto" w:fill="auto"/>
            <w:textDirection w:val="btLr"/>
            <w:vAlign w:val="center"/>
          </w:tcPr>
          <w:p w:rsidR="00D64C6E" w:rsidRPr="00FA25AB" w:rsidRDefault="00D64C6E" w:rsidP="009235B6">
            <w:pPr>
              <w:spacing w:after="0" w:line="240" w:lineRule="auto"/>
              <w:ind w:right="113"/>
              <w:jc w:val="center"/>
              <w:rPr>
                <w:rFonts w:eastAsia="Times New Roman" w:cs="Times New Roman"/>
                <w:b/>
                <w:sz w:val="20"/>
                <w:szCs w:val="20"/>
                <w:lang w:eastAsia="tr-TR"/>
              </w:rPr>
            </w:pPr>
            <w:r w:rsidRPr="00FA25AB">
              <w:rPr>
                <w:rFonts w:eastAsia="Times New Roman" w:cs="Times New Roman"/>
                <w:sz w:val="20"/>
                <w:szCs w:val="20"/>
                <w:lang w:eastAsia="tr-TR"/>
              </w:rPr>
              <w:t>D İşletmesi</w:t>
            </w: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Nakit Akışı / Toplam Borçlar</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0,90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2,05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3,13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(2,72)</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0,83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0,84</w:t>
            </w:r>
          </w:p>
        </w:tc>
      </w:tr>
      <w:tr w:rsidR="00D64C6E" w:rsidRPr="00FA25AB" w:rsidTr="009235B6">
        <w:tc>
          <w:tcPr>
            <w:tcW w:w="235" w:type="pct"/>
            <w:vMerge/>
            <w:shd w:val="clear" w:color="auto" w:fill="auto"/>
            <w:vAlign w:val="center"/>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Net Kar / Toplam Varlıklar</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0,04</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0,02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0,06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0,05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0,02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0,06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0,04</w:t>
            </w:r>
          </w:p>
        </w:tc>
      </w:tr>
      <w:tr w:rsidR="00D64C6E" w:rsidRPr="00FA25AB" w:rsidTr="009235B6">
        <w:tc>
          <w:tcPr>
            <w:tcW w:w="235" w:type="pct"/>
            <w:vMerge/>
            <w:shd w:val="clear" w:color="auto" w:fill="auto"/>
            <w:vAlign w:val="center"/>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Toplam Borçlar / Toplam Varlıklar</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0,00</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0,12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0,04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0,02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0,02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0,10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0,05</w:t>
            </w:r>
          </w:p>
        </w:tc>
      </w:tr>
      <w:tr w:rsidR="00D64C6E" w:rsidRPr="00FA25AB" w:rsidTr="009235B6">
        <w:tc>
          <w:tcPr>
            <w:tcW w:w="235" w:type="pct"/>
            <w:vMerge/>
            <w:shd w:val="clear" w:color="auto" w:fill="auto"/>
            <w:vAlign w:val="center"/>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N.Ç.S. / Toplam Var.</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0,32</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0,29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0,34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0,27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0,20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0,23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0,28</w:t>
            </w:r>
          </w:p>
        </w:tc>
      </w:tr>
      <w:tr w:rsidR="00D64C6E" w:rsidRPr="00FA25AB" w:rsidTr="009235B6">
        <w:tc>
          <w:tcPr>
            <w:tcW w:w="235" w:type="pct"/>
            <w:vMerge/>
            <w:shd w:val="clear" w:color="auto" w:fill="auto"/>
            <w:vAlign w:val="center"/>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Dönen Varlıklar / K.V.Y.K.</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3,19</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3,49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10,18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17,58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12,88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10,54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9,64</w:t>
            </w:r>
          </w:p>
        </w:tc>
      </w:tr>
      <w:tr w:rsidR="00D64C6E" w:rsidRPr="00FA25AB" w:rsidTr="009235B6">
        <w:tc>
          <w:tcPr>
            <w:tcW w:w="235" w:type="pct"/>
            <w:vMerge/>
            <w:shd w:val="clear" w:color="auto" w:fill="auto"/>
            <w:vAlign w:val="center"/>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N.Ç.S. / Faaliyet Gider.</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3,57</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3,37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4,15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4,01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1,25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1,26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2,94</w:t>
            </w:r>
          </w:p>
        </w:tc>
      </w:tr>
      <w:tr w:rsidR="00D64C6E" w:rsidRPr="00FA25AB" w:rsidTr="009235B6">
        <w:tc>
          <w:tcPr>
            <w:tcW w:w="235" w:type="pct"/>
            <w:vMerge w:val="restart"/>
            <w:shd w:val="clear" w:color="auto" w:fill="auto"/>
            <w:textDirection w:val="btLr"/>
            <w:vAlign w:val="center"/>
          </w:tcPr>
          <w:p w:rsidR="00D64C6E" w:rsidRPr="00FA25AB" w:rsidRDefault="00D64C6E" w:rsidP="009235B6">
            <w:pPr>
              <w:spacing w:after="0" w:line="240" w:lineRule="auto"/>
              <w:ind w:right="113"/>
              <w:jc w:val="center"/>
              <w:rPr>
                <w:rFonts w:eastAsia="Times New Roman" w:cs="Times New Roman"/>
                <w:b/>
                <w:sz w:val="20"/>
                <w:szCs w:val="20"/>
                <w:lang w:eastAsia="tr-TR"/>
              </w:rPr>
            </w:pPr>
            <w:r w:rsidRPr="00FA25AB">
              <w:rPr>
                <w:rFonts w:eastAsia="Times New Roman" w:cs="Times New Roman"/>
                <w:sz w:val="20"/>
                <w:szCs w:val="20"/>
                <w:lang w:eastAsia="tr-TR"/>
              </w:rPr>
              <w:t>E İşletmesi</w:t>
            </w: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Nakit Akışı / Toplam Borçlar</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(0,02)</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0,15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0,09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0,09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0,14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(0,16)</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0,05</w:t>
            </w:r>
          </w:p>
        </w:tc>
      </w:tr>
      <w:tr w:rsidR="00D64C6E" w:rsidRPr="00FA25AB" w:rsidTr="009235B6">
        <w:tc>
          <w:tcPr>
            <w:tcW w:w="235" w:type="pct"/>
            <w:vMerge/>
            <w:shd w:val="clear" w:color="auto" w:fill="auto"/>
            <w:vAlign w:val="center"/>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Net Kar / Toplam Varlıklar</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(0,02)</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(0,12)</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(0,05)</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(0,09)</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(0,04)</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(0,03)</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(0,06)</w:t>
            </w:r>
          </w:p>
        </w:tc>
      </w:tr>
      <w:tr w:rsidR="00D64C6E" w:rsidRPr="00FA25AB" w:rsidTr="009235B6">
        <w:tc>
          <w:tcPr>
            <w:tcW w:w="235" w:type="pct"/>
            <w:vMerge/>
            <w:shd w:val="clear" w:color="auto" w:fill="auto"/>
            <w:vAlign w:val="center"/>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Toplam Borçlar / Toplam Varlıklar</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0,70</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0,46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0,35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0,60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0,46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0,34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0,49</w:t>
            </w:r>
          </w:p>
        </w:tc>
      </w:tr>
      <w:tr w:rsidR="00D64C6E" w:rsidRPr="00FA25AB" w:rsidTr="009235B6">
        <w:tc>
          <w:tcPr>
            <w:tcW w:w="235" w:type="pct"/>
            <w:vMerge/>
            <w:shd w:val="clear" w:color="auto" w:fill="auto"/>
            <w:vAlign w:val="center"/>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N.Ç.S. / Toplam Var.</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(0,19)</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(0,19)</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(0,20)</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(0,17)</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(0,12)</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(0,10)</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(0,16)</w:t>
            </w:r>
          </w:p>
        </w:tc>
      </w:tr>
      <w:tr w:rsidR="00D64C6E" w:rsidRPr="00FA25AB" w:rsidTr="009235B6">
        <w:tc>
          <w:tcPr>
            <w:tcW w:w="235" w:type="pct"/>
            <w:vMerge/>
            <w:shd w:val="clear" w:color="auto" w:fill="auto"/>
            <w:vAlign w:val="center"/>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Dönen Varlıklar / K.V.Y.K.</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0,25</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0,26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0,35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0,56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0,68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0,72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0,47</w:t>
            </w:r>
          </w:p>
        </w:tc>
      </w:tr>
      <w:tr w:rsidR="00D64C6E" w:rsidRPr="00FA25AB" w:rsidTr="009235B6">
        <w:tc>
          <w:tcPr>
            <w:tcW w:w="235" w:type="pct"/>
            <w:vMerge/>
            <w:shd w:val="clear" w:color="auto" w:fill="auto"/>
            <w:vAlign w:val="center"/>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N.Ç.S. / Faaliyet Gider.</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(2,29)</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(1,44)</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(2,47)</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(0,82)</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(0,58)</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(0,43)</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(1,34)</w:t>
            </w:r>
          </w:p>
        </w:tc>
      </w:tr>
      <w:tr w:rsidR="00D64C6E" w:rsidRPr="00FA25AB" w:rsidTr="009235B6">
        <w:tc>
          <w:tcPr>
            <w:tcW w:w="235" w:type="pct"/>
            <w:vMerge w:val="restart"/>
            <w:shd w:val="clear" w:color="auto" w:fill="auto"/>
            <w:textDirection w:val="btLr"/>
            <w:vAlign w:val="center"/>
          </w:tcPr>
          <w:p w:rsidR="00D64C6E" w:rsidRPr="00FA25AB" w:rsidRDefault="00D64C6E" w:rsidP="009235B6">
            <w:pPr>
              <w:spacing w:after="0" w:line="240" w:lineRule="auto"/>
              <w:ind w:right="113"/>
              <w:jc w:val="center"/>
              <w:rPr>
                <w:rFonts w:eastAsia="Times New Roman" w:cs="Times New Roman"/>
                <w:b/>
                <w:sz w:val="20"/>
                <w:szCs w:val="20"/>
                <w:lang w:eastAsia="tr-TR"/>
              </w:rPr>
            </w:pPr>
            <w:r w:rsidRPr="00FA25AB">
              <w:rPr>
                <w:rFonts w:eastAsia="Times New Roman" w:cs="Times New Roman"/>
                <w:sz w:val="20"/>
                <w:szCs w:val="20"/>
                <w:lang w:eastAsia="tr-TR"/>
              </w:rPr>
              <w:t>F İşletmesi</w:t>
            </w: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Nakit Akışı / Toplam Borçlar</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0,00</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(1,72)</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2,07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4,72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(0,00)</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0,00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0,85</w:t>
            </w:r>
          </w:p>
        </w:tc>
      </w:tr>
      <w:tr w:rsidR="00D64C6E" w:rsidRPr="00FA25AB" w:rsidTr="009235B6">
        <w:tc>
          <w:tcPr>
            <w:tcW w:w="235" w:type="pct"/>
            <w:vMerge/>
            <w:shd w:val="clear" w:color="auto" w:fill="auto"/>
            <w:vAlign w:val="center"/>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Net Kar / Toplam Varlıklar</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0,21</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0,17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0,16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0,21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0,34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0,06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0,19</w:t>
            </w:r>
          </w:p>
        </w:tc>
      </w:tr>
      <w:tr w:rsidR="00D64C6E" w:rsidRPr="00FA25AB" w:rsidTr="009235B6">
        <w:tc>
          <w:tcPr>
            <w:tcW w:w="235" w:type="pct"/>
            <w:vMerge/>
            <w:shd w:val="clear" w:color="auto" w:fill="auto"/>
            <w:vAlign w:val="center"/>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Toplam Borçlar / Toplam Varlıklar</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0,12</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0,08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0,09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0,10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0,14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0,08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0,10</w:t>
            </w:r>
          </w:p>
        </w:tc>
      </w:tr>
      <w:tr w:rsidR="00D64C6E" w:rsidRPr="00FA25AB" w:rsidTr="009235B6">
        <w:tc>
          <w:tcPr>
            <w:tcW w:w="235" w:type="pct"/>
            <w:vMerge/>
            <w:shd w:val="clear" w:color="auto" w:fill="auto"/>
            <w:vAlign w:val="center"/>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N.Ç.S. / Toplam Var.</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0,30</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0,20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0,24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0,08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0,43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0,16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0,24</w:t>
            </w:r>
          </w:p>
        </w:tc>
      </w:tr>
      <w:tr w:rsidR="00D64C6E" w:rsidRPr="00FA25AB" w:rsidTr="009235B6">
        <w:tc>
          <w:tcPr>
            <w:tcW w:w="235" w:type="pct"/>
            <w:vMerge/>
            <w:shd w:val="clear" w:color="auto" w:fill="auto"/>
            <w:vAlign w:val="center"/>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Dönen Varlıklar / K.V.Y.K.</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3,60</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3,46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4,17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1,84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4,11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3,33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3,42</w:t>
            </w:r>
          </w:p>
        </w:tc>
      </w:tr>
      <w:tr w:rsidR="00D64C6E" w:rsidRPr="00FA25AB" w:rsidTr="009235B6">
        <w:tc>
          <w:tcPr>
            <w:tcW w:w="235" w:type="pct"/>
            <w:vMerge/>
            <w:shd w:val="clear" w:color="auto" w:fill="auto"/>
            <w:vAlign w:val="center"/>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N.Ç.S. / Faaliyet Gider.</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1,28</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0,71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0,95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0,38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2,08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0,93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1,06</w:t>
            </w:r>
          </w:p>
        </w:tc>
      </w:tr>
      <w:tr w:rsidR="00D64C6E" w:rsidRPr="00FA25AB" w:rsidTr="009235B6">
        <w:tc>
          <w:tcPr>
            <w:tcW w:w="235" w:type="pct"/>
            <w:vMerge w:val="restart"/>
            <w:shd w:val="clear" w:color="auto" w:fill="auto"/>
            <w:textDirection w:val="btLr"/>
            <w:vAlign w:val="center"/>
          </w:tcPr>
          <w:p w:rsidR="00D64C6E" w:rsidRPr="00FA25AB" w:rsidRDefault="00D64C6E" w:rsidP="009235B6">
            <w:pPr>
              <w:spacing w:after="0" w:line="240" w:lineRule="auto"/>
              <w:ind w:right="113"/>
              <w:jc w:val="center"/>
              <w:rPr>
                <w:rFonts w:eastAsia="Times New Roman" w:cs="Times New Roman"/>
                <w:b/>
                <w:sz w:val="20"/>
                <w:szCs w:val="20"/>
                <w:lang w:eastAsia="tr-TR"/>
              </w:rPr>
            </w:pPr>
            <w:r w:rsidRPr="00FA25AB">
              <w:rPr>
                <w:rFonts w:eastAsia="Times New Roman" w:cs="Times New Roman"/>
                <w:sz w:val="20"/>
                <w:szCs w:val="20"/>
                <w:lang w:eastAsia="tr-TR"/>
              </w:rPr>
              <w:t>G İşletmesi</w:t>
            </w: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Nakit Akışı / Toplam Borçlar</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(0,98)</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17,59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0,30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0,20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0,33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0,38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2,97</w:t>
            </w:r>
          </w:p>
        </w:tc>
      </w:tr>
      <w:tr w:rsidR="00D64C6E" w:rsidRPr="00FA25AB" w:rsidTr="009235B6">
        <w:tc>
          <w:tcPr>
            <w:tcW w:w="235" w:type="pct"/>
            <w:vMerge/>
            <w:shd w:val="clear" w:color="auto" w:fill="auto"/>
            <w:vAlign w:val="center"/>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Net Kar / Toplam Varlıklar</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(0,05)</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0,45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0,31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(0,23)</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(0,26)</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0,22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0,07</w:t>
            </w:r>
          </w:p>
        </w:tc>
      </w:tr>
      <w:tr w:rsidR="00D64C6E" w:rsidRPr="00FA25AB" w:rsidTr="009235B6">
        <w:tc>
          <w:tcPr>
            <w:tcW w:w="235" w:type="pct"/>
            <w:vMerge/>
            <w:shd w:val="clear" w:color="auto" w:fill="auto"/>
            <w:vAlign w:val="center"/>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Toplam Borçlar / Toplam Varlıklar</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0,58</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0,12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0,83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1,29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1,05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0,82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0,78</w:t>
            </w:r>
          </w:p>
        </w:tc>
      </w:tr>
      <w:tr w:rsidR="00D64C6E" w:rsidRPr="00FA25AB" w:rsidTr="009235B6">
        <w:tc>
          <w:tcPr>
            <w:tcW w:w="235" w:type="pct"/>
            <w:vMerge/>
            <w:shd w:val="clear" w:color="auto" w:fill="auto"/>
            <w:vAlign w:val="center"/>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N.Ç.S. / Toplam Var.</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0,17</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0,70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0,84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0,43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0,47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0,56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0,53</w:t>
            </w:r>
          </w:p>
        </w:tc>
      </w:tr>
      <w:tr w:rsidR="00D64C6E" w:rsidRPr="00FA25AB" w:rsidTr="009235B6">
        <w:tc>
          <w:tcPr>
            <w:tcW w:w="235" w:type="pct"/>
            <w:vMerge/>
            <w:shd w:val="clear" w:color="auto" w:fill="auto"/>
            <w:vAlign w:val="center"/>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Dönen Varlıklar / K.V.Y.K.</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2,32</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6,86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10,23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2,52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2,83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3,58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4,72</w:t>
            </w:r>
          </w:p>
        </w:tc>
      </w:tr>
      <w:tr w:rsidR="00D64C6E" w:rsidRPr="00FA25AB" w:rsidTr="009235B6">
        <w:tc>
          <w:tcPr>
            <w:tcW w:w="235" w:type="pct"/>
            <w:vMerge/>
            <w:shd w:val="clear" w:color="auto" w:fill="auto"/>
            <w:vAlign w:val="center"/>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N.Ç.S. / Faaliyet Gider.</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1,64</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0,34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3,03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6,72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4,77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2,93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3,24</w:t>
            </w:r>
          </w:p>
        </w:tc>
      </w:tr>
      <w:tr w:rsidR="00D64C6E" w:rsidRPr="00FA25AB" w:rsidTr="009235B6">
        <w:tc>
          <w:tcPr>
            <w:tcW w:w="235" w:type="pct"/>
            <w:vMerge w:val="restart"/>
            <w:shd w:val="clear" w:color="auto" w:fill="auto"/>
            <w:textDirection w:val="btLr"/>
            <w:vAlign w:val="center"/>
          </w:tcPr>
          <w:p w:rsidR="00D64C6E" w:rsidRPr="00FA25AB" w:rsidRDefault="00D64C6E" w:rsidP="009235B6">
            <w:pPr>
              <w:spacing w:after="0" w:line="240" w:lineRule="auto"/>
              <w:ind w:right="113"/>
              <w:jc w:val="center"/>
              <w:rPr>
                <w:rFonts w:eastAsia="Times New Roman" w:cs="Times New Roman"/>
                <w:b/>
                <w:sz w:val="20"/>
                <w:szCs w:val="20"/>
                <w:lang w:eastAsia="tr-TR"/>
              </w:rPr>
            </w:pPr>
            <w:r w:rsidRPr="00FA25AB">
              <w:rPr>
                <w:rFonts w:eastAsia="Times New Roman" w:cs="Times New Roman"/>
                <w:sz w:val="20"/>
                <w:szCs w:val="20"/>
                <w:lang w:eastAsia="tr-TR"/>
              </w:rPr>
              <w:t>H İşletmesi</w:t>
            </w: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Nakit Akışı / Toplam Borçlar</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0,09</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(0,34)</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0,45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0,03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0,45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(0,09)</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0,10</w:t>
            </w:r>
          </w:p>
        </w:tc>
      </w:tr>
      <w:tr w:rsidR="00D64C6E" w:rsidRPr="00FA25AB" w:rsidTr="009235B6">
        <w:tc>
          <w:tcPr>
            <w:tcW w:w="235" w:type="pct"/>
            <w:vMerge/>
            <w:shd w:val="clear" w:color="auto" w:fill="auto"/>
            <w:vAlign w:val="center"/>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Net Kar / Toplam Varlıklar</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0,05</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(0,26)</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0,02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(0,04)</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0,08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(0,12)</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(0,05)</w:t>
            </w:r>
          </w:p>
        </w:tc>
      </w:tr>
      <w:tr w:rsidR="00D64C6E" w:rsidRPr="00FA25AB" w:rsidTr="009235B6">
        <w:tc>
          <w:tcPr>
            <w:tcW w:w="235" w:type="pct"/>
            <w:vMerge/>
            <w:shd w:val="clear" w:color="auto" w:fill="auto"/>
            <w:vAlign w:val="center"/>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Toplam Borçlar / Toplam Varlıklar</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0,44</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0,52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0,32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0,24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0,30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0,33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0,36</w:t>
            </w:r>
          </w:p>
        </w:tc>
      </w:tr>
      <w:tr w:rsidR="00D64C6E" w:rsidRPr="00FA25AB" w:rsidTr="009235B6">
        <w:tc>
          <w:tcPr>
            <w:tcW w:w="235" w:type="pct"/>
            <w:vMerge/>
            <w:shd w:val="clear" w:color="auto" w:fill="auto"/>
            <w:vAlign w:val="center"/>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N.Ç.S. / Toplam Var.</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(0,40)</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(0,50)</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(0,23)</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(0,26)</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(0,12)</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(0,23)</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(0,29)</w:t>
            </w:r>
          </w:p>
        </w:tc>
      </w:tr>
      <w:tr w:rsidR="00D64C6E" w:rsidRPr="00FA25AB" w:rsidTr="009235B6">
        <w:tc>
          <w:tcPr>
            <w:tcW w:w="235" w:type="pct"/>
            <w:vMerge/>
            <w:shd w:val="clear" w:color="auto" w:fill="auto"/>
            <w:vAlign w:val="center"/>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Dönen Varlıklar / K.V.Y.K.</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0,42</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0,32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0,56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0,47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0,72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0,51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0,50</w:t>
            </w:r>
          </w:p>
        </w:tc>
      </w:tr>
      <w:tr w:rsidR="00D64C6E" w:rsidRPr="00FA25AB" w:rsidTr="009235B6">
        <w:trPr>
          <w:trHeight w:val="160"/>
        </w:trPr>
        <w:tc>
          <w:tcPr>
            <w:tcW w:w="235" w:type="pct"/>
            <w:vMerge/>
            <w:shd w:val="clear" w:color="auto" w:fill="auto"/>
            <w:vAlign w:val="center"/>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N.Ç.S. / Faaliyet Gider.</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(0,54)</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(0,66)</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(0,30)</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(0,33)</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(0,16)</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(0,26)</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(0,38)</w:t>
            </w:r>
          </w:p>
        </w:tc>
      </w:tr>
      <w:tr w:rsidR="00D64C6E" w:rsidRPr="00FA25AB" w:rsidTr="009235B6">
        <w:tc>
          <w:tcPr>
            <w:tcW w:w="235" w:type="pct"/>
            <w:vMerge w:val="restart"/>
            <w:shd w:val="clear" w:color="auto" w:fill="auto"/>
            <w:textDirection w:val="btLr"/>
            <w:vAlign w:val="center"/>
          </w:tcPr>
          <w:p w:rsidR="00D64C6E" w:rsidRPr="00FA25AB" w:rsidRDefault="00D64C6E" w:rsidP="009235B6">
            <w:pPr>
              <w:spacing w:after="0" w:line="240" w:lineRule="auto"/>
              <w:ind w:right="113"/>
              <w:jc w:val="center"/>
              <w:rPr>
                <w:rFonts w:eastAsia="Times New Roman" w:cs="Times New Roman"/>
                <w:b/>
                <w:sz w:val="20"/>
                <w:szCs w:val="20"/>
                <w:lang w:eastAsia="tr-TR"/>
              </w:rPr>
            </w:pPr>
            <w:r w:rsidRPr="00FA25AB">
              <w:rPr>
                <w:rFonts w:eastAsia="Times New Roman" w:cs="Times New Roman"/>
                <w:sz w:val="20"/>
                <w:szCs w:val="20"/>
                <w:lang w:eastAsia="tr-TR"/>
              </w:rPr>
              <w:t>I İşletmesi</w:t>
            </w: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Nakit Akışı / Toplam Borçlar</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0,01</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(0,04)</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(0,01)</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0,25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1,08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0,63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0,32</w:t>
            </w:r>
          </w:p>
        </w:tc>
      </w:tr>
      <w:tr w:rsidR="00D64C6E" w:rsidRPr="00FA25AB" w:rsidTr="009235B6">
        <w:tc>
          <w:tcPr>
            <w:tcW w:w="235" w:type="pct"/>
            <w:vMerge/>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Net Kar / Toplam Varlıklar</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0,02</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(0,05)</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0,01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0,01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0,01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0,01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0,00</w:t>
            </w:r>
          </w:p>
        </w:tc>
      </w:tr>
      <w:tr w:rsidR="00D64C6E" w:rsidRPr="00FA25AB" w:rsidTr="009235B6">
        <w:tc>
          <w:tcPr>
            <w:tcW w:w="235" w:type="pct"/>
            <w:vMerge/>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Toplam Borçlar / Toplam Varlıklar</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0,34</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0,41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0,31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0,07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0,03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0,01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0,20</w:t>
            </w:r>
          </w:p>
        </w:tc>
      </w:tr>
      <w:tr w:rsidR="00D64C6E" w:rsidRPr="00FA25AB" w:rsidTr="009235B6">
        <w:tc>
          <w:tcPr>
            <w:tcW w:w="235" w:type="pct"/>
            <w:vMerge/>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N.Ç.S. / Toplam Var.</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0,04</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0,15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0,31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0,07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0,09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0,10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0,13</w:t>
            </w:r>
          </w:p>
        </w:tc>
      </w:tr>
      <w:tr w:rsidR="00D64C6E" w:rsidRPr="00FA25AB" w:rsidTr="009235B6">
        <w:tc>
          <w:tcPr>
            <w:tcW w:w="235" w:type="pct"/>
            <w:vMerge/>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Dönen Varlıklar / K.V.Y.K.</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1,16</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1,88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4,36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1,42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2,09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2,70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2,27</w:t>
            </w:r>
          </w:p>
        </w:tc>
      </w:tr>
      <w:tr w:rsidR="00D64C6E" w:rsidRPr="00FA25AB" w:rsidTr="009235B6">
        <w:tc>
          <w:tcPr>
            <w:tcW w:w="235" w:type="pct"/>
            <w:vMerge/>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N.Ç.S. / Faaliyet Gider.</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0,90</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4,29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4,07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1,14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0,99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1,63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2,17</w:t>
            </w:r>
          </w:p>
        </w:tc>
      </w:tr>
      <w:tr w:rsidR="00D64C6E" w:rsidRPr="00FA25AB" w:rsidTr="009235B6">
        <w:tc>
          <w:tcPr>
            <w:tcW w:w="235" w:type="pct"/>
            <w:vMerge w:val="restart"/>
            <w:shd w:val="clear" w:color="auto" w:fill="auto"/>
            <w:textDirection w:val="btLr"/>
            <w:vAlign w:val="center"/>
          </w:tcPr>
          <w:p w:rsidR="00D64C6E" w:rsidRPr="00FA25AB" w:rsidRDefault="00D64C6E" w:rsidP="009235B6">
            <w:pPr>
              <w:spacing w:after="0" w:line="240" w:lineRule="auto"/>
              <w:ind w:right="113"/>
              <w:jc w:val="center"/>
              <w:rPr>
                <w:rFonts w:eastAsia="Times New Roman" w:cs="Times New Roman"/>
                <w:b/>
                <w:sz w:val="20"/>
                <w:szCs w:val="20"/>
                <w:lang w:eastAsia="tr-TR"/>
              </w:rPr>
            </w:pPr>
            <w:r w:rsidRPr="00FA25AB">
              <w:rPr>
                <w:rFonts w:eastAsia="Times New Roman" w:cs="Times New Roman"/>
                <w:sz w:val="20"/>
                <w:szCs w:val="20"/>
                <w:lang w:eastAsia="tr-TR"/>
              </w:rPr>
              <w:t>J İşletmesi</w:t>
            </w: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Nakit Akışı / Toplam Borçlar</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(2,35)</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(0,29)</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0,14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(0,00)</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(0,21)</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0,43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(0,38)</w:t>
            </w:r>
          </w:p>
        </w:tc>
      </w:tr>
      <w:tr w:rsidR="00D64C6E" w:rsidRPr="00FA25AB" w:rsidTr="009235B6">
        <w:tc>
          <w:tcPr>
            <w:tcW w:w="235" w:type="pct"/>
            <w:vMerge/>
            <w:shd w:val="clear" w:color="auto" w:fill="auto"/>
            <w:vAlign w:val="center"/>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Net Kar / Toplam Varlıklar</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0,46</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(0,13)</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(0,15)</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(0,03)</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(0,08)</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(0,02)</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0,01</w:t>
            </w:r>
          </w:p>
        </w:tc>
      </w:tr>
      <w:tr w:rsidR="00D64C6E" w:rsidRPr="00FA25AB" w:rsidTr="009235B6">
        <w:tc>
          <w:tcPr>
            <w:tcW w:w="235" w:type="pct"/>
            <w:vMerge/>
            <w:shd w:val="clear" w:color="auto" w:fill="auto"/>
            <w:vAlign w:val="center"/>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Toplam Borçlar / Toplam Varlıklar</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0,22</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0,45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0,36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0,51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0,35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0,07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0,33</w:t>
            </w:r>
          </w:p>
        </w:tc>
      </w:tr>
      <w:tr w:rsidR="00D64C6E" w:rsidRPr="00FA25AB" w:rsidTr="009235B6">
        <w:tc>
          <w:tcPr>
            <w:tcW w:w="235" w:type="pct"/>
            <w:vMerge/>
            <w:shd w:val="clear" w:color="auto" w:fill="auto"/>
            <w:vAlign w:val="center"/>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N.Ç.S. / Toplam Var.</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0,21</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(0,28)</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0,21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0,00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(0,03)</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0,20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0,05</w:t>
            </w:r>
          </w:p>
        </w:tc>
      </w:tr>
      <w:tr w:rsidR="00D64C6E" w:rsidRPr="00FA25AB" w:rsidTr="009235B6">
        <w:tc>
          <w:tcPr>
            <w:tcW w:w="235" w:type="pct"/>
            <w:vMerge/>
            <w:shd w:val="clear" w:color="auto" w:fill="auto"/>
            <w:vAlign w:val="center"/>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Dönen Varlıklar / K.V.Y.K.</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2,66</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0,39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1,72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1,01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0,77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5,76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2,05</w:t>
            </w:r>
          </w:p>
        </w:tc>
      </w:tr>
      <w:tr w:rsidR="00D64C6E" w:rsidRPr="00FA25AB" w:rsidTr="009235B6">
        <w:tc>
          <w:tcPr>
            <w:tcW w:w="235" w:type="pct"/>
            <w:vMerge/>
            <w:shd w:val="clear" w:color="auto" w:fill="auto"/>
            <w:vAlign w:val="center"/>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N.Ç.S. / Faaliyet Gider.</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14,69</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(7,61)</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1,51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0,02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(0,15)</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1,09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1,59</w:t>
            </w:r>
          </w:p>
        </w:tc>
      </w:tr>
      <w:tr w:rsidR="00D64C6E" w:rsidRPr="00FA25AB" w:rsidTr="009235B6">
        <w:tc>
          <w:tcPr>
            <w:tcW w:w="235" w:type="pct"/>
            <w:vMerge w:val="restart"/>
            <w:shd w:val="clear" w:color="auto" w:fill="auto"/>
            <w:textDirection w:val="btLr"/>
            <w:vAlign w:val="center"/>
          </w:tcPr>
          <w:p w:rsidR="00D64C6E" w:rsidRPr="00FA25AB" w:rsidRDefault="00D64C6E" w:rsidP="009235B6">
            <w:pPr>
              <w:spacing w:after="0" w:line="240" w:lineRule="auto"/>
              <w:ind w:right="113"/>
              <w:jc w:val="center"/>
              <w:rPr>
                <w:rFonts w:eastAsia="Times New Roman" w:cs="Times New Roman"/>
                <w:b/>
                <w:sz w:val="20"/>
                <w:szCs w:val="20"/>
                <w:lang w:eastAsia="tr-TR"/>
              </w:rPr>
            </w:pPr>
            <w:r w:rsidRPr="00FA25AB">
              <w:rPr>
                <w:rFonts w:eastAsia="Times New Roman" w:cs="Times New Roman"/>
                <w:sz w:val="20"/>
                <w:szCs w:val="20"/>
                <w:lang w:eastAsia="tr-TR"/>
              </w:rPr>
              <w:lastRenderedPageBreak/>
              <w:t>K İşletmesi</w:t>
            </w: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Nakit Akışı / Toplam Borçlar</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0,00</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0,12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(0,28)</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0,20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0,10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0,22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0,06</w:t>
            </w:r>
          </w:p>
        </w:tc>
      </w:tr>
      <w:tr w:rsidR="00D64C6E" w:rsidRPr="00FA25AB" w:rsidTr="009235B6">
        <w:tc>
          <w:tcPr>
            <w:tcW w:w="235" w:type="pct"/>
            <w:vMerge/>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Net Kar / Toplam Varlıklar</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(0,08)</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(0,14)</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(0,10)</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(0,01)</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(0,11)</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0,03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(0,07)</w:t>
            </w:r>
          </w:p>
        </w:tc>
      </w:tr>
      <w:tr w:rsidR="00D64C6E" w:rsidRPr="00FA25AB" w:rsidTr="009235B6">
        <w:tc>
          <w:tcPr>
            <w:tcW w:w="235" w:type="pct"/>
            <w:vMerge/>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Toplam Borçlar / Toplam Varlıklar</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0,45</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0,43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0,36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0,29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0,32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0,28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0,36</w:t>
            </w:r>
          </w:p>
        </w:tc>
      </w:tr>
      <w:tr w:rsidR="00D64C6E" w:rsidRPr="00FA25AB" w:rsidTr="009235B6">
        <w:tc>
          <w:tcPr>
            <w:tcW w:w="235" w:type="pct"/>
            <w:vMerge/>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N.Ç.S. / Toplam Var.</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(0,16)</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(0,15)</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(0,08)</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(0,19)</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(0,14)</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(0,03)</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(0,13)</w:t>
            </w:r>
          </w:p>
        </w:tc>
      </w:tr>
      <w:tr w:rsidR="00D64C6E" w:rsidRPr="00FA25AB" w:rsidTr="009235B6">
        <w:tc>
          <w:tcPr>
            <w:tcW w:w="235" w:type="pct"/>
            <w:vMerge/>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Dönen Varlıklar / K.V.Y.K.</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0,46</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0,49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0,66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0,37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0,50 </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 xml:space="preserve">0,85 </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0,56</w:t>
            </w:r>
          </w:p>
        </w:tc>
      </w:tr>
      <w:tr w:rsidR="00D64C6E" w:rsidRPr="00FA25AB" w:rsidTr="009235B6">
        <w:tc>
          <w:tcPr>
            <w:tcW w:w="235" w:type="pct"/>
            <w:vMerge/>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p>
        </w:tc>
        <w:tc>
          <w:tcPr>
            <w:tcW w:w="1718" w:type="pct"/>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sz w:val="20"/>
                <w:szCs w:val="20"/>
                <w:lang w:eastAsia="tr-TR"/>
              </w:rPr>
              <w:t>N.Ç.S. / Faaliyet Gider.</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(1,02)</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(1,09)</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(0,48)</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(1,05)</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(0,59)</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(0,21)</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(0,74)</w:t>
            </w:r>
          </w:p>
        </w:tc>
      </w:tr>
      <w:tr w:rsidR="00D64C6E" w:rsidRPr="00FA25AB" w:rsidTr="009235B6">
        <w:trPr>
          <w:cantSplit/>
          <w:trHeight w:val="125"/>
        </w:trPr>
        <w:tc>
          <w:tcPr>
            <w:tcW w:w="1953" w:type="pct"/>
            <w:gridSpan w:val="2"/>
            <w:shd w:val="clear" w:color="auto" w:fill="auto"/>
          </w:tcPr>
          <w:p w:rsidR="00D64C6E" w:rsidRPr="00FA25AB" w:rsidRDefault="00D64C6E" w:rsidP="009235B6">
            <w:pPr>
              <w:spacing w:after="0" w:line="240" w:lineRule="auto"/>
              <w:rPr>
                <w:rFonts w:eastAsia="Times New Roman" w:cs="Times New Roman"/>
                <w:sz w:val="20"/>
                <w:szCs w:val="20"/>
                <w:lang w:eastAsia="tr-TR"/>
              </w:rPr>
            </w:pPr>
            <w:r w:rsidRPr="00FA25AB">
              <w:rPr>
                <w:rFonts w:eastAsia="Times New Roman" w:cs="Times New Roman"/>
                <w:b/>
                <w:sz w:val="20"/>
                <w:szCs w:val="20"/>
                <w:lang w:eastAsia="tr-TR"/>
              </w:rPr>
              <w:t>Ortalama</w:t>
            </w:r>
          </w:p>
        </w:tc>
        <w:tc>
          <w:tcPr>
            <w:tcW w:w="435" w:type="pct"/>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0,65</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0,64</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1,08</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1,83</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0,74</w:t>
            </w:r>
          </w:p>
        </w:tc>
        <w:tc>
          <w:tcPr>
            <w:tcW w:w="436"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r w:rsidRPr="00FA25AB">
              <w:rPr>
                <w:rFonts w:eastAsia="Times New Roman" w:cs="Times New Roman"/>
                <w:sz w:val="20"/>
                <w:szCs w:val="20"/>
                <w:lang w:eastAsia="tr-TR"/>
              </w:rPr>
              <w:t>0,90</w:t>
            </w:r>
          </w:p>
        </w:tc>
        <w:tc>
          <w:tcPr>
            <w:tcW w:w="435" w:type="pct"/>
            <w:shd w:val="clear" w:color="auto" w:fill="auto"/>
          </w:tcPr>
          <w:p w:rsidR="00D64C6E" w:rsidRPr="00FA25AB" w:rsidRDefault="00D64C6E" w:rsidP="009235B6">
            <w:pPr>
              <w:spacing w:after="0" w:line="240" w:lineRule="auto"/>
              <w:jc w:val="center"/>
              <w:rPr>
                <w:rFonts w:eastAsia="Times New Roman" w:cs="Times New Roman"/>
                <w:sz w:val="20"/>
                <w:szCs w:val="20"/>
                <w:lang w:eastAsia="tr-TR"/>
              </w:rPr>
            </w:pPr>
          </w:p>
        </w:tc>
      </w:tr>
    </w:tbl>
    <w:p w:rsidR="00D64C6E" w:rsidRPr="00FA25AB" w:rsidRDefault="00D64C6E" w:rsidP="00D64C6E">
      <w:pPr>
        <w:spacing w:after="200" w:line="276" w:lineRule="auto"/>
        <w:rPr>
          <w:rFonts w:eastAsia="Times New Roman" w:cs="Times New Roman"/>
          <w:sz w:val="22"/>
          <w:lang w:eastAsia="tr-TR"/>
        </w:rPr>
      </w:pPr>
    </w:p>
    <w:p w:rsidR="00D64C6E" w:rsidRDefault="00D64C6E" w:rsidP="00D64C6E">
      <w:pPr>
        <w:spacing w:after="120"/>
        <w:jc w:val="both"/>
        <w:rPr>
          <w:rFonts w:eastAsia="Times New Roman" w:cs="Times New Roman"/>
          <w:szCs w:val="24"/>
          <w:lang w:eastAsia="tr-TR"/>
        </w:rPr>
      </w:pPr>
      <w:r w:rsidRPr="00FA25AB">
        <w:rPr>
          <w:rFonts w:eastAsia="Times New Roman" w:cs="Times New Roman"/>
          <w:szCs w:val="24"/>
          <w:lang w:eastAsia="tr-TR"/>
        </w:rPr>
        <w:t xml:space="preserve">D işletmesinin Nakit Akış/Toplam Borçlar oranı, yalnızca 2013 yılında negatif bir değer alarak optimum düzeyin oldukça altında gerçekleşirken diğer tüm yıllarda optimal düzeyin üzerinde gerçekleşmiştir. İşletmenin 2017 yılına ait borcu olmadığından bu oran 2017 yılı için hesaplanamamıştır. E işletmesinin Nakit Akış/Toplam Borçlar oranı değerlerinin analize dahil edilen tüm yıllar itibariyle istenilen düzeyin oldukça altında olduğu ve 2012 ve 2017 yıllarında negatif gerçekleştiği görülmektedir. </w:t>
      </w:r>
    </w:p>
    <w:p w:rsidR="00D64C6E" w:rsidRDefault="00D64C6E" w:rsidP="00D64C6E">
      <w:pPr>
        <w:spacing w:after="120"/>
        <w:jc w:val="both"/>
        <w:rPr>
          <w:rFonts w:eastAsia="Times New Roman" w:cs="Times New Roman"/>
          <w:szCs w:val="24"/>
          <w:lang w:eastAsia="tr-TR"/>
        </w:rPr>
      </w:pPr>
      <w:r w:rsidRPr="00FA25AB">
        <w:rPr>
          <w:rFonts w:eastAsia="Times New Roman" w:cs="Times New Roman"/>
          <w:szCs w:val="24"/>
          <w:lang w:eastAsia="tr-TR"/>
        </w:rPr>
        <w:t xml:space="preserve">F işletmesinin Nakit Akış/Toplam Borçlar oranı değerlerinin dalgalı bir seyir izlediği görülmektedir. İşletmenin değerleri 2012, 2013, 2016 ve 2017 yıllarında istenilen düzeyin altındayken, 2014 ve 2015 yıllarında oldukça yüksek gerçekleştiği gözlemlenmiştir. G işletmesinin tüm yıllara ait Nakit Akış/Toplam Borçlar oran değerleri incelendiğinde, bu oranın tüm yıllar bağlamında istenilen optimum düzeyin üzerinde seyrettiği ancak 2017 yılında optimum düzeyin oldukça altında negatif değere sahip olduğu görülmektedir. </w:t>
      </w:r>
    </w:p>
    <w:p w:rsidR="00D64C6E" w:rsidRDefault="00D64C6E" w:rsidP="00D64C6E">
      <w:pPr>
        <w:spacing w:after="120"/>
        <w:jc w:val="both"/>
        <w:rPr>
          <w:rFonts w:eastAsia="Times New Roman" w:cs="Times New Roman"/>
          <w:szCs w:val="24"/>
          <w:lang w:eastAsia="tr-TR"/>
        </w:rPr>
      </w:pPr>
      <w:r w:rsidRPr="00FA25AB">
        <w:rPr>
          <w:rFonts w:eastAsia="Times New Roman" w:cs="Times New Roman"/>
          <w:szCs w:val="24"/>
          <w:lang w:eastAsia="tr-TR"/>
        </w:rPr>
        <w:t xml:space="preserve">H işletmesinin Nakit Akış/Toplam Borçlar oranı değerleri incelendiğinde, bu oranın 2012, 2014, 2016 ve 2017 yıllarında standardın altında gerçekleşirken, 2013 ve 2015 yıllarında standardın üstünde gerçekleştiği gözlemlenmiştir. I işletmesinin Nakit Akış/Toplam Borçlar oranı değerleri incelendiğinde, 2015 yılına kadar standardın üstünde değerler söz konusuyken 2015, 2016 ve 2017 yıllarında standardın oldukça altında gerçekleştiği görülmektedir. </w:t>
      </w:r>
    </w:p>
    <w:p w:rsidR="00D64C6E" w:rsidRPr="00FA25AB" w:rsidRDefault="00D64C6E" w:rsidP="00D64C6E">
      <w:pPr>
        <w:spacing w:after="120"/>
        <w:jc w:val="both"/>
        <w:rPr>
          <w:rFonts w:eastAsia="Times New Roman" w:cs="Times New Roman"/>
          <w:szCs w:val="24"/>
          <w:lang w:eastAsia="tr-TR"/>
        </w:rPr>
      </w:pPr>
      <w:r w:rsidRPr="00FA25AB">
        <w:rPr>
          <w:rFonts w:eastAsia="Times New Roman" w:cs="Times New Roman"/>
          <w:szCs w:val="24"/>
          <w:lang w:eastAsia="tr-TR"/>
        </w:rPr>
        <w:t xml:space="preserve">J işletmesinin Nakit Akış/Toplam Borçlar oranı değerleri incelendiğinde, 2012 yılında optimum düzeyin üstünde olan oranın 2013, 2014, 2015, 2016 ve 2017 yıllarında optimum düzeyin altında gerçekleştiği saptanmıştır. Özellikle işletmenin 2017 yılına ait değerlerinin optimum düzeyden oldukça düşük, negatif değerde olduğu görülmektedir. K işletmesinin Nakit Akış/Toplam Borçlar oranı değerleri incelendiğinde, oran değerlerinin 2012 ve 2014 yıllarında istenilen düzeyin üstünde gerçekleştiği buna karşın 2013, 2015, 2016 ve 2017 yıllarında istenilen düzeyin altında gerçekleştiği görülmektedir. </w:t>
      </w:r>
    </w:p>
    <w:p w:rsidR="00D64C6E" w:rsidRDefault="00D64C6E" w:rsidP="00D64C6E">
      <w:pPr>
        <w:spacing w:after="120"/>
        <w:jc w:val="both"/>
        <w:rPr>
          <w:rFonts w:eastAsia="Times New Roman" w:cs="Times New Roman"/>
          <w:szCs w:val="24"/>
          <w:lang w:eastAsia="tr-TR"/>
        </w:rPr>
      </w:pPr>
      <w:r w:rsidRPr="00FA25AB">
        <w:rPr>
          <w:rFonts w:eastAsia="Times New Roman" w:cs="Times New Roman"/>
          <w:szCs w:val="24"/>
          <w:lang w:eastAsia="tr-TR"/>
        </w:rPr>
        <w:t xml:space="preserve">Beaver’ın oranlarından ikincisi olan Net Kar/Toplam Varlıklar (Aktif Karlılık) oranı, ağırlama işletmesi varlıklarının genel karlılığını ifade etmektedir. Bu oran işletmenin gerçekleştirdiği her </w:t>
      </w:r>
      <w:r w:rsidRPr="00FA25AB">
        <w:rPr>
          <w:rFonts w:eastAsia="Times New Roman" w:cs="Times New Roman"/>
          <w:szCs w:val="24"/>
          <w:lang w:eastAsia="tr-TR"/>
        </w:rPr>
        <w:lastRenderedPageBreak/>
        <w:t xml:space="preserve">100 TL’lik aktif yatırımı karşılığında kaç TL net kar sağladığını belirtmektedir. Karşılaştırma kıstaslarına göre düşük olduğu gözlemlenen oran aşırı varlık yatırımının ya da yetersiz karların göstergesi olabilmektedir (Met, 2013: 98). A işletmesi açısından aktif karlılık oranının 2012 yılında pozitif gerçekleştiği, buna karşın işletmenin sonraki tüm yıllarında negatif oranın negatif gerçekleştiği saptanmıştır. B işletmesinin aktif karlılık oranları incelendiğinde, 2012, 2013 ve 2017 yıllarında söz konusu oranın negatif değerlere sahipken 2014, 2015 ve 2016 yıllarında pozitif değerlere sahip olduğu gözlemlenmiştir. </w:t>
      </w:r>
    </w:p>
    <w:p w:rsidR="00D64C6E" w:rsidRDefault="00D64C6E" w:rsidP="00D64C6E">
      <w:pPr>
        <w:spacing w:after="120"/>
        <w:jc w:val="both"/>
        <w:rPr>
          <w:rFonts w:eastAsia="Times New Roman" w:cs="Times New Roman"/>
          <w:szCs w:val="24"/>
          <w:lang w:eastAsia="tr-TR"/>
        </w:rPr>
      </w:pPr>
      <w:r w:rsidRPr="00FA25AB">
        <w:rPr>
          <w:rFonts w:eastAsia="Times New Roman" w:cs="Times New Roman"/>
          <w:szCs w:val="24"/>
          <w:lang w:eastAsia="tr-TR"/>
        </w:rPr>
        <w:t xml:space="preserve">C işletmesinin aktif karlılık oran değerleri incelendiğinde söz konusu oranın tüm yıllar itibariyle pozitif değer aldıkları saptanmıştır. D ve F işletmelerinin aktif karlılık oran değerlerinin analize dahil edilen tüm yıllarda pozitif gerçekleştiği görülmektedir. E işletmesinin aktif karlılık oranlarının ise tüm yıllar bağlamında negatif gerçekleştiği saptanmıştır. G işletmesinin aktif karlılık oran değerlerinin ise yıllara göre dalgalanma gösterdiği saptanmıştır. İşletmenin değerlerinin 2013, 2014 ve 2017 yıllarında negatif gerçekleştiği, buna karşın 2012, 2015 ve 2016 yıllarında pozitif gerçekleştiği saptanmıştır. </w:t>
      </w:r>
    </w:p>
    <w:p w:rsidR="00D64C6E" w:rsidRPr="00FA25AB" w:rsidRDefault="00D64C6E" w:rsidP="00D64C6E">
      <w:pPr>
        <w:spacing w:after="120"/>
        <w:jc w:val="both"/>
        <w:rPr>
          <w:rFonts w:eastAsia="Times New Roman" w:cs="Times New Roman"/>
          <w:szCs w:val="24"/>
          <w:lang w:eastAsia="tr-TR"/>
        </w:rPr>
      </w:pPr>
      <w:r w:rsidRPr="00FA25AB">
        <w:rPr>
          <w:rFonts w:eastAsia="Times New Roman" w:cs="Times New Roman"/>
          <w:szCs w:val="24"/>
          <w:lang w:eastAsia="tr-TR"/>
        </w:rPr>
        <w:t xml:space="preserve">H işletmesinin aktif karlılık oranlarının 2012, 2014 ve 2016 yıllarında negatif 2013, 2015 ve 2017 yıllarında ise pozitif gerçekleştiği görülmektedir. I işletmesinin yıllar bağlamında aktif karlılık oran değerleri incelendiğinde söz konusu oranın 2016 yılı dışındaki yıllarda pozitif gerçekleştiği görülmektedir. J işletmesinin aktif karlılık oranlarının ise 2017 yılı haricinde tüm yıllarda negatif gerçekleştiği görülmektedir. K işletmesinin aktif karlılık oran değerleri incelendiğinde ise işletmenin 2012 yılı dışındaki tüm yıllarında negatif değerlere sahip olduğu görülmektedir. </w:t>
      </w:r>
    </w:p>
    <w:p w:rsidR="00D64C6E" w:rsidRDefault="00D64C6E" w:rsidP="00D64C6E">
      <w:pPr>
        <w:spacing w:after="120"/>
        <w:jc w:val="both"/>
        <w:rPr>
          <w:rFonts w:eastAsia="Times New Roman" w:cs="Times New Roman"/>
          <w:szCs w:val="24"/>
          <w:lang w:eastAsia="tr-TR"/>
        </w:rPr>
      </w:pPr>
      <w:r w:rsidRPr="00FA25AB">
        <w:rPr>
          <w:rFonts w:eastAsia="Times New Roman" w:cs="Times New Roman"/>
          <w:szCs w:val="24"/>
          <w:lang w:eastAsia="tr-TR"/>
        </w:rPr>
        <w:t xml:space="preserve">Beaver’ın oranlarından üçüncüsü olan Toplam Borçlar/Toplam Varlıklar (Finansal Kaldıraç) oranı, işletmelerin varlıklarının yüzde kaçını yabancı kaynaklarla finanse ettiklerini ifade etmektedir. Bu oranın kredi verenler açısından düşük olması istenirken işletme yöneticileri tarafından kaldıraç etkisinden yararlanarak karlılığı arttırmak amacıyla yüksek olması istenebilmektedir. Gelişmiş ülkelerde söz konusu oranın %50’nin üstüne çıkılması istenen bir durum değildir (Elmas, 2015: 199). </w:t>
      </w:r>
    </w:p>
    <w:p w:rsidR="00D64C6E" w:rsidRDefault="00D64C6E" w:rsidP="00D64C6E">
      <w:pPr>
        <w:spacing w:after="120"/>
        <w:jc w:val="both"/>
        <w:rPr>
          <w:rFonts w:eastAsia="Times New Roman" w:cs="Times New Roman"/>
          <w:szCs w:val="24"/>
          <w:lang w:eastAsia="tr-TR"/>
        </w:rPr>
      </w:pPr>
      <w:r w:rsidRPr="00FA25AB">
        <w:rPr>
          <w:rFonts w:eastAsia="Times New Roman" w:cs="Times New Roman"/>
          <w:szCs w:val="24"/>
          <w:lang w:eastAsia="tr-TR"/>
        </w:rPr>
        <w:t xml:space="preserve">A işletmesinin finansal kaldıraç oranları tüm yıllar itibariyle pozitif bir tutum sergilemektedir. İşletme söz konusu varlıklarının çok düşük bir kısmını yabancı kaynaklarla finanse etmektedir. B işletmesinin ise sahip olduğu varlıkları yabancı kaynaklarla finanse etme durumunun yıllar itibariyle artış eğilimi gösterdiği belirlenmiştir. Ayrıca B işletmesinin 2017 yılında borç kullanmadığı  görülmektedir. C işletmesinin 2012-2016 yılları arasında finansal kaldıraç oranlarının yükselme eğilimi gösterdiği buna karşın 2017 yılında bu eğilimin düşme yönünde </w:t>
      </w:r>
      <w:r w:rsidRPr="00FA25AB">
        <w:rPr>
          <w:rFonts w:eastAsia="Times New Roman" w:cs="Times New Roman"/>
          <w:szCs w:val="24"/>
          <w:lang w:eastAsia="tr-TR"/>
        </w:rPr>
        <w:lastRenderedPageBreak/>
        <w:t xml:space="preserve">olduğu saptanmıştır. D işletmesinin finansal kaldıraç değerlerinin 2012 yılından 2015 yılına kadar düşüş, 2016 yılında artış gösterdiği ancak 2017 yılında tekrar düşüş gösterdiği görülmektedir. Ayrıca D işletmesinin 2017 yılında borç kullanmadığı  görülmektedir. E işletmesinin finansal kaldıraç oranlarının ise oldukça yüksek olduğu hatta 2014 ve 2017 yıllarında optimal düzeyin üstüne çıktığı saptanmıştır. Bu bağlamda söz konusu işletmenin durgunluk dönemlerinde yükümlülüklerini yerine getirme hususunda finansal açıdan sıkıntıya düşeceği söylenebilir. </w:t>
      </w:r>
    </w:p>
    <w:p w:rsidR="00D64C6E" w:rsidRDefault="00D64C6E" w:rsidP="00D64C6E">
      <w:pPr>
        <w:spacing w:after="120"/>
        <w:jc w:val="both"/>
        <w:rPr>
          <w:rFonts w:eastAsia="Times New Roman" w:cs="Times New Roman"/>
          <w:szCs w:val="24"/>
          <w:lang w:eastAsia="tr-TR"/>
        </w:rPr>
      </w:pPr>
      <w:r w:rsidRPr="00FA25AB">
        <w:rPr>
          <w:rFonts w:eastAsia="Times New Roman" w:cs="Times New Roman"/>
          <w:szCs w:val="24"/>
          <w:lang w:eastAsia="tr-TR"/>
        </w:rPr>
        <w:t xml:space="preserve">F işletmesinin finansal kaldıraç oranları incelendiğinde, tüm yıllar bağlamında genel olarak yabancı kaynak kullanımının azalma eğilimi gösterdiği görülmektedir. G işletmesinin finansal kaldıraç oranlarının ise 2016 yılına kadar optimum düzeyin oldukça üstünde gerçekleştiği buna karşın 2016 yılında bu oranın oldukça düştüğü ancak 2017 yılında tekrar optimum düzeyin üzerine çıktığı görülmektedir. </w:t>
      </w:r>
    </w:p>
    <w:p w:rsidR="00D64C6E" w:rsidRPr="00FA25AB" w:rsidRDefault="00D64C6E" w:rsidP="00D64C6E">
      <w:pPr>
        <w:spacing w:after="120"/>
        <w:jc w:val="both"/>
        <w:rPr>
          <w:rFonts w:eastAsia="Times New Roman" w:cs="Times New Roman"/>
          <w:szCs w:val="24"/>
          <w:lang w:eastAsia="tr-TR"/>
        </w:rPr>
      </w:pPr>
      <w:r w:rsidRPr="00FA25AB">
        <w:rPr>
          <w:rFonts w:eastAsia="Times New Roman" w:cs="Times New Roman"/>
          <w:szCs w:val="24"/>
          <w:lang w:eastAsia="tr-TR"/>
        </w:rPr>
        <w:t xml:space="preserve">H işletmesinin değerleri incelendiğinde, yıllar itibariyle dalgalı bir seyir izlediği görülmüştür. 2016 yılına kadar tüm yıllarda ve 2017 yılında optimal düzeyin altında iken 2016 yılında optimal düzeyin üzerine çıktığı görülmektedir. I işletmesinin değerlerinin yıllar itibariyle artış gösterdiği ancak optimal düzeyin altında olduğu görülmektedir.  J işletmesinin değerleri incelendiğinde, tüm yıllar itibariyle artış eğilimi gösterdiği ve 2014 yılında ise standart değerin üzerine çıktığı saptanmıştır. K işletmesinin finansal kaldıraç oranları değerlendirildiğinde tüm yıllar bağlamında artış gösterdiği ancak optimum düzeyin altında gerçekleştiği görülmektedir. </w:t>
      </w:r>
    </w:p>
    <w:p w:rsidR="00D64C6E" w:rsidRPr="00FA25AB" w:rsidRDefault="00D64C6E" w:rsidP="00D64C6E">
      <w:pPr>
        <w:spacing w:after="120"/>
        <w:jc w:val="both"/>
        <w:rPr>
          <w:rFonts w:eastAsia="Times New Roman" w:cs="Times New Roman"/>
          <w:strike/>
          <w:szCs w:val="24"/>
          <w:lang w:eastAsia="tr-TR"/>
        </w:rPr>
      </w:pPr>
      <w:r w:rsidRPr="00FA25AB">
        <w:rPr>
          <w:rFonts w:eastAsia="Times New Roman" w:cs="Times New Roman"/>
          <w:szCs w:val="24"/>
          <w:lang w:eastAsia="tr-TR"/>
        </w:rPr>
        <w:t>Beaver’ın oranlarından dördüncüsü olan Net Çalışma Sermayesi/Toplam Varlıklar oranı incelendiğinde, A, E, H ve K işletmelerinin faaliyetlerine devam etmek için ihtiyaç duyduğu net işletme sermaye tutarlarının aktifler içindeki yüzdesinin tüm yıllarda negatif olarak gerçekleştiği gözlemlenmiştir. Bu durum işletmelerin duran varlıklarının bir kıs</w:t>
      </w:r>
      <w:r w:rsidRPr="00FA25AB">
        <w:rPr>
          <w:rFonts w:eastAsia="Times New Roman" w:cs="Times New Roman"/>
          <w:color w:val="000000"/>
          <w:szCs w:val="24"/>
          <w:lang w:eastAsia="tr-TR"/>
        </w:rPr>
        <w:t xml:space="preserve">mını </w:t>
      </w:r>
      <w:r w:rsidRPr="00FA25AB">
        <w:rPr>
          <w:rFonts w:eastAsia="Times New Roman" w:cs="Times New Roman"/>
          <w:szCs w:val="24"/>
          <w:lang w:eastAsia="tr-TR"/>
        </w:rPr>
        <w:t xml:space="preserve">da kısa vadeli yabancı kaynaklarla finanse ettiğini göstermektedir.  C, D, F, G ve I işletmelerinin ise analize dahil olan tüm yıllarda net çalışma sermayesi/toplam varlıklar oranın pozitif olduğu saptanmıştır. B ve J işletmelerinin ise net çalışma sermayesi/toplam varlıklar oranlarının analiz döneminde dalgalı bir seyir izlediği görülmektedir. </w:t>
      </w:r>
    </w:p>
    <w:p w:rsidR="00D64C6E" w:rsidRDefault="00D64C6E" w:rsidP="00D64C6E">
      <w:pPr>
        <w:spacing w:after="120"/>
        <w:jc w:val="both"/>
        <w:rPr>
          <w:rFonts w:eastAsia="Times New Roman" w:cs="Times New Roman"/>
          <w:szCs w:val="24"/>
          <w:lang w:eastAsia="tr-TR"/>
        </w:rPr>
      </w:pPr>
      <w:r w:rsidRPr="00FA25AB">
        <w:rPr>
          <w:rFonts w:eastAsia="Times New Roman" w:cs="Times New Roman"/>
          <w:szCs w:val="24"/>
          <w:lang w:eastAsia="tr-TR"/>
        </w:rPr>
        <w:t xml:space="preserve">Beaver’ın oranlarından beşincisi olan Dönen Varlıklar/Kısa Vadeli Yabancı Kaynaklar oranı (Cari Oran), bir işletmenin sahip olduğu dönen varlıklarla kısa vadeli borçlarını karşılamadaki gücünü ölçmektedir. Oranın imalat işletmeleri açısından 2 olması beklenirken ağırlama işletmelerinde alacaklar ve stokların görece az olması ve paraya çevrilme hızlarının fazla olması sebebiyle en az 1 olması yeterli görülmektedir (Met, 2013: 70). A işletmesinin cari oran değerlerine bakıldığında, işletmenin tüm yıllar genelinde kısa vadeli borçlarını dönen </w:t>
      </w:r>
      <w:r w:rsidRPr="00FA25AB">
        <w:rPr>
          <w:rFonts w:eastAsia="Times New Roman" w:cs="Times New Roman"/>
          <w:szCs w:val="24"/>
          <w:lang w:eastAsia="tr-TR"/>
        </w:rPr>
        <w:lastRenderedPageBreak/>
        <w:t xml:space="preserve">varlıklarıyla karşılayamadıkları söylenebilir. B işletmesinin değerlerine bakıldığında, 2014 haricindeki tüm yıllarda optimum düzeyin altında kaldığını ancak 2014 yılında ise söz konusu oran standardının oldukça üzerinde olduğu saptanmıştır. Dolayısıyla işletmenin o yıl için sahip olduğu varlıkları atıl tuttuğu gözlemlenmektedir. C işletmesinin cari oranları incelendiğinde, işletmenin tüm yıllar bağlamında değerlerinin optimum düzeyin üzerinde gerçekleştiği ve varlıklarını atıl durumda tuttuğu görülmektedir. </w:t>
      </w:r>
    </w:p>
    <w:p w:rsidR="00D64C6E" w:rsidRDefault="00D64C6E" w:rsidP="00D64C6E">
      <w:pPr>
        <w:spacing w:after="120"/>
        <w:jc w:val="both"/>
        <w:rPr>
          <w:rFonts w:eastAsia="Times New Roman" w:cs="Times New Roman"/>
          <w:szCs w:val="24"/>
          <w:lang w:eastAsia="tr-TR"/>
        </w:rPr>
      </w:pPr>
      <w:r w:rsidRPr="00FA25AB">
        <w:rPr>
          <w:rFonts w:eastAsia="Times New Roman" w:cs="Times New Roman"/>
          <w:szCs w:val="24"/>
          <w:lang w:eastAsia="tr-TR"/>
        </w:rPr>
        <w:t xml:space="preserve">D işletmesinin cari oranlarının ise analiz döneminde standardın oldukça üstünde gerçekleştiği görülmektedir. Bu bağlamda işletmenin fonlarını atıl tuttuğu ve kaynaklarını etkin kullanmadığı söylenebilir. E işletmesinin değerleri incelendiğinde, tüm yıllar için optimum düzeyin altında kaldığı ve sahip olduğu varlıklarla kısa vadeli yabancı kaynaklarını karşılama hususunda yetersiz olduğu görülmektedir. F işletmesinin 2012-2017 yılları arasındaki değerlerine göre işletmenin oranlarının standardının üstünde seyir izlediği görülmektedir. G işletmesinin cari oranlarına göre işletmenin tüm yıllarda optimum düzeyin üzerinde olduğu ve kaynaklarını verimli kullanmadığı söylenebilir. </w:t>
      </w:r>
    </w:p>
    <w:p w:rsidR="00D64C6E" w:rsidRPr="00FA25AB" w:rsidRDefault="00D64C6E" w:rsidP="00D64C6E">
      <w:pPr>
        <w:spacing w:after="120"/>
        <w:jc w:val="both"/>
        <w:rPr>
          <w:rFonts w:eastAsia="Times New Roman" w:cs="Times New Roman"/>
          <w:szCs w:val="24"/>
          <w:lang w:eastAsia="tr-TR"/>
        </w:rPr>
      </w:pPr>
      <w:r w:rsidRPr="00FA25AB">
        <w:rPr>
          <w:rFonts w:eastAsia="Times New Roman" w:cs="Times New Roman"/>
          <w:szCs w:val="24"/>
          <w:lang w:eastAsia="tr-TR"/>
        </w:rPr>
        <w:t xml:space="preserve">H işletmesinin cari oranları incelendiğinde, tüm yıllar için standardın altında olduğu saptanmıştır. İşletmenin vadesi gelen kısa vadeli yükümlülüklerini yerine getirmede sıkıntıya düşeceği söylenebilmektedir. I işletmesinin değerleri incelendiğinde, tüm yıllar bağlamında optimum düzeyin üzerinde olduğu ancak 2016 ve 2017 yıllarında cari oran değerinin düştüğü görülmektedir. J işletmesinin cari oranlarına göre 2012, 2014, 2015 ve 2017 yıllarında optimum düzeyin üzerindeyken 2013 ve 2016 yıllarında optimum düzeyin altına düştüğü gözlemlenmiştir. K işletmesinin değerlerine göre tüm yıllar bağlamında değerlerin standardın altında olduğu ve kısa vadeli yükümlülüklerini yerine getirme hususunda sıkıntı yaşayabileceği söylenebilmektedir. </w:t>
      </w:r>
    </w:p>
    <w:p w:rsidR="00D64C6E" w:rsidRDefault="00D64C6E" w:rsidP="00D64C6E">
      <w:pPr>
        <w:spacing w:after="120"/>
        <w:jc w:val="both"/>
        <w:rPr>
          <w:rFonts w:eastAsia="Times New Roman" w:cs="Times New Roman"/>
          <w:szCs w:val="24"/>
          <w:lang w:eastAsia="tr-TR"/>
        </w:rPr>
      </w:pPr>
      <w:r w:rsidRPr="00FA25AB">
        <w:rPr>
          <w:rFonts w:eastAsia="Times New Roman" w:cs="Times New Roman"/>
          <w:szCs w:val="24"/>
          <w:lang w:eastAsia="tr-TR"/>
        </w:rPr>
        <w:t xml:space="preserve">Beaver’ın oranlarından sonuncusu olan Net Çalışma Sermayesi/Faaliyet Giderleri oranı, bir işletmenin sahip olduğu net çalışma sermayesiyle faaliyet giderlerini kaç kere ödeyebileceğini göstermektedir. </w:t>
      </w:r>
      <w:r w:rsidRPr="005D18B4">
        <w:rPr>
          <w:rFonts w:eastAsia="Times New Roman" w:cs="Times New Roman"/>
          <w:szCs w:val="24"/>
          <w:lang w:eastAsia="tr-TR"/>
        </w:rPr>
        <w:t xml:space="preserve">A, </w:t>
      </w:r>
      <w:r w:rsidRPr="00FA25AB">
        <w:rPr>
          <w:rFonts w:eastAsia="Times New Roman" w:cs="Times New Roman"/>
          <w:szCs w:val="24"/>
          <w:lang w:eastAsia="tr-TR"/>
        </w:rPr>
        <w:t xml:space="preserve">E, H ve K işletmelerinin net çalışma sermayesi/faaliyet giderleri oranlarının analize dahil edilen tüm yıllar için negatif gerçekleştiği saptanmıştır. Dolayısıyla bu işletmelerin net çalışma sermayeleriyle faaliyet giderlerini karşılayamadıkları söylenebilir. B işletmesinin değerleri incelendiğinde, 2014 yılı haricinde negatif değerlere sahip olduğu ve yine 2014 yılı haricinde net çalışma sermayesiyle faaliyet giderlerini karşılayamadığı görülmektedir. J işletmesinin net çalışma sermayesi/faaliyet giderleri oran değerleri incelendiğinde, söz konusu oranların 2013 ve 2016 yıllarında negatif gerçekleştiği buna karşın 2012, 2014, 2015 ve 2017 yıllarında pozitif gerçekleştiği görülmektedir. C, D, F, G ve I işletmelerinin değerleri </w:t>
      </w:r>
      <w:r w:rsidRPr="00FA25AB">
        <w:rPr>
          <w:rFonts w:eastAsia="Times New Roman" w:cs="Times New Roman"/>
          <w:szCs w:val="24"/>
          <w:lang w:eastAsia="tr-TR"/>
        </w:rPr>
        <w:lastRenderedPageBreak/>
        <w:t xml:space="preserve">incelendiğinde, analize dahil edilen tüm yıllarda elde edilen net çalışma sermayesi faaliyet giderleri oranlarının pozitif olduğu görülmektedir. </w:t>
      </w:r>
    </w:p>
    <w:p w:rsidR="00D64C6E" w:rsidRPr="00FA25AB" w:rsidRDefault="00D64C6E" w:rsidP="00D64C6E">
      <w:pPr>
        <w:spacing w:after="120"/>
        <w:jc w:val="both"/>
        <w:rPr>
          <w:rFonts w:eastAsia="Times New Roman" w:cs="Times New Roman"/>
          <w:szCs w:val="24"/>
          <w:lang w:eastAsia="tr-TR"/>
        </w:rPr>
      </w:pPr>
    </w:p>
    <w:p w:rsidR="00D64C6E" w:rsidRPr="00D64C6E" w:rsidRDefault="00D64C6E" w:rsidP="00D64C6E">
      <w:pPr>
        <w:keepNext/>
        <w:suppressAutoHyphens/>
        <w:spacing w:after="120"/>
        <w:jc w:val="both"/>
        <w:rPr>
          <w:rFonts w:eastAsia="SimSun" w:cs="Times New Roman"/>
          <w:b/>
          <w:szCs w:val="24"/>
        </w:rPr>
      </w:pPr>
      <w:r w:rsidRPr="00D64C6E">
        <w:rPr>
          <w:rFonts w:eastAsia="SimSun" w:cs="Times New Roman"/>
          <w:b/>
          <w:szCs w:val="24"/>
        </w:rPr>
        <w:t>SONUÇ</w:t>
      </w:r>
    </w:p>
    <w:p w:rsidR="00D64C6E" w:rsidRPr="00FA25AB" w:rsidRDefault="00D64C6E" w:rsidP="00D64C6E">
      <w:pPr>
        <w:spacing w:after="120"/>
        <w:jc w:val="both"/>
        <w:rPr>
          <w:rFonts w:eastAsia="Times New Roman" w:cs="Times New Roman"/>
          <w:szCs w:val="24"/>
          <w:lang w:eastAsia="tr-TR"/>
        </w:rPr>
      </w:pPr>
      <w:r w:rsidRPr="00FA25AB">
        <w:rPr>
          <w:rFonts w:eastAsia="Times New Roman" w:cs="Times New Roman"/>
          <w:szCs w:val="24"/>
          <w:lang w:eastAsia="tr-TR"/>
        </w:rPr>
        <w:t>İşletmelerin, teoride sınırsız olarak kabul edilen ömürlerini devam ettirebilmeleri için işletmelerin amaçları doğrultusunda belirledikleri kara ulaşabilmeleri ve bu kar düzeyini sürdürülebilirlik temelinde korumaları gerekmektedir. Günümüzde teknoloji, ulaşım, harcanabilir gelir ve boş zamanın artması sonucunda çok hızlı bir şekilde büyüyen turizm sektörü, Birleşmiş Milletler Dünya Turizm Örgütü’ne göre yarattığı istihdam, hizmet verdiği insan sayısı, yarattığı gelir ve katma değerle dünyanın en büyük sektörü haline gelmiştir (Kandır, Karadeniz, Özmen ve Önal: 2008). Turizm sektörünün en önemli aktörlerinden biri olan konaklama işletmeleri hem kuruluş hem de işletme aşamasında yüksek sermaye yatırımı gerektirmekte ve hem küresel, hem ulusal hem de sektörel gelişmeler finansal performansı olumsuz etkileyebilmektedir. Bu açıdan konaklama işletmelerinin varlıklarını sürdürebilirlik ilkesi çerçevesinde devam ettirmeleri için güçlü bir finansal yapıya sahip olmaları gerekmektedir. Bu bağlamda finansal başarısızlık ve iflas riskinin konaklama işletmeleri açısından da ölçülmesi ve yönetilmesi önem arz etmektedir.</w:t>
      </w:r>
    </w:p>
    <w:p w:rsidR="00D64C6E" w:rsidRPr="00FA25AB" w:rsidRDefault="00D64C6E" w:rsidP="00D64C6E">
      <w:pPr>
        <w:spacing w:after="120"/>
        <w:jc w:val="both"/>
        <w:rPr>
          <w:rFonts w:eastAsia="Times New Roman" w:cs="Times New Roman"/>
          <w:szCs w:val="24"/>
          <w:lang w:eastAsia="tr-TR"/>
        </w:rPr>
      </w:pPr>
      <w:r w:rsidRPr="00FA25AB">
        <w:rPr>
          <w:rFonts w:eastAsia="Times New Roman" w:cs="Times New Roman"/>
          <w:szCs w:val="24"/>
          <w:lang w:eastAsia="tr-TR"/>
        </w:rPr>
        <w:t xml:space="preserve">Bu çalışmada, Borsa İstanbul’da işlem gören konaklama işletmelerinde finansal başarısızlık riski Beaver modeliyle ölçülmeye çalışılmıştır. Bu amaçla Borsa İstanbul’da işlem gören 11 konaklama işletmesinin 2012-2017 yıllarına ait finansal tabloları incelenmiştir. Çalışmada elde edilen analiz sonuçlarına göre çalışmaya dahil edilen konaklama işletmelerinin Nakit Akışı/Toplam Borçlar oranları incelendiğinde, analize dahil edilen 11 işletmeden sadece 1 tanesinin (C işletmesi) tüm yıllarda durumunun iyi olduğu ve faaliyetlerinden elde edilen nakitlerle yükümlülüklerini karşılayabildiği; E işletmesinin her yılda optimum düzeyin altında olduğu faaliyetlerinden elde edilen nakitlerle yükümlülüklerini karşılayamadığı; A, G ve D işletmelerinin sadece birer yıl optimum düzeyin altına düştüğü ancak D işletmesinin 2017 yılı değerinin hesaplanamadığı ve B, F, H, I, J ve K işletmelerinin dalgalı bir seyir izlediği ancak genel olarak istenilen düzeyin altında olduğu ve B işletmesinin 2017 yılı değerinin hesaplanamadığı saptanmıştır. Oranın istenilen düzeyin altında olması, işletmelerin yükümlülüklerini karşılamada yetersiz olduğunu göstermektedir. Beaver modelinde Nakit Akışı/Toplam Borçlar oranı, işletmelerin finansal başarısızlıklarını ölçmede en etkili oran olarak vurgulanmaktadır. Bu nedenle söz konusu oran bağlamında genel olarak BIST konaklama işletmelerinin finansal performanslarının çok iyi olmadığını söylemek mümkündür. </w:t>
      </w:r>
      <w:r w:rsidRPr="00FA25AB">
        <w:rPr>
          <w:rFonts w:eastAsia="Times New Roman" w:cs="Times New Roman"/>
          <w:szCs w:val="24"/>
          <w:lang w:eastAsia="tr-TR"/>
        </w:rPr>
        <w:lastRenderedPageBreak/>
        <w:t>Dolayısıyla konaklama işletmelerine; özellikle işletme faaliyetlerinden pozitif bir nakit akışı yaratmaları ve cirodan ziyade kar ve nakit girişlerini arttırmaya yönelik politikalar geliştirmeleri önerilebilir.</w:t>
      </w:r>
    </w:p>
    <w:p w:rsidR="00D64C6E" w:rsidRPr="00FA25AB" w:rsidRDefault="00D64C6E" w:rsidP="00D64C6E">
      <w:pPr>
        <w:spacing w:after="120"/>
        <w:jc w:val="both"/>
        <w:rPr>
          <w:rFonts w:eastAsia="Times New Roman" w:cs="Times New Roman"/>
          <w:szCs w:val="24"/>
          <w:lang w:eastAsia="tr-TR"/>
        </w:rPr>
      </w:pPr>
      <w:r w:rsidRPr="00FA25AB">
        <w:rPr>
          <w:rFonts w:eastAsia="Times New Roman" w:cs="Times New Roman"/>
          <w:szCs w:val="24"/>
          <w:lang w:eastAsia="tr-TR"/>
        </w:rPr>
        <w:t>Aktif karlılık oranına göre C, D ve F işletmelerinin verileri tüm yıllarda pozitif ve işletmelerin karlılık durumlarının iyi olduğu; E işletmesinin verilerinin tüm yıllarda negatif olduğu ve karlılığının yetersiz olduğu; B, G ve H işletmelerinin yıllar bağlamında dalgalı bir seyir izlediği görülmektedir. J, A, I ve K işletmelerinin yalnızca birer yıllarında pozitif değerde olduğu geriye kalan yıllarda negatif değerde olduğu sonucuna ulaşılmıştır. Bu oran bağlamında analize dahil edilen konaklama işletmelerinin büyük çoğunluğunun sıkıntılar yaşadığı görülmektedir. Dolayısıyla konaklama işletmelerine; maliyet ve gider kontrolünün daha etkin yapılması, fiyatlama stratejilerinin iyi belirlenmesi ve aktif büyüklüğünün optimal düzeyde tutulması önerilebilir.</w:t>
      </w:r>
    </w:p>
    <w:p w:rsidR="00D64C6E" w:rsidRPr="00FA25AB" w:rsidRDefault="00D64C6E" w:rsidP="00D64C6E">
      <w:pPr>
        <w:spacing w:after="120"/>
        <w:jc w:val="both"/>
        <w:rPr>
          <w:rFonts w:eastAsia="Times New Roman" w:cs="Times New Roman"/>
          <w:szCs w:val="24"/>
          <w:lang w:eastAsia="tr-TR"/>
        </w:rPr>
      </w:pPr>
      <w:r w:rsidRPr="00FA25AB">
        <w:rPr>
          <w:rFonts w:eastAsia="Times New Roman" w:cs="Times New Roman"/>
          <w:szCs w:val="24"/>
          <w:lang w:eastAsia="tr-TR"/>
        </w:rPr>
        <w:t xml:space="preserve"> Finansal kaldıraç oranına göre söz konusu oranın %50’nin üstüne çıkılması istenen bir durum değildir ve analize dahil edilen işletmelerin genelinin istenilen optimum düzeyin altında olduğu; E, G, H ve J işletmelerinin son yıllarında istenilen düzeyin üstünde borçlanma gerçekleştirdiği söylenebilir. Bu bağlamda konaklama işletmelerinin finansal kaldıraç düzeylerini genel olarak etkin bir şekilde yönetmeye çalıştıkları görülmektedir. Finansal kaldıraç oranının optimum düzeyden yüksek olan işletmelerin ise finansal kaldıraç düzeylerini daha etkin kullanmaya çalışmalarının,  sabit varlıklarının vadelerine uygun olan leasing gibi finansman kaynakları seçmelerinin ve satışlardaki belirsizlik nedeniyle olabildiğince özkaynaklardan yararlanmalarının konaklama işletmelerinin finansal risklerinin azaltılması bağlamında yarar sağlayacağı düşünülmektedir. </w:t>
      </w:r>
    </w:p>
    <w:p w:rsidR="00D64C6E" w:rsidRPr="00FA25AB" w:rsidRDefault="00D64C6E" w:rsidP="00D64C6E">
      <w:pPr>
        <w:spacing w:after="120"/>
        <w:jc w:val="both"/>
        <w:rPr>
          <w:rFonts w:eastAsia="Times New Roman" w:cs="Times New Roman"/>
          <w:szCs w:val="24"/>
          <w:lang w:eastAsia="tr-TR"/>
        </w:rPr>
      </w:pPr>
      <w:r w:rsidRPr="00FA25AB">
        <w:rPr>
          <w:rFonts w:eastAsia="Times New Roman" w:cs="Times New Roman"/>
          <w:szCs w:val="24"/>
          <w:lang w:eastAsia="tr-TR"/>
        </w:rPr>
        <w:t>Konaklama işletmelerinin cari oranları incelendiğinde, A, E, H ve K işletmelerinin kısa vadeli yükümlülüklerini karşılayamadıklarını,  B ve J işletmelerinin dalgalı seyir izlediklerini ve C, D, F, I ve G işletmelerinin cari oran değerlerinin istenilen düzeyin üzerinde olduğu saptanmıştır. Bu bağlamda analize dahil edilen konaklama işletmelerinde dönen varlıkların ve bu varlıkların finansmanında kullanılan kısa vadeli yabancı kaynak kompozisyonunun likidite, kur ve faiz risklerine uygun olarak belirlenmesinin önemli olacağı düşünülmektedir.</w:t>
      </w:r>
    </w:p>
    <w:p w:rsidR="00D64C6E" w:rsidRPr="00FA25AB" w:rsidRDefault="00D64C6E" w:rsidP="00D64C6E">
      <w:pPr>
        <w:spacing w:after="120"/>
        <w:jc w:val="both"/>
        <w:rPr>
          <w:rFonts w:eastAsia="Times New Roman" w:cs="Times New Roman"/>
          <w:szCs w:val="24"/>
          <w:lang w:eastAsia="tr-TR"/>
        </w:rPr>
      </w:pPr>
      <w:r w:rsidRPr="00FA25AB">
        <w:rPr>
          <w:rFonts w:eastAsia="Times New Roman" w:cs="Times New Roman"/>
          <w:szCs w:val="24"/>
          <w:lang w:eastAsia="tr-TR"/>
        </w:rPr>
        <w:t xml:space="preserve">Net Çalışma Sermayesi/Toplam Varlıklar oranı incelendiğinde, A, E, H ve K işletmelerinin faaliyetlerine devam etmek için ihtiyaç duyduğu net işletme sermaye tutarlarının aktifler içindeki yüzdesinin tüm yıllarda negatif; C, D, F, G ve I işletmelerinin ise pozitif gerçekleştiği ancak oranların çok yüksek olmadığı saptanmıştır. B ve J işletmelerinin ise yıllar itibariyle dalgalı bir seyir izledikleri saptanmıştır. Bahsedilen oranın düşük olması işletmelerin duran </w:t>
      </w:r>
      <w:r w:rsidRPr="00FA25AB">
        <w:rPr>
          <w:rFonts w:eastAsia="Times New Roman" w:cs="Times New Roman"/>
          <w:szCs w:val="24"/>
          <w:lang w:eastAsia="tr-TR"/>
        </w:rPr>
        <w:lastRenderedPageBreak/>
        <w:t>varlıklarının bir kısmı da kısa vadeli yabancı kaynaklarla finanse ettiğini göstermektedir ve bu durum işletmelerin günlük faaliyetlerin sürdürülebilirliğini ve likiditesini etkilemektedir. Bu bağlamda konaklama işletmelerine, dönen varlıklarının vadelerine uygun finansman kaynakları bulmaları, diğer bir ifadeyle minimum finansman dengesini gözetmeleri ayrıca aşırı varlık yatırımlarından kaçınmaları önerilebilir.</w:t>
      </w:r>
    </w:p>
    <w:p w:rsidR="00D64C6E" w:rsidRPr="00FA25AB" w:rsidRDefault="00D64C6E" w:rsidP="00D64C6E">
      <w:pPr>
        <w:spacing w:after="120"/>
        <w:jc w:val="both"/>
        <w:rPr>
          <w:rFonts w:eastAsia="Times New Roman" w:cs="Times New Roman"/>
          <w:szCs w:val="24"/>
          <w:lang w:eastAsia="tr-TR"/>
        </w:rPr>
      </w:pPr>
      <w:r w:rsidRPr="00FA25AB">
        <w:rPr>
          <w:rFonts w:eastAsia="Times New Roman" w:cs="Times New Roman"/>
          <w:szCs w:val="24"/>
          <w:lang w:eastAsia="tr-TR"/>
        </w:rPr>
        <w:t>Net Çalışma Sermayesi/Faaliyet Giderleri oranına ait değerler incelendiğinde; A, E, H ve K işletmelerinin negatif değerlere sahip olduğu ve bu işletmelerin faaliyet giderlerini karşılamada yetersiz oldukları saptanmıştır.  C, D, F, G ve I işletmelerinin değerlerinin ise pozitif olduğu ve bu işletmelerin net çalışma sermayeleriyle faaliyet giderlerini karşılayabildikleri belirlenmiştir. B ve J işletmelerinin de dalgalı bir seyir izledikleri ancak genel olarak negatif değerlere sahip oldukları sonucuna ulaşılmıştır. Burada da konaklama işletmelerine dönen varlıklarının finansmanında minimum finansman dengesini gözetmeleri ve bu bağlamda risk ve karlılık arasında sektörel gelişmelere bağlı olarak bir denge kurmaları önerilebilir. Ayrıca faaliyet giderlerini de (genel yönetim giderleri, satış pazarlama ve dağıtım giderleri gibi) kontrol altında tutmalarının önemli yararlar sağlayacağı düşünülmektedir.</w:t>
      </w:r>
    </w:p>
    <w:p w:rsidR="00D64C6E" w:rsidRPr="00FA25AB" w:rsidRDefault="00D64C6E" w:rsidP="00D64C6E">
      <w:pPr>
        <w:spacing w:after="120"/>
        <w:jc w:val="both"/>
        <w:rPr>
          <w:rFonts w:eastAsia="Times New Roman" w:cs="Times New Roman"/>
          <w:szCs w:val="24"/>
          <w:lang w:eastAsia="tr-TR"/>
        </w:rPr>
      </w:pPr>
      <w:r w:rsidRPr="00FA25AB">
        <w:rPr>
          <w:rFonts w:eastAsia="Times New Roman" w:cs="Times New Roman"/>
          <w:szCs w:val="24"/>
          <w:lang w:eastAsia="tr-TR"/>
        </w:rPr>
        <w:t xml:space="preserve">Konuyla ilgili literatür bağlamında konaklama işletmelerinin finansal başarısızlık risklerini ölçen kısıtlı sayıda çalışmaya ulaşılmış ancak Beaver modelini kullanarak BIST Konaklama işletmelerinde finansal başarısızlık riskini ölçen bir çalışmaya tarafımızca rastlanmamıştır. Bu kapsamda çalışma sonuçlarının literatüre katkı sağlayacağı düşünülmektedir. Ayrıca Türkiye’deki konaklama işletmeleri bağlamında Beaver modelinin finansal başarısızlık riskinin belirlenmesi açısından nasıl kullanılacağıyla ilgili yatırımcılara ve yöneticilere yararlı bilgiler sunacağı düşünülmektedir. Analizde sadece BIST’te işlem gören halka açık 11 konaklama işletmesinin olması, halka açık olmayan işletmelerden veri elde edilememesi ve zaman sınırının olması çalışmanın kısıtlarını oluşturmaktadır. Ayrıca konaklama işletmelerinin faaliyet alanlarının hepsinin konaklama olmakla birlikte yan faaliyet alanlarının da olduğu (yat marina işletmeciliği, alışveriş, ulaştırma gibi) göz ardı edilememelidir. Gelecekte yapılacak çalışmalarda Türkiye’deki borsada işlem görmeyen konaklama işletmelerinin ve dünyadaki diğer konaklama işletmelerini de dahil ederek daha geniş örneklemi içeren çalışmaların yapılmasının daha genelleştirilebilir sonuçlara ulaşmada faydalı olacağı tarafımızca düşünülmektedir. </w:t>
      </w:r>
    </w:p>
    <w:p w:rsidR="00D64C6E" w:rsidRPr="005D18B4" w:rsidRDefault="00D64C6E" w:rsidP="00D64C6E">
      <w:pPr>
        <w:keepNext/>
        <w:suppressAutoHyphens/>
        <w:spacing w:after="120"/>
        <w:rPr>
          <w:rFonts w:eastAsia="SimSun" w:cs="Times New Roman"/>
          <w:b/>
          <w:szCs w:val="24"/>
        </w:rPr>
      </w:pPr>
    </w:p>
    <w:p w:rsidR="00D64C6E" w:rsidRPr="00D64C6E" w:rsidRDefault="00D64C6E" w:rsidP="00D64C6E">
      <w:pPr>
        <w:keepNext/>
        <w:suppressAutoHyphens/>
        <w:spacing w:after="120"/>
        <w:rPr>
          <w:rFonts w:eastAsia="SimSun" w:cs="Times New Roman"/>
          <w:b/>
          <w:szCs w:val="24"/>
        </w:rPr>
      </w:pPr>
      <w:r w:rsidRPr="00D64C6E">
        <w:rPr>
          <w:rFonts w:eastAsia="SimSun" w:cs="Times New Roman"/>
          <w:b/>
          <w:szCs w:val="24"/>
        </w:rPr>
        <w:t>KAYNAKÇA</w:t>
      </w:r>
    </w:p>
    <w:p w:rsidR="00D64C6E" w:rsidRPr="00FA25AB" w:rsidRDefault="00D64C6E" w:rsidP="00D64C6E">
      <w:pPr>
        <w:shd w:val="clear" w:color="auto" w:fill="FFFFFF"/>
        <w:spacing w:after="120"/>
        <w:jc w:val="both"/>
        <w:rPr>
          <w:rFonts w:eastAsia="Times New Roman" w:cs="Times New Roman"/>
          <w:color w:val="000000"/>
          <w:szCs w:val="24"/>
          <w:shd w:val="clear" w:color="auto" w:fill="FFFFFF"/>
          <w:lang w:eastAsia="tr-TR"/>
        </w:rPr>
      </w:pPr>
      <w:r w:rsidRPr="00FA25AB">
        <w:rPr>
          <w:rFonts w:eastAsia="Times New Roman" w:cs="Times New Roman"/>
          <w:color w:val="000000"/>
          <w:szCs w:val="24"/>
          <w:shd w:val="clear" w:color="auto" w:fill="FFFFFF"/>
          <w:lang w:eastAsia="tr-TR"/>
        </w:rPr>
        <w:t xml:space="preserve">Aksu, A. (2000). Otel işletmelerinin başarısını etkileyen dış çevre faktörleri. </w:t>
      </w:r>
      <w:r w:rsidRPr="00FA25AB">
        <w:rPr>
          <w:rFonts w:eastAsia="Times New Roman" w:cs="Times New Roman"/>
          <w:i/>
          <w:color w:val="000000"/>
          <w:szCs w:val="24"/>
          <w:shd w:val="clear" w:color="auto" w:fill="FFFFFF"/>
          <w:lang w:eastAsia="tr-TR"/>
        </w:rPr>
        <w:t>Balıkesir Üniversitesi Sosyal Bilimler Dergisi,</w:t>
      </w:r>
      <w:r w:rsidRPr="00FA25AB">
        <w:rPr>
          <w:rFonts w:eastAsia="Times New Roman" w:cs="Times New Roman"/>
          <w:color w:val="000000"/>
          <w:szCs w:val="24"/>
          <w:shd w:val="clear" w:color="auto" w:fill="FFFFFF"/>
          <w:lang w:eastAsia="tr-TR"/>
        </w:rPr>
        <w:t xml:space="preserve"> 3(4), 269-281.</w:t>
      </w:r>
    </w:p>
    <w:p w:rsidR="00D64C6E" w:rsidRPr="00FA25AB" w:rsidRDefault="00D64C6E" w:rsidP="00D64C6E">
      <w:pPr>
        <w:shd w:val="clear" w:color="auto" w:fill="FFFFFF"/>
        <w:spacing w:after="120"/>
        <w:jc w:val="both"/>
        <w:rPr>
          <w:rFonts w:eastAsia="Times New Roman" w:cs="Times New Roman"/>
          <w:color w:val="000000"/>
          <w:szCs w:val="24"/>
          <w:shd w:val="clear" w:color="auto" w:fill="FFFFFF"/>
          <w:lang w:eastAsia="tr-TR"/>
        </w:rPr>
      </w:pPr>
      <w:r w:rsidRPr="00FA25AB">
        <w:rPr>
          <w:rFonts w:eastAsia="Times New Roman" w:cs="Times New Roman"/>
          <w:color w:val="000000"/>
          <w:szCs w:val="24"/>
          <w:shd w:val="clear" w:color="auto" w:fill="FFFFFF"/>
          <w:lang w:eastAsia="tr-TR"/>
        </w:rPr>
        <w:t xml:space="preserve">Aktaş, R. (1991). </w:t>
      </w:r>
      <w:r w:rsidRPr="00FA25AB">
        <w:rPr>
          <w:rFonts w:eastAsia="Times New Roman" w:cs="Times New Roman"/>
          <w:i/>
          <w:color w:val="000000"/>
          <w:szCs w:val="24"/>
          <w:shd w:val="clear" w:color="auto" w:fill="FFFFFF"/>
          <w:lang w:eastAsia="tr-TR"/>
        </w:rPr>
        <w:t>Endüstri işletmeleri için mali başarısızlık tahmini (Çok boyutlu model uygulaması).</w:t>
      </w:r>
      <w:r w:rsidRPr="00FA25AB">
        <w:rPr>
          <w:rFonts w:eastAsia="Times New Roman" w:cs="Times New Roman"/>
          <w:color w:val="000000"/>
          <w:szCs w:val="24"/>
          <w:shd w:val="clear" w:color="auto" w:fill="FFFFFF"/>
          <w:lang w:eastAsia="tr-TR"/>
        </w:rPr>
        <w:t xml:space="preserve"> Yayımlanmamış doktora tezi, Ankara Üniversitesi: Ankara.</w:t>
      </w:r>
    </w:p>
    <w:p w:rsidR="00D64C6E" w:rsidRPr="00FA25AB" w:rsidRDefault="00D64C6E" w:rsidP="00D64C6E">
      <w:pPr>
        <w:shd w:val="clear" w:color="auto" w:fill="FFFFFF"/>
        <w:spacing w:after="120"/>
        <w:jc w:val="both"/>
        <w:rPr>
          <w:rFonts w:eastAsia="Times New Roman" w:cs="Times New Roman"/>
          <w:color w:val="000000"/>
          <w:szCs w:val="24"/>
          <w:shd w:val="clear" w:color="auto" w:fill="FFFFFF"/>
          <w:lang w:eastAsia="tr-TR"/>
        </w:rPr>
      </w:pPr>
      <w:r w:rsidRPr="00FA25AB">
        <w:rPr>
          <w:rFonts w:eastAsia="Times New Roman" w:cs="Times New Roman"/>
          <w:color w:val="000000"/>
          <w:szCs w:val="24"/>
          <w:shd w:val="clear" w:color="auto" w:fill="FFFFFF"/>
          <w:lang w:eastAsia="tr-TR"/>
        </w:rPr>
        <w:t xml:space="preserve">Aktaş, R. (1993). </w:t>
      </w:r>
      <w:r w:rsidRPr="00FA25AB">
        <w:rPr>
          <w:rFonts w:eastAsia="Times New Roman" w:cs="Times New Roman"/>
          <w:i/>
          <w:color w:val="000000"/>
          <w:szCs w:val="24"/>
          <w:shd w:val="clear" w:color="auto" w:fill="FFFFFF"/>
          <w:lang w:eastAsia="tr-TR"/>
        </w:rPr>
        <w:t xml:space="preserve">Endüstri işletmeleri için mali başarısızlık tahmini (Çok boyutlu model uygulaması). </w:t>
      </w:r>
      <w:r w:rsidRPr="00FA25AB">
        <w:rPr>
          <w:rFonts w:eastAsia="Times New Roman" w:cs="Times New Roman"/>
          <w:color w:val="000000"/>
          <w:szCs w:val="24"/>
          <w:shd w:val="clear" w:color="auto" w:fill="FFFFFF"/>
          <w:lang w:eastAsia="tr-TR"/>
        </w:rPr>
        <w:t>Ankara: Türkiye İş Bankası Kültür Yayınları.</w:t>
      </w:r>
    </w:p>
    <w:p w:rsidR="00D64C6E" w:rsidRPr="00FA25AB" w:rsidRDefault="00D64C6E" w:rsidP="00D64C6E">
      <w:pPr>
        <w:shd w:val="clear" w:color="auto" w:fill="FFFFFF"/>
        <w:spacing w:after="120"/>
        <w:jc w:val="both"/>
        <w:rPr>
          <w:rFonts w:eastAsia="Times New Roman" w:cs="Times New Roman"/>
          <w:color w:val="000000"/>
          <w:szCs w:val="24"/>
          <w:shd w:val="clear" w:color="auto" w:fill="FFFFFF"/>
          <w:lang w:eastAsia="tr-TR"/>
        </w:rPr>
      </w:pPr>
      <w:r w:rsidRPr="00FA25AB">
        <w:rPr>
          <w:rFonts w:eastAsia="Times New Roman" w:cs="Times New Roman"/>
          <w:color w:val="000000"/>
          <w:szCs w:val="24"/>
          <w:shd w:val="clear" w:color="auto" w:fill="FFFFFF"/>
          <w:lang w:eastAsia="tr-TR"/>
        </w:rPr>
        <w:t xml:space="preserve">Altman, E. I. &amp; Hotchkiss, E. (2006). </w:t>
      </w:r>
      <w:r w:rsidRPr="00FA25AB">
        <w:rPr>
          <w:rFonts w:eastAsia="Times New Roman" w:cs="Times New Roman"/>
          <w:i/>
          <w:color w:val="000000"/>
          <w:szCs w:val="24"/>
          <w:shd w:val="clear" w:color="auto" w:fill="FFFFFF"/>
          <w:lang w:eastAsia="tr-TR"/>
        </w:rPr>
        <w:t>Corporate financial distress and bankruptcy: Predict and avoid bankruptcy, analyze and invest in distressed debt,</w:t>
      </w:r>
      <w:r w:rsidRPr="00FA25AB">
        <w:rPr>
          <w:rFonts w:eastAsia="Times New Roman" w:cs="Times New Roman"/>
          <w:color w:val="000000"/>
          <w:szCs w:val="24"/>
          <w:shd w:val="clear" w:color="auto" w:fill="FFFFFF"/>
          <w:lang w:eastAsia="tr-TR"/>
        </w:rPr>
        <w:t xml:space="preserve"> 3rd Edition. New Jersey: John Wiley&amp;Sons.</w:t>
      </w:r>
    </w:p>
    <w:p w:rsidR="00D64C6E" w:rsidRPr="00FA25AB" w:rsidRDefault="00D64C6E" w:rsidP="00D64C6E">
      <w:pPr>
        <w:shd w:val="clear" w:color="auto" w:fill="FFFFFF"/>
        <w:spacing w:after="120"/>
        <w:jc w:val="both"/>
        <w:rPr>
          <w:rFonts w:eastAsia="Times New Roman" w:cs="Times New Roman"/>
          <w:color w:val="000000"/>
          <w:szCs w:val="24"/>
          <w:shd w:val="clear" w:color="auto" w:fill="FFFFFF"/>
          <w:lang w:eastAsia="tr-TR"/>
        </w:rPr>
      </w:pPr>
      <w:r w:rsidRPr="00FA25AB">
        <w:rPr>
          <w:rFonts w:eastAsia="Times New Roman" w:cs="Times New Roman"/>
          <w:color w:val="000000"/>
          <w:szCs w:val="24"/>
          <w:shd w:val="clear" w:color="auto" w:fill="FFFFFF"/>
          <w:lang w:eastAsia="tr-TR"/>
        </w:rPr>
        <w:t xml:space="preserve">Aydın, N., Başar, M. &amp; Coşkun, M. (2014). </w:t>
      </w:r>
      <w:r w:rsidRPr="00FA25AB">
        <w:rPr>
          <w:rFonts w:eastAsia="Times New Roman" w:cs="Times New Roman"/>
          <w:i/>
          <w:color w:val="000000"/>
          <w:szCs w:val="24"/>
          <w:shd w:val="clear" w:color="auto" w:fill="FFFFFF"/>
          <w:lang w:eastAsia="tr-TR"/>
        </w:rPr>
        <w:t xml:space="preserve">Finansal yönetim. </w:t>
      </w:r>
      <w:r w:rsidRPr="00FA25AB">
        <w:rPr>
          <w:rFonts w:eastAsia="Times New Roman" w:cs="Times New Roman"/>
          <w:color w:val="000000"/>
          <w:szCs w:val="24"/>
          <w:shd w:val="clear" w:color="auto" w:fill="FFFFFF"/>
          <w:lang w:eastAsia="tr-TR"/>
        </w:rPr>
        <w:t>Ankara: Detay Yayıncılık.</w:t>
      </w:r>
    </w:p>
    <w:p w:rsidR="00D64C6E" w:rsidRPr="00FA25AB" w:rsidRDefault="00D64C6E" w:rsidP="00D64C6E">
      <w:pPr>
        <w:shd w:val="clear" w:color="auto" w:fill="FFFFFF"/>
        <w:spacing w:after="120"/>
        <w:jc w:val="both"/>
        <w:rPr>
          <w:rFonts w:eastAsia="Times New Roman" w:cs="Times New Roman"/>
          <w:color w:val="000000"/>
          <w:szCs w:val="24"/>
          <w:shd w:val="clear" w:color="auto" w:fill="FFFFFF"/>
          <w:lang w:eastAsia="tr-TR"/>
        </w:rPr>
      </w:pPr>
      <w:r w:rsidRPr="00FA25AB">
        <w:rPr>
          <w:rFonts w:eastAsia="Times New Roman" w:cs="Times New Roman"/>
          <w:color w:val="000000"/>
          <w:szCs w:val="24"/>
          <w:shd w:val="clear" w:color="auto" w:fill="FFFFFF"/>
          <w:lang w:eastAsia="tr-TR"/>
        </w:rPr>
        <w:t xml:space="preserve">Beaver, W. H. (1966). Financial ratios as predictors of failure. </w:t>
      </w:r>
      <w:r w:rsidRPr="00FA25AB">
        <w:rPr>
          <w:rFonts w:eastAsia="Times New Roman" w:cs="Times New Roman"/>
          <w:i/>
          <w:color w:val="000000"/>
          <w:szCs w:val="24"/>
          <w:shd w:val="clear" w:color="auto" w:fill="FFFFFF"/>
          <w:lang w:eastAsia="tr-TR"/>
        </w:rPr>
        <w:t>Journal of Accounting Research</w:t>
      </w:r>
      <w:r w:rsidRPr="00FA25AB">
        <w:rPr>
          <w:rFonts w:eastAsia="Times New Roman" w:cs="Times New Roman"/>
          <w:color w:val="000000"/>
          <w:szCs w:val="24"/>
          <w:shd w:val="clear" w:color="auto" w:fill="FFFFFF"/>
          <w:lang w:eastAsia="tr-TR"/>
        </w:rPr>
        <w:t>, 4, 71-11.</w:t>
      </w:r>
    </w:p>
    <w:p w:rsidR="00D64C6E" w:rsidRPr="00FA25AB" w:rsidRDefault="00D64C6E" w:rsidP="00D64C6E">
      <w:pPr>
        <w:shd w:val="clear" w:color="auto" w:fill="FFFFFF"/>
        <w:spacing w:after="120"/>
        <w:jc w:val="both"/>
        <w:rPr>
          <w:rFonts w:eastAsia="Times New Roman" w:cs="Times New Roman"/>
          <w:color w:val="000000"/>
          <w:szCs w:val="24"/>
          <w:shd w:val="clear" w:color="auto" w:fill="FFFFFF"/>
          <w:lang w:eastAsia="tr-TR"/>
        </w:rPr>
      </w:pPr>
      <w:r w:rsidRPr="00FA25AB">
        <w:rPr>
          <w:rFonts w:eastAsia="Times New Roman" w:cs="Times New Roman"/>
          <w:color w:val="000000"/>
          <w:szCs w:val="24"/>
          <w:shd w:val="clear" w:color="auto" w:fill="FFFFFF"/>
          <w:lang w:eastAsia="tr-TR"/>
        </w:rPr>
        <w:t xml:space="preserve">Berk, N. (1998). </w:t>
      </w:r>
      <w:r w:rsidRPr="00FA25AB">
        <w:rPr>
          <w:rFonts w:eastAsia="Times New Roman" w:cs="Times New Roman"/>
          <w:i/>
          <w:color w:val="000000"/>
          <w:szCs w:val="24"/>
          <w:shd w:val="clear" w:color="auto" w:fill="FFFFFF"/>
          <w:lang w:eastAsia="tr-TR"/>
        </w:rPr>
        <w:t>Finansal yönetim.</w:t>
      </w:r>
      <w:r w:rsidRPr="00FA25AB">
        <w:rPr>
          <w:rFonts w:eastAsia="Times New Roman" w:cs="Times New Roman"/>
          <w:color w:val="000000"/>
          <w:szCs w:val="24"/>
          <w:shd w:val="clear" w:color="auto" w:fill="FFFFFF"/>
          <w:lang w:eastAsia="tr-TR"/>
        </w:rPr>
        <w:t xml:space="preserve"> İstanbul: Türkmen Kitabevi</w:t>
      </w:r>
    </w:p>
    <w:p w:rsidR="00D64C6E" w:rsidRPr="00FA25AB" w:rsidRDefault="00D64C6E" w:rsidP="00D64C6E">
      <w:pPr>
        <w:shd w:val="clear" w:color="auto" w:fill="FFFFFF"/>
        <w:spacing w:after="120"/>
        <w:jc w:val="both"/>
        <w:rPr>
          <w:rFonts w:eastAsia="Times New Roman" w:cs="Times New Roman"/>
          <w:color w:val="000000"/>
          <w:szCs w:val="24"/>
          <w:shd w:val="clear" w:color="auto" w:fill="FFFFFF"/>
          <w:lang w:eastAsia="tr-TR"/>
        </w:rPr>
      </w:pPr>
      <w:r w:rsidRPr="00FA25AB">
        <w:rPr>
          <w:rFonts w:eastAsia="Times New Roman" w:cs="Times New Roman"/>
          <w:color w:val="000000"/>
          <w:szCs w:val="24"/>
          <w:shd w:val="clear" w:color="auto" w:fill="FFFFFF"/>
          <w:lang w:eastAsia="tr-TR"/>
        </w:rPr>
        <w:t xml:space="preserve">Ceylan, A. (2001). </w:t>
      </w:r>
      <w:r w:rsidRPr="00FA25AB">
        <w:rPr>
          <w:rFonts w:eastAsia="Times New Roman" w:cs="Times New Roman"/>
          <w:i/>
          <w:color w:val="000000"/>
          <w:szCs w:val="24"/>
          <w:shd w:val="clear" w:color="auto" w:fill="FFFFFF"/>
          <w:lang w:eastAsia="tr-TR"/>
        </w:rPr>
        <w:t xml:space="preserve">İşletmelerde finansal yönetim. </w:t>
      </w:r>
      <w:r w:rsidRPr="00FA25AB">
        <w:rPr>
          <w:rFonts w:eastAsia="Times New Roman" w:cs="Times New Roman"/>
          <w:color w:val="000000"/>
          <w:szCs w:val="24"/>
          <w:shd w:val="clear" w:color="auto" w:fill="FFFFFF"/>
          <w:lang w:eastAsia="tr-TR"/>
        </w:rPr>
        <w:t>Bursa: Ekin Kitabevi.</w:t>
      </w:r>
    </w:p>
    <w:p w:rsidR="00D64C6E" w:rsidRPr="00FA25AB" w:rsidRDefault="00D64C6E" w:rsidP="00D64C6E">
      <w:pPr>
        <w:shd w:val="clear" w:color="auto" w:fill="FFFFFF"/>
        <w:spacing w:after="120"/>
        <w:jc w:val="both"/>
        <w:rPr>
          <w:rFonts w:eastAsia="Times New Roman" w:cs="Times New Roman"/>
          <w:color w:val="000000"/>
          <w:szCs w:val="24"/>
          <w:shd w:val="clear" w:color="auto" w:fill="FFFFFF"/>
          <w:lang w:eastAsia="tr-TR"/>
        </w:rPr>
      </w:pPr>
      <w:r w:rsidRPr="00FA25AB">
        <w:rPr>
          <w:rFonts w:eastAsia="Times New Roman" w:cs="Times New Roman"/>
          <w:color w:val="000000"/>
          <w:szCs w:val="24"/>
          <w:shd w:val="clear" w:color="auto" w:fill="FFFFFF"/>
          <w:lang w:eastAsia="tr-TR"/>
        </w:rPr>
        <w:t xml:space="preserve">Cho, M. H. (1994). </w:t>
      </w:r>
      <w:r w:rsidRPr="00FA25AB">
        <w:rPr>
          <w:rFonts w:eastAsia="Times New Roman" w:cs="Times New Roman"/>
          <w:i/>
          <w:color w:val="000000"/>
          <w:szCs w:val="24"/>
          <w:shd w:val="clear" w:color="auto" w:fill="FFFFFF"/>
          <w:lang w:eastAsia="tr-TR"/>
        </w:rPr>
        <w:t xml:space="preserve">Predicting business failure in the hospitality industry: An application of logit model. </w:t>
      </w:r>
      <w:r w:rsidRPr="00FA25AB">
        <w:rPr>
          <w:rFonts w:eastAsia="Times New Roman" w:cs="Times New Roman"/>
          <w:color w:val="000000"/>
          <w:szCs w:val="24"/>
          <w:shd w:val="clear" w:color="auto" w:fill="FFFFFF"/>
          <w:lang w:eastAsia="tr-TR"/>
        </w:rPr>
        <w:t>Unpublished doctoral thesis, Virginia Tech, United States.</w:t>
      </w:r>
    </w:p>
    <w:p w:rsidR="00D64C6E" w:rsidRPr="00FA25AB" w:rsidRDefault="00D64C6E" w:rsidP="00D64C6E">
      <w:pPr>
        <w:shd w:val="clear" w:color="auto" w:fill="FFFFFF"/>
        <w:spacing w:after="120"/>
        <w:jc w:val="both"/>
        <w:rPr>
          <w:rFonts w:eastAsia="Times New Roman" w:cs="Times New Roman"/>
          <w:color w:val="000000"/>
          <w:szCs w:val="24"/>
          <w:shd w:val="clear" w:color="auto" w:fill="FFFFFF"/>
          <w:lang w:eastAsia="tr-TR"/>
        </w:rPr>
      </w:pPr>
      <w:r w:rsidRPr="00FA25AB">
        <w:rPr>
          <w:rFonts w:eastAsia="Times New Roman" w:cs="Times New Roman"/>
          <w:color w:val="000000"/>
          <w:szCs w:val="24"/>
          <w:shd w:val="clear" w:color="auto" w:fill="FFFFFF"/>
          <w:lang w:eastAsia="tr-TR"/>
        </w:rPr>
        <w:t xml:space="preserve">Cihangir, M. &amp; Kara, E. (2014). The reasons for financial failure in accommodation facilities: An analysis of the accommodation facilities in the Cappadoccia Region/Turkey. </w:t>
      </w:r>
      <w:r w:rsidRPr="00FA25AB">
        <w:rPr>
          <w:rFonts w:eastAsia="Times New Roman" w:cs="Times New Roman"/>
          <w:i/>
          <w:color w:val="000000"/>
          <w:szCs w:val="24"/>
          <w:shd w:val="clear" w:color="auto" w:fill="FFFFFF"/>
          <w:lang w:eastAsia="tr-TR"/>
        </w:rPr>
        <w:t>European Scientific Journal,</w:t>
      </w:r>
      <w:r w:rsidRPr="00FA25AB">
        <w:rPr>
          <w:rFonts w:eastAsia="Times New Roman" w:cs="Times New Roman"/>
          <w:color w:val="000000"/>
          <w:szCs w:val="24"/>
          <w:shd w:val="clear" w:color="auto" w:fill="FFFFFF"/>
          <w:lang w:eastAsia="tr-TR"/>
        </w:rPr>
        <w:t xml:space="preserve"> 10(22), 95-115.</w:t>
      </w:r>
    </w:p>
    <w:p w:rsidR="00D64C6E" w:rsidRPr="00FA25AB" w:rsidRDefault="00D64C6E" w:rsidP="00D64C6E">
      <w:pPr>
        <w:shd w:val="clear" w:color="auto" w:fill="FFFFFF"/>
        <w:spacing w:after="120"/>
        <w:jc w:val="both"/>
        <w:rPr>
          <w:rFonts w:eastAsia="Times New Roman" w:cs="Times New Roman"/>
          <w:color w:val="000000"/>
          <w:szCs w:val="24"/>
          <w:shd w:val="clear" w:color="auto" w:fill="FFFFFF"/>
          <w:lang w:eastAsia="tr-TR"/>
        </w:rPr>
      </w:pPr>
      <w:r w:rsidRPr="00FA25AB">
        <w:rPr>
          <w:rFonts w:eastAsia="Times New Roman" w:cs="Times New Roman"/>
          <w:color w:val="000000"/>
          <w:szCs w:val="24"/>
          <w:shd w:val="clear" w:color="auto" w:fill="FFFFFF"/>
          <w:lang w:eastAsia="tr-TR"/>
        </w:rPr>
        <w:t xml:space="preserve">Diakomihalis, M. (2012). The accuracy of Altman’s models in predicting hotel bankruptcy. </w:t>
      </w:r>
      <w:r w:rsidRPr="00FA25AB">
        <w:rPr>
          <w:rFonts w:eastAsia="Times New Roman" w:cs="Times New Roman"/>
          <w:i/>
          <w:color w:val="000000"/>
          <w:szCs w:val="24"/>
          <w:shd w:val="clear" w:color="auto" w:fill="FFFFFF"/>
          <w:lang w:eastAsia="tr-TR"/>
        </w:rPr>
        <w:t>International Journal of Accounting and Financial Reporting,</w:t>
      </w:r>
      <w:r w:rsidRPr="00FA25AB">
        <w:rPr>
          <w:rFonts w:eastAsia="Times New Roman" w:cs="Times New Roman"/>
          <w:color w:val="000000"/>
          <w:szCs w:val="24"/>
          <w:shd w:val="clear" w:color="auto" w:fill="FFFFFF"/>
          <w:lang w:eastAsia="tr-TR"/>
        </w:rPr>
        <w:t xml:space="preserve"> 2(2), 96-113.</w:t>
      </w:r>
    </w:p>
    <w:p w:rsidR="00D64C6E" w:rsidRPr="00FA25AB" w:rsidRDefault="00D64C6E" w:rsidP="00D64C6E">
      <w:pPr>
        <w:shd w:val="clear" w:color="auto" w:fill="FFFFFF"/>
        <w:spacing w:after="120"/>
        <w:jc w:val="both"/>
        <w:rPr>
          <w:rFonts w:eastAsia="Times New Roman" w:cs="Times New Roman"/>
          <w:color w:val="000000"/>
          <w:szCs w:val="24"/>
          <w:shd w:val="clear" w:color="auto" w:fill="FFFFFF"/>
          <w:lang w:eastAsia="tr-TR"/>
        </w:rPr>
      </w:pPr>
      <w:r w:rsidRPr="00FA25AB">
        <w:rPr>
          <w:rFonts w:eastAsia="Times New Roman" w:cs="Times New Roman"/>
          <w:color w:val="000000"/>
          <w:szCs w:val="24"/>
          <w:shd w:val="clear" w:color="auto" w:fill="FFFFFF"/>
          <w:lang w:eastAsia="tr-TR"/>
        </w:rPr>
        <w:t xml:space="preserve">Elmas, B. (2013). </w:t>
      </w:r>
      <w:r w:rsidRPr="00FA25AB">
        <w:rPr>
          <w:rFonts w:eastAsia="Times New Roman" w:cs="Times New Roman"/>
          <w:i/>
          <w:color w:val="000000"/>
          <w:szCs w:val="24"/>
          <w:shd w:val="clear" w:color="auto" w:fill="FFFFFF"/>
          <w:lang w:eastAsia="tr-TR"/>
        </w:rPr>
        <w:t>Finansal Analiz Uygulamaları.</w:t>
      </w:r>
      <w:r w:rsidRPr="00FA25AB">
        <w:rPr>
          <w:rFonts w:eastAsia="Times New Roman" w:cs="Times New Roman"/>
          <w:color w:val="000000"/>
          <w:szCs w:val="24"/>
          <w:shd w:val="clear" w:color="auto" w:fill="FFFFFF"/>
          <w:lang w:eastAsia="tr-TR"/>
        </w:rPr>
        <w:t xml:space="preserve"> Ankara: İmaj Yayınevi.</w:t>
      </w:r>
    </w:p>
    <w:p w:rsidR="00D64C6E" w:rsidRPr="00FA25AB" w:rsidRDefault="00D64C6E" w:rsidP="00D64C6E">
      <w:pPr>
        <w:shd w:val="clear" w:color="auto" w:fill="FFFFFF"/>
        <w:spacing w:after="120"/>
        <w:jc w:val="both"/>
        <w:rPr>
          <w:rFonts w:eastAsia="Times New Roman" w:cs="Times New Roman"/>
          <w:color w:val="000000"/>
          <w:szCs w:val="24"/>
          <w:shd w:val="clear" w:color="auto" w:fill="FFFFFF"/>
          <w:lang w:eastAsia="tr-TR"/>
        </w:rPr>
      </w:pPr>
      <w:r w:rsidRPr="00FA25AB">
        <w:rPr>
          <w:rFonts w:eastAsia="Times New Roman" w:cs="Times New Roman"/>
          <w:color w:val="000000"/>
          <w:szCs w:val="24"/>
          <w:shd w:val="clear" w:color="auto" w:fill="FFFFFF"/>
          <w:lang w:eastAsia="tr-TR"/>
        </w:rPr>
        <w:t xml:space="preserve">Gu, Z. &amp;Goa, L. (2000). A multivariate model for predicting business failures of hospitality firms. </w:t>
      </w:r>
      <w:r w:rsidRPr="00FA25AB">
        <w:rPr>
          <w:rFonts w:eastAsia="Times New Roman" w:cs="Times New Roman"/>
          <w:i/>
          <w:color w:val="000000"/>
          <w:szCs w:val="24"/>
          <w:shd w:val="clear" w:color="auto" w:fill="FFFFFF"/>
          <w:lang w:eastAsia="tr-TR"/>
        </w:rPr>
        <w:t xml:space="preserve">Tourism and Hospitality Research: The Surrey Quarterly Review, </w:t>
      </w:r>
      <w:r w:rsidRPr="00FA25AB">
        <w:rPr>
          <w:rFonts w:eastAsia="Times New Roman" w:cs="Times New Roman"/>
          <w:color w:val="000000"/>
          <w:szCs w:val="24"/>
          <w:shd w:val="clear" w:color="auto" w:fill="FFFFFF"/>
          <w:lang w:eastAsia="tr-TR"/>
        </w:rPr>
        <w:t>2(1), 37-50.</w:t>
      </w:r>
    </w:p>
    <w:p w:rsidR="00D64C6E" w:rsidRPr="00FA25AB" w:rsidRDefault="00D64C6E" w:rsidP="00D64C6E">
      <w:pPr>
        <w:shd w:val="clear" w:color="auto" w:fill="FFFFFF"/>
        <w:spacing w:after="120"/>
        <w:jc w:val="both"/>
        <w:rPr>
          <w:rFonts w:eastAsia="Times New Roman" w:cs="Times New Roman"/>
          <w:color w:val="000000"/>
          <w:szCs w:val="24"/>
          <w:shd w:val="clear" w:color="auto" w:fill="FFFFFF"/>
          <w:lang w:eastAsia="tr-TR"/>
        </w:rPr>
      </w:pPr>
      <w:r w:rsidRPr="00FA25AB">
        <w:rPr>
          <w:rFonts w:eastAsia="Times New Roman" w:cs="Times New Roman"/>
          <w:color w:val="000000"/>
          <w:szCs w:val="24"/>
          <w:shd w:val="clear" w:color="auto" w:fill="FFFFFF"/>
          <w:lang w:eastAsia="tr-TR"/>
        </w:rPr>
        <w:t xml:space="preserve">Haber, J. R. &amp; College, I. (2005). Assesing how bankruptcy prediction models are evaluated. </w:t>
      </w:r>
      <w:r w:rsidRPr="00FA25AB">
        <w:rPr>
          <w:rFonts w:eastAsia="Times New Roman" w:cs="Times New Roman"/>
          <w:i/>
          <w:color w:val="000000"/>
          <w:szCs w:val="24"/>
          <w:shd w:val="clear" w:color="auto" w:fill="FFFFFF"/>
          <w:lang w:eastAsia="tr-TR"/>
        </w:rPr>
        <w:t>Journal of Business &amp; EconomicsResearch</w:t>
      </w:r>
      <w:r w:rsidRPr="00FA25AB">
        <w:rPr>
          <w:rFonts w:eastAsia="Times New Roman" w:cs="Times New Roman"/>
          <w:color w:val="000000"/>
          <w:szCs w:val="24"/>
          <w:shd w:val="clear" w:color="auto" w:fill="FFFFFF"/>
          <w:lang w:eastAsia="tr-TR"/>
        </w:rPr>
        <w:t>, 3(1), 87-92.</w:t>
      </w:r>
    </w:p>
    <w:p w:rsidR="00D64C6E" w:rsidRPr="00FA25AB" w:rsidRDefault="00D64C6E" w:rsidP="00D64C6E">
      <w:pPr>
        <w:shd w:val="clear" w:color="auto" w:fill="FFFFFF"/>
        <w:spacing w:after="120"/>
        <w:jc w:val="both"/>
        <w:rPr>
          <w:rFonts w:eastAsia="Times New Roman" w:cs="Times New Roman"/>
          <w:color w:val="000000"/>
          <w:szCs w:val="24"/>
          <w:shd w:val="clear" w:color="auto" w:fill="FFFFFF"/>
          <w:lang w:eastAsia="tr-TR"/>
        </w:rPr>
      </w:pPr>
      <w:r w:rsidRPr="00FA25AB">
        <w:rPr>
          <w:rFonts w:eastAsia="Times New Roman" w:cs="Times New Roman"/>
          <w:color w:val="000000"/>
          <w:szCs w:val="24"/>
          <w:shd w:val="clear" w:color="auto" w:fill="FFFFFF"/>
          <w:lang w:eastAsia="tr-TR"/>
        </w:rPr>
        <w:lastRenderedPageBreak/>
        <w:t xml:space="preserve">Jawabreh, O. A., Al Rawashdeh, F. &amp; Senjelawi, O. (2017). Using Altman's Z-Score model to predict the financial failure of hospitality companies-case of Jordan. </w:t>
      </w:r>
      <w:r w:rsidRPr="00FA25AB">
        <w:rPr>
          <w:rFonts w:eastAsia="Times New Roman" w:cs="Times New Roman"/>
          <w:i/>
          <w:color w:val="000000"/>
          <w:szCs w:val="24"/>
          <w:shd w:val="clear" w:color="auto" w:fill="FFFFFF"/>
          <w:lang w:eastAsia="tr-TR"/>
        </w:rPr>
        <w:t>International Journal of Information, Business and Management, 9(2),</w:t>
      </w:r>
      <w:r w:rsidRPr="00FA25AB">
        <w:rPr>
          <w:rFonts w:eastAsia="Times New Roman" w:cs="Times New Roman"/>
          <w:color w:val="000000"/>
          <w:szCs w:val="24"/>
          <w:shd w:val="clear" w:color="auto" w:fill="FFFFFF"/>
          <w:lang w:eastAsia="tr-TR"/>
        </w:rPr>
        <w:t xml:space="preserve"> 141-157.</w:t>
      </w:r>
    </w:p>
    <w:p w:rsidR="00D64C6E" w:rsidRPr="00FA25AB" w:rsidRDefault="00D64C6E" w:rsidP="00D64C6E">
      <w:pPr>
        <w:shd w:val="clear" w:color="auto" w:fill="FFFFFF"/>
        <w:spacing w:after="120"/>
        <w:jc w:val="both"/>
        <w:rPr>
          <w:rFonts w:eastAsia="Times New Roman" w:cs="Times New Roman"/>
          <w:color w:val="000000"/>
          <w:szCs w:val="24"/>
          <w:shd w:val="clear" w:color="auto" w:fill="FFFFFF"/>
          <w:lang w:eastAsia="tr-TR"/>
        </w:rPr>
      </w:pPr>
      <w:r w:rsidRPr="00FA25AB">
        <w:rPr>
          <w:rFonts w:eastAsia="Times New Roman" w:cs="Times New Roman"/>
          <w:color w:val="000000"/>
          <w:szCs w:val="24"/>
          <w:shd w:val="clear" w:color="auto" w:fill="FFFFFF"/>
          <w:lang w:eastAsia="tr-TR"/>
        </w:rPr>
        <w:t xml:space="preserve">Karaca, S. &amp; Özen, E. (2017). Financial failure estimation of companies in BIST tourism index by Altman Model and its effect on market prices. BRAND. </w:t>
      </w:r>
      <w:r w:rsidRPr="00FA25AB">
        <w:rPr>
          <w:rFonts w:eastAsia="Times New Roman" w:cs="Times New Roman"/>
          <w:i/>
          <w:color w:val="000000"/>
          <w:szCs w:val="24"/>
          <w:shd w:val="clear" w:color="auto" w:fill="FFFFFF"/>
          <w:lang w:eastAsia="tr-TR"/>
        </w:rPr>
        <w:t>Broad Research in Accounting, Negotiation, and Distribution,</w:t>
      </w:r>
      <w:r w:rsidRPr="00FA25AB">
        <w:rPr>
          <w:rFonts w:eastAsia="Times New Roman" w:cs="Times New Roman"/>
          <w:color w:val="000000"/>
          <w:szCs w:val="24"/>
          <w:shd w:val="clear" w:color="auto" w:fill="FFFFFF"/>
          <w:lang w:eastAsia="tr-TR"/>
        </w:rPr>
        <w:t xml:space="preserve"> 8(2), 11-23.</w:t>
      </w:r>
    </w:p>
    <w:p w:rsidR="00D64C6E" w:rsidRPr="00FA25AB" w:rsidRDefault="00D64C6E" w:rsidP="00D64C6E">
      <w:pPr>
        <w:shd w:val="clear" w:color="auto" w:fill="FFFFFF"/>
        <w:spacing w:after="120"/>
        <w:jc w:val="both"/>
        <w:rPr>
          <w:rFonts w:eastAsia="Times New Roman" w:cs="Times New Roman"/>
          <w:color w:val="000000"/>
          <w:szCs w:val="24"/>
          <w:shd w:val="clear" w:color="auto" w:fill="FFFFFF"/>
          <w:lang w:eastAsia="tr-TR"/>
        </w:rPr>
      </w:pPr>
      <w:r w:rsidRPr="00FA25AB">
        <w:rPr>
          <w:rFonts w:eastAsia="Times New Roman" w:cs="Times New Roman"/>
          <w:color w:val="000000"/>
          <w:szCs w:val="24"/>
          <w:shd w:val="clear" w:color="auto" w:fill="FFFFFF"/>
          <w:lang w:eastAsia="tr-TR"/>
        </w:rPr>
        <w:t>KAP, Kamuyu Aydınlatma Platformu (t.y.), 20 Temmuz 2018 tarihinde www.kap.org.tr adresinden alınmıştır.</w:t>
      </w:r>
    </w:p>
    <w:p w:rsidR="00D64C6E" w:rsidRPr="00FA25AB" w:rsidRDefault="00D64C6E" w:rsidP="00D64C6E">
      <w:pPr>
        <w:shd w:val="clear" w:color="auto" w:fill="FFFFFF"/>
        <w:spacing w:after="120"/>
        <w:jc w:val="both"/>
        <w:rPr>
          <w:rFonts w:eastAsia="Times New Roman" w:cs="Times New Roman"/>
          <w:color w:val="000000"/>
          <w:szCs w:val="24"/>
          <w:shd w:val="clear" w:color="auto" w:fill="FFFFFF"/>
          <w:lang w:eastAsia="tr-TR"/>
        </w:rPr>
      </w:pPr>
      <w:r w:rsidRPr="00FA25AB">
        <w:rPr>
          <w:rFonts w:eastAsia="Times New Roman" w:cs="Times New Roman"/>
          <w:color w:val="000000"/>
          <w:szCs w:val="24"/>
          <w:shd w:val="clear" w:color="auto" w:fill="FFFFFF"/>
          <w:lang w:eastAsia="tr-TR"/>
        </w:rPr>
        <w:t xml:space="preserve">Kandır, S. Y., Karadeniz, E., Özmen, M. &amp; Önal, Y. B.(2008). Türk turizm sektöründe büyüme göstergelerinin turizm işletmelerinin finansal performansına etkisinin incelenmesi. </w:t>
      </w:r>
      <w:r w:rsidRPr="00FA25AB">
        <w:rPr>
          <w:rFonts w:eastAsia="Times New Roman" w:cs="Times New Roman"/>
          <w:i/>
          <w:color w:val="000000"/>
          <w:szCs w:val="24"/>
          <w:shd w:val="clear" w:color="auto" w:fill="FFFFFF"/>
          <w:lang w:eastAsia="tr-TR"/>
        </w:rPr>
        <w:t>Dokuz Eylül Üniversitesi Sosyal Bilimler Enstitüsü Dergisi,</w:t>
      </w:r>
      <w:r w:rsidRPr="00FA25AB">
        <w:rPr>
          <w:rFonts w:eastAsia="Times New Roman" w:cs="Times New Roman"/>
          <w:color w:val="000000"/>
          <w:szCs w:val="24"/>
          <w:shd w:val="clear" w:color="auto" w:fill="FFFFFF"/>
          <w:lang w:eastAsia="tr-TR"/>
        </w:rPr>
        <w:t xml:space="preserve"> 10(1), 211-237.</w:t>
      </w:r>
    </w:p>
    <w:p w:rsidR="00D64C6E" w:rsidRPr="00FA25AB" w:rsidRDefault="00D64C6E" w:rsidP="00D64C6E">
      <w:pPr>
        <w:shd w:val="clear" w:color="auto" w:fill="FFFFFF"/>
        <w:spacing w:after="120"/>
        <w:jc w:val="both"/>
        <w:rPr>
          <w:rFonts w:eastAsia="Times New Roman" w:cs="Times New Roman"/>
          <w:color w:val="000000"/>
          <w:szCs w:val="24"/>
          <w:shd w:val="clear" w:color="auto" w:fill="FFFFFF"/>
          <w:lang w:eastAsia="tr-TR"/>
        </w:rPr>
      </w:pPr>
      <w:r w:rsidRPr="00FA25AB">
        <w:rPr>
          <w:rFonts w:eastAsia="Times New Roman" w:cs="Times New Roman"/>
          <w:color w:val="000000"/>
          <w:szCs w:val="24"/>
          <w:shd w:val="clear" w:color="auto" w:fill="FFFFFF"/>
          <w:lang w:eastAsia="tr-TR"/>
        </w:rPr>
        <w:t xml:space="preserve">Kim, H. &amp; Gu, Z. (2006a). A logistic regression analysis for predicting bankruptcy in the hospitality industry. </w:t>
      </w:r>
      <w:r w:rsidRPr="00FA25AB">
        <w:rPr>
          <w:rFonts w:eastAsia="Times New Roman" w:cs="Times New Roman"/>
          <w:i/>
          <w:color w:val="000000"/>
          <w:szCs w:val="24"/>
          <w:shd w:val="clear" w:color="auto" w:fill="FFFFFF"/>
          <w:lang w:eastAsia="tr-TR"/>
        </w:rPr>
        <w:t>The Journal of Hospitality Financial Management,</w:t>
      </w:r>
      <w:r w:rsidRPr="00FA25AB">
        <w:rPr>
          <w:rFonts w:eastAsia="Times New Roman" w:cs="Times New Roman"/>
          <w:color w:val="000000"/>
          <w:szCs w:val="24"/>
          <w:shd w:val="clear" w:color="auto" w:fill="FFFFFF"/>
          <w:lang w:eastAsia="tr-TR"/>
        </w:rPr>
        <w:t xml:space="preserve"> 14(1), 17-34.</w:t>
      </w:r>
    </w:p>
    <w:p w:rsidR="00D64C6E" w:rsidRPr="00FA25AB" w:rsidRDefault="00D64C6E" w:rsidP="00D64C6E">
      <w:pPr>
        <w:shd w:val="clear" w:color="auto" w:fill="FFFFFF"/>
        <w:spacing w:after="120"/>
        <w:jc w:val="both"/>
        <w:rPr>
          <w:rFonts w:eastAsia="Times New Roman" w:cs="Times New Roman"/>
          <w:color w:val="000000"/>
          <w:szCs w:val="24"/>
          <w:shd w:val="clear" w:color="auto" w:fill="FFFFFF"/>
          <w:lang w:eastAsia="tr-TR"/>
        </w:rPr>
      </w:pPr>
      <w:r w:rsidRPr="00FA25AB">
        <w:rPr>
          <w:rFonts w:eastAsia="Times New Roman" w:cs="Times New Roman"/>
          <w:color w:val="000000"/>
          <w:szCs w:val="24"/>
          <w:shd w:val="clear" w:color="auto" w:fill="FFFFFF"/>
          <w:lang w:eastAsia="tr-TR"/>
        </w:rPr>
        <w:t xml:space="preserve">Kim, S. Y. &amp; Upneja, A. (2013). Predicting restaurant financial distress using decision tree and AdaBoosted decision tree models. </w:t>
      </w:r>
      <w:r w:rsidRPr="00FA25AB">
        <w:rPr>
          <w:rFonts w:eastAsia="Times New Roman" w:cs="Times New Roman"/>
          <w:i/>
          <w:color w:val="000000"/>
          <w:szCs w:val="24"/>
          <w:shd w:val="clear" w:color="auto" w:fill="FFFFFF"/>
          <w:lang w:eastAsia="tr-TR"/>
        </w:rPr>
        <w:t>Economic Modelling, 36,</w:t>
      </w:r>
      <w:r w:rsidRPr="00FA25AB">
        <w:rPr>
          <w:rFonts w:eastAsia="Times New Roman" w:cs="Times New Roman"/>
          <w:color w:val="000000"/>
          <w:szCs w:val="24"/>
          <w:shd w:val="clear" w:color="auto" w:fill="FFFFFF"/>
          <w:lang w:eastAsia="tr-TR"/>
        </w:rPr>
        <w:t xml:space="preserve"> 354-362.</w:t>
      </w:r>
    </w:p>
    <w:p w:rsidR="00D64C6E" w:rsidRPr="00FA25AB" w:rsidRDefault="00D64C6E" w:rsidP="00D64C6E">
      <w:pPr>
        <w:shd w:val="clear" w:color="auto" w:fill="FFFFFF"/>
        <w:spacing w:after="120"/>
        <w:jc w:val="both"/>
        <w:rPr>
          <w:rFonts w:eastAsia="Times New Roman" w:cs="Times New Roman"/>
          <w:color w:val="000000"/>
          <w:szCs w:val="24"/>
          <w:shd w:val="clear" w:color="auto" w:fill="FFFFFF"/>
          <w:lang w:eastAsia="tr-TR"/>
        </w:rPr>
      </w:pPr>
      <w:r w:rsidRPr="00FA25AB">
        <w:rPr>
          <w:rFonts w:eastAsia="Times New Roman" w:cs="Times New Roman"/>
          <w:color w:val="000000"/>
          <w:szCs w:val="24"/>
          <w:shd w:val="clear" w:color="auto" w:fill="FFFFFF"/>
          <w:lang w:eastAsia="tr-TR"/>
        </w:rPr>
        <w:t>Kwansa, F. A. &amp; Parsa, H. G. (1990). Business failure analysis: An events approach. </w:t>
      </w:r>
      <w:r w:rsidRPr="00FA25AB">
        <w:rPr>
          <w:rFonts w:eastAsia="Times New Roman" w:cs="Times New Roman"/>
          <w:i/>
          <w:iCs/>
          <w:color w:val="000000"/>
          <w:szCs w:val="24"/>
          <w:shd w:val="clear" w:color="auto" w:fill="FFFFFF"/>
          <w:lang w:eastAsia="tr-TR"/>
        </w:rPr>
        <w:t>Hospitality Research Journal</w:t>
      </w:r>
      <w:r w:rsidRPr="00FA25AB">
        <w:rPr>
          <w:rFonts w:eastAsia="Times New Roman" w:cs="Times New Roman"/>
          <w:color w:val="000000"/>
          <w:szCs w:val="24"/>
          <w:shd w:val="clear" w:color="auto" w:fill="FFFFFF"/>
          <w:lang w:eastAsia="tr-TR"/>
        </w:rPr>
        <w:t>, </w:t>
      </w:r>
      <w:r w:rsidRPr="00FA25AB">
        <w:rPr>
          <w:rFonts w:eastAsia="Times New Roman" w:cs="Times New Roman"/>
          <w:i/>
          <w:iCs/>
          <w:color w:val="000000"/>
          <w:szCs w:val="24"/>
          <w:shd w:val="clear" w:color="auto" w:fill="FFFFFF"/>
          <w:lang w:eastAsia="tr-TR"/>
        </w:rPr>
        <w:t>14</w:t>
      </w:r>
      <w:r w:rsidRPr="00FA25AB">
        <w:rPr>
          <w:rFonts w:eastAsia="Times New Roman" w:cs="Times New Roman"/>
          <w:i/>
          <w:color w:val="000000"/>
          <w:szCs w:val="24"/>
          <w:shd w:val="clear" w:color="auto" w:fill="FFFFFF"/>
          <w:lang w:eastAsia="tr-TR"/>
        </w:rPr>
        <w:t>(2),</w:t>
      </w:r>
      <w:r w:rsidRPr="00FA25AB">
        <w:rPr>
          <w:rFonts w:eastAsia="Times New Roman" w:cs="Times New Roman"/>
          <w:color w:val="000000"/>
          <w:szCs w:val="24"/>
          <w:shd w:val="clear" w:color="auto" w:fill="FFFFFF"/>
          <w:lang w:eastAsia="tr-TR"/>
        </w:rPr>
        <w:t xml:space="preserve"> 23-34.</w:t>
      </w:r>
    </w:p>
    <w:p w:rsidR="00D64C6E" w:rsidRPr="00FA25AB" w:rsidRDefault="00D64C6E" w:rsidP="00D64C6E">
      <w:pPr>
        <w:shd w:val="clear" w:color="auto" w:fill="FFFFFF"/>
        <w:spacing w:after="120"/>
        <w:jc w:val="both"/>
        <w:rPr>
          <w:rFonts w:eastAsia="Times New Roman" w:cs="Times New Roman"/>
          <w:color w:val="000000"/>
          <w:szCs w:val="24"/>
          <w:shd w:val="clear" w:color="auto" w:fill="FFFFFF"/>
          <w:lang w:eastAsia="tr-TR"/>
        </w:rPr>
      </w:pPr>
      <w:r w:rsidRPr="00FA25AB">
        <w:rPr>
          <w:rFonts w:eastAsia="Times New Roman" w:cs="Times New Roman"/>
          <w:color w:val="000000"/>
          <w:szCs w:val="24"/>
          <w:shd w:val="clear" w:color="auto" w:fill="FFFFFF"/>
          <w:lang w:eastAsia="tr-TR"/>
        </w:rPr>
        <w:t xml:space="preserve">Lado-Sestayo, R., Otero-González, L., Vivel-Búa, M., &amp; Martorell-Cunill, O. (2016). Impact of location on profitability in the Spanish hotel sector. </w:t>
      </w:r>
      <w:r w:rsidRPr="00FA25AB">
        <w:rPr>
          <w:rFonts w:eastAsia="Times New Roman" w:cs="Times New Roman"/>
          <w:i/>
          <w:color w:val="000000"/>
          <w:szCs w:val="24"/>
          <w:shd w:val="clear" w:color="auto" w:fill="FFFFFF"/>
          <w:lang w:eastAsia="tr-TR"/>
        </w:rPr>
        <w:t>Tourism Management,</w:t>
      </w:r>
      <w:r w:rsidRPr="00FA25AB">
        <w:rPr>
          <w:rFonts w:eastAsia="Times New Roman" w:cs="Times New Roman"/>
          <w:color w:val="000000"/>
          <w:szCs w:val="24"/>
          <w:shd w:val="clear" w:color="auto" w:fill="FFFFFF"/>
          <w:lang w:eastAsia="tr-TR"/>
        </w:rPr>
        <w:t xml:space="preserve"> 52, 405-415.</w:t>
      </w:r>
    </w:p>
    <w:p w:rsidR="00D64C6E" w:rsidRPr="00FA25AB" w:rsidRDefault="00D64C6E" w:rsidP="00D64C6E">
      <w:pPr>
        <w:shd w:val="clear" w:color="auto" w:fill="FFFFFF"/>
        <w:spacing w:after="120"/>
        <w:jc w:val="both"/>
        <w:rPr>
          <w:rFonts w:eastAsia="Times New Roman" w:cs="Times New Roman"/>
          <w:color w:val="000000"/>
          <w:szCs w:val="24"/>
          <w:shd w:val="clear" w:color="auto" w:fill="FFFFFF"/>
          <w:lang w:eastAsia="tr-TR"/>
        </w:rPr>
      </w:pPr>
      <w:r w:rsidRPr="00FA25AB">
        <w:rPr>
          <w:rFonts w:eastAsia="Times New Roman" w:cs="Times New Roman"/>
          <w:color w:val="000000"/>
          <w:szCs w:val="24"/>
          <w:shd w:val="clear" w:color="auto" w:fill="FFFFFF"/>
          <w:lang w:eastAsia="tr-TR"/>
        </w:rPr>
        <w:t xml:space="preserve">Mammadli, A. &amp; Helhel, Y. (2017). Fortune 100 listesinde yer alan turizm şirketleri için Altman Z Skor modeli kullanılarak iflas tahmini. 1. Uluslararası Turizmin Geleceği Kongresi: İnovasyon, Girişimcilik ve Sürdürebilirlik Kongresi (Futourism 2017), </w:t>
      </w:r>
      <w:r w:rsidRPr="00FA25AB">
        <w:rPr>
          <w:rFonts w:eastAsia="Times New Roman" w:cs="Times New Roman"/>
          <w:i/>
          <w:color w:val="000000"/>
          <w:szCs w:val="24"/>
          <w:shd w:val="clear" w:color="auto" w:fill="FFFFFF"/>
          <w:lang w:eastAsia="tr-TR"/>
        </w:rPr>
        <w:t>MEÜ. Turizm Fakültesi Yayınları,</w:t>
      </w:r>
      <w:r w:rsidRPr="00FA25AB">
        <w:rPr>
          <w:rFonts w:eastAsia="Times New Roman" w:cs="Times New Roman"/>
          <w:color w:val="000000"/>
          <w:szCs w:val="24"/>
          <w:shd w:val="clear" w:color="auto" w:fill="FFFFFF"/>
          <w:lang w:eastAsia="tr-TR"/>
        </w:rPr>
        <w:t xml:space="preserve"> 1, 1219-1226.</w:t>
      </w:r>
    </w:p>
    <w:p w:rsidR="00D64C6E" w:rsidRPr="00FA25AB" w:rsidRDefault="00D64C6E" w:rsidP="00D64C6E">
      <w:pPr>
        <w:shd w:val="clear" w:color="auto" w:fill="FFFFFF"/>
        <w:spacing w:after="120"/>
        <w:jc w:val="both"/>
        <w:rPr>
          <w:rFonts w:eastAsia="Times New Roman" w:cs="Times New Roman"/>
          <w:color w:val="000000"/>
          <w:szCs w:val="24"/>
          <w:shd w:val="clear" w:color="auto" w:fill="FFFFFF"/>
          <w:lang w:eastAsia="tr-TR"/>
        </w:rPr>
      </w:pPr>
      <w:r w:rsidRPr="00FA25AB">
        <w:rPr>
          <w:rFonts w:eastAsia="Times New Roman" w:cs="Times New Roman"/>
          <w:color w:val="000000"/>
          <w:szCs w:val="24"/>
          <w:shd w:val="clear" w:color="auto" w:fill="FFFFFF"/>
          <w:lang w:eastAsia="tr-TR"/>
        </w:rPr>
        <w:t xml:space="preserve">Mizdrakovic, V., Knezevic, G. &amp; Stanic, N. (2015). Bankruptcy risk exposure of Serbian hotels in the period 2008-2012. </w:t>
      </w:r>
      <w:r w:rsidRPr="00FA25AB">
        <w:rPr>
          <w:rFonts w:eastAsia="Times New Roman" w:cs="Times New Roman"/>
          <w:i/>
          <w:color w:val="000000"/>
          <w:szCs w:val="24"/>
          <w:shd w:val="clear" w:color="auto" w:fill="FFFFFF"/>
          <w:lang w:eastAsia="tr-TR"/>
        </w:rPr>
        <w:t>International Conference in Tourism,</w:t>
      </w:r>
      <w:r w:rsidRPr="00FA25AB">
        <w:rPr>
          <w:rFonts w:eastAsia="Times New Roman" w:cs="Times New Roman"/>
          <w:color w:val="000000"/>
          <w:szCs w:val="24"/>
          <w:shd w:val="clear" w:color="auto" w:fill="FFFFFF"/>
          <w:lang w:eastAsia="tr-TR"/>
        </w:rPr>
        <w:t xml:space="preserve"> Singidunum University, Belgrade, 164-167.</w:t>
      </w:r>
    </w:p>
    <w:p w:rsidR="00D64C6E" w:rsidRPr="00FA25AB" w:rsidRDefault="00D64C6E" w:rsidP="00D64C6E">
      <w:pPr>
        <w:shd w:val="clear" w:color="auto" w:fill="FFFFFF"/>
        <w:spacing w:after="120"/>
        <w:jc w:val="both"/>
        <w:rPr>
          <w:rFonts w:eastAsia="Times New Roman" w:cs="Times New Roman"/>
          <w:color w:val="000000"/>
          <w:szCs w:val="24"/>
          <w:shd w:val="clear" w:color="auto" w:fill="FFFFFF"/>
          <w:lang w:eastAsia="tr-TR"/>
        </w:rPr>
      </w:pPr>
      <w:r w:rsidRPr="00FA25AB">
        <w:rPr>
          <w:rFonts w:eastAsia="Times New Roman" w:cs="Times New Roman"/>
          <w:color w:val="000000"/>
          <w:szCs w:val="24"/>
          <w:shd w:val="clear" w:color="auto" w:fill="FFFFFF"/>
          <w:lang w:eastAsia="tr-TR"/>
        </w:rPr>
        <w:t xml:space="preserve">Met, Ö. (2013). </w:t>
      </w:r>
      <w:r w:rsidRPr="00FA25AB">
        <w:rPr>
          <w:rFonts w:eastAsia="Times New Roman" w:cs="Times New Roman"/>
          <w:i/>
          <w:color w:val="000000"/>
          <w:szCs w:val="24"/>
          <w:shd w:val="clear" w:color="auto" w:fill="FFFFFF"/>
          <w:lang w:eastAsia="tr-TR"/>
        </w:rPr>
        <w:t xml:space="preserve">Turizm ve ağırlama işletmelerinde finansal analiz ve bir uygulama. </w:t>
      </w:r>
      <w:r w:rsidRPr="00FA25AB">
        <w:rPr>
          <w:rFonts w:eastAsia="Times New Roman" w:cs="Times New Roman"/>
          <w:color w:val="000000"/>
          <w:szCs w:val="24"/>
          <w:shd w:val="clear" w:color="auto" w:fill="FFFFFF"/>
          <w:lang w:eastAsia="tr-TR"/>
        </w:rPr>
        <w:t>Ankara: Detay Yayıncılık.</w:t>
      </w:r>
    </w:p>
    <w:p w:rsidR="00D64C6E" w:rsidRPr="00FA25AB" w:rsidRDefault="00D64C6E" w:rsidP="00D64C6E">
      <w:pPr>
        <w:shd w:val="clear" w:color="auto" w:fill="FFFFFF"/>
        <w:spacing w:after="120"/>
        <w:jc w:val="both"/>
        <w:rPr>
          <w:rFonts w:eastAsia="Times New Roman" w:cs="Times New Roman"/>
          <w:color w:val="000000"/>
          <w:szCs w:val="24"/>
          <w:shd w:val="clear" w:color="auto" w:fill="FFFFFF"/>
          <w:lang w:eastAsia="tr-TR"/>
        </w:rPr>
      </w:pPr>
      <w:r w:rsidRPr="00FA25AB">
        <w:rPr>
          <w:rFonts w:eastAsia="Times New Roman" w:cs="Times New Roman"/>
          <w:color w:val="000000"/>
          <w:szCs w:val="24"/>
          <w:shd w:val="clear" w:color="auto" w:fill="FFFFFF"/>
          <w:lang w:eastAsia="tr-TR"/>
        </w:rPr>
        <w:t xml:space="preserve">Okka, O. (2009). </w:t>
      </w:r>
      <w:r w:rsidRPr="00FA25AB">
        <w:rPr>
          <w:rFonts w:eastAsia="Times New Roman" w:cs="Times New Roman"/>
          <w:i/>
          <w:color w:val="000000"/>
          <w:szCs w:val="24"/>
          <w:shd w:val="clear" w:color="auto" w:fill="FFFFFF"/>
          <w:lang w:eastAsia="tr-TR"/>
        </w:rPr>
        <w:t>Analitik finansal yönetim.</w:t>
      </w:r>
      <w:r w:rsidRPr="00FA25AB">
        <w:rPr>
          <w:rFonts w:eastAsia="Times New Roman" w:cs="Times New Roman"/>
          <w:color w:val="000000"/>
          <w:szCs w:val="24"/>
          <w:shd w:val="clear" w:color="auto" w:fill="FFFFFF"/>
          <w:lang w:eastAsia="tr-TR"/>
        </w:rPr>
        <w:t xml:space="preserve"> Ankara: Nobel Akademik Yayıncılık.</w:t>
      </w:r>
    </w:p>
    <w:p w:rsidR="00D64C6E" w:rsidRPr="00FA25AB" w:rsidRDefault="00D64C6E" w:rsidP="00D64C6E">
      <w:pPr>
        <w:shd w:val="clear" w:color="auto" w:fill="FFFFFF"/>
        <w:spacing w:after="120"/>
        <w:jc w:val="both"/>
        <w:rPr>
          <w:rFonts w:eastAsia="Times New Roman" w:cs="Times New Roman"/>
          <w:color w:val="000000"/>
          <w:szCs w:val="24"/>
          <w:shd w:val="clear" w:color="auto" w:fill="FFFFFF"/>
          <w:lang w:eastAsia="tr-TR"/>
        </w:rPr>
      </w:pPr>
      <w:r w:rsidRPr="00FA25AB">
        <w:rPr>
          <w:rFonts w:eastAsia="Times New Roman" w:cs="Times New Roman"/>
          <w:color w:val="000000"/>
          <w:szCs w:val="24"/>
          <w:shd w:val="clear" w:color="auto" w:fill="FFFFFF"/>
          <w:lang w:eastAsia="tr-TR"/>
        </w:rPr>
        <w:lastRenderedPageBreak/>
        <w:t xml:space="preserve">Özdemir, F. S. (2011). </w:t>
      </w:r>
      <w:r w:rsidRPr="00FA25AB">
        <w:rPr>
          <w:rFonts w:eastAsia="Times New Roman" w:cs="Times New Roman"/>
          <w:i/>
          <w:color w:val="000000"/>
          <w:szCs w:val="24"/>
          <w:shd w:val="clear" w:color="auto" w:fill="FFFFFF"/>
          <w:lang w:eastAsia="tr-TR"/>
        </w:rPr>
        <w:t xml:space="preserve">Finansal raporlama sistemlerinin bilginin ihtiyaca uygunluğu açısından değerlendirilmesi: İMKB şirketlerinde finansal başarısızlık tahminleri yönüyle bir uygulama. </w:t>
      </w:r>
      <w:r w:rsidRPr="00FA25AB">
        <w:rPr>
          <w:rFonts w:eastAsia="Times New Roman" w:cs="Times New Roman"/>
          <w:color w:val="000000"/>
          <w:szCs w:val="24"/>
          <w:shd w:val="clear" w:color="auto" w:fill="FFFFFF"/>
          <w:lang w:eastAsia="tr-TR"/>
        </w:rPr>
        <w:t>Doktora tezi, Ankara Üniversitesi, Ankara.</w:t>
      </w:r>
    </w:p>
    <w:p w:rsidR="00D64C6E" w:rsidRPr="00FA25AB" w:rsidRDefault="00D64C6E" w:rsidP="00D64C6E">
      <w:pPr>
        <w:shd w:val="clear" w:color="auto" w:fill="FFFFFF"/>
        <w:spacing w:after="120"/>
        <w:jc w:val="both"/>
        <w:rPr>
          <w:rFonts w:eastAsia="Times New Roman" w:cs="Times New Roman"/>
          <w:color w:val="000000"/>
          <w:szCs w:val="24"/>
          <w:shd w:val="clear" w:color="auto" w:fill="FFFFFF"/>
          <w:lang w:eastAsia="tr-TR"/>
        </w:rPr>
      </w:pPr>
      <w:r w:rsidRPr="00FA25AB">
        <w:rPr>
          <w:rFonts w:eastAsia="Times New Roman" w:cs="Times New Roman"/>
          <w:color w:val="000000"/>
          <w:szCs w:val="24"/>
          <w:shd w:val="clear" w:color="auto" w:fill="FFFFFF"/>
          <w:lang w:eastAsia="tr-TR"/>
        </w:rPr>
        <w:t xml:space="preserve">Pacheco, L. (2015). SMEs probability of default: Thecase of the hospitality sector. </w:t>
      </w:r>
      <w:r w:rsidRPr="00FA25AB">
        <w:rPr>
          <w:rFonts w:eastAsia="Times New Roman" w:cs="Times New Roman"/>
          <w:i/>
          <w:color w:val="000000"/>
          <w:szCs w:val="24"/>
          <w:shd w:val="clear" w:color="auto" w:fill="FFFFFF"/>
          <w:lang w:eastAsia="tr-TR"/>
        </w:rPr>
        <w:t>Tourism &amp; Management Studies</w:t>
      </w:r>
      <w:r w:rsidRPr="00FA25AB">
        <w:rPr>
          <w:rFonts w:eastAsia="Times New Roman" w:cs="Times New Roman"/>
          <w:color w:val="000000"/>
          <w:szCs w:val="24"/>
          <w:shd w:val="clear" w:color="auto" w:fill="FFFFFF"/>
          <w:lang w:eastAsia="tr-TR"/>
        </w:rPr>
        <w:t>, 11(1), 153-159.</w:t>
      </w:r>
    </w:p>
    <w:p w:rsidR="00D64C6E" w:rsidRPr="00FA25AB" w:rsidRDefault="00D64C6E" w:rsidP="00D64C6E">
      <w:pPr>
        <w:shd w:val="clear" w:color="auto" w:fill="FFFFFF"/>
        <w:spacing w:after="120"/>
        <w:jc w:val="both"/>
        <w:rPr>
          <w:rFonts w:eastAsia="Times New Roman" w:cs="Times New Roman"/>
          <w:color w:val="000000"/>
          <w:szCs w:val="24"/>
          <w:shd w:val="clear" w:color="auto" w:fill="FFFFFF"/>
          <w:lang w:eastAsia="tr-TR"/>
        </w:rPr>
      </w:pPr>
      <w:r w:rsidRPr="00FA25AB">
        <w:rPr>
          <w:rFonts w:eastAsia="Times New Roman" w:cs="Times New Roman"/>
          <w:color w:val="000000"/>
          <w:szCs w:val="24"/>
          <w:shd w:val="clear" w:color="auto" w:fill="FFFFFF"/>
          <w:lang w:eastAsia="tr-TR"/>
        </w:rPr>
        <w:t xml:space="preserve">Poyraz, E. &amp; Uçma, T. (2006). Türkiye’de faaliyet gösteren ihracatçı sektörlerin mali kriz ortamlarında finansal başarısızlıklarının Altman (Z-Score) modeli yardımıyla ölçülmesi. </w:t>
      </w:r>
      <w:r w:rsidRPr="00FA25AB">
        <w:rPr>
          <w:rFonts w:eastAsia="Times New Roman" w:cs="Times New Roman"/>
          <w:i/>
          <w:color w:val="000000"/>
          <w:szCs w:val="24"/>
          <w:shd w:val="clear" w:color="auto" w:fill="FFFFFF"/>
          <w:lang w:eastAsia="tr-TR"/>
        </w:rPr>
        <w:t>Muhasebe ve Finanansman Dergisi</w:t>
      </w:r>
      <w:r w:rsidRPr="00FA25AB">
        <w:rPr>
          <w:rFonts w:eastAsia="Times New Roman" w:cs="Times New Roman"/>
          <w:color w:val="000000"/>
          <w:szCs w:val="24"/>
          <w:shd w:val="clear" w:color="auto" w:fill="FFFFFF"/>
          <w:lang w:eastAsia="tr-TR"/>
        </w:rPr>
        <w:t>, (32), 1-10.</w:t>
      </w:r>
    </w:p>
    <w:p w:rsidR="00D64C6E" w:rsidRPr="00FA25AB" w:rsidRDefault="00D64C6E" w:rsidP="00D64C6E">
      <w:pPr>
        <w:shd w:val="clear" w:color="auto" w:fill="FFFFFF"/>
        <w:spacing w:after="120"/>
        <w:jc w:val="both"/>
        <w:rPr>
          <w:rFonts w:eastAsia="Times New Roman" w:cs="Times New Roman"/>
          <w:color w:val="000000"/>
          <w:szCs w:val="24"/>
          <w:shd w:val="clear" w:color="auto" w:fill="FFFFFF"/>
          <w:lang w:eastAsia="tr-TR"/>
        </w:rPr>
      </w:pPr>
      <w:r w:rsidRPr="00FA25AB">
        <w:rPr>
          <w:rFonts w:eastAsia="Times New Roman" w:cs="Times New Roman"/>
          <w:color w:val="000000"/>
          <w:szCs w:val="24"/>
          <w:shd w:val="clear" w:color="auto" w:fill="FFFFFF"/>
          <w:lang w:eastAsia="tr-TR"/>
        </w:rPr>
        <w:t>Sevil, G., Başar, M. &amp; Coşkun, M. (Eds.). (2013). Finansal yönetim-</w:t>
      </w:r>
      <w:r w:rsidRPr="00FA25AB">
        <w:rPr>
          <w:rFonts w:eastAsia="MS Mincho" w:cs="Times New Roman"/>
          <w:color w:val="000000"/>
          <w:szCs w:val="24"/>
          <w:shd w:val="clear" w:color="auto" w:fill="FFFFFF"/>
          <w:lang w:eastAsia="tr-TR"/>
        </w:rPr>
        <w:t>Ⅱ</w:t>
      </w:r>
      <w:r w:rsidRPr="00FA25AB">
        <w:rPr>
          <w:rFonts w:eastAsia="Times New Roman" w:cs="Times New Roman"/>
          <w:color w:val="000000"/>
          <w:szCs w:val="24"/>
          <w:shd w:val="clear" w:color="auto" w:fill="FFFFFF"/>
          <w:lang w:eastAsia="tr-TR"/>
        </w:rPr>
        <w:t>. Ankara: Anadolu Üniversitesi Yayınları.</w:t>
      </w:r>
    </w:p>
    <w:p w:rsidR="00D64C6E" w:rsidRPr="00FA25AB" w:rsidRDefault="00D64C6E" w:rsidP="00D64C6E">
      <w:pPr>
        <w:shd w:val="clear" w:color="auto" w:fill="FFFFFF"/>
        <w:spacing w:after="120"/>
        <w:jc w:val="both"/>
        <w:rPr>
          <w:rFonts w:eastAsia="Times New Roman" w:cs="Times New Roman"/>
          <w:color w:val="000000"/>
          <w:szCs w:val="24"/>
          <w:shd w:val="clear" w:color="auto" w:fill="FFFFFF"/>
          <w:lang w:eastAsia="tr-TR"/>
        </w:rPr>
      </w:pPr>
      <w:r w:rsidRPr="00FA25AB">
        <w:rPr>
          <w:rFonts w:eastAsia="Times New Roman" w:cs="Times New Roman"/>
          <w:color w:val="000000"/>
          <w:szCs w:val="24"/>
          <w:shd w:val="clear" w:color="auto" w:fill="FFFFFF"/>
          <w:lang w:eastAsia="tr-TR"/>
        </w:rPr>
        <w:t>TDK, Türk Dil Kurumu (t.y.). Büyük Türkçe sözlük. 26 Temmuz 2018 tarihinde www.tdk.gov.tr adresinden alınmıştır.</w:t>
      </w:r>
    </w:p>
    <w:p w:rsidR="00D64C6E" w:rsidRPr="00FA25AB" w:rsidRDefault="00D64C6E" w:rsidP="00D64C6E">
      <w:pPr>
        <w:shd w:val="clear" w:color="auto" w:fill="FFFFFF"/>
        <w:spacing w:after="120"/>
        <w:jc w:val="both"/>
        <w:rPr>
          <w:rFonts w:eastAsia="Times New Roman" w:cs="Times New Roman"/>
          <w:color w:val="000000"/>
          <w:szCs w:val="24"/>
          <w:shd w:val="clear" w:color="auto" w:fill="FFFFFF"/>
          <w:lang w:eastAsia="tr-TR"/>
        </w:rPr>
      </w:pPr>
      <w:r w:rsidRPr="00FA25AB">
        <w:rPr>
          <w:rFonts w:eastAsia="Times New Roman" w:cs="Times New Roman"/>
          <w:color w:val="000000"/>
          <w:szCs w:val="24"/>
          <w:shd w:val="clear" w:color="auto" w:fill="FFFFFF"/>
          <w:lang w:eastAsia="tr-TR"/>
        </w:rPr>
        <w:t xml:space="preserve">Türksoy, A. (2007). Konaklama işletmelerinde mali başarısızlığa yol açan etmenler. </w:t>
      </w:r>
      <w:r w:rsidRPr="00FA25AB">
        <w:rPr>
          <w:rFonts w:eastAsia="Times New Roman" w:cs="Times New Roman"/>
          <w:i/>
          <w:color w:val="000000"/>
          <w:szCs w:val="24"/>
          <w:shd w:val="clear" w:color="auto" w:fill="FFFFFF"/>
          <w:lang w:eastAsia="tr-TR"/>
        </w:rPr>
        <w:t>Ege Akademik Bakış,</w:t>
      </w:r>
      <w:r w:rsidRPr="00FA25AB">
        <w:rPr>
          <w:rFonts w:eastAsia="Times New Roman" w:cs="Times New Roman"/>
          <w:color w:val="000000"/>
          <w:szCs w:val="24"/>
          <w:shd w:val="clear" w:color="auto" w:fill="FFFFFF"/>
          <w:lang w:eastAsia="tr-TR"/>
        </w:rPr>
        <w:t xml:space="preserve"> 7(1), 99-115.</w:t>
      </w:r>
    </w:p>
    <w:p w:rsidR="00D64C6E" w:rsidRDefault="00D64C6E" w:rsidP="00D64C6E">
      <w:pPr>
        <w:spacing w:after="120"/>
        <w:jc w:val="both"/>
        <w:rPr>
          <w:rFonts w:eastAsia="Times New Roman" w:cs="Times New Roman"/>
          <w:color w:val="000000"/>
          <w:szCs w:val="24"/>
        </w:rPr>
      </w:pPr>
      <w:r w:rsidRPr="00FA25AB">
        <w:rPr>
          <w:rFonts w:eastAsia="Times New Roman" w:cs="Times New Roman"/>
          <w:color w:val="000000"/>
          <w:szCs w:val="24"/>
          <w:shd w:val="clear" w:color="auto" w:fill="FFFFFF"/>
          <w:lang w:eastAsia="tr-TR"/>
        </w:rPr>
        <w:t xml:space="preserve">Weitzel, W. &amp;Jonsson, E. (1989). Decline in organizations: A literatüre integrationandextension. </w:t>
      </w:r>
      <w:r w:rsidRPr="00FA25AB">
        <w:rPr>
          <w:rFonts w:eastAsia="Times New Roman" w:cs="Times New Roman"/>
          <w:i/>
          <w:color w:val="000000"/>
          <w:szCs w:val="24"/>
          <w:shd w:val="clear" w:color="auto" w:fill="FFFFFF"/>
          <w:lang w:eastAsia="tr-TR"/>
        </w:rPr>
        <w:t>Administrative Science Quarterly,</w:t>
      </w:r>
      <w:r w:rsidRPr="00FA25AB">
        <w:rPr>
          <w:rFonts w:eastAsia="Times New Roman" w:cs="Times New Roman"/>
          <w:color w:val="000000"/>
          <w:szCs w:val="24"/>
          <w:shd w:val="clear" w:color="auto" w:fill="FFFFFF"/>
          <w:lang w:eastAsia="tr-TR"/>
        </w:rPr>
        <w:t xml:space="preserve"> 34(1), 91-109</w:t>
      </w:r>
      <w:r w:rsidRPr="00FA25AB">
        <w:rPr>
          <w:rFonts w:eastAsia="Calibri" w:cs="Times New Roman"/>
          <w:szCs w:val="24"/>
        </w:rPr>
        <w:t>.</w:t>
      </w:r>
      <w:bookmarkEnd w:id="1"/>
    </w:p>
    <w:p w:rsidR="00D64C6E" w:rsidRDefault="00D64C6E" w:rsidP="00D64C6E">
      <w:pPr>
        <w:rPr>
          <w:rFonts w:eastAsia="Times New Roman" w:cs="Times New Roman"/>
          <w:color w:val="000000"/>
          <w:szCs w:val="24"/>
        </w:rPr>
      </w:pPr>
      <w:r>
        <w:rPr>
          <w:rFonts w:eastAsia="Times New Roman" w:cs="Times New Roman"/>
          <w:color w:val="000000"/>
          <w:szCs w:val="24"/>
        </w:rPr>
        <w:br w:type="page"/>
      </w:r>
    </w:p>
    <w:p w:rsidR="00D64C6E" w:rsidRDefault="00D64C6E" w:rsidP="00D64C6E">
      <w:pPr>
        <w:rPr>
          <w:rFonts w:eastAsia="Times New Roman" w:cs="Times New Roman"/>
          <w:color w:val="000000"/>
          <w:szCs w:val="24"/>
        </w:rPr>
      </w:pPr>
    </w:p>
    <w:p w:rsidR="00A72E4B" w:rsidRDefault="00A72E4B"/>
    <w:sectPr w:rsidR="00A72E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C6E" w:rsidRDefault="00D64C6E" w:rsidP="00D64C6E">
      <w:pPr>
        <w:spacing w:after="0" w:line="240" w:lineRule="auto"/>
      </w:pPr>
      <w:r>
        <w:separator/>
      </w:r>
    </w:p>
  </w:endnote>
  <w:endnote w:type="continuationSeparator" w:id="0">
    <w:p w:rsidR="00D64C6E" w:rsidRDefault="00D64C6E" w:rsidP="00D64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MS Gothic"/>
    <w:panose1 w:val="00000000000000000000"/>
    <w:charset w:val="80"/>
    <w:family w:val="auto"/>
    <w:notTrueType/>
    <w:pitch w:val="default"/>
    <w:sig w:usb0="00000083" w:usb1="08070000" w:usb2="00000010" w:usb3="00000000" w:csb0="00020009"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umanist531BT-RomanA">
    <w:altName w:val="Times New Roman"/>
    <w:panose1 w:val="00000000000000000000"/>
    <w:charset w:val="00"/>
    <w:family w:val="roman"/>
    <w:notTrueType/>
    <w:pitch w:val="default"/>
  </w:font>
  <w:font w:name="Times">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C6E" w:rsidRDefault="00D64C6E" w:rsidP="00D64C6E">
      <w:pPr>
        <w:spacing w:after="0" w:line="240" w:lineRule="auto"/>
      </w:pPr>
      <w:r>
        <w:separator/>
      </w:r>
    </w:p>
  </w:footnote>
  <w:footnote w:type="continuationSeparator" w:id="0">
    <w:p w:rsidR="00D64C6E" w:rsidRDefault="00D64C6E" w:rsidP="00D64C6E">
      <w:pPr>
        <w:spacing w:after="0" w:line="240" w:lineRule="auto"/>
      </w:pPr>
      <w:r>
        <w:continuationSeparator/>
      </w:r>
    </w:p>
  </w:footnote>
  <w:footnote w:id="1">
    <w:p w:rsidR="00D64C6E" w:rsidRDefault="00D64C6E" w:rsidP="00D64C6E">
      <w:pPr>
        <w:pStyle w:val="DipnotMetni"/>
        <w:ind w:firstLine="0"/>
      </w:pPr>
      <w:r w:rsidRPr="009F3819">
        <w:rPr>
          <w:rStyle w:val="DipnotBavurusu"/>
        </w:rPr>
        <w:footnoteRef/>
      </w:r>
      <w:r w:rsidRPr="009F3819">
        <w:t xml:space="preserve"> Mersin Üniversitesi, İktisadi ve İdari Bilimler Fakültesi, İktisat Bölümü, Mersin-Türkiye, </w:t>
      </w:r>
      <w:hyperlink r:id="rId1" w:history="1">
        <w:r w:rsidRPr="009F3819">
          <w:rPr>
            <w:rStyle w:val="Kpr"/>
          </w:rPr>
          <w:t>aygorkubra@gmail.com</w:t>
        </w:r>
      </w:hyperlink>
      <w:r w:rsidRPr="009F3819">
        <w:rPr>
          <w:rStyle w:val="Kpr"/>
        </w:rPr>
        <w:t>.</w:t>
      </w:r>
    </w:p>
  </w:footnote>
  <w:footnote w:id="2">
    <w:p w:rsidR="00D64C6E" w:rsidRDefault="00D64C6E" w:rsidP="00D64C6E">
      <w:pPr>
        <w:pStyle w:val="DipnotMetni"/>
      </w:pPr>
      <w:r>
        <w:rPr>
          <w:rStyle w:val="DipnotBavurusu"/>
        </w:rPr>
        <w:footnoteRef/>
      </w:r>
      <w:r>
        <w:t xml:space="preserve"> </w:t>
      </w:r>
      <w:r w:rsidRPr="00394369">
        <w:t xml:space="preserve">Bu makale I. Uluslararası Akdeniz Sempozyumunda sözlü olarak sunulan </w:t>
      </w:r>
      <w:r w:rsidRPr="00DF0033">
        <w:t>Borsa İstanbul Konaklama İşletmelerinde Finansal Başarısızlık Riskinin Beaver Modeli Kullanılarak Analizi</w:t>
      </w:r>
      <w:r w:rsidRPr="00614DCB">
        <w:t xml:space="preserve"> </w:t>
      </w:r>
      <w:r w:rsidRPr="00394369">
        <w:t>isimli çalışma esas alınarak hazırlanmıştır.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8F493A4"/>
    <w:lvl w:ilvl="0">
      <w:numFmt w:val="bullet"/>
      <w:lvlText w:val="*"/>
      <w:lvlJc w:val="left"/>
    </w:lvl>
  </w:abstractNum>
  <w:abstractNum w:abstractNumId="1" w15:restartNumberingAfterBreak="0">
    <w:nsid w:val="0DC44AD3"/>
    <w:multiLevelType w:val="hybridMultilevel"/>
    <w:tmpl w:val="6B422C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8F1DC1"/>
    <w:multiLevelType w:val="hybridMultilevel"/>
    <w:tmpl w:val="B8122D66"/>
    <w:lvl w:ilvl="0" w:tplc="E24C1D56">
      <w:start w:val="2"/>
      <w:numFmt w:val="bullet"/>
      <w:lvlText w:val="-"/>
      <w:lvlJc w:val="left"/>
      <w:pPr>
        <w:ind w:left="720" w:hanging="360"/>
      </w:pPr>
      <w:rPr>
        <w:rFonts w:ascii="Times-Roman" w:eastAsia="Calibri" w:hAnsi="Times-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B7BA7"/>
    <w:multiLevelType w:val="hybridMultilevel"/>
    <w:tmpl w:val="96C0F02A"/>
    <w:lvl w:ilvl="0" w:tplc="EB06FD9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70FC8"/>
    <w:multiLevelType w:val="hybridMultilevel"/>
    <w:tmpl w:val="4E70704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5B971F2"/>
    <w:multiLevelType w:val="hybridMultilevel"/>
    <w:tmpl w:val="943C37BC"/>
    <w:lvl w:ilvl="0" w:tplc="192022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30B26"/>
    <w:multiLevelType w:val="multilevel"/>
    <w:tmpl w:val="839A1B64"/>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2D9A32FF"/>
    <w:multiLevelType w:val="hybridMultilevel"/>
    <w:tmpl w:val="1E38CBD2"/>
    <w:lvl w:ilvl="0" w:tplc="9B9C4DA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CE677A5"/>
    <w:multiLevelType w:val="multilevel"/>
    <w:tmpl w:val="913294B0"/>
    <w:lvl w:ilvl="0">
      <w:start w:val="1"/>
      <w:numFmt w:val="decimal"/>
      <w:lvlText w:val="%1."/>
      <w:lvlJc w:val="left"/>
      <w:pPr>
        <w:ind w:left="6384" w:hanging="360"/>
      </w:pPr>
    </w:lvl>
    <w:lvl w:ilvl="1">
      <w:start w:val="1"/>
      <w:numFmt w:val="decimal"/>
      <w:isLgl/>
      <w:lvlText w:val="%1.%2."/>
      <w:lvlJc w:val="left"/>
      <w:pPr>
        <w:ind w:left="7104" w:hanging="720"/>
      </w:pPr>
      <w:rPr>
        <w:rFonts w:hint="default"/>
      </w:rPr>
    </w:lvl>
    <w:lvl w:ilvl="2">
      <w:start w:val="1"/>
      <w:numFmt w:val="decimal"/>
      <w:isLgl/>
      <w:lvlText w:val="%1.%2.%3."/>
      <w:lvlJc w:val="left"/>
      <w:pPr>
        <w:ind w:left="7464" w:hanging="720"/>
      </w:pPr>
      <w:rPr>
        <w:rFonts w:hint="default"/>
      </w:rPr>
    </w:lvl>
    <w:lvl w:ilvl="3">
      <w:start w:val="1"/>
      <w:numFmt w:val="decimal"/>
      <w:isLgl/>
      <w:lvlText w:val="%1.%2.%3.%4."/>
      <w:lvlJc w:val="left"/>
      <w:pPr>
        <w:ind w:left="8184" w:hanging="1080"/>
      </w:pPr>
      <w:rPr>
        <w:rFonts w:hint="default"/>
      </w:rPr>
    </w:lvl>
    <w:lvl w:ilvl="4">
      <w:start w:val="1"/>
      <w:numFmt w:val="decimal"/>
      <w:isLgl/>
      <w:lvlText w:val="%1.%2.%3.%4.%5."/>
      <w:lvlJc w:val="left"/>
      <w:pPr>
        <w:ind w:left="8544" w:hanging="1080"/>
      </w:pPr>
      <w:rPr>
        <w:rFonts w:hint="default"/>
      </w:rPr>
    </w:lvl>
    <w:lvl w:ilvl="5">
      <w:start w:val="1"/>
      <w:numFmt w:val="decimal"/>
      <w:isLgl/>
      <w:lvlText w:val="%1.%2.%3.%4.%5.%6."/>
      <w:lvlJc w:val="left"/>
      <w:pPr>
        <w:ind w:left="9264" w:hanging="1440"/>
      </w:pPr>
      <w:rPr>
        <w:rFonts w:hint="default"/>
      </w:rPr>
    </w:lvl>
    <w:lvl w:ilvl="6">
      <w:start w:val="1"/>
      <w:numFmt w:val="decimal"/>
      <w:isLgl/>
      <w:lvlText w:val="%1.%2.%3.%4.%5.%6.%7."/>
      <w:lvlJc w:val="left"/>
      <w:pPr>
        <w:ind w:left="9984" w:hanging="1800"/>
      </w:pPr>
      <w:rPr>
        <w:rFonts w:hint="default"/>
      </w:rPr>
    </w:lvl>
    <w:lvl w:ilvl="7">
      <w:start w:val="1"/>
      <w:numFmt w:val="decimal"/>
      <w:isLgl/>
      <w:lvlText w:val="%1.%2.%3.%4.%5.%6.%7.%8."/>
      <w:lvlJc w:val="left"/>
      <w:pPr>
        <w:ind w:left="10344" w:hanging="1800"/>
      </w:pPr>
      <w:rPr>
        <w:rFonts w:hint="default"/>
      </w:rPr>
    </w:lvl>
    <w:lvl w:ilvl="8">
      <w:start w:val="1"/>
      <w:numFmt w:val="decimal"/>
      <w:isLgl/>
      <w:lvlText w:val="%1.%2.%3.%4.%5.%6.%7.%8.%9."/>
      <w:lvlJc w:val="left"/>
      <w:pPr>
        <w:ind w:left="11064" w:hanging="2160"/>
      </w:pPr>
      <w:rPr>
        <w:rFonts w:hint="default"/>
      </w:rPr>
    </w:lvl>
  </w:abstractNum>
  <w:abstractNum w:abstractNumId="9" w15:restartNumberingAfterBreak="0">
    <w:nsid w:val="48AF2E31"/>
    <w:multiLevelType w:val="hybridMultilevel"/>
    <w:tmpl w:val="803E6C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4C0F30A1"/>
    <w:multiLevelType w:val="hybridMultilevel"/>
    <w:tmpl w:val="D772E952"/>
    <w:lvl w:ilvl="0" w:tplc="CCA6AC84">
      <w:start w:val="1"/>
      <w:numFmt w:val="decimal"/>
      <w:lvlText w:val="%1."/>
      <w:lvlJc w:val="left"/>
      <w:pPr>
        <w:tabs>
          <w:tab w:val="num" w:pos="720"/>
        </w:tabs>
        <w:ind w:left="720" w:hanging="360"/>
      </w:pPr>
      <w:rPr>
        <w:rFonts w:ascii="Times New Roman" w:hAnsi="Times New Roman" w:cs="Times New Roman" w:hint="default"/>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54A20FC7"/>
    <w:multiLevelType w:val="hybridMultilevel"/>
    <w:tmpl w:val="F3500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3" w15:restartNumberingAfterBreak="0">
    <w:nsid w:val="59735644"/>
    <w:multiLevelType w:val="hybridMultilevel"/>
    <w:tmpl w:val="8E38617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488072B"/>
    <w:multiLevelType w:val="hybridMultilevel"/>
    <w:tmpl w:val="522C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FB32B5"/>
    <w:multiLevelType w:val="hybridMultilevel"/>
    <w:tmpl w:val="1458C8C6"/>
    <w:lvl w:ilvl="0" w:tplc="35CEA764">
      <w:start w:val="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FB84256"/>
    <w:multiLevelType w:val="hybridMultilevel"/>
    <w:tmpl w:val="94C613C6"/>
    <w:lvl w:ilvl="0" w:tplc="DF566D4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07162E9"/>
    <w:multiLevelType w:val="hybridMultilevel"/>
    <w:tmpl w:val="CE8C47B6"/>
    <w:lvl w:ilvl="0" w:tplc="E24C1D56">
      <w:start w:val="2"/>
      <w:numFmt w:val="bullet"/>
      <w:lvlText w:val="-"/>
      <w:lvlJc w:val="left"/>
      <w:pPr>
        <w:ind w:left="1146" w:hanging="360"/>
      </w:pPr>
      <w:rPr>
        <w:rFonts w:ascii="Times-Roman" w:eastAsia="Calibri" w:hAnsi="Times-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71A1701D"/>
    <w:multiLevelType w:val="hybridMultilevel"/>
    <w:tmpl w:val="A8766752"/>
    <w:lvl w:ilvl="0" w:tplc="9B9C4DA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6461E50"/>
    <w:multiLevelType w:val="hybridMultilevel"/>
    <w:tmpl w:val="314A28F6"/>
    <w:lvl w:ilvl="0" w:tplc="D5662C82">
      <w:start w:val="1"/>
      <w:numFmt w:val="bullet"/>
      <w:lvlText w:val=""/>
      <w:lvlJc w:val="left"/>
      <w:pPr>
        <w:ind w:left="1428" w:hanging="407"/>
      </w:pPr>
      <w:rPr>
        <w:rFonts w:ascii="Wingdings" w:hAnsi="Wingdings"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18"/>
  </w:num>
  <w:num w:numId="2">
    <w:abstractNumId w:val="7"/>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4"/>
  </w:num>
  <w:num w:numId="5">
    <w:abstractNumId w:val="2"/>
  </w:num>
  <w:num w:numId="6">
    <w:abstractNumId w:val="17"/>
  </w:num>
  <w:num w:numId="7">
    <w:abstractNumId w:val="5"/>
  </w:num>
  <w:num w:numId="8">
    <w:abstractNumId w:val="10"/>
  </w:num>
  <w:num w:numId="9">
    <w:abstractNumId w:val="8"/>
  </w:num>
  <w:num w:numId="10">
    <w:abstractNumId w:val="3"/>
  </w:num>
  <w:num w:numId="11">
    <w:abstractNumId w:val="11"/>
  </w:num>
  <w:num w:numId="12">
    <w:abstractNumId w:val="16"/>
  </w:num>
  <w:num w:numId="13">
    <w:abstractNumId w:val="6"/>
  </w:num>
  <w:num w:numId="14">
    <w:abstractNumId w:val="1"/>
  </w:num>
  <w:num w:numId="15">
    <w:abstractNumId w:val="13"/>
  </w:num>
  <w:num w:numId="16">
    <w:abstractNumId w:val="12"/>
  </w:num>
  <w:num w:numId="17">
    <w:abstractNumId w:val="15"/>
  </w:num>
  <w:num w:numId="18">
    <w:abstractNumId w:val="14"/>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C6E"/>
    <w:rsid w:val="00A72E4B"/>
    <w:rsid w:val="00D64C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85F47-CE5D-433C-A671-263EAFB5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C6E"/>
  </w:style>
  <w:style w:type="paragraph" w:styleId="Balk1">
    <w:name w:val="heading 1"/>
    <w:basedOn w:val="Normal"/>
    <w:next w:val="Normal"/>
    <w:link w:val="Balk1Char"/>
    <w:autoRedefine/>
    <w:uiPriority w:val="9"/>
    <w:qFormat/>
    <w:rsid w:val="00D64C6E"/>
    <w:pPr>
      <w:keepNext/>
      <w:keepLines/>
      <w:spacing w:after="120"/>
      <w:jc w:val="center"/>
      <w:outlineLvl w:val="0"/>
    </w:pPr>
    <w:rPr>
      <w:rFonts w:eastAsiaTheme="majorEastAsia" w:cstheme="majorBidi"/>
      <w:b/>
      <w:szCs w:val="32"/>
      <w:lang w:val="en"/>
    </w:rPr>
  </w:style>
  <w:style w:type="paragraph" w:styleId="Balk2">
    <w:name w:val="heading 2"/>
    <w:basedOn w:val="Normal"/>
    <w:next w:val="Normal"/>
    <w:link w:val="Balk2Char"/>
    <w:uiPriority w:val="9"/>
    <w:qFormat/>
    <w:rsid w:val="00D64C6E"/>
    <w:pPr>
      <w:spacing w:after="0" w:line="240" w:lineRule="auto"/>
      <w:jc w:val="center"/>
      <w:outlineLvl w:val="1"/>
    </w:pPr>
    <w:rPr>
      <w:rFonts w:eastAsia="Times New Roman" w:cs="Times New Roman"/>
      <w:b/>
      <w:bCs/>
      <w:color w:val="000000"/>
      <w:kern w:val="28"/>
      <w:szCs w:val="24"/>
      <w:lang w:val="en-CA" w:eastAsia="en-CA"/>
    </w:rPr>
  </w:style>
  <w:style w:type="paragraph" w:styleId="Balk3">
    <w:name w:val="heading 3"/>
    <w:basedOn w:val="Normal"/>
    <w:next w:val="Normal"/>
    <w:link w:val="Balk3Char"/>
    <w:uiPriority w:val="9"/>
    <w:unhideWhenUsed/>
    <w:qFormat/>
    <w:rsid w:val="00D64C6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alk4">
    <w:name w:val="heading 4"/>
    <w:basedOn w:val="Normal"/>
    <w:next w:val="Normal"/>
    <w:link w:val="Balk4Char"/>
    <w:uiPriority w:val="9"/>
    <w:semiHidden/>
    <w:unhideWhenUsed/>
    <w:qFormat/>
    <w:rsid w:val="00D64C6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64C6E"/>
    <w:rPr>
      <w:rFonts w:eastAsiaTheme="majorEastAsia" w:cstheme="majorBidi"/>
      <w:b/>
      <w:szCs w:val="32"/>
      <w:lang w:val="en"/>
    </w:rPr>
  </w:style>
  <w:style w:type="character" w:customStyle="1" w:styleId="Balk2Char">
    <w:name w:val="Başlık 2 Char"/>
    <w:basedOn w:val="VarsaylanParagrafYazTipi"/>
    <w:link w:val="Balk2"/>
    <w:uiPriority w:val="9"/>
    <w:rsid w:val="00D64C6E"/>
    <w:rPr>
      <w:rFonts w:eastAsia="Times New Roman" w:cs="Times New Roman"/>
      <w:b/>
      <w:bCs/>
      <w:color w:val="000000"/>
      <w:kern w:val="28"/>
      <w:szCs w:val="24"/>
      <w:lang w:val="en-CA" w:eastAsia="en-CA"/>
    </w:rPr>
  </w:style>
  <w:style w:type="character" w:customStyle="1" w:styleId="Balk3Char">
    <w:name w:val="Başlık 3 Char"/>
    <w:basedOn w:val="VarsaylanParagrafYazTipi"/>
    <w:link w:val="Balk3"/>
    <w:uiPriority w:val="9"/>
    <w:rsid w:val="00D64C6E"/>
    <w:rPr>
      <w:rFonts w:asciiTheme="majorHAnsi" w:eastAsiaTheme="majorEastAsia" w:hAnsiTheme="majorHAnsi" w:cstheme="majorBidi"/>
      <w:color w:val="1F4D78" w:themeColor="accent1" w:themeShade="7F"/>
      <w:szCs w:val="24"/>
    </w:rPr>
  </w:style>
  <w:style w:type="character" w:customStyle="1" w:styleId="Balk4Char">
    <w:name w:val="Başlık 4 Char"/>
    <w:basedOn w:val="VarsaylanParagrafYazTipi"/>
    <w:link w:val="Balk4"/>
    <w:uiPriority w:val="9"/>
    <w:semiHidden/>
    <w:rsid w:val="00D64C6E"/>
    <w:rPr>
      <w:rFonts w:asciiTheme="majorHAnsi" w:eastAsiaTheme="majorEastAsia" w:hAnsiTheme="majorHAnsi" w:cstheme="majorBidi"/>
      <w:i/>
      <w:iCs/>
      <w:color w:val="2E74B5" w:themeColor="accent1" w:themeShade="BF"/>
    </w:rPr>
  </w:style>
  <w:style w:type="table" w:styleId="TabloKlavuzu">
    <w:name w:val="Table Grid"/>
    <w:basedOn w:val="NormalTablo"/>
    <w:uiPriority w:val="59"/>
    <w:rsid w:val="00D64C6E"/>
    <w:pPr>
      <w:spacing w:after="0" w:line="240" w:lineRule="auto"/>
      <w:jc w:val="both"/>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64C6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64C6E"/>
  </w:style>
  <w:style w:type="paragraph" w:styleId="AltBilgi">
    <w:name w:val="footer"/>
    <w:basedOn w:val="Normal"/>
    <w:link w:val="AltBilgiChar"/>
    <w:uiPriority w:val="99"/>
    <w:unhideWhenUsed/>
    <w:rsid w:val="00D64C6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64C6E"/>
  </w:style>
  <w:style w:type="paragraph" w:customStyle="1" w:styleId="style2">
    <w:name w:val="style2"/>
    <w:basedOn w:val="Normal"/>
    <w:rsid w:val="00D64C6E"/>
    <w:pPr>
      <w:spacing w:before="100" w:beforeAutospacing="1" w:after="100" w:afterAutospacing="1" w:line="240" w:lineRule="auto"/>
    </w:pPr>
    <w:rPr>
      <w:rFonts w:eastAsia="Times New Roman" w:cs="Times New Roman"/>
      <w:szCs w:val="24"/>
      <w:lang w:eastAsia="tr-TR"/>
    </w:rPr>
  </w:style>
  <w:style w:type="character" w:styleId="Gl">
    <w:name w:val="Strong"/>
    <w:uiPriority w:val="22"/>
    <w:qFormat/>
    <w:rsid w:val="00D64C6E"/>
    <w:rPr>
      <w:b/>
      <w:bCs/>
    </w:rPr>
  </w:style>
  <w:style w:type="paragraph" w:customStyle="1" w:styleId="style3">
    <w:name w:val="style3"/>
    <w:basedOn w:val="Normal"/>
    <w:rsid w:val="00D64C6E"/>
    <w:pPr>
      <w:spacing w:before="100" w:beforeAutospacing="1" w:after="100" w:afterAutospacing="1" w:line="240" w:lineRule="auto"/>
    </w:pPr>
    <w:rPr>
      <w:rFonts w:eastAsia="Times New Roman" w:cs="Times New Roman"/>
      <w:szCs w:val="24"/>
      <w:lang w:eastAsia="tr-TR"/>
    </w:rPr>
  </w:style>
  <w:style w:type="table" w:customStyle="1" w:styleId="TableNormal">
    <w:name w:val="Table Normal"/>
    <w:uiPriority w:val="99"/>
    <w:semiHidden/>
    <w:rsid w:val="00D64C6E"/>
    <w:pPr>
      <w:spacing w:line="256" w:lineRule="auto"/>
    </w:pPr>
    <w:rPr>
      <w:rFonts w:ascii="Calibri" w:hAnsi="Calibri"/>
      <w:sz w:val="22"/>
    </w:rPr>
    <w:tblPr>
      <w:tblCellMar>
        <w:top w:w="0" w:type="dxa"/>
        <w:left w:w="108" w:type="dxa"/>
        <w:bottom w:w="0" w:type="dxa"/>
        <w:right w:w="108" w:type="dxa"/>
      </w:tblCellMar>
    </w:tblPr>
  </w:style>
  <w:style w:type="paragraph" w:styleId="DipnotMetni">
    <w:name w:val="footnote text"/>
    <w:basedOn w:val="Normal"/>
    <w:link w:val="DipnotMetniChar"/>
    <w:uiPriority w:val="99"/>
    <w:unhideWhenUsed/>
    <w:rsid w:val="00D64C6E"/>
    <w:pPr>
      <w:spacing w:after="0" w:line="240" w:lineRule="auto"/>
      <w:ind w:firstLine="567"/>
      <w:jc w:val="both"/>
    </w:pPr>
    <w:rPr>
      <w:rFonts w:eastAsia="Times New Roman" w:cs="Times New Roman"/>
      <w:sz w:val="20"/>
      <w:szCs w:val="20"/>
    </w:rPr>
  </w:style>
  <w:style w:type="character" w:customStyle="1" w:styleId="DipnotMetniChar">
    <w:name w:val="Dipnot Metni Char"/>
    <w:basedOn w:val="VarsaylanParagrafYazTipi"/>
    <w:link w:val="DipnotMetni"/>
    <w:uiPriority w:val="99"/>
    <w:rsid w:val="00D64C6E"/>
    <w:rPr>
      <w:rFonts w:eastAsia="Times New Roman" w:cs="Times New Roman"/>
      <w:sz w:val="20"/>
      <w:szCs w:val="20"/>
    </w:rPr>
  </w:style>
  <w:style w:type="character" w:styleId="DipnotBavurusu">
    <w:name w:val="footnote reference"/>
    <w:basedOn w:val="VarsaylanParagrafYazTipi"/>
    <w:uiPriority w:val="99"/>
    <w:unhideWhenUsed/>
    <w:rsid w:val="00D64C6E"/>
    <w:rPr>
      <w:vertAlign w:val="superscript"/>
    </w:rPr>
  </w:style>
  <w:style w:type="character" w:styleId="Kpr">
    <w:name w:val="Hyperlink"/>
    <w:basedOn w:val="VarsaylanParagrafYazTipi"/>
    <w:uiPriority w:val="99"/>
    <w:unhideWhenUsed/>
    <w:rsid w:val="00D64C6E"/>
    <w:rPr>
      <w:color w:val="0563C1" w:themeColor="hyperlink"/>
      <w:u w:val="single"/>
    </w:rPr>
  </w:style>
  <w:style w:type="character" w:customStyle="1" w:styleId="fontstyle01">
    <w:name w:val="fontstyle01"/>
    <w:rsid w:val="00D64C6E"/>
    <w:rPr>
      <w:rFonts w:ascii="Humanist531BT-RomanA" w:hAnsi="Humanist531BT-RomanA" w:hint="default"/>
      <w:b w:val="0"/>
      <w:bCs w:val="0"/>
      <w:i w:val="0"/>
      <w:iCs w:val="0"/>
      <w:color w:val="231F20"/>
      <w:sz w:val="22"/>
      <w:szCs w:val="22"/>
    </w:rPr>
  </w:style>
  <w:style w:type="table" w:customStyle="1" w:styleId="TabloKlavuzu1">
    <w:name w:val="Tablo Kılavuzu1"/>
    <w:basedOn w:val="NormalTablo"/>
    <w:next w:val="TabloKlavuzu"/>
    <w:uiPriority w:val="59"/>
    <w:rsid w:val="00D64C6E"/>
    <w:pPr>
      <w:spacing w:after="0" w:line="240" w:lineRule="auto"/>
    </w:pPr>
    <w:rPr>
      <w:rFonts w:ascii="Calibri" w:eastAsia="Calibri" w:hAnsi="Calibri" w:cs="Times New Roman"/>
      <w:sz w:val="22"/>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D64C6E"/>
    <w:pPr>
      <w:spacing w:after="200" w:line="276" w:lineRule="auto"/>
      <w:ind w:left="720"/>
      <w:contextualSpacing/>
    </w:pPr>
    <w:rPr>
      <w:rFonts w:ascii="Calibri" w:eastAsia="Calibri" w:hAnsi="Calibri" w:cs="Times New Roman"/>
      <w:sz w:val="22"/>
      <w:lang w:val="en-US"/>
    </w:rPr>
  </w:style>
  <w:style w:type="table" w:customStyle="1" w:styleId="TabloKlavuzu2">
    <w:name w:val="Tablo Kılavuzu2"/>
    <w:basedOn w:val="NormalTablo"/>
    <w:next w:val="TabloKlavuzu"/>
    <w:uiPriority w:val="59"/>
    <w:rsid w:val="00D64C6E"/>
    <w:pPr>
      <w:spacing w:after="0" w:line="240" w:lineRule="auto"/>
    </w:pPr>
    <w:rPr>
      <w:rFonts w:ascii="Calibri" w:eastAsia="Calibri" w:hAnsi="Calibri" w:cs="Times New Roman"/>
      <w:sz w:val="22"/>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4C6E"/>
    <w:pPr>
      <w:spacing w:before="100" w:beforeAutospacing="1" w:after="100" w:afterAutospacing="1" w:line="240" w:lineRule="auto"/>
    </w:pPr>
    <w:rPr>
      <w:rFonts w:ascii="Times" w:eastAsiaTheme="minorEastAsia" w:hAnsi="Times" w:cs="Times New Roman"/>
      <w:sz w:val="20"/>
      <w:szCs w:val="20"/>
    </w:rPr>
  </w:style>
  <w:style w:type="character" w:customStyle="1" w:styleId="FontStyle11">
    <w:name w:val="Font Style11"/>
    <w:rsid w:val="00D64C6E"/>
    <w:rPr>
      <w:rFonts w:ascii="Arial" w:hAnsi="Arial" w:cs="Arial"/>
      <w:color w:val="000000"/>
      <w:sz w:val="24"/>
      <w:szCs w:val="24"/>
    </w:rPr>
  </w:style>
  <w:style w:type="character" w:styleId="AklamaBavurusu">
    <w:name w:val="annotation reference"/>
    <w:basedOn w:val="VarsaylanParagrafYazTipi"/>
    <w:uiPriority w:val="99"/>
    <w:semiHidden/>
    <w:unhideWhenUsed/>
    <w:rsid w:val="00D64C6E"/>
    <w:rPr>
      <w:sz w:val="16"/>
      <w:szCs w:val="16"/>
    </w:rPr>
  </w:style>
  <w:style w:type="paragraph" w:styleId="AklamaMetni">
    <w:name w:val="annotation text"/>
    <w:basedOn w:val="Normal"/>
    <w:link w:val="AklamaMetniChar"/>
    <w:uiPriority w:val="99"/>
    <w:semiHidden/>
    <w:unhideWhenUsed/>
    <w:rsid w:val="00D64C6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64C6E"/>
    <w:rPr>
      <w:sz w:val="20"/>
      <w:szCs w:val="20"/>
    </w:rPr>
  </w:style>
  <w:style w:type="paragraph" w:styleId="AklamaKonusu">
    <w:name w:val="annotation subject"/>
    <w:basedOn w:val="AklamaMetni"/>
    <w:next w:val="AklamaMetni"/>
    <w:link w:val="AklamaKonusuChar"/>
    <w:uiPriority w:val="99"/>
    <w:semiHidden/>
    <w:unhideWhenUsed/>
    <w:rsid w:val="00D64C6E"/>
    <w:rPr>
      <w:b/>
      <w:bCs/>
    </w:rPr>
  </w:style>
  <w:style w:type="character" w:customStyle="1" w:styleId="AklamaKonusuChar">
    <w:name w:val="Açıklama Konusu Char"/>
    <w:basedOn w:val="AklamaMetniChar"/>
    <w:link w:val="AklamaKonusu"/>
    <w:uiPriority w:val="99"/>
    <w:semiHidden/>
    <w:rsid w:val="00D64C6E"/>
    <w:rPr>
      <w:b/>
      <w:bCs/>
      <w:sz w:val="20"/>
      <w:szCs w:val="20"/>
    </w:rPr>
  </w:style>
  <w:style w:type="paragraph" w:styleId="BalonMetni">
    <w:name w:val="Balloon Text"/>
    <w:basedOn w:val="Normal"/>
    <w:link w:val="BalonMetniChar"/>
    <w:uiPriority w:val="99"/>
    <w:semiHidden/>
    <w:unhideWhenUsed/>
    <w:rsid w:val="00D64C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64C6E"/>
    <w:rPr>
      <w:rFonts w:ascii="Segoe UI" w:hAnsi="Segoe UI" w:cs="Segoe UI"/>
      <w:sz w:val="18"/>
      <w:szCs w:val="18"/>
    </w:rPr>
  </w:style>
  <w:style w:type="numbering" w:customStyle="1" w:styleId="ListeYok1">
    <w:name w:val="Liste Yok1"/>
    <w:next w:val="ListeYok"/>
    <w:uiPriority w:val="99"/>
    <w:semiHidden/>
    <w:unhideWhenUsed/>
    <w:rsid w:val="00D64C6E"/>
  </w:style>
  <w:style w:type="character" w:customStyle="1" w:styleId="AltBilgiChar1">
    <w:name w:val="Alt Bilgi Char1"/>
    <w:uiPriority w:val="99"/>
    <w:rsid w:val="00D64C6E"/>
    <w:rPr>
      <w:rFonts w:ascii="Calibri" w:eastAsia="Calibri" w:hAnsi="Calibri" w:cs="Times New Roman"/>
    </w:rPr>
  </w:style>
  <w:style w:type="paragraph" w:styleId="AralkYok">
    <w:name w:val="No Spacing"/>
    <w:link w:val="AralkYokChar"/>
    <w:uiPriority w:val="1"/>
    <w:qFormat/>
    <w:rsid w:val="00D64C6E"/>
    <w:pPr>
      <w:spacing w:after="0" w:line="240" w:lineRule="auto"/>
    </w:pPr>
    <w:rPr>
      <w:rFonts w:ascii="Calibri" w:eastAsia="Times New Roman" w:hAnsi="Calibri" w:cs="Times New Roman"/>
      <w:sz w:val="22"/>
    </w:rPr>
  </w:style>
  <w:style w:type="character" w:customStyle="1" w:styleId="AralkYokChar">
    <w:name w:val="Aralık Yok Char"/>
    <w:link w:val="AralkYok"/>
    <w:uiPriority w:val="1"/>
    <w:rsid w:val="00D64C6E"/>
    <w:rPr>
      <w:rFonts w:ascii="Calibri" w:eastAsia="Times New Roman" w:hAnsi="Calibri" w:cs="Times New Roman"/>
      <w:sz w:val="22"/>
    </w:rPr>
  </w:style>
  <w:style w:type="character" w:customStyle="1" w:styleId="zmlenmeyenBahsetme">
    <w:name w:val="Çözümlenmeyen Bahsetme"/>
    <w:uiPriority w:val="99"/>
    <w:semiHidden/>
    <w:unhideWhenUsed/>
    <w:rsid w:val="00D64C6E"/>
    <w:rPr>
      <w:color w:val="808080"/>
      <w:shd w:val="clear" w:color="auto" w:fill="E6E6E6"/>
    </w:rPr>
  </w:style>
  <w:style w:type="character" w:styleId="zlenenKpr">
    <w:name w:val="FollowedHyperlink"/>
    <w:uiPriority w:val="99"/>
    <w:semiHidden/>
    <w:unhideWhenUsed/>
    <w:rsid w:val="00D64C6E"/>
    <w:rPr>
      <w:color w:val="954F72"/>
      <w:u w:val="single"/>
    </w:rPr>
  </w:style>
  <w:style w:type="table" w:customStyle="1" w:styleId="TabloKlavuzu3">
    <w:name w:val="Tablo Kılavuzu3"/>
    <w:basedOn w:val="NormalTablo"/>
    <w:next w:val="TabloKlavuzu"/>
    <w:uiPriority w:val="39"/>
    <w:rsid w:val="00D64C6E"/>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semiHidden/>
    <w:unhideWhenUsed/>
    <w:rsid w:val="00D64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heme="minorEastAsia" w:hAnsi="Consolas"/>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D64C6E"/>
    <w:rPr>
      <w:rFonts w:ascii="Consolas" w:eastAsiaTheme="minorEastAsia" w:hAnsi="Consolas"/>
      <w:sz w:val="20"/>
      <w:szCs w:val="20"/>
      <w:lang w:eastAsia="tr-TR"/>
    </w:rPr>
  </w:style>
  <w:style w:type="table" w:customStyle="1" w:styleId="TabloKlavuzu4">
    <w:name w:val="Tablo Kılavuzu4"/>
    <w:basedOn w:val="NormalTablo"/>
    <w:next w:val="TabloKlavuzu"/>
    <w:uiPriority w:val="39"/>
    <w:rsid w:val="00D64C6E"/>
    <w:pPr>
      <w:spacing w:after="0" w:line="240" w:lineRule="auto"/>
    </w:pPr>
    <w:rPr>
      <w:rFonts w:ascii="Calibri" w:eastAsia="Times New Rom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4C6E"/>
    <w:pPr>
      <w:autoSpaceDE w:val="0"/>
      <w:autoSpaceDN w:val="0"/>
      <w:adjustRightInd w:val="0"/>
      <w:spacing w:after="0" w:line="240" w:lineRule="auto"/>
    </w:pPr>
    <w:rPr>
      <w:rFonts w:ascii="Arial" w:hAnsi="Arial" w:cs="Arial"/>
      <w:color w:val="000000"/>
      <w:szCs w:val="24"/>
    </w:rPr>
  </w:style>
  <w:style w:type="numbering" w:customStyle="1" w:styleId="ListeYok2">
    <w:name w:val="Liste Yok2"/>
    <w:next w:val="ListeYok"/>
    <w:uiPriority w:val="99"/>
    <w:semiHidden/>
    <w:unhideWhenUsed/>
    <w:rsid w:val="00D64C6E"/>
  </w:style>
  <w:style w:type="paragraph" w:customStyle="1" w:styleId="Els-Author">
    <w:name w:val="Els-Author"/>
    <w:next w:val="Normal"/>
    <w:rsid w:val="00D64C6E"/>
    <w:pPr>
      <w:keepNext/>
      <w:suppressAutoHyphens/>
      <w:spacing w:line="300" w:lineRule="exact"/>
      <w:jc w:val="center"/>
    </w:pPr>
    <w:rPr>
      <w:rFonts w:eastAsia="SimSun" w:cs="Times New Roman"/>
      <w:noProof/>
      <w:sz w:val="26"/>
      <w:szCs w:val="20"/>
      <w:lang w:val="en-US"/>
    </w:rPr>
  </w:style>
  <w:style w:type="paragraph" w:customStyle="1" w:styleId="Els-Abstract-head">
    <w:name w:val="Els-Abstract-head"/>
    <w:next w:val="Normal"/>
    <w:rsid w:val="00D64C6E"/>
    <w:pPr>
      <w:keepNext/>
      <w:pBdr>
        <w:top w:val="single" w:sz="4" w:space="10" w:color="auto"/>
      </w:pBdr>
      <w:suppressAutoHyphens/>
      <w:spacing w:after="220" w:line="220" w:lineRule="exact"/>
    </w:pPr>
    <w:rPr>
      <w:rFonts w:eastAsia="SimSun" w:cs="Times New Roman"/>
      <w:b/>
      <w:sz w:val="18"/>
      <w:szCs w:val="20"/>
      <w:lang w:val="en-US"/>
    </w:rPr>
  </w:style>
  <w:style w:type="paragraph" w:customStyle="1" w:styleId="Els-keywords">
    <w:name w:val="Els-keywords"/>
    <w:next w:val="Normal"/>
    <w:rsid w:val="00D64C6E"/>
    <w:pPr>
      <w:pBdr>
        <w:bottom w:val="single" w:sz="4" w:space="10" w:color="auto"/>
      </w:pBdr>
      <w:spacing w:after="200" w:line="200" w:lineRule="exact"/>
    </w:pPr>
    <w:rPr>
      <w:rFonts w:eastAsia="SimSun" w:cs="Times New Roman"/>
      <w:noProof/>
      <w:sz w:val="16"/>
      <w:szCs w:val="20"/>
      <w:lang w:val="en-US"/>
    </w:rPr>
  </w:style>
  <w:style w:type="paragraph" w:customStyle="1" w:styleId="Els-1storder-head">
    <w:name w:val="Els-1storder-head"/>
    <w:next w:val="Normal"/>
    <w:link w:val="Els-1storder-headChar"/>
    <w:rsid w:val="00D64C6E"/>
    <w:pPr>
      <w:keepNext/>
      <w:numPr>
        <w:numId w:val="16"/>
      </w:numPr>
      <w:suppressAutoHyphens/>
      <w:spacing w:before="240" w:after="240" w:line="240" w:lineRule="exact"/>
    </w:pPr>
    <w:rPr>
      <w:rFonts w:eastAsia="SimSun" w:cs="Times New Roman"/>
      <w:b/>
      <w:sz w:val="22"/>
      <w:lang w:val="en-US"/>
    </w:rPr>
  </w:style>
  <w:style w:type="paragraph" w:customStyle="1" w:styleId="Els-2ndorder-head">
    <w:name w:val="Els-2ndorder-head"/>
    <w:next w:val="Normal"/>
    <w:rsid w:val="00D64C6E"/>
    <w:pPr>
      <w:keepNext/>
      <w:numPr>
        <w:ilvl w:val="1"/>
        <w:numId w:val="16"/>
      </w:numPr>
      <w:suppressAutoHyphens/>
      <w:spacing w:before="240" w:after="240" w:line="240" w:lineRule="exact"/>
    </w:pPr>
    <w:rPr>
      <w:rFonts w:eastAsia="SimSun" w:cs="Times New Roman"/>
      <w:i/>
      <w:sz w:val="20"/>
      <w:szCs w:val="20"/>
      <w:lang w:val="en-US"/>
    </w:rPr>
  </w:style>
  <w:style w:type="paragraph" w:customStyle="1" w:styleId="Els-3rdorder-head">
    <w:name w:val="Els-3rdorder-head"/>
    <w:next w:val="Normal"/>
    <w:rsid w:val="00D64C6E"/>
    <w:pPr>
      <w:keepNext/>
      <w:numPr>
        <w:ilvl w:val="2"/>
        <w:numId w:val="16"/>
      </w:numPr>
      <w:suppressAutoHyphens/>
      <w:spacing w:before="240" w:after="0" w:line="240" w:lineRule="exact"/>
    </w:pPr>
    <w:rPr>
      <w:rFonts w:eastAsia="SimSun" w:cs="Times New Roman"/>
      <w:i/>
      <w:sz w:val="20"/>
      <w:szCs w:val="20"/>
      <w:lang w:val="en-US"/>
    </w:rPr>
  </w:style>
  <w:style w:type="paragraph" w:customStyle="1" w:styleId="Els-4thorder-head">
    <w:name w:val="Els-4thorder-head"/>
    <w:next w:val="Normal"/>
    <w:rsid w:val="00D64C6E"/>
    <w:pPr>
      <w:keepNext/>
      <w:numPr>
        <w:ilvl w:val="3"/>
        <w:numId w:val="16"/>
      </w:numPr>
      <w:suppressAutoHyphens/>
      <w:spacing w:before="240" w:after="0" w:line="240" w:lineRule="exact"/>
    </w:pPr>
    <w:rPr>
      <w:rFonts w:eastAsia="SimSun" w:cs="Times New Roman"/>
      <w:i/>
      <w:sz w:val="20"/>
      <w:szCs w:val="20"/>
      <w:lang w:val="en-US"/>
    </w:rPr>
  </w:style>
  <w:style w:type="character" w:customStyle="1" w:styleId="Els-1storder-headChar">
    <w:name w:val="Els-1storder-head Char"/>
    <w:link w:val="Els-1storder-head"/>
    <w:rsid w:val="00D64C6E"/>
    <w:rPr>
      <w:rFonts w:eastAsia="SimSun" w:cs="Times New Roman"/>
      <w:b/>
      <w:sz w:val="22"/>
      <w:lang w:val="en-US"/>
    </w:rPr>
  </w:style>
  <w:style w:type="paragraph" w:styleId="Dzeltme">
    <w:name w:val="Revision"/>
    <w:hidden/>
    <w:uiPriority w:val="99"/>
    <w:semiHidden/>
    <w:rsid w:val="00D64C6E"/>
    <w:pPr>
      <w:spacing w:after="0" w:line="240" w:lineRule="auto"/>
    </w:pPr>
    <w:rPr>
      <w:rFonts w:ascii="Calibri" w:eastAsia="Times New Roman" w:hAnsi="Calibri" w:cs="Times New Roman"/>
      <w:sz w:val="22"/>
      <w:lang w:eastAsia="tr-TR"/>
    </w:rPr>
  </w:style>
  <w:style w:type="numbering" w:customStyle="1" w:styleId="ListeYok3">
    <w:name w:val="Liste Yok3"/>
    <w:next w:val="ListeYok"/>
    <w:uiPriority w:val="99"/>
    <w:semiHidden/>
    <w:unhideWhenUsed/>
    <w:rsid w:val="00D64C6E"/>
  </w:style>
  <w:style w:type="paragraph" w:customStyle="1" w:styleId="T11">
    <w:name w:val="İÇT 11"/>
    <w:basedOn w:val="Normal"/>
    <w:next w:val="Normal"/>
    <w:autoRedefine/>
    <w:uiPriority w:val="39"/>
    <w:semiHidden/>
    <w:unhideWhenUsed/>
    <w:qFormat/>
    <w:rsid w:val="00D64C6E"/>
    <w:pPr>
      <w:spacing w:after="100" w:line="276" w:lineRule="auto"/>
    </w:pPr>
    <w:rPr>
      <w:rFonts w:ascii="Arial" w:eastAsia="Times New Roman" w:hAnsi="Arial"/>
      <w:sz w:val="22"/>
    </w:rPr>
  </w:style>
  <w:style w:type="paragraph" w:customStyle="1" w:styleId="T21">
    <w:name w:val="İÇT 21"/>
    <w:basedOn w:val="Normal"/>
    <w:next w:val="Normal"/>
    <w:autoRedefine/>
    <w:uiPriority w:val="39"/>
    <w:semiHidden/>
    <w:unhideWhenUsed/>
    <w:qFormat/>
    <w:rsid w:val="00D64C6E"/>
    <w:pPr>
      <w:spacing w:after="100" w:line="276" w:lineRule="auto"/>
      <w:ind w:left="220"/>
    </w:pPr>
    <w:rPr>
      <w:rFonts w:ascii="Arial" w:eastAsia="Times New Roman" w:hAnsi="Arial"/>
      <w:sz w:val="22"/>
    </w:rPr>
  </w:style>
  <w:style w:type="paragraph" w:customStyle="1" w:styleId="T31">
    <w:name w:val="İÇT 31"/>
    <w:basedOn w:val="Normal"/>
    <w:next w:val="Normal"/>
    <w:autoRedefine/>
    <w:uiPriority w:val="39"/>
    <w:semiHidden/>
    <w:unhideWhenUsed/>
    <w:qFormat/>
    <w:rsid w:val="00D64C6E"/>
    <w:pPr>
      <w:spacing w:after="100" w:line="276" w:lineRule="auto"/>
      <w:ind w:left="440"/>
    </w:pPr>
    <w:rPr>
      <w:rFonts w:ascii="Arial" w:eastAsia="Times New Roman" w:hAnsi="Arial"/>
      <w:sz w:val="22"/>
    </w:rPr>
  </w:style>
  <w:style w:type="paragraph" w:styleId="TBal">
    <w:name w:val="TOC Heading"/>
    <w:basedOn w:val="Balk1"/>
    <w:next w:val="Normal"/>
    <w:uiPriority w:val="39"/>
    <w:semiHidden/>
    <w:unhideWhenUsed/>
    <w:qFormat/>
    <w:rsid w:val="00D64C6E"/>
    <w:pPr>
      <w:spacing w:before="480" w:after="0" w:line="276" w:lineRule="auto"/>
      <w:jc w:val="left"/>
      <w:outlineLvl w:val="9"/>
    </w:pPr>
    <w:rPr>
      <w:rFonts w:ascii="Arial" w:hAnsi="Arial"/>
      <w:bCs/>
      <w:color w:val="7C9163"/>
      <w:sz w:val="28"/>
      <w:szCs w:val="28"/>
      <w:lang w:val="tr-TR"/>
    </w:rPr>
  </w:style>
  <w:style w:type="table" w:customStyle="1" w:styleId="TabloKlavuzu5">
    <w:name w:val="Tablo Kılavuzu5"/>
    <w:basedOn w:val="NormalTablo"/>
    <w:next w:val="TabloKlavuzu"/>
    <w:uiPriority w:val="59"/>
    <w:rsid w:val="00D64C6E"/>
    <w:pPr>
      <w:spacing w:after="0" w:line="240" w:lineRule="auto"/>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imYazs1">
    <w:name w:val="Resim Yazısı1"/>
    <w:basedOn w:val="Normal"/>
    <w:next w:val="Normal"/>
    <w:uiPriority w:val="35"/>
    <w:unhideWhenUsed/>
    <w:qFormat/>
    <w:rsid w:val="00D64C6E"/>
    <w:pPr>
      <w:spacing w:after="200" w:line="240" w:lineRule="auto"/>
    </w:pPr>
    <w:rPr>
      <w:rFonts w:ascii="Arial" w:hAnsi="Arial"/>
      <w:b/>
      <w:bCs/>
      <w:color w:val="A5B59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p.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aygorkubra@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7686</Words>
  <Characters>43814</Characters>
  <Application>Microsoft Office Word</Application>
  <DocSecurity>0</DocSecurity>
  <Lines>365</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2020-02-24T06:41:00Z</dcterms:created>
  <dcterms:modified xsi:type="dcterms:W3CDTF">2020-02-24T06:43:00Z</dcterms:modified>
</cp:coreProperties>
</file>