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4A0" w:firstRow="1" w:lastRow="0" w:firstColumn="1" w:lastColumn="0" w:noHBand="0" w:noVBand="1"/>
      </w:tblPr>
      <w:tblGrid>
        <w:gridCol w:w="1809"/>
        <w:gridCol w:w="5670"/>
        <w:gridCol w:w="1525"/>
      </w:tblGrid>
      <w:tr w:rsidR="00F079CC" w:rsidRPr="00F079CC" w:rsidTr="00082CA6">
        <w:trPr>
          <w:trHeight w:val="804"/>
        </w:trPr>
        <w:tc>
          <w:tcPr>
            <w:tcW w:w="1809" w:type="dxa"/>
            <w:shd w:val="clear" w:color="auto" w:fill="auto"/>
            <w:vAlign w:val="center"/>
          </w:tcPr>
          <w:p w:rsidR="00F079CC" w:rsidRPr="00F079CC" w:rsidRDefault="00201A09" w:rsidP="00082CA6">
            <w:pPr>
              <w:spacing w:after="0" w:line="240" w:lineRule="auto"/>
              <w:jc w:val="center"/>
              <w:rPr>
                <w:rFonts w:eastAsia="Times New Roman" w:cs="Times New Roman"/>
                <w:b/>
                <w:sz w:val="18"/>
                <w:szCs w:val="18"/>
              </w:rPr>
            </w:pPr>
            <w:r>
              <w:rPr>
                <w:rFonts w:eastAsia="Times New Roman" w:cs="Times New Roman"/>
                <w:b/>
                <w:noProof/>
                <w:sz w:val="18"/>
                <w:szCs w:val="18"/>
                <w:lang w:eastAsia="tr-TR"/>
              </w:rPr>
              <w:drawing>
                <wp:inline distT="0" distB="0" distL="0" distR="0">
                  <wp:extent cx="1007745" cy="539750"/>
                  <wp:effectExtent l="0" t="0" r="1905" b="0"/>
                  <wp:docPr id="21" name="Picture 1" descr="YBS_D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S_DER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745" cy="539750"/>
                          </a:xfrm>
                          <a:prstGeom prst="rect">
                            <a:avLst/>
                          </a:prstGeom>
                          <a:noFill/>
                          <a:ln>
                            <a:noFill/>
                          </a:ln>
                        </pic:spPr>
                      </pic:pic>
                    </a:graphicData>
                  </a:graphic>
                </wp:inline>
              </w:drawing>
            </w:r>
          </w:p>
        </w:tc>
        <w:tc>
          <w:tcPr>
            <w:tcW w:w="5670" w:type="dxa"/>
            <w:shd w:val="clear" w:color="auto" w:fill="F2F2F2"/>
            <w:vAlign w:val="center"/>
          </w:tcPr>
          <w:p w:rsidR="00F079CC" w:rsidRPr="00F079CC" w:rsidRDefault="00F079CC" w:rsidP="00082CA6">
            <w:pPr>
              <w:spacing w:after="0" w:line="240" w:lineRule="auto"/>
              <w:jc w:val="center"/>
              <w:rPr>
                <w:rFonts w:asciiTheme="minorHAnsi" w:eastAsia="Times New Roman" w:hAnsiTheme="minorHAnsi" w:cs="Times New Roman"/>
                <w:b/>
                <w:szCs w:val="18"/>
              </w:rPr>
            </w:pPr>
            <w:r w:rsidRPr="00F079CC">
              <w:rPr>
                <w:rFonts w:asciiTheme="minorHAnsi" w:eastAsia="Times New Roman" w:hAnsiTheme="minorHAnsi" w:cs="Times New Roman"/>
                <w:b/>
                <w:szCs w:val="18"/>
              </w:rPr>
              <w:t>YÖNETİM BİLİŞİM SİSTEMLERİ DERGİSİ</w:t>
            </w:r>
          </w:p>
          <w:p w:rsidR="00F079CC" w:rsidRPr="00F079CC" w:rsidRDefault="00F079CC" w:rsidP="00082CA6">
            <w:pPr>
              <w:spacing w:after="0" w:line="240" w:lineRule="auto"/>
              <w:jc w:val="center"/>
              <w:rPr>
                <w:rFonts w:asciiTheme="minorHAnsi" w:eastAsia="Times New Roman" w:hAnsiTheme="minorHAnsi" w:cs="Times New Roman"/>
                <w:b/>
                <w:sz w:val="16"/>
                <w:szCs w:val="18"/>
              </w:rPr>
            </w:pPr>
            <w:r w:rsidRPr="00F079CC">
              <w:rPr>
                <w:rFonts w:asciiTheme="minorHAnsi" w:eastAsia="Times New Roman" w:hAnsiTheme="minorHAnsi" w:cs="Times New Roman"/>
                <w:b/>
                <w:sz w:val="16"/>
                <w:szCs w:val="18"/>
              </w:rPr>
              <w:t>http://</w:t>
            </w:r>
            <w:r w:rsidR="0037078F">
              <w:rPr>
                <w:rFonts w:asciiTheme="minorHAnsi" w:eastAsia="Times New Roman" w:hAnsiTheme="minorHAnsi" w:cs="Times New Roman"/>
                <w:b/>
                <w:sz w:val="16"/>
                <w:szCs w:val="18"/>
              </w:rPr>
              <w:t>dergipark.ulakbim.gov.tr</w:t>
            </w:r>
            <w:r w:rsidRPr="00F079CC">
              <w:rPr>
                <w:rFonts w:asciiTheme="minorHAnsi" w:eastAsia="Times New Roman" w:hAnsiTheme="minorHAnsi" w:cs="Times New Roman"/>
                <w:b/>
                <w:sz w:val="16"/>
                <w:szCs w:val="18"/>
              </w:rPr>
              <w:t>/ybs</w:t>
            </w:r>
          </w:p>
          <w:p w:rsidR="00F079CC" w:rsidRPr="00F079CC" w:rsidRDefault="00F079CC" w:rsidP="00082CA6">
            <w:pPr>
              <w:spacing w:after="0" w:line="240" w:lineRule="auto"/>
              <w:jc w:val="center"/>
              <w:rPr>
                <w:rFonts w:eastAsia="Times New Roman" w:cs="Times New Roman"/>
                <w:b/>
                <w:sz w:val="18"/>
                <w:szCs w:val="18"/>
              </w:rPr>
            </w:pPr>
          </w:p>
        </w:tc>
        <w:tc>
          <w:tcPr>
            <w:tcW w:w="1525" w:type="dxa"/>
            <w:shd w:val="clear" w:color="auto" w:fill="auto"/>
            <w:vAlign w:val="center"/>
          </w:tcPr>
          <w:p w:rsidR="00F079CC" w:rsidRPr="00F079CC" w:rsidRDefault="00F079CC" w:rsidP="00082CA6">
            <w:pPr>
              <w:spacing w:after="0" w:line="240" w:lineRule="auto"/>
              <w:jc w:val="center"/>
              <w:rPr>
                <w:rFonts w:eastAsia="Times New Roman" w:cs="Times New Roman"/>
                <w:b/>
                <w:sz w:val="18"/>
                <w:szCs w:val="18"/>
              </w:rPr>
            </w:pPr>
          </w:p>
        </w:tc>
      </w:tr>
    </w:tbl>
    <w:p w:rsidR="00F079CC" w:rsidRPr="00F079CC" w:rsidRDefault="00F079CC" w:rsidP="00CE3D77">
      <w:pPr>
        <w:spacing w:before="0" w:after="0" w:line="240" w:lineRule="auto"/>
        <w:rPr>
          <w:rFonts w:eastAsia="Times New Roman" w:cs="Times New Roman"/>
          <w:b/>
          <w:sz w:val="18"/>
        </w:rPr>
      </w:pPr>
    </w:p>
    <w:p w:rsidR="004A477D" w:rsidRPr="00F079CC" w:rsidRDefault="004A477D" w:rsidP="00CE3D77">
      <w:pPr>
        <w:spacing w:before="0" w:after="0" w:line="240" w:lineRule="auto"/>
        <w:rPr>
          <w:rFonts w:eastAsia="Times New Roman" w:cs="Times New Roman"/>
          <w:sz w:val="18"/>
        </w:rPr>
      </w:pPr>
      <w:r w:rsidRPr="00F079CC">
        <w:rPr>
          <w:rFonts w:eastAsia="Times New Roman" w:cs="Times New Roman"/>
          <w:b/>
          <w:sz w:val="18"/>
        </w:rPr>
        <w:t>Yayın Geliş Tarihi:</w:t>
      </w:r>
      <w:r w:rsidR="00201A09">
        <w:rPr>
          <w:rFonts w:eastAsia="Times New Roman" w:cs="Times New Roman"/>
          <w:sz w:val="18"/>
        </w:rPr>
        <w:t xml:space="preserve"> 26.12.2016</w:t>
      </w:r>
      <w:r w:rsidR="0090791F" w:rsidRPr="00F079CC">
        <w:rPr>
          <w:rFonts w:eastAsia="Times New Roman" w:cs="Times New Roman"/>
          <w:sz w:val="18"/>
        </w:rPr>
        <w:tab/>
      </w:r>
      <w:r w:rsidR="0090791F" w:rsidRPr="00F079CC">
        <w:rPr>
          <w:rFonts w:eastAsia="Times New Roman" w:cs="Times New Roman"/>
          <w:sz w:val="18"/>
        </w:rPr>
        <w:tab/>
      </w:r>
      <w:r w:rsidR="0090791F" w:rsidRPr="00F079CC">
        <w:rPr>
          <w:rFonts w:eastAsia="Times New Roman" w:cs="Times New Roman"/>
          <w:sz w:val="18"/>
        </w:rPr>
        <w:tab/>
        <w:t xml:space="preserve">           </w:t>
      </w:r>
      <w:r w:rsidR="00082CA6">
        <w:rPr>
          <w:rFonts w:eastAsia="Times New Roman" w:cs="Times New Roman"/>
          <w:sz w:val="18"/>
        </w:rPr>
        <w:t xml:space="preserve">      </w:t>
      </w:r>
      <w:r w:rsidR="00887336">
        <w:rPr>
          <w:rFonts w:eastAsia="Times New Roman" w:cs="Times New Roman"/>
          <w:sz w:val="18"/>
        </w:rPr>
        <w:t xml:space="preserve">   </w:t>
      </w:r>
      <w:r w:rsidR="00BE7F2D" w:rsidRPr="00F079CC">
        <w:rPr>
          <w:rFonts w:eastAsia="Times New Roman" w:cs="Times New Roman"/>
          <w:sz w:val="18"/>
        </w:rPr>
        <w:t>C</w:t>
      </w:r>
      <w:r w:rsidR="00887336">
        <w:rPr>
          <w:rFonts w:eastAsia="Times New Roman" w:cs="Times New Roman"/>
          <w:sz w:val="18"/>
        </w:rPr>
        <w:t>ilt:</w:t>
      </w:r>
      <w:r w:rsidR="00B76FD1">
        <w:rPr>
          <w:rFonts w:eastAsia="Times New Roman" w:cs="Times New Roman"/>
          <w:sz w:val="18"/>
        </w:rPr>
        <w:t>2, Sayı:1, Yıl:2017, Sayfa:1-26</w:t>
      </w:r>
    </w:p>
    <w:p w:rsidR="004A477D" w:rsidRPr="00F079CC" w:rsidRDefault="004A477D" w:rsidP="00CE3D77">
      <w:pPr>
        <w:spacing w:before="0" w:after="0" w:line="240" w:lineRule="auto"/>
        <w:rPr>
          <w:rFonts w:eastAsia="Times New Roman" w:cs="Times New Roman"/>
          <w:sz w:val="18"/>
        </w:rPr>
      </w:pPr>
      <w:r w:rsidRPr="00F079CC">
        <w:rPr>
          <w:rFonts w:eastAsia="Times New Roman" w:cs="Times New Roman"/>
          <w:b/>
          <w:sz w:val="18"/>
        </w:rPr>
        <w:t>Yayına Kabul Tarihi:</w:t>
      </w:r>
      <w:r w:rsidR="00082CA6">
        <w:rPr>
          <w:rFonts w:eastAsia="Times New Roman" w:cs="Times New Roman"/>
          <w:sz w:val="18"/>
        </w:rPr>
        <w:t xml:space="preserve"> </w:t>
      </w:r>
      <w:r w:rsidR="00B76FD1">
        <w:rPr>
          <w:rFonts w:eastAsia="Times New Roman" w:cs="Times New Roman"/>
          <w:sz w:val="18"/>
        </w:rPr>
        <w:t>31.07</w:t>
      </w:r>
      <w:r w:rsidR="00082CA6">
        <w:rPr>
          <w:rFonts w:eastAsia="Times New Roman" w:cs="Times New Roman"/>
          <w:sz w:val="18"/>
        </w:rPr>
        <w:t>.2017</w:t>
      </w:r>
      <w:r w:rsidRPr="00F079CC">
        <w:rPr>
          <w:rFonts w:eastAsia="Times New Roman" w:cs="Times New Roman"/>
          <w:sz w:val="18"/>
        </w:rPr>
        <w:tab/>
      </w:r>
      <w:r w:rsidRPr="00F079CC">
        <w:rPr>
          <w:rFonts w:eastAsia="Times New Roman" w:cs="Times New Roman"/>
          <w:sz w:val="18"/>
        </w:rPr>
        <w:tab/>
      </w:r>
      <w:r w:rsidRPr="00F079CC">
        <w:rPr>
          <w:rFonts w:eastAsia="Times New Roman" w:cs="Times New Roman"/>
          <w:sz w:val="18"/>
        </w:rPr>
        <w:tab/>
      </w:r>
      <w:r w:rsidR="0090791F" w:rsidRPr="00F079CC">
        <w:rPr>
          <w:rFonts w:eastAsia="Times New Roman" w:cs="Times New Roman"/>
          <w:sz w:val="18"/>
        </w:rPr>
        <w:t xml:space="preserve">            </w:t>
      </w:r>
      <w:r w:rsidR="00082CA6">
        <w:rPr>
          <w:rFonts w:eastAsia="Times New Roman" w:cs="Times New Roman"/>
          <w:sz w:val="18"/>
        </w:rPr>
        <w:t xml:space="preserve">      </w:t>
      </w:r>
      <w:r w:rsidR="00BE7F2D">
        <w:rPr>
          <w:rFonts w:eastAsia="Times New Roman" w:cs="Times New Roman"/>
          <w:sz w:val="18"/>
        </w:rPr>
        <w:t xml:space="preserve">  </w:t>
      </w:r>
      <w:r w:rsidR="00BE7F2D" w:rsidRPr="00F079CC">
        <w:rPr>
          <w:rFonts w:eastAsia="Times New Roman" w:cs="Times New Roman"/>
          <w:sz w:val="18"/>
        </w:rPr>
        <w:t>ISSN:</w:t>
      </w:r>
      <w:r w:rsidR="00BE7F2D" w:rsidRPr="00F079CC">
        <w:rPr>
          <w:rFonts w:cs="Times New Roman"/>
          <w:color w:val="333333"/>
          <w:sz w:val="17"/>
          <w:szCs w:val="17"/>
          <w:shd w:val="clear" w:color="auto" w:fill="FFFFFF"/>
        </w:rPr>
        <w:t xml:space="preserve"> 2148-3752</w:t>
      </w:r>
      <w:bookmarkStart w:id="0" w:name="_GoBack"/>
      <w:bookmarkEnd w:id="0"/>
    </w:p>
    <w:p w:rsidR="0090791F" w:rsidRPr="00F079CC" w:rsidRDefault="004A477D" w:rsidP="0090791F">
      <w:pPr>
        <w:spacing w:before="0" w:after="0" w:line="240" w:lineRule="auto"/>
        <w:rPr>
          <w:rFonts w:eastAsia="Times New Roman" w:cs="Times New Roman"/>
          <w:sz w:val="18"/>
          <w:lang w:val="en-US"/>
        </w:rPr>
      </w:pPr>
      <w:r w:rsidRPr="00F079CC">
        <w:rPr>
          <w:rFonts w:eastAsia="Times New Roman" w:cs="Times New Roman"/>
          <w:b/>
          <w:sz w:val="18"/>
        </w:rPr>
        <w:t>Online Yayın Tarihi:</w:t>
      </w:r>
      <w:r w:rsidR="00B76FD1">
        <w:rPr>
          <w:rFonts w:eastAsia="Times New Roman" w:cs="Times New Roman"/>
          <w:b/>
          <w:sz w:val="18"/>
        </w:rPr>
        <w:t xml:space="preserve"> 01.08.2017</w:t>
      </w:r>
      <w:r w:rsidRPr="00F079CC">
        <w:rPr>
          <w:rFonts w:eastAsia="Times New Roman" w:cs="Times New Roman"/>
          <w:sz w:val="18"/>
        </w:rPr>
        <w:tab/>
      </w:r>
      <w:r w:rsidRPr="00F079CC">
        <w:rPr>
          <w:rFonts w:eastAsia="Times New Roman" w:cs="Times New Roman"/>
          <w:sz w:val="18"/>
        </w:rPr>
        <w:tab/>
      </w:r>
      <w:r w:rsidRPr="00F079CC">
        <w:rPr>
          <w:rFonts w:eastAsia="Times New Roman" w:cs="Times New Roman"/>
          <w:sz w:val="18"/>
        </w:rPr>
        <w:tab/>
        <w:t xml:space="preserve">            </w:t>
      </w:r>
      <w:r w:rsidR="0090791F" w:rsidRPr="00F079CC">
        <w:rPr>
          <w:rFonts w:eastAsia="Times New Roman" w:cs="Times New Roman"/>
          <w:sz w:val="18"/>
        </w:rPr>
        <w:t xml:space="preserve"> </w:t>
      </w:r>
      <w:r w:rsidR="0090791F" w:rsidRPr="00F079CC">
        <w:rPr>
          <w:rFonts w:eastAsia="Times New Roman" w:cs="Times New Roman"/>
          <w:sz w:val="18"/>
        </w:rPr>
        <w:tab/>
      </w:r>
      <w:r w:rsidR="0090791F" w:rsidRPr="00F079CC">
        <w:rPr>
          <w:rFonts w:eastAsia="Times New Roman" w:cs="Times New Roman"/>
          <w:sz w:val="18"/>
        </w:rPr>
        <w:tab/>
        <w:t xml:space="preserve">     </w:t>
      </w:r>
      <w:r w:rsidR="003562D4">
        <w:rPr>
          <w:rFonts w:eastAsia="Times New Roman" w:cs="Times New Roman"/>
          <w:sz w:val="18"/>
        </w:rPr>
        <w:tab/>
      </w:r>
      <w:r w:rsidR="003562D4">
        <w:rPr>
          <w:rFonts w:eastAsia="Times New Roman" w:cs="Times New Roman"/>
          <w:sz w:val="18"/>
        </w:rPr>
        <w:tab/>
      </w:r>
    </w:p>
    <w:p w:rsidR="00082CA6" w:rsidRPr="00082CA6" w:rsidRDefault="00E80DE0" w:rsidP="00082CA6">
      <w:pPr>
        <w:spacing w:after="120" w:line="240" w:lineRule="auto"/>
        <w:jc w:val="both"/>
        <w:rPr>
          <w:rFonts w:eastAsia="Times New Roman" w:cs="Times New Roman"/>
          <w:b/>
          <w:iCs/>
          <w:sz w:val="22"/>
          <w:lang w:eastAsia="tr-TR"/>
        </w:rPr>
      </w:pPr>
      <w:sdt>
        <w:sdtPr>
          <w:rPr>
            <w:rFonts w:cs="Times New Roman"/>
            <w:lang w:val="en-US"/>
          </w:rPr>
          <w:id w:val="-573587230"/>
          <w:bibliography/>
        </w:sdtPr>
        <w:sdtEndPr/>
        <w:sdtContent/>
      </w:sdt>
      <w:r w:rsidR="00082CA6" w:rsidRPr="00082CA6">
        <w:rPr>
          <w:rFonts w:eastAsia="Times New Roman" w:cs="Times New Roman"/>
          <w:b/>
          <w:iCs/>
          <w:sz w:val="22"/>
          <w:lang w:eastAsia="tr-TR"/>
        </w:rPr>
        <w:t xml:space="preserve"> </w:t>
      </w:r>
    </w:p>
    <w:p w:rsidR="00082CA6" w:rsidRPr="00082CA6" w:rsidRDefault="00082CA6" w:rsidP="00082CA6">
      <w:pPr>
        <w:spacing w:before="0" w:after="120" w:line="240" w:lineRule="auto"/>
        <w:jc w:val="center"/>
        <w:rPr>
          <w:rFonts w:eastAsia="Times New Roman" w:cs="Times New Roman"/>
          <w:b/>
          <w:iCs/>
          <w:sz w:val="22"/>
          <w:lang w:eastAsia="tr-TR"/>
        </w:rPr>
      </w:pPr>
      <w:r w:rsidRPr="00082CA6">
        <w:rPr>
          <w:rFonts w:eastAsia="Times New Roman" w:cs="Times New Roman"/>
          <w:b/>
          <w:iCs/>
          <w:sz w:val="22"/>
          <w:lang w:eastAsia="tr-TR"/>
        </w:rPr>
        <w:t>KAMU YÖNETİMİNDE COBIT-5 BİLİŞİM YÖNETİŞİMİNİN KALKINMA AJANSLARI ÖZELİNDE UYGULANABİLİRLİĞİ</w:t>
      </w:r>
    </w:p>
    <w:p w:rsidR="00082CA6" w:rsidRPr="00082CA6" w:rsidRDefault="00082CA6" w:rsidP="00082CA6">
      <w:pPr>
        <w:spacing w:before="0" w:after="200" w:line="240" w:lineRule="auto"/>
        <w:jc w:val="center"/>
        <w:rPr>
          <w:rFonts w:eastAsia="Times New Roman" w:cs="Times New Roman"/>
          <w:sz w:val="20"/>
          <w:szCs w:val="20"/>
          <w:lang w:eastAsia="tr-TR"/>
        </w:rPr>
      </w:pPr>
      <w:r w:rsidRPr="00082CA6">
        <w:rPr>
          <w:rFonts w:eastAsia="Times New Roman" w:cs="Times New Roman"/>
          <w:sz w:val="20"/>
          <w:szCs w:val="20"/>
          <w:lang w:eastAsia="tr-TR"/>
        </w:rPr>
        <w:t>Ahmet EFE</w:t>
      </w:r>
      <w:r w:rsidRPr="00082CA6">
        <w:rPr>
          <w:rFonts w:eastAsia="Times New Roman" w:cs="Times New Roman"/>
          <w:vertAlign w:val="superscript"/>
          <w:lang w:eastAsia="tr-TR"/>
        </w:rPr>
        <w:footnoteReference w:id="1"/>
      </w:r>
    </w:p>
    <w:p w:rsidR="00082CA6" w:rsidRPr="00082CA6" w:rsidRDefault="00082CA6" w:rsidP="00082CA6">
      <w:pPr>
        <w:spacing w:before="0" w:after="120" w:line="240" w:lineRule="auto"/>
        <w:jc w:val="center"/>
        <w:rPr>
          <w:rFonts w:eastAsia="Times New Roman" w:cs="Times New Roman"/>
          <w:b/>
          <w:iCs/>
          <w:sz w:val="20"/>
          <w:lang w:eastAsia="tr-TR"/>
        </w:rPr>
      </w:pPr>
      <w:r w:rsidRPr="00082CA6">
        <w:rPr>
          <w:rFonts w:eastAsia="Times New Roman" w:cs="Times New Roman"/>
          <w:b/>
          <w:iCs/>
          <w:sz w:val="20"/>
          <w:lang w:eastAsia="tr-TR"/>
        </w:rPr>
        <w:t>Özet</w:t>
      </w:r>
    </w:p>
    <w:p w:rsidR="00082CA6" w:rsidRPr="00082CA6" w:rsidRDefault="00082CA6" w:rsidP="00082CA6">
      <w:pPr>
        <w:spacing w:before="0" w:after="120" w:line="240" w:lineRule="auto"/>
        <w:ind w:firstLine="708"/>
        <w:jc w:val="both"/>
        <w:rPr>
          <w:rFonts w:eastAsia="Times New Roman" w:cs="Times New Roman"/>
          <w:iCs/>
          <w:sz w:val="20"/>
          <w:lang w:eastAsia="tr-TR"/>
        </w:rPr>
      </w:pPr>
      <w:r w:rsidRPr="00082CA6">
        <w:rPr>
          <w:rFonts w:eastAsia="Times New Roman" w:cs="Times New Roman"/>
          <w:iCs/>
          <w:sz w:val="20"/>
          <w:lang w:eastAsia="tr-TR"/>
        </w:rPr>
        <w:t xml:space="preserve">Yönetişim ile ilgili literatürde, daha çok politika bilimi ile kamu yönetimi alanında Birleşmiş Milletler Milenyum Bildirgesindeki hedefler çerçevesinde analizler yapılmakta ve uluslararası kurumların karar mekanizmaları tarafından uygulanmasını istemelerinin ulus devletler üzerindeki etkilerine odaklanmaktadır. Ancak işletme disiplini ile yönetim bilişim sistemleri disiplini (YBS) alanında yönetişimin sadece ilkesel duruş olarak değil, kurumsal yapılanma ve süreçlerin detaylarına kadar kapsamlı ve teknik bir yaklaşım olarak da ele alınabilmektedir. Bu çalışmada bir bilişim ve yönetişim çerçevesi olarak bilinen COBIT-5 yaklaşımının kamu yönetimi alanında uygulanabilirliği test edilmektedir. Hareket noktası da 2014 yılında Devlet Denetleme Kurulu tarafından hazırlanan inceleme ve araştırma raporunda 43 temel sorunun tespit edilmiş olması ve bunların aslında bir şekilde yönetişim sorunu olduğuna işaret ettiği savıdır. Araştırmada, yerel ve bölgesel yönetişim paradigması üzerine kurgulanmış olan kalkınma ajansları (KA) mevzuatı, yapılanması ve süreçleri üzerinde analizler yapılarak ve bölgesel gelişmeyle ilgili kamu personeline yapılan anket sonucunda teknik yönetişim yaklaşımının gerekliliklerinin KA uygulamalarında karşılık bulabildiği tespit edilmektedir. </w:t>
      </w:r>
    </w:p>
    <w:p w:rsidR="00082CA6" w:rsidRPr="00082CA6" w:rsidRDefault="00082CA6" w:rsidP="00082CA6">
      <w:pPr>
        <w:spacing w:before="0" w:after="120" w:line="240" w:lineRule="auto"/>
        <w:ind w:firstLine="708"/>
        <w:jc w:val="both"/>
        <w:rPr>
          <w:rFonts w:eastAsia="Times New Roman" w:cs="Times New Roman"/>
          <w:iCs/>
          <w:sz w:val="20"/>
          <w:lang w:eastAsia="tr-TR"/>
        </w:rPr>
      </w:pPr>
      <w:r w:rsidRPr="00082CA6">
        <w:rPr>
          <w:rFonts w:eastAsia="Times New Roman" w:cs="Times New Roman"/>
          <w:b/>
          <w:iCs/>
          <w:sz w:val="20"/>
          <w:lang w:eastAsia="tr-TR"/>
        </w:rPr>
        <w:t>Anahtar Kelimeler</w:t>
      </w:r>
      <w:r w:rsidRPr="00082CA6">
        <w:rPr>
          <w:rFonts w:eastAsia="Times New Roman" w:cs="Times New Roman"/>
          <w:iCs/>
          <w:sz w:val="20"/>
          <w:lang w:eastAsia="tr-TR"/>
        </w:rPr>
        <w:t>: Yönetim, Yönetişim, BT Yönetişimi, Kalkınma Ajansları, COBIT-5</w:t>
      </w:r>
    </w:p>
    <w:p w:rsidR="00082CA6" w:rsidRPr="00082CA6" w:rsidRDefault="00082CA6" w:rsidP="00082CA6">
      <w:pPr>
        <w:spacing w:before="0" w:after="120" w:line="240" w:lineRule="auto"/>
        <w:jc w:val="center"/>
        <w:rPr>
          <w:rFonts w:eastAsia="Times New Roman" w:cs="Times New Roman"/>
          <w:b/>
          <w:bCs/>
          <w:iCs/>
          <w:sz w:val="22"/>
          <w:lang w:val="en-US" w:eastAsia="tr-TR"/>
        </w:rPr>
      </w:pPr>
      <w:r w:rsidRPr="00082CA6">
        <w:rPr>
          <w:rFonts w:eastAsia="Times New Roman" w:cs="Times New Roman"/>
          <w:b/>
          <w:bCs/>
          <w:iCs/>
          <w:sz w:val="22"/>
          <w:lang w:val="en-US" w:eastAsia="tr-TR"/>
        </w:rPr>
        <w:t>APPLICABILITY OF COBIT-5 GOVERNANCE METHODOLOGY IN THE REGIONAL DEVELOPMENT AGENCIES IN TURKEY</w:t>
      </w:r>
    </w:p>
    <w:p w:rsidR="00082CA6" w:rsidRPr="00082CA6" w:rsidRDefault="00082CA6" w:rsidP="00082CA6">
      <w:pPr>
        <w:spacing w:before="0" w:after="120" w:line="240" w:lineRule="auto"/>
        <w:jc w:val="center"/>
        <w:rPr>
          <w:rFonts w:eastAsia="Times New Roman" w:cs="Times New Roman"/>
          <w:b/>
          <w:iCs/>
          <w:sz w:val="20"/>
          <w:lang w:val="en-US" w:eastAsia="tr-TR"/>
        </w:rPr>
      </w:pPr>
      <w:r w:rsidRPr="00082CA6">
        <w:rPr>
          <w:rFonts w:eastAsia="Times New Roman" w:cs="Times New Roman"/>
          <w:b/>
          <w:iCs/>
          <w:sz w:val="20"/>
          <w:lang w:val="en-US" w:eastAsia="tr-TR"/>
        </w:rPr>
        <w:t>Abstract</w:t>
      </w:r>
    </w:p>
    <w:p w:rsidR="00082CA6" w:rsidRPr="00082CA6" w:rsidRDefault="00082CA6" w:rsidP="00082CA6">
      <w:pPr>
        <w:spacing w:before="0" w:after="120" w:line="240" w:lineRule="auto"/>
        <w:ind w:firstLine="708"/>
        <w:jc w:val="both"/>
        <w:rPr>
          <w:rFonts w:eastAsia="Times New Roman" w:cs="Times New Roman"/>
          <w:iCs/>
          <w:sz w:val="20"/>
          <w:lang w:val="en-US" w:eastAsia="tr-TR"/>
        </w:rPr>
      </w:pPr>
      <w:r w:rsidRPr="00082CA6">
        <w:rPr>
          <w:rFonts w:eastAsia="Times New Roman" w:cs="Times New Roman"/>
          <w:iCs/>
          <w:sz w:val="20"/>
          <w:lang w:val="en-US" w:eastAsia="tr-TR"/>
        </w:rPr>
        <w:t>At the literature of public management and political sciences most of research articles related to governance concept and implementations on national governments in line with Millennium goals of UN and framework, predominantly focuses on its effects on national sovereignty of central governments. However, at the domains of management sciences and management information systems (MIS) disciplines it is being treated as a technical approach not on goals and principles but rather on structure and processes.  In this study, requirements, assumptions and assertions of COBIT-5 framework which is generally known as an IT governance and control framework is being tested as to its applicability to public management domain. One of the main arguments is that the problems defined by State Auditing Board (DDK) are to be related with the governance structure of development agencies (KA) and therefore after results of analysis of legislation, foundation and processes of KA and a survey conducted it is found that technical approach of governance can be applied to KA dynamics.</w:t>
      </w:r>
    </w:p>
    <w:p w:rsidR="00082CA6" w:rsidRPr="00082CA6" w:rsidRDefault="00082CA6" w:rsidP="00082CA6">
      <w:pPr>
        <w:spacing w:before="0" w:after="120" w:line="240" w:lineRule="auto"/>
        <w:ind w:firstLine="708"/>
        <w:jc w:val="both"/>
        <w:rPr>
          <w:rFonts w:eastAsia="Times New Roman" w:cs="Times New Roman"/>
          <w:iCs/>
          <w:sz w:val="20"/>
          <w:lang w:val="en-US" w:eastAsia="tr-TR"/>
        </w:rPr>
      </w:pPr>
      <w:r w:rsidRPr="00082CA6">
        <w:rPr>
          <w:rFonts w:eastAsia="Times New Roman" w:cs="Times New Roman"/>
          <w:b/>
          <w:iCs/>
          <w:sz w:val="20"/>
          <w:lang w:val="en-US" w:eastAsia="tr-TR"/>
        </w:rPr>
        <w:t>Keywords:</w:t>
      </w:r>
      <w:r w:rsidRPr="00082CA6">
        <w:rPr>
          <w:rFonts w:eastAsia="Times New Roman" w:cs="Times New Roman"/>
          <w:iCs/>
          <w:sz w:val="20"/>
          <w:lang w:val="en-US" w:eastAsia="tr-TR"/>
        </w:rPr>
        <w:t xml:space="preserve"> Management, Governance, IT Governance, Development Agencies, COBIT-5</w:t>
      </w:r>
    </w:p>
    <w:p w:rsidR="00082CA6" w:rsidRPr="00082CA6" w:rsidRDefault="00082CA6" w:rsidP="00082CA6">
      <w:pPr>
        <w:spacing w:before="0" w:after="120" w:line="240" w:lineRule="auto"/>
        <w:jc w:val="both"/>
        <w:rPr>
          <w:rFonts w:eastAsia="Times New Roman" w:cs="Times New Roman"/>
          <w:iCs/>
          <w:sz w:val="22"/>
          <w:lang w:val="en-US" w:eastAsia="tr-TR"/>
        </w:rPr>
      </w:pPr>
    </w:p>
    <w:p w:rsidR="00082CA6" w:rsidRPr="00082CA6" w:rsidRDefault="00082CA6" w:rsidP="00082CA6">
      <w:pPr>
        <w:keepNext/>
        <w:keepLines/>
        <w:spacing w:before="0" w:after="120" w:line="240" w:lineRule="auto"/>
        <w:jc w:val="both"/>
        <w:outlineLvl w:val="0"/>
        <w:rPr>
          <w:rFonts w:eastAsia="Times New Roman" w:cs="Times New Roman"/>
          <w:b/>
          <w:bCs/>
          <w:sz w:val="22"/>
          <w:lang w:eastAsia="tr-TR"/>
        </w:rPr>
      </w:pPr>
      <w:r w:rsidRPr="00082CA6">
        <w:rPr>
          <w:rFonts w:eastAsia="Times New Roman" w:cs="Times New Roman"/>
          <w:b/>
          <w:bCs/>
          <w:sz w:val="22"/>
          <w:lang w:eastAsia="tr-TR"/>
        </w:rPr>
        <w:t>GİRİŞ</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Bir paradigma olarak dikkate alınabilecek olan COBIT, önceleri denetim, kontrol ve daha sonra yönetim çerçevesi iken daha sonraları risk ve katma değer ile ilgili standartları da bünyesine alarak zamanla bir BT yönetişim çerçevesi haline gelmiştir. Her versiyonunda </w:t>
      </w:r>
      <w:proofErr w:type="spellStart"/>
      <w:r w:rsidRPr="00082CA6">
        <w:rPr>
          <w:rFonts w:eastAsia="Times New Roman" w:cs="Times New Roman"/>
          <w:sz w:val="22"/>
          <w:lang w:eastAsia="tr-TR"/>
        </w:rPr>
        <w:t>paradigmatik</w:t>
      </w:r>
      <w:proofErr w:type="spellEnd"/>
      <w:r w:rsidRPr="00082CA6">
        <w:rPr>
          <w:rFonts w:eastAsia="Times New Roman" w:cs="Times New Roman"/>
          <w:sz w:val="22"/>
          <w:lang w:eastAsia="tr-TR"/>
        </w:rPr>
        <w:t xml:space="preserve"> bir </w:t>
      </w:r>
      <w:proofErr w:type="spellStart"/>
      <w:r w:rsidRPr="00082CA6">
        <w:rPr>
          <w:rFonts w:eastAsia="Times New Roman" w:cs="Times New Roman"/>
          <w:sz w:val="22"/>
          <w:lang w:eastAsia="tr-TR"/>
        </w:rPr>
        <w:lastRenderedPageBreak/>
        <w:t>kırılımla</w:t>
      </w:r>
      <w:proofErr w:type="spellEnd"/>
      <w:r w:rsidRPr="00082CA6">
        <w:rPr>
          <w:rFonts w:eastAsia="Times New Roman" w:cs="Times New Roman"/>
          <w:sz w:val="22"/>
          <w:lang w:eastAsia="tr-TR"/>
        </w:rPr>
        <w:t xml:space="preserve"> kendisini yenileyen COBIT-5 versiyonunda, sadece BT değil diğer iş süreçlerini de kapsayarak kapsamlı bir model haline gelen bütünlükçü, kapsayıcı ve uyarlayıcı bir çerçeve iddiasındadır. COBIT-5 ile ortaya konulan ilkeler ve gerçekleştiriciler ile BT </w:t>
      </w:r>
      <w:proofErr w:type="spellStart"/>
      <w:r w:rsidRPr="00082CA6">
        <w:rPr>
          <w:rFonts w:eastAsia="Times New Roman" w:cs="Times New Roman"/>
          <w:sz w:val="22"/>
          <w:lang w:eastAsia="tr-TR"/>
        </w:rPr>
        <w:t>yönetişiminin</w:t>
      </w:r>
      <w:proofErr w:type="spellEnd"/>
      <w:r w:rsidRPr="00082CA6">
        <w:rPr>
          <w:rFonts w:eastAsia="Times New Roman" w:cs="Times New Roman"/>
          <w:sz w:val="22"/>
          <w:lang w:eastAsia="tr-TR"/>
        </w:rPr>
        <w:t xml:space="preserve"> iş süreçleri ile birlikte yönetilebilmesine olanak sağlayacak bir yönetişim ve yönetim modellemesi süreçleriyle birlikte ortaya konulmaktadır.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COBIT-5 çerçeve yaklaşımı 5 temel ilke </w:t>
      </w:r>
      <w:r w:rsidRPr="00082CA6">
        <w:rPr>
          <w:rFonts w:eastAsia="Times New Roman" w:cs="Times New Roman"/>
          <w:i/>
          <w:sz w:val="22"/>
          <w:lang w:eastAsia="tr-TR"/>
        </w:rPr>
        <w:t>“</w:t>
      </w:r>
      <w:proofErr w:type="spellStart"/>
      <w:r w:rsidRPr="00082CA6">
        <w:rPr>
          <w:rFonts w:eastAsia="Times New Roman" w:cs="Times New Roman"/>
          <w:i/>
          <w:sz w:val="22"/>
          <w:lang w:eastAsia="tr-TR"/>
        </w:rPr>
        <w:t>principles</w:t>
      </w:r>
      <w:proofErr w:type="spellEnd"/>
      <w:r w:rsidRPr="00082CA6">
        <w:rPr>
          <w:rFonts w:eastAsia="Times New Roman" w:cs="Times New Roman"/>
          <w:i/>
          <w:sz w:val="22"/>
          <w:lang w:eastAsia="tr-TR"/>
        </w:rPr>
        <w:t>”</w:t>
      </w:r>
      <w:r w:rsidRPr="00082CA6">
        <w:rPr>
          <w:rFonts w:eastAsia="Times New Roman" w:cs="Times New Roman"/>
          <w:sz w:val="22"/>
          <w:lang w:eastAsia="tr-TR"/>
        </w:rPr>
        <w:t xml:space="preserve"> getirmektedir. Paydaş ihtiyaçlarının karşılanması, kuruluşun baştan sona kapsanması, tek bir çerçevenin kullanılması, bütüncül bir yaklaşım gösterilmesi ve yönetişim ile yönetimin ayrıştırılması olarak özetlenen bu ilkeler, çerçevenin esas sütunlarını teşkil etmektedirler. Bu ilkeler bilişim sistemleri, ana hizmetler, yönetim, yönetişim ve tüm süreçleri kapsayacak şekilde bütüncül ve kucaklayıcı bir yaklaşımı ortaya koymaktadır. Uygulama bileşenlerini ise 7 adet gerçekleştiricilerden oluşturmaktadır. İlkeler, politikalar ve çerçeveler; süreçler; kurumsal yapılanmalar; kültür, etik ve davranış; enformasyon; hizmetler, alt yapı ve uygulamalar ile insan, yetenekler ve yeterlilikler olarak kısaca ifade edilebilen bu 7 adet gerçekleştiricileri kurumsal anlamda gerekli olan her şeyi kapsamına alınabilmektedir.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Kalkınma ajanslarında (KA) genel olarak yönetişim sorumluluğu bir Valinin liderliğindeki yönetim kurullarındadır. Özel yönetişim sorumlulukları kurumsal yapılanma, karmaşıklık ve imkânların elverdiği ölçüde bazı özel birimlere devredilebilir. </w:t>
      </w:r>
      <w:proofErr w:type="spellStart"/>
      <w:r w:rsidRPr="00082CA6">
        <w:rPr>
          <w:rFonts w:eastAsia="Times New Roman" w:cs="Times New Roman"/>
          <w:sz w:val="22"/>
          <w:lang w:eastAsia="tr-TR"/>
        </w:rPr>
        <w:t>KA’nda</w:t>
      </w:r>
      <w:proofErr w:type="spellEnd"/>
      <w:r w:rsidRPr="00082CA6">
        <w:rPr>
          <w:rFonts w:eastAsia="Times New Roman" w:cs="Times New Roman"/>
          <w:sz w:val="22"/>
          <w:lang w:eastAsia="tr-TR"/>
        </w:rPr>
        <w:t xml:space="preserve"> yönetim sorumluluğu ise bir genel müdür (CEO) emsali olan GS liderliğindeki icracı üst yönetimdedir.</w:t>
      </w:r>
    </w:p>
    <w:p w:rsidR="00082CA6" w:rsidRPr="00082CA6" w:rsidRDefault="00082CA6" w:rsidP="00082CA6">
      <w:pPr>
        <w:suppressAutoHyphens/>
        <w:autoSpaceDE w:val="0"/>
        <w:autoSpaceDN w:val="0"/>
        <w:adjustRightInd w:val="0"/>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COBIT-5 temel ilkelerinden olan yönetişim ile yönetimin ayrılması ciddi bir paradigma </w:t>
      </w:r>
      <w:proofErr w:type="spellStart"/>
      <w:r w:rsidRPr="00082CA6">
        <w:rPr>
          <w:rFonts w:eastAsia="Times New Roman" w:cs="Times New Roman"/>
          <w:sz w:val="22"/>
          <w:lang w:eastAsia="tr-TR"/>
        </w:rPr>
        <w:t>kırılımını</w:t>
      </w:r>
      <w:proofErr w:type="spellEnd"/>
      <w:r w:rsidRPr="00082CA6">
        <w:rPr>
          <w:rFonts w:eastAsia="Times New Roman" w:cs="Times New Roman"/>
          <w:sz w:val="22"/>
          <w:lang w:eastAsia="tr-TR"/>
        </w:rPr>
        <w:t xml:space="preserve"> göstermektedir. Teorik temellerine bakıldığında önce irade ile iradenin uygulamasının ayrılması gerektiğini ilk olarak ortaya koyan </w:t>
      </w:r>
      <w:proofErr w:type="spellStart"/>
      <w:r w:rsidRPr="00082CA6">
        <w:rPr>
          <w:rFonts w:eastAsia="Times New Roman" w:cs="Times New Roman"/>
          <w:sz w:val="22"/>
          <w:lang w:eastAsia="tr-TR"/>
        </w:rPr>
        <w:t>Woodrow</w:t>
      </w:r>
      <w:proofErr w:type="spellEnd"/>
      <w:r w:rsidRPr="00082CA6">
        <w:rPr>
          <w:rFonts w:eastAsia="Times New Roman" w:cs="Times New Roman"/>
          <w:sz w:val="22"/>
          <w:lang w:eastAsia="tr-TR"/>
        </w:rPr>
        <w:t xml:space="preserve"> Wilson’un 1887 yılında yayımlanan </w:t>
      </w:r>
      <w:proofErr w:type="spellStart"/>
      <w:r w:rsidRPr="00082CA6">
        <w:rPr>
          <w:rFonts w:eastAsia="Times New Roman" w:cs="Times New Roman"/>
          <w:i/>
          <w:sz w:val="22"/>
          <w:lang w:eastAsia="tr-TR"/>
        </w:rPr>
        <w:t>Study</w:t>
      </w:r>
      <w:proofErr w:type="spellEnd"/>
      <w:r w:rsidRPr="00082CA6">
        <w:rPr>
          <w:rFonts w:eastAsia="Times New Roman" w:cs="Times New Roman"/>
          <w:i/>
          <w:sz w:val="22"/>
          <w:lang w:eastAsia="tr-TR"/>
        </w:rPr>
        <w:t xml:space="preserve"> of Administration</w:t>
      </w:r>
      <w:r w:rsidRPr="00082CA6">
        <w:rPr>
          <w:rFonts w:eastAsia="Times New Roman" w:cs="Times New Roman"/>
          <w:sz w:val="22"/>
          <w:lang w:eastAsia="tr-TR"/>
        </w:rPr>
        <w:t xml:space="preserve"> isimli makalesindeki “</w:t>
      </w:r>
      <w:proofErr w:type="spellStart"/>
      <w:r w:rsidRPr="00082CA6">
        <w:rPr>
          <w:rFonts w:eastAsia="Times New Roman" w:cs="Times New Roman"/>
          <w:i/>
          <w:iCs/>
          <w:sz w:val="22"/>
          <w:lang w:eastAsia="tr-TR"/>
        </w:rPr>
        <w:t>seperation</w:t>
      </w:r>
      <w:proofErr w:type="spellEnd"/>
      <w:r w:rsidRPr="00082CA6">
        <w:rPr>
          <w:rFonts w:eastAsia="Times New Roman" w:cs="Times New Roman"/>
          <w:i/>
          <w:iCs/>
          <w:sz w:val="22"/>
          <w:lang w:eastAsia="tr-TR"/>
        </w:rPr>
        <w:t xml:space="preserve"> of </w:t>
      </w:r>
      <w:proofErr w:type="spellStart"/>
      <w:r w:rsidRPr="00082CA6">
        <w:rPr>
          <w:rFonts w:eastAsia="Times New Roman" w:cs="Times New Roman"/>
          <w:i/>
          <w:iCs/>
          <w:sz w:val="22"/>
          <w:lang w:eastAsia="tr-TR"/>
        </w:rPr>
        <w:t>will</w:t>
      </w:r>
      <w:proofErr w:type="spellEnd"/>
      <w:r w:rsidRPr="00082CA6">
        <w:rPr>
          <w:rFonts w:eastAsia="Times New Roman" w:cs="Times New Roman"/>
          <w:i/>
          <w:iCs/>
          <w:sz w:val="22"/>
          <w:lang w:eastAsia="tr-TR"/>
        </w:rPr>
        <w:t xml:space="preserve"> </w:t>
      </w:r>
      <w:proofErr w:type="spellStart"/>
      <w:r w:rsidRPr="00082CA6">
        <w:rPr>
          <w:rFonts w:eastAsia="Times New Roman" w:cs="Times New Roman"/>
          <w:i/>
          <w:iCs/>
          <w:sz w:val="22"/>
          <w:lang w:eastAsia="tr-TR"/>
        </w:rPr>
        <w:t>and</w:t>
      </w:r>
      <w:proofErr w:type="spellEnd"/>
      <w:r w:rsidRPr="00082CA6">
        <w:rPr>
          <w:rFonts w:eastAsia="Times New Roman" w:cs="Times New Roman"/>
          <w:i/>
          <w:iCs/>
          <w:sz w:val="22"/>
          <w:lang w:eastAsia="tr-TR"/>
        </w:rPr>
        <w:t xml:space="preserve"> </w:t>
      </w:r>
      <w:proofErr w:type="spellStart"/>
      <w:r w:rsidRPr="00082CA6">
        <w:rPr>
          <w:rFonts w:eastAsia="Times New Roman" w:cs="Times New Roman"/>
          <w:i/>
          <w:iCs/>
          <w:sz w:val="22"/>
          <w:lang w:eastAsia="tr-TR"/>
        </w:rPr>
        <w:t>execution</w:t>
      </w:r>
      <w:proofErr w:type="spellEnd"/>
      <w:r w:rsidRPr="00082CA6">
        <w:rPr>
          <w:rFonts w:eastAsia="Times New Roman" w:cs="Times New Roman"/>
          <w:i/>
          <w:iCs/>
          <w:sz w:val="22"/>
          <w:lang w:eastAsia="tr-TR"/>
        </w:rPr>
        <w:t xml:space="preserve"> of </w:t>
      </w:r>
      <w:proofErr w:type="spellStart"/>
      <w:r w:rsidRPr="00082CA6">
        <w:rPr>
          <w:rFonts w:eastAsia="Times New Roman" w:cs="Times New Roman"/>
          <w:i/>
          <w:iCs/>
          <w:sz w:val="22"/>
          <w:lang w:eastAsia="tr-TR"/>
        </w:rPr>
        <w:t>will</w:t>
      </w:r>
      <w:proofErr w:type="spellEnd"/>
      <w:r w:rsidRPr="00082CA6">
        <w:rPr>
          <w:rFonts w:eastAsia="Times New Roman" w:cs="Times New Roman"/>
          <w:sz w:val="22"/>
          <w:lang w:eastAsia="tr-TR"/>
        </w:rPr>
        <w:t>” ifadesine dayandırmak mümkündür. Bilginin, süreçlerin, girdilerin ve çıktıların karmaşıklaştığı ölçüde karar mekanizmasında bulunanlar alt teknik süreçlere nüfuz edememekte ve bunların teknik ekipler tarafından yürütülen ayrışık süreçler olması gerekmektedir. Wilson, anılan makalesinde “</w:t>
      </w:r>
      <w:r w:rsidRPr="00082CA6">
        <w:rPr>
          <w:rFonts w:eastAsia="Times New Roman" w:cs="Times New Roman"/>
          <w:i/>
          <w:iCs/>
          <w:sz w:val="22"/>
          <w:lang w:eastAsia="tr-TR"/>
        </w:rPr>
        <w:t>ben bir bıçak bileyicinin hangi teknikle ve aletleri nasıl bilediğiyle ilgilenemem ancak bilediği bıçağın keskin olup olmadığıyla ilgilenirim</w:t>
      </w:r>
      <w:r w:rsidRPr="00082CA6">
        <w:rPr>
          <w:rFonts w:eastAsia="Times New Roman" w:cs="Times New Roman"/>
          <w:sz w:val="22"/>
          <w:lang w:eastAsia="tr-TR"/>
        </w:rPr>
        <w:t>” diyerek karar, katılım, sevk ve idare mekanizması olan yönetişim ile alınan kararların uygulamasından sorumlu olan yönetim mekanizmasının ayrışabileceğinin ilk işaretlerini vermiştir. Aslında verdiği örnekle işletmecilik alanındaki bir yaklaşımı politika ve kamu yönetimi alanına uyguladığı anlaşılmaktadır. Bu çalışmamızda da bilişim ve BT yönetişimi alanındaki bir paradigmanın kurumsal yönetişime uygulanabilirliği değerlendirilmektedir.</w:t>
      </w:r>
    </w:p>
    <w:p w:rsidR="00082CA6" w:rsidRPr="00082CA6" w:rsidRDefault="00082CA6" w:rsidP="00082CA6">
      <w:pPr>
        <w:keepNext/>
        <w:keepLines/>
        <w:spacing w:before="0" w:after="120" w:line="240" w:lineRule="auto"/>
        <w:jc w:val="both"/>
        <w:outlineLvl w:val="0"/>
        <w:rPr>
          <w:rFonts w:eastAsia="TimesNewRoman" w:cs="Times New Roman"/>
          <w:b/>
          <w:bCs/>
          <w:sz w:val="22"/>
          <w:lang w:eastAsia="tr-TR"/>
        </w:rPr>
      </w:pPr>
      <w:bookmarkStart w:id="1" w:name="_Toc421783710"/>
      <w:r w:rsidRPr="00082CA6">
        <w:rPr>
          <w:rFonts w:eastAsia="TimesNewRoman" w:cs="Times New Roman"/>
          <w:b/>
          <w:bCs/>
          <w:sz w:val="22"/>
          <w:lang w:eastAsia="tr-TR"/>
        </w:rPr>
        <w:t>METODOLOJİ</w:t>
      </w:r>
    </w:p>
    <w:p w:rsidR="00082CA6" w:rsidRPr="00082CA6" w:rsidRDefault="00082CA6" w:rsidP="00082CA6">
      <w:pPr>
        <w:spacing w:before="0" w:after="120" w:line="240" w:lineRule="auto"/>
        <w:ind w:firstLine="708"/>
        <w:jc w:val="both"/>
        <w:rPr>
          <w:rFonts w:eastAsia="TimesNewRoman" w:cs="Times New Roman"/>
          <w:sz w:val="22"/>
          <w:lang w:eastAsia="tr-TR"/>
        </w:rPr>
      </w:pPr>
      <w:proofErr w:type="spellStart"/>
      <w:r w:rsidRPr="00082CA6">
        <w:rPr>
          <w:rFonts w:eastAsia="TimesNewRoman" w:cs="Times New Roman"/>
          <w:sz w:val="22"/>
          <w:lang w:eastAsia="tr-TR"/>
        </w:rPr>
        <w:t>Ebsco</w:t>
      </w:r>
      <w:proofErr w:type="spellEnd"/>
      <w:r w:rsidRPr="00082CA6">
        <w:rPr>
          <w:rFonts w:eastAsia="TimesNewRoman" w:cs="Times New Roman"/>
          <w:sz w:val="22"/>
          <w:lang w:eastAsia="tr-TR"/>
        </w:rPr>
        <w:t xml:space="preserve"> veri tabanında “</w:t>
      </w:r>
      <w:proofErr w:type="spellStart"/>
      <w:r w:rsidRPr="00082CA6">
        <w:rPr>
          <w:rFonts w:eastAsia="TimesNewRoman" w:cs="Times New Roman"/>
          <w:i/>
          <w:iCs/>
          <w:sz w:val="22"/>
          <w:lang w:eastAsia="tr-TR"/>
        </w:rPr>
        <w:t>management</w:t>
      </w:r>
      <w:proofErr w:type="spellEnd"/>
      <w:r w:rsidRPr="00082CA6">
        <w:rPr>
          <w:rFonts w:eastAsia="TimesNewRoman" w:cs="Times New Roman"/>
          <w:i/>
          <w:iCs/>
          <w:sz w:val="22"/>
          <w:lang w:eastAsia="tr-TR"/>
        </w:rPr>
        <w:t xml:space="preserve"> </w:t>
      </w:r>
      <w:proofErr w:type="spellStart"/>
      <w:r w:rsidRPr="00082CA6">
        <w:rPr>
          <w:rFonts w:eastAsia="TimesNewRoman" w:cs="Times New Roman"/>
          <w:i/>
          <w:iCs/>
          <w:sz w:val="22"/>
          <w:lang w:eastAsia="tr-TR"/>
        </w:rPr>
        <w:t>and</w:t>
      </w:r>
      <w:proofErr w:type="spellEnd"/>
      <w:r w:rsidRPr="00082CA6">
        <w:rPr>
          <w:rFonts w:eastAsia="TimesNewRoman" w:cs="Times New Roman"/>
          <w:i/>
          <w:iCs/>
          <w:sz w:val="22"/>
          <w:lang w:eastAsia="tr-TR"/>
        </w:rPr>
        <w:t xml:space="preserve"> </w:t>
      </w:r>
      <w:proofErr w:type="spellStart"/>
      <w:r w:rsidRPr="00082CA6">
        <w:rPr>
          <w:rFonts w:eastAsia="TimesNewRoman" w:cs="Times New Roman"/>
          <w:i/>
          <w:iCs/>
          <w:sz w:val="22"/>
          <w:lang w:eastAsia="tr-TR"/>
        </w:rPr>
        <w:t>governance</w:t>
      </w:r>
      <w:proofErr w:type="spellEnd"/>
      <w:r w:rsidRPr="00082CA6">
        <w:rPr>
          <w:rFonts w:eastAsia="TimesNewRoman" w:cs="Times New Roman"/>
          <w:sz w:val="22"/>
          <w:lang w:eastAsia="tr-TR"/>
        </w:rPr>
        <w:t>” olarak yapılan aramada 2.032 adet yayın bulunduğu, “</w:t>
      </w:r>
      <w:proofErr w:type="spellStart"/>
      <w:r w:rsidRPr="00082CA6">
        <w:rPr>
          <w:rFonts w:eastAsia="TimesNewRoman" w:cs="Times New Roman"/>
          <w:i/>
          <w:iCs/>
          <w:sz w:val="22"/>
          <w:lang w:eastAsia="tr-TR"/>
        </w:rPr>
        <w:t>government</w:t>
      </w:r>
      <w:proofErr w:type="spellEnd"/>
      <w:r w:rsidRPr="00082CA6">
        <w:rPr>
          <w:rFonts w:eastAsia="TimesNewRoman" w:cs="Times New Roman"/>
          <w:i/>
          <w:iCs/>
          <w:sz w:val="22"/>
          <w:lang w:eastAsia="tr-TR"/>
        </w:rPr>
        <w:t xml:space="preserve"> </w:t>
      </w:r>
      <w:proofErr w:type="spellStart"/>
      <w:r w:rsidRPr="00082CA6">
        <w:rPr>
          <w:rFonts w:eastAsia="TimesNewRoman" w:cs="Times New Roman"/>
          <w:i/>
          <w:iCs/>
          <w:sz w:val="22"/>
          <w:lang w:eastAsia="tr-TR"/>
        </w:rPr>
        <w:t>and</w:t>
      </w:r>
      <w:proofErr w:type="spellEnd"/>
      <w:r w:rsidRPr="00082CA6">
        <w:rPr>
          <w:rFonts w:eastAsia="TimesNewRoman" w:cs="Times New Roman"/>
          <w:i/>
          <w:iCs/>
          <w:sz w:val="22"/>
          <w:lang w:eastAsia="tr-TR"/>
        </w:rPr>
        <w:t xml:space="preserve"> </w:t>
      </w:r>
      <w:proofErr w:type="spellStart"/>
      <w:r w:rsidRPr="00082CA6">
        <w:rPr>
          <w:rFonts w:eastAsia="TimesNewRoman" w:cs="Times New Roman"/>
          <w:i/>
          <w:iCs/>
          <w:sz w:val="22"/>
          <w:lang w:eastAsia="tr-TR"/>
        </w:rPr>
        <w:t>governance</w:t>
      </w:r>
      <w:proofErr w:type="spellEnd"/>
      <w:r w:rsidRPr="00082CA6">
        <w:rPr>
          <w:rFonts w:eastAsia="TimesNewRoman" w:cs="Times New Roman"/>
          <w:sz w:val="22"/>
          <w:lang w:eastAsia="tr-TR"/>
        </w:rPr>
        <w:t>” olarak yapılan aramada 298 adet yayın bulunduğu tespit edilmiştir. Türkçe literatürdeki yayınları araştırmak için de “</w:t>
      </w:r>
      <w:r w:rsidRPr="00082CA6">
        <w:rPr>
          <w:rFonts w:eastAsia="TimesNewRoman" w:cs="Times New Roman"/>
          <w:i/>
          <w:iCs/>
          <w:sz w:val="22"/>
          <w:lang w:eastAsia="tr-TR"/>
        </w:rPr>
        <w:t>yönetim ve yönetişim</w:t>
      </w:r>
      <w:r w:rsidRPr="00082CA6">
        <w:rPr>
          <w:rFonts w:eastAsia="TimesNewRoman" w:cs="Times New Roman"/>
          <w:sz w:val="22"/>
          <w:lang w:eastAsia="tr-TR"/>
        </w:rPr>
        <w:t>” olarak yapılan aramada sadece 2 adet ve “</w:t>
      </w:r>
      <w:r w:rsidRPr="00082CA6">
        <w:rPr>
          <w:rFonts w:eastAsia="TimesNewRoman" w:cs="Times New Roman"/>
          <w:i/>
          <w:iCs/>
          <w:sz w:val="22"/>
          <w:lang w:eastAsia="tr-TR"/>
        </w:rPr>
        <w:t>hükümet ve yönetişim</w:t>
      </w:r>
      <w:r w:rsidRPr="00082CA6">
        <w:rPr>
          <w:rFonts w:eastAsia="TimesNewRoman" w:cs="Times New Roman"/>
          <w:sz w:val="22"/>
          <w:lang w:eastAsia="tr-TR"/>
        </w:rPr>
        <w:t>” ile “</w:t>
      </w:r>
      <w:r w:rsidRPr="00082CA6">
        <w:rPr>
          <w:rFonts w:eastAsia="TimesNewRoman" w:cs="Times New Roman"/>
          <w:i/>
          <w:iCs/>
          <w:sz w:val="22"/>
          <w:lang w:eastAsia="tr-TR"/>
        </w:rPr>
        <w:t>devlet ve yönetişim</w:t>
      </w:r>
      <w:r w:rsidRPr="00082CA6">
        <w:rPr>
          <w:rFonts w:eastAsia="TimesNewRoman" w:cs="Times New Roman"/>
          <w:sz w:val="22"/>
          <w:lang w:eastAsia="tr-TR"/>
        </w:rPr>
        <w:t xml:space="preserve">” olarak ayrı ayrı yapılan aramalarda hiçbir yayın olmadığı tespit edilmiştir. Bu nedenle yönetim ve yönetişim ilişkisinin ele alındığı çalışmamızın ilgili literatüre yapacağı katkının önemli olduğu düşünülmektedir. </w:t>
      </w:r>
    </w:p>
    <w:p w:rsidR="00082CA6" w:rsidRPr="00082CA6" w:rsidRDefault="00082CA6" w:rsidP="00082CA6">
      <w:pPr>
        <w:spacing w:before="0" w:after="120" w:line="240" w:lineRule="auto"/>
        <w:ind w:firstLine="708"/>
        <w:jc w:val="both"/>
        <w:rPr>
          <w:rFonts w:eastAsia="TimesNewRoman" w:cs="Times New Roman"/>
          <w:sz w:val="22"/>
          <w:lang w:eastAsia="tr-TR"/>
        </w:rPr>
      </w:pPr>
      <w:r w:rsidRPr="00082CA6">
        <w:rPr>
          <w:rFonts w:eastAsia="TimesNewRoman" w:cs="Times New Roman"/>
          <w:sz w:val="22"/>
          <w:lang w:eastAsia="tr-TR"/>
        </w:rPr>
        <w:t xml:space="preserve">Bu çalışmada öncelikle yönetişim ve COBIT-5 ile ilgili olarak betimleme çalışması yapılmaktadır. Buna göre küresel, kurumsal ve BT yönetişimi gibi tabirler ortaya konulmakta ve yönetişimin </w:t>
      </w:r>
      <w:proofErr w:type="spellStart"/>
      <w:r w:rsidRPr="00082CA6">
        <w:rPr>
          <w:rFonts w:eastAsia="TimesNewRoman" w:cs="Times New Roman"/>
          <w:sz w:val="22"/>
          <w:lang w:eastAsia="tr-TR"/>
        </w:rPr>
        <w:t>ölçülebilirliği</w:t>
      </w:r>
      <w:proofErr w:type="spellEnd"/>
      <w:r w:rsidRPr="00082CA6">
        <w:rPr>
          <w:rFonts w:eastAsia="TimesNewRoman" w:cs="Times New Roman"/>
          <w:sz w:val="22"/>
          <w:lang w:eastAsia="tr-TR"/>
        </w:rPr>
        <w:t xml:space="preserve"> ile ilgili analizler yapılmaktadır. İkinci olarak COBIT-5 modelinin yönetişim süreçlerinden olan yönetişim çerçevesi kurulum ve sürdürülmesi ile ilgili KA özelinde analizler yapılarak yapılabilecek faaliyetler ortaya konulmaktadır. Bu çalışmanın amacı olan yönetim ve yönetişimin farklılıkları idarenin yapı ve uygulamalarının bütünlüğü çerçevesindeki iletişim ve etkileşimi ortaya konulmuş olmaktadır. </w:t>
      </w:r>
    </w:p>
    <w:p w:rsidR="00082CA6" w:rsidRPr="00082CA6" w:rsidRDefault="00082CA6" w:rsidP="00082CA6">
      <w:pPr>
        <w:spacing w:before="0" w:after="120" w:line="240" w:lineRule="auto"/>
        <w:ind w:firstLine="708"/>
        <w:jc w:val="both"/>
        <w:rPr>
          <w:rFonts w:eastAsia="Times New Roman" w:cs="Times New Roman"/>
          <w:sz w:val="22"/>
        </w:rPr>
      </w:pPr>
      <w:r w:rsidRPr="00082CA6">
        <w:rPr>
          <w:rFonts w:eastAsia="Times New Roman" w:cs="Times New Roman"/>
          <w:sz w:val="22"/>
        </w:rPr>
        <w:lastRenderedPageBreak/>
        <w:t>Bu çalışmada kalkınma ajanslarının hedef basamaklarının kullanımıyla ilişkili olabilen sorunları analiz edilmektedir bu amaçla da bahsedilen DDK araştırma ve inceleme raporu incelenmiş ve süreç olgunluğu ile ilgili dört adet probleme dair çekirdek neden analizleri yapılmıştır. Hizmete özel olan DDK raporu üzerinde akademik araştırma yapılarak bu alandaki idari bilgi literatüre kazandırılmaktadır.</w:t>
      </w:r>
    </w:p>
    <w:p w:rsidR="00082CA6" w:rsidRPr="00082CA6" w:rsidRDefault="00082CA6" w:rsidP="00082CA6">
      <w:pPr>
        <w:spacing w:before="0" w:after="120" w:line="240" w:lineRule="auto"/>
        <w:ind w:firstLine="708"/>
        <w:jc w:val="both"/>
        <w:rPr>
          <w:rFonts w:eastAsia="TimesNewRoman" w:cs="Times New Roman"/>
          <w:sz w:val="22"/>
          <w:lang w:eastAsia="tr-TR"/>
        </w:rPr>
      </w:pPr>
      <w:r w:rsidRPr="00082CA6">
        <w:rPr>
          <w:rFonts w:eastAsia="TimesNewRoman" w:cs="Times New Roman"/>
          <w:sz w:val="22"/>
          <w:lang w:eastAsia="tr-TR"/>
        </w:rPr>
        <w:t>Araştırmamızın iddiası, yönetişim ve yönetim ayırımının mümkün olduğudur. Bu çerçevede araştırma sorumuz “</w:t>
      </w:r>
      <w:r w:rsidRPr="00082CA6">
        <w:rPr>
          <w:rFonts w:eastAsia="Times New Roman" w:cs="Times New Roman"/>
          <w:i/>
          <w:sz w:val="22"/>
          <w:lang w:eastAsia="tr-TR"/>
        </w:rPr>
        <w:t xml:space="preserve">KA sistematiğinde COBIT-5 yönetişim modelinin uygulanması olanaklı mıdır?” </w:t>
      </w:r>
      <w:r w:rsidRPr="00082CA6">
        <w:rPr>
          <w:rFonts w:eastAsia="TimesNewRoman" w:cs="Times New Roman"/>
          <w:sz w:val="22"/>
          <w:lang w:eastAsia="tr-TR"/>
        </w:rPr>
        <w:t xml:space="preserve"> şeklinde belirlenmiştir. Bu amaçla da öncelikle DDK tarafından KA dinamiklerinde tespit edilmiş olan 43 ana sorundan sadece 2 tanesi üzerinde kök neden analizleri yapılarak bölgesel gelişme sisteminde bir yönetişim sorunu olup olmadığı tespit edilmeye çalışılmakta; yönetişim kuramsal ve kavramsal olarak betimleyici bir araştırma yöntemiyle açıklanmaya çalışılmakta ve kurumsal, bilişim ve bilgi güvenliği yönetişimi gibi farklı yönetişim yaklaşımları hakkında değerlendirmeler yapılmakta; COBIT-5 modelinin tarihsel süreç içerisinde gelişimi ele alınarak yönetişim hedeflerinin COBIT-5 tarafından nasıl yapılandırılmış olduğu incelenerek KA dinamiklerinde neye karşılık geldiklerinin analizleri yapılmakta; yönetişim süreç yaklaşımı hakkında bilgi verilerek yönetişim çerçevesinin kurulum ve sürdürülmesi bir süreç olarak ele alındığında KA dinamiklerinde bilişim hedefleri, süreç hedefleri ve alt süreçlerde yapılması gereken kriter faaliyetler kapsamında değerlendirmeler yapılarak KA sistematiğine uyarlanmaya çalışılmakta; en son yönetişim sitemi kurulumu için yapılması gereken faaliyetler üzerinden anket çalışması yapılarak araştırma hipotezinin </w:t>
      </w:r>
      <w:proofErr w:type="spellStart"/>
      <w:r w:rsidRPr="00082CA6">
        <w:rPr>
          <w:rFonts w:eastAsia="TimesNewRoman" w:cs="Times New Roman"/>
          <w:sz w:val="22"/>
          <w:lang w:eastAsia="tr-TR"/>
        </w:rPr>
        <w:t>doğrulanabilirliği</w:t>
      </w:r>
      <w:proofErr w:type="spellEnd"/>
      <w:r w:rsidRPr="00082CA6">
        <w:rPr>
          <w:rFonts w:eastAsia="TimesNewRoman" w:cs="Times New Roman"/>
          <w:sz w:val="22"/>
          <w:lang w:eastAsia="tr-TR"/>
        </w:rPr>
        <w:t xml:space="preserve"> analiz edilmektedir. Analiz sonuçlarına göre de COBIT-5 yönetişim modelinin uygulanabilirliği ile ilgili sonuçlara varılmaktadır.</w:t>
      </w:r>
    </w:p>
    <w:p w:rsidR="00082CA6" w:rsidRPr="00082CA6" w:rsidRDefault="00082CA6" w:rsidP="00082CA6">
      <w:pPr>
        <w:keepNext/>
        <w:keepLines/>
        <w:spacing w:before="0" w:after="120" w:line="240" w:lineRule="auto"/>
        <w:jc w:val="both"/>
        <w:outlineLvl w:val="0"/>
        <w:rPr>
          <w:rFonts w:eastAsia="TimesNewRoman" w:cs="Times New Roman"/>
          <w:b/>
          <w:bCs/>
          <w:sz w:val="22"/>
          <w:lang w:eastAsia="tr-TR"/>
        </w:rPr>
      </w:pPr>
      <w:r w:rsidRPr="00082CA6">
        <w:rPr>
          <w:rFonts w:eastAsia="TimesNewRoman" w:cs="Times New Roman"/>
          <w:b/>
          <w:bCs/>
          <w:sz w:val="22"/>
          <w:lang w:eastAsia="tr-TR"/>
        </w:rPr>
        <w:t>ARAŞTIRMA PROBLEMİ</w:t>
      </w:r>
    </w:p>
    <w:p w:rsidR="00082CA6" w:rsidRPr="00082CA6" w:rsidRDefault="00082CA6" w:rsidP="00082CA6">
      <w:pPr>
        <w:spacing w:before="0" w:after="120" w:line="240" w:lineRule="auto"/>
        <w:ind w:firstLine="708"/>
        <w:jc w:val="both"/>
        <w:rPr>
          <w:rFonts w:eastAsia="Times New Roman" w:cs="Times New Roman"/>
          <w:sz w:val="22"/>
        </w:rPr>
      </w:pPr>
      <w:r w:rsidRPr="00082CA6">
        <w:rPr>
          <w:rFonts w:eastAsia="Times New Roman" w:cs="Times New Roman"/>
          <w:sz w:val="22"/>
        </w:rPr>
        <w:t xml:space="preserve">Bu çalışmada,   kalkınma ajansları (KA) ile ilgili olarak 2014 yılında yayımlanan bir araştırma ve inceleme raporuyla </w:t>
      </w:r>
      <w:sdt>
        <w:sdtPr>
          <w:rPr>
            <w:rFonts w:eastAsia="Times New Roman" w:cs="Times New Roman"/>
            <w:sz w:val="22"/>
          </w:rPr>
          <w:id w:val="926149483"/>
          <w:citation/>
        </w:sdtPr>
        <w:sdtEndPr/>
        <w:sdtContent>
          <w:r w:rsidRPr="00082CA6">
            <w:rPr>
              <w:rFonts w:eastAsia="Times New Roman" w:cs="Times New Roman"/>
              <w:sz w:val="22"/>
            </w:rPr>
            <w:fldChar w:fldCharType="begin"/>
          </w:r>
          <w:r w:rsidRPr="00082CA6">
            <w:rPr>
              <w:rFonts w:eastAsia="Times New Roman" w:cs="Times New Roman"/>
              <w:sz w:val="22"/>
            </w:rPr>
            <w:instrText xml:space="preserve"> CITATION Dev14 \l 1055 </w:instrText>
          </w:r>
          <w:r w:rsidRPr="00082CA6">
            <w:rPr>
              <w:rFonts w:eastAsia="Times New Roman" w:cs="Times New Roman"/>
              <w:sz w:val="22"/>
            </w:rPr>
            <w:fldChar w:fldCharType="separate"/>
          </w:r>
          <w:r w:rsidRPr="00082CA6">
            <w:rPr>
              <w:rFonts w:eastAsia="Times New Roman" w:cs="Times New Roman"/>
              <w:noProof/>
              <w:sz w:val="22"/>
            </w:rPr>
            <w:t>(DDK, et al., 2014)</w:t>
          </w:r>
          <w:r w:rsidRPr="00082CA6">
            <w:rPr>
              <w:rFonts w:eastAsia="Times New Roman" w:cs="Times New Roman"/>
              <w:sz w:val="22"/>
            </w:rPr>
            <w:fldChar w:fldCharType="end"/>
          </w:r>
        </w:sdtContent>
      </w:sdt>
      <w:r w:rsidRPr="00082CA6">
        <w:rPr>
          <w:rFonts w:eastAsia="Times New Roman" w:cs="Times New Roman"/>
          <w:sz w:val="22"/>
        </w:rPr>
        <w:t xml:space="preserve"> Devlet Denetleme Kurulu (DDK) tarafından tespit edilen bazı sorunlardan hareketle “</w:t>
      </w:r>
      <w:r w:rsidRPr="00082CA6">
        <w:rPr>
          <w:rFonts w:eastAsia="Times New Roman" w:cs="Times New Roman"/>
          <w:i/>
          <w:sz w:val="22"/>
        </w:rPr>
        <w:t>KA yönetişim ve yönetim sistem ve süreçlerinin doğru bir şekilde yapılandırılmamış olduğu</w:t>
      </w:r>
      <w:r w:rsidRPr="00082CA6">
        <w:rPr>
          <w:rFonts w:eastAsia="Times New Roman" w:cs="Times New Roman"/>
          <w:sz w:val="22"/>
        </w:rPr>
        <w:t>” araştırma problemi olarak alınmıştır. Araştırmamızın iddiası da aşağıda analiz edilen sorunlarının özünde kurumsal yönetişim ve yönetim yapılanmasının doğru yapılmamış olmasıdır. Çünkü yönetim kurullarının toplanmaması ile kalkınma kurullarının etkisiz olması hem yönetişim ve hem de yönetim sorununun olduğunu göstermektedir. Bunu teyit eden DDK raporundaki anılan örnek sorunların bir iç kontrol standardı olan COSO çerçevesi ile bir BT yönetişim çerçevesi olan COBIT-5 modeli özelinde analizleri de yapılmaktadır.</w:t>
      </w:r>
    </w:p>
    <w:p w:rsidR="00082CA6" w:rsidRPr="00082CA6" w:rsidRDefault="00082CA6" w:rsidP="00082CA6">
      <w:pPr>
        <w:keepNext/>
        <w:tabs>
          <w:tab w:val="left" w:pos="851"/>
          <w:tab w:val="left" w:pos="993"/>
        </w:tabs>
        <w:spacing w:before="0" w:after="120" w:line="240" w:lineRule="auto"/>
        <w:jc w:val="both"/>
        <w:outlineLvl w:val="2"/>
        <w:rPr>
          <w:rFonts w:eastAsia="TimesNewRoman" w:cs="Times New Roman"/>
          <w:b/>
          <w:bCs/>
          <w:color w:val="000000"/>
          <w:spacing w:val="20"/>
          <w:position w:val="6"/>
          <w:sz w:val="22"/>
          <w:lang w:val="en-US" w:eastAsia="tr-TR"/>
        </w:rPr>
      </w:pPr>
      <w:bookmarkStart w:id="2" w:name="_Toc421783665"/>
      <w:proofErr w:type="spellStart"/>
      <w:r w:rsidRPr="00082CA6">
        <w:rPr>
          <w:rFonts w:eastAsia="TimesNewRoman" w:cs="Times New Roman"/>
          <w:b/>
          <w:bCs/>
          <w:color w:val="000000"/>
          <w:spacing w:val="20"/>
          <w:position w:val="6"/>
          <w:sz w:val="22"/>
          <w:lang w:val="en-US" w:eastAsia="tr-TR"/>
        </w:rPr>
        <w:t>Yönetim</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Kurullarının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Toplanamaması</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Sorunu</w:t>
      </w:r>
      <w:bookmarkEnd w:id="2"/>
      <w:proofErr w:type="spellEnd"/>
    </w:p>
    <w:p w:rsidR="00082CA6" w:rsidRPr="00082CA6" w:rsidRDefault="00082CA6" w:rsidP="00082CA6">
      <w:pPr>
        <w:suppressAutoHyphens/>
        <w:autoSpaceDE w:val="0"/>
        <w:autoSpaceDN w:val="0"/>
        <w:adjustRightInd w:val="0"/>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5449 sayılı Kanun’da kalkınma ajansı yönetim kurulunun her ay en az bir kere toplanacağının belirtildiği, ancak uygulamada çoğu kez, yönetim kurulunun her ay toplanmasını gerektirecek gündem konusu bulunmadığı, genel olarak yoğun programı bulunan yönetim kurulu üyelerinin her ay toplanmakta zorlandığı anlaşılmaktadır</w:t>
      </w:r>
      <w:sdt>
        <w:sdtPr>
          <w:rPr>
            <w:rFonts w:eastAsia="Times New Roman" w:cs="Times New Roman"/>
            <w:sz w:val="22"/>
            <w:lang w:eastAsia="tr-TR"/>
          </w:rPr>
          <w:id w:val="-433358255"/>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 CITATION Dev14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(DDK, et al., 2014)</w:t>
          </w:r>
          <w:r w:rsidRPr="00082CA6">
            <w:rPr>
              <w:rFonts w:eastAsia="Times New Roman" w:cs="Times New Roman"/>
              <w:sz w:val="22"/>
              <w:lang w:eastAsia="tr-TR"/>
            </w:rPr>
            <w:fldChar w:fldCharType="end"/>
          </w:r>
        </w:sdtContent>
      </w:sdt>
      <w:r w:rsidRPr="00082CA6">
        <w:rPr>
          <w:rFonts w:eastAsia="Times New Roman" w:cs="Times New Roman"/>
          <w:sz w:val="22"/>
          <w:lang w:eastAsia="tr-TR"/>
        </w:rPr>
        <w:t>.</w:t>
      </w:r>
    </w:p>
    <w:p w:rsidR="00082CA6" w:rsidRPr="00082CA6" w:rsidRDefault="00082CA6" w:rsidP="00082CA6">
      <w:pPr>
        <w:keepNext/>
        <w:spacing w:before="0" w:after="120" w:line="240" w:lineRule="auto"/>
        <w:jc w:val="both"/>
        <w:rPr>
          <w:rFonts w:eastAsia="Times New Roman" w:cs="Times New Roman"/>
          <w:bCs/>
          <w:sz w:val="22"/>
          <w:lang w:eastAsia="tr-TR"/>
        </w:rPr>
      </w:pPr>
      <w:bookmarkStart w:id="3" w:name="_Toc421796634"/>
      <w:r w:rsidRPr="00082CA6">
        <w:rPr>
          <w:rFonts w:eastAsia="Times New Roman" w:cs="Times New Roman"/>
          <w:b/>
          <w:bCs/>
          <w:sz w:val="22"/>
          <w:lang w:eastAsia="tr-TR"/>
        </w:rPr>
        <w:t>Tablo 1.</w:t>
      </w:r>
      <w:r w:rsidRPr="00082CA6">
        <w:rPr>
          <w:rFonts w:eastAsia="Times New Roman" w:cs="Times New Roman"/>
          <w:bCs/>
          <w:sz w:val="22"/>
          <w:lang w:eastAsia="tr-TR"/>
        </w:rPr>
        <w:t xml:space="preserve"> DDK Tarafından Tespit Edilen </w:t>
      </w:r>
      <w:r w:rsidRPr="00082CA6">
        <w:rPr>
          <w:rFonts w:eastAsia="Times New Roman" w:cs="Times New Roman"/>
          <w:bCs/>
          <w:iCs/>
          <w:sz w:val="22"/>
          <w:lang w:eastAsia="tr-TR"/>
        </w:rPr>
        <w:t xml:space="preserve">Yönetim Kurullarının Toplanamaması Sorunu </w:t>
      </w:r>
      <w:r w:rsidRPr="00082CA6">
        <w:rPr>
          <w:rFonts w:eastAsia="Times New Roman" w:cs="Times New Roman"/>
          <w:bCs/>
          <w:sz w:val="22"/>
          <w:lang w:eastAsia="tr-TR"/>
        </w:rPr>
        <w:t>İçin COSO ve COBİT-5 değerlendirmesi ve Eylem Planları</w:t>
      </w:r>
      <w:bookmarkEnd w:id="3"/>
    </w:p>
    <w:tbl>
      <w:tblPr>
        <w:tblStyle w:val="TabloKlavuzu"/>
        <w:tblW w:w="7376" w:type="dxa"/>
        <w:tblLayout w:type="fixed"/>
        <w:tblCellMar>
          <w:left w:w="0" w:type="dxa"/>
          <w:right w:w="0" w:type="dxa"/>
        </w:tblCellMar>
        <w:tblLook w:val="04A0" w:firstRow="1" w:lastRow="0" w:firstColumn="1" w:lastColumn="0" w:noHBand="0" w:noVBand="1"/>
      </w:tblPr>
      <w:tblGrid>
        <w:gridCol w:w="1423"/>
        <w:gridCol w:w="3685"/>
        <w:gridCol w:w="2268"/>
      </w:tblGrid>
      <w:tr w:rsidR="00082CA6" w:rsidRPr="00082CA6" w:rsidTr="00082CA6">
        <w:tc>
          <w:tcPr>
            <w:tcW w:w="1423" w:type="dxa"/>
          </w:tcPr>
          <w:p w:rsidR="00082CA6" w:rsidRPr="00082CA6" w:rsidRDefault="00082CA6" w:rsidP="00082CA6">
            <w:pPr>
              <w:spacing w:before="0" w:after="120" w:line="240" w:lineRule="auto"/>
              <w:rPr>
                <w:sz w:val="16"/>
              </w:rPr>
            </w:pPr>
            <w:r w:rsidRPr="00082CA6">
              <w:rPr>
                <w:sz w:val="16"/>
              </w:rPr>
              <w:t xml:space="preserve">DDK </w:t>
            </w:r>
            <w:proofErr w:type="spellStart"/>
            <w:r w:rsidRPr="00082CA6">
              <w:rPr>
                <w:sz w:val="16"/>
              </w:rPr>
              <w:t>önerisi</w:t>
            </w:r>
            <w:proofErr w:type="spellEnd"/>
          </w:p>
        </w:tc>
        <w:tc>
          <w:tcPr>
            <w:tcW w:w="5953" w:type="dxa"/>
            <w:gridSpan w:val="2"/>
          </w:tcPr>
          <w:p w:rsidR="00082CA6" w:rsidRPr="00082CA6" w:rsidRDefault="00082CA6" w:rsidP="00082CA6">
            <w:pPr>
              <w:spacing w:before="0" w:after="120" w:line="240" w:lineRule="auto"/>
              <w:ind w:firstLine="33"/>
              <w:rPr>
                <w:sz w:val="16"/>
              </w:rPr>
            </w:pPr>
            <w:r w:rsidRPr="00082CA6">
              <w:rPr>
                <w:sz w:val="16"/>
              </w:rPr>
              <w:t xml:space="preserve">COSO </w:t>
            </w:r>
            <w:proofErr w:type="spellStart"/>
            <w:r w:rsidRPr="00082CA6">
              <w:rPr>
                <w:sz w:val="16"/>
              </w:rPr>
              <w:t>değerlendirmesi</w:t>
            </w:r>
            <w:proofErr w:type="spellEnd"/>
          </w:p>
        </w:tc>
      </w:tr>
      <w:tr w:rsidR="00082CA6" w:rsidRPr="00082CA6" w:rsidTr="00082CA6">
        <w:tc>
          <w:tcPr>
            <w:tcW w:w="1423" w:type="dxa"/>
          </w:tcPr>
          <w:p w:rsidR="00082CA6" w:rsidRPr="00082CA6" w:rsidRDefault="00082CA6" w:rsidP="00082CA6">
            <w:pPr>
              <w:spacing w:before="0" w:after="120" w:line="240" w:lineRule="auto"/>
              <w:rPr>
                <w:sz w:val="16"/>
              </w:rPr>
            </w:pPr>
            <w:r w:rsidRPr="00082CA6">
              <w:rPr>
                <w:sz w:val="16"/>
              </w:rPr>
              <w:t xml:space="preserve">Her ay </w:t>
            </w:r>
            <w:proofErr w:type="spellStart"/>
            <w:r w:rsidRPr="00082CA6">
              <w:rPr>
                <w:sz w:val="16"/>
              </w:rPr>
              <w:t>toplanma</w:t>
            </w:r>
            <w:proofErr w:type="spellEnd"/>
            <w:r w:rsidRPr="00082CA6">
              <w:rPr>
                <w:sz w:val="16"/>
              </w:rPr>
              <w:t xml:space="preserve"> </w:t>
            </w:r>
            <w:proofErr w:type="spellStart"/>
            <w:r w:rsidRPr="00082CA6">
              <w:rPr>
                <w:sz w:val="16"/>
              </w:rPr>
              <w:t>zorunluluğunun</w:t>
            </w:r>
            <w:proofErr w:type="spellEnd"/>
            <w:r w:rsidRPr="00082CA6">
              <w:rPr>
                <w:sz w:val="16"/>
              </w:rPr>
              <w:t xml:space="preserve"> </w:t>
            </w:r>
            <w:proofErr w:type="spellStart"/>
            <w:r w:rsidRPr="00082CA6">
              <w:rPr>
                <w:sz w:val="16"/>
              </w:rPr>
              <w:t>iki</w:t>
            </w:r>
            <w:proofErr w:type="spellEnd"/>
            <w:r w:rsidRPr="00082CA6">
              <w:rPr>
                <w:sz w:val="16"/>
              </w:rPr>
              <w:t xml:space="preserve"> </w:t>
            </w:r>
            <w:proofErr w:type="spellStart"/>
            <w:r w:rsidRPr="00082CA6">
              <w:rPr>
                <w:sz w:val="16"/>
              </w:rPr>
              <w:t>veya</w:t>
            </w:r>
            <w:proofErr w:type="spellEnd"/>
            <w:r w:rsidRPr="00082CA6">
              <w:rPr>
                <w:sz w:val="16"/>
              </w:rPr>
              <w:t xml:space="preserve"> </w:t>
            </w:r>
            <w:proofErr w:type="spellStart"/>
            <w:r w:rsidRPr="00082CA6">
              <w:rPr>
                <w:sz w:val="16"/>
              </w:rPr>
              <w:t>üç</w:t>
            </w:r>
            <w:proofErr w:type="spellEnd"/>
            <w:r w:rsidRPr="00082CA6">
              <w:rPr>
                <w:sz w:val="16"/>
              </w:rPr>
              <w:t xml:space="preserve"> </w:t>
            </w:r>
            <w:proofErr w:type="spellStart"/>
            <w:r w:rsidRPr="00082CA6">
              <w:rPr>
                <w:sz w:val="16"/>
              </w:rPr>
              <w:t>ayda</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gibi</w:t>
            </w:r>
            <w:proofErr w:type="spellEnd"/>
            <w:r w:rsidRPr="00082CA6">
              <w:rPr>
                <w:sz w:val="16"/>
              </w:rPr>
              <w:t xml:space="preserve"> </w:t>
            </w:r>
            <w:proofErr w:type="spellStart"/>
            <w:r w:rsidRPr="00082CA6">
              <w:rPr>
                <w:sz w:val="16"/>
              </w:rPr>
              <w:t>daha</w:t>
            </w:r>
            <w:proofErr w:type="spellEnd"/>
            <w:r w:rsidRPr="00082CA6">
              <w:rPr>
                <w:sz w:val="16"/>
              </w:rPr>
              <w:t xml:space="preserve"> </w:t>
            </w:r>
            <w:proofErr w:type="spellStart"/>
            <w:r w:rsidRPr="00082CA6">
              <w:rPr>
                <w:sz w:val="16"/>
              </w:rPr>
              <w:t>makul</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süreye</w:t>
            </w:r>
            <w:proofErr w:type="spellEnd"/>
            <w:r w:rsidRPr="00082CA6">
              <w:rPr>
                <w:sz w:val="16"/>
              </w:rPr>
              <w:t xml:space="preserve"> </w:t>
            </w:r>
            <w:proofErr w:type="spellStart"/>
            <w:r w:rsidRPr="00082CA6">
              <w:rPr>
                <w:sz w:val="16"/>
              </w:rPr>
              <w:t>çıkarılmasının</w:t>
            </w:r>
            <w:proofErr w:type="spellEnd"/>
            <w:r w:rsidRPr="00082CA6">
              <w:rPr>
                <w:sz w:val="16"/>
              </w:rPr>
              <w:t xml:space="preserve">, </w:t>
            </w:r>
            <w:proofErr w:type="spellStart"/>
            <w:r w:rsidRPr="00082CA6">
              <w:rPr>
                <w:sz w:val="16"/>
              </w:rPr>
              <w:t>ancak</w:t>
            </w:r>
            <w:proofErr w:type="spellEnd"/>
            <w:r w:rsidRPr="00082CA6">
              <w:rPr>
                <w:sz w:val="16"/>
              </w:rPr>
              <w:t xml:space="preserve"> </w:t>
            </w:r>
            <w:proofErr w:type="spellStart"/>
            <w:r w:rsidRPr="00082CA6">
              <w:rPr>
                <w:sz w:val="16"/>
              </w:rPr>
              <w:t>önemli</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ivedi</w:t>
            </w:r>
            <w:proofErr w:type="spellEnd"/>
            <w:r w:rsidRPr="00082CA6">
              <w:rPr>
                <w:sz w:val="16"/>
              </w:rPr>
              <w:t xml:space="preserve"> </w:t>
            </w:r>
            <w:proofErr w:type="spellStart"/>
            <w:r w:rsidRPr="00082CA6">
              <w:rPr>
                <w:sz w:val="16"/>
              </w:rPr>
              <w:t>gündem</w:t>
            </w:r>
            <w:proofErr w:type="spellEnd"/>
            <w:r w:rsidRPr="00082CA6">
              <w:rPr>
                <w:sz w:val="16"/>
              </w:rPr>
              <w:t xml:space="preserve"> </w:t>
            </w:r>
            <w:proofErr w:type="spellStart"/>
            <w:r w:rsidRPr="00082CA6">
              <w:rPr>
                <w:sz w:val="16"/>
              </w:rPr>
              <w:t>maddelerinin</w:t>
            </w:r>
            <w:proofErr w:type="spellEnd"/>
            <w:r w:rsidRPr="00082CA6">
              <w:rPr>
                <w:sz w:val="16"/>
              </w:rPr>
              <w:t xml:space="preserve"> </w:t>
            </w:r>
            <w:proofErr w:type="spellStart"/>
            <w:r w:rsidRPr="00082CA6">
              <w:rPr>
                <w:sz w:val="16"/>
              </w:rPr>
              <w:t>ortaya</w:t>
            </w:r>
            <w:proofErr w:type="spellEnd"/>
            <w:r w:rsidRPr="00082CA6">
              <w:rPr>
                <w:sz w:val="16"/>
              </w:rPr>
              <w:t xml:space="preserve"> </w:t>
            </w:r>
            <w:proofErr w:type="spellStart"/>
            <w:r w:rsidRPr="00082CA6">
              <w:rPr>
                <w:sz w:val="16"/>
              </w:rPr>
              <w:t>çıkması</w:t>
            </w:r>
            <w:proofErr w:type="spellEnd"/>
            <w:r w:rsidRPr="00082CA6">
              <w:rPr>
                <w:sz w:val="16"/>
              </w:rPr>
              <w:t xml:space="preserve"> </w:t>
            </w:r>
            <w:proofErr w:type="spellStart"/>
            <w:r w:rsidRPr="00082CA6">
              <w:rPr>
                <w:sz w:val="16"/>
              </w:rPr>
              <w:t>durumunda</w:t>
            </w:r>
            <w:proofErr w:type="spellEnd"/>
            <w:r w:rsidRPr="00082CA6">
              <w:rPr>
                <w:sz w:val="16"/>
              </w:rPr>
              <w:t xml:space="preserve">, </w:t>
            </w:r>
            <w:proofErr w:type="spellStart"/>
            <w:r w:rsidRPr="00082CA6">
              <w:rPr>
                <w:sz w:val="16"/>
              </w:rPr>
              <w:t>kurul</w:t>
            </w:r>
            <w:proofErr w:type="spellEnd"/>
            <w:r w:rsidRPr="00082CA6">
              <w:rPr>
                <w:sz w:val="16"/>
              </w:rPr>
              <w:t xml:space="preserve"> </w:t>
            </w:r>
            <w:proofErr w:type="spellStart"/>
            <w:r w:rsidRPr="00082CA6">
              <w:rPr>
                <w:sz w:val="16"/>
              </w:rPr>
              <w:t>üyelerinin</w:t>
            </w:r>
            <w:proofErr w:type="spellEnd"/>
            <w:r w:rsidRPr="00082CA6">
              <w:rPr>
                <w:sz w:val="16"/>
              </w:rPr>
              <w:t xml:space="preserve"> </w:t>
            </w:r>
            <w:proofErr w:type="spellStart"/>
            <w:r w:rsidRPr="00082CA6">
              <w:rPr>
                <w:sz w:val="16"/>
              </w:rPr>
              <w:t>bu</w:t>
            </w:r>
            <w:proofErr w:type="spellEnd"/>
            <w:r w:rsidRPr="00082CA6">
              <w:rPr>
                <w:sz w:val="16"/>
              </w:rPr>
              <w:t xml:space="preserve"> </w:t>
            </w:r>
            <w:proofErr w:type="spellStart"/>
            <w:r w:rsidRPr="00082CA6">
              <w:rPr>
                <w:sz w:val="16"/>
              </w:rPr>
              <w:t>sürelere</w:t>
            </w:r>
            <w:proofErr w:type="spellEnd"/>
            <w:r w:rsidRPr="00082CA6">
              <w:rPr>
                <w:sz w:val="16"/>
              </w:rPr>
              <w:t xml:space="preserve"> </w:t>
            </w:r>
            <w:proofErr w:type="spellStart"/>
            <w:r w:rsidRPr="00082CA6">
              <w:rPr>
                <w:sz w:val="16"/>
              </w:rPr>
              <w:lastRenderedPageBreak/>
              <w:t>tabi</w:t>
            </w:r>
            <w:proofErr w:type="spellEnd"/>
            <w:r w:rsidRPr="00082CA6">
              <w:rPr>
                <w:sz w:val="16"/>
              </w:rPr>
              <w:t xml:space="preserve"> </w:t>
            </w:r>
            <w:proofErr w:type="spellStart"/>
            <w:r w:rsidRPr="00082CA6">
              <w:rPr>
                <w:sz w:val="16"/>
              </w:rPr>
              <w:t>olmaksızın</w:t>
            </w:r>
            <w:proofErr w:type="spellEnd"/>
            <w:r w:rsidRPr="00082CA6">
              <w:rPr>
                <w:sz w:val="16"/>
              </w:rPr>
              <w:t xml:space="preserve"> </w:t>
            </w:r>
            <w:proofErr w:type="spellStart"/>
            <w:r w:rsidRPr="00082CA6">
              <w:rPr>
                <w:sz w:val="16"/>
              </w:rPr>
              <w:t>toplantıya</w:t>
            </w:r>
            <w:proofErr w:type="spellEnd"/>
            <w:r w:rsidRPr="00082CA6">
              <w:rPr>
                <w:sz w:val="16"/>
              </w:rPr>
              <w:t xml:space="preserve"> </w:t>
            </w:r>
            <w:proofErr w:type="spellStart"/>
            <w:r w:rsidRPr="00082CA6">
              <w:rPr>
                <w:sz w:val="16"/>
              </w:rPr>
              <w:t>çağrılması</w:t>
            </w:r>
            <w:proofErr w:type="spellEnd"/>
            <w:r w:rsidRPr="00082CA6">
              <w:rPr>
                <w:sz w:val="16"/>
              </w:rPr>
              <w:t>.</w:t>
            </w:r>
          </w:p>
        </w:tc>
        <w:tc>
          <w:tcPr>
            <w:tcW w:w="5953" w:type="dxa"/>
            <w:gridSpan w:val="2"/>
          </w:tcPr>
          <w:p w:rsidR="00082CA6" w:rsidRPr="00082CA6" w:rsidRDefault="00082CA6" w:rsidP="00082CA6">
            <w:pPr>
              <w:spacing w:before="0" w:after="120" w:line="240" w:lineRule="auto"/>
              <w:ind w:firstLine="33"/>
              <w:rPr>
                <w:sz w:val="16"/>
              </w:rPr>
            </w:pPr>
            <w:r w:rsidRPr="00082CA6">
              <w:rPr>
                <w:sz w:val="16"/>
              </w:rPr>
              <w:lastRenderedPageBreak/>
              <w:t xml:space="preserve">COSO </w:t>
            </w:r>
            <w:proofErr w:type="spellStart"/>
            <w:r w:rsidRPr="00082CA6">
              <w:rPr>
                <w:sz w:val="16"/>
              </w:rPr>
              <w:t>iç</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sistemi</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bileşenlerinden</w:t>
            </w:r>
            <w:proofErr w:type="spellEnd"/>
            <w:r w:rsidRPr="00082CA6">
              <w:rPr>
                <w:sz w:val="16"/>
              </w:rPr>
              <w:t xml:space="preserve"> </w:t>
            </w:r>
            <w:proofErr w:type="spellStart"/>
            <w:r w:rsidRPr="00082CA6">
              <w:rPr>
                <w:sz w:val="16"/>
              </w:rPr>
              <w:t>bilgi</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iletişim</w:t>
            </w:r>
            <w:proofErr w:type="spellEnd"/>
            <w:r w:rsidRPr="00082CA6">
              <w:rPr>
                <w:sz w:val="16"/>
              </w:rPr>
              <w:t xml:space="preserve"> </w:t>
            </w:r>
            <w:proofErr w:type="spellStart"/>
            <w:r w:rsidRPr="00082CA6">
              <w:rPr>
                <w:sz w:val="16"/>
              </w:rPr>
              <w:t>alanına</w:t>
            </w:r>
            <w:proofErr w:type="spellEnd"/>
            <w:r w:rsidRPr="00082CA6">
              <w:rPr>
                <w:sz w:val="16"/>
              </w:rPr>
              <w:t xml:space="preserve"> </w:t>
            </w:r>
            <w:proofErr w:type="spellStart"/>
            <w:r w:rsidRPr="00082CA6">
              <w:rPr>
                <w:sz w:val="16"/>
              </w:rPr>
              <w:t>girmektedir</w:t>
            </w:r>
            <w:proofErr w:type="spellEnd"/>
            <w:r w:rsidRPr="00082CA6">
              <w:rPr>
                <w:sz w:val="16"/>
              </w:rPr>
              <w:t xml:space="preserve">. </w:t>
            </w:r>
            <w:proofErr w:type="spellStart"/>
            <w:r w:rsidRPr="00082CA6">
              <w:rPr>
                <w:sz w:val="16"/>
              </w:rPr>
              <w:t>Yönetim</w:t>
            </w:r>
            <w:proofErr w:type="spellEnd"/>
            <w:r w:rsidRPr="00082CA6">
              <w:rPr>
                <w:sz w:val="16"/>
              </w:rPr>
              <w:t xml:space="preserve"> </w:t>
            </w:r>
            <w:proofErr w:type="spellStart"/>
            <w:r w:rsidRPr="00082CA6">
              <w:rPr>
                <w:sz w:val="16"/>
              </w:rPr>
              <w:t>kurullarının</w:t>
            </w:r>
            <w:proofErr w:type="spellEnd"/>
            <w:r w:rsidRPr="00082CA6">
              <w:rPr>
                <w:sz w:val="16"/>
              </w:rPr>
              <w:t xml:space="preserve"> her ay </w:t>
            </w:r>
            <w:proofErr w:type="spellStart"/>
            <w:r w:rsidRPr="00082CA6">
              <w:rPr>
                <w:sz w:val="16"/>
              </w:rPr>
              <w:t>mutlaka</w:t>
            </w:r>
            <w:proofErr w:type="spellEnd"/>
            <w:r w:rsidRPr="00082CA6">
              <w:rPr>
                <w:sz w:val="16"/>
              </w:rPr>
              <w:t xml:space="preserve"> </w:t>
            </w:r>
            <w:proofErr w:type="spellStart"/>
            <w:r w:rsidRPr="00082CA6">
              <w:rPr>
                <w:sz w:val="16"/>
              </w:rPr>
              <w:t>toplanmasının</w:t>
            </w:r>
            <w:proofErr w:type="spellEnd"/>
            <w:r w:rsidRPr="00082CA6">
              <w:rPr>
                <w:sz w:val="16"/>
              </w:rPr>
              <w:t xml:space="preserve"> </w:t>
            </w:r>
            <w:proofErr w:type="spellStart"/>
            <w:r w:rsidRPr="00082CA6">
              <w:rPr>
                <w:sz w:val="16"/>
              </w:rPr>
              <w:t>iç</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zafiyeti</w:t>
            </w:r>
            <w:proofErr w:type="spellEnd"/>
            <w:r w:rsidRPr="00082CA6">
              <w:rPr>
                <w:sz w:val="16"/>
              </w:rPr>
              <w:t xml:space="preserve"> </w:t>
            </w:r>
            <w:proofErr w:type="spellStart"/>
            <w:r w:rsidRPr="00082CA6">
              <w:rPr>
                <w:sz w:val="16"/>
              </w:rPr>
              <w:t>doğuracağı</w:t>
            </w:r>
            <w:proofErr w:type="spellEnd"/>
            <w:r w:rsidRPr="00082CA6">
              <w:rPr>
                <w:sz w:val="16"/>
              </w:rPr>
              <w:t xml:space="preserve"> tam </w:t>
            </w:r>
            <w:proofErr w:type="spellStart"/>
            <w:r w:rsidRPr="00082CA6">
              <w:rPr>
                <w:sz w:val="16"/>
              </w:rPr>
              <w:t>olarak</w:t>
            </w:r>
            <w:proofErr w:type="spellEnd"/>
            <w:r w:rsidRPr="00082CA6">
              <w:rPr>
                <w:sz w:val="16"/>
              </w:rPr>
              <w:t xml:space="preserve"> </w:t>
            </w:r>
            <w:proofErr w:type="spellStart"/>
            <w:r w:rsidRPr="00082CA6">
              <w:rPr>
                <w:sz w:val="16"/>
              </w:rPr>
              <w:t>tespit</w:t>
            </w:r>
            <w:proofErr w:type="spellEnd"/>
            <w:r w:rsidRPr="00082CA6">
              <w:rPr>
                <w:sz w:val="16"/>
              </w:rPr>
              <w:t xml:space="preserve"> </w:t>
            </w:r>
            <w:proofErr w:type="spellStart"/>
            <w:r w:rsidRPr="00082CA6">
              <w:rPr>
                <w:sz w:val="16"/>
              </w:rPr>
              <w:t>edilmediğinden</w:t>
            </w:r>
            <w:proofErr w:type="spellEnd"/>
            <w:r w:rsidRPr="00082CA6">
              <w:rPr>
                <w:sz w:val="16"/>
              </w:rPr>
              <w:t xml:space="preserve"> </w:t>
            </w:r>
            <w:proofErr w:type="spellStart"/>
            <w:r w:rsidRPr="00082CA6">
              <w:rPr>
                <w:sz w:val="16"/>
              </w:rPr>
              <w:t>sorun</w:t>
            </w:r>
            <w:proofErr w:type="spellEnd"/>
            <w:r w:rsidRPr="00082CA6">
              <w:rPr>
                <w:sz w:val="16"/>
              </w:rPr>
              <w:t xml:space="preserve"> </w:t>
            </w:r>
            <w:proofErr w:type="spellStart"/>
            <w:r w:rsidRPr="00082CA6">
              <w:rPr>
                <w:sz w:val="16"/>
              </w:rPr>
              <w:t>sayılmaz</w:t>
            </w:r>
            <w:proofErr w:type="spellEnd"/>
            <w:r w:rsidRPr="00082CA6">
              <w:rPr>
                <w:sz w:val="16"/>
              </w:rPr>
              <w:t xml:space="preserve">. </w:t>
            </w:r>
            <w:proofErr w:type="spellStart"/>
            <w:r w:rsidRPr="00082CA6">
              <w:rPr>
                <w:sz w:val="16"/>
              </w:rPr>
              <w:t>Ancak</w:t>
            </w:r>
            <w:proofErr w:type="spellEnd"/>
            <w:r w:rsidRPr="00082CA6">
              <w:rPr>
                <w:sz w:val="16"/>
              </w:rPr>
              <w:t xml:space="preserve"> </w:t>
            </w:r>
            <w:proofErr w:type="spellStart"/>
            <w:r w:rsidRPr="00082CA6">
              <w:rPr>
                <w:sz w:val="16"/>
              </w:rPr>
              <w:t>bilgi</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iletişim</w:t>
            </w:r>
            <w:proofErr w:type="spellEnd"/>
            <w:r w:rsidRPr="00082CA6">
              <w:rPr>
                <w:sz w:val="16"/>
              </w:rPr>
              <w:t xml:space="preserve"> </w:t>
            </w:r>
            <w:proofErr w:type="spellStart"/>
            <w:r w:rsidRPr="00082CA6">
              <w:rPr>
                <w:sz w:val="16"/>
              </w:rPr>
              <w:t>açısından</w:t>
            </w:r>
            <w:proofErr w:type="spellEnd"/>
            <w:r w:rsidRPr="00082CA6">
              <w:rPr>
                <w:sz w:val="16"/>
              </w:rPr>
              <w:t xml:space="preserve"> </w:t>
            </w:r>
            <w:proofErr w:type="spellStart"/>
            <w:r w:rsidRPr="00082CA6">
              <w:rPr>
                <w:sz w:val="16"/>
              </w:rPr>
              <w:t>sorun</w:t>
            </w:r>
            <w:proofErr w:type="spellEnd"/>
            <w:r w:rsidRPr="00082CA6">
              <w:rPr>
                <w:sz w:val="16"/>
              </w:rPr>
              <w:t xml:space="preserve"> </w:t>
            </w:r>
            <w:proofErr w:type="spellStart"/>
            <w:r w:rsidRPr="00082CA6">
              <w:rPr>
                <w:sz w:val="16"/>
              </w:rPr>
              <w:t>riskler</w:t>
            </w:r>
            <w:proofErr w:type="spellEnd"/>
            <w:r w:rsidRPr="00082CA6">
              <w:rPr>
                <w:sz w:val="16"/>
              </w:rPr>
              <w:t xml:space="preserve"> </w:t>
            </w:r>
            <w:proofErr w:type="spellStart"/>
            <w:r w:rsidRPr="00082CA6">
              <w:rPr>
                <w:sz w:val="16"/>
              </w:rPr>
              <w:t>varsa</w:t>
            </w:r>
            <w:proofErr w:type="spellEnd"/>
            <w:r w:rsidRPr="00082CA6">
              <w:rPr>
                <w:sz w:val="16"/>
              </w:rPr>
              <w:t xml:space="preserve"> </w:t>
            </w:r>
            <w:proofErr w:type="spellStart"/>
            <w:r w:rsidRPr="00082CA6">
              <w:rPr>
                <w:sz w:val="16"/>
              </w:rPr>
              <w:t>bu</w:t>
            </w:r>
            <w:proofErr w:type="spellEnd"/>
            <w:r w:rsidRPr="00082CA6">
              <w:rPr>
                <w:sz w:val="16"/>
              </w:rPr>
              <w:t xml:space="preserve"> </w:t>
            </w:r>
            <w:proofErr w:type="spellStart"/>
            <w:r w:rsidRPr="00082CA6">
              <w:rPr>
                <w:sz w:val="16"/>
              </w:rPr>
              <w:t>kapsamda</w:t>
            </w:r>
            <w:proofErr w:type="spellEnd"/>
            <w:r w:rsidRPr="00082CA6">
              <w:rPr>
                <w:sz w:val="16"/>
              </w:rPr>
              <w:t xml:space="preserve"> </w:t>
            </w:r>
            <w:proofErr w:type="spellStart"/>
            <w:r w:rsidRPr="00082CA6">
              <w:rPr>
                <w:sz w:val="16"/>
              </w:rPr>
              <w:t>sorun</w:t>
            </w:r>
            <w:proofErr w:type="spellEnd"/>
            <w:r w:rsidRPr="00082CA6">
              <w:rPr>
                <w:sz w:val="16"/>
              </w:rPr>
              <w:t xml:space="preserve"> </w:t>
            </w:r>
            <w:proofErr w:type="spellStart"/>
            <w:r w:rsidRPr="00082CA6">
              <w:rPr>
                <w:sz w:val="16"/>
              </w:rPr>
              <w:t>olabilir</w:t>
            </w:r>
            <w:proofErr w:type="spellEnd"/>
            <w:r w:rsidRPr="00082CA6">
              <w:rPr>
                <w:sz w:val="16"/>
              </w:rPr>
              <w:t>.</w:t>
            </w:r>
          </w:p>
          <w:tbl>
            <w:tblPr>
              <w:tblStyle w:val="TabloKlavuzu"/>
              <w:tblW w:w="5948" w:type="dxa"/>
              <w:tblLayout w:type="fixed"/>
              <w:tblCellMar>
                <w:left w:w="0" w:type="dxa"/>
                <w:right w:w="0" w:type="dxa"/>
              </w:tblCellMar>
              <w:tblLook w:val="04A0" w:firstRow="1" w:lastRow="0" w:firstColumn="1" w:lastColumn="0" w:noHBand="0" w:noVBand="1"/>
            </w:tblPr>
            <w:tblGrid>
              <w:gridCol w:w="5948"/>
            </w:tblGrid>
            <w:tr w:rsidR="00082CA6" w:rsidRPr="00082CA6" w:rsidTr="00082CA6">
              <w:tc>
                <w:tcPr>
                  <w:tcW w:w="5948" w:type="dxa"/>
                </w:tcPr>
                <w:p w:rsidR="00082CA6" w:rsidRPr="00082CA6" w:rsidRDefault="00082CA6" w:rsidP="00082CA6">
                  <w:pPr>
                    <w:spacing w:before="0" w:after="120" w:line="240" w:lineRule="auto"/>
                    <w:ind w:firstLine="33"/>
                    <w:rPr>
                      <w:sz w:val="16"/>
                    </w:rPr>
                  </w:pPr>
                  <w:r w:rsidRPr="00082CA6">
                    <w:rPr>
                      <w:sz w:val="16"/>
                    </w:rPr>
                    <w:t xml:space="preserve">COBIT-5 </w:t>
                  </w:r>
                  <w:proofErr w:type="spellStart"/>
                  <w:r w:rsidRPr="00082CA6">
                    <w:rPr>
                      <w:sz w:val="16"/>
                    </w:rPr>
                    <w:t>değerlendirmesi</w:t>
                  </w:r>
                  <w:proofErr w:type="spellEnd"/>
                </w:p>
              </w:tc>
            </w:tr>
            <w:tr w:rsidR="00082CA6" w:rsidRPr="00082CA6" w:rsidTr="00082CA6">
              <w:trPr>
                <w:trHeight w:val="1301"/>
              </w:trPr>
              <w:tc>
                <w:tcPr>
                  <w:tcW w:w="5948" w:type="dxa"/>
                  <w:tcBorders>
                    <w:bottom w:val="nil"/>
                  </w:tcBorders>
                </w:tcPr>
                <w:p w:rsidR="00082CA6" w:rsidRPr="00082CA6" w:rsidRDefault="00082CA6" w:rsidP="00082CA6">
                  <w:pPr>
                    <w:spacing w:before="0" w:after="120" w:line="240" w:lineRule="auto"/>
                    <w:ind w:firstLine="33"/>
                    <w:rPr>
                      <w:sz w:val="16"/>
                    </w:rPr>
                  </w:pPr>
                  <w:r w:rsidRPr="00082CA6">
                    <w:rPr>
                      <w:sz w:val="16"/>
                    </w:rPr>
                    <w:lastRenderedPageBreak/>
                    <w:t xml:space="preserve">COBIT-5 </w:t>
                  </w:r>
                  <w:proofErr w:type="spellStart"/>
                  <w:r w:rsidRPr="00082CA6">
                    <w:rPr>
                      <w:sz w:val="16"/>
                    </w:rPr>
                    <w:t>açısından</w:t>
                  </w:r>
                  <w:proofErr w:type="spellEnd"/>
                  <w:r w:rsidRPr="00082CA6">
                    <w:rPr>
                      <w:sz w:val="16"/>
                    </w:rPr>
                    <w:t xml:space="preserve"> </w:t>
                  </w:r>
                  <w:proofErr w:type="spellStart"/>
                  <w:r w:rsidRPr="00082CA6">
                    <w:rPr>
                      <w:sz w:val="16"/>
                    </w:rPr>
                    <w:t>bakıldığında</w:t>
                  </w:r>
                  <w:proofErr w:type="spellEnd"/>
                  <w:r w:rsidRPr="00082CA6">
                    <w:rPr>
                      <w:sz w:val="16"/>
                    </w:rPr>
                    <w:t xml:space="preserve">, her ay </w:t>
                  </w:r>
                  <w:proofErr w:type="spellStart"/>
                  <w:r w:rsidRPr="00082CA6">
                    <w:rPr>
                      <w:sz w:val="16"/>
                    </w:rPr>
                    <w:t>mutlaka</w:t>
                  </w:r>
                  <w:proofErr w:type="spellEnd"/>
                  <w:r w:rsidRPr="00082CA6">
                    <w:rPr>
                      <w:sz w:val="16"/>
                    </w:rPr>
                    <w:t xml:space="preserve"> </w:t>
                  </w:r>
                  <w:proofErr w:type="spellStart"/>
                  <w:r w:rsidRPr="00082CA6">
                    <w:rPr>
                      <w:sz w:val="16"/>
                    </w:rPr>
                    <w:t>toplanmak</w:t>
                  </w:r>
                  <w:proofErr w:type="spellEnd"/>
                  <w:r w:rsidRPr="00082CA6">
                    <w:rPr>
                      <w:sz w:val="16"/>
                    </w:rPr>
                    <w:t xml:space="preserve"> </w:t>
                  </w:r>
                  <w:proofErr w:type="spellStart"/>
                  <w:r w:rsidRPr="00082CA6">
                    <w:rPr>
                      <w:sz w:val="16"/>
                    </w:rPr>
                    <w:t>gibi</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ihtiyaç</w:t>
                  </w:r>
                  <w:proofErr w:type="spellEnd"/>
                  <w:r w:rsidRPr="00082CA6">
                    <w:rPr>
                      <w:sz w:val="16"/>
                    </w:rPr>
                    <w:t xml:space="preserve"> </w:t>
                  </w:r>
                  <w:proofErr w:type="spellStart"/>
                  <w:r w:rsidRPr="00082CA6">
                    <w:rPr>
                      <w:sz w:val="16"/>
                    </w:rPr>
                    <w:t>yoksa</w:t>
                  </w:r>
                  <w:proofErr w:type="spellEnd"/>
                  <w:r w:rsidRPr="00082CA6">
                    <w:rPr>
                      <w:sz w:val="16"/>
                    </w:rPr>
                    <w:t xml:space="preserve"> </w:t>
                  </w:r>
                  <w:proofErr w:type="spellStart"/>
                  <w:r w:rsidRPr="00082CA6">
                    <w:rPr>
                      <w:sz w:val="16"/>
                    </w:rPr>
                    <w:t>telefonla</w:t>
                  </w:r>
                  <w:proofErr w:type="spellEnd"/>
                  <w:r w:rsidRPr="00082CA6">
                    <w:rPr>
                      <w:sz w:val="16"/>
                    </w:rPr>
                    <w:t xml:space="preserve"> </w:t>
                  </w:r>
                  <w:proofErr w:type="spellStart"/>
                  <w:r w:rsidRPr="00082CA6">
                    <w:rPr>
                      <w:sz w:val="16"/>
                    </w:rPr>
                    <w:t>veya</w:t>
                  </w:r>
                  <w:proofErr w:type="spellEnd"/>
                  <w:r w:rsidRPr="00082CA6">
                    <w:rPr>
                      <w:sz w:val="16"/>
                    </w:rPr>
                    <w:t xml:space="preserve"> </w:t>
                  </w:r>
                  <w:proofErr w:type="spellStart"/>
                  <w:r w:rsidRPr="00082CA6">
                    <w:rPr>
                      <w:sz w:val="16"/>
                    </w:rPr>
                    <w:t>GS’nin</w:t>
                  </w:r>
                  <w:proofErr w:type="spellEnd"/>
                  <w:r w:rsidRPr="00082CA6">
                    <w:rPr>
                      <w:sz w:val="16"/>
                    </w:rPr>
                    <w:t xml:space="preserve"> </w:t>
                  </w:r>
                  <w:proofErr w:type="spellStart"/>
                  <w:r w:rsidRPr="00082CA6">
                    <w:rPr>
                      <w:sz w:val="16"/>
                    </w:rPr>
                    <w:t>dolaşmasıyla</w:t>
                  </w:r>
                  <w:proofErr w:type="spellEnd"/>
                  <w:r w:rsidRPr="00082CA6">
                    <w:rPr>
                      <w:sz w:val="16"/>
                    </w:rPr>
                    <w:t xml:space="preserve"> </w:t>
                  </w:r>
                  <w:proofErr w:type="spellStart"/>
                  <w:r w:rsidRPr="00082CA6">
                    <w:rPr>
                      <w:sz w:val="16"/>
                    </w:rPr>
                    <w:t>iletişim</w:t>
                  </w:r>
                  <w:proofErr w:type="spellEnd"/>
                  <w:r w:rsidRPr="00082CA6">
                    <w:rPr>
                      <w:sz w:val="16"/>
                    </w:rPr>
                    <w:t xml:space="preserve"> </w:t>
                  </w:r>
                  <w:proofErr w:type="spellStart"/>
                  <w:r w:rsidRPr="00082CA6">
                    <w:rPr>
                      <w:sz w:val="16"/>
                    </w:rPr>
                    <w:t>sağlanabiliyorsa</w:t>
                  </w:r>
                  <w:proofErr w:type="spellEnd"/>
                  <w:r w:rsidRPr="00082CA6">
                    <w:rPr>
                      <w:sz w:val="16"/>
                    </w:rPr>
                    <w:t xml:space="preserve"> </w:t>
                  </w:r>
                  <w:proofErr w:type="spellStart"/>
                  <w:r w:rsidRPr="00082CA6">
                    <w:rPr>
                      <w:sz w:val="16"/>
                    </w:rPr>
                    <w:t>illa</w:t>
                  </w:r>
                  <w:proofErr w:type="spellEnd"/>
                  <w:r w:rsidRPr="00082CA6">
                    <w:rPr>
                      <w:sz w:val="16"/>
                    </w:rPr>
                    <w:t xml:space="preserve"> </w:t>
                  </w:r>
                  <w:proofErr w:type="spellStart"/>
                  <w:r w:rsidRPr="00082CA6">
                    <w:rPr>
                      <w:sz w:val="16"/>
                    </w:rPr>
                    <w:t>ki</w:t>
                  </w:r>
                  <w:proofErr w:type="spellEnd"/>
                  <w:r w:rsidRPr="00082CA6">
                    <w:rPr>
                      <w:sz w:val="16"/>
                    </w:rPr>
                    <w:t xml:space="preserve"> her ay </w:t>
                  </w:r>
                  <w:proofErr w:type="spellStart"/>
                  <w:r w:rsidRPr="00082CA6">
                    <w:rPr>
                      <w:sz w:val="16"/>
                    </w:rPr>
                    <w:t>toplanmaması</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sorun</w:t>
                  </w:r>
                  <w:proofErr w:type="spellEnd"/>
                  <w:r w:rsidRPr="00082CA6">
                    <w:rPr>
                      <w:sz w:val="16"/>
                    </w:rPr>
                    <w:t xml:space="preserve"> </w:t>
                  </w:r>
                  <w:proofErr w:type="spellStart"/>
                  <w:r w:rsidRPr="00082CA6">
                    <w:rPr>
                      <w:sz w:val="16"/>
                    </w:rPr>
                    <w:t>teşkil</w:t>
                  </w:r>
                  <w:proofErr w:type="spellEnd"/>
                  <w:r w:rsidRPr="00082CA6">
                    <w:rPr>
                      <w:sz w:val="16"/>
                    </w:rPr>
                    <w:t xml:space="preserve"> </w:t>
                  </w:r>
                  <w:proofErr w:type="spellStart"/>
                  <w:r w:rsidRPr="00082CA6">
                    <w:rPr>
                      <w:sz w:val="16"/>
                    </w:rPr>
                    <w:t>etmez</w:t>
                  </w:r>
                  <w:proofErr w:type="spellEnd"/>
                  <w:r w:rsidRPr="00082CA6">
                    <w:rPr>
                      <w:sz w:val="16"/>
                    </w:rPr>
                    <w:t xml:space="preserve">. </w:t>
                  </w:r>
                  <w:proofErr w:type="spellStart"/>
                  <w:r w:rsidRPr="00082CA6">
                    <w:rPr>
                      <w:sz w:val="16"/>
                    </w:rPr>
                    <w:t>Önemli</w:t>
                  </w:r>
                  <w:proofErr w:type="spellEnd"/>
                  <w:r w:rsidRPr="00082CA6">
                    <w:rPr>
                      <w:sz w:val="16"/>
                    </w:rPr>
                    <w:t xml:space="preserve"> </w:t>
                  </w:r>
                  <w:proofErr w:type="spellStart"/>
                  <w:r w:rsidRPr="00082CA6">
                    <w:rPr>
                      <w:sz w:val="16"/>
                    </w:rPr>
                    <w:t>olan</w:t>
                  </w:r>
                  <w:proofErr w:type="spellEnd"/>
                  <w:r w:rsidRPr="00082CA6">
                    <w:rPr>
                      <w:sz w:val="16"/>
                    </w:rPr>
                    <w:t xml:space="preserve"> </w:t>
                  </w:r>
                  <w:proofErr w:type="spellStart"/>
                  <w:r w:rsidRPr="00082CA6">
                    <w:rPr>
                      <w:sz w:val="16"/>
                    </w:rPr>
                    <w:t>paydaş</w:t>
                  </w:r>
                  <w:proofErr w:type="spellEnd"/>
                  <w:r w:rsidRPr="00082CA6">
                    <w:rPr>
                      <w:sz w:val="16"/>
                    </w:rPr>
                    <w:t xml:space="preserve"> </w:t>
                  </w:r>
                  <w:proofErr w:type="spellStart"/>
                  <w:r w:rsidRPr="00082CA6">
                    <w:rPr>
                      <w:sz w:val="16"/>
                    </w:rPr>
                    <w:t>ihtiyaçlarının</w:t>
                  </w:r>
                  <w:proofErr w:type="spellEnd"/>
                  <w:r w:rsidRPr="00082CA6">
                    <w:rPr>
                      <w:sz w:val="16"/>
                    </w:rPr>
                    <w:t xml:space="preserve"> </w:t>
                  </w:r>
                  <w:proofErr w:type="spellStart"/>
                  <w:r w:rsidRPr="00082CA6">
                    <w:rPr>
                      <w:sz w:val="16"/>
                    </w:rPr>
                    <w:t>karşılanıyor</w:t>
                  </w:r>
                  <w:proofErr w:type="spellEnd"/>
                  <w:r w:rsidRPr="00082CA6">
                    <w:rPr>
                      <w:sz w:val="16"/>
                    </w:rPr>
                    <w:t xml:space="preserve"> </w:t>
                  </w:r>
                  <w:proofErr w:type="spellStart"/>
                  <w:r w:rsidRPr="00082CA6">
                    <w:rPr>
                      <w:sz w:val="16"/>
                    </w:rPr>
                    <w:t>olması</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toplantı</w:t>
                  </w:r>
                  <w:proofErr w:type="spellEnd"/>
                  <w:r w:rsidRPr="00082CA6">
                    <w:rPr>
                      <w:sz w:val="16"/>
                    </w:rPr>
                    <w:t xml:space="preserve"> </w:t>
                  </w:r>
                  <w:proofErr w:type="spellStart"/>
                  <w:r w:rsidRPr="00082CA6">
                    <w:rPr>
                      <w:sz w:val="16"/>
                    </w:rPr>
                    <w:t>yapılmasının</w:t>
                  </w:r>
                  <w:proofErr w:type="spellEnd"/>
                  <w:r w:rsidRPr="00082CA6">
                    <w:rPr>
                      <w:sz w:val="16"/>
                    </w:rPr>
                    <w:t xml:space="preserve"> </w:t>
                  </w:r>
                  <w:proofErr w:type="spellStart"/>
                  <w:r w:rsidRPr="00082CA6">
                    <w:rPr>
                      <w:sz w:val="16"/>
                    </w:rPr>
                    <w:t>beklentilerinin</w:t>
                  </w:r>
                  <w:proofErr w:type="spellEnd"/>
                  <w:r w:rsidRPr="00082CA6">
                    <w:rPr>
                      <w:sz w:val="16"/>
                    </w:rPr>
                    <w:t xml:space="preserve"> </w:t>
                  </w:r>
                  <w:proofErr w:type="spellStart"/>
                  <w:r w:rsidRPr="00082CA6">
                    <w:rPr>
                      <w:sz w:val="16"/>
                    </w:rPr>
                    <w:t>karşılanabiliyor</w:t>
                  </w:r>
                  <w:proofErr w:type="spellEnd"/>
                  <w:r w:rsidRPr="00082CA6">
                    <w:rPr>
                      <w:sz w:val="16"/>
                    </w:rPr>
                    <w:t xml:space="preserve"> </w:t>
                  </w:r>
                  <w:proofErr w:type="spellStart"/>
                  <w:r w:rsidRPr="00082CA6">
                    <w:rPr>
                      <w:sz w:val="16"/>
                    </w:rPr>
                    <w:t>olmasıdır</w:t>
                  </w:r>
                  <w:proofErr w:type="spellEnd"/>
                  <w:r w:rsidRPr="00082CA6">
                    <w:rPr>
                      <w:sz w:val="16"/>
                    </w:rPr>
                    <w:t xml:space="preserve">. </w:t>
                  </w:r>
                  <w:proofErr w:type="spellStart"/>
                  <w:r w:rsidRPr="00082CA6">
                    <w:rPr>
                      <w:sz w:val="16"/>
                    </w:rPr>
                    <w:t>Yönetişim</w:t>
                  </w:r>
                  <w:proofErr w:type="spellEnd"/>
                  <w:r w:rsidRPr="00082CA6">
                    <w:rPr>
                      <w:sz w:val="16"/>
                    </w:rPr>
                    <w:t xml:space="preserve"> </w:t>
                  </w:r>
                  <w:proofErr w:type="spellStart"/>
                  <w:r w:rsidRPr="00082CA6">
                    <w:rPr>
                      <w:sz w:val="16"/>
                    </w:rPr>
                    <w:t>süreçleriyle</w:t>
                  </w:r>
                  <w:proofErr w:type="spellEnd"/>
                  <w:r w:rsidRPr="00082CA6">
                    <w:rPr>
                      <w:sz w:val="16"/>
                    </w:rPr>
                    <w:t xml:space="preserve"> </w:t>
                  </w:r>
                  <w:proofErr w:type="spellStart"/>
                  <w:r w:rsidRPr="00082CA6">
                    <w:rPr>
                      <w:sz w:val="16"/>
                    </w:rPr>
                    <w:t>ilişkilidir</w:t>
                  </w:r>
                  <w:proofErr w:type="spellEnd"/>
                  <w:r w:rsidRPr="00082CA6">
                    <w:rPr>
                      <w:sz w:val="16"/>
                    </w:rPr>
                    <w:t xml:space="preserve">.  </w:t>
                  </w:r>
                  <w:proofErr w:type="spellStart"/>
                  <w:r w:rsidRPr="00082CA6">
                    <w:rPr>
                      <w:sz w:val="16"/>
                    </w:rPr>
                    <w:t>Hedef</w:t>
                  </w:r>
                  <w:proofErr w:type="spellEnd"/>
                  <w:r w:rsidRPr="00082CA6">
                    <w:rPr>
                      <w:sz w:val="16"/>
                    </w:rPr>
                    <w:t xml:space="preserve"> bas</w:t>
                  </w:r>
                  <w:r w:rsidRPr="00082CA6">
                    <w:rPr>
                      <w:sz w:val="16"/>
                    </w:rPr>
                    <w:cr/>
                  </w:r>
                  <w:proofErr w:type="spellStart"/>
                  <w:proofErr w:type="gramStart"/>
                  <w:r w:rsidRPr="00082CA6">
                    <w:rPr>
                      <w:sz w:val="16"/>
                    </w:rPr>
                    <w:t>maklarına</w:t>
                  </w:r>
                  <w:proofErr w:type="spellEnd"/>
                  <w:proofErr w:type="gramEnd"/>
                  <w:r w:rsidRPr="00082CA6">
                    <w:rPr>
                      <w:sz w:val="16"/>
                    </w:rPr>
                    <w:t xml:space="preserve"> </w:t>
                  </w:r>
                  <w:proofErr w:type="spellStart"/>
                  <w:r w:rsidRPr="00082CA6">
                    <w:rPr>
                      <w:sz w:val="16"/>
                    </w:rPr>
                    <w:t>göre</w:t>
                  </w:r>
                  <w:proofErr w:type="spellEnd"/>
                  <w:r w:rsidRPr="00082CA6">
                    <w:rPr>
                      <w:sz w:val="16"/>
                    </w:rPr>
                    <w:t xml:space="preserve"> </w:t>
                  </w:r>
                  <w:proofErr w:type="spellStart"/>
                  <w:r w:rsidRPr="00082CA6">
                    <w:rPr>
                      <w:sz w:val="16"/>
                    </w:rPr>
                    <w:t>yapılandırma</w:t>
                  </w:r>
                  <w:proofErr w:type="spellEnd"/>
                  <w:r w:rsidRPr="00082CA6">
                    <w:rPr>
                      <w:sz w:val="16"/>
                    </w:rPr>
                    <w:t xml:space="preserve"> </w:t>
                  </w:r>
                  <w:proofErr w:type="spellStart"/>
                  <w:r w:rsidRPr="00082CA6">
                    <w:rPr>
                      <w:sz w:val="16"/>
                    </w:rPr>
                    <w:t>yapılmamış</w:t>
                  </w:r>
                  <w:proofErr w:type="spellEnd"/>
                  <w:r w:rsidRPr="00082CA6">
                    <w:rPr>
                      <w:sz w:val="16"/>
                    </w:rPr>
                    <w:t xml:space="preserve"> </w:t>
                  </w:r>
                  <w:proofErr w:type="spellStart"/>
                  <w:r w:rsidRPr="00082CA6">
                    <w:rPr>
                      <w:sz w:val="16"/>
                    </w:rPr>
                    <w:t>olması</w:t>
                  </w:r>
                  <w:proofErr w:type="spellEnd"/>
                  <w:r w:rsidRPr="00082CA6">
                    <w:rPr>
                      <w:sz w:val="16"/>
                    </w:rPr>
                    <w:t xml:space="preserve"> </w:t>
                  </w:r>
                  <w:proofErr w:type="spellStart"/>
                  <w:r w:rsidRPr="00082CA6">
                    <w:rPr>
                      <w:sz w:val="16"/>
                    </w:rPr>
                    <w:t>durumunda</w:t>
                  </w:r>
                  <w:proofErr w:type="spellEnd"/>
                  <w:r w:rsidRPr="00082CA6">
                    <w:rPr>
                      <w:sz w:val="16"/>
                    </w:rPr>
                    <w:t xml:space="preserve"> </w:t>
                  </w:r>
                  <w:proofErr w:type="spellStart"/>
                  <w:r w:rsidRPr="00082CA6">
                    <w:rPr>
                      <w:sz w:val="16"/>
                    </w:rPr>
                    <w:t>kurulların</w:t>
                  </w:r>
                  <w:proofErr w:type="spellEnd"/>
                  <w:r w:rsidRPr="00082CA6">
                    <w:rPr>
                      <w:sz w:val="16"/>
                    </w:rPr>
                    <w:t xml:space="preserve"> da </w:t>
                  </w:r>
                  <w:proofErr w:type="spellStart"/>
                  <w:r w:rsidRPr="00082CA6">
                    <w:rPr>
                      <w:sz w:val="16"/>
                    </w:rPr>
                    <w:t>etkili</w:t>
                  </w:r>
                  <w:proofErr w:type="spellEnd"/>
                  <w:r w:rsidRPr="00082CA6">
                    <w:rPr>
                      <w:sz w:val="16"/>
                    </w:rPr>
                    <w:t xml:space="preserve"> </w:t>
                  </w:r>
                  <w:proofErr w:type="spellStart"/>
                  <w:r w:rsidRPr="00082CA6">
                    <w:rPr>
                      <w:sz w:val="16"/>
                    </w:rPr>
                    <w:t>işlememesi</w:t>
                  </w:r>
                  <w:proofErr w:type="spellEnd"/>
                  <w:r w:rsidRPr="00082CA6">
                    <w:rPr>
                      <w:sz w:val="16"/>
                    </w:rPr>
                    <w:t xml:space="preserve"> </w:t>
                  </w:r>
                  <w:proofErr w:type="spellStart"/>
                  <w:r w:rsidRPr="00082CA6">
                    <w:rPr>
                      <w:sz w:val="16"/>
                    </w:rPr>
                    <w:t>olanaklı</w:t>
                  </w:r>
                  <w:proofErr w:type="spellEnd"/>
                  <w:r w:rsidRPr="00082CA6">
                    <w:rPr>
                      <w:sz w:val="16"/>
                    </w:rPr>
                    <w:t xml:space="preserve"> </w:t>
                  </w:r>
                  <w:proofErr w:type="spellStart"/>
                  <w:r w:rsidRPr="00082CA6">
                    <w:rPr>
                      <w:sz w:val="16"/>
                    </w:rPr>
                    <w:t>olduğundan</w:t>
                  </w:r>
                  <w:proofErr w:type="spellEnd"/>
                  <w:r w:rsidRPr="00082CA6">
                    <w:rPr>
                      <w:sz w:val="16"/>
                    </w:rPr>
                    <w:t xml:space="preserve"> </w:t>
                  </w:r>
                  <w:proofErr w:type="spellStart"/>
                  <w:r w:rsidRPr="00082CA6">
                    <w:rPr>
                      <w:sz w:val="16"/>
                    </w:rPr>
                    <w:t>bunun</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göstergesidir</w:t>
                  </w:r>
                  <w:proofErr w:type="spellEnd"/>
                  <w:r w:rsidRPr="00082CA6">
                    <w:rPr>
                      <w:sz w:val="16"/>
                    </w:rPr>
                    <w:t>.</w:t>
                  </w:r>
                </w:p>
              </w:tc>
            </w:tr>
          </w:tbl>
          <w:p w:rsidR="00082CA6" w:rsidRPr="00082CA6" w:rsidRDefault="00082CA6" w:rsidP="00082CA6">
            <w:pPr>
              <w:spacing w:before="0" w:after="120" w:line="240" w:lineRule="auto"/>
              <w:ind w:firstLine="33"/>
              <w:rPr>
                <w:sz w:val="16"/>
              </w:rPr>
            </w:pPr>
          </w:p>
        </w:tc>
      </w:tr>
      <w:tr w:rsidR="00082CA6" w:rsidRPr="00082CA6" w:rsidTr="00082CA6">
        <w:tc>
          <w:tcPr>
            <w:tcW w:w="5108" w:type="dxa"/>
            <w:gridSpan w:val="2"/>
          </w:tcPr>
          <w:p w:rsidR="00082CA6" w:rsidRPr="00082CA6" w:rsidRDefault="00082CA6" w:rsidP="00082CA6">
            <w:pPr>
              <w:spacing w:before="0" w:after="120" w:line="240" w:lineRule="auto"/>
              <w:rPr>
                <w:sz w:val="16"/>
              </w:rPr>
            </w:pPr>
            <w:r w:rsidRPr="00082CA6">
              <w:rPr>
                <w:sz w:val="16"/>
              </w:rPr>
              <w:lastRenderedPageBreak/>
              <w:t xml:space="preserve">KB </w:t>
            </w:r>
            <w:proofErr w:type="spellStart"/>
            <w:r w:rsidRPr="00082CA6">
              <w:rPr>
                <w:sz w:val="16"/>
              </w:rPr>
              <w:t>Eylem</w:t>
            </w:r>
            <w:proofErr w:type="spellEnd"/>
            <w:r w:rsidRPr="00082CA6">
              <w:rPr>
                <w:sz w:val="16"/>
              </w:rPr>
              <w:t xml:space="preserve"> </w:t>
            </w:r>
            <w:proofErr w:type="spellStart"/>
            <w:r w:rsidRPr="00082CA6">
              <w:rPr>
                <w:sz w:val="16"/>
              </w:rPr>
              <w:t>Planı</w:t>
            </w:r>
            <w:proofErr w:type="spellEnd"/>
            <w:r w:rsidRPr="00082CA6">
              <w:rPr>
                <w:sz w:val="16"/>
              </w:rPr>
              <w:t xml:space="preserve"> </w:t>
            </w:r>
          </w:p>
        </w:tc>
        <w:tc>
          <w:tcPr>
            <w:tcW w:w="2268" w:type="dxa"/>
          </w:tcPr>
          <w:p w:rsidR="00082CA6" w:rsidRPr="00082CA6" w:rsidRDefault="00082CA6" w:rsidP="00082CA6">
            <w:pPr>
              <w:spacing w:before="0" w:after="120" w:line="240" w:lineRule="auto"/>
              <w:ind w:firstLine="33"/>
              <w:rPr>
                <w:sz w:val="16"/>
              </w:rPr>
            </w:pPr>
            <w:r w:rsidRPr="00082CA6">
              <w:rPr>
                <w:sz w:val="16"/>
              </w:rPr>
              <w:t xml:space="preserve">KA </w:t>
            </w:r>
            <w:proofErr w:type="spellStart"/>
            <w:r w:rsidRPr="00082CA6">
              <w:rPr>
                <w:sz w:val="16"/>
              </w:rPr>
              <w:t>Eylem</w:t>
            </w:r>
            <w:proofErr w:type="spellEnd"/>
            <w:r w:rsidRPr="00082CA6">
              <w:rPr>
                <w:sz w:val="16"/>
              </w:rPr>
              <w:t xml:space="preserve"> </w:t>
            </w:r>
            <w:proofErr w:type="spellStart"/>
            <w:r w:rsidRPr="00082CA6">
              <w:rPr>
                <w:sz w:val="16"/>
              </w:rPr>
              <w:t>Planı</w:t>
            </w:r>
            <w:proofErr w:type="spellEnd"/>
          </w:p>
        </w:tc>
      </w:tr>
      <w:tr w:rsidR="00082CA6" w:rsidRPr="00082CA6" w:rsidTr="00082CA6">
        <w:tc>
          <w:tcPr>
            <w:tcW w:w="5108" w:type="dxa"/>
            <w:gridSpan w:val="2"/>
          </w:tcPr>
          <w:p w:rsidR="00082CA6" w:rsidRPr="00082CA6" w:rsidRDefault="00082CA6" w:rsidP="00082CA6">
            <w:pPr>
              <w:spacing w:before="0" w:after="120" w:line="240" w:lineRule="auto"/>
              <w:rPr>
                <w:sz w:val="16"/>
              </w:rPr>
            </w:pPr>
            <w:r w:rsidRPr="00082CA6">
              <w:rPr>
                <w:bCs/>
                <w:sz w:val="16"/>
                <w:lang w:eastAsia="tr-TR"/>
              </w:rPr>
              <w:t xml:space="preserve">7.1 </w:t>
            </w:r>
            <w:r w:rsidRPr="00082CA6">
              <w:rPr>
                <w:sz w:val="16"/>
                <w:lang w:eastAsia="tr-TR"/>
              </w:rPr>
              <w:t xml:space="preserve">5449 </w:t>
            </w:r>
            <w:proofErr w:type="spellStart"/>
            <w:r w:rsidRPr="00082CA6">
              <w:rPr>
                <w:sz w:val="16"/>
                <w:lang w:eastAsia="tr-TR"/>
              </w:rPr>
              <w:t>sayılı</w:t>
            </w:r>
            <w:proofErr w:type="spellEnd"/>
            <w:r w:rsidRPr="00082CA6">
              <w:rPr>
                <w:sz w:val="16"/>
                <w:lang w:eastAsia="tr-TR"/>
              </w:rPr>
              <w:t xml:space="preserve"> </w:t>
            </w:r>
            <w:proofErr w:type="spellStart"/>
            <w:r w:rsidRPr="00082CA6">
              <w:rPr>
                <w:sz w:val="16"/>
                <w:lang w:eastAsia="tr-TR"/>
              </w:rPr>
              <w:t>kanunda</w:t>
            </w:r>
            <w:proofErr w:type="spellEnd"/>
            <w:r w:rsidRPr="00082CA6">
              <w:rPr>
                <w:sz w:val="16"/>
                <w:lang w:eastAsia="tr-TR"/>
              </w:rPr>
              <w:t xml:space="preserve"> </w:t>
            </w:r>
            <w:proofErr w:type="spellStart"/>
            <w:r w:rsidRPr="00082CA6">
              <w:rPr>
                <w:sz w:val="16"/>
                <w:lang w:eastAsia="tr-TR"/>
              </w:rPr>
              <w:t>yapılacak</w:t>
            </w:r>
            <w:proofErr w:type="spellEnd"/>
            <w:r w:rsidRPr="00082CA6">
              <w:rPr>
                <w:sz w:val="16"/>
                <w:lang w:eastAsia="tr-TR"/>
              </w:rPr>
              <w:t xml:space="preserve"> </w:t>
            </w:r>
            <w:proofErr w:type="spellStart"/>
            <w:r w:rsidRPr="00082CA6">
              <w:rPr>
                <w:sz w:val="16"/>
                <w:lang w:eastAsia="tr-TR"/>
              </w:rPr>
              <w:t>değişiklik</w:t>
            </w:r>
            <w:proofErr w:type="spellEnd"/>
            <w:r w:rsidRPr="00082CA6">
              <w:rPr>
                <w:sz w:val="16"/>
                <w:lang w:eastAsia="tr-TR"/>
              </w:rPr>
              <w:t xml:space="preserve"> </w:t>
            </w:r>
            <w:proofErr w:type="spellStart"/>
            <w:r w:rsidRPr="00082CA6">
              <w:rPr>
                <w:sz w:val="16"/>
                <w:lang w:eastAsia="tr-TR"/>
              </w:rPr>
              <w:t>ile</w:t>
            </w:r>
            <w:proofErr w:type="spellEnd"/>
            <w:r w:rsidRPr="00082CA6">
              <w:rPr>
                <w:sz w:val="16"/>
                <w:lang w:eastAsia="tr-TR"/>
              </w:rPr>
              <w:t xml:space="preserve"> </w:t>
            </w:r>
            <w:proofErr w:type="spellStart"/>
            <w:r w:rsidRPr="00082CA6">
              <w:rPr>
                <w:sz w:val="16"/>
                <w:lang w:eastAsia="tr-TR"/>
              </w:rPr>
              <w:t>yönetim</w:t>
            </w:r>
            <w:proofErr w:type="spellEnd"/>
            <w:r w:rsidRPr="00082CA6">
              <w:rPr>
                <w:sz w:val="16"/>
                <w:lang w:eastAsia="tr-TR"/>
              </w:rPr>
              <w:t xml:space="preserve"> </w:t>
            </w:r>
            <w:proofErr w:type="spellStart"/>
            <w:r w:rsidRPr="00082CA6">
              <w:rPr>
                <w:sz w:val="16"/>
                <w:lang w:eastAsia="tr-TR"/>
              </w:rPr>
              <w:t>kurullarının</w:t>
            </w:r>
            <w:proofErr w:type="spellEnd"/>
            <w:r w:rsidRPr="00082CA6">
              <w:rPr>
                <w:sz w:val="16"/>
                <w:lang w:eastAsia="tr-TR"/>
              </w:rPr>
              <w:t xml:space="preserve"> </w:t>
            </w:r>
            <w:proofErr w:type="spellStart"/>
            <w:r w:rsidRPr="00082CA6">
              <w:rPr>
                <w:sz w:val="16"/>
                <w:lang w:eastAsia="tr-TR"/>
              </w:rPr>
              <w:t>toplanma</w:t>
            </w:r>
            <w:proofErr w:type="spellEnd"/>
            <w:r w:rsidRPr="00082CA6">
              <w:rPr>
                <w:sz w:val="16"/>
                <w:lang w:eastAsia="tr-TR"/>
              </w:rPr>
              <w:t xml:space="preserve"> </w:t>
            </w:r>
            <w:proofErr w:type="spellStart"/>
            <w:r w:rsidRPr="00082CA6">
              <w:rPr>
                <w:sz w:val="16"/>
                <w:lang w:eastAsia="tr-TR"/>
              </w:rPr>
              <w:t>sıklıkları</w:t>
            </w:r>
            <w:proofErr w:type="spellEnd"/>
            <w:r w:rsidRPr="00082CA6">
              <w:rPr>
                <w:sz w:val="16"/>
                <w:lang w:eastAsia="tr-TR"/>
              </w:rPr>
              <w:t xml:space="preserve"> </w:t>
            </w:r>
            <w:proofErr w:type="spellStart"/>
            <w:r w:rsidRPr="00082CA6">
              <w:rPr>
                <w:sz w:val="16"/>
                <w:lang w:eastAsia="tr-TR"/>
              </w:rPr>
              <w:t>gözden</w:t>
            </w:r>
            <w:proofErr w:type="spellEnd"/>
            <w:r w:rsidRPr="00082CA6">
              <w:rPr>
                <w:sz w:val="16"/>
                <w:lang w:eastAsia="tr-TR"/>
              </w:rPr>
              <w:t xml:space="preserve"> </w:t>
            </w:r>
            <w:proofErr w:type="spellStart"/>
            <w:r w:rsidRPr="00082CA6">
              <w:rPr>
                <w:sz w:val="16"/>
                <w:lang w:eastAsia="tr-TR"/>
              </w:rPr>
              <w:t>geçirilecek</w:t>
            </w:r>
            <w:proofErr w:type="spellEnd"/>
            <w:r w:rsidRPr="00082CA6">
              <w:rPr>
                <w:sz w:val="16"/>
                <w:lang w:eastAsia="tr-TR"/>
              </w:rPr>
              <w:t xml:space="preserve">, </w:t>
            </w:r>
            <w:proofErr w:type="spellStart"/>
            <w:r w:rsidRPr="00082CA6">
              <w:rPr>
                <w:sz w:val="16"/>
                <w:lang w:eastAsia="tr-TR"/>
              </w:rPr>
              <w:t>yönetim</w:t>
            </w:r>
            <w:proofErr w:type="spellEnd"/>
            <w:r w:rsidRPr="00082CA6">
              <w:rPr>
                <w:sz w:val="16"/>
                <w:lang w:eastAsia="tr-TR"/>
              </w:rPr>
              <w:t xml:space="preserve"> </w:t>
            </w:r>
            <w:proofErr w:type="spellStart"/>
            <w:r w:rsidRPr="00082CA6">
              <w:rPr>
                <w:sz w:val="16"/>
                <w:lang w:eastAsia="tr-TR"/>
              </w:rPr>
              <w:t>kurulu</w:t>
            </w:r>
            <w:proofErr w:type="spellEnd"/>
            <w:r w:rsidRPr="00082CA6">
              <w:rPr>
                <w:sz w:val="16"/>
                <w:lang w:eastAsia="tr-TR"/>
              </w:rPr>
              <w:t xml:space="preserve"> </w:t>
            </w:r>
            <w:proofErr w:type="spellStart"/>
            <w:r w:rsidRPr="00082CA6">
              <w:rPr>
                <w:sz w:val="16"/>
                <w:lang w:eastAsia="tr-TR"/>
              </w:rPr>
              <w:t>başkanının</w:t>
            </w:r>
            <w:proofErr w:type="spellEnd"/>
            <w:r w:rsidRPr="00082CA6">
              <w:rPr>
                <w:sz w:val="16"/>
                <w:lang w:eastAsia="tr-TR"/>
              </w:rPr>
              <w:t xml:space="preserve"> </w:t>
            </w:r>
            <w:proofErr w:type="spellStart"/>
            <w:r w:rsidRPr="00082CA6">
              <w:rPr>
                <w:sz w:val="16"/>
                <w:lang w:eastAsia="tr-TR"/>
              </w:rPr>
              <w:t>acil</w:t>
            </w:r>
            <w:proofErr w:type="spellEnd"/>
            <w:r w:rsidRPr="00082CA6">
              <w:rPr>
                <w:sz w:val="16"/>
                <w:lang w:eastAsia="tr-TR"/>
              </w:rPr>
              <w:t xml:space="preserve"> </w:t>
            </w:r>
            <w:proofErr w:type="spellStart"/>
            <w:r w:rsidRPr="00082CA6">
              <w:rPr>
                <w:sz w:val="16"/>
                <w:lang w:eastAsia="tr-TR"/>
              </w:rPr>
              <w:t>durumlarda</w:t>
            </w:r>
            <w:proofErr w:type="spellEnd"/>
            <w:r w:rsidRPr="00082CA6">
              <w:rPr>
                <w:sz w:val="16"/>
                <w:lang w:eastAsia="tr-TR"/>
              </w:rPr>
              <w:t xml:space="preserve"> </w:t>
            </w:r>
            <w:proofErr w:type="spellStart"/>
            <w:r w:rsidRPr="00082CA6">
              <w:rPr>
                <w:sz w:val="16"/>
                <w:lang w:eastAsia="tr-TR"/>
              </w:rPr>
              <w:t>kurulu</w:t>
            </w:r>
            <w:proofErr w:type="spellEnd"/>
            <w:r w:rsidRPr="00082CA6">
              <w:rPr>
                <w:sz w:val="16"/>
                <w:lang w:eastAsia="tr-TR"/>
              </w:rPr>
              <w:t xml:space="preserve"> </w:t>
            </w:r>
            <w:proofErr w:type="spellStart"/>
            <w:r w:rsidRPr="00082CA6">
              <w:rPr>
                <w:sz w:val="16"/>
                <w:lang w:eastAsia="tr-TR"/>
              </w:rPr>
              <w:t>toplantıya</w:t>
            </w:r>
            <w:proofErr w:type="spellEnd"/>
            <w:r w:rsidRPr="00082CA6">
              <w:rPr>
                <w:sz w:val="16"/>
                <w:lang w:eastAsia="tr-TR"/>
              </w:rPr>
              <w:t xml:space="preserve"> </w:t>
            </w:r>
            <w:proofErr w:type="spellStart"/>
            <w:r w:rsidRPr="00082CA6">
              <w:rPr>
                <w:sz w:val="16"/>
                <w:lang w:eastAsia="tr-TR"/>
              </w:rPr>
              <w:t>çağırma</w:t>
            </w:r>
            <w:proofErr w:type="spellEnd"/>
            <w:r w:rsidRPr="00082CA6">
              <w:rPr>
                <w:sz w:val="16"/>
                <w:lang w:eastAsia="tr-TR"/>
              </w:rPr>
              <w:t xml:space="preserve"> </w:t>
            </w:r>
            <w:proofErr w:type="spellStart"/>
            <w:r w:rsidRPr="00082CA6">
              <w:rPr>
                <w:sz w:val="16"/>
                <w:lang w:eastAsia="tr-TR"/>
              </w:rPr>
              <w:t>yetkisi</w:t>
            </w:r>
            <w:proofErr w:type="spellEnd"/>
            <w:r w:rsidRPr="00082CA6">
              <w:rPr>
                <w:sz w:val="16"/>
                <w:lang w:eastAsia="tr-TR"/>
              </w:rPr>
              <w:t xml:space="preserve"> </w:t>
            </w:r>
            <w:proofErr w:type="spellStart"/>
            <w:r w:rsidRPr="00082CA6">
              <w:rPr>
                <w:sz w:val="16"/>
                <w:lang w:eastAsia="tr-TR"/>
              </w:rPr>
              <w:t>düzenlenecektir</w:t>
            </w:r>
            <w:proofErr w:type="spellEnd"/>
            <w:r w:rsidRPr="00082CA6">
              <w:rPr>
                <w:sz w:val="16"/>
                <w:lang w:eastAsia="tr-TR"/>
              </w:rPr>
              <w:t>.</w:t>
            </w:r>
          </w:p>
        </w:tc>
        <w:tc>
          <w:tcPr>
            <w:tcW w:w="2268" w:type="dxa"/>
          </w:tcPr>
          <w:p w:rsidR="00082CA6" w:rsidRPr="00082CA6" w:rsidRDefault="00082CA6" w:rsidP="00082CA6">
            <w:pPr>
              <w:spacing w:before="0" w:after="120" w:line="240" w:lineRule="auto"/>
              <w:ind w:firstLine="33"/>
              <w:rPr>
                <w:sz w:val="16"/>
              </w:rPr>
            </w:pPr>
            <w:r w:rsidRPr="00082CA6">
              <w:rPr>
                <w:sz w:val="16"/>
              </w:rPr>
              <w:t>YOK.</w:t>
            </w:r>
          </w:p>
        </w:tc>
      </w:tr>
    </w:tbl>
    <w:p w:rsidR="00082CA6" w:rsidRPr="00082CA6" w:rsidRDefault="00082CA6" w:rsidP="00082CA6">
      <w:pPr>
        <w:suppressAutoHyphens/>
        <w:autoSpaceDE w:val="0"/>
        <w:autoSpaceDN w:val="0"/>
        <w:adjustRightInd w:val="0"/>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w:t>
      </w:r>
      <w:sdt>
        <w:sdtPr>
          <w:rPr>
            <w:rFonts w:eastAsia="Times New Roman" w:cs="Times New Roman"/>
            <w:sz w:val="20"/>
            <w:lang w:eastAsia="tr-TR"/>
          </w:rPr>
          <w:id w:val="-561484797"/>
          <w:citation/>
        </w:sdtPr>
        <w:sdtEndPr/>
        <w:sdtContent>
          <w:r w:rsidRPr="00082CA6">
            <w:rPr>
              <w:rFonts w:eastAsia="Times New Roman" w:cs="Times New Roman"/>
              <w:sz w:val="20"/>
              <w:lang w:eastAsia="tr-TR"/>
            </w:rPr>
            <w:fldChar w:fldCharType="begin"/>
          </w:r>
          <w:r w:rsidRPr="00082CA6">
            <w:rPr>
              <w:rFonts w:eastAsia="Times New Roman" w:cs="Times New Roman"/>
              <w:sz w:val="20"/>
              <w:lang w:eastAsia="tr-TR"/>
            </w:rPr>
            <w:instrText xml:space="preserve"> CITATION Dev14 \l 1055 </w:instrText>
          </w:r>
          <w:r w:rsidRPr="00082CA6">
            <w:rPr>
              <w:rFonts w:eastAsia="Times New Roman" w:cs="Times New Roman"/>
              <w:sz w:val="20"/>
              <w:lang w:eastAsia="tr-TR"/>
            </w:rPr>
            <w:fldChar w:fldCharType="separate"/>
          </w:r>
          <w:r w:rsidRPr="00082CA6">
            <w:rPr>
              <w:rFonts w:eastAsia="Times New Roman" w:cs="Times New Roman"/>
              <w:sz w:val="20"/>
              <w:lang w:eastAsia="tr-TR"/>
            </w:rPr>
            <w:t xml:space="preserve"> (DDK, et al., 2014)</w:t>
          </w:r>
          <w:r w:rsidRPr="00082CA6">
            <w:rPr>
              <w:rFonts w:eastAsia="Times New Roman" w:cs="Times New Roman"/>
              <w:sz w:val="20"/>
              <w:lang w:eastAsia="tr-TR"/>
            </w:rPr>
            <w:fldChar w:fldCharType="end"/>
          </w:r>
        </w:sdtContent>
      </w:sdt>
      <w:r w:rsidRPr="00082CA6">
        <w:rPr>
          <w:rFonts w:eastAsia="Times New Roman" w:cs="Times New Roman"/>
          <w:sz w:val="20"/>
          <w:lang w:eastAsia="tr-TR"/>
        </w:rPr>
        <w:t xml:space="preserve"> ve </w:t>
      </w:r>
      <w:sdt>
        <w:sdtPr>
          <w:rPr>
            <w:rFonts w:eastAsia="Times New Roman" w:cs="Times New Roman"/>
            <w:sz w:val="20"/>
            <w:lang w:eastAsia="tr-TR"/>
          </w:rPr>
          <w:id w:val="288547818"/>
          <w:citation/>
        </w:sdtPr>
        <w:sdtEndPr/>
        <w:sdtContent>
          <w:r w:rsidRPr="00082CA6">
            <w:rPr>
              <w:rFonts w:eastAsia="Times New Roman" w:cs="Times New Roman"/>
              <w:sz w:val="20"/>
              <w:lang w:eastAsia="tr-TR"/>
            </w:rPr>
            <w:fldChar w:fldCharType="begin"/>
          </w:r>
          <w:r w:rsidRPr="00082CA6">
            <w:rPr>
              <w:rFonts w:eastAsia="Times New Roman" w:cs="Times New Roman"/>
              <w:sz w:val="20"/>
              <w:lang w:eastAsia="tr-TR"/>
            </w:rPr>
            <w:instrText xml:space="preserve"> CITATION KBB14 \l 1055 </w:instrText>
          </w:r>
          <w:r w:rsidRPr="00082CA6">
            <w:rPr>
              <w:rFonts w:eastAsia="Times New Roman" w:cs="Times New Roman"/>
              <w:sz w:val="20"/>
              <w:lang w:eastAsia="tr-TR"/>
            </w:rPr>
            <w:fldChar w:fldCharType="separate"/>
          </w:r>
          <w:r w:rsidRPr="00082CA6">
            <w:rPr>
              <w:rFonts w:eastAsia="Times New Roman" w:cs="Times New Roman"/>
              <w:sz w:val="20"/>
              <w:lang w:eastAsia="tr-TR"/>
            </w:rPr>
            <w:t>(KB-BGYUGM, 2014)</w:t>
          </w:r>
          <w:r w:rsidRPr="00082CA6">
            <w:rPr>
              <w:rFonts w:eastAsia="Times New Roman" w:cs="Times New Roman"/>
              <w:sz w:val="20"/>
              <w:lang w:eastAsia="tr-TR"/>
            </w:rPr>
            <w:fldChar w:fldCharType="end"/>
          </w:r>
        </w:sdtContent>
      </w:sdt>
      <w:r w:rsidRPr="00082CA6">
        <w:rPr>
          <w:rFonts w:eastAsia="Times New Roman" w:cs="Times New Roman"/>
          <w:sz w:val="20"/>
          <w:lang w:eastAsia="tr-TR"/>
        </w:rPr>
        <w:t>’dan yararlanarak  araştırmacı tarafından oluşturulmuştur.</w:t>
      </w:r>
    </w:p>
    <w:p w:rsidR="00082CA6" w:rsidRPr="00082CA6" w:rsidRDefault="00082CA6" w:rsidP="00082CA6">
      <w:pPr>
        <w:keepNext/>
        <w:tabs>
          <w:tab w:val="left" w:pos="851"/>
          <w:tab w:val="left" w:pos="993"/>
        </w:tabs>
        <w:spacing w:before="0" w:after="120" w:line="240" w:lineRule="auto"/>
        <w:jc w:val="both"/>
        <w:outlineLvl w:val="2"/>
        <w:rPr>
          <w:rFonts w:eastAsia="TimesNewRoman" w:cs="Times New Roman"/>
          <w:b/>
          <w:bCs/>
          <w:color w:val="000000"/>
          <w:spacing w:val="20"/>
          <w:position w:val="6"/>
          <w:sz w:val="22"/>
          <w:lang w:val="en-US" w:eastAsia="tr-TR"/>
        </w:rPr>
      </w:pPr>
      <w:bookmarkStart w:id="4" w:name="_Toc404106083"/>
      <w:proofErr w:type="spellStart"/>
      <w:r w:rsidRPr="00082CA6">
        <w:rPr>
          <w:rFonts w:eastAsia="TimesNewRoman" w:cs="Times New Roman"/>
          <w:b/>
          <w:bCs/>
          <w:color w:val="000000"/>
          <w:spacing w:val="20"/>
          <w:position w:val="6"/>
          <w:sz w:val="22"/>
          <w:lang w:val="en-US" w:eastAsia="tr-TR"/>
        </w:rPr>
        <w:t>Kalkınma</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Kurullarının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Etkisizliği</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ve</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Yetersizliği</w:t>
      </w:r>
      <w:bookmarkEnd w:id="4"/>
      <w:proofErr w:type="spellEnd"/>
    </w:p>
    <w:p w:rsidR="00082CA6" w:rsidRPr="00082CA6" w:rsidRDefault="00082CA6" w:rsidP="00082CA6">
      <w:pPr>
        <w:suppressAutoHyphens/>
        <w:autoSpaceDE w:val="0"/>
        <w:autoSpaceDN w:val="0"/>
        <w:adjustRightInd w:val="0"/>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DDK tarafından görüşüne başvurulan valiler, kalkınma kurulu başkanları ve kalkınma ajansı çalışanlarındaki hâkim ve ağırlıklı görüşün de kalkınma kurullarının etkin bir şekilde işlemediği yönünde olduğu anlaşılmıştır. Kalkınma kurullarına üye seçiminde bazı ajanslarda gönüllülüğü esas almaya yönelik son dönemdeki düzenleme ve uygulamalar olumlu karşılanmakla birlikte, kalkınma kurullarının yeterince işlememesinin arkasında yatan nedenlerin, özellikle de kalkınma kurullarının etkisiz ve yetkisiz yapılar olduğu yönündeki yaygın kanının sorgulanması gerekmektedir. KA sisteminde yerel düzeyde danışma, yönetişim ve iş birliği kültürü ayaklarının en önemli öğesi olan </w:t>
      </w:r>
      <w:proofErr w:type="spellStart"/>
      <w:r w:rsidRPr="00082CA6">
        <w:rPr>
          <w:rFonts w:eastAsia="Times New Roman" w:cs="Times New Roman"/>
          <w:sz w:val="22"/>
          <w:lang w:eastAsia="tr-TR"/>
        </w:rPr>
        <w:t>KK’nun</w:t>
      </w:r>
      <w:proofErr w:type="spellEnd"/>
      <w:r w:rsidRPr="00082CA6">
        <w:rPr>
          <w:rFonts w:eastAsia="Times New Roman" w:cs="Times New Roman"/>
          <w:sz w:val="22"/>
          <w:lang w:eastAsia="tr-TR"/>
        </w:rPr>
        <w:t xml:space="preserve"> bu denli önemsizleşmesi ciddi bir soruna işaret etmektedir. </w:t>
      </w:r>
    </w:p>
    <w:p w:rsidR="00082CA6" w:rsidRPr="00082CA6" w:rsidRDefault="00082CA6" w:rsidP="00082CA6">
      <w:pPr>
        <w:keepNext/>
        <w:spacing w:before="0" w:after="120" w:line="240" w:lineRule="auto"/>
        <w:jc w:val="both"/>
        <w:rPr>
          <w:rFonts w:eastAsia="Times New Roman" w:cs="Times New Roman"/>
          <w:bCs/>
          <w:sz w:val="22"/>
          <w:lang w:eastAsia="tr-TR"/>
        </w:rPr>
      </w:pPr>
      <w:bookmarkStart w:id="5" w:name="_Toc404106358"/>
      <w:r w:rsidRPr="00082CA6">
        <w:rPr>
          <w:rFonts w:eastAsia="Times New Roman" w:cs="Times New Roman"/>
          <w:b/>
          <w:bCs/>
          <w:sz w:val="22"/>
          <w:lang w:eastAsia="tr-TR"/>
        </w:rPr>
        <w:t>Tablo 2.</w:t>
      </w:r>
      <w:r w:rsidRPr="00082CA6">
        <w:rPr>
          <w:rFonts w:eastAsia="Times New Roman" w:cs="Times New Roman"/>
          <w:bCs/>
          <w:sz w:val="22"/>
          <w:lang w:eastAsia="tr-TR"/>
        </w:rPr>
        <w:t xml:space="preserve"> DDK Tarafından Tespit Edilen </w:t>
      </w:r>
      <w:r w:rsidRPr="00082CA6">
        <w:rPr>
          <w:rFonts w:eastAsia="Times New Roman" w:cs="Times New Roman"/>
          <w:bCs/>
          <w:iCs/>
          <w:sz w:val="22"/>
          <w:lang w:eastAsia="tr-TR"/>
        </w:rPr>
        <w:t xml:space="preserve">Kalkınma Kurullarının Etkisizliği ve Yetersizliği </w:t>
      </w:r>
      <w:r w:rsidRPr="00082CA6">
        <w:rPr>
          <w:rFonts w:eastAsia="Times New Roman" w:cs="Times New Roman"/>
          <w:bCs/>
          <w:sz w:val="22"/>
          <w:lang w:eastAsia="tr-TR"/>
        </w:rPr>
        <w:t>Sorunu İçin COSO ve COBİT-5 değerlendirmesi</w:t>
      </w:r>
      <w:bookmarkEnd w:id="5"/>
    </w:p>
    <w:tbl>
      <w:tblPr>
        <w:tblStyle w:val="TabloKlavuzu"/>
        <w:tblW w:w="7376" w:type="dxa"/>
        <w:tblLayout w:type="fixed"/>
        <w:tblCellMar>
          <w:left w:w="0" w:type="dxa"/>
          <w:right w:w="0" w:type="dxa"/>
        </w:tblCellMar>
        <w:tblLook w:val="04A0" w:firstRow="1" w:lastRow="0" w:firstColumn="1" w:lastColumn="0" w:noHBand="0" w:noVBand="1"/>
      </w:tblPr>
      <w:tblGrid>
        <w:gridCol w:w="1281"/>
        <w:gridCol w:w="4536"/>
        <w:gridCol w:w="1559"/>
      </w:tblGrid>
      <w:tr w:rsidR="00082CA6" w:rsidRPr="00082CA6" w:rsidTr="00082CA6">
        <w:tc>
          <w:tcPr>
            <w:tcW w:w="1281" w:type="dxa"/>
          </w:tcPr>
          <w:p w:rsidR="00082CA6" w:rsidRPr="00082CA6" w:rsidRDefault="00082CA6" w:rsidP="00082CA6">
            <w:pPr>
              <w:spacing w:before="0" w:after="120" w:line="240" w:lineRule="auto"/>
              <w:rPr>
                <w:sz w:val="16"/>
              </w:rPr>
            </w:pPr>
            <w:r w:rsidRPr="00082CA6">
              <w:rPr>
                <w:sz w:val="16"/>
              </w:rPr>
              <w:t xml:space="preserve">DDK </w:t>
            </w:r>
            <w:proofErr w:type="spellStart"/>
            <w:r w:rsidRPr="00082CA6">
              <w:rPr>
                <w:sz w:val="16"/>
              </w:rPr>
              <w:t>önerisi</w:t>
            </w:r>
            <w:proofErr w:type="spellEnd"/>
          </w:p>
        </w:tc>
        <w:tc>
          <w:tcPr>
            <w:tcW w:w="6095" w:type="dxa"/>
            <w:gridSpan w:val="2"/>
          </w:tcPr>
          <w:p w:rsidR="00082CA6" w:rsidRPr="00082CA6" w:rsidRDefault="00082CA6" w:rsidP="00082CA6">
            <w:pPr>
              <w:spacing w:before="0" w:after="120" w:line="240" w:lineRule="auto"/>
              <w:ind w:firstLine="33"/>
              <w:rPr>
                <w:sz w:val="16"/>
              </w:rPr>
            </w:pPr>
            <w:r w:rsidRPr="00082CA6">
              <w:rPr>
                <w:sz w:val="16"/>
              </w:rPr>
              <w:t xml:space="preserve">COSO </w:t>
            </w:r>
            <w:proofErr w:type="spellStart"/>
            <w:r w:rsidRPr="00082CA6">
              <w:rPr>
                <w:sz w:val="16"/>
              </w:rPr>
              <w:t>değerlendirmesi</w:t>
            </w:r>
            <w:proofErr w:type="spellEnd"/>
          </w:p>
        </w:tc>
      </w:tr>
      <w:tr w:rsidR="00082CA6" w:rsidRPr="00082CA6" w:rsidTr="00082CA6">
        <w:tc>
          <w:tcPr>
            <w:tcW w:w="1281" w:type="dxa"/>
          </w:tcPr>
          <w:p w:rsidR="00082CA6" w:rsidRPr="00082CA6" w:rsidRDefault="00082CA6" w:rsidP="00082CA6">
            <w:pPr>
              <w:spacing w:before="0" w:after="120" w:line="240" w:lineRule="auto"/>
              <w:rPr>
                <w:sz w:val="16"/>
              </w:rPr>
            </w:pPr>
            <w:proofErr w:type="spellStart"/>
            <w:r w:rsidRPr="00082CA6">
              <w:rPr>
                <w:sz w:val="16"/>
              </w:rPr>
              <w:t>Kalkınma</w:t>
            </w:r>
            <w:proofErr w:type="spellEnd"/>
            <w:r w:rsidRPr="00082CA6">
              <w:rPr>
                <w:sz w:val="16"/>
              </w:rPr>
              <w:t xml:space="preserve"> </w:t>
            </w:r>
            <w:proofErr w:type="spellStart"/>
            <w:r w:rsidRPr="00082CA6">
              <w:rPr>
                <w:sz w:val="16"/>
              </w:rPr>
              <w:t>kurullarının</w:t>
            </w:r>
            <w:proofErr w:type="spellEnd"/>
            <w:r w:rsidRPr="00082CA6">
              <w:rPr>
                <w:sz w:val="16"/>
              </w:rPr>
              <w:t xml:space="preserve">; </w:t>
            </w:r>
            <w:proofErr w:type="spellStart"/>
            <w:r w:rsidRPr="00082CA6">
              <w:rPr>
                <w:sz w:val="16"/>
              </w:rPr>
              <w:t>yapısı</w:t>
            </w:r>
            <w:proofErr w:type="spellEnd"/>
            <w:r w:rsidRPr="00082CA6">
              <w:rPr>
                <w:sz w:val="16"/>
              </w:rPr>
              <w:t xml:space="preserve">, </w:t>
            </w:r>
            <w:proofErr w:type="spellStart"/>
            <w:r w:rsidRPr="00082CA6">
              <w:rPr>
                <w:sz w:val="16"/>
              </w:rPr>
              <w:t>işleyişi</w:t>
            </w:r>
            <w:proofErr w:type="spellEnd"/>
            <w:r w:rsidRPr="00082CA6">
              <w:rPr>
                <w:sz w:val="16"/>
              </w:rPr>
              <w:t xml:space="preserve">, </w:t>
            </w:r>
            <w:proofErr w:type="spellStart"/>
            <w:r w:rsidRPr="00082CA6">
              <w:rPr>
                <w:sz w:val="16"/>
              </w:rPr>
              <w:t>yönetim</w:t>
            </w:r>
            <w:proofErr w:type="spellEnd"/>
            <w:r w:rsidRPr="00082CA6">
              <w:rPr>
                <w:sz w:val="16"/>
              </w:rPr>
              <w:t xml:space="preserve"> </w:t>
            </w:r>
            <w:proofErr w:type="spellStart"/>
            <w:r w:rsidRPr="00082CA6">
              <w:rPr>
                <w:sz w:val="16"/>
              </w:rPr>
              <w:t>kurulu</w:t>
            </w:r>
            <w:proofErr w:type="spellEnd"/>
            <w:r w:rsidRPr="00082CA6">
              <w:rPr>
                <w:sz w:val="16"/>
              </w:rPr>
              <w:t xml:space="preserve"> </w:t>
            </w:r>
            <w:proofErr w:type="spellStart"/>
            <w:r w:rsidRPr="00082CA6">
              <w:rPr>
                <w:sz w:val="16"/>
              </w:rPr>
              <w:t>ile</w:t>
            </w:r>
            <w:proofErr w:type="spellEnd"/>
            <w:r w:rsidRPr="00082CA6">
              <w:rPr>
                <w:sz w:val="16"/>
              </w:rPr>
              <w:t xml:space="preserve"> </w:t>
            </w:r>
            <w:proofErr w:type="spellStart"/>
            <w:r w:rsidRPr="00082CA6">
              <w:rPr>
                <w:sz w:val="16"/>
              </w:rPr>
              <w:t>ilişkileri</w:t>
            </w:r>
            <w:proofErr w:type="spellEnd"/>
            <w:r w:rsidRPr="00082CA6">
              <w:rPr>
                <w:sz w:val="16"/>
              </w:rPr>
              <w:t xml:space="preserve">, </w:t>
            </w:r>
            <w:proofErr w:type="spellStart"/>
            <w:r w:rsidRPr="00082CA6">
              <w:rPr>
                <w:sz w:val="16"/>
              </w:rPr>
              <w:t>görev</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yetkileri</w:t>
            </w:r>
            <w:proofErr w:type="spellEnd"/>
            <w:r w:rsidRPr="00082CA6">
              <w:rPr>
                <w:sz w:val="16"/>
              </w:rPr>
              <w:t xml:space="preserve"> </w:t>
            </w:r>
            <w:proofErr w:type="spellStart"/>
            <w:r w:rsidRPr="00082CA6">
              <w:rPr>
                <w:sz w:val="16"/>
              </w:rPr>
              <w:t>ile</w:t>
            </w:r>
            <w:proofErr w:type="spellEnd"/>
            <w:r w:rsidRPr="00082CA6">
              <w:rPr>
                <w:sz w:val="16"/>
              </w:rPr>
              <w:t xml:space="preserve"> </w:t>
            </w:r>
            <w:proofErr w:type="spellStart"/>
            <w:r w:rsidRPr="00082CA6">
              <w:rPr>
                <w:sz w:val="16"/>
              </w:rPr>
              <w:t>kurulların</w:t>
            </w:r>
            <w:proofErr w:type="spellEnd"/>
            <w:r w:rsidRPr="00082CA6">
              <w:rPr>
                <w:sz w:val="16"/>
              </w:rPr>
              <w:t xml:space="preserve"> </w:t>
            </w:r>
            <w:proofErr w:type="spellStart"/>
            <w:r w:rsidRPr="00082CA6">
              <w:rPr>
                <w:sz w:val="16"/>
              </w:rPr>
              <w:t>ajansı</w:t>
            </w:r>
            <w:proofErr w:type="spellEnd"/>
            <w:r w:rsidRPr="00082CA6">
              <w:rPr>
                <w:sz w:val="16"/>
              </w:rPr>
              <w:t xml:space="preserve"> </w:t>
            </w:r>
            <w:proofErr w:type="spellStart"/>
            <w:r w:rsidRPr="00082CA6">
              <w:rPr>
                <w:sz w:val="16"/>
              </w:rPr>
              <w:t>yönlendirme</w:t>
            </w:r>
            <w:proofErr w:type="spellEnd"/>
            <w:r w:rsidRPr="00082CA6">
              <w:rPr>
                <w:sz w:val="16"/>
              </w:rPr>
              <w:t xml:space="preserve"> </w:t>
            </w:r>
            <w:proofErr w:type="spellStart"/>
            <w:r w:rsidRPr="00082CA6">
              <w:rPr>
                <w:sz w:val="16"/>
              </w:rPr>
              <w:t>fonksiyonunu</w:t>
            </w:r>
            <w:proofErr w:type="spellEnd"/>
            <w:r w:rsidRPr="00082CA6">
              <w:rPr>
                <w:sz w:val="16"/>
              </w:rPr>
              <w:t xml:space="preserve"> </w:t>
            </w:r>
            <w:proofErr w:type="spellStart"/>
            <w:r w:rsidRPr="00082CA6">
              <w:rPr>
                <w:sz w:val="16"/>
              </w:rPr>
              <w:t>yerine</w:t>
            </w:r>
            <w:proofErr w:type="spellEnd"/>
            <w:r w:rsidRPr="00082CA6">
              <w:rPr>
                <w:sz w:val="16"/>
              </w:rPr>
              <w:t xml:space="preserve"> </w:t>
            </w:r>
            <w:proofErr w:type="spellStart"/>
            <w:r w:rsidRPr="00082CA6">
              <w:rPr>
                <w:sz w:val="16"/>
              </w:rPr>
              <w:t>getirmesine</w:t>
            </w:r>
            <w:proofErr w:type="spellEnd"/>
            <w:r w:rsidRPr="00082CA6">
              <w:rPr>
                <w:sz w:val="16"/>
              </w:rPr>
              <w:t xml:space="preserve"> </w:t>
            </w:r>
            <w:proofErr w:type="spellStart"/>
            <w:r w:rsidRPr="00082CA6">
              <w:rPr>
                <w:sz w:val="16"/>
              </w:rPr>
              <w:t>yönelik</w:t>
            </w:r>
            <w:proofErr w:type="spellEnd"/>
            <w:r w:rsidRPr="00082CA6">
              <w:rPr>
                <w:sz w:val="16"/>
              </w:rPr>
              <w:t xml:space="preserve"> </w:t>
            </w:r>
            <w:proofErr w:type="spellStart"/>
            <w:r w:rsidRPr="00082CA6">
              <w:rPr>
                <w:sz w:val="16"/>
              </w:rPr>
              <w:t>somut</w:t>
            </w:r>
            <w:proofErr w:type="spellEnd"/>
            <w:r w:rsidRPr="00082CA6">
              <w:rPr>
                <w:sz w:val="16"/>
              </w:rPr>
              <w:t xml:space="preserve"> </w:t>
            </w:r>
            <w:proofErr w:type="spellStart"/>
            <w:r w:rsidRPr="00082CA6">
              <w:rPr>
                <w:sz w:val="16"/>
              </w:rPr>
              <w:t>araçların</w:t>
            </w:r>
            <w:proofErr w:type="spellEnd"/>
            <w:r w:rsidRPr="00082CA6">
              <w:rPr>
                <w:sz w:val="16"/>
              </w:rPr>
              <w:t xml:space="preserve"> net </w:t>
            </w:r>
            <w:proofErr w:type="spellStart"/>
            <w:r w:rsidRPr="00082CA6">
              <w:rPr>
                <w:sz w:val="16"/>
              </w:rPr>
              <w:t>bir</w:t>
            </w:r>
            <w:proofErr w:type="spellEnd"/>
            <w:r w:rsidRPr="00082CA6">
              <w:rPr>
                <w:sz w:val="16"/>
              </w:rPr>
              <w:t xml:space="preserve"> </w:t>
            </w:r>
            <w:proofErr w:type="spellStart"/>
            <w:r w:rsidRPr="00082CA6">
              <w:rPr>
                <w:sz w:val="16"/>
              </w:rPr>
              <w:t>şekilde</w:t>
            </w:r>
            <w:proofErr w:type="spellEnd"/>
            <w:r w:rsidRPr="00082CA6">
              <w:rPr>
                <w:sz w:val="16"/>
              </w:rPr>
              <w:t xml:space="preserve"> </w:t>
            </w:r>
            <w:proofErr w:type="spellStart"/>
            <w:r w:rsidRPr="00082CA6">
              <w:rPr>
                <w:sz w:val="16"/>
              </w:rPr>
              <w:t>ortaya</w:t>
            </w:r>
            <w:proofErr w:type="spellEnd"/>
            <w:r w:rsidRPr="00082CA6">
              <w:rPr>
                <w:sz w:val="16"/>
              </w:rPr>
              <w:t xml:space="preserve"> </w:t>
            </w:r>
            <w:proofErr w:type="spellStart"/>
            <w:r w:rsidRPr="00082CA6">
              <w:rPr>
                <w:sz w:val="16"/>
              </w:rPr>
              <w:t>konulması</w:t>
            </w:r>
            <w:proofErr w:type="spellEnd"/>
            <w:r w:rsidRPr="00082CA6">
              <w:rPr>
                <w:sz w:val="16"/>
              </w:rPr>
              <w:t>.</w:t>
            </w:r>
          </w:p>
        </w:tc>
        <w:tc>
          <w:tcPr>
            <w:tcW w:w="6095" w:type="dxa"/>
            <w:gridSpan w:val="2"/>
          </w:tcPr>
          <w:p w:rsidR="00082CA6" w:rsidRPr="00082CA6" w:rsidRDefault="00082CA6" w:rsidP="00082CA6">
            <w:pPr>
              <w:spacing w:before="0" w:after="120" w:line="240" w:lineRule="auto"/>
              <w:ind w:firstLine="33"/>
              <w:rPr>
                <w:sz w:val="16"/>
              </w:rPr>
            </w:pPr>
            <w:r w:rsidRPr="00082CA6">
              <w:rPr>
                <w:sz w:val="16"/>
              </w:rPr>
              <w:t xml:space="preserve">COSO </w:t>
            </w:r>
            <w:proofErr w:type="spellStart"/>
            <w:r w:rsidRPr="00082CA6">
              <w:rPr>
                <w:sz w:val="16"/>
              </w:rPr>
              <w:t>iç</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sistemi</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bileşenlerinden</w:t>
            </w:r>
            <w:proofErr w:type="spellEnd"/>
            <w:r w:rsidRPr="00082CA6">
              <w:rPr>
                <w:sz w:val="16"/>
              </w:rPr>
              <w:t xml:space="preserve"> </w:t>
            </w:r>
            <w:proofErr w:type="spellStart"/>
            <w:r w:rsidRPr="00082CA6">
              <w:rPr>
                <w:sz w:val="16"/>
              </w:rPr>
              <w:t>kontrol</w:t>
            </w:r>
            <w:proofErr w:type="spellEnd"/>
            <w:r w:rsidRPr="00082CA6">
              <w:rPr>
                <w:sz w:val="16"/>
              </w:rPr>
              <w:t xml:space="preserve"> </w:t>
            </w:r>
            <w:proofErr w:type="spellStart"/>
            <w:r w:rsidRPr="00082CA6">
              <w:rPr>
                <w:sz w:val="16"/>
              </w:rPr>
              <w:t>ortamı</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bilgi</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iletişim</w:t>
            </w:r>
            <w:proofErr w:type="spellEnd"/>
            <w:r w:rsidRPr="00082CA6">
              <w:rPr>
                <w:sz w:val="16"/>
              </w:rPr>
              <w:t xml:space="preserve"> </w:t>
            </w:r>
            <w:proofErr w:type="spellStart"/>
            <w:r w:rsidRPr="00082CA6">
              <w:rPr>
                <w:sz w:val="16"/>
              </w:rPr>
              <w:t>alanına</w:t>
            </w:r>
            <w:proofErr w:type="spellEnd"/>
            <w:r w:rsidRPr="00082CA6">
              <w:rPr>
                <w:sz w:val="16"/>
              </w:rPr>
              <w:t xml:space="preserve"> </w:t>
            </w:r>
            <w:proofErr w:type="spellStart"/>
            <w:r w:rsidRPr="00082CA6">
              <w:rPr>
                <w:sz w:val="16"/>
              </w:rPr>
              <w:t>girmektedir</w:t>
            </w:r>
            <w:proofErr w:type="spellEnd"/>
            <w:r w:rsidRPr="00082CA6">
              <w:rPr>
                <w:sz w:val="16"/>
              </w:rPr>
              <w:t xml:space="preserve">. KK’ </w:t>
            </w:r>
            <w:proofErr w:type="spellStart"/>
            <w:r w:rsidRPr="00082CA6">
              <w:rPr>
                <w:sz w:val="16"/>
              </w:rPr>
              <w:t>nın</w:t>
            </w:r>
            <w:proofErr w:type="spellEnd"/>
            <w:r w:rsidRPr="00082CA6">
              <w:rPr>
                <w:sz w:val="16"/>
              </w:rPr>
              <w:t xml:space="preserve"> </w:t>
            </w:r>
            <w:proofErr w:type="spellStart"/>
            <w:r w:rsidRPr="00082CA6">
              <w:rPr>
                <w:sz w:val="16"/>
              </w:rPr>
              <w:t>etkinliği</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bağımsızlığı</w:t>
            </w:r>
            <w:proofErr w:type="spellEnd"/>
            <w:r w:rsidRPr="00082CA6">
              <w:rPr>
                <w:sz w:val="16"/>
              </w:rPr>
              <w:t xml:space="preserve"> </w:t>
            </w:r>
            <w:proofErr w:type="spellStart"/>
            <w:r w:rsidRPr="00082CA6">
              <w:rPr>
                <w:sz w:val="16"/>
              </w:rPr>
              <w:t>için</w:t>
            </w:r>
            <w:proofErr w:type="spellEnd"/>
            <w:r w:rsidRPr="00082CA6">
              <w:rPr>
                <w:sz w:val="16"/>
              </w:rPr>
              <w:t xml:space="preserve"> </w:t>
            </w:r>
            <w:proofErr w:type="spellStart"/>
            <w:r w:rsidRPr="00082CA6">
              <w:rPr>
                <w:sz w:val="16"/>
              </w:rPr>
              <w:t>kurgusunun</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olanaklarının</w:t>
            </w:r>
            <w:proofErr w:type="spellEnd"/>
            <w:r w:rsidRPr="00082CA6">
              <w:rPr>
                <w:sz w:val="16"/>
              </w:rPr>
              <w:t xml:space="preserve"> </w:t>
            </w:r>
            <w:proofErr w:type="spellStart"/>
            <w:r w:rsidRPr="00082CA6">
              <w:rPr>
                <w:sz w:val="16"/>
              </w:rPr>
              <w:t>buna</w:t>
            </w:r>
            <w:proofErr w:type="spellEnd"/>
            <w:r w:rsidRPr="00082CA6">
              <w:rPr>
                <w:sz w:val="16"/>
              </w:rPr>
              <w:t xml:space="preserve"> </w:t>
            </w:r>
            <w:proofErr w:type="spellStart"/>
            <w:r w:rsidRPr="00082CA6">
              <w:rPr>
                <w:sz w:val="16"/>
              </w:rPr>
              <w:t>göre</w:t>
            </w:r>
            <w:proofErr w:type="spellEnd"/>
            <w:r w:rsidRPr="00082CA6">
              <w:rPr>
                <w:sz w:val="16"/>
              </w:rPr>
              <w:t xml:space="preserve"> </w:t>
            </w:r>
            <w:proofErr w:type="spellStart"/>
            <w:r w:rsidRPr="00082CA6">
              <w:rPr>
                <w:sz w:val="16"/>
              </w:rPr>
              <w:t>yapılması</w:t>
            </w:r>
            <w:proofErr w:type="spellEnd"/>
            <w:r w:rsidRPr="00082CA6">
              <w:rPr>
                <w:sz w:val="16"/>
              </w:rPr>
              <w:t xml:space="preserve"> </w:t>
            </w:r>
            <w:proofErr w:type="spellStart"/>
            <w:r w:rsidRPr="00082CA6">
              <w:rPr>
                <w:sz w:val="16"/>
              </w:rPr>
              <w:t>gerekir</w:t>
            </w:r>
            <w:proofErr w:type="spellEnd"/>
            <w:r w:rsidRPr="00082CA6">
              <w:rPr>
                <w:sz w:val="16"/>
              </w:rPr>
              <w:t xml:space="preserve">. Bu </w:t>
            </w:r>
            <w:proofErr w:type="spellStart"/>
            <w:r w:rsidRPr="00082CA6">
              <w:rPr>
                <w:sz w:val="16"/>
              </w:rPr>
              <w:t>nedenle</w:t>
            </w:r>
            <w:proofErr w:type="spellEnd"/>
            <w:r w:rsidRPr="00082CA6">
              <w:rPr>
                <w:sz w:val="16"/>
              </w:rPr>
              <w:t xml:space="preserve"> de hem </w:t>
            </w:r>
            <w:proofErr w:type="spellStart"/>
            <w:r w:rsidRPr="00082CA6">
              <w:rPr>
                <w:sz w:val="16"/>
              </w:rPr>
              <w:t>kontrol</w:t>
            </w:r>
            <w:proofErr w:type="spellEnd"/>
            <w:r w:rsidRPr="00082CA6">
              <w:rPr>
                <w:sz w:val="16"/>
              </w:rPr>
              <w:t xml:space="preserve"> </w:t>
            </w:r>
            <w:proofErr w:type="spellStart"/>
            <w:r w:rsidRPr="00082CA6">
              <w:rPr>
                <w:sz w:val="16"/>
              </w:rPr>
              <w:t>ortamı</w:t>
            </w:r>
            <w:proofErr w:type="spellEnd"/>
            <w:r w:rsidRPr="00082CA6">
              <w:rPr>
                <w:sz w:val="16"/>
              </w:rPr>
              <w:t xml:space="preserve"> </w:t>
            </w:r>
            <w:proofErr w:type="spellStart"/>
            <w:r w:rsidRPr="00082CA6">
              <w:rPr>
                <w:sz w:val="16"/>
              </w:rPr>
              <w:t>açısından</w:t>
            </w:r>
            <w:proofErr w:type="spellEnd"/>
            <w:r w:rsidRPr="00082CA6">
              <w:rPr>
                <w:sz w:val="16"/>
              </w:rPr>
              <w:t xml:space="preserve"> hem de </w:t>
            </w:r>
            <w:proofErr w:type="spellStart"/>
            <w:r w:rsidRPr="00082CA6">
              <w:rPr>
                <w:sz w:val="16"/>
              </w:rPr>
              <w:t>etkin</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bilgi</w:t>
            </w:r>
            <w:proofErr w:type="spellEnd"/>
            <w:r w:rsidRPr="00082CA6">
              <w:rPr>
                <w:sz w:val="16"/>
              </w:rPr>
              <w:t xml:space="preserve"> </w:t>
            </w:r>
            <w:proofErr w:type="spellStart"/>
            <w:r w:rsidRPr="00082CA6">
              <w:rPr>
                <w:sz w:val="16"/>
              </w:rPr>
              <w:t>iletişim</w:t>
            </w:r>
            <w:proofErr w:type="spellEnd"/>
            <w:r w:rsidRPr="00082CA6">
              <w:rPr>
                <w:sz w:val="16"/>
              </w:rPr>
              <w:t xml:space="preserve"> </w:t>
            </w:r>
            <w:proofErr w:type="spellStart"/>
            <w:r w:rsidRPr="00082CA6">
              <w:rPr>
                <w:sz w:val="16"/>
              </w:rPr>
              <w:t>kanalı</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süreci</w:t>
            </w:r>
            <w:proofErr w:type="spellEnd"/>
            <w:r w:rsidRPr="00082CA6">
              <w:rPr>
                <w:sz w:val="16"/>
              </w:rPr>
              <w:t xml:space="preserve"> </w:t>
            </w:r>
            <w:proofErr w:type="spellStart"/>
            <w:r w:rsidRPr="00082CA6">
              <w:rPr>
                <w:sz w:val="16"/>
              </w:rPr>
              <w:t>açısından</w:t>
            </w:r>
            <w:proofErr w:type="spellEnd"/>
            <w:r w:rsidRPr="00082CA6">
              <w:rPr>
                <w:sz w:val="16"/>
              </w:rPr>
              <w:t xml:space="preserve"> </w:t>
            </w:r>
            <w:proofErr w:type="spellStart"/>
            <w:r w:rsidRPr="00082CA6">
              <w:rPr>
                <w:sz w:val="16"/>
              </w:rPr>
              <w:t>sorundur</w:t>
            </w:r>
            <w:proofErr w:type="spellEnd"/>
            <w:r w:rsidRPr="00082CA6">
              <w:rPr>
                <w:sz w:val="16"/>
              </w:rPr>
              <w:t>.”</w:t>
            </w:r>
          </w:p>
          <w:tbl>
            <w:tblPr>
              <w:tblStyle w:val="TabloKlavuzu"/>
              <w:tblW w:w="6232" w:type="dxa"/>
              <w:tblLayout w:type="fixed"/>
              <w:tblCellMar>
                <w:left w:w="0" w:type="dxa"/>
                <w:right w:w="0" w:type="dxa"/>
              </w:tblCellMar>
              <w:tblLook w:val="04A0" w:firstRow="1" w:lastRow="0" w:firstColumn="1" w:lastColumn="0" w:noHBand="0" w:noVBand="1"/>
            </w:tblPr>
            <w:tblGrid>
              <w:gridCol w:w="6232"/>
            </w:tblGrid>
            <w:tr w:rsidR="00082CA6" w:rsidRPr="00082CA6" w:rsidTr="00082CA6">
              <w:tc>
                <w:tcPr>
                  <w:tcW w:w="6232" w:type="dxa"/>
                </w:tcPr>
                <w:p w:rsidR="00082CA6" w:rsidRPr="00082CA6" w:rsidRDefault="00082CA6" w:rsidP="00082CA6">
                  <w:pPr>
                    <w:spacing w:before="0" w:after="120" w:line="240" w:lineRule="auto"/>
                    <w:ind w:firstLine="33"/>
                    <w:rPr>
                      <w:sz w:val="16"/>
                    </w:rPr>
                  </w:pPr>
                  <w:r w:rsidRPr="00082CA6">
                    <w:rPr>
                      <w:sz w:val="16"/>
                    </w:rPr>
                    <w:t xml:space="preserve">COBIT-5 </w:t>
                  </w:r>
                  <w:proofErr w:type="spellStart"/>
                  <w:r w:rsidRPr="00082CA6">
                    <w:rPr>
                      <w:sz w:val="16"/>
                    </w:rPr>
                    <w:t>değerlendirmesi</w:t>
                  </w:r>
                  <w:proofErr w:type="spellEnd"/>
                </w:p>
              </w:tc>
            </w:tr>
            <w:tr w:rsidR="00082CA6" w:rsidRPr="00082CA6" w:rsidTr="00082CA6">
              <w:tc>
                <w:tcPr>
                  <w:tcW w:w="6232" w:type="dxa"/>
                  <w:tcBorders>
                    <w:bottom w:val="nil"/>
                  </w:tcBorders>
                </w:tcPr>
                <w:p w:rsidR="00082CA6" w:rsidRPr="00082CA6" w:rsidRDefault="00082CA6" w:rsidP="00082CA6">
                  <w:pPr>
                    <w:spacing w:before="0" w:after="120" w:line="240" w:lineRule="auto"/>
                    <w:ind w:firstLine="33"/>
                    <w:rPr>
                      <w:sz w:val="16"/>
                    </w:rPr>
                  </w:pPr>
                  <w:r w:rsidRPr="00082CA6">
                    <w:rPr>
                      <w:sz w:val="16"/>
                    </w:rPr>
                    <w:t xml:space="preserve">COBIT-5 </w:t>
                  </w:r>
                  <w:proofErr w:type="spellStart"/>
                  <w:r w:rsidRPr="00082CA6">
                    <w:rPr>
                      <w:sz w:val="16"/>
                    </w:rPr>
                    <w:t>Yönetişim</w:t>
                  </w:r>
                  <w:proofErr w:type="spellEnd"/>
                  <w:r w:rsidRPr="00082CA6">
                    <w:rPr>
                      <w:sz w:val="16"/>
                    </w:rPr>
                    <w:t xml:space="preserve"> </w:t>
                  </w:r>
                  <w:proofErr w:type="spellStart"/>
                  <w:r w:rsidRPr="00082CA6">
                    <w:rPr>
                      <w:sz w:val="16"/>
                    </w:rPr>
                    <w:t>süreçleriyle</w:t>
                  </w:r>
                  <w:proofErr w:type="spellEnd"/>
                  <w:r w:rsidRPr="00082CA6">
                    <w:rPr>
                      <w:sz w:val="16"/>
                    </w:rPr>
                    <w:t xml:space="preserve"> </w:t>
                  </w:r>
                  <w:proofErr w:type="spellStart"/>
                  <w:r w:rsidRPr="00082CA6">
                    <w:rPr>
                      <w:sz w:val="16"/>
                    </w:rPr>
                    <w:t>ilişkili</w:t>
                  </w:r>
                  <w:proofErr w:type="spellEnd"/>
                  <w:r w:rsidRPr="00082CA6">
                    <w:rPr>
                      <w:sz w:val="16"/>
                    </w:rPr>
                    <w:t xml:space="preserve"> </w:t>
                  </w:r>
                  <w:proofErr w:type="spellStart"/>
                  <w:r w:rsidRPr="00082CA6">
                    <w:rPr>
                      <w:sz w:val="16"/>
                    </w:rPr>
                    <w:t>bir</w:t>
                  </w:r>
                  <w:proofErr w:type="spellEnd"/>
                  <w:r w:rsidRPr="00082CA6">
                    <w:rPr>
                      <w:sz w:val="16"/>
                    </w:rPr>
                    <w:t xml:space="preserve"> </w:t>
                  </w:r>
                  <w:proofErr w:type="spellStart"/>
                  <w:r w:rsidRPr="00082CA6">
                    <w:rPr>
                      <w:sz w:val="16"/>
                    </w:rPr>
                    <w:t>sorundur</w:t>
                  </w:r>
                  <w:proofErr w:type="spellEnd"/>
                  <w:r w:rsidRPr="00082CA6">
                    <w:rPr>
                      <w:sz w:val="16"/>
                    </w:rPr>
                    <w:t xml:space="preserve">. COBIT-5 </w:t>
                  </w:r>
                  <w:proofErr w:type="spellStart"/>
                  <w:r w:rsidRPr="00082CA6">
                    <w:rPr>
                      <w:sz w:val="16"/>
                    </w:rPr>
                    <w:t>üçüncü</w:t>
                  </w:r>
                  <w:proofErr w:type="spellEnd"/>
                  <w:r w:rsidRPr="00082CA6">
                    <w:rPr>
                      <w:sz w:val="16"/>
                    </w:rPr>
                    <w:t xml:space="preserve"> </w:t>
                  </w:r>
                  <w:proofErr w:type="spellStart"/>
                  <w:r w:rsidRPr="00082CA6">
                    <w:rPr>
                      <w:sz w:val="16"/>
                    </w:rPr>
                    <w:t>gerçekleştiricisi</w:t>
                  </w:r>
                  <w:proofErr w:type="spellEnd"/>
                  <w:r w:rsidRPr="00082CA6">
                    <w:rPr>
                      <w:sz w:val="16"/>
                    </w:rPr>
                    <w:t xml:space="preserve"> </w:t>
                  </w:r>
                  <w:proofErr w:type="spellStart"/>
                  <w:r w:rsidRPr="00082CA6">
                    <w:rPr>
                      <w:sz w:val="16"/>
                    </w:rPr>
                    <w:t>olan</w:t>
                  </w:r>
                  <w:proofErr w:type="spellEnd"/>
                  <w:r w:rsidRPr="00082CA6">
                    <w:rPr>
                      <w:sz w:val="16"/>
                    </w:rPr>
                    <w:t xml:space="preserve"> </w:t>
                  </w:r>
                  <w:proofErr w:type="spellStart"/>
                  <w:r w:rsidRPr="00082CA6">
                    <w:rPr>
                      <w:sz w:val="16"/>
                    </w:rPr>
                    <w:t>kurumsal</w:t>
                  </w:r>
                  <w:proofErr w:type="spellEnd"/>
                  <w:r w:rsidRPr="00082CA6">
                    <w:rPr>
                      <w:sz w:val="16"/>
                    </w:rPr>
                    <w:t xml:space="preserve"> </w:t>
                  </w:r>
                  <w:proofErr w:type="spellStart"/>
                  <w:r w:rsidRPr="00082CA6">
                    <w:rPr>
                      <w:sz w:val="16"/>
                    </w:rPr>
                    <w:t>yapılanmalar</w:t>
                  </w:r>
                  <w:proofErr w:type="spellEnd"/>
                  <w:r w:rsidRPr="00082CA6">
                    <w:rPr>
                      <w:sz w:val="16"/>
                    </w:rPr>
                    <w:t xml:space="preserve"> </w:t>
                  </w:r>
                  <w:proofErr w:type="spellStart"/>
                  <w:r w:rsidRPr="00082CA6">
                    <w:rPr>
                      <w:sz w:val="16"/>
                    </w:rPr>
                    <w:t>açısından</w:t>
                  </w:r>
                  <w:proofErr w:type="spellEnd"/>
                  <w:r w:rsidRPr="00082CA6">
                    <w:rPr>
                      <w:sz w:val="16"/>
                    </w:rPr>
                    <w:t xml:space="preserve"> da </w:t>
                  </w:r>
                  <w:proofErr w:type="spellStart"/>
                  <w:r w:rsidRPr="00082CA6">
                    <w:rPr>
                      <w:sz w:val="16"/>
                    </w:rPr>
                    <w:t>sorun</w:t>
                  </w:r>
                  <w:proofErr w:type="spellEnd"/>
                  <w:r w:rsidRPr="00082CA6">
                    <w:rPr>
                      <w:sz w:val="16"/>
                    </w:rPr>
                    <w:t xml:space="preserve"> </w:t>
                  </w:r>
                  <w:proofErr w:type="spellStart"/>
                  <w:r w:rsidRPr="00082CA6">
                    <w:rPr>
                      <w:sz w:val="16"/>
                    </w:rPr>
                    <w:t>teşkil</w:t>
                  </w:r>
                  <w:proofErr w:type="spellEnd"/>
                  <w:r w:rsidRPr="00082CA6">
                    <w:rPr>
                      <w:sz w:val="16"/>
                    </w:rPr>
                    <w:t xml:space="preserve"> </w:t>
                  </w:r>
                  <w:proofErr w:type="spellStart"/>
                  <w:r w:rsidRPr="00082CA6">
                    <w:rPr>
                      <w:sz w:val="16"/>
                    </w:rPr>
                    <w:t>eder</w:t>
                  </w:r>
                  <w:proofErr w:type="spellEnd"/>
                  <w:r w:rsidRPr="00082CA6">
                    <w:rPr>
                      <w:sz w:val="16"/>
                    </w:rPr>
                    <w:t xml:space="preserve">. </w:t>
                  </w:r>
                  <w:proofErr w:type="spellStart"/>
                  <w:r w:rsidRPr="00082CA6">
                    <w:rPr>
                      <w:sz w:val="16"/>
                    </w:rPr>
                    <w:t>Yapılanmanın</w:t>
                  </w:r>
                  <w:proofErr w:type="spellEnd"/>
                  <w:r w:rsidRPr="00082CA6">
                    <w:rPr>
                      <w:sz w:val="16"/>
                    </w:rPr>
                    <w:t xml:space="preserve"> </w:t>
                  </w:r>
                  <w:proofErr w:type="spellStart"/>
                  <w:r w:rsidRPr="00082CA6">
                    <w:rPr>
                      <w:sz w:val="16"/>
                    </w:rPr>
                    <w:t>paydaş</w:t>
                  </w:r>
                  <w:proofErr w:type="spellEnd"/>
                  <w:r w:rsidRPr="00082CA6">
                    <w:rPr>
                      <w:sz w:val="16"/>
                    </w:rPr>
                    <w:t xml:space="preserve"> </w:t>
                  </w:r>
                  <w:proofErr w:type="spellStart"/>
                  <w:r w:rsidRPr="00082CA6">
                    <w:rPr>
                      <w:sz w:val="16"/>
                    </w:rPr>
                    <w:t>ihtiyaçlarını</w:t>
                  </w:r>
                  <w:proofErr w:type="spellEnd"/>
                  <w:r w:rsidRPr="00082CA6">
                    <w:rPr>
                      <w:sz w:val="16"/>
                    </w:rPr>
                    <w:t xml:space="preserve"> </w:t>
                  </w:r>
                  <w:proofErr w:type="spellStart"/>
                  <w:r w:rsidRPr="00082CA6">
                    <w:rPr>
                      <w:sz w:val="16"/>
                    </w:rPr>
                    <w:t>kurumsal</w:t>
                  </w:r>
                  <w:proofErr w:type="spellEnd"/>
                  <w:r w:rsidRPr="00082CA6">
                    <w:rPr>
                      <w:sz w:val="16"/>
                    </w:rPr>
                    <w:t xml:space="preserve"> </w:t>
                  </w:r>
                  <w:proofErr w:type="spellStart"/>
                  <w:r w:rsidRPr="00082CA6">
                    <w:rPr>
                      <w:sz w:val="16"/>
                    </w:rPr>
                    <w:t>hedeflere</w:t>
                  </w:r>
                  <w:proofErr w:type="spellEnd"/>
                  <w:r w:rsidRPr="00082CA6">
                    <w:rPr>
                      <w:sz w:val="16"/>
                    </w:rPr>
                    <w:t xml:space="preserve"> </w:t>
                  </w:r>
                  <w:proofErr w:type="spellStart"/>
                  <w:r w:rsidRPr="00082CA6">
                    <w:rPr>
                      <w:sz w:val="16"/>
                    </w:rPr>
                    <w:t>dönüştürecek</w:t>
                  </w:r>
                  <w:proofErr w:type="spellEnd"/>
                  <w:r w:rsidRPr="00082CA6">
                    <w:rPr>
                      <w:sz w:val="16"/>
                    </w:rPr>
                    <w:t xml:space="preserve"> </w:t>
                  </w:r>
                  <w:proofErr w:type="spellStart"/>
                  <w:r w:rsidRPr="00082CA6">
                    <w:rPr>
                      <w:sz w:val="16"/>
                    </w:rPr>
                    <w:t>şekilde</w:t>
                  </w:r>
                  <w:proofErr w:type="spellEnd"/>
                  <w:r w:rsidRPr="00082CA6">
                    <w:rPr>
                      <w:sz w:val="16"/>
                    </w:rPr>
                    <w:t xml:space="preserve"> </w:t>
                  </w:r>
                  <w:proofErr w:type="spellStart"/>
                  <w:r w:rsidRPr="00082CA6">
                    <w:rPr>
                      <w:sz w:val="16"/>
                    </w:rPr>
                    <w:t>yapılması</w:t>
                  </w:r>
                  <w:proofErr w:type="spellEnd"/>
                  <w:r w:rsidRPr="00082CA6">
                    <w:rPr>
                      <w:sz w:val="16"/>
                    </w:rPr>
                    <w:t xml:space="preserve"> </w:t>
                  </w:r>
                  <w:proofErr w:type="spellStart"/>
                  <w:r w:rsidRPr="00082CA6">
                    <w:rPr>
                      <w:sz w:val="16"/>
                    </w:rPr>
                    <w:t>gerekir</w:t>
                  </w:r>
                  <w:proofErr w:type="spellEnd"/>
                  <w:r w:rsidRPr="00082CA6">
                    <w:rPr>
                      <w:sz w:val="16"/>
                    </w:rPr>
                    <w:t xml:space="preserve">. </w:t>
                  </w:r>
                  <w:proofErr w:type="spellStart"/>
                  <w:r w:rsidRPr="00082CA6">
                    <w:rPr>
                      <w:sz w:val="16"/>
                    </w:rPr>
                    <w:t>Ayrıca</w:t>
                  </w:r>
                  <w:proofErr w:type="spellEnd"/>
                  <w:r w:rsidRPr="00082CA6">
                    <w:rPr>
                      <w:sz w:val="16"/>
                    </w:rPr>
                    <w:t xml:space="preserve"> </w:t>
                  </w:r>
                  <w:proofErr w:type="spellStart"/>
                  <w:r w:rsidRPr="00082CA6">
                    <w:rPr>
                      <w:sz w:val="16"/>
                    </w:rPr>
                    <w:t>yedinci</w:t>
                  </w:r>
                  <w:proofErr w:type="spellEnd"/>
                  <w:r w:rsidRPr="00082CA6">
                    <w:rPr>
                      <w:sz w:val="16"/>
                    </w:rPr>
                    <w:t xml:space="preserve"> </w:t>
                  </w:r>
                  <w:proofErr w:type="spellStart"/>
                  <w:r w:rsidRPr="00082CA6">
                    <w:rPr>
                      <w:sz w:val="16"/>
                    </w:rPr>
                    <w:t>gerçekleştirici</w:t>
                  </w:r>
                  <w:proofErr w:type="spellEnd"/>
                  <w:r w:rsidRPr="00082CA6">
                    <w:rPr>
                      <w:sz w:val="16"/>
                    </w:rPr>
                    <w:t xml:space="preserve"> </w:t>
                  </w:r>
                  <w:proofErr w:type="spellStart"/>
                  <w:r w:rsidRPr="00082CA6">
                    <w:rPr>
                      <w:sz w:val="16"/>
                    </w:rPr>
                    <w:t>olan</w:t>
                  </w:r>
                  <w:proofErr w:type="spellEnd"/>
                  <w:r w:rsidRPr="00082CA6">
                    <w:rPr>
                      <w:sz w:val="16"/>
                    </w:rPr>
                    <w:t xml:space="preserve"> </w:t>
                  </w:r>
                  <w:proofErr w:type="spellStart"/>
                  <w:r w:rsidRPr="00082CA6">
                    <w:rPr>
                      <w:sz w:val="16"/>
                    </w:rPr>
                    <w:t>insan</w:t>
                  </w:r>
                  <w:proofErr w:type="spellEnd"/>
                  <w:r w:rsidRPr="00082CA6">
                    <w:rPr>
                      <w:sz w:val="16"/>
                    </w:rPr>
                    <w:t xml:space="preserve">, </w:t>
                  </w:r>
                  <w:proofErr w:type="spellStart"/>
                  <w:r w:rsidRPr="00082CA6">
                    <w:rPr>
                      <w:sz w:val="16"/>
                    </w:rPr>
                    <w:t>yetenekler</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yeterlilikler</w:t>
                  </w:r>
                  <w:proofErr w:type="spellEnd"/>
                  <w:r w:rsidRPr="00082CA6">
                    <w:rPr>
                      <w:sz w:val="16"/>
                    </w:rPr>
                    <w:t xml:space="preserve"> </w:t>
                  </w:r>
                  <w:proofErr w:type="spellStart"/>
                  <w:r w:rsidRPr="00082CA6">
                    <w:rPr>
                      <w:sz w:val="16"/>
                    </w:rPr>
                    <w:t>kapsamında</w:t>
                  </w:r>
                  <w:proofErr w:type="spellEnd"/>
                  <w:r w:rsidRPr="00082CA6">
                    <w:rPr>
                      <w:sz w:val="16"/>
                    </w:rPr>
                    <w:t xml:space="preserve"> da </w:t>
                  </w:r>
                  <w:proofErr w:type="spellStart"/>
                  <w:r w:rsidRPr="00082CA6">
                    <w:rPr>
                      <w:sz w:val="16"/>
                    </w:rPr>
                    <w:t>sorun</w:t>
                  </w:r>
                  <w:proofErr w:type="spellEnd"/>
                  <w:r w:rsidRPr="00082CA6">
                    <w:rPr>
                      <w:sz w:val="16"/>
                    </w:rPr>
                    <w:t xml:space="preserve"> </w:t>
                  </w:r>
                  <w:proofErr w:type="spellStart"/>
                  <w:r w:rsidRPr="00082CA6">
                    <w:rPr>
                      <w:sz w:val="16"/>
                    </w:rPr>
                    <w:t>teşkil</w:t>
                  </w:r>
                  <w:proofErr w:type="spellEnd"/>
                  <w:r w:rsidRPr="00082CA6">
                    <w:rPr>
                      <w:sz w:val="16"/>
                    </w:rPr>
                    <w:t xml:space="preserve"> </w:t>
                  </w:r>
                  <w:proofErr w:type="spellStart"/>
                  <w:r w:rsidRPr="00082CA6">
                    <w:rPr>
                      <w:sz w:val="16"/>
                    </w:rPr>
                    <w:t>etmektedir</w:t>
                  </w:r>
                  <w:proofErr w:type="spellEnd"/>
                  <w:r w:rsidRPr="00082CA6">
                    <w:rPr>
                      <w:sz w:val="16"/>
                    </w:rPr>
                    <w:t xml:space="preserve">. KK </w:t>
                  </w:r>
                  <w:proofErr w:type="spellStart"/>
                  <w:r w:rsidRPr="00082CA6">
                    <w:rPr>
                      <w:sz w:val="16"/>
                    </w:rPr>
                    <w:t>üyelerinin</w:t>
                  </w:r>
                  <w:proofErr w:type="spellEnd"/>
                  <w:r w:rsidRPr="00082CA6">
                    <w:rPr>
                      <w:sz w:val="16"/>
                    </w:rPr>
                    <w:t xml:space="preserve"> </w:t>
                  </w:r>
                  <w:proofErr w:type="spellStart"/>
                  <w:r w:rsidRPr="00082CA6">
                    <w:rPr>
                      <w:sz w:val="16"/>
                    </w:rPr>
                    <w:t>gerekli</w:t>
                  </w:r>
                  <w:proofErr w:type="spellEnd"/>
                  <w:r w:rsidRPr="00082CA6">
                    <w:rPr>
                      <w:sz w:val="16"/>
                    </w:rPr>
                    <w:t xml:space="preserve"> </w:t>
                  </w:r>
                  <w:proofErr w:type="spellStart"/>
                  <w:r w:rsidRPr="00082CA6">
                    <w:rPr>
                      <w:sz w:val="16"/>
                    </w:rPr>
                    <w:t>yetenek</w:t>
                  </w:r>
                  <w:proofErr w:type="spell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yeterliliğe</w:t>
                  </w:r>
                  <w:proofErr w:type="spellEnd"/>
                  <w:r w:rsidRPr="00082CA6">
                    <w:rPr>
                      <w:sz w:val="16"/>
                    </w:rPr>
                    <w:t xml:space="preserve"> </w:t>
                  </w:r>
                  <w:proofErr w:type="spellStart"/>
                  <w:r w:rsidRPr="00082CA6">
                    <w:rPr>
                      <w:sz w:val="16"/>
                    </w:rPr>
                    <w:t>sahip</w:t>
                  </w:r>
                  <w:proofErr w:type="spellEnd"/>
                  <w:r w:rsidRPr="00082CA6">
                    <w:rPr>
                      <w:sz w:val="16"/>
                    </w:rPr>
                    <w:t xml:space="preserve"> </w:t>
                  </w:r>
                  <w:proofErr w:type="spellStart"/>
                  <w:r w:rsidRPr="00082CA6">
                    <w:rPr>
                      <w:sz w:val="16"/>
                    </w:rPr>
                    <w:t>olması</w:t>
                  </w:r>
                  <w:proofErr w:type="spellEnd"/>
                  <w:r w:rsidRPr="00082CA6">
                    <w:rPr>
                      <w:sz w:val="16"/>
                    </w:rPr>
                    <w:t xml:space="preserve"> </w:t>
                  </w:r>
                  <w:proofErr w:type="spellStart"/>
                  <w:r w:rsidRPr="00082CA6">
                    <w:rPr>
                      <w:sz w:val="16"/>
                    </w:rPr>
                    <w:t>sağlanmalıdır</w:t>
                  </w:r>
                  <w:proofErr w:type="spellEnd"/>
                  <w:r w:rsidRPr="00082CA6">
                    <w:rPr>
                      <w:sz w:val="16"/>
                    </w:rPr>
                    <w:t xml:space="preserve">. </w:t>
                  </w:r>
                  <w:proofErr w:type="spellStart"/>
                  <w:r w:rsidRPr="00082CA6">
                    <w:rPr>
                      <w:sz w:val="16"/>
                    </w:rPr>
                    <w:t>Mevzuatta</w:t>
                  </w:r>
                  <w:proofErr w:type="spellEnd"/>
                  <w:r w:rsidRPr="00082CA6">
                    <w:rPr>
                      <w:sz w:val="16"/>
                    </w:rPr>
                    <w:t xml:space="preserve"> </w:t>
                  </w:r>
                  <w:proofErr w:type="spellStart"/>
                  <w:r w:rsidRPr="00082CA6">
                    <w:rPr>
                      <w:sz w:val="16"/>
                    </w:rPr>
                    <w:t>sadece</w:t>
                  </w:r>
                  <w:proofErr w:type="spellEnd"/>
                  <w:r w:rsidRPr="00082CA6">
                    <w:rPr>
                      <w:sz w:val="16"/>
                    </w:rPr>
                    <w:t xml:space="preserve"> </w:t>
                  </w:r>
                  <w:proofErr w:type="spellStart"/>
                  <w:r w:rsidRPr="00082CA6">
                    <w:rPr>
                      <w:sz w:val="16"/>
                    </w:rPr>
                    <w:t>KK’nın</w:t>
                  </w:r>
                  <w:proofErr w:type="spellEnd"/>
                  <w:r w:rsidRPr="00082CA6">
                    <w:rPr>
                      <w:sz w:val="16"/>
                    </w:rPr>
                    <w:t xml:space="preserve"> </w:t>
                  </w:r>
                  <w:proofErr w:type="spellStart"/>
                  <w:r w:rsidRPr="00082CA6">
                    <w:rPr>
                      <w:sz w:val="16"/>
                    </w:rPr>
                    <w:t>yılda</w:t>
                  </w:r>
                  <w:proofErr w:type="spellEnd"/>
                  <w:r w:rsidRPr="00082CA6">
                    <w:rPr>
                      <w:sz w:val="16"/>
                    </w:rPr>
                    <w:t xml:space="preserve"> </w:t>
                  </w:r>
                  <w:proofErr w:type="spellStart"/>
                  <w:r w:rsidRPr="00082CA6">
                    <w:rPr>
                      <w:sz w:val="16"/>
                    </w:rPr>
                    <w:t>en</w:t>
                  </w:r>
                  <w:proofErr w:type="spellEnd"/>
                  <w:r w:rsidRPr="00082CA6">
                    <w:rPr>
                      <w:sz w:val="16"/>
                    </w:rPr>
                    <w:t xml:space="preserve"> </w:t>
                  </w:r>
                  <w:proofErr w:type="spellStart"/>
                  <w:r w:rsidRPr="00082CA6">
                    <w:rPr>
                      <w:sz w:val="16"/>
                    </w:rPr>
                    <w:t>az</w:t>
                  </w:r>
                  <w:proofErr w:type="spellEnd"/>
                  <w:r w:rsidRPr="00082CA6">
                    <w:rPr>
                      <w:sz w:val="16"/>
                    </w:rPr>
                    <w:t xml:space="preserve"> </w:t>
                  </w:r>
                  <w:proofErr w:type="spellStart"/>
                  <w:r w:rsidRPr="00082CA6">
                    <w:rPr>
                      <w:sz w:val="16"/>
                    </w:rPr>
                    <w:t>iki</w:t>
                  </w:r>
                  <w:proofErr w:type="spellEnd"/>
                  <w:r w:rsidRPr="00082CA6">
                    <w:rPr>
                      <w:sz w:val="16"/>
                    </w:rPr>
                    <w:t xml:space="preserve"> </w:t>
                  </w:r>
                  <w:proofErr w:type="spellStart"/>
                  <w:r w:rsidRPr="00082CA6">
                    <w:rPr>
                      <w:sz w:val="16"/>
                    </w:rPr>
                    <w:t>defa</w:t>
                  </w:r>
                  <w:proofErr w:type="spellEnd"/>
                  <w:r w:rsidRPr="00082CA6">
                    <w:rPr>
                      <w:sz w:val="16"/>
                    </w:rPr>
                    <w:t xml:space="preserve"> </w:t>
                  </w:r>
                  <w:proofErr w:type="spellStart"/>
                  <w:r w:rsidRPr="00082CA6">
                    <w:rPr>
                      <w:sz w:val="16"/>
                    </w:rPr>
                    <w:t>toplanması</w:t>
                  </w:r>
                  <w:proofErr w:type="spellEnd"/>
                  <w:r w:rsidRPr="00082CA6">
                    <w:rPr>
                      <w:sz w:val="16"/>
                    </w:rPr>
                    <w:t xml:space="preserve"> </w:t>
                  </w:r>
                  <w:proofErr w:type="spellStart"/>
                  <w:r w:rsidRPr="00082CA6">
                    <w:rPr>
                      <w:sz w:val="16"/>
                    </w:rPr>
                    <w:t>zorunlu</w:t>
                  </w:r>
                  <w:proofErr w:type="spellEnd"/>
                  <w:r w:rsidRPr="00082CA6">
                    <w:rPr>
                      <w:sz w:val="16"/>
                    </w:rPr>
                    <w:t xml:space="preserve"> </w:t>
                  </w:r>
                  <w:proofErr w:type="spellStart"/>
                  <w:r w:rsidRPr="00082CA6">
                    <w:rPr>
                      <w:sz w:val="16"/>
                    </w:rPr>
                    <w:t>kılınmışken</w:t>
                  </w:r>
                  <w:proofErr w:type="spellEnd"/>
                  <w:r w:rsidRPr="00082CA6">
                    <w:rPr>
                      <w:sz w:val="16"/>
                    </w:rPr>
                    <w:t xml:space="preserve"> </w:t>
                  </w:r>
                  <w:proofErr w:type="spellStart"/>
                  <w:r w:rsidRPr="00082CA6">
                    <w:rPr>
                      <w:sz w:val="16"/>
                    </w:rPr>
                    <w:t>neden-</w:t>
                  </w:r>
                  <w:proofErr w:type="gramStart"/>
                  <w:r w:rsidRPr="00082CA6">
                    <w:rPr>
                      <w:sz w:val="16"/>
                    </w:rPr>
                    <w:t>nasıl</w:t>
                  </w:r>
                  <w:proofErr w:type="spellEnd"/>
                  <w:r w:rsidRPr="00082CA6">
                    <w:rPr>
                      <w:sz w:val="16"/>
                    </w:rPr>
                    <w:t xml:space="preserve"> </w:t>
                  </w:r>
                  <w:r w:rsidRPr="00082CA6">
                    <w:rPr>
                      <w:sz w:val="16"/>
                    </w:rPr>
                    <w:cr/>
                  </w:r>
                  <w:proofErr w:type="spellStart"/>
                  <w:r w:rsidRPr="00082CA6">
                    <w:rPr>
                      <w:sz w:val="16"/>
                    </w:rPr>
                    <w:t>oplanması</w:t>
                  </w:r>
                  <w:proofErr w:type="spellEnd"/>
                  <w:proofErr w:type="gramEnd"/>
                  <w:r w:rsidRPr="00082CA6">
                    <w:rPr>
                      <w:sz w:val="16"/>
                    </w:rPr>
                    <w:t xml:space="preserve"> </w:t>
                  </w:r>
                  <w:proofErr w:type="spellStart"/>
                  <w:r w:rsidRPr="00082CA6">
                    <w:rPr>
                      <w:sz w:val="16"/>
                    </w:rPr>
                    <w:t>ve</w:t>
                  </w:r>
                  <w:proofErr w:type="spellEnd"/>
                  <w:r w:rsidRPr="00082CA6">
                    <w:rPr>
                      <w:sz w:val="16"/>
                    </w:rPr>
                    <w:t xml:space="preserve"> </w:t>
                  </w:r>
                  <w:proofErr w:type="spellStart"/>
                  <w:r w:rsidRPr="00082CA6">
                    <w:rPr>
                      <w:sz w:val="16"/>
                    </w:rPr>
                    <w:t>toplantı</w:t>
                  </w:r>
                  <w:proofErr w:type="spellEnd"/>
                  <w:r w:rsidRPr="00082CA6">
                    <w:rPr>
                      <w:sz w:val="16"/>
                    </w:rPr>
                    <w:t xml:space="preserve"> </w:t>
                  </w:r>
                  <w:proofErr w:type="spellStart"/>
                  <w:r w:rsidRPr="00082CA6">
                    <w:rPr>
                      <w:sz w:val="16"/>
                    </w:rPr>
                    <w:t>öncesi</w:t>
                  </w:r>
                  <w:proofErr w:type="spellEnd"/>
                  <w:r w:rsidRPr="00082CA6">
                    <w:rPr>
                      <w:sz w:val="16"/>
                    </w:rPr>
                    <w:t xml:space="preserve"> </w:t>
                  </w:r>
                  <w:proofErr w:type="spellStart"/>
                  <w:r w:rsidRPr="00082CA6">
                    <w:rPr>
                      <w:sz w:val="16"/>
                    </w:rPr>
                    <w:t>hazırlıkları</w:t>
                  </w:r>
                  <w:proofErr w:type="spellEnd"/>
                  <w:r w:rsidRPr="00082CA6">
                    <w:rPr>
                      <w:sz w:val="16"/>
                    </w:rPr>
                    <w:t xml:space="preserve"> </w:t>
                  </w:r>
                  <w:proofErr w:type="spellStart"/>
                  <w:r w:rsidRPr="00082CA6">
                    <w:rPr>
                      <w:sz w:val="16"/>
                    </w:rPr>
                    <w:t>ile</w:t>
                  </w:r>
                  <w:proofErr w:type="spellEnd"/>
                  <w:r w:rsidRPr="00082CA6">
                    <w:rPr>
                      <w:sz w:val="16"/>
                    </w:rPr>
                    <w:t xml:space="preserve"> KK </w:t>
                  </w:r>
                  <w:proofErr w:type="spellStart"/>
                  <w:r w:rsidRPr="00082CA6">
                    <w:rPr>
                      <w:sz w:val="16"/>
                    </w:rPr>
                    <w:t>üyelerinin</w:t>
                  </w:r>
                  <w:proofErr w:type="spellEnd"/>
                  <w:r w:rsidRPr="00082CA6">
                    <w:rPr>
                      <w:sz w:val="16"/>
                    </w:rPr>
                    <w:t xml:space="preserve"> </w:t>
                  </w:r>
                  <w:proofErr w:type="spellStart"/>
                  <w:r w:rsidRPr="00082CA6">
                    <w:rPr>
                      <w:sz w:val="16"/>
                    </w:rPr>
                    <w:t>toplantıya</w:t>
                  </w:r>
                  <w:proofErr w:type="spellEnd"/>
                  <w:r w:rsidRPr="00082CA6">
                    <w:rPr>
                      <w:sz w:val="16"/>
                    </w:rPr>
                    <w:t xml:space="preserve"> </w:t>
                  </w:r>
                  <w:proofErr w:type="spellStart"/>
                  <w:r w:rsidRPr="00082CA6">
                    <w:rPr>
                      <w:sz w:val="16"/>
                    </w:rPr>
                    <w:t>katılmasını</w:t>
                  </w:r>
                  <w:proofErr w:type="spellEnd"/>
                  <w:r w:rsidRPr="00082CA6">
                    <w:rPr>
                      <w:sz w:val="16"/>
                    </w:rPr>
                    <w:t xml:space="preserve"> </w:t>
                  </w:r>
                  <w:proofErr w:type="spellStart"/>
                  <w:r w:rsidRPr="00082CA6">
                    <w:rPr>
                      <w:sz w:val="16"/>
                    </w:rPr>
                    <w:t>sağlayacak</w:t>
                  </w:r>
                  <w:proofErr w:type="spellEnd"/>
                  <w:r w:rsidRPr="00082CA6">
                    <w:rPr>
                      <w:sz w:val="16"/>
                    </w:rPr>
                    <w:t xml:space="preserve"> </w:t>
                  </w:r>
                  <w:proofErr w:type="spellStart"/>
                  <w:r w:rsidRPr="00082CA6">
                    <w:rPr>
                      <w:sz w:val="16"/>
                    </w:rPr>
                    <w:t>mali</w:t>
                  </w:r>
                  <w:proofErr w:type="spellEnd"/>
                  <w:r w:rsidRPr="00082CA6">
                    <w:rPr>
                      <w:sz w:val="16"/>
                    </w:rPr>
                    <w:t xml:space="preserve"> </w:t>
                  </w:r>
                  <w:proofErr w:type="spellStart"/>
                  <w:r w:rsidRPr="00082CA6">
                    <w:rPr>
                      <w:sz w:val="16"/>
                    </w:rPr>
                    <w:t>haklar</w:t>
                  </w:r>
                  <w:proofErr w:type="spellEnd"/>
                  <w:r w:rsidRPr="00082CA6">
                    <w:rPr>
                      <w:sz w:val="16"/>
                    </w:rPr>
                    <w:t xml:space="preserve"> </w:t>
                  </w:r>
                  <w:proofErr w:type="spellStart"/>
                  <w:r w:rsidRPr="00082CA6">
                    <w:rPr>
                      <w:sz w:val="16"/>
                    </w:rPr>
                    <w:t>gibi</w:t>
                  </w:r>
                  <w:proofErr w:type="spellEnd"/>
                  <w:r w:rsidRPr="00082CA6">
                    <w:rPr>
                      <w:sz w:val="16"/>
                    </w:rPr>
                    <w:t xml:space="preserve"> </w:t>
                  </w:r>
                  <w:proofErr w:type="spellStart"/>
                  <w:r w:rsidRPr="00082CA6">
                    <w:rPr>
                      <w:sz w:val="16"/>
                    </w:rPr>
                    <w:t>motivasyonların</w:t>
                  </w:r>
                  <w:proofErr w:type="spellEnd"/>
                  <w:r w:rsidRPr="00082CA6">
                    <w:rPr>
                      <w:sz w:val="16"/>
                    </w:rPr>
                    <w:t xml:space="preserve"> </w:t>
                  </w:r>
                  <w:proofErr w:type="spellStart"/>
                  <w:r w:rsidRPr="00082CA6">
                    <w:rPr>
                      <w:sz w:val="16"/>
                    </w:rPr>
                    <w:t>olmaması</w:t>
                  </w:r>
                  <w:proofErr w:type="spellEnd"/>
                  <w:r w:rsidRPr="00082CA6">
                    <w:rPr>
                      <w:sz w:val="16"/>
                    </w:rPr>
                    <w:t xml:space="preserve"> </w:t>
                  </w:r>
                  <w:proofErr w:type="spellStart"/>
                  <w:r w:rsidRPr="00082CA6">
                    <w:rPr>
                      <w:sz w:val="16"/>
                    </w:rPr>
                    <w:t>sorunun</w:t>
                  </w:r>
                  <w:proofErr w:type="spellEnd"/>
                  <w:r w:rsidRPr="00082CA6">
                    <w:rPr>
                      <w:sz w:val="16"/>
                    </w:rPr>
                    <w:t xml:space="preserve"> </w:t>
                  </w:r>
                  <w:proofErr w:type="spellStart"/>
                  <w:r w:rsidRPr="00082CA6">
                    <w:rPr>
                      <w:sz w:val="16"/>
                    </w:rPr>
                    <w:t>diğer</w:t>
                  </w:r>
                  <w:proofErr w:type="spellEnd"/>
                  <w:r w:rsidRPr="00082CA6">
                    <w:rPr>
                      <w:sz w:val="16"/>
                    </w:rPr>
                    <w:t xml:space="preserve"> </w:t>
                  </w:r>
                  <w:proofErr w:type="spellStart"/>
                  <w:r w:rsidRPr="00082CA6">
                    <w:rPr>
                      <w:sz w:val="16"/>
                    </w:rPr>
                    <w:t>boyutlarını</w:t>
                  </w:r>
                  <w:proofErr w:type="spellEnd"/>
                  <w:r w:rsidRPr="00082CA6">
                    <w:rPr>
                      <w:sz w:val="16"/>
                    </w:rPr>
                    <w:t xml:space="preserve"> </w:t>
                  </w:r>
                  <w:proofErr w:type="spellStart"/>
                  <w:r w:rsidRPr="00082CA6">
                    <w:rPr>
                      <w:sz w:val="16"/>
                    </w:rPr>
                    <w:t>oluşturmaktadır</w:t>
                  </w:r>
                  <w:proofErr w:type="spellEnd"/>
                  <w:r w:rsidRPr="00082CA6">
                    <w:rPr>
                      <w:sz w:val="16"/>
                    </w:rPr>
                    <w:t xml:space="preserve">. </w:t>
                  </w:r>
                </w:p>
              </w:tc>
            </w:tr>
          </w:tbl>
          <w:p w:rsidR="00082CA6" w:rsidRPr="00082CA6" w:rsidRDefault="00082CA6" w:rsidP="00082CA6">
            <w:pPr>
              <w:spacing w:before="0" w:after="120" w:line="240" w:lineRule="auto"/>
              <w:ind w:firstLine="33"/>
              <w:rPr>
                <w:sz w:val="16"/>
              </w:rPr>
            </w:pPr>
          </w:p>
        </w:tc>
      </w:tr>
      <w:tr w:rsidR="00082CA6" w:rsidRPr="00082CA6" w:rsidTr="00082CA6">
        <w:tc>
          <w:tcPr>
            <w:tcW w:w="5817" w:type="dxa"/>
            <w:gridSpan w:val="2"/>
          </w:tcPr>
          <w:p w:rsidR="00082CA6" w:rsidRPr="00082CA6" w:rsidRDefault="00082CA6" w:rsidP="00082CA6">
            <w:pPr>
              <w:spacing w:before="0" w:after="120" w:line="240" w:lineRule="auto"/>
              <w:rPr>
                <w:sz w:val="16"/>
              </w:rPr>
            </w:pPr>
            <w:r w:rsidRPr="00082CA6">
              <w:rPr>
                <w:sz w:val="16"/>
              </w:rPr>
              <w:t xml:space="preserve">KB </w:t>
            </w:r>
            <w:proofErr w:type="spellStart"/>
            <w:r w:rsidRPr="00082CA6">
              <w:rPr>
                <w:sz w:val="16"/>
              </w:rPr>
              <w:t>Eylem</w:t>
            </w:r>
            <w:proofErr w:type="spellEnd"/>
            <w:r w:rsidRPr="00082CA6">
              <w:rPr>
                <w:sz w:val="16"/>
              </w:rPr>
              <w:t xml:space="preserve"> </w:t>
            </w:r>
            <w:proofErr w:type="spellStart"/>
            <w:r w:rsidRPr="00082CA6">
              <w:rPr>
                <w:sz w:val="16"/>
              </w:rPr>
              <w:t>Planı</w:t>
            </w:r>
            <w:proofErr w:type="spellEnd"/>
            <w:r w:rsidRPr="00082CA6">
              <w:rPr>
                <w:sz w:val="16"/>
              </w:rPr>
              <w:t xml:space="preserve"> </w:t>
            </w:r>
          </w:p>
        </w:tc>
        <w:tc>
          <w:tcPr>
            <w:tcW w:w="1559" w:type="dxa"/>
          </w:tcPr>
          <w:p w:rsidR="00082CA6" w:rsidRPr="00082CA6" w:rsidRDefault="00082CA6" w:rsidP="00082CA6">
            <w:pPr>
              <w:spacing w:before="0" w:after="120" w:line="240" w:lineRule="auto"/>
              <w:ind w:firstLine="33"/>
              <w:rPr>
                <w:sz w:val="16"/>
              </w:rPr>
            </w:pPr>
            <w:r w:rsidRPr="00082CA6">
              <w:rPr>
                <w:sz w:val="16"/>
              </w:rPr>
              <w:t xml:space="preserve">KA </w:t>
            </w:r>
            <w:proofErr w:type="spellStart"/>
            <w:r w:rsidRPr="00082CA6">
              <w:rPr>
                <w:sz w:val="16"/>
              </w:rPr>
              <w:t>Eylem</w:t>
            </w:r>
            <w:proofErr w:type="spellEnd"/>
            <w:r w:rsidRPr="00082CA6">
              <w:rPr>
                <w:sz w:val="16"/>
              </w:rPr>
              <w:t xml:space="preserve"> </w:t>
            </w:r>
            <w:proofErr w:type="spellStart"/>
            <w:r w:rsidRPr="00082CA6">
              <w:rPr>
                <w:sz w:val="16"/>
              </w:rPr>
              <w:t>Planı</w:t>
            </w:r>
            <w:proofErr w:type="spellEnd"/>
          </w:p>
        </w:tc>
      </w:tr>
      <w:tr w:rsidR="00082CA6" w:rsidRPr="00082CA6" w:rsidTr="00082CA6">
        <w:tc>
          <w:tcPr>
            <w:tcW w:w="5817" w:type="dxa"/>
            <w:gridSpan w:val="2"/>
          </w:tcPr>
          <w:p w:rsidR="00082CA6" w:rsidRPr="00082CA6" w:rsidRDefault="00082CA6" w:rsidP="00082CA6">
            <w:pPr>
              <w:spacing w:before="0" w:after="120" w:line="240" w:lineRule="auto"/>
              <w:rPr>
                <w:sz w:val="16"/>
              </w:rPr>
            </w:pPr>
            <w:r w:rsidRPr="00082CA6">
              <w:rPr>
                <w:bCs/>
                <w:sz w:val="16"/>
                <w:lang w:eastAsia="tr-TR"/>
              </w:rPr>
              <w:t xml:space="preserve">5.1 </w:t>
            </w:r>
            <w:r w:rsidRPr="00082CA6">
              <w:rPr>
                <w:sz w:val="16"/>
                <w:lang w:eastAsia="tr-TR"/>
              </w:rPr>
              <w:t xml:space="preserve">5449 </w:t>
            </w:r>
            <w:proofErr w:type="spellStart"/>
            <w:r w:rsidRPr="00082CA6">
              <w:rPr>
                <w:sz w:val="16"/>
                <w:lang w:eastAsia="tr-TR"/>
              </w:rPr>
              <w:t>sayılı</w:t>
            </w:r>
            <w:proofErr w:type="spellEnd"/>
            <w:r w:rsidRPr="00082CA6">
              <w:rPr>
                <w:sz w:val="16"/>
                <w:lang w:eastAsia="tr-TR"/>
              </w:rPr>
              <w:t xml:space="preserve"> </w:t>
            </w:r>
            <w:proofErr w:type="spellStart"/>
            <w:r w:rsidRPr="00082CA6">
              <w:rPr>
                <w:sz w:val="16"/>
                <w:lang w:eastAsia="tr-TR"/>
              </w:rPr>
              <w:t>Kanunda</w:t>
            </w:r>
            <w:proofErr w:type="spellEnd"/>
            <w:r w:rsidRPr="00082CA6">
              <w:rPr>
                <w:sz w:val="16"/>
                <w:lang w:eastAsia="tr-TR"/>
              </w:rPr>
              <w:t xml:space="preserve"> </w:t>
            </w:r>
            <w:proofErr w:type="spellStart"/>
            <w:r w:rsidRPr="00082CA6">
              <w:rPr>
                <w:sz w:val="16"/>
                <w:lang w:eastAsia="tr-TR"/>
              </w:rPr>
              <w:t>yapılacak</w:t>
            </w:r>
            <w:proofErr w:type="spellEnd"/>
            <w:r w:rsidRPr="00082CA6">
              <w:rPr>
                <w:sz w:val="16"/>
                <w:lang w:eastAsia="tr-TR"/>
              </w:rPr>
              <w:t xml:space="preserve"> </w:t>
            </w:r>
            <w:proofErr w:type="spellStart"/>
            <w:r w:rsidRPr="00082CA6">
              <w:rPr>
                <w:sz w:val="16"/>
                <w:lang w:eastAsia="tr-TR"/>
              </w:rPr>
              <w:t>değişiklik</w:t>
            </w:r>
            <w:proofErr w:type="spellEnd"/>
            <w:r w:rsidRPr="00082CA6">
              <w:rPr>
                <w:sz w:val="16"/>
                <w:lang w:eastAsia="tr-TR"/>
              </w:rPr>
              <w:t xml:space="preserve"> </w:t>
            </w:r>
            <w:proofErr w:type="spellStart"/>
            <w:r w:rsidRPr="00082CA6">
              <w:rPr>
                <w:sz w:val="16"/>
                <w:lang w:eastAsia="tr-TR"/>
              </w:rPr>
              <w:t>ile</w:t>
            </w:r>
            <w:proofErr w:type="spellEnd"/>
            <w:r w:rsidRPr="00082CA6">
              <w:rPr>
                <w:sz w:val="16"/>
                <w:lang w:eastAsia="tr-TR"/>
              </w:rPr>
              <w:t xml:space="preserve"> </w:t>
            </w:r>
            <w:proofErr w:type="spellStart"/>
            <w:r w:rsidRPr="00082CA6">
              <w:rPr>
                <w:sz w:val="16"/>
                <w:lang w:eastAsia="tr-TR"/>
              </w:rPr>
              <w:t>kalkınma</w:t>
            </w:r>
            <w:proofErr w:type="spellEnd"/>
            <w:r w:rsidRPr="00082CA6">
              <w:rPr>
                <w:sz w:val="16"/>
                <w:lang w:eastAsia="tr-TR"/>
              </w:rPr>
              <w:t xml:space="preserve"> </w:t>
            </w:r>
            <w:proofErr w:type="spellStart"/>
            <w:r w:rsidRPr="00082CA6">
              <w:rPr>
                <w:sz w:val="16"/>
                <w:lang w:eastAsia="tr-TR"/>
              </w:rPr>
              <w:t>kurullarının</w:t>
            </w:r>
            <w:proofErr w:type="spellEnd"/>
            <w:r w:rsidRPr="00082CA6">
              <w:rPr>
                <w:sz w:val="16"/>
                <w:lang w:eastAsia="tr-TR"/>
              </w:rPr>
              <w:t xml:space="preserve"> </w:t>
            </w:r>
            <w:proofErr w:type="spellStart"/>
            <w:r w:rsidRPr="00082CA6">
              <w:rPr>
                <w:sz w:val="16"/>
                <w:lang w:eastAsia="tr-TR"/>
              </w:rPr>
              <w:t>yönetim</w:t>
            </w:r>
            <w:proofErr w:type="spellEnd"/>
            <w:r w:rsidRPr="00082CA6">
              <w:rPr>
                <w:sz w:val="16"/>
                <w:lang w:eastAsia="tr-TR"/>
              </w:rPr>
              <w:t xml:space="preserve"> </w:t>
            </w:r>
            <w:proofErr w:type="spellStart"/>
            <w:r w:rsidRPr="00082CA6">
              <w:rPr>
                <w:sz w:val="16"/>
                <w:lang w:eastAsia="tr-TR"/>
              </w:rPr>
              <w:t>kurullarındaki</w:t>
            </w:r>
            <w:proofErr w:type="spellEnd"/>
            <w:r w:rsidRPr="00082CA6">
              <w:rPr>
                <w:sz w:val="16"/>
                <w:lang w:eastAsia="tr-TR"/>
              </w:rPr>
              <w:t xml:space="preserve"> </w:t>
            </w:r>
            <w:proofErr w:type="spellStart"/>
            <w:r w:rsidRPr="00082CA6">
              <w:rPr>
                <w:sz w:val="16"/>
                <w:lang w:eastAsia="tr-TR"/>
              </w:rPr>
              <w:t>temsili</w:t>
            </w:r>
            <w:proofErr w:type="spellEnd"/>
            <w:r w:rsidRPr="00082CA6">
              <w:rPr>
                <w:sz w:val="16"/>
                <w:lang w:eastAsia="tr-TR"/>
              </w:rPr>
              <w:t xml:space="preserve"> </w:t>
            </w:r>
            <w:proofErr w:type="spellStart"/>
            <w:r w:rsidRPr="00082CA6">
              <w:rPr>
                <w:sz w:val="16"/>
                <w:lang w:eastAsia="tr-TR"/>
              </w:rPr>
              <w:t>artırtılacaktır</w:t>
            </w:r>
            <w:proofErr w:type="spellEnd"/>
            <w:r w:rsidRPr="00082CA6">
              <w:rPr>
                <w:sz w:val="16"/>
                <w:lang w:eastAsia="tr-TR"/>
              </w:rPr>
              <w:t xml:space="preserve">. </w:t>
            </w:r>
            <w:proofErr w:type="spellStart"/>
            <w:r w:rsidRPr="00082CA6">
              <w:rPr>
                <w:sz w:val="16"/>
                <w:lang w:eastAsia="tr-TR"/>
              </w:rPr>
              <w:t>Kalkınma</w:t>
            </w:r>
            <w:proofErr w:type="spellEnd"/>
            <w:r w:rsidRPr="00082CA6">
              <w:rPr>
                <w:sz w:val="16"/>
                <w:lang w:eastAsia="tr-TR"/>
              </w:rPr>
              <w:t xml:space="preserve"> </w:t>
            </w:r>
            <w:proofErr w:type="spellStart"/>
            <w:r w:rsidRPr="00082CA6">
              <w:rPr>
                <w:sz w:val="16"/>
                <w:lang w:eastAsia="tr-TR"/>
              </w:rPr>
              <w:t>kurullarının</w:t>
            </w:r>
            <w:proofErr w:type="spellEnd"/>
            <w:r w:rsidRPr="00082CA6">
              <w:rPr>
                <w:sz w:val="16"/>
                <w:lang w:eastAsia="tr-TR"/>
              </w:rPr>
              <w:t xml:space="preserve"> </w:t>
            </w:r>
            <w:proofErr w:type="spellStart"/>
            <w:r w:rsidRPr="00082CA6">
              <w:rPr>
                <w:sz w:val="16"/>
                <w:lang w:eastAsia="tr-TR"/>
              </w:rPr>
              <w:t>ajans</w:t>
            </w:r>
            <w:proofErr w:type="spellEnd"/>
            <w:r w:rsidRPr="00082CA6">
              <w:rPr>
                <w:sz w:val="16"/>
                <w:lang w:eastAsia="tr-TR"/>
              </w:rPr>
              <w:t xml:space="preserve"> </w:t>
            </w:r>
            <w:proofErr w:type="spellStart"/>
            <w:r w:rsidRPr="00082CA6">
              <w:rPr>
                <w:sz w:val="16"/>
                <w:lang w:eastAsia="tr-TR"/>
              </w:rPr>
              <w:t>çalışma</w:t>
            </w:r>
            <w:proofErr w:type="spellEnd"/>
            <w:r w:rsidRPr="00082CA6">
              <w:rPr>
                <w:sz w:val="16"/>
                <w:lang w:eastAsia="tr-TR"/>
              </w:rPr>
              <w:t xml:space="preserve"> </w:t>
            </w:r>
            <w:proofErr w:type="spellStart"/>
            <w:r w:rsidRPr="00082CA6">
              <w:rPr>
                <w:sz w:val="16"/>
                <w:lang w:eastAsia="tr-TR"/>
              </w:rPr>
              <w:t>programlarının</w:t>
            </w:r>
            <w:proofErr w:type="spellEnd"/>
            <w:r w:rsidRPr="00082CA6">
              <w:rPr>
                <w:sz w:val="16"/>
                <w:lang w:eastAsia="tr-TR"/>
              </w:rPr>
              <w:t xml:space="preserve"> </w:t>
            </w:r>
            <w:proofErr w:type="spellStart"/>
            <w:r w:rsidRPr="00082CA6">
              <w:rPr>
                <w:sz w:val="16"/>
                <w:lang w:eastAsia="tr-TR"/>
              </w:rPr>
              <w:t>belirlenmesi</w:t>
            </w:r>
            <w:proofErr w:type="spellEnd"/>
            <w:r w:rsidRPr="00082CA6">
              <w:rPr>
                <w:sz w:val="16"/>
                <w:lang w:eastAsia="tr-TR"/>
              </w:rPr>
              <w:t xml:space="preserve"> </w:t>
            </w:r>
            <w:proofErr w:type="spellStart"/>
            <w:r w:rsidRPr="00082CA6">
              <w:rPr>
                <w:sz w:val="16"/>
                <w:lang w:eastAsia="tr-TR"/>
              </w:rPr>
              <w:t>ve</w:t>
            </w:r>
            <w:proofErr w:type="spellEnd"/>
            <w:r w:rsidRPr="00082CA6">
              <w:rPr>
                <w:sz w:val="16"/>
                <w:lang w:eastAsia="tr-TR"/>
              </w:rPr>
              <w:t xml:space="preserve"> </w:t>
            </w:r>
            <w:proofErr w:type="spellStart"/>
            <w:r w:rsidRPr="00082CA6">
              <w:rPr>
                <w:sz w:val="16"/>
                <w:lang w:eastAsia="tr-TR"/>
              </w:rPr>
              <w:t>faaliyetlerinin</w:t>
            </w:r>
            <w:proofErr w:type="spellEnd"/>
            <w:r w:rsidRPr="00082CA6">
              <w:rPr>
                <w:sz w:val="16"/>
                <w:lang w:eastAsia="tr-TR"/>
              </w:rPr>
              <w:t xml:space="preserve"> </w:t>
            </w:r>
            <w:proofErr w:type="spellStart"/>
            <w:r w:rsidRPr="00082CA6">
              <w:rPr>
                <w:sz w:val="16"/>
                <w:lang w:eastAsia="tr-TR"/>
              </w:rPr>
              <w:t>izlenmesi</w:t>
            </w:r>
            <w:proofErr w:type="spellEnd"/>
            <w:r w:rsidRPr="00082CA6">
              <w:rPr>
                <w:sz w:val="16"/>
                <w:lang w:eastAsia="tr-TR"/>
              </w:rPr>
              <w:t xml:space="preserve"> </w:t>
            </w:r>
            <w:proofErr w:type="spellStart"/>
            <w:r w:rsidRPr="00082CA6">
              <w:rPr>
                <w:sz w:val="16"/>
                <w:lang w:eastAsia="tr-TR"/>
              </w:rPr>
              <w:t>konularındaki</w:t>
            </w:r>
            <w:proofErr w:type="spellEnd"/>
            <w:r w:rsidRPr="00082CA6">
              <w:rPr>
                <w:sz w:val="16"/>
                <w:lang w:eastAsia="tr-TR"/>
              </w:rPr>
              <w:t xml:space="preserve"> </w:t>
            </w:r>
            <w:proofErr w:type="spellStart"/>
            <w:r w:rsidRPr="00082CA6">
              <w:rPr>
                <w:sz w:val="16"/>
                <w:lang w:eastAsia="tr-TR"/>
              </w:rPr>
              <w:t>görevleri</w:t>
            </w:r>
            <w:proofErr w:type="spellEnd"/>
            <w:r w:rsidRPr="00082CA6">
              <w:rPr>
                <w:sz w:val="16"/>
                <w:lang w:eastAsia="tr-TR"/>
              </w:rPr>
              <w:t xml:space="preserve"> </w:t>
            </w:r>
            <w:proofErr w:type="spellStart"/>
            <w:r w:rsidRPr="00082CA6">
              <w:rPr>
                <w:sz w:val="16"/>
                <w:lang w:eastAsia="tr-TR"/>
              </w:rPr>
              <w:t>genişletilecektir</w:t>
            </w:r>
            <w:proofErr w:type="spellEnd"/>
            <w:r w:rsidRPr="00082CA6">
              <w:rPr>
                <w:sz w:val="16"/>
                <w:lang w:eastAsia="tr-TR"/>
              </w:rPr>
              <w:t xml:space="preserve">. Bu </w:t>
            </w:r>
            <w:proofErr w:type="spellStart"/>
            <w:r w:rsidRPr="00082CA6">
              <w:rPr>
                <w:sz w:val="16"/>
                <w:lang w:eastAsia="tr-TR"/>
              </w:rPr>
              <w:t>kapsamda</w:t>
            </w:r>
            <w:proofErr w:type="spellEnd"/>
            <w:r w:rsidRPr="00082CA6">
              <w:rPr>
                <w:sz w:val="16"/>
                <w:lang w:eastAsia="tr-TR"/>
              </w:rPr>
              <w:t xml:space="preserve"> </w:t>
            </w:r>
            <w:proofErr w:type="spellStart"/>
            <w:r w:rsidRPr="00082CA6">
              <w:rPr>
                <w:sz w:val="16"/>
                <w:lang w:eastAsia="tr-TR"/>
              </w:rPr>
              <w:t>yönetim</w:t>
            </w:r>
            <w:proofErr w:type="spellEnd"/>
            <w:r w:rsidRPr="00082CA6">
              <w:rPr>
                <w:sz w:val="16"/>
                <w:lang w:eastAsia="tr-TR"/>
              </w:rPr>
              <w:t xml:space="preserve"> </w:t>
            </w:r>
            <w:proofErr w:type="spellStart"/>
            <w:r w:rsidRPr="00082CA6">
              <w:rPr>
                <w:sz w:val="16"/>
                <w:lang w:eastAsia="tr-TR"/>
              </w:rPr>
              <w:t>kurulunun</w:t>
            </w:r>
            <w:proofErr w:type="spellEnd"/>
            <w:r w:rsidRPr="00082CA6">
              <w:rPr>
                <w:sz w:val="16"/>
                <w:lang w:eastAsia="tr-TR"/>
              </w:rPr>
              <w:t xml:space="preserve"> </w:t>
            </w:r>
            <w:proofErr w:type="spellStart"/>
            <w:r w:rsidRPr="00082CA6">
              <w:rPr>
                <w:sz w:val="16"/>
                <w:lang w:eastAsia="tr-TR"/>
              </w:rPr>
              <w:t>bazı</w:t>
            </w:r>
            <w:proofErr w:type="spellEnd"/>
            <w:r w:rsidRPr="00082CA6">
              <w:rPr>
                <w:sz w:val="16"/>
                <w:lang w:eastAsia="tr-TR"/>
              </w:rPr>
              <w:t xml:space="preserve"> </w:t>
            </w:r>
            <w:proofErr w:type="spellStart"/>
            <w:r w:rsidRPr="00082CA6">
              <w:rPr>
                <w:sz w:val="16"/>
                <w:lang w:eastAsia="tr-TR"/>
              </w:rPr>
              <w:t>kararları</w:t>
            </w:r>
            <w:proofErr w:type="spellEnd"/>
            <w:r w:rsidRPr="00082CA6">
              <w:rPr>
                <w:sz w:val="16"/>
                <w:lang w:eastAsia="tr-TR"/>
              </w:rPr>
              <w:t xml:space="preserve"> </w:t>
            </w:r>
            <w:proofErr w:type="spellStart"/>
            <w:r w:rsidRPr="00082CA6">
              <w:rPr>
                <w:sz w:val="16"/>
                <w:lang w:eastAsia="tr-TR"/>
              </w:rPr>
              <w:t>için</w:t>
            </w:r>
            <w:proofErr w:type="spellEnd"/>
            <w:r w:rsidRPr="00082CA6">
              <w:rPr>
                <w:sz w:val="16"/>
                <w:lang w:eastAsia="tr-TR"/>
              </w:rPr>
              <w:t xml:space="preserve"> </w:t>
            </w:r>
            <w:proofErr w:type="spellStart"/>
            <w:r w:rsidRPr="00082CA6">
              <w:rPr>
                <w:sz w:val="16"/>
                <w:lang w:eastAsia="tr-TR"/>
              </w:rPr>
              <w:t>kalkınma</w:t>
            </w:r>
            <w:proofErr w:type="spellEnd"/>
            <w:r w:rsidRPr="00082CA6">
              <w:rPr>
                <w:sz w:val="16"/>
                <w:lang w:eastAsia="tr-TR"/>
              </w:rPr>
              <w:t xml:space="preserve"> </w:t>
            </w:r>
            <w:proofErr w:type="spellStart"/>
            <w:r w:rsidRPr="00082CA6">
              <w:rPr>
                <w:sz w:val="16"/>
                <w:lang w:eastAsia="tr-TR"/>
              </w:rPr>
              <w:t>kurullarının</w:t>
            </w:r>
            <w:proofErr w:type="spellEnd"/>
            <w:r w:rsidRPr="00082CA6">
              <w:rPr>
                <w:sz w:val="16"/>
                <w:lang w:eastAsia="tr-TR"/>
              </w:rPr>
              <w:t xml:space="preserve"> </w:t>
            </w:r>
            <w:proofErr w:type="spellStart"/>
            <w:r w:rsidRPr="00082CA6">
              <w:rPr>
                <w:sz w:val="16"/>
                <w:lang w:eastAsia="tr-TR"/>
              </w:rPr>
              <w:t>uygun</w:t>
            </w:r>
            <w:proofErr w:type="spellEnd"/>
            <w:r w:rsidRPr="00082CA6">
              <w:rPr>
                <w:sz w:val="16"/>
                <w:lang w:eastAsia="tr-TR"/>
              </w:rPr>
              <w:t xml:space="preserve"> </w:t>
            </w:r>
            <w:proofErr w:type="spellStart"/>
            <w:r w:rsidRPr="00082CA6">
              <w:rPr>
                <w:sz w:val="16"/>
                <w:lang w:eastAsia="tr-TR"/>
              </w:rPr>
              <w:t>görüşüne</w:t>
            </w:r>
            <w:proofErr w:type="spellEnd"/>
            <w:r w:rsidRPr="00082CA6">
              <w:rPr>
                <w:sz w:val="16"/>
                <w:lang w:eastAsia="tr-TR"/>
              </w:rPr>
              <w:t xml:space="preserve"> </w:t>
            </w:r>
            <w:proofErr w:type="spellStart"/>
            <w:r w:rsidRPr="00082CA6">
              <w:rPr>
                <w:sz w:val="16"/>
                <w:lang w:eastAsia="tr-TR"/>
              </w:rPr>
              <w:t>ya</w:t>
            </w:r>
            <w:proofErr w:type="spellEnd"/>
            <w:r w:rsidRPr="00082CA6">
              <w:rPr>
                <w:sz w:val="16"/>
                <w:lang w:eastAsia="tr-TR"/>
              </w:rPr>
              <w:t xml:space="preserve"> da </w:t>
            </w:r>
            <w:proofErr w:type="spellStart"/>
            <w:r w:rsidRPr="00082CA6">
              <w:rPr>
                <w:sz w:val="16"/>
                <w:lang w:eastAsia="tr-TR"/>
              </w:rPr>
              <w:t>görüşüne</w:t>
            </w:r>
            <w:proofErr w:type="spellEnd"/>
            <w:r w:rsidRPr="00082CA6">
              <w:rPr>
                <w:sz w:val="16"/>
                <w:lang w:eastAsia="tr-TR"/>
              </w:rPr>
              <w:t xml:space="preserve"> </w:t>
            </w:r>
            <w:proofErr w:type="spellStart"/>
            <w:r w:rsidRPr="00082CA6">
              <w:rPr>
                <w:sz w:val="16"/>
                <w:lang w:eastAsia="tr-TR"/>
              </w:rPr>
              <w:t>başvurulması</w:t>
            </w:r>
            <w:proofErr w:type="spellEnd"/>
            <w:r w:rsidRPr="00082CA6">
              <w:rPr>
                <w:sz w:val="16"/>
                <w:lang w:eastAsia="tr-TR"/>
              </w:rPr>
              <w:t xml:space="preserve"> </w:t>
            </w:r>
            <w:proofErr w:type="spellStart"/>
            <w:r w:rsidRPr="00082CA6">
              <w:rPr>
                <w:sz w:val="16"/>
                <w:lang w:eastAsia="tr-TR"/>
              </w:rPr>
              <w:t>düzenlemesi</w:t>
            </w:r>
            <w:proofErr w:type="spellEnd"/>
            <w:r w:rsidRPr="00082CA6">
              <w:rPr>
                <w:sz w:val="16"/>
                <w:lang w:eastAsia="tr-TR"/>
              </w:rPr>
              <w:t xml:space="preserve"> </w:t>
            </w:r>
            <w:proofErr w:type="spellStart"/>
            <w:r w:rsidRPr="00082CA6">
              <w:rPr>
                <w:sz w:val="16"/>
                <w:lang w:eastAsia="tr-TR"/>
              </w:rPr>
              <w:t>Kanunla</w:t>
            </w:r>
            <w:proofErr w:type="spellEnd"/>
            <w:r w:rsidRPr="00082CA6">
              <w:rPr>
                <w:sz w:val="16"/>
                <w:lang w:eastAsia="tr-TR"/>
              </w:rPr>
              <w:t xml:space="preserve"> </w:t>
            </w:r>
            <w:proofErr w:type="spellStart"/>
            <w:r w:rsidRPr="00082CA6">
              <w:rPr>
                <w:sz w:val="16"/>
                <w:lang w:eastAsia="tr-TR"/>
              </w:rPr>
              <w:t>yapılacaktır</w:t>
            </w:r>
            <w:proofErr w:type="spellEnd"/>
          </w:p>
        </w:tc>
        <w:tc>
          <w:tcPr>
            <w:tcW w:w="1559" w:type="dxa"/>
          </w:tcPr>
          <w:p w:rsidR="00082CA6" w:rsidRPr="00082CA6" w:rsidRDefault="00082CA6" w:rsidP="00082CA6">
            <w:pPr>
              <w:spacing w:before="0" w:after="120" w:line="240" w:lineRule="auto"/>
              <w:ind w:firstLine="33"/>
              <w:rPr>
                <w:sz w:val="16"/>
              </w:rPr>
            </w:pPr>
            <w:r w:rsidRPr="00082CA6">
              <w:rPr>
                <w:sz w:val="16"/>
              </w:rPr>
              <w:t>Yok.</w:t>
            </w:r>
          </w:p>
        </w:tc>
      </w:tr>
    </w:tbl>
    <w:p w:rsidR="00082CA6" w:rsidRPr="00082CA6" w:rsidRDefault="00082CA6" w:rsidP="00082CA6">
      <w:pPr>
        <w:suppressAutoHyphens/>
        <w:autoSpaceDE w:val="0"/>
        <w:autoSpaceDN w:val="0"/>
        <w:adjustRightInd w:val="0"/>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w:t>
      </w:r>
      <w:sdt>
        <w:sdtPr>
          <w:rPr>
            <w:rFonts w:eastAsia="Times New Roman" w:cs="Times New Roman"/>
            <w:sz w:val="20"/>
            <w:lang w:eastAsia="tr-TR"/>
          </w:rPr>
          <w:id w:val="-849412436"/>
          <w:citation/>
        </w:sdtPr>
        <w:sdtEndPr/>
        <w:sdtContent>
          <w:r w:rsidRPr="00082CA6">
            <w:rPr>
              <w:rFonts w:eastAsia="Times New Roman" w:cs="Times New Roman"/>
              <w:sz w:val="20"/>
              <w:lang w:eastAsia="tr-TR"/>
            </w:rPr>
            <w:fldChar w:fldCharType="begin"/>
          </w:r>
          <w:r w:rsidRPr="00082CA6">
            <w:rPr>
              <w:rFonts w:eastAsia="Times New Roman" w:cs="Times New Roman"/>
              <w:sz w:val="20"/>
              <w:lang w:eastAsia="tr-TR"/>
            </w:rPr>
            <w:instrText xml:space="preserve"> CITATION Dev14 \l 1055 </w:instrText>
          </w:r>
          <w:r w:rsidRPr="00082CA6">
            <w:rPr>
              <w:rFonts w:eastAsia="Times New Roman" w:cs="Times New Roman"/>
              <w:sz w:val="20"/>
              <w:lang w:eastAsia="tr-TR"/>
            </w:rPr>
            <w:fldChar w:fldCharType="separate"/>
          </w:r>
          <w:r w:rsidRPr="00082CA6">
            <w:rPr>
              <w:rFonts w:eastAsia="Times New Roman" w:cs="Times New Roman"/>
              <w:sz w:val="20"/>
              <w:lang w:eastAsia="tr-TR"/>
            </w:rPr>
            <w:t xml:space="preserve"> (DDK, et al., 2014)</w:t>
          </w:r>
          <w:r w:rsidRPr="00082CA6">
            <w:rPr>
              <w:rFonts w:eastAsia="Times New Roman" w:cs="Times New Roman"/>
              <w:sz w:val="20"/>
              <w:lang w:eastAsia="tr-TR"/>
            </w:rPr>
            <w:fldChar w:fldCharType="end"/>
          </w:r>
        </w:sdtContent>
      </w:sdt>
      <w:r w:rsidRPr="00082CA6">
        <w:rPr>
          <w:rFonts w:eastAsia="Times New Roman" w:cs="Times New Roman"/>
          <w:sz w:val="20"/>
          <w:lang w:eastAsia="tr-TR"/>
        </w:rPr>
        <w:t xml:space="preserve"> ve </w:t>
      </w:r>
      <w:sdt>
        <w:sdtPr>
          <w:rPr>
            <w:rFonts w:eastAsia="Times New Roman" w:cs="Times New Roman"/>
            <w:sz w:val="20"/>
            <w:lang w:eastAsia="tr-TR"/>
          </w:rPr>
          <w:id w:val="-1915775961"/>
          <w:citation/>
        </w:sdtPr>
        <w:sdtEndPr/>
        <w:sdtContent>
          <w:r w:rsidRPr="00082CA6">
            <w:rPr>
              <w:rFonts w:eastAsia="Times New Roman" w:cs="Times New Roman"/>
              <w:sz w:val="20"/>
              <w:lang w:eastAsia="tr-TR"/>
            </w:rPr>
            <w:fldChar w:fldCharType="begin"/>
          </w:r>
          <w:r w:rsidRPr="00082CA6">
            <w:rPr>
              <w:rFonts w:eastAsia="Times New Roman" w:cs="Times New Roman"/>
              <w:sz w:val="20"/>
              <w:lang w:eastAsia="tr-TR"/>
            </w:rPr>
            <w:instrText xml:space="preserve"> CITATION KBB14 \l 1055 </w:instrText>
          </w:r>
          <w:r w:rsidRPr="00082CA6">
            <w:rPr>
              <w:rFonts w:eastAsia="Times New Roman" w:cs="Times New Roman"/>
              <w:sz w:val="20"/>
              <w:lang w:eastAsia="tr-TR"/>
            </w:rPr>
            <w:fldChar w:fldCharType="separate"/>
          </w:r>
          <w:r w:rsidRPr="00082CA6">
            <w:rPr>
              <w:rFonts w:eastAsia="Times New Roman" w:cs="Times New Roman"/>
              <w:sz w:val="20"/>
              <w:lang w:eastAsia="tr-TR"/>
            </w:rPr>
            <w:t>(KB-BGYUGM, 2014)</w:t>
          </w:r>
          <w:r w:rsidRPr="00082CA6">
            <w:rPr>
              <w:rFonts w:eastAsia="Times New Roman" w:cs="Times New Roman"/>
              <w:sz w:val="20"/>
              <w:lang w:eastAsia="tr-TR"/>
            </w:rPr>
            <w:fldChar w:fldCharType="end"/>
          </w:r>
        </w:sdtContent>
      </w:sdt>
      <w:r w:rsidRPr="00082CA6">
        <w:rPr>
          <w:rFonts w:eastAsia="Times New Roman" w:cs="Times New Roman"/>
          <w:sz w:val="20"/>
          <w:lang w:eastAsia="tr-TR"/>
        </w:rPr>
        <w:t>’dan yararlanarak  araştırmacı tarafından oluşturulmuştur.</w:t>
      </w:r>
    </w:p>
    <w:p w:rsidR="00082CA6" w:rsidRPr="00082CA6" w:rsidRDefault="00082CA6" w:rsidP="00082CA6">
      <w:pPr>
        <w:suppressAutoHyphens/>
        <w:autoSpaceDE w:val="0"/>
        <w:autoSpaceDN w:val="0"/>
        <w:adjustRightInd w:val="0"/>
        <w:spacing w:before="0" w:after="120" w:line="240" w:lineRule="auto"/>
        <w:ind w:firstLine="708"/>
        <w:jc w:val="both"/>
        <w:rPr>
          <w:rFonts w:eastAsia="Times New Roman" w:cs="Times New Roman"/>
          <w:b/>
          <w:sz w:val="22"/>
          <w:lang w:eastAsia="tr-TR"/>
        </w:rPr>
      </w:pPr>
      <w:r w:rsidRPr="00082CA6">
        <w:rPr>
          <w:rFonts w:eastAsia="Times New Roman" w:cs="Times New Roman"/>
          <w:sz w:val="22"/>
          <w:lang w:eastAsia="tr-TR"/>
        </w:rPr>
        <w:t xml:space="preserve">Yukarıdaki kök neden analizlerinden de anlaşılacağı üzere, KA dinamiklerinde yönetim kurullarının toplanamamasının ve kalkınma kurullarının etkisiz ve yetersiz olmasının altında yatan temel nedenin etkin bir yönetişim sisteminin mevcut olmamasıdır. Çünkü yönetim kurulları (YK) karar mekanizmasını teşkil ederken kalkınma kurulları (KK) da bölgesel düzeyde danışmanlık ve rehberlik sistemini oluşturmaktadır. Her ikisinde birsen ciddi sorunların meydana gelmiş olması yönetişimin temel dinamiklerinin işletilemediği anlamına gelmektedir. Bu nedenle bölgesel kalkınma yönetişim mekanizmasının sorunlu olması araştırmamızda temel problem </w:t>
      </w:r>
      <w:r w:rsidRPr="00082CA6">
        <w:rPr>
          <w:rFonts w:eastAsia="Times New Roman" w:cs="Times New Roman"/>
          <w:sz w:val="22"/>
          <w:lang w:eastAsia="tr-TR"/>
        </w:rPr>
        <w:lastRenderedPageBreak/>
        <w:t xml:space="preserve">olarak ele alınmakta ve bunun için gerekli çözümlemelerin de COBIT-5 yönetişim süreçleri ile elde edilebileceği iddia edilerek bu çerçevede analiz ve modellemeler yapılmaktadır. </w:t>
      </w:r>
    </w:p>
    <w:p w:rsidR="00082CA6" w:rsidRPr="00082CA6" w:rsidRDefault="00082CA6" w:rsidP="00082CA6">
      <w:pPr>
        <w:keepNext/>
        <w:keepLines/>
        <w:spacing w:before="0" w:after="120" w:line="240" w:lineRule="auto"/>
        <w:jc w:val="both"/>
        <w:outlineLvl w:val="0"/>
        <w:rPr>
          <w:rFonts w:eastAsia="TimesNewRoman" w:cs="Times New Roman"/>
          <w:b/>
          <w:bCs/>
          <w:sz w:val="22"/>
          <w:lang w:eastAsia="tr-TR"/>
        </w:rPr>
      </w:pPr>
      <w:r w:rsidRPr="00082CA6">
        <w:rPr>
          <w:rFonts w:eastAsia="TimesNewRoman" w:cs="Times New Roman"/>
          <w:b/>
          <w:bCs/>
          <w:sz w:val="22"/>
          <w:lang w:eastAsia="tr-TR"/>
        </w:rPr>
        <w:t>YÖNETİŞİM</w:t>
      </w:r>
      <w:bookmarkEnd w:id="1"/>
      <w:r w:rsidRPr="00082CA6">
        <w:rPr>
          <w:rFonts w:eastAsia="TimesNewRoman" w:cs="Times New Roman"/>
          <w:b/>
          <w:bCs/>
          <w:sz w:val="22"/>
          <w:lang w:eastAsia="tr-TR"/>
        </w:rPr>
        <w:t xml:space="preserve"> TÜRLERİ</w:t>
      </w:r>
    </w:p>
    <w:p w:rsidR="00082CA6" w:rsidRPr="00082CA6" w:rsidRDefault="00082CA6" w:rsidP="00082CA6">
      <w:pPr>
        <w:tabs>
          <w:tab w:val="left" w:pos="709"/>
        </w:tabs>
        <w:suppressAutoHyphens/>
        <w:spacing w:before="0" w:after="120" w:line="240" w:lineRule="auto"/>
        <w:jc w:val="both"/>
        <w:rPr>
          <w:rFonts w:eastAsia="Times New Roman" w:cs="Times New Roman"/>
          <w:bCs/>
          <w:sz w:val="22"/>
          <w:lang w:eastAsia="tr-TR"/>
        </w:rPr>
      </w:pPr>
      <w:r w:rsidRPr="00082CA6">
        <w:rPr>
          <w:rFonts w:eastAsia="Times New Roman" w:cs="Times New Roman"/>
          <w:bCs/>
          <w:sz w:val="22"/>
          <w:lang w:eastAsia="tr-TR"/>
        </w:rPr>
        <w:tab/>
        <w:t>“Yönetişim” (</w:t>
      </w:r>
      <w:proofErr w:type="spellStart"/>
      <w:r w:rsidRPr="00082CA6">
        <w:rPr>
          <w:rFonts w:eastAsia="Times New Roman" w:cs="Times New Roman"/>
          <w:bCs/>
          <w:sz w:val="22"/>
          <w:lang w:eastAsia="tr-TR"/>
        </w:rPr>
        <w:t>ing.</w:t>
      </w:r>
      <w:proofErr w:type="spellEnd"/>
      <w:r w:rsidRPr="00082CA6">
        <w:rPr>
          <w:rFonts w:eastAsia="Times New Roman" w:cs="Times New Roman"/>
          <w:bCs/>
          <w:sz w:val="22"/>
          <w:lang w:eastAsia="tr-TR"/>
        </w:rPr>
        <w:t xml:space="preserve"> “</w:t>
      </w:r>
      <w:proofErr w:type="spellStart"/>
      <w:r w:rsidRPr="00082CA6">
        <w:rPr>
          <w:rFonts w:eastAsia="Times New Roman" w:cs="Times New Roman"/>
          <w:bCs/>
          <w:sz w:val="22"/>
          <w:lang w:eastAsia="tr-TR"/>
        </w:rPr>
        <w:t>Governance</w:t>
      </w:r>
      <w:proofErr w:type="spellEnd"/>
      <w:r w:rsidRPr="00082CA6">
        <w:rPr>
          <w:rFonts w:eastAsia="Times New Roman" w:cs="Times New Roman"/>
          <w:bCs/>
          <w:sz w:val="22"/>
          <w:lang w:eastAsia="tr-TR"/>
        </w:rPr>
        <w:t>”), “</w:t>
      </w:r>
      <w:r w:rsidRPr="00082CA6">
        <w:rPr>
          <w:rFonts w:eastAsia="Times New Roman" w:cs="Times New Roman"/>
          <w:bCs/>
          <w:i/>
          <w:sz w:val="22"/>
          <w:lang w:eastAsia="tr-TR"/>
        </w:rPr>
        <w:t>dümenle idare etmek</w:t>
      </w:r>
      <w:r w:rsidRPr="00082CA6">
        <w:rPr>
          <w:rFonts w:eastAsia="Times New Roman" w:cs="Times New Roman"/>
          <w:bCs/>
          <w:sz w:val="22"/>
          <w:lang w:eastAsia="tr-TR"/>
        </w:rPr>
        <w:t xml:space="preserve">” anlamına gelen Yunanca </w:t>
      </w:r>
      <w:proofErr w:type="spellStart"/>
      <w:r w:rsidRPr="00082CA6">
        <w:rPr>
          <w:rFonts w:eastAsia="Times New Roman" w:cs="Times New Roman"/>
          <w:bCs/>
          <w:i/>
          <w:sz w:val="22"/>
          <w:lang w:eastAsia="tr-TR"/>
        </w:rPr>
        <w:t>kubernáo</w:t>
      </w:r>
      <w:proofErr w:type="spellEnd"/>
      <w:r w:rsidRPr="00082CA6">
        <w:rPr>
          <w:rFonts w:eastAsia="Times New Roman" w:cs="Times New Roman"/>
          <w:bCs/>
          <w:sz w:val="22"/>
          <w:lang w:eastAsia="tr-TR"/>
        </w:rPr>
        <w:t xml:space="preserve"> fiilinden türetilmiştir.</w:t>
      </w:r>
      <w:sdt>
        <w:sdtPr>
          <w:rPr>
            <w:rFonts w:eastAsia="Times New Roman" w:cs="Times New Roman"/>
            <w:bCs/>
            <w:sz w:val="22"/>
            <w:lang w:eastAsia="tr-TR"/>
          </w:rPr>
          <w:id w:val="2076248434"/>
          <w:citation/>
        </w:sdtPr>
        <w:sdtEndPr/>
        <w:sdtContent>
          <w:r w:rsidRPr="00082CA6">
            <w:rPr>
              <w:rFonts w:eastAsia="Times New Roman" w:cs="Times New Roman"/>
              <w:bCs/>
              <w:sz w:val="22"/>
              <w:lang w:eastAsia="tr-TR"/>
            </w:rPr>
            <w:fldChar w:fldCharType="begin"/>
          </w:r>
          <w:r w:rsidRPr="00082CA6">
            <w:rPr>
              <w:rFonts w:eastAsia="Times New Roman" w:cs="Times New Roman"/>
              <w:bCs/>
              <w:sz w:val="22"/>
              <w:lang w:eastAsia="tr-TR"/>
            </w:rPr>
            <w:instrText xml:space="preserve">CITATION ISA2a \p 13 \t  \l 1055 </w:instrText>
          </w:r>
          <w:r w:rsidRPr="00082CA6">
            <w:rPr>
              <w:rFonts w:eastAsia="Times New Roman" w:cs="Times New Roman"/>
              <w:bCs/>
              <w:sz w:val="22"/>
              <w:lang w:eastAsia="tr-TR"/>
            </w:rPr>
            <w:fldChar w:fldCharType="separate"/>
          </w:r>
          <w:r w:rsidRPr="00082CA6">
            <w:rPr>
              <w:rFonts w:eastAsia="Times New Roman" w:cs="Times New Roman"/>
              <w:bCs/>
              <w:noProof/>
              <w:sz w:val="22"/>
              <w:lang w:eastAsia="tr-TR"/>
            </w:rPr>
            <w:t xml:space="preserve"> </w:t>
          </w:r>
          <w:r w:rsidRPr="00082CA6">
            <w:rPr>
              <w:rFonts w:eastAsia="Times New Roman" w:cs="Times New Roman"/>
              <w:noProof/>
              <w:sz w:val="22"/>
              <w:lang w:eastAsia="tr-TR"/>
            </w:rPr>
            <w:t>(ISACA., 2012a, s. 13)</w:t>
          </w:r>
          <w:r w:rsidRPr="00082CA6">
            <w:rPr>
              <w:rFonts w:eastAsia="Times New Roman" w:cs="Times New Roman"/>
              <w:bCs/>
              <w:sz w:val="22"/>
              <w:lang w:eastAsia="tr-TR"/>
            </w:rPr>
            <w:fldChar w:fldCharType="end"/>
          </w:r>
        </w:sdtContent>
      </w:sdt>
      <w:r w:rsidRPr="00082CA6">
        <w:rPr>
          <w:rFonts w:eastAsia="Times New Roman" w:cs="Times New Roman"/>
          <w:bCs/>
          <w:sz w:val="22"/>
          <w:lang w:eastAsia="tr-TR"/>
        </w:rPr>
        <w:t xml:space="preserve"> Yönetişim, ister hükümet tarafından, piyasa tarafından veya bir ağ tarafından yapılıyor olsun, ister bir aile üzerinden, kabile üzerinden, resmi veya gayri resmi kurumlar veya toprak alanı üzerinden olsun, ister hukuk, kurallar, güç veya dil aracılığıyla olsun fark etmeksizin tüm yönetim ve karar alma mekanizmalarına gönderme yapar. Yönetişim, uygulama şekillerini belirlemeye, yetki vermeye ve performansı teyit etmeye yönelik süreçlerle ve kararlarla ilgilidir. TODAİE Kamu Yönetimi Sözlüğünde yönetişim; “</w:t>
      </w:r>
      <w:r w:rsidRPr="00082CA6">
        <w:rPr>
          <w:rFonts w:eastAsia="Times New Roman" w:cs="Times New Roman"/>
          <w:bCs/>
          <w:i/>
          <w:sz w:val="22"/>
          <w:lang w:eastAsia="tr-TR"/>
        </w:rPr>
        <w:t>Bir toplumsal politik sistemdeki ilgili bütün aktörlerin ortak çabalarıyla elde edilen sonuçların oluşturduğu yapı ya da düzen</w:t>
      </w:r>
      <w:r w:rsidRPr="00082CA6">
        <w:rPr>
          <w:rFonts w:eastAsia="Times New Roman" w:cs="Times New Roman"/>
          <w:bCs/>
          <w:sz w:val="22"/>
          <w:lang w:eastAsia="tr-TR"/>
        </w:rPr>
        <w:t>” olarak tanımlanmaktadır.</w:t>
      </w:r>
      <w:r w:rsidRPr="00082CA6">
        <w:rPr>
          <w:rFonts w:eastAsia="Times New Roman" w:cs="Times New Roman"/>
          <w:sz w:val="22"/>
          <w:lang w:eastAsia="tr-TR"/>
        </w:rPr>
        <w:fldChar w:fldCharType="begin"/>
      </w:r>
      <w:r w:rsidRPr="00082CA6">
        <w:rPr>
          <w:rFonts w:eastAsia="Times New Roman" w:cs="Times New Roman"/>
          <w:sz w:val="22"/>
          <w:lang w:eastAsia="tr-TR"/>
        </w:rPr>
        <w:fldChar w:fldCharType="separate"/>
      </w:r>
      <w:r w:rsidRPr="00082CA6">
        <w:rPr>
          <w:rFonts w:eastAsia="Times New Roman" w:cs="Times New Roman"/>
          <w:bCs/>
          <w:sz w:val="22"/>
          <w:lang w:eastAsia="tr-TR"/>
        </w:rPr>
        <w:t>(Bevir 2013)</w:t>
      </w:r>
      <w:r w:rsidRPr="00082CA6">
        <w:rPr>
          <w:rFonts w:eastAsia="Times New Roman" w:cs="Times New Roman"/>
          <w:bCs/>
          <w:sz w:val="22"/>
          <w:lang w:eastAsia="tr-TR"/>
        </w:rPr>
        <w:fldChar w:fldCharType="end"/>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Yönetişim ile ilgili olarak pek çok farklı tanımlama olması bu alandaki paradigmanın henüz oturmadığı ve sürekli yeni gerilimlere maruz kaldığını gösterebilmektedir. Örneğin; Dünya Bankası tarafından yapılan tanıma göre yönetişim, “</w:t>
      </w:r>
      <w:r w:rsidRPr="00082CA6">
        <w:rPr>
          <w:rFonts w:eastAsia="Times New Roman" w:cs="Times New Roman"/>
          <w:i/>
          <w:sz w:val="22"/>
          <w:lang w:eastAsia="tr-TR"/>
        </w:rPr>
        <w:t>kalkınma için bir ülkedeki ekonomik ve sosyal kaynakların yönetiminde güç ve yetkinin işletilme biçimidir</w:t>
      </w:r>
      <w:r w:rsidRPr="00082CA6">
        <w:rPr>
          <w:rFonts w:eastAsia="Times New Roman" w:cs="Times New Roman"/>
          <w:sz w:val="22"/>
          <w:lang w:eastAsia="tr-TR"/>
        </w:rPr>
        <w:t>.”</w:t>
      </w:r>
      <w:sdt>
        <w:sdtPr>
          <w:rPr>
            <w:rFonts w:eastAsia="Times New Roman" w:cs="Times New Roman"/>
            <w:sz w:val="22"/>
            <w:lang w:eastAsia="tr-TR"/>
          </w:rPr>
          <w:id w:val="-1515461779"/>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 CITATION Ban91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(WorldBank, 1991)</w:t>
          </w:r>
          <w:r w:rsidRPr="00082CA6">
            <w:rPr>
              <w:rFonts w:eastAsia="Times New Roman" w:cs="Times New Roman"/>
              <w:sz w:val="22"/>
              <w:lang w:eastAsia="tr-TR"/>
            </w:rPr>
            <w:fldChar w:fldCharType="end"/>
          </w:r>
        </w:sdtContent>
      </w:sdt>
      <w:r w:rsidRPr="00082CA6">
        <w:rPr>
          <w:rFonts w:eastAsia="Times New Roman" w:cs="Times New Roman"/>
          <w:sz w:val="22"/>
          <w:lang w:eastAsia="tr-TR"/>
        </w:rPr>
        <w:t xml:space="preserve"> </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Birleşmiş Milletler Kalkınma Programı (UNDP) tarafından yapılan tanıma göre yönetişim; “</w:t>
      </w:r>
      <w:r w:rsidRPr="00082CA6">
        <w:rPr>
          <w:rFonts w:eastAsia="Times New Roman" w:cs="Times New Roman"/>
          <w:i/>
          <w:sz w:val="22"/>
          <w:lang w:eastAsia="tr-TR"/>
        </w:rPr>
        <w:t>kurumların uygun bir şekilde fonksiyonlarını yerine getirmelerini ve kamuoyu tarafından kabul görmelerini ve hükümetin verimliliğini ve demokratik konsensüse ulaşmayı sağlayıcı fonksiyonlarıyla işleyen ve yasallık, meşruiyet ve katılımcılık alanlarıyla ilgili olarak aktörler arasındaki çatışmaları çözmek ve kararları uygulamak için geliştirilmiş bir politika sistemi</w:t>
      </w:r>
      <w:r w:rsidRPr="00082CA6">
        <w:rPr>
          <w:rFonts w:eastAsia="Times New Roman" w:cs="Times New Roman"/>
          <w:sz w:val="22"/>
          <w:lang w:eastAsia="tr-TR"/>
        </w:rPr>
        <w:t xml:space="preserve">” olarak farklı boyutlarda tanımlanmışlardır. </w:t>
      </w:r>
      <w:sdt>
        <w:sdtPr>
          <w:rPr>
            <w:rFonts w:eastAsia="Times New Roman" w:cs="Times New Roman"/>
            <w:sz w:val="22"/>
            <w:lang w:eastAsia="tr-TR"/>
          </w:rPr>
          <w:id w:val="-1163457069"/>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Jer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(Hyman, Ericson, &amp; Baranic, 2014)</w:t>
          </w:r>
          <w:r w:rsidRPr="00082CA6">
            <w:rPr>
              <w:rFonts w:eastAsia="Times New Roman" w:cs="Times New Roman"/>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 New Roman" w:cs="Times New Roman"/>
          <w:i/>
          <w:sz w:val="22"/>
          <w:lang w:eastAsia="tr-TR"/>
        </w:rPr>
      </w:pPr>
      <w:r w:rsidRPr="00082CA6">
        <w:rPr>
          <w:rFonts w:eastAsia="Times New Roman" w:cs="Times New Roman"/>
          <w:sz w:val="22"/>
          <w:lang w:eastAsia="tr-TR"/>
        </w:rPr>
        <w:tab/>
        <w:t xml:space="preserve">Yönetişim paradigması sadece BM, Dünya Bankası ve IMF gibi gelişmiş merkez ülkelerinin etkin olduğu </w:t>
      </w:r>
      <w:proofErr w:type="spellStart"/>
      <w:r w:rsidRPr="00082CA6">
        <w:rPr>
          <w:rFonts w:eastAsia="Times New Roman" w:cs="Times New Roman"/>
          <w:sz w:val="22"/>
          <w:lang w:eastAsia="tr-TR"/>
        </w:rPr>
        <w:t>uluslarüstü</w:t>
      </w:r>
      <w:proofErr w:type="spellEnd"/>
      <w:r w:rsidRPr="00082CA6">
        <w:rPr>
          <w:rFonts w:eastAsia="Times New Roman" w:cs="Times New Roman"/>
          <w:sz w:val="22"/>
          <w:lang w:eastAsia="tr-TR"/>
        </w:rPr>
        <w:t xml:space="preserve"> kuruluşlar tarafından değil, aynı zamanda gelişmekte olan ve İslam birliğini hedefleyen uluslararası kuruluşlar tarafından da temel referans noktası olarak alındığı görülmektedir. Örneğin, ISEDAK tarafından hazırlanan COMCEC strateji belgesinde ise yönetişim ve iyi yönetişim şu şekilde tanımlanmaktadır: “</w:t>
      </w:r>
      <w:r w:rsidRPr="00082CA6">
        <w:rPr>
          <w:rFonts w:eastAsia="Times New Roman" w:cs="Times New Roman"/>
          <w:i/>
          <w:sz w:val="22"/>
          <w:lang w:eastAsia="tr-TR"/>
        </w:rPr>
        <w:t>yönetişim, bir ülkenin kendi kaynakları ve işlerinin yürütüldüğü süreç ve yapılardır. İyi yönetişim ise, normatif bir yaklaşım olup, yönetişime ek olarak etkinlik, şeffaflık, öngörülebilirlik, hesap verebilirlik, kapsayıcılık ve duyarlılık gibi yönetişim ilkeleriyle donatılmıştır ki, bir ülkenin ekonomik performansını da etkilemekte hayati önemi haizdirler.”</w:t>
      </w:r>
      <w:sdt>
        <w:sdtPr>
          <w:rPr>
            <w:rFonts w:eastAsia="Times New Roman" w:cs="Times New Roman"/>
            <w:i/>
            <w:sz w:val="22"/>
            <w:lang w:eastAsia="tr-TR"/>
          </w:rPr>
          <w:id w:val="1519741866"/>
          <w:citation/>
        </w:sdtPr>
        <w:sdtEndPr/>
        <w:sdtContent>
          <w:r w:rsidRPr="00082CA6">
            <w:rPr>
              <w:rFonts w:eastAsia="Times New Roman" w:cs="Times New Roman"/>
              <w:i/>
              <w:sz w:val="22"/>
              <w:lang w:eastAsia="tr-TR"/>
            </w:rPr>
            <w:fldChar w:fldCharType="begin"/>
          </w:r>
          <w:r w:rsidRPr="00082CA6">
            <w:rPr>
              <w:rFonts w:eastAsia="Times New Roman" w:cs="Times New Roman"/>
              <w:sz w:val="22"/>
              <w:lang w:eastAsia="tr-TR"/>
            </w:rPr>
            <w:instrText xml:space="preserve">CITATION COM12 \p 5 \l 1055 </w:instrText>
          </w:r>
          <w:r w:rsidRPr="00082CA6">
            <w:rPr>
              <w:rFonts w:eastAsia="Times New Roman" w:cs="Times New Roman"/>
              <w:i/>
              <w:sz w:val="22"/>
              <w:lang w:eastAsia="tr-TR"/>
            </w:rPr>
            <w:fldChar w:fldCharType="separate"/>
          </w:r>
          <w:r w:rsidRPr="00082CA6">
            <w:rPr>
              <w:rFonts w:eastAsia="Times New Roman" w:cs="Times New Roman"/>
              <w:noProof/>
              <w:sz w:val="22"/>
              <w:lang w:eastAsia="tr-TR"/>
            </w:rPr>
            <w:t xml:space="preserve"> (COMCEC, 2012, s. 5)</w:t>
          </w:r>
          <w:r w:rsidRPr="00082CA6">
            <w:rPr>
              <w:rFonts w:eastAsia="Times New Roman" w:cs="Times New Roman"/>
              <w:i/>
              <w:sz w:val="22"/>
              <w:lang w:eastAsia="tr-TR"/>
            </w:rPr>
            <w:fldChar w:fldCharType="end"/>
          </w:r>
        </w:sdtContent>
      </w:sdt>
      <w:r w:rsidRPr="00082CA6">
        <w:rPr>
          <w:rFonts w:eastAsia="Times New Roman" w:cs="Times New Roman"/>
          <w:i/>
          <w:sz w:val="22"/>
          <w:lang w:eastAsia="tr-TR"/>
        </w:rPr>
        <w:t xml:space="preserve"> </w:t>
      </w:r>
    </w:p>
    <w:p w:rsidR="00082CA6" w:rsidRPr="00082CA6" w:rsidRDefault="00082CA6" w:rsidP="00082CA6">
      <w:pPr>
        <w:tabs>
          <w:tab w:val="left" w:pos="709"/>
        </w:tabs>
        <w:suppressAutoHyphens/>
        <w:spacing w:before="0" w:after="120" w:line="240" w:lineRule="auto"/>
        <w:ind w:firstLine="709"/>
        <w:jc w:val="both"/>
        <w:rPr>
          <w:rFonts w:eastAsia="Times New Roman" w:cs="Times New Roman"/>
          <w:bCs/>
          <w:sz w:val="22"/>
          <w:lang w:eastAsia="tr-TR"/>
        </w:rPr>
      </w:pPr>
      <w:r w:rsidRPr="00082CA6">
        <w:rPr>
          <w:rFonts w:eastAsia="Times New Roman" w:cs="Times New Roman"/>
          <w:sz w:val="22"/>
          <w:lang w:eastAsia="tr-TR"/>
        </w:rPr>
        <w:tab/>
        <w:t>Kısacası, kendini "</w:t>
      </w:r>
      <w:r w:rsidRPr="00082CA6">
        <w:rPr>
          <w:rFonts w:eastAsia="Times New Roman" w:cs="Times New Roman"/>
          <w:i/>
          <w:sz w:val="22"/>
          <w:lang w:eastAsia="tr-TR"/>
        </w:rPr>
        <w:t>yönetişim</w:t>
      </w:r>
      <w:r w:rsidRPr="00082CA6">
        <w:rPr>
          <w:rFonts w:eastAsia="Times New Roman" w:cs="Times New Roman"/>
          <w:sz w:val="22"/>
          <w:lang w:eastAsia="tr-TR"/>
        </w:rPr>
        <w:t xml:space="preserve">" sözcüğü ile betimleyen ve temel ilkelerini şeffaflık, katılımcılık, hesap verebilirlik, hukukun üstünlüğü, yargı bağımsızlığı, etkinlik ve stratejik vizyon olarak farklı biçimlerde gösteren bu paradigma çeşitli </w:t>
      </w:r>
      <w:r w:rsidRPr="00082CA6">
        <w:rPr>
          <w:rFonts w:eastAsia="Times New Roman" w:cs="Times New Roman"/>
          <w:bCs/>
          <w:sz w:val="22"/>
          <w:lang w:eastAsia="tr-TR"/>
        </w:rPr>
        <w:t>standartlara göre de değişebilmektedir. Örneğin, uluslararası iç denetim standartlarına</w:t>
      </w:r>
      <w:r w:rsidRPr="00082CA6">
        <w:rPr>
          <w:rFonts w:eastAsia="Times New Roman" w:cs="Times New Roman"/>
          <w:bCs/>
          <w:sz w:val="22"/>
          <w:vertAlign w:val="superscript"/>
          <w:lang w:eastAsia="tr-TR"/>
        </w:rPr>
        <w:footnoteReference w:id="2"/>
      </w:r>
      <w:r w:rsidRPr="00082CA6">
        <w:rPr>
          <w:rFonts w:eastAsia="Times New Roman" w:cs="Times New Roman"/>
          <w:bCs/>
          <w:sz w:val="22"/>
          <w:lang w:eastAsia="tr-TR"/>
        </w:rPr>
        <w:t xml:space="preserve"> göre, iç denetim ve kurumsal katma değerin elde edilmesi noktasından ele alınmakta ve kurumsal ölçekte yönetişim amaçlarını aşağıdaki şekillerde ifade edilmektedir:</w:t>
      </w:r>
    </w:p>
    <w:p w:rsidR="00082CA6" w:rsidRPr="00082CA6" w:rsidRDefault="00082CA6" w:rsidP="00082CA6">
      <w:pPr>
        <w:tabs>
          <w:tab w:val="left" w:pos="709"/>
        </w:tabs>
        <w:suppressAutoHyphens/>
        <w:spacing w:before="0" w:after="120" w:line="240" w:lineRule="auto"/>
        <w:ind w:left="708"/>
        <w:jc w:val="both"/>
        <w:rPr>
          <w:rFonts w:eastAsia="Times New Roman" w:cs="Times New Roman"/>
          <w:bCs/>
          <w:i/>
          <w:sz w:val="22"/>
          <w:lang w:eastAsia="tr-TR"/>
        </w:rPr>
      </w:pPr>
      <w:r w:rsidRPr="00082CA6">
        <w:rPr>
          <w:rFonts w:eastAsia="Times New Roman" w:cs="Times New Roman"/>
          <w:bCs/>
          <w:i/>
          <w:sz w:val="22"/>
          <w:lang w:eastAsia="tr-TR"/>
        </w:rPr>
        <w:t>•İdare içinde gerekli etik değerlerin geliştirilmesi,</w:t>
      </w:r>
    </w:p>
    <w:p w:rsidR="00082CA6" w:rsidRPr="00082CA6" w:rsidRDefault="00082CA6" w:rsidP="00082CA6">
      <w:pPr>
        <w:tabs>
          <w:tab w:val="left" w:pos="709"/>
        </w:tabs>
        <w:suppressAutoHyphens/>
        <w:spacing w:before="0" w:after="120" w:line="240" w:lineRule="auto"/>
        <w:ind w:left="708"/>
        <w:jc w:val="both"/>
        <w:rPr>
          <w:rFonts w:eastAsia="Times New Roman" w:cs="Times New Roman"/>
          <w:bCs/>
          <w:i/>
          <w:sz w:val="22"/>
          <w:lang w:eastAsia="tr-TR"/>
        </w:rPr>
      </w:pPr>
      <w:r w:rsidRPr="00082CA6">
        <w:rPr>
          <w:rFonts w:eastAsia="Times New Roman" w:cs="Times New Roman"/>
          <w:bCs/>
          <w:i/>
          <w:sz w:val="22"/>
          <w:lang w:eastAsia="tr-TR"/>
        </w:rPr>
        <w:t>•Etkili bir kurumsal performans yönetiminin ve hesap verebilirliğin sağlanması,</w:t>
      </w:r>
    </w:p>
    <w:p w:rsidR="00082CA6" w:rsidRPr="00082CA6" w:rsidRDefault="00082CA6" w:rsidP="00082CA6">
      <w:pPr>
        <w:tabs>
          <w:tab w:val="left" w:pos="709"/>
        </w:tabs>
        <w:suppressAutoHyphens/>
        <w:spacing w:before="0" w:after="120" w:line="240" w:lineRule="auto"/>
        <w:ind w:left="708"/>
        <w:jc w:val="both"/>
        <w:rPr>
          <w:rFonts w:eastAsia="Times New Roman" w:cs="Times New Roman"/>
          <w:bCs/>
          <w:i/>
          <w:sz w:val="22"/>
          <w:lang w:eastAsia="tr-TR"/>
        </w:rPr>
      </w:pPr>
      <w:r w:rsidRPr="00082CA6">
        <w:rPr>
          <w:rFonts w:eastAsia="Times New Roman" w:cs="Times New Roman"/>
          <w:bCs/>
          <w:i/>
          <w:sz w:val="22"/>
          <w:lang w:eastAsia="tr-TR"/>
        </w:rPr>
        <w:t>•Risk ve kontrol bilgilerinin idarenin ilgili alanlarına iletilmesi,</w:t>
      </w:r>
    </w:p>
    <w:p w:rsidR="00082CA6" w:rsidRPr="00082CA6" w:rsidRDefault="00082CA6" w:rsidP="00082CA6">
      <w:pPr>
        <w:tabs>
          <w:tab w:val="left" w:pos="709"/>
        </w:tabs>
        <w:suppressAutoHyphens/>
        <w:spacing w:before="0" w:after="120" w:line="240" w:lineRule="auto"/>
        <w:ind w:left="708"/>
        <w:jc w:val="both"/>
        <w:rPr>
          <w:rFonts w:eastAsia="Times New Roman" w:cs="Times New Roman"/>
          <w:bCs/>
          <w:i/>
          <w:sz w:val="22"/>
          <w:lang w:eastAsia="tr-TR"/>
        </w:rPr>
      </w:pPr>
      <w:r w:rsidRPr="00082CA6">
        <w:rPr>
          <w:rFonts w:eastAsia="Times New Roman" w:cs="Times New Roman"/>
          <w:bCs/>
          <w:i/>
          <w:sz w:val="22"/>
          <w:lang w:eastAsia="tr-TR"/>
        </w:rPr>
        <w:t xml:space="preserve">•Üst yönetici ve üst düzey yönetim ile iç ve dış denetçilerin faaliyetleri arasında işbirliğinin ve bunlar arasında gerekli bilgilerin paylaşımının sağlanması. </w:t>
      </w:r>
      <w:sdt>
        <w:sdtPr>
          <w:rPr>
            <w:rFonts w:eastAsia="Times New Roman" w:cs="Times New Roman"/>
            <w:bCs/>
            <w:i/>
            <w:sz w:val="22"/>
            <w:lang w:eastAsia="tr-TR"/>
          </w:rPr>
          <w:id w:val="-1291738920"/>
          <w:citation/>
        </w:sdtPr>
        <w:sdtEndPr/>
        <w:sdtContent>
          <w:r w:rsidRPr="00082CA6">
            <w:rPr>
              <w:rFonts w:eastAsia="Times New Roman" w:cs="Times New Roman"/>
              <w:bCs/>
              <w:i/>
              <w:sz w:val="22"/>
              <w:lang w:eastAsia="tr-TR"/>
            </w:rPr>
            <w:fldChar w:fldCharType="begin"/>
          </w:r>
          <w:r w:rsidRPr="00082CA6">
            <w:rPr>
              <w:rFonts w:eastAsia="Times New Roman" w:cs="Times New Roman"/>
              <w:bCs/>
              <w:i/>
              <w:sz w:val="22"/>
              <w:lang w:eastAsia="tr-TR"/>
            </w:rPr>
            <w:instrText xml:space="preserve"> CITATION IDK11 \l 1055 </w:instrText>
          </w:r>
          <w:r w:rsidRPr="00082CA6">
            <w:rPr>
              <w:rFonts w:eastAsia="Times New Roman" w:cs="Times New Roman"/>
              <w:bCs/>
              <w:i/>
              <w:sz w:val="22"/>
              <w:lang w:eastAsia="tr-TR"/>
            </w:rPr>
            <w:fldChar w:fldCharType="separate"/>
          </w:r>
          <w:r w:rsidRPr="00082CA6">
            <w:rPr>
              <w:rFonts w:eastAsia="Times New Roman" w:cs="Times New Roman"/>
              <w:noProof/>
              <w:sz w:val="22"/>
              <w:lang w:eastAsia="tr-TR"/>
            </w:rPr>
            <w:t>(IDKK, 2011)</w:t>
          </w:r>
          <w:r w:rsidRPr="00082CA6">
            <w:rPr>
              <w:rFonts w:eastAsia="Times New Roman" w:cs="Times New Roman"/>
              <w:bCs/>
              <w:i/>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 New Roman" w:cs="Times New Roman"/>
          <w:bCs/>
          <w:sz w:val="22"/>
          <w:lang w:eastAsia="tr-TR"/>
        </w:rPr>
      </w:pPr>
      <w:r w:rsidRPr="00082CA6">
        <w:rPr>
          <w:rFonts w:eastAsia="Times New Roman" w:cs="Times New Roman"/>
          <w:bCs/>
          <w:sz w:val="22"/>
          <w:lang w:eastAsia="tr-TR"/>
        </w:rPr>
        <w:tab/>
        <w:t xml:space="preserve">Görüldüğü üzere, yönetişimin tek bir tanımı olmayıp, farklı standartlar ve kurumların farklı şekilde tarifleri söz konusu olabilmektedir. Bu noktada bir mecburiyet de söz konusu </w:t>
      </w:r>
      <w:r w:rsidRPr="00082CA6">
        <w:rPr>
          <w:rFonts w:eastAsia="Times New Roman" w:cs="Times New Roman"/>
          <w:bCs/>
          <w:sz w:val="22"/>
          <w:lang w:eastAsia="tr-TR"/>
        </w:rPr>
        <w:lastRenderedPageBreak/>
        <w:t xml:space="preserve">değildir. Yönetişim, küresel ölçekte kabul gören bir insanlık değeri ve demokratik toplumlara özgü bir kültür olma potansiyeli göstermektedir. </w:t>
      </w:r>
    </w:p>
    <w:p w:rsidR="00082CA6" w:rsidRPr="00082CA6" w:rsidRDefault="00082CA6" w:rsidP="00082CA6">
      <w:pPr>
        <w:tabs>
          <w:tab w:val="left" w:pos="709"/>
        </w:tabs>
        <w:suppressAutoHyphens/>
        <w:spacing w:before="0" w:after="120" w:line="240" w:lineRule="auto"/>
        <w:jc w:val="both"/>
        <w:rPr>
          <w:rFonts w:eastAsia="Times New Roman" w:cs="Times New Roman"/>
          <w:bCs/>
          <w:sz w:val="22"/>
          <w:lang w:eastAsia="tr-TR"/>
        </w:rPr>
      </w:pPr>
      <w:r w:rsidRPr="00082CA6">
        <w:rPr>
          <w:rFonts w:eastAsia="Times New Roman" w:cs="Times New Roman"/>
          <w:bCs/>
          <w:sz w:val="22"/>
          <w:lang w:eastAsia="tr-TR"/>
        </w:rPr>
        <w:tab/>
        <w:t xml:space="preserve">Dünya Bankası, Birleşmiş Milletler ve IMF gibi büyük ulus üstü kurumların 1990’lı yılların başından itibaren sistematik olarak bilgisinin üretildiği ve bu bilginin akademik disiplinleri yatay kesen bir kavram olarak hızlı bir şekilde ekonomiden </w:t>
      </w:r>
      <w:proofErr w:type="spellStart"/>
      <w:r w:rsidRPr="00082CA6">
        <w:rPr>
          <w:rFonts w:eastAsia="Times New Roman" w:cs="Times New Roman"/>
          <w:bCs/>
          <w:sz w:val="22"/>
          <w:lang w:eastAsia="tr-TR"/>
        </w:rPr>
        <w:t>soyolojiye</w:t>
      </w:r>
      <w:proofErr w:type="spellEnd"/>
      <w:r w:rsidRPr="00082CA6">
        <w:rPr>
          <w:rFonts w:eastAsia="Times New Roman" w:cs="Times New Roman"/>
          <w:bCs/>
          <w:sz w:val="22"/>
          <w:lang w:eastAsia="tr-TR"/>
        </w:rPr>
        <w:t xml:space="preserve">, siyaset biliminden uluslararası ilişkilere </w:t>
      </w:r>
      <w:sdt>
        <w:sdtPr>
          <w:rPr>
            <w:rFonts w:eastAsia="Times New Roman" w:cs="Times New Roman"/>
            <w:bCs/>
            <w:sz w:val="22"/>
            <w:lang w:eastAsia="tr-TR"/>
          </w:rPr>
          <w:id w:val="102392541"/>
          <w:citation/>
        </w:sdtPr>
        <w:sdtEndPr/>
        <w:sdtContent>
          <w:r w:rsidRPr="00082CA6">
            <w:rPr>
              <w:rFonts w:eastAsia="Times New Roman" w:cs="Times New Roman"/>
              <w:bCs/>
              <w:sz w:val="22"/>
              <w:lang w:eastAsia="tr-TR"/>
            </w:rPr>
            <w:fldChar w:fldCharType="begin"/>
          </w:r>
          <w:r w:rsidRPr="00082CA6">
            <w:rPr>
              <w:rFonts w:eastAsia="Times New Roman" w:cs="Times New Roman"/>
              <w:bCs/>
              <w:sz w:val="22"/>
              <w:lang w:eastAsia="tr-TR"/>
            </w:rPr>
            <w:instrText xml:space="preserve">CITATION Son04 \p 24 \l 1055 </w:instrText>
          </w:r>
          <w:r w:rsidRPr="00082CA6">
            <w:rPr>
              <w:rFonts w:eastAsia="Times New Roman" w:cs="Times New Roman"/>
              <w:bCs/>
              <w:sz w:val="22"/>
              <w:lang w:eastAsia="tr-TR"/>
            </w:rPr>
            <w:fldChar w:fldCharType="separate"/>
          </w:r>
          <w:r w:rsidRPr="00082CA6">
            <w:rPr>
              <w:rFonts w:eastAsia="Times New Roman" w:cs="Times New Roman"/>
              <w:noProof/>
              <w:sz w:val="22"/>
              <w:lang w:eastAsia="tr-TR"/>
            </w:rPr>
            <w:t>(Bayramoğlu, 2004, s. 24)</w:t>
          </w:r>
          <w:r w:rsidRPr="00082CA6">
            <w:rPr>
              <w:rFonts w:eastAsia="Times New Roman" w:cs="Times New Roman"/>
              <w:bCs/>
              <w:sz w:val="22"/>
              <w:lang w:eastAsia="tr-TR"/>
            </w:rPr>
            <w:fldChar w:fldCharType="end"/>
          </w:r>
        </w:sdtContent>
      </w:sdt>
      <w:r w:rsidRPr="00082CA6">
        <w:rPr>
          <w:rFonts w:eastAsia="Times New Roman" w:cs="Times New Roman"/>
          <w:bCs/>
          <w:sz w:val="22"/>
          <w:lang w:eastAsia="tr-TR"/>
        </w:rPr>
        <w:t xml:space="preserve"> ve hatta </w:t>
      </w:r>
      <w:proofErr w:type="spellStart"/>
      <w:r w:rsidRPr="00082CA6">
        <w:rPr>
          <w:rFonts w:eastAsia="Times New Roman" w:cs="Times New Roman"/>
          <w:bCs/>
          <w:sz w:val="22"/>
          <w:lang w:eastAsia="tr-TR"/>
        </w:rPr>
        <w:t>YBS’den</w:t>
      </w:r>
      <w:proofErr w:type="spellEnd"/>
      <w:r w:rsidRPr="00082CA6">
        <w:rPr>
          <w:rFonts w:eastAsia="Times New Roman" w:cs="Times New Roman"/>
          <w:bCs/>
          <w:sz w:val="22"/>
          <w:lang w:eastAsia="tr-TR"/>
        </w:rPr>
        <w:t xml:space="preserve"> işletmeciliğe kadar pek çok disiplini etkisi altına almış ve bunlardan gelen yaklaşımlarla da sürekli zenginleşmiştir. Bu çalışmada dikkat çekilen ve yönetimle ayrışmasının gerekliliği konusunda analize konu edilen yönetişim politik anlamıyla değil, kurumsal anlamıyla ele alınmaktadır. </w:t>
      </w:r>
    </w:p>
    <w:p w:rsidR="00082CA6" w:rsidRPr="00082CA6" w:rsidRDefault="00082CA6" w:rsidP="00082CA6">
      <w:pPr>
        <w:keepNext/>
        <w:keepLines/>
        <w:spacing w:before="0" w:after="120" w:line="240" w:lineRule="auto"/>
        <w:jc w:val="both"/>
        <w:outlineLvl w:val="1"/>
        <w:rPr>
          <w:rFonts w:eastAsia="Times New Roman" w:cs="Times New Roman"/>
          <w:b/>
          <w:bCs/>
          <w:caps/>
          <w:sz w:val="22"/>
          <w:lang w:eastAsia="tr-TR"/>
        </w:rPr>
      </w:pPr>
      <w:bookmarkStart w:id="6" w:name="_Toc421783712"/>
      <w:r w:rsidRPr="00082CA6">
        <w:rPr>
          <w:rFonts w:eastAsia="Times New Roman" w:cs="Times New Roman"/>
          <w:b/>
          <w:bCs/>
          <w:sz w:val="22"/>
          <w:lang w:eastAsia="tr-TR"/>
        </w:rPr>
        <w:t>Kurumsal Yönetişim</w:t>
      </w:r>
      <w:bookmarkEnd w:id="6"/>
      <w:r w:rsidRPr="00082CA6">
        <w:rPr>
          <w:rFonts w:eastAsia="Times New Roman" w:cs="Times New Roman"/>
          <w:b/>
          <w:bCs/>
          <w:caps/>
          <w:sz w:val="22"/>
          <w:lang w:eastAsia="tr-TR"/>
        </w:rPr>
        <w:tab/>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Türkçe ifadesiyle “</w:t>
      </w:r>
      <w:r w:rsidRPr="00082CA6">
        <w:rPr>
          <w:rFonts w:eastAsia="Times New Roman" w:cs="Times New Roman"/>
          <w:i/>
          <w:sz w:val="22"/>
          <w:lang w:eastAsia="tr-TR"/>
        </w:rPr>
        <w:t xml:space="preserve">Kurumsal </w:t>
      </w:r>
      <w:proofErr w:type="spellStart"/>
      <w:r w:rsidRPr="00082CA6">
        <w:rPr>
          <w:rFonts w:eastAsia="Times New Roman" w:cs="Times New Roman"/>
          <w:i/>
          <w:sz w:val="22"/>
          <w:lang w:eastAsia="tr-TR"/>
        </w:rPr>
        <w:t>Yönetişim</w:t>
      </w:r>
      <w:r w:rsidRPr="00082CA6">
        <w:rPr>
          <w:rFonts w:eastAsia="Times New Roman" w:cs="Times New Roman"/>
          <w:sz w:val="22"/>
          <w:lang w:eastAsia="tr-TR"/>
        </w:rPr>
        <w:t>”in</w:t>
      </w:r>
      <w:proofErr w:type="spellEnd"/>
      <w:r w:rsidRPr="00082CA6">
        <w:rPr>
          <w:rFonts w:eastAsia="Times New Roman" w:cs="Times New Roman"/>
          <w:sz w:val="22"/>
          <w:lang w:eastAsia="tr-TR"/>
        </w:rPr>
        <w:t xml:space="preserve"> tek bir tanımı mevcut olmayıp, farklı şekillerde yorumlanabilmektedir. Genel olarak “kurumsal yönetişim” kavramının; adil, saydam, hesap verme ve sorumluluklar başta olmak üzere tüm kuralların iyi tanımlandığı kurumsal verimliliğin artırılmasına yönelik bir anlayış </w:t>
      </w:r>
      <w:sdt>
        <w:sdtPr>
          <w:rPr>
            <w:rFonts w:eastAsia="Times New Roman" w:cs="Times New Roman"/>
            <w:sz w:val="22"/>
            <w:lang w:eastAsia="tr-TR"/>
          </w:rPr>
          <w:id w:val="304740266"/>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Ali03 \p 1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(TEKİN, 2003, s. 1)</w:t>
          </w:r>
          <w:r w:rsidRPr="00082CA6">
            <w:rPr>
              <w:rFonts w:eastAsia="Times New Roman" w:cs="Times New Roman"/>
              <w:sz w:val="22"/>
              <w:lang w:eastAsia="tr-TR"/>
            </w:rPr>
            <w:fldChar w:fldCharType="end"/>
          </w:r>
        </w:sdtContent>
      </w:sdt>
      <w:r w:rsidRPr="00082CA6">
        <w:rPr>
          <w:rFonts w:eastAsia="Times New Roman" w:cs="Times New Roman"/>
          <w:sz w:val="22"/>
          <w:lang w:eastAsia="tr-TR"/>
        </w:rPr>
        <w:t xml:space="preserve"> ve bu anlayışın yansıtıldığı kurumsal yapı ve ilişkiler bütünü olduğu söylenebilir. Bu bağlamda yönetişim/kurumsal yönetişim yalnızca özel sektörü değil, kamusal alanı da kapsayan bir olgudur.</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COBIT-5 standardı tarafından kurumsal yönetişim şu şekilde tanımlanmaktadır: “</w:t>
      </w:r>
      <w:r w:rsidRPr="00082CA6">
        <w:rPr>
          <w:rFonts w:eastAsia="Times New Roman" w:cs="Times New Roman"/>
          <w:i/>
          <w:iCs/>
          <w:sz w:val="22"/>
          <w:lang w:eastAsia="tr-TR"/>
        </w:rPr>
        <w:t xml:space="preserve">Yönetişim, ulaşılmak istenen dengeli ve üzerinde anlaşılmış kurumsal amaçların belirlenmesinde, paydaş ihtiyaçlarının, koşullarının ve seçeneklerinin değerlendirildiğini garanti altına alır; </w:t>
      </w:r>
      <w:proofErr w:type="spellStart"/>
      <w:r w:rsidRPr="00082CA6">
        <w:rPr>
          <w:rFonts w:eastAsia="Times New Roman" w:cs="Times New Roman"/>
          <w:i/>
          <w:iCs/>
          <w:sz w:val="22"/>
          <w:lang w:eastAsia="tr-TR"/>
        </w:rPr>
        <w:t>önceliklendirme</w:t>
      </w:r>
      <w:proofErr w:type="spellEnd"/>
      <w:r w:rsidRPr="00082CA6">
        <w:rPr>
          <w:rFonts w:eastAsia="Times New Roman" w:cs="Times New Roman"/>
          <w:i/>
          <w:iCs/>
          <w:sz w:val="22"/>
          <w:lang w:eastAsia="tr-TR"/>
        </w:rPr>
        <w:t xml:space="preserve"> ve karar verme aracılığıyla yön belirler; üzerinde anlaşılmış yön ve amaçlara karşı performansı ve uyumluluğu izler.”</w:t>
      </w:r>
      <w:sdt>
        <w:sdtPr>
          <w:rPr>
            <w:rFonts w:eastAsia="Times New Roman" w:cs="Times New Roman"/>
            <w:i/>
            <w:iCs/>
            <w:sz w:val="22"/>
            <w:lang w:eastAsia="tr-TR"/>
          </w:rPr>
          <w:id w:val="-1014678165"/>
          <w:citation/>
        </w:sdtPr>
        <w:sdtEndPr/>
        <w:sdtContent>
          <w:r w:rsidRPr="00082CA6">
            <w:rPr>
              <w:rFonts w:eastAsia="Times New Roman" w:cs="Times New Roman"/>
              <w:i/>
              <w:iCs/>
              <w:sz w:val="22"/>
              <w:lang w:eastAsia="tr-TR"/>
            </w:rPr>
            <w:fldChar w:fldCharType="begin"/>
          </w:r>
          <w:r w:rsidRPr="00082CA6">
            <w:rPr>
              <w:rFonts w:eastAsia="Times New Roman" w:cs="Times New Roman"/>
              <w:i/>
              <w:iCs/>
              <w:sz w:val="22"/>
              <w:lang w:eastAsia="tr-TR"/>
            </w:rPr>
            <w:instrText xml:space="preserve">CITATION ISA2a \p 13 \l 1055 </w:instrText>
          </w:r>
          <w:r w:rsidRPr="00082CA6">
            <w:rPr>
              <w:rFonts w:eastAsia="Times New Roman" w:cs="Times New Roman"/>
              <w:i/>
              <w:iCs/>
              <w:sz w:val="22"/>
              <w:lang w:eastAsia="tr-TR"/>
            </w:rPr>
            <w:fldChar w:fldCharType="separate"/>
          </w:r>
          <w:r w:rsidRPr="00082CA6">
            <w:rPr>
              <w:rFonts w:eastAsia="Times New Roman" w:cs="Times New Roman"/>
              <w:i/>
              <w:iCs/>
              <w:noProof/>
              <w:sz w:val="22"/>
              <w:lang w:eastAsia="tr-TR"/>
            </w:rPr>
            <w:t xml:space="preserve"> </w:t>
          </w:r>
          <w:r w:rsidRPr="00082CA6">
            <w:rPr>
              <w:rFonts w:eastAsia="Times New Roman" w:cs="Times New Roman"/>
              <w:noProof/>
              <w:sz w:val="22"/>
              <w:lang w:eastAsia="tr-TR"/>
            </w:rPr>
            <w:t>(ISACA., 2012a, s. 13)</w:t>
          </w:r>
          <w:r w:rsidRPr="00082CA6">
            <w:rPr>
              <w:rFonts w:eastAsia="Times New Roman" w:cs="Times New Roman"/>
              <w:i/>
              <w:iCs/>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COBIT-5 standardı tarafından da özellikle üzerinde durulan kurumsal yönetişim, son on yıl içerisinde ciddi akademik araştırmalara konu edilmiş olmasına rağmen evrensel olarak kabul edilebilecek bir tanımlamasının hale mevcut olmadığı söylenebilir. Örneğin, </w:t>
      </w:r>
      <w:proofErr w:type="spellStart"/>
      <w:r w:rsidRPr="00082CA6">
        <w:rPr>
          <w:rFonts w:eastAsia="Times New Roman" w:cs="Times New Roman"/>
          <w:sz w:val="22"/>
          <w:lang w:eastAsia="tr-TR"/>
        </w:rPr>
        <w:t>Brickley</w:t>
      </w:r>
      <w:proofErr w:type="spellEnd"/>
      <w:r w:rsidRPr="00082CA6">
        <w:rPr>
          <w:rFonts w:eastAsia="Times New Roman" w:cs="Times New Roman"/>
          <w:sz w:val="22"/>
          <w:lang w:eastAsia="tr-TR"/>
        </w:rPr>
        <w:t xml:space="preserve"> ve </w:t>
      </w:r>
      <w:proofErr w:type="spellStart"/>
      <w:r w:rsidRPr="00082CA6">
        <w:rPr>
          <w:rFonts w:eastAsia="Times New Roman" w:cs="Times New Roman"/>
          <w:sz w:val="22"/>
          <w:lang w:eastAsia="tr-TR"/>
        </w:rPr>
        <w:t>Zimmerman</w:t>
      </w:r>
      <w:proofErr w:type="spellEnd"/>
      <w:r w:rsidRPr="00082CA6">
        <w:rPr>
          <w:rFonts w:eastAsia="Times New Roman" w:cs="Times New Roman"/>
          <w:sz w:val="22"/>
          <w:lang w:eastAsia="tr-TR"/>
        </w:rPr>
        <w:t xml:space="preserve"> kurumsal yönetişimi genel olarak; “</w:t>
      </w:r>
      <w:r w:rsidRPr="00082CA6">
        <w:rPr>
          <w:rFonts w:eastAsia="Times New Roman" w:cs="Times New Roman"/>
          <w:i/>
          <w:sz w:val="22"/>
          <w:lang w:eastAsia="tr-TR"/>
        </w:rPr>
        <w:t>hukuk, düzenlemeler, kurumlar, piyasalar, sözleşmeler ve kurumsal politika ve prosedürlerden oluşan kurumların üst yönetiminin ve karar organlarının eylemlerini yönlendiren ve etkileyen sistemler bütünü</w:t>
      </w:r>
      <w:r w:rsidRPr="00082CA6">
        <w:rPr>
          <w:rFonts w:eastAsia="Times New Roman" w:cs="Times New Roman"/>
          <w:sz w:val="22"/>
          <w:lang w:eastAsia="tr-TR"/>
        </w:rPr>
        <w:t xml:space="preserve">” şeklinde tanımlamakta; </w:t>
      </w:r>
      <w:proofErr w:type="spellStart"/>
      <w:r w:rsidRPr="00082CA6">
        <w:rPr>
          <w:rFonts w:eastAsia="Times New Roman" w:cs="Times New Roman"/>
          <w:sz w:val="22"/>
          <w:lang w:eastAsia="tr-TR"/>
        </w:rPr>
        <w:t>Clarke</w:t>
      </w:r>
      <w:proofErr w:type="spellEnd"/>
      <w:r w:rsidRPr="00082CA6">
        <w:rPr>
          <w:rFonts w:eastAsia="Times New Roman" w:cs="Times New Roman"/>
          <w:sz w:val="22"/>
          <w:lang w:eastAsia="tr-TR"/>
        </w:rPr>
        <w:t>, benzer bir yaklaşımla, “</w:t>
      </w:r>
      <w:r w:rsidRPr="00082CA6">
        <w:rPr>
          <w:rFonts w:eastAsia="Times New Roman" w:cs="Times New Roman"/>
          <w:i/>
          <w:sz w:val="22"/>
          <w:lang w:eastAsia="tr-TR"/>
        </w:rPr>
        <w:t>kurumların neler yapabileceğini, kimler tarafından nasıl kontrol edileceğini ve kurumsal eylemlerinin riskleri ve getirisinin nasıl tahsis edileceğini belirleyen yasal, kültürel ve kurumsal düzenlemeler bütünü</w:t>
      </w:r>
      <w:r w:rsidRPr="00082CA6">
        <w:rPr>
          <w:rFonts w:eastAsia="Times New Roman" w:cs="Times New Roman"/>
          <w:sz w:val="22"/>
          <w:lang w:eastAsia="tr-TR"/>
        </w:rPr>
        <w:t>” şeklinde tanımlanmakta ve Solomon ise “</w:t>
      </w:r>
      <w:r w:rsidRPr="00082CA6">
        <w:rPr>
          <w:rFonts w:eastAsia="Times New Roman" w:cs="Times New Roman"/>
          <w:i/>
          <w:sz w:val="22"/>
          <w:lang w:eastAsia="tr-TR"/>
        </w:rPr>
        <w:t>kurumların hesap verebilirliklerini tüm paydaşlar nezdinde tamamlayan ve faaliyetlerinde sosyal sorumluluğu dikkate almalarını güvenceye alan iç dış kontrol ve denge mekanizması</w:t>
      </w:r>
      <w:r w:rsidRPr="00082CA6">
        <w:rPr>
          <w:rFonts w:eastAsia="Times New Roman" w:cs="Times New Roman"/>
          <w:sz w:val="22"/>
          <w:lang w:eastAsia="tr-TR"/>
        </w:rPr>
        <w:t xml:space="preserve">” olarak tanımlamıştır. </w:t>
      </w:r>
      <w:sdt>
        <w:sdtPr>
          <w:rPr>
            <w:rFonts w:eastAsia="Times New Roman" w:cs="Times New Roman"/>
            <w:sz w:val="22"/>
            <w:lang w:eastAsia="tr-TR"/>
          </w:rPr>
          <w:id w:val="-707325124"/>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Suz14 \p 4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(Young &amp; Thyil, 2014, s. 4)</w:t>
          </w:r>
          <w:r w:rsidRPr="00082CA6">
            <w:rPr>
              <w:rFonts w:eastAsia="Times New Roman" w:cs="Times New Roman"/>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Kurumsal yönetişim ifadesi, kanun ve yönetmeliklerde henüz geçmemesine rağmen kanun ve yönetmelik maddeleri içerisinde kurumsal yönetişimin ilkelerinin ifade edildiği ve kurumların kurgusunun buna olanak sağlayacak şekilde yapılabildiği söylenebilir. Örneğin, 5018 sayılı Kamu Mali Kontrol ve Denetim Yasası ile başlayan süreçte, Türk kamu yönetiminin kurumsal yönetişim yönünden kapasitesinin güçlendirilmesinin hedeflendiği anılan kanunla tesis edilen ve “Kamu Kaynağının Kullanılmasının Genel Esasları” başlığı altında; hesap verebilirlik, stratejik planlama, performans yönetimi ve mali saydamlık gibi temel ilkelerin Kanun metnine yerleştirilmiş olmasından anlaşılmaktadır. </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5018 sayılı Kanunun madde gerekçelerinde belirtildiği üzere; malî saydamlık, çağdaş kamu malî yönetiminin temel ilkelerindendir. Kanunda malî saydamlığın sağlanması amacıyla dikkate alınacak ilkeler belirtilmiştir. Malî saydamlığın gerçekleştirilmesine yönelik olarak öngörülen temel mekanizmalara ise Kanunun değişik maddelerinde yer verilmiştir. Bu çerçevede, kamu kaynaklarının etkili, ekonomik ve verimli bir şekilde elde edilmesi ve kullanılması, muhasebeleştirilmesi ve raporlanmasının sağlanması, ayrıca kötüye kullanımın önlenmesi için görevli ve yetkili olanların gerekli önlemlerin alınmasından sorumlu tutulması ve yetkili kılınmış </w:t>
      </w:r>
      <w:r w:rsidRPr="00082CA6">
        <w:rPr>
          <w:rFonts w:eastAsia="Times New Roman" w:cs="Times New Roman"/>
          <w:sz w:val="22"/>
          <w:lang w:eastAsia="tr-TR"/>
        </w:rPr>
        <w:lastRenderedPageBreak/>
        <w:t>mercilere 5018 sayılı Kanun hükümleri çerçevesinde hesap vermeleri öngörülmüştür.</w:t>
      </w:r>
      <w:sdt>
        <w:sdtPr>
          <w:rPr>
            <w:rFonts w:eastAsia="Times New Roman" w:cs="Times New Roman"/>
            <w:sz w:val="22"/>
            <w:lang w:eastAsia="tr-TR"/>
          </w:rPr>
          <w:id w:val="-1603805172"/>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 CITATION TBM03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(TBMM, Kamu Mali Yönetimi ve Kontrol Yasası, 2003)</w:t>
          </w:r>
          <w:r w:rsidRPr="00082CA6">
            <w:rPr>
              <w:rFonts w:eastAsia="Times New Roman" w:cs="Times New Roman"/>
              <w:sz w:val="22"/>
              <w:lang w:eastAsia="tr-TR"/>
            </w:rPr>
            <w:fldChar w:fldCharType="end"/>
          </w:r>
        </w:sdtContent>
      </w:sdt>
    </w:p>
    <w:p w:rsidR="00082CA6" w:rsidRPr="00082CA6" w:rsidRDefault="00082CA6" w:rsidP="00082CA6">
      <w:pPr>
        <w:keepNext/>
        <w:keepLines/>
        <w:spacing w:before="0" w:after="120" w:line="240" w:lineRule="auto"/>
        <w:jc w:val="both"/>
        <w:outlineLvl w:val="1"/>
        <w:rPr>
          <w:rFonts w:eastAsia="Times New Roman" w:cs="Times New Roman"/>
          <w:b/>
          <w:bCs/>
          <w:caps/>
          <w:sz w:val="22"/>
          <w:lang w:eastAsia="tr-TR"/>
        </w:rPr>
      </w:pPr>
      <w:bookmarkStart w:id="7" w:name="_Toc421783713"/>
      <w:r w:rsidRPr="00082CA6">
        <w:rPr>
          <w:rFonts w:eastAsia="Times New Roman" w:cs="Times New Roman"/>
          <w:b/>
          <w:bCs/>
          <w:caps/>
          <w:sz w:val="22"/>
          <w:lang w:eastAsia="tr-TR"/>
        </w:rPr>
        <w:t xml:space="preserve">BT </w:t>
      </w:r>
      <w:r w:rsidRPr="00082CA6">
        <w:rPr>
          <w:rFonts w:eastAsia="Times New Roman" w:cs="Times New Roman"/>
          <w:b/>
          <w:bCs/>
          <w:sz w:val="22"/>
          <w:lang w:eastAsia="tr-TR"/>
        </w:rPr>
        <w:t>Yönetişimi</w:t>
      </w:r>
      <w:bookmarkEnd w:id="7"/>
      <w:r w:rsidRPr="00082CA6">
        <w:rPr>
          <w:rFonts w:eastAsia="Times New Roman" w:cs="Times New Roman"/>
          <w:b/>
          <w:bCs/>
          <w:caps/>
          <w:sz w:val="22"/>
          <w:lang w:eastAsia="tr-TR"/>
        </w:rPr>
        <w:tab/>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Yönetişim paradigması ile başlayan yönetişim ekolü veya </w:t>
      </w:r>
      <w:proofErr w:type="spellStart"/>
      <w:r w:rsidRPr="00082CA6">
        <w:rPr>
          <w:rFonts w:eastAsia="Times New Roman" w:cs="Times New Roman"/>
          <w:sz w:val="22"/>
          <w:lang w:eastAsia="tr-TR"/>
        </w:rPr>
        <w:t>yönetişimci</w:t>
      </w:r>
      <w:proofErr w:type="spellEnd"/>
      <w:r w:rsidRPr="00082CA6">
        <w:rPr>
          <w:rFonts w:eastAsia="Times New Roman" w:cs="Times New Roman"/>
          <w:sz w:val="22"/>
          <w:lang w:eastAsia="tr-TR"/>
        </w:rPr>
        <w:t xml:space="preserve"> akım, bilgi yönetimi ve Yönetim Bilişim Sistemleri (YBS) alanına da sızarak Bilişim Yönetişimi “</w:t>
      </w:r>
      <w:r w:rsidRPr="00082CA6">
        <w:rPr>
          <w:rFonts w:eastAsia="Times New Roman" w:cs="Times New Roman"/>
          <w:i/>
          <w:sz w:val="22"/>
          <w:lang w:eastAsia="tr-TR"/>
        </w:rPr>
        <w:t xml:space="preserve">IT </w:t>
      </w:r>
      <w:proofErr w:type="spellStart"/>
      <w:r w:rsidRPr="00082CA6">
        <w:rPr>
          <w:rFonts w:eastAsia="Times New Roman" w:cs="Times New Roman"/>
          <w:i/>
          <w:sz w:val="22"/>
          <w:lang w:eastAsia="tr-TR"/>
        </w:rPr>
        <w:t>Governance</w:t>
      </w:r>
      <w:proofErr w:type="spellEnd"/>
      <w:r w:rsidRPr="00082CA6">
        <w:rPr>
          <w:rFonts w:eastAsia="Times New Roman" w:cs="Times New Roman"/>
          <w:sz w:val="22"/>
          <w:lang w:eastAsia="tr-TR"/>
        </w:rPr>
        <w:t xml:space="preserve">” ifadesi ile kendisini tanımlamıştır.  Aşağıda daha detaylı bir şekilde ortaya konulacağı üzere, IT </w:t>
      </w:r>
      <w:proofErr w:type="spellStart"/>
      <w:r w:rsidRPr="00082CA6">
        <w:rPr>
          <w:rFonts w:eastAsia="Times New Roman" w:cs="Times New Roman"/>
          <w:sz w:val="22"/>
          <w:lang w:eastAsia="tr-TR"/>
        </w:rPr>
        <w:t>Governance</w:t>
      </w:r>
      <w:proofErr w:type="spellEnd"/>
      <w:r w:rsidRPr="00082CA6">
        <w:rPr>
          <w:rFonts w:eastAsia="Times New Roman" w:cs="Times New Roman"/>
          <w:sz w:val="22"/>
          <w:lang w:eastAsia="tr-TR"/>
        </w:rPr>
        <w:t xml:space="preserve"> </w:t>
      </w:r>
      <w:proofErr w:type="spellStart"/>
      <w:r w:rsidRPr="00082CA6">
        <w:rPr>
          <w:rFonts w:eastAsia="Times New Roman" w:cs="Times New Roman"/>
          <w:sz w:val="22"/>
          <w:lang w:eastAsia="tr-TR"/>
        </w:rPr>
        <w:t>Enstitusü</w:t>
      </w:r>
      <w:proofErr w:type="spellEnd"/>
      <w:r w:rsidRPr="00082CA6">
        <w:rPr>
          <w:rFonts w:eastAsia="Times New Roman" w:cs="Times New Roman"/>
          <w:sz w:val="22"/>
          <w:vertAlign w:val="superscript"/>
          <w:lang w:eastAsia="tr-TR"/>
        </w:rPr>
        <w:footnoteReference w:id="3"/>
      </w:r>
      <w:r w:rsidRPr="00082CA6">
        <w:rPr>
          <w:rFonts w:eastAsia="Times New Roman" w:cs="Times New Roman"/>
          <w:sz w:val="22"/>
          <w:lang w:eastAsia="tr-TR"/>
        </w:rPr>
        <w:t xml:space="preserve">  tarafından icat edilen bu yepyeni paradigma pek çok kavramı bünyesine almaya meyilli görülmektedir. </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“BT yönetişimi”, COBIT modeli üzerine bina edilmiş yeni bir yaklaşım olup,  kurumsal tüm süreçlerin elektronik ortamlarda ve elektronik tekniklerle bir biriyle uyum içerisinde olan yönetişimin kavramsal ifadesidir. Buna göre; risk yönetimi, stratejik yönetim, performans yönetimi, kaynak yönetimi ve hizmetlerin sunumu bir birinden ayrılmaz ve birbirine bağımlı tamamlayıcı süreçler olup hepsinin uyumlu yönetimine “</w:t>
      </w:r>
      <w:r w:rsidRPr="00082CA6">
        <w:rPr>
          <w:rFonts w:eastAsia="Times New Roman" w:cs="Times New Roman"/>
          <w:i/>
          <w:iCs/>
          <w:sz w:val="22"/>
          <w:lang w:eastAsia="tr-TR"/>
        </w:rPr>
        <w:t xml:space="preserve">IT </w:t>
      </w:r>
      <w:proofErr w:type="spellStart"/>
      <w:r w:rsidRPr="00082CA6">
        <w:rPr>
          <w:rFonts w:eastAsia="Times New Roman" w:cs="Times New Roman"/>
          <w:i/>
          <w:iCs/>
          <w:sz w:val="22"/>
          <w:lang w:eastAsia="tr-TR"/>
        </w:rPr>
        <w:t>Governance</w:t>
      </w:r>
      <w:proofErr w:type="spellEnd"/>
      <w:r w:rsidRPr="00082CA6">
        <w:rPr>
          <w:rFonts w:eastAsia="Times New Roman" w:cs="Times New Roman"/>
          <w:sz w:val="22"/>
          <w:lang w:eastAsia="tr-TR"/>
        </w:rPr>
        <w:t>” denilmektedir. Bu alanın sürekli yeni kavram ve ifadelerle sürekli değişim göstereceği söylenebilir.</w:t>
      </w:r>
      <w:sdt>
        <w:sdtPr>
          <w:rPr>
            <w:rFonts w:eastAsia="Times New Roman" w:cs="Times New Roman"/>
            <w:sz w:val="22"/>
            <w:lang w:eastAsia="tr-TR"/>
          </w:rPr>
          <w:id w:val="-1844925868"/>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Ahm09 \t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(Efe, Uzunay, &amp; Taşcıoğlu, 2009)</w:t>
          </w:r>
          <w:r w:rsidRPr="00082CA6">
            <w:rPr>
              <w:rFonts w:eastAsia="Times New Roman" w:cs="Times New Roman"/>
              <w:sz w:val="22"/>
              <w:lang w:eastAsia="tr-TR"/>
            </w:rPr>
            <w:fldChar w:fldCharType="end"/>
          </w:r>
        </w:sdtContent>
      </w:sdt>
      <w:r w:rsidRPr="00082CA6">
        <w:rPr>
          <w:rFonts w:eastAsia="Times New Roman" w:cs="Times New Roman"/>
          <w:sz w:val="22"/>
          <w:lang w:eastAsia="tr-TR"/>
        </w:rPr>
        <w:t xml:space="preserve"> Bilişim yönetişimi konusu da aşağıda ayrı bir paradigma yaklaşımı olarak ele alınarak detaylı bir şekilde incelenmeye çalışılmıştır. Görüldüğü gibi yeni ortaya çıkan kavramlarla nesnesi etkilenen ve sürekli yeni gelişme ve icatlara sahne olabilen yönetişim alanının sınırlarını belirlemenin bu anlamda zorlaşmakta olduğu söylenebilir. </w:t>
      </w:r>
      <w:r w:rsidRPr="00082CA6">
        <w:rPr>
          <w:rFonts w:eastAsia="Times New Roman" w:cs="Times New Roman"/>
          <w:sz w:val="22"/>
          <w:lang w:eastAsia="tr-TR"/>
        </w:rPr>
        <w:tab/>
      </w: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r w:rsidRPr="00082CA6">
        <w:rPr>
          <w:rFonts w:eastAsia="Times New Roman" w:cs="Times New Roman"/>
          <w:sz w:val="22"/>
          <w:lang w:eastAsia="tr-TR"/>
        </w:rPr>
        <w:tab/>
      </w:r>
      <w:r w:rsidRPr="00082CA6">
        <w:rPr>
          <w:rFonts w:eastAsia="TimesNewRoman" w:cs="Times New Roman"/>
          <w:sz w:val="22"/>
          <w:lang w:eastAsia="tr-TR"/>
        </w:rPr>
        <w:t>BT yönetişimi, COBIT üzerine bina edilmiş ve “</w:t>
      </w:r>
      <w:r w:rsidRPr="00082CA6">
        <w:rPr>
          <w:rFonts w:eastAsia="TimesNewRoman" w:cs="Times New Roman"/>
          <w:i/>
          <w:sz w:val="22"/>
          <w:lang w:eastAsia="tr-TR"/>
        </w:rPr>
        <w:t xml:space="preserve">IT </w:t>
      </w:r>
      <w:proofErr w:type="spellStart"/>
      <w:r w:rsidRPr="00082CA6">
        <w:rPr>
          <w:rFonts w:eastAsia="TimesNewRoman" w:cs="Times New Roman"/>
          <w:i/>
          <w:sz w:val="22"/>
          <w:lang w:eastAsia="tr-TR"/>
        </w:rPr>
        <w:t>Governance</w:t>
      </w:r>
      <w:proofErr w:type="spellEnd"/>
      <w:r w:rsidRPr="00082CA6">
        <w:rPr>
          <w:rFonts w:eastAsia="TimesNewRoman" w:cs="Times New Roman"/>
          <w:sz w:val="22"/>
          <w:lang w:eastAsia="tr-TR"/>
        </w:rPr>
        <w:t xml:space="preserve">” Enstitüsü tarafından üretilmiş yeni bir model olup bir organizasyondaki tüm süreçlerin elektronik ortamlarda ve elektronik tekniklerle bir biriyle uyum içerisinde </w:t>
      </w:r>
      <w:proofErr w:type="spellStart"/>
      <w:r w:rsidRPr="00082CA6">
        <w:rPr>
          <w:rFonts w:eastAsia="TimesNewRoman" w:cs="Times New Roman"/>
          <w:sz w:val="22"/>
          <w:lang w:eastAsia="tr-TR"/>
        </w:rPr>
        <w:t>yönetişiminin</w:t>
      </w:r>
      <w:proofErr w:type="spellEnd"/>
      <w:r w:rsidRPr="00082CA6">
        <w:rPr>
          <w:rFonts w:eastAsia="TimesNewRoman" w:cs="Times New Roman"/>
          <w:sz w:val="22"/>
          <w:lang w:eastAsia="tr-TR"/>
        </w:rPr>
        <w:t xml:space="preserve"> kavramsal ifadesidir. Buna göre risk yönetimi, stratejik yönetim, performans yönetimi, kaynak yönetimi ve hizmetlerin sunumu bir birinden ayrılmaz birbirine bağımlı tamamlayıcı süreçler olup hepsinin uyumlu yönetimine </w:t>
      </w:r>
      <w:r w:rsidRPr="00082CA6">
        <w:rPr>
          <w:rFonts w:eastAsia="TimesNewRoman" w:cs="Times New Roman"/>
          <w:i/>
          <w:sz w:val="22"/>
          <w:lang w:eastAsia="tr-TR"/>
        </w:rPr>
        <w:t xml:space="preserve">“IT </w:t>
      </w:r>
      <w:proofErr w:type="spellStart"/>
      <w:r w:rsidRPr="00082CA6">
        <w:rPr>
          <w:rFonts w:eastAsia="TimesNewRoman" w:cs="Times New Roman"/>
          <w:i/>
          <w:sz w:val="22"/>
          <w:lang w:eastAsia="tr-TR"/>
        </w:rPr>
        <w:t>Governance</w:t>
      </w:r>
      <w:proofErr w:type="spellEnd"/>
      <w:r w:rsidRPr="00082CA6">
        <w:rPr>
          <w:rFonts w:eastAsia="TimesNewRoman" w:cs="Times New Roman"/>
          <w:i/>
          <w:sz w:val="22"/>
          <w:lang w:eastAsia="tr-TR"/>
        </w:rPr>
        <w:t xml:space="preserve">” </w:t>
      </w:r>
      <w:r w:rsidRPr="00082CA6">
        <w:rPr>
          <w:rFonts w:eastAsia="TimesNewRoman" w:cs="Times New Roman"/>
          <w:sz w:val="22"/>
          <w:lang w:eastAsia="tr-TR"/>
        </w:rPr>
        <w:t>ifadesinin tercümesi olarak bilişim yönetişimi denilmektedir. Burada bilişim ile yönetişimin birleştirilmesinden farklı bir paradigma üretildiği görülmektedir.</w:t>
      </w:r>
      <w:sdt>
        <w:sdtPr>
          <w:rPr>
            <w:rFonts w:eastAsia="TimesNewRoman" w:cs="Times New Roman"/>
            <w:sz w:val="22"/>
            <w:lang w:eastAsia="tr-TR"/>
          </w:rPr>
          <w:id w:val="472653755"/>
          <w:citation/>
        </w:sdtPr>
        <w:sdtEndPr/>
        <w:sdtContent>
          <w:r w:rsidRPr="00082CA6">
            <w:rPr>
              <w:rFonts w:eastAsia="TimesNewRoman" w:cs="Times New Roman"/>
              <w:sz w:val="22"/>
              <w:lang w:eastAsia="tr-TR"/>
            </w:rPr>
            <w:fldChar w:fldCharType="begin"/>
          </w:r>
          <w:r w:rsidRPr="00082CA6">
            <w:rPr>
              <w:rFonts w:eastAsia="TimesNewRoman" w:cs="Times New Roman"/>
              <w:sz w:val="22"/>
              <w:lang w:eastAsia="tr-TR"/>
            </w:rPr>
            <w:instrText xml:space="preserve">CITATION ROB13 \p 30 \t  \l 1055 </w:instrText>
          </w:r>
          <w:r w:rsidRPr="00082CA6">
            <w:rPr>
              <w:rFonts w:eastAsia="TimesNewRoman" w:cs="Times New Roman"/>
              <w:sz w:val="22"/>
              <w:lang w:eastAsia="tr-TR"/>
            </w:rPr>
            <w:fldChar w:fldCharType="separate"/>
          </w:r>
          <w:r w:rsidRPr="00082CA6">
            <w:rPr>
              <w:rFonts w:eastAsia="TimesNewRoman" w:cs="Times New Roman"/>
              <w:noProof/>
              <w:sz w:val="22"/>
              <w:lang w:eastAsia="tr-TR"/>
            </w:rPr>
            <w:t xml:space="preserve"> (Moeller, 2013, s. 30)</w:t>
          </w:r>
          <w:r w:rsidRPr="00082CA6">
            <w:rPr>
              <w:rFonts w:eastAsia="TimesNewRoman" w:cs="Times New Roman"/>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tabs>
          <w:tab w:val="left" w:pos="709"/>
        </w:tabs>
        <w:suppressAutoHyphens/>
        <w:spacing w:before="0" w:after="120" w:line="240" w:lineRule="auto"/>
        <w:jc w:val="both"/>
        <w:rPr>
          <w:rFonts w:eastAsia="TimesNewRoman" w:cs="Times New Roman"/>
          <w:sz w:val="22"/>
          <w:lang w:eastAsia="tr-TR"/>
        </w:rPr>
      </w:pPr>
    </w:p>
    <w:p w:rsidR="00082CA6" w:rsidRPr="00082CA6" w:rsidRDefault="00082CA6" w:rsidP="00082CA6">
      <w:pPr>
        <w:keepNext/>
        <w:suppressAutoHyphens/>
        <w:spacing w:before="0" w:after="120" w:line="240" w:lineRule="auto"/>
        <w:jc w:val="both"/>
        <w:rPr>
          <w:rFonts w:eastAsia="Times New Roman" w:cs="Times New Roman"/>
          <w:bCs/>
          <w:sz w:val="22"/>
          <w:lang w:eastAsia="tr-TR"/>
        </w:rPr>
      </w:pPr>
      <w:bookmarkStart w:id="8" w:name="_Toc421787653"/>
      <w:r w:rsidRPr="00082CA6">
        <w:rPr>
          <w:rFonts w:eastAsia="Times New Roman" w:cs="Times New Roman"/>
          <w:b/>
          <w:bCs/>
          <w:sz w:val="22"/>
          <w:lang w:eastAsia="tr-TR"/>
        </w:rPr>
        <w:lastRenderedPageBreak/>
        <w:t>Şekil 1:</w:t>
      </w:r>
      <w:r w:rsidRPr="00082CA6">
        <w:rPr>
          <w:rFonts w:eastAsia="Times New Roman" w:cs="Times New Roman"/>
          <w:bCs/>
          <w:sz w:val="22"/>
          <w:lang w:eastAsia="tr-TR"/>
        </w:rPr>
        <w:t xml:space="preserve"> BT Yönetişimi</w:t>
      </w:r>
      <w:bookmarkEnd w:id="8"/>
    </w:p>
    <w:p w:rsidR="00082CA6" w:rsidRPr="00082CA6" w:rsidRDefault="00082CA6" w:rsidP="00082CA6">
      <w:pPr>
        <w:tabs>
          <w:tab w:val="left" w:pos="709"/>
        </w:tabs>
        <w:suppressAutoHyphens/>
        <w:spacing w:before="0" w:after="120" w:line="240" w:lineRule="auto"/>
        <w:jc w:val="center"/>
        <w:rPr>
          <w:rFonts w:eastAsia="TimesNewRoman" w:cs="Times New Roman"/>
          <w:sz w:val="22"/>
          <w:lang w:eastAsia="tr-TR"/>
        </w:rPr>
      </w:pPr>
      <w:r w:rsidRPr="00082CA6">
        <w:rPr>
          <w:rFonts w:eastAsia="Times New Roman" w:cs="Times New Roman"/>
          <w:noProof/>
          <w:sz w:val="22"/>
          <w:lang w:eastAsia="tr-TR"/>
        </w:rPr>
        <w:drawing>
          <wp:inline distT="0" distB="0" distL="0" distR="0" wp14:anchorId="3F8F4B10" wp14:editId="773F70A3">
            <wp:extent cx="3003547" cy="2267240"/>
            <wp:effectExtent l="0" t="0" r="698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09640" cy="2271839"/>
                    </a:xfrm>
                    <a:prstGeom prst="rect">
                      <a:avLst/>
                    </a:prstGeom>
                  </pic:spPr>
                </pic:pic>
              </a:graphicData>
            </a:graphic>
          </wp:inline>
        </w:drawing>
      </w:r>
    </w:p>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w:t>
      </w:r>
      <w:sdt>
        <w:sdtPr>
          <w:rPr>
            <w:rFonts w:eastAsia="Times New Roman" w:cs="Times New Roman"/>
            <w:sz w:val="20"/>
            <w:lang w:eastAsia="tr-TR"/>
          </w:rPr>
          <w:id w:val="-2111957835"/>
          <w:citation/>
        </w:sdtPr>
        <w:sdtEndPr/>
        <w:sdtContent>
          <w:r w:rsidRPr="00082CA6">
            <w:rPr>
              <w:rFonts w:eastAsia="Times New Roman" w:cs="Times New Roman"/>
              <w:sz w:val="20"/>
              <w:lang w:eastAsia="tr-TR"/>
            </w:rPr>
            <w:fldChar w:fldCharType="begin"/>
          </w:r>
          <w:r w:rsidRPr="00082CA6">
            <w:rPr>
              <w:rFonts w:eastAsia="Times New Roman" w:cs="Times New Roman"/>
              <w:sz w:val="20"/>
              <w:lang w:eastAsia="tr-TR"/>
            </w:rPr>
            <w:instrText xml:space="preserve"> CITATION ROB13 \l 1055 </w:instrText>
          </w:r>
          <w:r w:rsidRPr="00082CA6">
            <w:rPr>
              <w:rFonts w:eastAsia="Times New Roman" w:cs="Times New Roman"/>
              <w:sz w:val="20"/>
              <w:lang w:eastAsia="tr-TR"/>
            </w:rPr>
            <w:fldChar w:fldCharType="separate"/>
          </w:r>
          <w:r w:rsidRPr="00082CA6">
            <w:rPr>
              <w:rFonts w:eastAsia="Times New Roman" w:cs="Times New Roman"/>
              <w:noProof/>
              <w:sz w:val="20"/>
              <w:lang w:eastAsia="tr-TR"/>
            </w:rPr>
            <w:t>(Moeller, 2013)</w:t>
          </w:r>
          <w:r w:rsidRPr="00082CA6">
            <w:rPr>
              <w:rFonts w:eastAsia="Times New Roman" w:cs="Times New Roman"/>
              <w:sz w:val="20"/>
              <w:lang w:eastAsia="tr-TR"/>
            </w:rPr>
            <w:fldChar w:fldCharType="end"/>
          </w:r>
        </w:sdtContent>
      </w:sdt>
      <w:r w:rsidRPr="00082CA6">
        <w:rPr>
          <w:rFonts w:eastAsia="Times New Roman" w:cs="Times New Roman"/>
          <w:sz w:val="20"/>
          <w:lang w:eastAsia="tr-TR"/>
        </w:rPr>
        <w:t>’ den uyarlanmıştır.</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Kurumsal risk yönetimi ve katma değer elde etmede </w:t>
      </w:r>
      <w:proofErr w:type="spellStart"/>
      <w:r w:rsidRPr="00082CA6">
        <w:rPr>
          <w:rFonts w:eastAsia="Times New Roman" w:cs="Times New Roman"/>
          <w:sz w:val="22"/>
          <w:lang w:eastAsia="tr-TR"/>
        </w:rPr>
        <w:t>BT’nin</w:t>
      </w:r>
      <w:proofErr w:type="spellEnd"/>
      <w:r w:rsidRPr="00082CA6">
        <w:rPr>
          <w:rFonts w:eastAsia="Times New Roman" w:cs="Times New Roman"/>
          <w:sz w:val="22"/>
          <w:lang w:eastAsia="tr-TR"/>
        </w:rPr>
        <w:t xml:space="preserve"> merkezi rolünü dikkate aldığımızda son yirmi yıl içerisinde BT yönetişimi konusuna özel bir önem verilmektedir. BT yönetişimi kuşkusuz kurumsal yönetişimin tamamlayıcı bir parçasını teşkil etmektedir. Kurumsal BT yönetişimi, bir kurumdaki süreçlerin, yapıların ve ilişkisel mekanizmaların tanımlanmasını ve uygulanmasını ifade eder ki yönetim kurulları ile üst yönetimlerin BT yönetimi ile birlikte risk ve değer üretimi yönetimini destekleyecek şekilde sorumluluklarını yerine getirmeye olanak tanınsın.  </w:t>
      </w:r>
      <w:sdt>
        <w:sdtPr>
          <w:rPr>
            <w:rFonts w:eastAsia="Times New Roman" w:cs="Times New Roman"/>
            <w:sz w:val="22"/>
            <w:lang w:eastAsia="tr-TR"/>
          </w:rPr>
          <w:id w:val="-17936878"/>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Ste13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(Steven De Haes &amp; Roger, 2013)</w:t>
          </w:r>
          <w:r w:rsidRPr="00082CA6">
            <w:rPr>
              <w:rFonts w:eastAsia="Times New Roman" w:cs="Times New Roman"/>
              <w:sz w:val="22"/>
              <w:lang w:eastAsia="tr-TR"/>
            </w:rPr>
            <w:fldChar w:fldCharType="end"/>
          </w:r>
        </w:sdtContent>
      </w:sdt>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BT yönetişimi konsepti, yirmi yıldan beri bilinmektedir. 1990’lı yılların başlarında BT </w:t>
      </w:r>
      <w:proofErr w:type="spellStart"/>
      <w:r w:rsidRPr="00082CA6">
        <w:rPr>
          <w:rFonts w:eastAsia="Times New Roman" w:cs="Times New Roman"/>
          <w:sz w:val="22"/>
          <w:lang w:eastAsia="tr-TR"/>
        </w:rPr>
        <w:t>yönetişiminin</w:t>
      </w:r>
      <w:proofErr w:type="spellEnd"/>
      <w:r w:rsidRPr="00082CA6">
        <w:rPr>
          <w:rFonts w:eastAsia="Times New Roman" w:cs="Times New Roman"/>
          <w:sz w:val="22"/>
          <w:lang w:eastAsia="tr-TR"/>
        </w:rPr>
        <w:t xml:space="preserve"> kilit taşları akademik alanda serpilmeye başlanmıştı. Bir boyutunda BT fonksiyonlarının farklı ve birbirine alternatif organizasyonları ile bunların iş sonuçları üzerindeki etkileri incelenmişti. Başka bir boyutunda BT fonksiyonunun organizasyonu ve bunun verdiği hizmetlerin, vatandaş/paydaş/ yararlanıcı konumundaki iş birimleri arasındaki eşgüdümün yapısı ve sonuçları çalışıldı. Üçüncü bir boyutunda ise daha çok kurumsal stratejiler, BT yatırımları ve kurumsal performans arasındaki bağlantılar açıklanmaya çalışılmıştır.</w:t>
      </w:r>
      <w:sdt>
        <w:sdtPr>
          <w:rPr>
            <w:rFonts w:eastAsia="Times New Roman" w:cs="Times New Roman"/>
            <w:sz w:val="22"/>
            <w:lang w:eastAsia="tr-TR"/>
          </w:rPr>
          <w:id w:val="-1692608693"/>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Ste13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(Steven De Haes &amp; Roger, 2013)</w:t>
          </w:r>
          <w:r w:rsidRPr="00082CA6">
            <w:rPr>
              <w:rFonts w:eastAsia="Times New Roman" w:cs="Times New Roman"/>
              <w:sz w:val="22"/>
              <w:lang w:eastAsia="tr-TR"/>
            </w:rPr>
            <w:fldChar w:fldCharType="end"/>
          </w:r>
        </w:sdtContent>
      </w:sdt>
    </w:p>
    <w:p w:rsidR="00082CA6" w:rsidRPr="00082CA6" w:rsidRDefault="00082CA6" w:rsidP="00082CA6">
      <w:pPr>
        <w:keepNext/>
        <w:keepLines/>
        <w:spacing w:before="0" w:after="120" w:line="240" w:lineRule="auto"/>
        <w:jc w:val="both"/>
        <w:outlineLvl w:val="0"/>
        <w:rPr>
          <w:rFonts w:eastAsia="Times New Roman" w:cs="Times New Roman"/>
          <w:b/>
          <w:bCs/>
          <w:sz w:val="22"/>
          <w:lang w:eastAsia="tr-TR"/>
        </w:rPr>
      </w:pPr>
      <w:bookmarkStart w:id="9" w:name="OLE_LINK10"/>
      <w:bookmarkStart w:id="10" w:name="OLE_LINK9"/>
      <w:r w:rsidRPr="00082CA6">
        <w:rPr>
          <w:rFonts w:eastAsia="Times New Roman" w:cs="Times New Roman"/>
          <w:b/>
          <w:bCs/>
          <w:sz w:val="22"/>
          <w:lang w:eastAsia="tr-TR"/>
        </w:rPr>
        <w:t>YÖNETİŞİM SÜREÇLERİ</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COBIT-5 süreç referans modeli, kurumların BT yönetişim ve yönetim süreçlerini, süreç etki alanları halinde bölümlere ayrılmış halde yönetişim ve yönetim olmak üzere iki ana faaliyet alanına ayırır. Yönetişim karar mekanizmalarını ilgilendirirken yönetim kararların uygulama mekanizmasını ifade etmektedir. Bu yaklaşıma göre her ikisi birbirinden girdi almalarına rağmen ayrışık olmaları gerekir. Çünkü karar mekanizması ile uygulama mekanizması kurumsal olarak aynı amaçlara hizmet ederlerken farklı niteliklere ve süreçlere sahip olmalıdırlar.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bCs/>
          <w:sz w:val="22"/>
          <w:lang w:eastAsia="tr-TR"/>
        </w:rPr>
        <w:t xml:space="preserve">Yönetişim- </w:t>
      </w:r>
      <w:r w:rsidRPr="00082CA6">
        <w:rPr>
          <w:rFonts w:eastAsia="Times New Roman" w:cs="Times New Roman"/>
          <w:sz w:val="22"/>
          <w:lang w:eastAsia="tr-TR"/>
        </w:rPr>
        <w:t>Bu etki alanı beş yönetişim süreci içerir; her süreç dâhilinde EDM uygulamaları tanımlanır.</w:t>
      </w:r>
      <w:sdt>
        <w:sdtPr>
          <w:rPr>
            <w:rFonts w:eastAsia="Times New Roman" w:cs="Times New Roman"/>
            <w:sz w:val="22"/>
            <w:lang w:eastAsia="tr-TR"/>
          </w:rPr>
          <w:id w:val="1618875481"/>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ISA2b \t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(ISACA, 2012b)</w:t>
          </w:r>
          <w:r w:rsidRPr="00082CA6">
            <w:rPr>
              <w:rFonts w:eastAsia="Times New Roman" w:cs="Times New Roman"/>
              <w:sz w:val="22"/>
              <w:lang w:eastAsia="tr-TR"/>
            </w:rPr>
            <w:fldChar w:fldCharType="end"/>
          </w:r>
        </w:sdtContent>
      </w:sdt>
    </w:p>
    <w:p w:rsidR="00082CA6" w:rsidRPr="00082CA6" w:rsidRDefault="00082CA6" w:rsidP="00082CA6">
      <w:pPr>
        <w:spacing w:before="0" w:after="120" w:line="240" w:lineRule="auto"/>
        <w:jc w:val="both"/>
        <w:rPr>
          <w:rFonts w:eastAsia="Times New Roman" w:cs="Times New Roman"/>
          <w:bCs/>
          <w:sz w:val="22"/>
          <w:lang w:eastAsia="tr-TR"/>
        </w:rPr>
      </w:pPr>
      <w:bookmarkStart w:id="11" w:name="_Toc421787684"/>
      <w:r w:rsidRPr="00082CA6">
        <w:rPr>
          <w:rFonts w:eastAsia="Times New Roman" w:cs="Times New Roman"/>
          <w:b/>
          <w:bCs/>
          <w:sz w:val="22"/>
          <w:lang w:eastAsia="tr-TR"/>
        </w:rPr>
        <w:t>Şekil 2</w:t>
      </w:r>
      <w:r w:rsidRPr="00082CA6">
        <w:rPr>
          <w:rFonts w:eastAsia="Times New Roman" w:cs="Times New Roman"/>
          <w:b/>
          <w:bCs/>
          <w:sz w:val="22"/>
          <w:lang w:eastAsia="tr-TR"/>
        </w:rPr>
        <w:fldChar w:fldCharType="begin"/>
      </w:r>
      <w:r w:rsidRPr="00082CA6">
        <w:rPr>
          <w:rFonts w:eastAsia="Times New Roman" w:cs="Times New Roman"/>
          <w:b/>
          <w:bCs/>
          <w:sz w:val="22"/>
          <w:lang w:eastAsia="tr-TR"/>
        </w:rPr>
        <w:instrText xml:space="preserve"> SEQ Şekil \* ARABIC </w:instrText>
      </w:r>
      <w:r w:rsidRPr="00082CA6">
        <w:rPr>
          <w:rFonts w:eastAsia="Times New Roman" w:cs="Times New Roman"/>
          <w:b/>
          <w:bCs/>
          <w:sz w:val="22"/>
          <w:lang w:eastAsia="tr-TR"/>
        </w:rPr>
        <w:fldChar w:fldCharType="end"/>
      </w:r>
      <w:r w:rsidRPr="00082CA6">
        <w:rPr>
          <w:rFonts w:eastAsia="Times New Roman" w:cs="Times New Roman"/>
          <w:b/>
          <w:bCs/>
          <w:sz w:val="22"/>
          <w:lang w:eastAsia="tr-TR"/>
        </w:rPr>
        <w:t>.</w:t>
      </w:r>
      <w:r w:rsidRPr="00082CA6">
        <w:rPr>
          <w:rFonts w:eastAsia="Times New Roman" w:cs="Times New Roman"/>
          <w:bCs/>
          <w:sz w:val="22"/>
          <w:lang w:eastAsia="tr-TR"/>
        </w:rPr>
        <w:t xml:space="preserve"> COBIT-5 Yönetişim ve Yönetim Evrenlerinin Süreçlerde Ayrılması</w:t>
      </w:r>
      <w:bookmarkEnd w:id="11"/>
    </w:p>
    <w:p w:rsidR="00082CA6" w:rsidRPr="00082CA6" w:rsidRDefault="00082CA6" w:rsidP="00082CA6">
      <w:pPr>
        <w:spacing w:before="0" w:after="120" w:line="240" w:lineRule="auto"/>
        <w:jc w:val="center"/>
        <w:rPr>
          <w:rFonts w:eastAsia="Times New Roman" w:cs="Times New Roman"/>
          <w:b/>
          <w:bCs/>
          <w:sz w:val="22"/>
          <w:lang w:eastAsia="tr-TR"/>
        </w:rPr>
      </w:pPr>
      <w:r w:rsidRPr="00082CA6">
        <w:rPr>
          <w:rFonts w:eastAsia="Times New Roman" w:cs="Times New Roman"/>
          <w:b/>
          <w:bCs/>
          <w:noProof/>
          <w:sz w:val="22"/>
          <w:lang w:eastAsia="tr-TR"/>
        </w:rPr>
        <w:lastRenderedPageBreak/>
        <w:drawing>
          <wp:inline distT="0" distB="0" distL="0" distR="0" wp14:anchorId="57D11686" wp14:editId="0B59EF85">
            <wp:extent cx="2872597" cy="2920474"/>
            <wp:effectExtent l="0" t="0" r="4445" b="0"/>
            <wp:docPr id="5" name="Resim 25" descr="C:\Users\aefe\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fe\Desktop\xx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53" cy="2928360"/>
                    </a:xfrm>
                    <a:prstGeom prst="rect">
                      <a:avLst/>
                    </a:prstGeom>
                    <a:noFill/>
                    <a:ln>
                      <a:noFill/>
                    </a:ln>
                  </pic:spPr>
                </pic:pic>
              </a:graphicData>
            </a:graphic>
          </wp:inline>
        </w:drawing>
      </w:r>
    </w:p>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COBIT-5 modelinden esinlenerek araştırmacının kendi çalışmasıdır.</w:t>
      </w:r>
    </w:p>
    <w:p w:rsidR="00082CA6" w:rsidRPr="00082CA6" w:rsidRDefault="00082CA6" w:rsidP="00082CA6">
      <w:pPr>
        <w:tabs>
          <w:tab w:val="left" w:pos="709"/>
        </w:tabs>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Yönlendir, değerlendir ve izle olarak belirlenen süreçler EDM olarak bilinmekte olup her biri üçer alt süreci olan dört ana süreçten oluşan bir çerçevedir. Süreçlerin nasıl uygulanacağı ve ölçüleceğine dair inceleme ileriki kısımlarda yapılacak olup bu kısımda kavramsal olarak aşağıdaki şekilde gösterimi mümkündür. </w:t>
      </w:r>
    </w:p>
    <w:p w:rsidR="00082CA6" w:rsidRPr="00082CA6" w:rsidRDefault="00082CA6" w:rsidP="00082CA6">
      <w:pPr>
        <w:spacing w:before="0" w:after="200" w:line="276" w:lineRule="auto"/>
        <w:rPr>
          <w:rFonts w:eastAsia="Times New Roman" w:cs="Times New Roman"/>
          <w:sz w:val="22"/>
          <w:lang w:eastAsia="tr-TR"/>
        </w:rPr>
      </w:pPr>
      <w:r w:rsidRPr="00082CA6">
        <w:rPr>
          <w:rFonts w:eastAsia="Times New Roman" w:cs="Times New Roman"/>
          <w:sz w:val="22"/>
          <w:lang w:eastAsia="tr-TR"/>
        </w:rPr>
        <w:br w:type="page"/>
      </w:r>
    </w:p>
    <w:p w:rsidR="00082CA6" w:rsidRPr="00082CA6" w:rsidRDefault="00082CA6" w:rsidP="00082CA6">
      <w:pPr>
        <w:tabs>
          <w:tab w:val="left" w:pos="709"/>
        </w:tabs>
        <w:suppressAutoHyphens/>
        <w:spacing w:before="0" w:after="120" w:line="240" w:lineRule="auto"/>
        <w:jc w:val="both"/>
        <w:rPr>
          <w:rFonts w:eastAsia="Times New Roman" w:cs="Times New Roman"/>
          <w:b/>
          <w:sz w:val="22"/>
          <w:lang w:eastAsia="tr-TR"/>
        </w:rPr>
      </w:pPr>
    </w:p>
    <w:p w:rsidR="00082CA6" w:rsidRPr="00082CA6" w:rsidRDefault="00082CA6" w:rsidP="00082CA6">
      <w:pPr>
        <w:spacing w:before="0" w:after="120" w:line="240" w:lineRule="auto"/>
        <w:jc w:val="both"/>
        <w:rPr>
          <w:rFonts w:eastAsia="Times New Roman" w:cs="Times New Roman"/>
          <w:b/>
          <w:bCs/>
          <w:color w:val="2DA2BF"/>
          <w:sz w:val="22"/>
          <w:lang w:eastAsia="tr-TR"/>
        </w:rPr>
      </w:pPr>
      <w:bookmarkStart w:id="12" w:name="_Toc421787685"/>
      <w:r w:rsidRPr="00082CA6">
        <w:rPr>
          <w:rFonts w:eastAsia="Times New Roman" w:cs="Times New Roman"/>
          <w:b/>
          <w:bCs/>
          <w:sz w:val="22"/>
          <w:lang w:eastAsia="tr-TR"/>
        </w:rPr>
        <w:t>Şekil 3.</w:t>
      </w:r>
      <w:r w:rsidRPr="00082CA6">
        <w:rPr>
          <w:rFonts w:eastAsia="Times New Roman" w:cs="Times New Roman"/>
          <w:bCs/>
          <w:sz w:val="22"/>
          <w:lang w:eastAsia="tr-TR"/>
        </w:rPr>
        <w:t xml:space="preserve"> COBIT-5 Yönetişim Süreçleri Şeması</w:t>
      </w:r>
      <w:bookmarkEnd w:id="12"/>
    </w:p>
    <w:p w:rsidR="00082CA6" w:rsidRPr="00082CA6" w:rsidRDefault="00082CA6" w:rsidP="00082CA6">
      <w:pPr>
        <w:keepNext/>
        <w:tabs>
          <w:tab w:val="left" w:pos="142"/>
        </w:tabs>
        <w:suppressAutoHyphens/>
        <w:spacing w:before="0" w:after="120" w:line="240" w:lineRule="auto"/>
        <w:jc w:val="both"/>
        <w:rPr>
          <w:rFonts w:eastAsia="Times New Roman" w:cs="Times New Roman"/>
          <w:sz w:val="22"/>
          <w:lang w:eastAsia="tr-TR"/>
        </w:rPr>
      </w:pPr>
      <w:r w:rsidRPr="00082CA6">
        <w:rPr>
          <w:rFonts w:eastAsia="Times New Roman" w:cs="Times New Roman"/>
          <w:bCs/>
          <w:noProof/>
          <w:sz w:val="22"/>
          <w:lang w:eastAsia="tr-TR"/>
        </w:rPr>
        <w:drawing>
          <wp:inline distT="0" distB="0" distL="0" distR="0" wp14:anchorId="144676D1" wp14:editId="6E48FDEC">
            <wp:extent cx="4696359" cy="4959706"/>
            <wp:effectExtent l="76200" t="0" r="85725" b="0"/>
            <wp:docPr id="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COBIT-5 modelinden esinlenerek araştırmacının kendi çalışmasıdır.</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Yukarıdaki şekilden de anlaşıldığı üzere; yönetişim paradigmasının COBIT-5 ile geldiği noktada, yönetişim çerçevesi kurma ve sürdürme, yönetişim sistemini değerlendirme, yönetişim sistemini yönlendirme, liderleri bilgilendirme ve destek, ortaklık ve bağlılıklarını sağlama, yönetişim sistemini izleme, kurumun BT yönetişim etkinliği ve performansını izleme, fayda oluşturulmasını sağlama, değer optimizasyonunu değerlendirme, değer optimizasyonunu yönlendirme, değer optimizasyonunu izleme, risk optimizasyonunu sağlama, risk yönetimini değerlendirme, risk yönetimini yönlendirme, risk yönetimini izleme, kaynak optimizasyonu sağlama, kaynak yönetimini değerlendirme, kaynak yönetimini yönlendirme ve kaynak yönetimini izleme gibi süreçler yönetişim süreçleri olarak belirlenmiş ve bu süreçler mekanize teknik bilgi dâhilinde kritik faaliyetler ve Kilit Performans </w:t>
      </w:r>
      <w:proofErr w:type="spellStart"/>
      <w:r w:rsidRPr="00082CA6">
        <w:rPr>
          <w:rFonts w:eastAsia="Times New Roman" w:cs="Times New Roman"/>
          <w:sz w:val="22"/>
          <w:lang w:eastAsia="tr-TR"/>
        </w:rPr>
        <w:t>İsterleri</w:t>
      </w:r>
      <w:proofErr w:type="spellEnd"/>
      <w:r w:rsidRPr="00082CA6">
        <w:rPr>
          <w:rFonts w:eastAsia="Times New Roman" w:cs="Times New Roman"/>
          <w:sz w:val="22"/>
          <w:lang w:eastAsia="tr-TR"/>
        </w:rPr>
        <w:t xml:space="preserve"> belirlenerek oluşturulabilmektedir.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COBIT-5 çerçevesinde yönetişim ile yönetimin süreçler bağlamında birbirinden ayrıldığı görülmektedir. Bu teknik olarak süreçlerin işleyişinin profesyonel düzlemde tesis edilmesini sağlamak ve her iki sürecin girdi ve çıktılarının olabildiğince bir biriyle ilişki içerisinde ve tutarlı olmasını temin etmeye yöneliktir. </w:t>
      </w:r>
    </w:p>
    <w:p w:rsidR="00082CA6" w:rsidRPr="00082CA6" w:rsidRDefault="00082CA6" w:rsidP="00082CA6">
      <w:pPr>
        <w:spacing w:before="0" w:after="120" w:line="240" w:lineRule="auto"/>
        <w:ind w:firstLine="709"/>
        <w:jc w:val="both"/>
        <w:rPr>
          <w:rFonts w:eastAsia="TimesNewRoman" w:cs="Times New Roman"/>
          <w:sz w:val="22"/>
          <w:lang w:eastAsia="tr-TR"/>
        </w:rPr>
      </w:pPr>
      <w:r w:rsidRPr="00082CA6">
        <w:rPr>
          <w:rFonts w:eastAsia="TimesNewRoman" w:cs="Times New Roman"/>
          <w:sz w:val="22"/>
          <w:lang w:eastAsia="tr-TR"/>
        </w:rPr>
        <w:lastRenderedPageBreak/>
        <w:t>Literatürde pek çok kaynakta “</w:t>
      </w:r>
      <w:r w:rsidRPr="00082CA6">
        <w:rPr>
          <w:rFonts w:eastAsia="TimesNewRoman" w:cs="Times New Roman"/>
          <w:i/>
          <w:iCs/>
          <w:sz w:val="22"/>
          <w:lang w:eastAsia="tr-TR"/>
        </w:rPr>
        <w:t>yönetişim süreçleri</w:t>
      </w:r>
      <w:r w:rsidRPr="00082CA6">
        <w:rPr>
          <w:rFonts w:eastAsia="TimesNewRoman" w:cs="Times New Roman"/>
          <w:sz w:val="22"/>
          <w:lang w:eastAsia="tr-TR"/>
        </w:rPr>
        <w:t xml:space="preserve">” ifadesi kullanılmıştır. Ancak, yönetişim süreçleri girdi ve çıktıları, temel göstergeleri, alt süreçleri ve kriter faaliyetlerine kadar sistematik olarak ilk defa COBIT-5 tarafından ortaya konulmuştur. COBIT-5 modelinin 37 ana sürecinden 5 adedi yönetişim süreçleri olarak belirlenmiştir. </w:t>
      </w:r>
    </w:p>
    <w:p w:rsidR="00082CA6" w:rsidRPr="00082CA6" w:rsidRDefault="00082CA6" w:rsidP="00082CA6">
      <w:pPr>
        <w:spacing w:before="0" w:after="120" w:line="240" w:lineRule="auto"/>
        <w:ind w:firstLine="709"/>
        <w:jc w:val="both"/>
        <w:rPr>
          <w:rFonts w:eastAsia="Times New Roman" w:cs="Times New Roman"/>
          <w:sz w:val="22"/>
          <w:lang w:eastAsia="tr-TR"/>
        </w:rPr>
      </w:pPr>
      <w:r w:rsidRPr="00082CA6">
        <w:rPr>
          <w:rFonts w:eastAsia="Times New Roman" w:cs="Times New Roman"/>
          <w:sz w:val="22"/>
          <w:lang w:eastAsia="tr-TR"/>
        </w:rPr>
        <w:t xml:space="preserve">COBIT-5 yönetişim süreçlerinden ilki olan yönetişim çerçevesi kurulum ve sürdürülmesi aşağıda analiz edilmektedir. Bu sürecin KA uygulamalarındaki yansımalarının neler olması gerektiği hangi tür faaliyetlerle icra edilebileceği ortaya konulmaktadır. Diğer dört adet yönetişim süreçleri de başka çalışmalara konu edilecek boyut olmalarından dolayı burada ele alınmamışlardır. </w:t>
      </w:r>
    </w:p>
    <w:p w:rsidR="00082CA6" w:rsidRPr="00082CA6" w:rsidRDefault="00082CA6" w:rsidP="00082CA6">
      <w:pPr>
        <w:widowControl w:val="0"/>
        <w:suppressAutoHyphens/>
        <w:spacing w:before="0" w:after="120" w:line="240" w:lineRule="auto"/>
        <w:jc w:val="both"/>
        <w:outlineLvl w:val="1"/>
        <w:rPr>
          <w:rFonts w:eastAsia="Times New Roman" w:cs="Times New Roman"/>
          <w:b/>
          <w:bCs/>
          <w:caps/>
          <w:sz w:val="22"/>
          <w:lang w:eastAsia="tr-TR"/>
        </w:rPr>
      </w:pPr>
      <w:bookmarkStart w:id="13" w:name="_Toc421783877"/>
      <w:bookmarkEnd w:id="9"/>
      <w:bookmarkEnd w:id="10"/>
      <w:r w:rsidRPr="00082CA6">
        <w:rPr>
          <w:rFonts w:eastAsia="Times New Roman" w:cs="Times New Roman"/>
          <w:b/>
          <w:bCs/>
          <w:sz w:val="22"/>
          <w:lang w:eastAsia="tr-TR"/>
        </w:rPr>
        <w:t xml:space="preserve">Yönetişim Çerçevesi Kurulum ve Sürdürülmesi Süreci </w:t>
      </w:r>
      <w:r w:rsidRPr="00082CA6">
        <w:rPr>
          <w:rFonts w:eastAsia="Times New Roman" w:cs="Times New Roman"/>
          <w:b/>
          <w:bCs/>
          <w:caps/>
          <w:sz w:val="22"/>
          <w:lang w:eastAsia="tr-TR"/>
        </w:rPr>
        <w:t>(EDM01)</w:t>
      </w:r>
      <w:bookmarkEnd w:id="13"/>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Bu süreç için öncelikle bölgesel kalkınma için gerekli görülen yönetişim gerekliliklerinin analiz edilmesi ve belirlenmesinden sonra geçerli gerçekleştirme yapıları, prensipleri, süreçleri ve uygulamalarının, kalkınma ajansının görev, hedef ve amaçlarını gerçekleştirmek amacıyla sorumluluk ve yetkiler çerçevesinde yerleştirilerek sürdürülmeye çalışılması gerekmektedir. </w:t>
      </w:r>
      <w:sdt>
        <w:sdtPr>
          <w:rPr>
            <w:rFonts w:eastAsia="Times New Roman" w:cs="Times New Roman"/>
            <w:sz w:val="22"/>
            <w:lang w:eastAsia="tr-TR"/>
          </w:rPr>
          <w:id w:val="-871385347"/>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ISA12 \t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(ISACA, 2012c)</w:t>
          </w:r>
          <w:r w:rsidRPr="00082CA6">
            <w:rPr>
              <w:rFonts w:eastAsia="Times New Roman" w:cs="Times New Roman"/>
              <w:sz w:val="22"/>
              <w:lang w:eastAsia="tr-TR"/>
            </w:rPr>
            <w:fldChar w:fldCharType="end"/>
          </w:r>
        </w:sdtContent>
      </w:sdt>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Burada süreç hedefleri ile KA tüm iş süreçlerini kapsayacak olan kalkınma ajansları yönetim bilgi sistemi (KAYS) sistemi kapsamında KA açısından zamanla daha önemli hale gelen BT bağlantılı hedeflere dikkat edilmesi gerekmektedir. Zira bu modelde hem sürecin kendisine hem de BT bağlantılı hedeflerin performansına dair göstergeler konulmuştur. Çünkü özellikle KAYS bağlamı dikkate alındığında her iş sürecinde mutlaka BT bağlantısı bulunabilir. Aşağıdaki tabloda COBIT-5 tarafından kurulum ve sürdürülmesi için gerekli olan BT bağlantılı hedefler, kilit performans göstergeleri ve süreç hedefleri belirlenmektedir.</w:t>
      </w:r>
    </w:p>
    <w:p w:rsidR="00082CA6" w:rsidRPr="00082CA6" w:rsidRDefault="00082CA6" w:rsidP="00082CA6">
      <w:pPr>
        <w:keepNext/>
        <w:spacing w:before="0" w:after="120" w:line="240" w:lineRule="auto"/>
        <w:jc w:val="both"/>
        <w:rPr>
          <w:rFonts w:eastAsia="Times New Roman" w:cs="Times New Roman"/>
          <w:bCs/>
          <w:sz w:val="22"/>
          <w:lang w:eastAsia="tr-TR"/>
        </w:rPr>
      </w:pPr>
      <w:bookmarkStart w:id="14" w:name="_Toc421796714"/>
      <w:r w:rsidRPr="00082CA6">
        <w:rPr>
          <w:rFonts w:eastAsia="Times New Roman" w:cs="Times New Roman"/>
          <w:b/>
          <w:bCs/>
          <w:sz w:val="22"/>
          <w:lang w:eastAsia="tr-TR"/>
        </w:rPr>
        <w:t>Tablo 3.</w:t>
      </w:r>
      <w:r w:rsidRPr="00082CA6">
        <w:rPr>
          <w:rFonts w:eastAsia="Times New Roman" w:cs="Times New Roman"/>
          <w:bCs/>
          <w:sz w:val="22"/>
          <w:lang w:eastAsia="tr-TR"/>
        </w:rPr>
        <w:t xml:space="preserve"> EDM01</w:t>
      </w:r>
      <w:r w:rsidRPr="00082CA6">
        <w:rPr>
          <w:rFonts w:eastAsia="Times New Roman" w:cs="Times New Roman"/>
          <w:bCs/>
          <w:sz w:val="22"/>
          <w:vertAlign w:val="superscript"/>
          <w:lang w:eastAsia="tr-TR"/>
        </w:rPr>
        <w:footnoteReference w:id="4"/>
      </w:r>
      <w:r w:rsidRPr="00082CA6">
        <w:rPr>
          <w:rFonts w:eastAsia="Times New Roman" w:cs="Times New Roman"/>
          <w:bCs/>
          <w:sz w:val="22"/>
          <w:lang w:eastAsia="tr-TR"/>
        </w:rPr>
        <w:t>- Yönetişim Çerçevesi Kurulum ve Sürdürülmesini Sağla İçin Hedefler ve KPI</w:t>
      </w:r>
      <w:bookmarkEnd w:id="14"/>
    </w:p>
    <w:tbl>
      <w:tblPr>
        <w:tblW w:w="0" w:type="auto"/>
        <w:tblInd w:w="3" w:type="dxa"/>
        <w:tblCellMar>
          <w:left w:w="0" w:type="dxa"/>
          <w:right w:w="0" w:type="dxa"/>
        </w:tblCellMar>
        <w:tblLook w:val="04A0" w:firstRow="1" w:lastRow="0" w:firstColumn="1" w:lastColumn="0" w:noHBand="0" w:noVBand="1"/>
      </w:tblPr>
      <w:tblGrid>
        <w:gridCol w:w="1418"/>
        <w:gridCol w:w="992"/>
        <w:gridCol w:w="4963"/>
      </w:tblGrid>
      <w:tr w:rsidR="00082CA6" w:rsidRPr="00082CA6" w:rsidTr="00082CA6">
        <w:trPr>
          <w:trHeight w:val="355"/>
        </w:trPr>
        <w:tc>
          <w:tcPr>
            <w:tcW w:w="1418" w:type="dxa"/>
            <w:tcBorders>
              <w:top w:val="single" w:sz="2" w:space="0" w:color="000000"/>
              <w:left w:val="single" w:sz="2" w:space="0" w:color="000000"/>
              <w:bottom w:val="single" w:sz="2" w:space="0" w:color="000000"/>
              <w:right w:val="single" w:sz="2" w:space="0" w:color="000000"/>
            </w:tcBorders>
            <w:shd w:val="clear" w:color="auto" w:fill="D6DFF3"/>
            <w:vAlign w:val="center"/>
            <w:hideMark/>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r w:rsidRPr="00082CA6">
              <w:rPr>
                <w:rFonts w:eastAsia="Times New Roman" w:cs="Times New Roman"/>
                <w:bCs/>
                <w:sz w:val="16"/>
                <w:szCs w:val="16"/>
                <w:lang w:eastAsia="tr-TR"/>
              </w:rPr>
              <w:t xml:space="preserve">BT-Bağlantılı Hedef </w:t>
            </w:r>
          </w:p>
        </w:tc>
        <w:tc>
          <w:tcPr>
            <w:tcW w:w="5955" w:type="dxa"/>
            <w:gridSpan w:val="2"/>
            <w:tcBorders>
              <w:top w:val="single" w:sz="2" w:space="0" w:color="000000"/>
              <w:left w:val="single" w:sz="2" w:space="0" w:color="000000"/>
              <w:bottom w:val="single" w:sz="2" w:space="0" w:color="000000"/>
              <w:right w:val="single" w:sz="2" w:space="0" w:color="000000"/>
            </w:tcBorders>
            <w:shd w:val="clear" w:color="auto" w:fill="D6DFF3"/>
            <w:vAlign w:val="center"/>
            <w:hideMark/>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r w:rsidRPr="00082CA6">
              <w:rPr>
                <w:rFonts w:eastAsia="Times New Roman" w:cs="Times New Roman"/>
                <w:bCs/>
                <w:sz w:val="16"/>
                <w:szCs w:val="16"/>
                <w:lang w:eastAsia="tr-TR"/>
              </w:rPr>
              <w:t xml:space="preserve">Kilit Performans </w:t>
            </w:r>
            <w:proofErr w:type="spellStart"/>
            <w:r w:rsidRPr="00082CA6">
              <w:rPr>
                <w:rFonts w:eastAsia="Times New Roman" w:cs="Times New Roman"/>
                <w:bCs/>
                <w:sz w:val="16"/>
                <w:szCs w:val="16"/>
                <w:lang w:eastAsia="tr-TR"/>
              </w:rPr>
              <w:t>İsterleri</w:t>
            </w:r>
            <w:proofErr w:type="spellEnd"/>
            <w:r w:rsidRPr="00082CA6">
              <w:rPr>
                <w:rFonts w:eastAsia="Times New Roman" w:cs="Times New Roman"/>
                <w:bCs/>
                <w:sz w:val="16"/>
                <w:szCs w:val="16"/>
                <w:lang w:eastAsia="tr-TR"/>
              </w:rPr>
              <w:t xml:space="preserve"> </w:t>
            </w:r>
          </w:p>
        </w:tc>
      </w:tr>
      <w:tr w:rsidR="00082CA6" w:rsidRPr="00082CA6" w:rsidTr="00082CA6">
        <w:trPr>
          <w:trHeight w:val="361"/>
        </w:trPr>
        <w:tc>
          <w:tcPr>
            <w:tcW w:w="1418" w:type="dxa"/>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t xml:space="preserve">BT ve iş stratejisinin hizalanması </w:t>
            </w:r>
          </w:p>
        </w:tc>
        <w:tc>
          <w:tcPr>
            <w:tcW w:w="5955" w:type="dxa"/>
            <w:gridSpan w:val="2"/>
            <w:tcBorders>
              <w:top w:val="single" w:sz="2" w:space="0" w:color="000000"/>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KAYS hedefleri tarafından desteklenen gereksinimlerin ve KA stratejik hedeflerinin yüzdesi </w:t>
            </w:r>
          </w:p>
        </w:tc>
      </w:tr>
      <w:tr w:rsidR="00082CA6" w:rsidRPr="00082CA6" w:rsidTr="00082CA6">
        <w:trPr>
          <w:trHeight w:val="434"/>
        </w:trPr>
        <w:tc>
          <w:tcPr>
            <w:tcW w:w="1418" w:type="dxa"/>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Mali destek programları ve kalkınma projeleri yararlanıcıları gibi paydaşların memnuniyet seviyesi </w:t>
            </w:r>
          </w:p>
        </w:tc>
      </w:tr>
      <w:tr w:rsidR="00082CA6" w:rsidRPr="00082CA6" w:rsidTr="00082CA6">
        <w:trPr>
          <w:trHeight w:val="214"/>
        </w:trPr>
        <w:tc>
          <w:tcPr>
            <w:tcW w:w="1418" w:type="dxa"/>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Bölge kalkınma planındaki (BKP) hedeflerin KAYS hedefleriyle uyum yüzdesi </w:t>
            </w:r>
          </w:p>
        </w:tc>
      </w:tr>
      <w:tr w:rsidR="00082CA6" w:rsidRPr="00082CA6" w:rsidTr="00082CA6">
        <w:trPr>
          <w:trHeight w:val="331"/>
        </w:trPr>
        <w:tc>
          <w:tcPr>
            <w:tcW w:w="1418" w:type="dxa"/>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Kalkınmada öncelikli olan sektörlerdeki yenilikçi BT ile ilişkilendirilen BKP öncelikleri yüzdesi</w:t>
            </w:r>
          </w:p>
        </w:tc>
      </w:tr>
      <w:tr w:rsidR="00082CA6" w:rsidRPr="00082CA6" w:rsidTr="00082CA6">
        <w:trPr>
          <w:trHeight w:val="268"/>
        </w:trPr>
        <w:tc>
          <w:tcPr>
            <w:tcW w:w="1418" w:type="dxa"/>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t xml:space="preserve">BT-Bağlantılı kararların verilmesinde yönetici kadronun uyumu </w:t>
            </w:r>
          </w:p>
        </w:tc>
        <w:tc>
          <w:tcPr>
            <w:tcW w:w="5955" w:type="dxa"/>
            <w:gridSpan w:val="2"/>
            <w:tcBorders>
              <w:top w:val="single" w:sz="4" w:space="0" w:color="auto"/>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KAYS uygulamalarında yükümlülükleri olan yönetici kadro görevlerinin yüzdesi</w:t>
            </w:r>
          </w:p>
        </w:tc>
      </w:tr>
      <w:tr w:rsidR="00082CA6" w:rsidRPr="00082CA6" w:rsidTr="00082CA6">
        <w:trPr>
          <w:trHeight w:val="229"/>
        </w:trPr>
        <w:tc>
          <w:tcPr>
            <w:tcW w:w="1418" w:type="dxa"/>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KAYS uygulamalarının yönetim kurulu toplantı gündeminde olma sayısı </w:t>
            </w:r>
          </w:p>
        </w:tc>
      </w:tr>
      <w:tr w:rsidR="00082CA6" w:rsidRPr="00082CA6" w:rsidTr="00082CA6">
        <w:trPr>
          <w:trHeight w:val="192"/>
        </w:trPr>
        <w:tc>
          <w:tcPr>
            <w:tcW w:w="1418" w:type="dxa"/>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strateji (yönetim) kurulu toplantılarının sıklığı </w:t>
            </w:r>
          </w:p>
        </w:tc>
      </w:tr>
      <w:tr w:rsidR="00082CA6" w:rsidRPr="00082CA6" w:rsidTr="00082CA6">
        <w:trPr>
          <w:trHeight w:val="167"/>
        </w:trPr>
        <w:tc>
          <w:tcPr>
            <w:tcW w:w="1418" w:type="dxa"/>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BT-Bağlantılı yönetim kararlarının icra edilme oranı </w:t>
            </w:r>
          </w:p>
        </w:tc>
      </w:tr>
      <w:tr w:rsidR="00082CA6" w:rsidRPr="00082CA6" w:rsidTr="00082CA6">
        <w:trPr>
          <w:trHeight w:val="286"/>
        </w:trPr>
        <w:tc>
          <w:tcPr>
            <w:tcW w:w="1418" w:type="dxa"/>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t xml:space="preserve">BT hizmetlerinin iş gereksinimlerine uyumlu olarak sağlanması </w:t>
            </w:r>
          </w:p>
        </w:tc>
        <w:tc>
          <w:tcPr>
            <w:tcW w:w="5955" w:type="dxa"/>
            <w:gridSpan w:val="2"/>
            <w:tcBorders>
              <w:top w:val="single" w:sz="2" w:space="0" w:color="000000"/>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hizmet olayları nedeniyle oluşan iş kesintilerinin sayısı </w:t>
            </w:r>
          </w:p>
        </w:tc>
      </w:tr>
      <w:tr w:rsidR="00082CA6" w:rsidRPr="00082CA6" w:rsidTr="00082CA6">
        <w:trPr>
          <w:trHeight w:val="403"/>
        </w:trPr>
        <w:tc>
          <w:tcPr>
            <w:tcW w:w="1418" w:type="dxa"/>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hizmet tedarikinin üzerinde anlaşılmış hizmet seviyelerini karşılamasından memnun iş paydaşlarının yüzdesi </w:t>
            </w:r>
          </w:p>
        </w:tc>
      </w:tr>
      <w:tr w:rsidR="00082CA6" w:rsidRPr="00082CA6" w:rsidTr="00082CA6">
        <w:trPr>
          <w:trHeight w:val="183"/>
        </w:trPr>
        <w:tc>
          <w:tcPr>
            <w:tcW w:w="1418" w:type="dxa"/>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5955" w:type="dxa"/>
            <w:gridSpan w:val="2"/>
            <w:tcBorders>
              <w:top w:val="single" w:sz="4" w:space="0" w:color="auto"/>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hizmetinin sağlandığı kaliteden memnun kullanıcıların yüzdesi </w:t>
            </w:r>
          </w:p>
        </w:tc>
      </w:tr>
      <w:tr w:rsidR="00082CA6" w:rsidRPr="00082CA6" w:rsidTr="00082CA6">
        <w:trPr>
          <w:trHeight w:val="355"/>
        </w:trPr>
        <w:tc>
          <w:tcPr>
            <w:tcW w:w="7373" w:type="dxa"/>
            <w:gridSpan w:val="3"/>
            <w:tcBorders>
              <w:top w:val="single" w:sz="2" w:space="0" w:color="000000"/>
              <w:left w:val="single" w:sz="2" w:space="0" w:color="000000"/>
              <w:bottom w:val="single" w:sz="2" w:space="0" w:color="000000"/>
              <w:right w:val="single" w:sz="2" w:space="0" w:color="000000"/>
            </w:tcBorders>
            <w:shd w:val="clear" w:color="auto" w:fill="BBC9EA"/>
            <w:vAlign w:val="center"/>
            <w:hideMark/>
          </w:tcPr>
          <w:p w:rsidR="00082CA6" w:rsidRPr="00082CA6" w:rsidRDefault="00082CA6" w:rsidP="00082CA6">
            <w:pPr>
              <w:suppressAutoHyphens/>
              <w:spacing w:before="0" w:after="120" w:line="240" w:lineRule="auto"/>
              <w:ind w:right="143"/>
              <w:jc w:val="both"/>
              <w:rPr>
                <w:rFonts w:eastAsia="Times New Roman" w:cs="Times New Roman"/>
                <w:bCs/>
                <w:sz w:val="16"/>
                <w:szCs w:val="16"/>
                <w:lang w:eastAsia="tr-TR"/>
              </w:rPr>
            </w:pPr>
            <w:r w:rsidRPr="00082CA6">
              <w:rPr>
                <w:rFonts w:eastAsia="Times New Roman" w:cs="Times New Roman"/>
                <w:bCs/>
                <w:sz w:val="16"/>
                <w:szCs w:val="16"/>
                <w:lang w:eastAsia="tr-TR"/>
              </w:rPr>
              <w:t xml:space="preserve">Süreç Hedefleri ve Ölçütler </w:t>
            </w:r>
          </w:p>
        </w:tc>
      </w:tr>
      <w:tr w:rsidR="00082CA6" w:rsidRPr="00082CA6" w:rsidTr="00082CA6">
        <w:trPr>
          <w:trHeight w:val="355"/>
        </w:trPr>
        <w:tc>
          <w:tcPr>
            <w:tcW w:w="2410" w:type="dxa"/>
            <w:gridSpan w:val="2"/>
            <w:tcBorders>
              <w:top w:val="single" w:sz="2" w:space="0" w:color="000000"/>
              <w:left w:val="single" w:sz="2" w:space="0" w:color="000000"/>
              <w:bottom w:val="single" w:sz="2" w:space="0" w:color="000000"/>
              <w:right w:val="single" w:sz="2" w:space="0" w:color="000000"/>
            </w:tcBorders>
            <w:shd w:val="clear" w:color="auto" w:fill="D6DFF3"/>
            <w:vAlign w:val="center"/>
            <w:hideMark/>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r w:rsidRPr="00082CA6">
              <w:rPr>
                <w:rFonts w:eastAsia="Times New Roman" w:cs="Times New Roman"/>
                <w:bCs/>
                <w:sz w:val="16"/>
                <w:szCs w:val="16"/>
                <w:lang w:eastAsia="tr-TR"/>
              </w:rPr>
              <w:t xml:space="preserve">Süreç Hedefi </w:t>
            </w:r>
          </w:p>
        </w:tc>
        <w:tc>
          <w:tcPr>
            <w:tcW w:w="4963" w:type="dxa"/>
            <w:tcBorders>
              <w:top w:val="single" w:sz="2" w:space="0" w:color="000000"/>
              <w:left w:val="single" w:sz="2" w:space="0" w:color="000000"/>
              <w:bottom w:val="single" w:sz="2" w:space="0" w:color="000000"/>
              <w:right w:val="single" w:sz="2" w:space="0" w:color="000000"/>
            </w:tcBorders>
            <w:shd w:val="clear" w:color="auto" w:fill="D6DFF3"/>
            <w:vAlign w:val="center"/>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bCs/>
                <w:sz w:val="16"/>
                <w:szCs w:val="16"/>
                <w:lang w:eastAsia="tr-TR"/>
              </w:rPr>
              <w:t xml:space="preserve">Kilit Performans </w:t>
            </w:r>
            <w:proofErr w:type="spellStart"/>
            <w:r w:rsidRPr="00082CA6">
              <w:rPr>
                <w:rFonts w:eastAsia="Times New Roman" w:cs="Times New Roman"/>
                <w:bCs/>
                <w:sz w:val="16"/>
                <w:szCs w:val="16"/>
                <w:lang w:eastAsia="tr-TR"/>
              </w:rPr>
              <w:t>İsterleri</w:t>
            </w:r>
            <w:proofErr w:type="spellEnd"/>
            <w:r w:rsidRPr="00082CA6">
              <w:rPr>
                <w:rFonts w:eastAsia="Times New Roman" w:cs="Times New Roman"/>
                <w:bCs/>
                <w:sz w:val="16"/>
                <w:szCs w:val="16"/>
                <w:lang w:eastAsia="tr-TR"/>
              </w:rPr>
              <w:t xml:space="preserve"> </w:t>
            </w:r>
          </w:p>
        </w:tc>
      </w:tr>
      <w:tr w:rsidR="00082CA6" w:rsidRPr="00082CA6" w:rsidTr="00082CA6">
        <w:trPr>
          <w:trHeight w:val="288"/>
        </w:trPr>
        <w:tc>
          <w:tcPr>
            <w:tcW w:w="2410" w:type="dxa"/>
            <w:gridSpan w:val="2"/>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t xml:space="preserve">1. BT için stratejik karar alma etkilidir ve KA iç-dış ortamı ve paydaş gereksinimleriyle uyumludur. </w:t>
            </w:r>
          </w:p>
        </w:tc>
        <w:tc>
          <w:tcPr>
            <w:tcW w:w="4963" w:type="dxa"/>
            <w:tcBorders>
              <w:top w:val="single" w:sz="2" w:space="0" w:color="000000"/>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Önemli kararlar için fiili döngü süresine karşılık hedef döngü süresi </w:t>
            </w:r>
          </w:p>
        </w:tc>
      </w:tr>
      <w:tr w:rsidR="00082CA6" w:rsidRPr="00082CA6" w:rsidTr="00082CA6">
        <w:trPr>
          <w:trHeight w:val="260"/>
        </w:trPr>
        <w:tc>
          <w:tcPr>
            <w:tcW w:w="2410" w:type="dxa"/>
            <w:gridSpan w:val="2"/>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rPr>
                <w:rFonts w:eastAsia="Times New Roman" w:cs="Times New Roman"/>
                <w:sz w:val="16"/>
                <w:szCs w:val="16"/>
                <w:lang w:eastAsia="tr-TR"/>
              </w:rPr>
            </w:pPr>
          </w:p>
        </w:tc>
        <w:tc>
          <w:tcPr>
            <w:tcW w:w="4963" w:type="dxa"/>
            <w:tcBorders>
              <w:top w:val="single" w:sz="4" w:space="0" w:color="auto"/>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Paydaş memnuniyet seviyesi (araştırmalarla ölçülen)</w:t>
            </w:r>
          </w:p>
        </w:tc>
      </w:tr>
      <w:tr w:rsidR="00082CA6" w:rsidRPr="00082CA6" w:rsidTr="00082CA6">
        <w:trPr>
          <w:trHeight w:val="312"/>
        </w:trPr>
        <w:tc>
          <w:tcPr>
            <w:tcW w:w="2410" w:type="dxa"/>
            <w:gridSpan w:val="2"/>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lastRenderedPageBreak/>
              <w:t xml:space="preserve">2. BT için yönetişim sistemi kalkınma ajansının içinde yerleşiktir. </w:t>
            </w:r>
          </w:p>
        </w:tc>
        <w:tc>
          <w:tcPr>
            <w:tcW w:w="4963" w:type="dxa"/>
            <w:tcBorders>
              <w:top w:val="single" w:sz="2" w:space="0" w:color="000000"/>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Uygun iş ve BT yönetimi tarafından tanımlanan, tahsis edilen ve kabul edilen görevler, sorumluluklar ve yetkilerin sayısı </w:t>
            </w:r>
          </w:p>
        </w:tc>
      </w:tr>
      <w:tr w:rsidR="00082CA6" w:rsidRPr="00082CA6" w:rsidTr="00082CA6">
        <w:trPr>
          <w:trHeight w:val="527"/>
        </w:trPr>
        <w:tc>
          <w:tcPr>
            <w:tcW w:w="2410" w:type="dxa"/>
            <w:gridSpan w:val="2"/>
            <w:vMerge/>
            <w:tcBorders>
              <w:left w:val="single" w:sz="2" w:space="0" w:color="000000"/>
              <w:right w:val="single" w:sz="2" w:space="0" w:color="000000"/>
            </w:tcBorders>
          </w:tcPr>
          <w:p w:rsidR="00082CA6" w:rsidRPr="00082CA6" w:rsidRDefault="00082CA6" w:rsidP="00082CA6">
            <w:pPr>
              <w:suppressAutoHyphens/>
              <w:spacing w:before="0" w:after="120" w:line="240" w:lineRule="auto"/>
              <w:rPr>
                <w:rFonts w:eastAsia="Times New Roman" w:cs="Times New Roman"/>
                <w:sz w:val="16"/>
                <w:szCs w:val="16"/>
                <w:lang w:eastAsia="tr-TR"/>
              </w:rPr>
            </w:pPr>
          </w:p>
        </w:tc>
        <w:tc>
          <w:tcPr>
            <w:tcW w:w="4963" w:type="dxa"/>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için üzerinde anlaşılmış olan yönetişim prensiplerinin süreçler ve uygulamalarda ispatlanma derecesi (prensipleri açıkça izleyebilen süreçler ve uygulamaların yüzdesi) </w:t>
            </w:r>
          </w:p>
        </w:tc>
      </w:tr>
      <w:tr w:rsidR="00082CA6" w:rsidRPr="00082CA6" w:rsidTr="00082CA6">
        <w:trPr>
          <w:trHeight w:val="421"/>
        </w:trPr>
        <w:tc>
          <w:tcPr>
            <w:tcW w:w="2410" w:type="dxa"/>
            <w:gridSpan w:val="2"/>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rPr>
                <w:rFonts w:eastAsia="Times New Roman" w:cs="Times New Roman"/>
                <w:sz w:val="16"/>
                <w:szCs w:val="16"/>
                <w:lang w:eastAsia="tr-TR"/>
              </w:rPr>
            </w:pPr>
          </w:p>
        </w:tc>
        <w:tc>
          <w:tcPr>
            <w:tcW w:w="4963" w:type="dxa"/>
            <w:tcBorders>
              <w:top w:val="single" w:sz="4" w:space="0" w:color="auto"/>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Ahlak kuralları ve profesyonel davranış esaslarına uygun olmayan örneklerin sayısı </w:t>
            </w:r>
          </w:p>
        </w:tc>
      </w:tr>
      <w:tr w:rsidR="00082CA6" w:rsidRPr="00082CA6" w:rsidTr="00082CA6">
        <w:trPr>
          <w:trHeight w:val="279"/>
        </w:trPr>
        <w:tc>
          <w:tcPr>
            <w:tcW w:w="2410" w:type="dxa"/>
            <w:gridSpan w:val="2"/>
            <w:vMerge w:val="restart"/>
            <w:tcBorders>
              <w:top w:val="single" w:sz="2" w:space="0" w:color="000000"/>
              <w:left w:val="single" w:sz="2" w:space="0" w:color="000000"/>
              <w:right w:val="single" w:sz="2" w:space="0" w:color="000000"/>
            </w:tcBorders>
            <w:hideMark/>
          </w:tcPr>
          <w:p w:rsidR="00082CA6" w:rsidRPr="00082CA6" w:rsidRDefault="00082CA6" w:rsidP="00082CA6">
            <w:pPr>
              <w:suppressAutoHyphens/>
              <w:spacing w:before="0" w:after="120" w:line="240" w:lineRule="auto"/>
              <w:rPr>
                <w:rFonts w:eastAsia="Times New Roman" w:cs="Times New Roman"/>
                <w:sz w:val="16"/>
                <w:szCs w:val="16"/>
                <w:lang w:eastAsia="tr-TR"/>
              </w:rPr>
            </w:pPr>
            <w:r w:rsidRPr="00082CA6">
              <w:rPr>
                <w:rFonts w:eastAsia="Times New Roman" w:cs="Times New Roman"/>
                <w:sz w:val="16"/>
                <w:szCs w:val="16"/>
                <w:lang w:eastAsia="tr-TR"/>
              </w:rPr>
              <w:t>3. Güvence, BT yönetişim sistemi etkili şekilde çalıştığında elde edilir.</w:t>
            </w:r>
          </w:p>
        </w:tc>
        <w:tc>
          <w:tcPr>
            <w:tcW w:w="4963" w:type="dxa"/>
            <w:tcBorders>
              <w:top w:val="single" w:sz="2" w:space="0" w:color="000000"/>
              <w:left w:val="single" w:sz="2" w:space="0" w:color="000000"/>
              <w:bottom w:val="single" w:sz="4" w:space="0" w:color="auto"/>
              <w:right w:val="single" w:sz="2" w:space="0" w:color="000000"/>
            </w:tcBorders>
            <w:hideMark/>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BT yönetişimi bağımsız değerlendirmelerinin sıklığı </w:t>
            </w:r>
          </w:p>
        </w:tc>
      </w:tr>
      <w:tr w:rsidR="00082CA6" w:rsidRPr="00082CA6" w:rsidTr="00082CA6">
        <w:trPr>
          <w:trHeight w:val="278"/>
        </w:trPr>
        <w:tc>
          <w:tcPr>
            <w:tcW w:w="2410" w:type="dxa"/>
            <w:gridSpan w:val="2"/>
            <w:vMerge/>
            <w:tcBorders>
              <w:left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4963" w:type="dxa"/>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Yönetim kurulu ve heyetine rapor edilen BT yönetişimi sıklığı </w:t>
            </w:r>
          </w:p>
        </w:tc>
      </w:tr>
      <w:tr w:rsidR="00082CA6" w:rsidRPr="00082CA6" w:rsidTr="00082CA6">
        <w:trPr>
          <w:trHeight w:val="215"/>
        </w:trPr>
        <w:tc>
          <w:tcPr>
            <w:tcW w:w="2410" w:type="dxa"/>
            <w:gridSpan w:val="2"/>
            <w:vMerge/>
            <w:tcBorders>
              <w:left w:val="single" w:sz="2" w:space="0" w:color="000000"/>
              <w:bottom w:val="single" w:sz="2" w:space="0" w:color="000000"/>
              <w:right w:val="single" w:sz="2" w:space="0" w:color="000000"/>
            </w:tcBorders>
          </w:tcPr>
          <w:p w:rsidR="00082CA6" w:rsidRPr="00082CA6" w:rsidRDefault="00082CA6" w:rsidP="00082CA6">
            <w:pPr>
              <w:suppressAutoHyphens/>
              <w:spacing w:before="0" w:after="120" w:line="240" w:lineRule="auto"/>
              <w:jc w:val="both"/>
              <w:rPr>
                <w:rFonts w:eastAsia="Times New Roman" w:cs="Times New Roman"/>
                <w:sz w:val="16"/>
                <w:szCs w:val="16"/>
                <w:lang w:eastAsia="tr-TR"/>
              </w:rPr>
            </w:pPr>
          </w:p>
        </w:tc>
        <w:tc>
          <w:tcPr>
            <w:tcW w:w="4963" w:type="dxa"/>
            <w:tcBorders>
              <w:top w:val="single" w:sz="4" w:space="0" w:color="auto"/>
              <w:left w:val="single" w:sz="2" w:space="0" w:color="000000"/>
              <w:bottom w:val="single" w:sz="4" w:space="0" w:color="auto"/>
              <w:right w:val="single" w:sz="2" w:space="0" w:color="000000"/>
            </w:tcBorders>
          </w:tcPr>
          <w:p w:rsidR="00082CA6" w:rsidRPr="00082CA6" w:rsidRDefault="00082CA6" w:rsidP="00082CA6">
            <w:pPr>
              <w:suppressAutoHyphens/>
              <w:spacing w:before="0" w:after="120" w:line="240" w:lineRule="auto"/>
              <w:ind w:right="143"/>
              <w:jc w:val="both"/>
              <w:rPr>
                <w:rFonts w:eastAsia="Times New Roman" w:cs="Times New Roman"/>
                <w:sz w:val="16"/>
                <w:szCs w:val="16"/>
                <w:lang w:eastAsia="tr-TR"/>
              </w:rPr>
            </w:pPr>
            <w:r w:rsidRPr="00082CA6">
              <w:rPr>
                <w:rFonts w:eastAsia="Times New Roman" w:cs="Times New Roman"/>
                <w:sz w:val="16"/>
                <w:szCs w:val="16"/>
                <w:lang w:eastAsia="tr-TR"/>
              </w:rPr>
              <w:t xml:space="preserve">Rapor edilen BT yönetişim sorunlarının sıklığı </w:t>
            </w:r>
          </w:p>
        </w:tc>
      </w:tr>
    </w:tbl>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(ISACA, </w:t>
      </w:r>
      <w:proofErr w:type="spellStart"/>
      <w:r w:rsidRPr="00082CA6">
        <w:rPr>
          <w:rFonts w:eastAsia="Times New Roman" w:cs="Times New Roman"/>
          <w:sz w:val="20"/>
          <w:lang w:eastAsia="tr-TR"/>
        </w:rPr>
        <w:t>Enabling</w:t>
      </w:r>
      <w:proofErr w:type="spellEnd"/>
      <w:r w:rsidRPr="00082CA6">
        <w:rPr>
          <w:rFonts w:eastAsia="Times New Roman" w:cs="Times New Roman"/>
          <w:sz w:val="20"/>
          <w:lang w:eastAsia="tr-TR"/>
        </w:rPr>
        <w:t xml:space="preserve"> </w:t>
      </w:r>
      <w:proofErr w:type="spellStart"/>
      <w:r w:rsidRPr="00082CA6">
        <w:rPr>
          <w:rFonts w:eastAsia="Times New Roman" w:cs="Times New Roman"/>
          <w:sz w:val="20"/>
          <w:lang w:eastAsia="tr-TR"/>
        </w:rPr>
        <w:t>Processes</w:t>
      </w:r>
      <w:proofErr w:type="spellEnd"/>
      <w:r w:rsidRPr="00082CA6">
        <w:rPr>
          <w:rFonts w:eastAsia="Times New Roman" w:cs="Times New Roman"/>
          <w:sz w:val="20"/>
          <w:lang w:eastAsia="tr-TR"/>
        </w:rPr>
        <w:t xml:space="preserve">, 2012)’ den uyarlanmıştır. </w:t>
      </w:r>
    </w:p>
    <w:p w:rsidR="00082CA6" w:rsidRPr="00082CA6" w:rsidRDefault="00082CA6" w:rsidP="00082CA6">
      <w:pPr>
        <w:suppressAutoHyphens/>
        <w:spacing w:before="0" w:after="120" w:line="240" w:lineRule="auto"/>
        <w:ind w:firstLine="708"/>
        <w:jc w:val="both"/>
        <w:rPr>
          <w:rFonts w:eastAsia="Times New Roman" w:cs="Times New Roman"/>
          <w:sz w:val="22"/>
        </w:rPr>
      </w:pPr>
      <w:r w:rsidRPr="00082CA6">
        <w:rPr>
          <w:rFonts w:eastAsia="Times New Roman" w:cs="Times New Roman"/>
          <w:sz w:val="22"/>
        </w:rPr>
        <w:t xml:space="preserve">Yukarıdaki tabloda görüldüğü gibi, BT bağlantılı hedeflerin performans göstergelerinde olduğu gibi bunların gerçekleştirici hedeflerine yansıması olarak süreç hedefleri ve ölçütleri de verilmektedir. Buna göre EDM01 olarak numaralandırılan bu ilk sürecin hedefleri ile performans göstergeleri görülmektedir. Aşağıdaki tabloda ise EDM01 sürecinin değerlendirme, yönlendirme ve izleme olarak üç alt süreçlerinde rol alacak olan aktörler ve bunların durumu ifade edilmektedir. Şimdi bu ana sürecin her bir alt sürecinin detayları ve KA özelindeki uygulamaları sırasıyla verilecektir. </w:t>
      </w:r>
    </w:p>
    <w:p w:rsidR="00082CA6" w:rsidRPr="00082CA6" w:rsidRDefault="00082CA6" w:rsidP="00082CA6">
      <w:pPr>
        <w:keepNext/>
        <w:spacing w:before="0" w:after="120" w:line="240" w:lineRule="auto"/>
        <w:jc w:val="both"/>
        <w:rPr>
          <w:rFonts w:eastAsia="Times New Roman" w:cs="Times New Roman"/>
          <w:bCs/>
          <w:sz w:val="22"/>
          <w:lang w:eastAsia="tr-TR"/>
        </w:rPr>
      </w:pPr>
      <w:bookmarkStart w:id="15" w:name="_Toc421796715"/>
      <w:r w:rsidRPr="00082CA6">
        <w:rPr>
          <w:rFonts w:eastAsia="Times New Roman" w:cs="Times New Roman"/>
          <w:b/>
          <w:bCs/>
          <w:sz w:val="22"/>
          <w:lang w:eastAsia="tr-TR"/>
        </w:rPr>
        <w:t>Tablo 4.</w:t>
      </w:r>
      <w:r w:rsidRPr="00082CA6">
        <w:rPr>
          <w:rFonts w:eastAsia="Times New Roman" w:cs="Times New Roman"/>
          <w:bCs/>
          <w:sz w:val="22"/>
          <w:lang w:eastAsia="tr-TR"/>
        </w:rPr>
        <w:t xml:space="preserve"> Yönetişim Çerçevesi Kurulum ve Sürdürülmesini Sağla (EDM01) İçin SMDB</w:t>
      </w:r>
      <w:r w:rsidRPr="00082CA6">
        <w:rPr>
          <w:rFonts w:eastAsia="Times New Roman" w:cs="Times New Roman"/>
          <w:bCs/>
          <w:sz w:val="22"/>
          <w:vertAlign w:val="superscript"/>
          <w:lang w:eastAsia="tr-TR"/>
        </w:rPr>
        <w:footnoteReference w:id="5"/>
      </w:r>
      <w:r w:rsidRPr="00082CA6">
        <w:rPr>
          <w:rFonts w:eastAsia="Times New Roman" w:cs="Times New Roman"/>
          <w:bCs/>
          <w:sz w:val="22"/>
          <w:lang w:eastAsia="tr-TR"/>
        </w:rPr>
        <w:t xml:space="preserve"> Modeli</w:t>
      </w:r>
      <w:bookmarkEnd w:id="15"/>
    </w:p>
    <w:tbl>
      <w:tblPr>
        <w:tblStyle w:val="TabloKlavuzu"/>
        <w:tblW w:w="5000" w:type="pct"/>
        <w:tblLayout w:type="fixed"/>
        <w:tblCellMar>
          <w:left w:w="0" w:type="dxa"/>
          <w:right w:w="0" w:type="dxa"/>
        </w:tblCellMar>
        <w:tblLook w:val="04A0" w:firstRow="1" w:lastRow="0" w:firstColumn="1" w:lastColumn="0" w:noHBand="0" w:noVBand="1"/>
      </w:tblPr>
      <w:tblGrid>
        <w:gridCol w:w="1639"/>
        <w:gridCol w:w="286"/>
        <w:gridCol w:w="286"/>
        <w:gridCol w:w="286"/>
        <w:gridCol w:w="286"/>
        <w:gridCol w:w="288"/>
        <w:gridCol w:w="286"/>
        <w:gridCol w:w="286"/>
        <w:gridCol w:w="285"/>
        <w:gridCol w:w="285"/>
        <w:gridCol w:w="287"/>
        <w:gridCol w:w="285"/>
        <w:gridCol w:w="285"/>
        <w:gridCol w:w="285"/>
        <w:gridCol w:w="285"/>
        <w:gridCol w:w="287"/>
        <w:gridCol w:w="285"/>
        <w:gridCol w:w="285"/>
        <w:gridCol w:w="285"/>
        <w:gridCol w:w="285"/>
        <w:gridCol w:w="287"/>
        <w:gridCol w:w="285"/>
        <w:gridCol w:w="285"/>
        <w:gridCol w:w="285"/>
        <w:gridCol w:w="285"/>
      </w:tblGrid>
      <w:tr w:rsidR="00082CA6" w:rsidRPr="00082CA6" w:rsidTr="00082CA6">
        <w:trPr>
          <w:cantSplit/>
          <w:trHeight w:val="931"/>
        </w:trPr>
        <w:tc>
          <w:tcPr>
            <w:tcW w:w="964" w:type="pct"/>
            <w:tcBorders>
              <w:top w:val="single" w:sz="4" w:space="0" w:color="auto"/>
              <w:left w:val="single" w:sz="4" w:space="0" w:color="auto"/>
              <w:bottom w:val="nil"/>
              <w:right w:val="single" w:sz="4" w:space="0" w:color="auto"/>
            </w:tcBorders>
          </w:tcPr>
          <w:p w:rsidR="00082CA6" w:rsidRPr="00082CA6" w:rsidRDefault="00082CA6" w:rsidP="00082CA6">
            <w:pPr>
              <w:suppressAutoHyphens/>
              <w:spacing w:before="0" w:after="120" w:line="240" w:lineRule="auto"/>
              <w:rPr>
                <w:sz w:val="16"/>
                <w:szCs w:val="16"/>
                <w:lang w:eastAsia="tr-TR"/>
              </w:rPr>
            </w:pPr>
            <w:bookmarkStart w:id="16" w:name="_Toc385850331"/>
            <w:bookmarkStart w:id="17" w:name="_Toc385853440"/>
            <w:bookmarkStart w:id="18" w:name="_Toc386180304"/>
            <w:bookmarkStart w:id="19" w:name="_Toc386474780"/>
            <w:bookmarkStart w:id="20" w:name="_Toc386533445"/>
            <w:bookmarkStart w:id="21" w:name="_Toc386814527"/>
            <w:bookmarkStart w:id="22" w:name="_Toc386819101"/>
            <w:bookmarkStart w:id="23" w:name="_Toc386897409"/>
            <w:bookmarkStart w:id="24" w:name="_Toc386899024"/>
            <w:bookmarkStart w:id="25" w:name="_Toc386903115"/>
            <w:bookmarkStart w:id="26" w:name="_Toc387050150"/>
            <w:bookmarkStart w:id="27" w:name="_Toc387050597"/>
            <w:bookmarkStart w:id="28" w:name="_Toc387157290"/>
            <w:bookmarkStart w:id="29" w:name="_Toc387158453"/>
            <w:bookmarkStart w:id="30" w:name="_Toc387218958"/>
            <w:bookmarkStart w:id="31" w:name="_Toc387663152"/>
            <w:bookmarkStart w:id="32" w:name="_Toc387768613"/>
            <w:bookmarkStart w:id="33" w:name="_Toc387768929"/>
            <w:bookmarkStart w:id="34" w:name="_Toc387769903"/>
            <w:bookmarkStart w:id="35" w:name="_Toc387772880"/>
            <w:bookmarkStart w:id="36" w:name="_Toc387778139"/>
            <w:bookmarkStart w:id="37" w:name="_Toc387833761"/>
            <w:bookmarkStart w:id="38" w:name="_Toc387913361"/>
            <w:bookmarkStart w:id="39" w:name="_Toc387914589"/>
            <w:bookmarkStart w:id="40" w:name="_Toc385850335"/>
            <w:bookmarkStart w:id="41" w:name="_Toc385853444"/>
            <w:bookmarkStart w:id="42" w:name="_Toc386180308"/>
            <w:bookmarkStart w:id="43" w:name="_Toc386474784"/>
            <w:bookmarkStart w:id="44" w:name="_Toc386533449"/>
            <w:bookmarkStart w:id="45" w:name="_Toc386814531"/>
            <w:bookmarkStart w:id="46" w:name="_Toc385850336"/>
            <w:bookmarkStart w:id="47" w:name="_Toc385853445"/>
            <w:bookmarkStart w:id="48" w:name="_Toc386180309"/>
            <w:bookmarkStart w:id="49" w:name="_Toc386474785"/>
            <w:bookmarkStart w:id="50" w:name="_Toc386533450"/>
            <w:bookmarkStart w:id="51" w:name="_Toc386814532"/>
            <w:bookmarkStart w:id="52" w:name="_Toc386819106"/>
            <w:bookmarkStart w:id="53" w:name="_Toc386897414"/>
            <w:bookmarkStart w:id="54" w:name="_Toc386899029"/>
            <w:bookmarkStart w:id="55" w:name="_Toc386903120"/>
            <w:bookmarkStart w:id="56" w:name="_Toc387050155"/>
            <w:bookmarkStart w:id="57" w:name="_Toc38705060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roofErr w:type="spellStart"/>
            <w:r w:rsidRPr="00082CA6">
              <w:rPr>
                <w:b/>
                <w:sz w:val="16"/>
                <w:szCs w:val="16"/>
                <w:lang w:eastAsia="tr-TR"/>
              </w:rPr>
              <w:t>S</w:t>
            </w:r>
            <w:r w:rsidRPr="00082CA6">
              <w:rPr>
                <w:sz w:val="16"/>
                <w:szCs w:val="16"/>
                <w:lang w:eastAsia="tr-TR"/>
              </w:rPr>
              <w:t>orumlu</w:t>
            </w:r>
            <w:proofErr w:type="spellEnd"/>
            <w:r w:rsidRPr="00082CA6">
              <w:rPr>
                <w:sz w:val="16"/>
                <w:szCs w:val="16"/>
                <w:lang w:eastAsia="tr-TR"/>
              </w:rPr>
              <w:t xml:space="preserve">, </w:t>
            </w:r>
            <w:proofErr w:type="spellStart"/>
            <w:r w:rsidRPr="00082CA6">
              <w:rPr>
                <w:b/>
                <w:sz w:val="16"/>
                <w:szCs w:val="16"/>
                <w:lang w:eastAsia="tr-TR"/>
              </w:rPr>
              <w:t>M</w:t>
            </w:r>
            <w:r w:rsidRPr="00082CA6">
              <w:rPr>
                <w:sz w:val="16"/>
                <w:szCs w:val="16"/>
                <w:lang w:eastAsia="tr-TR"/>
              </w:rPr>
              <w:t>esul</w:t>
            </w:r>
            <w:proofErr w:type="spellEnd"/>
            <w:r w:rsidRPr="00082CA6">
              <w:rPr>
                <w:sz w:val="16"/>
                <w:szCs w:val="16"/>
                <w:lang w:eastAsia="tr-TR"/>
              </w:rPr>
              <w:t xml:space="preserve">, </w:t>
            </w:r>
            <w:proofErr w:type="spellStart"/>
            <w:r w:rsidRPr="00082CA6">
              <w:rPr>
                <w:b/>
                <w:sz w:val="16"/>
                <w:szCs w:val="16"/>
                <w:lang w:eastAsia="tr-TR"/>
              </w:rPr>
              <w:t>D</w:t>
            </w:r>
            <w:r w:rsidRPr="00082CA6">
              <w:rPr>
                <w:sz w:val="16"/>
                <w:szCs w:val="16"/>
                <w:lang w:eastAsia="tr-TR"/>
              </w:rPr>
              <w:t>anışılan</w:t>
            </w:r>
            <w:proofErr w:type="spellEnd"/>
            <w:r w:rsidRPr="00082CA6">
              <w:rPr>
                <w:sz w:val="16"/>
                <w:szCs w:val="16"/>
                <w:lang w:eastAsia="tr-TR"/>
              </w:rPr>
              <w:t xml:space="preserve">, </w:t>
            </w:r>
            <w:proofErr w:type="spellStart"/>
            <w:r w:rsidRPr="00082CA6">
              <w:rPr>
                <w:b/>
                <w:sz w:val="16"/>
                <w:szCs w:val="16"/>
                <w:lang w:eastAsia="tr-TR"/>
              </w:rPr>
              <w:t>B</w:t>
            </w:r>
            <w:r w:rsidRPr="00082CA6">
              <w:rPr>
                <w:sz w:val="16"/>
                <w:szCs w:val="16"/>
                <w:lang w:eastAsia="tr-TR"/>
              </w:rPr>
              <w:t>ilgilenen</w:t>
            </w:r>
            <w:proofErr w:type="spellEnd"/>
            <w:r w:rsidRPr="00082CA6">
              <w:rPr>
                <w:sz w:val="16"/>
                <w:szCs w:val="16"/>
                <w:lang w:eastAsia="tr-TR"/>
              </w:rPr>
              <w:sym w:font="Wingdings" w:char="F0E8"/>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BGYK</w:t>
            </w:r>
            <w:r w:rsidRPr="00082CA6">
              <w:rPr>
                <w:sz w:val="16"/>
                <w:szCs w:val="16"/>
                <w:vertAlign w:val="superscript"/>
                <w:lang w:eastAsia="tr-TR"/>
              </w:rPr>
              <w:footnoteReference w:id="6"/>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BGK</w:t>
            </w:r>
            <w:r w:rsidRPr="00082CA6">
              <w:rPr>
                <w:sz w:val="16"/>
                <w:szCs w:val="16"/>
                <w:vertAlign w:val="superscript"/>
                <w:lang w:eastAsia="tr-TR"/>
              </w:rPr>
              <w:footnoteReference w:id="7"/>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BGYUGM</w:t>
            </w:r>
            <w:r w:rsidRPr="00082CA6">
              <w:rPr>
                <w:sz w:val="16"/>
                <w:szCs w:val="16"/>
                <w:vertAlign w:val="superscript"/>
                <w:lang w:eastAsia="tr-TR"/>
              </w:rPr>
              <w:footnoteReference w:id="8"/>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YPKDGM</w:t>
            </w:r>
            <w:r w:rsidRPr="00082CA6">
              <w:rPr>
                <w:sz w:val="16"/>
                <w:szCs w:val="16"/>
                <w:vertAlign w:val="superscript"/>
                <w:lang w:eastAsia="tr-TR"/>
              </w:rPr>
              <w:footnoteReference w:id="9"/>
            </w:r>
          </w:p>
        </w:tc>
        <w:tc>
          <w:tcPr>
            <w:tcW w:w="169"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ISKM</w:t>
            </w:r>
            <w:r w:rsidRPr="00082CA6">
              <w:rPr>
                <w:sz w:val="16"/>
                <w:szCs w:val="16"/>
                <w:vertAlign w:val="superscript"/>
                <w:lang w:eastAsia="tr-TR"/>
              </w:rPr>
              <w:footnoteReference w:id="10"/>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EMSAGM</w:t>
            </w:r>
            <w:r w:rsidRPr="00082CA6">
              <w:rPr>
                <w:sz w:val="16"/>
                <w:szCs w:val="16"/>
                <w:vertAlign w:val="superscript"/>
                <w:lang w:eastAsia="tr-TR"/>
              </w:rPr>
              <w:footnoteReference w:id="11"/>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DEİGM</w:t>
            </w:r>
            <w:r w:rsidRPr="00082CA6">
              <w:rPr>
                <w:sz w:val="16"/>
                <w:szCs w:val="16"/>
                <w:vertAlign w:val="superscript"/>
                <w:lang w:eastAsia="tr-TR"/>
              </w:rPr>
              <w:footnoteReference w:id="12"/>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SSKGM</w:t>
            </w:r>
            <w:r w:rsidRPr="00082CA6">
              <w:rPr>
                <w:sz w:val="16"/>
                <w:szCs w:val="16"/>
                <w:vertAlign w:val="superscript"/>
                <w:lang w:eastAsia="tr-TR"/>
              </w:rPr>
              <w:footnoteReference w:id="13"/>
            </w:r>
          </w:p>
        </w:tc>
        <w:tc>
          <w:tcPr>
            <w:tcW w:w="168" w:type="pct"/>
            <w:vMerge w:val="restart"/>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YPİGM</w:t>
            </w:r>
            <w:r w:rsidRPr="00082CA6">
              <w:rPr>
                <w:sz w:val="16"/>
                <w:szCs w:val="16"/>
                <w:vertAlign w:val="superscript"/>
                <w:lang w:eastAsia="tr-TR"/>
              </w:rPr>
              <w:footnoteReference w:id="14"/>
            </w:r>
          </w:p>
        </w:tc>
        <w:tc>
          <w:tcPr>
            <w:tcW w:w="169" w:type="pct"/>
            <w:vMerge w:val="restart"/>
            <w:tcBorders>
              <w:lef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Yönetim</w:t>
            </w:r>
            <w:proofErr w:type="spellEnd"/>
            <w:r w:rsidRPr="00082CA6">
              <w:rPr>
                <w:sz w:val="16"/>
                <w:szCs w:val="16"/>
                <w:lang w:eastAsia="tr-TR"/>
              </w:rPr>
              <w:t xml:space="preserve"> </w:t>
            </w:r>
            <w:proofErr w:type="spellStart"/>
            <w:r w:rsidRPr="00082CA6">
              <w:rPr>
                <w:sz w:val="16"/>
                <w:szCs w:val="16"/>
                <w:lang w:eastAsia="tr-TR"/>
              </w:rPr>
              <w:t>Kurulu</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Kalkınma</w:t>
            </w:r>
            <w:proofErr w:type="spellEnd"/>
            <w:r w:rsidRPr="00082CA6">
              <w:rPr>
                <w:sz w:val="16"/>
                <w:szCs w:val="16"/>
                <w:lang w:eastAsia="tr-TR"/>
              </w:rPr>
              <w:t xml:space="preserve"> </w:t>
            </w:r>
            <w:proofErr w:type="spellStart"/>
            <w:r w:rsidRPr="00082CA6">
              <w:rPr>
                <w:sz w:val="16"/>
                <w:szCs w:val="16"/>
                <w:lang w:eastAsia="tr-TR"/>
              </w:rPr>
              <w:t>Kurulu</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Genel</w:t>
            </w:r>
            <w:proofErr w:type="spellEnd"/>
            <w:r w:rsidRPr="00082CA6">
              <w:rPr>
                <w:sz w:val="16"/>
                <w:szCs w:val="16"/>
                <w:lang w:eastAsia="tr-TR"/>
              </w:rPr>
              <w:t xml:space="preserve"> </w:t>
            </w:r>
            <w:proofErr w:type="spellStart"/>
            <w:r w:rsidRPr="00082CA6">
              <w:rPr>
                <w:sz w:val="16"/>
                <w:szCs w:val="16"/>
                <w:lang w:eastAsia="tr-TR"/>
              </w:rPr>
              <w:t>Sekreter</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İç</w:t>
            </w:r>
            <w:proofErr w:type="spellEnd"/>
            <w:r w:rsidRPr="00082CA6">
              <w:rPr>
                <w:sz w:val="16"/>
                <w:szCs w:val="16"/>
                <w:lang w:eastAsia="tr-TR"/>
              </w:rPr>
              <w:t xml:space="preserve"> </w:t>
            </w:r>
            <w:proofErr w:type="spellStart"/>
            <w:r w:rsidRPr="00082CA6">
              <w:rPr>
                <w:sz w:val="16"/>
                <w:szCs w:val="16"/>
                <w:lang w:eastAsia="tr-TR"/>
              </w:rPr>
              <w:t>Denetçi</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Hukuk</w:t>
            </w:r>
            <w:proofErr w:type="spellEnd"/>
            <w:r w:rsidRPr="00082CA6">
              <w:rPr>
                <w:sz w:val="16"/>
                <w:szCs w:val="16"/>
                <w:lang w:eastAsia="tr-TR"/>
              </w:rPr>
              <w:t xml:space="preserve"> </w:t>
            </w:r>
            <w:proofErr w:type="spellStart"/>
            <w:r w:rsidRPr="00082CA6">
              <w:rPr>
                <w:sz w:val="16"/>
                <w:szCs w:val="16"/>
                <w:lang w:eastAsia="tr-TR"/>
              </w:rPr>
              <w:t>Danışmanı</w:t>
            </w:r>
            <w:proofErr w:type="spellEnd"/>
          </w:p>
        </w:tc>
        <w:tc>
          <w:tcPr>
            <w:tcW w:w="169"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Muhasebe</w:t>
            </w:r>
            <w:proofErr w:type="spellEnd"/>
            <w:r w:rsidRPr="00082CA6">
              <w:rPr>
                <w:sz w:val="16"/>
                <w:szCs w:val="16"/>
                <w:lang w:eastAsia="tr-TR"/>
              </w:rPr>
              <w:t xml:space="preserve"> </w:t>
            </w:r>
            <w:proofErr w:type="spellStart"/>
            <w:r w:rsidRPr="00082CA6">
              <w:rPr>
                <w:sz w:val="16"/>
                <w:szCs w:val="16"/>
                <w:lang w:eastAsia="tr-TR"/>
              </w:rPr>
              <w:t>Yetkilisi</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KIB </w:t>
            </w:r>
            <w:proofErr w:type="spellStart"/>
            <w:r w:rsidRPr="00082CA6">
              <w:rPr>
                <w:sz w:val="16"/>
                <w:szCs w:val="16"/>
                <w:lang w:eastAsia="tr-TR"/>
              </w:rPr>
              <w:t>Başkanı</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PYB </w:t>
            </w:r>
            <w:proofErr w:type="spellStart"/>
            <w:r w:rsidRPr="00082CA6">
              <w:rPr>
                <w:sz w:val="16"/>
                <w:szCs w:val="16"/>
                <w:lang w:eastAsia="tr-TR"/>
              </w:rPr>
              <w:t>Başkanı</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IGSB </w:t>
            </w:r>
            <w:proofErr w:type="spellStart"/>
            <w:r w:rsidRPr="00082CA6">
              <w:rPr>
                <w:sz w:val="16"/>
                <w:szCs w:val="16"/>
                <w:lang w:eastAsia="tr-TR"/>
              </w:rPr>
              <w:t>Başkanı</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DHB </w:t>
            </w:r>
            <w:proofErr w:type="spellStart"/>
            <w:r w:rsidRPr="00082CA6">
              <w:rPr>
                <w:sz w:val="16"/>
                <w:szCs w:val="16"/>
                <w:lang w:eastAsia="tr-TR"/>
              </w:rPr>
              <w:t>Başkanı</w:t>
            </w:r>
            <w:proofErr w:type="spellEnd"/>
          </w:p>
        </w:tc>
        <w:tc>
          <w:tcPr>
            <w:tcW w:w="169"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YDO </w:t>
            </w:r>
            <w:proofErr w:type="spellStart"/>
            <w:r w:rsidRPr="00082CA6">
              <w:rPr>
                <w:sz w:val="16"/>
                <w:szCs w:val="16"/>
                <w:lang w:eastAsia="tr-TR"/>
              </w:rPr>
              <w:t>Koordinatörü</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BT </w:t>
            </w:r>
            <w:proofErr w:type="spellStart"/>
            <w:r w:rsidRPr="00082CA6">
              <w:rPr>
                <w:sz w:val="16"/>
                <w:szCs w:val="16"/>
                <w:lang w:eastAsia="tr-TR"/>
              </w:rPr>
              <w:t>Güvenliği</w:t>
            </w:r>
            <w:proofErr w:type="spellEnd"/>
            <w:r w:rsidRPr="00082CA6">
              <w:rPr>
                <w:sz w:val="16"/>
                <w:szCs w:val="16"/>
                <w:lang w:eastAsia="tr-TR"/>
              </w:rPr>
              <w:t xml:space="preserve"> </w:t>
            </w:r>
            <w:proofErr w:type="spellStart"/>
            <w:r w:rsidRPr="00082CA6">
              <w:rPr>
                <w:sz w:val="16"/>
                <w:szCs w:val="16"/>
                <w:lang w:eastAsia="tr-TR"/>
              </w:rPr>
              <w:t>Sorumlusu</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Risk </w:t>
            </w:r>
            <w:proofErr w:type="spellStart"/>
            <w:r w:rsidRPr="00082CA6">
              <w:rPr>
                <w:sz w:val="16"/>
                <w:szCs w:val="16"/>
                <w:lang w:eastAsia="tr-TR"/>
              </w:rPr>
              <w:t>Yönetimi</w:t>
            </w:r>
            <w:proofErr w:type="spellEnd"/>
            <w:r w:rsidRPr="00082CA6">
              <w:rPr>
                <w:sz w:val="16"/>
                <w:szCs w:val="16"/>
                <w:lang w:eastAsia="tr-TR"/>
              </w:rPr>
              <w:t xml:space="preserve"> </w:t>
            </w:r>
            <w:proofErr w:type="spellStart"/>
            <w:r w:rsidRPr="00082CA6">
              <w:rPr>
                <w:sz w:val="16"/>
                <w:szCs w:val="16"/>
                <w:lang w:eastAsia="tr-TR"/>
              </w:rPr>
              <w:t>Sorumlusu</w:t>
            </w:r>
            <w:proofErr w:type="spellEnd"/>
          </w:p>
        </w:tc>
        <w:tc>
          <w:tcPr>
            <w:tcW w:w="168"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İç</w:t>
            </w:r>
            <w:proofErr w:type="spellEnd"/>
            <w:r w:rsidRPr="00082CA6">
              <w:rPr>
                <w:sz w:val="16"/>
                <w:szCs w:val="16"/>
                <w:lang w:eastAsia="tr-TR"/>
              </w:rPr>
              <w:t xml:space="preserve"> </w:t>
            </w:r>
            <w:proofErr w:type="spellStart"/>
            <w:r w:rsidRPr="00082CA6">
              <w:rPr>
                <w:sz w:val="16"/>
                <w:szCs w:val="16"/>
                <w:lang w:eastAsia="tr-TR"/>
              </w:rPr>
              <w:t>Kontrol</w:t>
            </w:r>
            <w:proofErr w:type="spellEnd"/>
            <w:r w:rsidRPr="00082CA6">
              <w:rPr>
                <w:sz w:val="16"/>
                <w:szCs w:val="16"/>
                <w:lang w:eastAsia="tr-TR"/>
              </w:rPr>
              <w:t xml:space="preserve"> </w:t>
            </w:r>
            <w:proofErr w:type="spellStart"/>
            <w:r w:rsidRPr="00082CA6">
              <w:rPr>
                <w:sz w:val="16"/>
                <w:szCs w:val="16"/>
                <w:lang w:eastAsia="tr-TR"/>
              </w:rPr>
              <w:t>Sistemi</w:t>
            </w:r>
            <w:proofErr w:type="spellEnd"/>
            <w:r w:rsidRPr="00082CA6">
              <w:rPr>
                <w:sz w:val="16"/>
                <w:szCs w:val="16"/>
                <w:lang w:eastAsia="tr-TR"/>
              </w:rPr>
              <w:t xml:space="preserve"> </w:t>
            </w:r>
            <w:proofErr w:type="spellStart"/>
            <w:r w:rsidRPr="00082CA6">
              <w:rPr>
                <w:sz w:val="16"/>
                <w:szCs w:val="16"/>
                <w:lang w:eastAsia="tr-TR"/>
              </w:rPr>
              <w:t>Sorumlusu</w:t>
            </w:r>
            <w:proofErr w:type="spellEnd"/>
          </w:p>
        </w:tc>
        <w:tc>
          <w:tcPr>
            <w:tcW w:w="169" w:type="pct"/>
            <w:vMerge w:val="restart"/>
            <w:textDirection w:val="btLr"/>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İş</w:t>
            </w:r>
            <w:proofErr w:type="spellEnd"/>
            <w:r w:rsidRPr="00082CA6">
              <w:rPr>
                <w:sz w:val="16"/>
                <w:szCs w:val="16"/>
                <w:lang w:eastAsia="tr-TR"/>
              </w:rPr>
              <w:t xml:space="preserve"> </w:t>
            </w:r>
            <w:proofErr w:type="spellStart"/>
            <w:r w:rsidRPr="00082CA6">
              <w:rPr>
                <w:sz w:val="16"/>
                <w:szCs w:val="16"/>
                <w:lang w:eastAsia="tr-TR"/>
              </w:rPr>
              <w:t>Sürekliliği</w:t>
            </w:r>
            <w:proofErr w:type="spellEnd"/>
            <w:r w:rsidRPr="00082CA6">
              <w:rPr>
                <w:sz w:val="16"/>
                <w:szCs w:val="16"/>
                <w:lang w:eastAsia="tr-TR"/>
              </w:rPr>
              <w:t xml:space="preserve"> </w:t>
            </w:r>
            <w:proofErr w:type="spellStart"/>
            <w:r w:rsidRPr="00082CA6">
              <w:rPr>
                <w:sz w:val="16"/>
                <w:szCs w:val="16"/>
                <w:lang w:eastAsia="tr-TR"/>
              </w:rPr>
              <w:t>Sorumlusu</w:t>
            </w:r>
            <w:proofErr w:type="spellEnd"/>
          </w:p>
        </w:tc>
      </w:tr>
      <w:tr w:rsidR="00082CA6" w:rsidRPr="00082CA6" w:rsidTr="00082CA6">
        <w:trPr>
          <w:cantSplit/>
          <w:trHeight w:val="84"/>
        </w:trPr>
        <w:tc>
          <w:tcPr>
            <w:tcW w:w="964" w:type="pct"/>
            <w:tcBorders>
              <w:top w:val="nil"/>
              <w:right w:val="single" w:sz="4" w:space="0" w:color="auto"/>
            </w:tcBorders>
          </w:tcPr>
          <w:p w:rsidR="00082CA6" w:rsidRPr="00082CA6" w:rsidRDefault="00082CA6" w:rsidP="00082CA6">
            <w:pPr>
              <w:suppressAutoHyphens/>
              <w:spacing w:before="0" w:after="120" w:line="240" w:lineRule="auto"/>
              <w:rPr>
                <w:sz w:val="16"/>
                <w:szCs w:val="16"/>
                <w:lang w:eastAsia="tr-TR"/>
              </w:rPr>
            </w:pPr>
          </w:p>
          <w:p w:rsidR="00082CA6" w:rsidRPr="00082CA6" w:rsidRDefault="00082CA6" w:rsidP="00082CA6">
            <w:pPr>
              <w:suppressAutoHyphens/>
              <w:spacing w:before="0" w:after="120" w:line="240" w:lineRule="auto"/>
              <w:rPr>
                <w:sz w:val="16"/>
                <w:szCs w:val="16"/>
                <w:lang w:eastAsia="tr-TR"/>
              </w:rPr>
            </w:pPr>
          </w:p>
          <w:p w:rsidR="00082CA6" w:rsidRPr="00082CA6" w:rsidRDefault="00082CA6" w:rsidP="00082CA6">
            <w:pPr>
              <w:suppressAutoHyphens/>
              <w:spacing w:before="0" w:after="120" w:line="240" w:lineRule="auto"/>
              <w:rPr>
                <w:sz w:val="16"/>
                <w:szCs w:val="16"/>
                <w:lang w:eastAsia="tr-TR"/>
              </w:rPr>
            </w:pPr>
          </w:p>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 xml:space="preserve">EDMO1 </w:t>
            </w:r>
            <w:proofErr w:type="spellStart"/>
            <w:r w:rsidRPr="00082CA6">
              <w:rPr>
                <w:sz w:val="16"/>
                <w:szCs w:val="16"/>
                <w:lang w:eastAsia="tr-TR"/>
              </w:rPr>
              <w:t>Süreçleri</w:t>
            </w:r>
            <w:proofErr w:type="spellEnd"/>
            <w:r w:rsidRPr="00082CA6">
              <w:rPr>
                <w:sz w:val="16"/>
                <w:szCs w:val="16"/>
                <w:lang w:eastAsia="tr-TR"/>
              </w:rPr>
              <w:sym w:font="Wingdings" w:char="F0EA"/>
            </w: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9"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cBorders>
              <w:left w:val="single" w:sz="4" w:space="0" w:color="auto"/>
              <w:righ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9" w:type="pct"/>
            <w:vMerge/>
            <w:tcBorders>
              <w:left w:val="single" w:sz="4" w:space="0" w:color="auto"/>
            </w:tcBorders>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9"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9"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8" w:type="pct"/>
            <w:vMerge/>
            <w:textDirection w:val="btLr"/>
          </w:tcPr>
          <w:p w:rsidR="00082CA6" w:rsidRPr="00082CA6" w:rsidRDefault="00082CA6" w:rsidP="00082CA6">
            <w:pPr>
              <w:suppressAutoHyphens/>
              <w:spacing w:before="0" w:after="120" w:line="240" w:lineRule="auto"/>
              <w:rPr>
                <w:sz w:val="16"/>
                <w:szCs w:val="16"/>
                <w:lang w:eastAsia="tr-TR"/>
              </w:rPr>
            </w:pPr>
          </w:p>
        </w:tc>
        <w:tc>
          <w:tcPr>
            <w:tcW w:w="169" w:type="pct"/>
            <w:vMerge/>
            <w:textDirection w:val="btLr"/>
          </w:tcPr>
          <w:p w:rsidR="00082CA6" w:rsidRPr="00082CA6" w:rsidRDefault="00082CA6" w:rsidP="00082CA6">
            <w:pPr>
              <w:suppressAutoHyphens/>
              <w:spacing w:before="0" w:after="120" w:line="240" w:lineRule="auto"/>
              <w:rPr>
                <w:sz w:val="16"/>
                <w:szCs w:val="16"/>
                <w:lang w:eastAsia="tr-TR"/>
              </w:rPr>
            </w:pPr>
          </w:p>
        </w:tc>
      </w:tr>
      <w:tr w:rsidR="00082CA6" w:rsidRPr="00082CA6" w:rsidTr="00082CA6">
        <w:tc>
          <w:tcPr>
            <w:tcW w:w="964" w:type="pct"/>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değerlendir</w:t>
            </w:r>
            <w:proofErr w:type="spellEnd"/>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M</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r>
      <w:tr w:rsidR="00082CA6" w:rsidRPr="00082CA6" w:rsidTr="00082CA6">
        <w:tc>
          <w:tcPr>
            <w:tcW w:w="964" w:type="pct"/>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yönlendir</w:t>
            </w:r>
            <w:proofErr w:type="spellEnd"/>
          </w:p>
        </w:tc>
        <w:tc>
          <w:tcPr>
            <w:tcW w:w="168" w:type="pct"/>
          </w:tcPr>
          <w:p w:rsidR="00082CA6" w:rsidRPr="00082CA6" w:rsidRDefault="00082CA6" w:rsidP="00082CA6">
            <w:pPr>
              <w:suppressAutoHyphens/>
              <w:spacing w:before="0" w:after="120" w:line="240" w:lineRule="auto"/>
              <w:rPr>
                <w:sz w:val="16"/>
                <w:szCs w:val="16"/>
                <w:lang w:eastAsia="tr-TR"/>
              </w:rPr>
            </w:pPr>
          </w:p>
        </w:tc>
        <w:tc>
          <w:tcPr>
            <w:tcW w:w="168" w:type="pct"/>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M</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p>
        </w:tc>
        <w:tc>
          <w:tcPr>
            <w:tcW w:w="169" w:type="pct"/>
            <w:vAlign w:val="center"/>
          </w:tcPr>
          <w:p w:rsidR="00082CA6" w:rsidRPr="00082CA6" w:rsidRDefault="00082CA6" w:rsidP="00082CA6">
            <w:pPr>
              <w:suppressAutoHyphens/>
              <w:spacing w:before="0" w:after="120" w:line="240" w:lineRule="auto"/>
              <w:rPr>
                <w:sz w:val="16"/>
                <w:szCs w:val="16"/>
                <w:lang w:eastAsia="tr-TR"/>
              </w:rPr>
            </w:pPr>
          </w:p>
        </w:tc>
      </w:tr>
      <w:tr w:rsidR="00082CA6" w:rsidRPr="00082CA6" w:rsidTr="00082CA6">
        <w:tc>
          <w:tcPr>
            <w:tcW w:w="964" w:type="pct"/>
          </w:tcPr>
          <w:p w:rsidR="00082CA6" w:rsidRPr="00082CA6" w:rsidRDefault="00082CA6" w:rsidP="00082CA6">
            <w:pPr>
              <w:suppressAutoHyphens/>
              <w:spacing w:before="0" w:after="120" w:line="240" w:lineRule="auto"/>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izle</w:t>
            </w:r>
            <w:proofErr w:type="spellEnd"/>
          </w:p>
        </w:tc>
        <w:tc>
          <w:tcPr>
            <w:tcW w:w="168" w:type="pct"/>
          </w:tcPr>
          <w:p w:rsidR="00082CA6" w:rsidRPr="00082CA6" w:rsidRDefault="00082CA6" w:rsidP="00082CA6">
            <w:pPr>
              <w:suppressAutoHyphens/>
              <w:spacing w:before="0" w:after="120" w:line="240" w:lineRule="auto"/>
              <w:rPr>
                <w:sz w:val="16"/>
                <w:szCs w:val="16"/>
                <w:lang w:eastAsia="tr-TR"/>
              </w:rPr>
            </w:pPr>
          </w:p>
        </w:tc>
        <w:tc>
          <w:tcPr>
            <w:tcW w:w="168" w:type="pct"/>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M</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B</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D</w:t>
            </w:r>
          </w:p>
        </w:tc>
        <w:tc>
          <w:tcPr>
            <w:tcW w:w="168" w:type="pct"/>
            <w:vAlign w:val="center"/>
          </w:tcPr>
          <w:p w:rsidR="00082CA6" w:rsidRPr="00082CA6" w:rsidRDefault="00082CA6" w:rsidP="00082CA6">
            <w:pPr>
              <w:suppressAutoHyphens/>
              <w:spacing w:before="0" w:after="120" w:line="240" w:lineRule="auto"/>
              <w:rPr>
                <w:sz w:val="16"/>
                <w:szCs w:val="16"/>
                <w:lang w:eastAsia="tr-TR"/>
              </w:rPr>
            </w:pP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8"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c>
          <w:tcPr>
            <w:tcW w:w="169" w:type="pct"/>
            <w:vAlign w:val="center"/>
          </w:tcPr>
          <w:p w:rsidR="00082CA6" w:rsidRPr="00082CA6" w:rsidRDefault="00082CA6" w:rsidP="00082CA6">
            <w:pPr>
              <w:suppressAutoHyphens/>
              <w:spacing w:before="0" w:after="120" w:line="240" w:lineRule="auto"/>
              <w:rPr>
                <w:sz w:val="16"/>
                <w:szCs w:val="16"/>
                <w:lang w:eastAsia="tr-TR"/>
              </w:rPr>
            </w:pPr>
            <w:r w:rsidRPr="00082CA6">
              <w:rPr>
                <w:sz w:val="16"/>
                <w:szCs w:val="16"/>
                <w:lang w:eastAsia="tr-TR"/>
              </w:rPr>
              <w:t>S</w:t>
            </w:r>
          </w:p>
        </w:tc>
      </w:tr>
    </w:tbl>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(ISACA, </w:t>
      </w:r>
      <w:proofErr w:type="spellStart"/>
      <w:r w:rsidRPr="00082CA6">
        <w:rPr>
          <w:rFonts w:eastAsia="Times New Roman" w:cs="Times New Roman"/>
          <w:sz w:val="20"/>
          <w:lang w:eastAsia="tr-TR"/>
        </w:rPr>
        <w:t>Enabling</w:t>
      </w:r>
      <w:proofErr w:type="spellEnd"/>
      <w:r w:rsidRPr="00082CA6">
        <w:rPr>
          <w:rFonts w:eastAsia="Times New Roman" w:cs="Times New Roman"/>
          <w:sz w:val="20"/>
          <w:lang w:eastAsia="tr-TR"/>
        </w:rPr>
        <w:t xml:space="preserve"> </w:t>
      </w:r>
      <w:proofErr w:type="spellStart"/>
      <w:r w:rsidRPr="00082CA6">
        <w:rPr>
          <w:rFonts w:eastAsia="Times New Roman" w:cs="Times New Roman"/>
          <w:sz w:val="20"/>
          <w:lang w:eastAsia="tr-TR"/>
        </w:rPr>
        <w:t>Processes</w:t>
      </w:r>
      <w:proofErr w:type="spellEnd"/>
      <w:r w:rsidRPr="00082CA6">
        <w:rPr>
          <w:rFonts w:eastAsia="Times New Roman" w:cs="Times New Roman"/>
          <w:sz w:val="20"/>
          <w:lang w:eastAsia="tr-TR"/>
        </w:rPr>
        <w:t xml:space="preserve">, 2012)’ den uyarlanmıştır. </w:t>
      </w:r>
    </w:p>
    <w:p w:rsidR="00082CA6" w:rsidRPr="00082CA6" w:rsidRDefault="00082CA6" w:rsidP="00082CA6">
      <w:pPr>
        <w:keepNext/>
        <w:tabs>
          <w:tab w:val="left" w:pos="851"/>
          <w:tab w:val="left" w:pos="993"/>
        </w:tabs>
        <w:spacing w:before="0" w:after="120" w:line="240" w:lineRule="auto"/>
        <w:jc w:val="both"/>
        <w:outlineLvl w:val="2"/>
        <w:rPr>
          <w:rFonts w:eastAsia="TimesNewRoman" w:cs="Times New Roman"/>
          <w:b/>
          <w:bCs/>
          <w:color w:val="000000"/>
          <w:spacing w:val="20"/>
          <w:position w:val="6"/>
          <w:sz w:val="22"/>
          <w:lang w:val="en-US" w:eastAsia="tr-TR"/>
        </w:rPr>
      </w:pPr>
      <w:bookmarkStart w:id="58" w:name="_Toc421783878"/>
      <w:proofErr w:type="spellStart"/>
      <w:r w:rsidRPr="00082CA6">
        <w:rPr>
          <w:rFonts w:eastAsia="TimesNewRoman" w:cs="Times New Roman"/>
          <w:b/>
          <w:bCs/>
          <w:color w:val="000000"/>
          <w:spacing w:val="20"/>
          <w:position w:val="6"/>
          <w:sz w:val="22"/>
          <w:lang w:val="en-US" w:eastAsia="tr-TR"/>
        </w:rPr>
        <w:lastRenderedPageBreak/>
        <w:t>Yönetişim</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sisteminin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değerlendirilmesi</w:t>
      </w:r>
      <w:proofErr w:type="spellEnd"/>
      <w:r w:rsidRPr="00082CA6">
        <w:rPr>
          <w:rFonts w:eastAsia="TimesNewRoman" w:cs="Times New Roman"/>
          <w:b/>
          <w:bCs/>
          <w:color w:val="000000"/>
          <w:spacing w:val="20"/>
          <w:position w:val="6"/>
          <w:sz w:val="22"/>
          <w:lang w:val="en-US" w:eastAsia="tr-TR"/>
        </w:rPr>
        <w:t xml:space="preserve"> alt </w:t>
      </w:r>
      <w:proofErr w:type="spellStart"/>
      <w:r w:rsidRPr="00082CA6">
        <w:rPr>
          <w:rFonts w:eastAsia="TimesNewRoman" w:cs="Times New Roman"/>
          <w:b/>
          <w:bCs/>
          <w:color w:val="000000"/>
          <w:spacing w:val="20"/>
          <w:position w:val="6"/>
          <w:sz w:val="22"/>
          <w:lang w:val="en-US" w:eastAsia="tr-TR"/>
        </w:rPr>
        <w:t>süreci</w:t>
      </w:r>
      <w:proofErr w:type="spellEnd"/>
      <w:r w:rsidRPr="00082CA6">
        <w:rPr>
          <w:rFonts w:eastAsia="TimesNewRoman" w:cs="Times New Roman"/>
          <w:b/>
          <w:bCs/>
          <w:color w:val="000000"/>
          <w:spacing w:val="20"/>
          <w:position w:val="6"/>
          <w:sz w:val="22"/>
          <w:lang w:val="en-US" w:eastAsia="tr-TR"/>
        </w:rPr>
        <w:t xml:space="preserve"> (EDM01.01)</w:t>
      </w:r>
      <w:bookmarkEnd w:id="58"/>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EDM01 sürecinin alt süreci olarak, sürekli şekilde kalkınma ajansının paydaşlarının belirlenmesi ve irtibat kurulması, gereksinimlere dair mutabakatın belgelenmesi ve güncel ve gelecekteki kurumsal BT yönetişim ve tasarımı üzerinde bir karara varılmasını sağlamak gerekmektedir. İş ortamı eğilimleri,  yasal düzenlemeler, yönetişim-karar alma modeli, KA iç mevzuatı ile MEA.03.02 uygun gereksinimlerine dair bildirimler bu alt sürecin girdilerini oluşturmaktadır. Bu alt sürecin çıktıları ise KA yönetişimi rehber prensipleri, karar alma modeli ve yetki seviyeleridir.</w:t>
      </w:r>
    </w:p>
    <w:p w:rsidR="00082CA6" w:rsidRPr="00082CA6" w:rsidRDefault="00082CA6" w:rsidP="00082CA6">
      <w:pPr>
        <w:spacing w:before="0" w:after="120" w:line="240" w:lineRule="auto"/>
        <w:jc w:val="both"/>
        <w:rPr>
          <w:rFonts w:eastAsia="Times New Roman" w:cs="Times New Roman"/>
          <w:bCs/>
          <w:sz w:val="22"/>
          <w:lang w:eastAsia="tr-TR"/>
        </w:rPr>
      </w:pPr>
      <w:bookmarkStart w:id="59" w:name="_Toc421787715"/>
      <w:r w:rsidRPr="00082CA6">
        <w:rPr>
          <w:rFonts w:eastAsia="Times New Roman" w:cs="Times New Roman"/>
          <w:b/>
          <w:bCs/>
          <w:sz w:val="22"/>
          <w:lang w:eastAsia="tr-TR"/>
        </w:rPr>
        <w:t>Şekil 4</w:t>
      </w:r>
      <w:r w:rsidRPr="00082CA6">
        <w:rPr>
          <w:rFonts w:eastAsia="Times New Roman" w:cs="Times New Roman"/>
          <w:bCs/>
          <w:sz w:val="22"/>
          <w:lang w:eastAsia="tr-TR"/>
        </w:rPr>
        <w:t>. Yönetişim Sistemini Değerlendir (EDM01.01) Süreç Uygulama Modeli</w:t>
      </w:r>
      <w:bookmarkEnd w:id="59"/>
    </w:p>
    <w:tbl>
      <w:tblPr>
        <w:tblStyle w:val="AkKlavuz-Vurgu51"/>
        <w:tblW w:w="0" w:type="auto"/>
        <w:tblLook w:val="04A0" w:firstRow="1" w:lastRow="0" w:firstColumn="1" w:lastColumn="0" w:noHBand="0" w:noVBand="1"/>
      </w:tblPr>
      <w:tblGrid>
        <w:gridCol w:w="1210"/>
        <w:gridCol w:w="2250"/>
        <w:gridCol w:w="1681"/>
        <w:gridCol w:w="1302"/>
        <w:gridCol w:w="1310"/>
      </w:tblGrid>
      <w:tr w:rsidR="00082CA6" w:rsidRPr="00082CA6" w:rsidTr="00082CA6">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7586" w:type="dxa"/>
            <w:gridSpan w:val="5"/>
          </w:tcPr>
          <w:p w:rsidR="00082CA6" w:rsidRPr="00082CA6" w:rsidRDefault="00082CA6" w:rsidP="00082CA6">
            <w:pPr>
              <w:spacing w:before="0" w:after="120" w:line="240" w:lineRule="auto"/>
              <w:jc w:val="both"/>
              <w:rPr>
                <w:sz w:val="16"/>
                <w:szCs w:val="16"/>
                <w:lang w:eastAsia="tr-TR"/>
              </w:rPr>
            </w:pPr>
            <w:r w:rsidRPr="00082CA6">
              <w:rPr>
                <w:noProof/>
                <w:sz w:val="16"/>
                <w:szCs w:val="16"/>
                <w:lang w:eastAsia="tr-TR"/>
              </w:rPr>
              <w:drawing>
                <wp:inline distT="0" distB="0" distL="0" distR="0" wp14:anchorId="01424A50" wp14:editId="6729910A">
                  <wp:extent cx="4601261" cy="387706"/>
                  <wp:effectExtent l="76200" t="57150" r="27940" b="1079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r>
      <w:tr w:rsidR="00082CA6" w:rsidRPr="00082CA6" w:rsidTr="00082CA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32" w:type="dxa"/>
          </w:tcPr>
          <w:p w:rsidR="00082CA6" w:rsidRPr="00082CA6" w:rsidRDefault="00082CA6" w:rsidP="00082CA6">
            <w:pPr>
              <w:spacing w:before="0" w:after="120" w:line="240" w:lineRule="auto"/>
              <w:jc w:val="both"/>
              <w:rPr>
                <w:sz w:val="16"/>
                <w:szCs w:val="16"/>
                <w:lang w:eastAsia="tr-TR"/>
              </w:rPr>
            </w:pPr>
            <w:r w:rsidRPr="00082CA6">
              <w:rPr>
                <w:sz w:val="16"/>
                <w:szCs w:val="16"/>
                <w:lang w:eastAsia="tr-TR"/>
              </w:rPr>
              <w:t xml:space="preserve">MEA03.02 </w:t>
            </w:r>
          </w:p>
          <w:p w:rsidR="00082CA6" w:rsidRPr="00082CA6" w:rsidRDefault="00082CA6" w:rsidP="00082CA6">
            <w:pPr>
              <w:spacing w:before="0" w:after="120" w:line="240" w:lineRule="auto"/>
              <w:jc w:val="both"/>
              <w:rPr>
                <w:sz w:val="16"/>
                <w:szCs w:val="16"/>
                <w:lang w:eastAsia="tr-TR"/>
              </w:rPr>
            </w:pPr>
            <w:r w:rsidRPr="00082CA6">
              <w:rPr>
                <w:sz w:val="16"/>
                <w:szCs w:val="16"/>
                <w:lang w:eastAsia="tr-TR"/>
              </w:rPr>
              <w:t xml:space="preserve">COBIT </w:t>
            </w:r>
            <w:proofErr w:type="spellStart"/>
            <w:r w:rsidRPr="00082CA6">
              <w:rPr>
                <w:sz w:val="16"/>
                <w:szCs w:val="16"/>
                <w:lang w:eastAsia="tr-TR"/>
              </w:rPr>
              <w:t>dışında</w:t>
            </w:r>
            <w:proofErr w:type="spellEnd"/>
            <w:r w:rsidRPr="00082CA6">
              <w:rPr>
                <w:sz w:val="16"/>
                <w:szCs w:val="16"/>
                <w:lang w:eastAsia="tr-TR"/>
              </w:rPr>
              <w:t xml:space="preserve"> </w:t>
            </w:r>
          </w:p>
          <w:p w:rsidR="00082CA6" w:rsidRPr="00082CA6" w:rsidRDefault="00082CA6" w:rsidP="00082CA6">
            <w:pPr>
              <w:spacing w:before="0" w:after="120" w:line="240" w:lineRule="auto"/>
              <w:jc w:val="both"/>
              <w:rPr>
                <w:sz w:val="16"/>
                <w:szCs w:val="16"/>
                <w:lang w:eastAsia="tr-TR"/>
              </w:rPr>
            </w:pPr>
          </w:p>
        </w:tc>
        <w:tc>
          <w:tcPr>
            <w:tcW w:w="2163" w:type="dxa"/>
            <w:tcBorders>
              <w:righ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Değiştirilmiş</w:t>
            </w:r>
            <w:proofErr w:type="spellEnd"/>
            <w:r w:rsidRPr="00082CA6">
              <w:rPr>
                <w:sz w:val="16"/>
                <w:szCs w:val="16"/>
                <w:lang w:eastAsia="tr-TR"/>
              </w:rPr>
              <w:t xml:space="preserve"> </w:t>
            </w:r>
            <w:proofErr w:type="spellStart"/>
            <w:r w:rsidRPr="00082CA6">
              <w:rPr>
                <w:sz w:val="16"/>
                <w:szCs w:val="16"/>
                <w:lang w:eastAsia="tr-TR"/>
              </w:rPr>
              <w:t>uyum</w:t>
            </w:r>
            <w:proofErr w:type="spellEnd"/>
            <w:r w:rsidRPr="00082CA6">
              <w:rPr>
                <w:sz w:val="16"/>
                <w:szCs w:val="16"/>
                <w:lang w:eastAsia="tr-TR"/>
              </w:rPr>
              <w:t xml:space="preserve"> </w:t>
            </w:r>
            <w:proofErr w:type="spellStart"/>
            <w:r w:rsidRPr="00082CA6">
              <w:rPr>
                <w:sz w:val="16"/>
                <w:szCs w:val="16"/>
                <w:lang w:eastAsia="tr-TR"/>
              </w:rPr>
              <w:t>gereksinimlerine</w:t>
            </w:r>
            <w:proofErr w:type="spellEnd"/>
            <w:r w:rsidRPr="00082CA6">
              <w:rPr>
                <w:sz w:val="16"/>
                <w:szCs w:val="16"/>
                <w:lang w:eastAsia="tr-TR"/>
              </w:rPr>
              <w:t xml:space="preserve"> </w:t>
            </w:r>
            <w:proofErr w:type="spellStart"/>
            <w:r w:rsidRPr="00082CA6">
              <w:rPr>
                <w:sz w:val="16"/>
                <w:szCs w:val="16"/>
                <w:lang w:eastAsia="tr-TR"/>
              </w:rPr>
              <w:t>dair</w:t>
            </w:r>
            <w:proofErr w:type="spellEnd"/>
            <w:r w:rsidRPr="00082CA6">
              <w:rPr>
                <w:sz w:val="16"/>
                <w:szCs w:val="16"/>
                <w:lang w:eastAsia="tr-TR"/>
              </w:rPr>
              <w:t xml:space="preserve"> </w:t>
            </w:r>
            <w:proofErr w:type="spellStart"/>
            <w:r w:rsidRPr="00082CA6">
              <w:rPr>
                <w:sz w:val="16"/>
                <w:szCs w:val="16"/>
                <w:lang w:eastAsia="tr-TR"/>
              </w:rPr>
              <w:t>bildirimler</w:t>
            </w:r>
            <w:proofErr w:type="spellEnd"/>
            <w:r w:rsidRPr="00082CA6">
              <w:rPr>
                <w:sz w:val="16"/>
                <w:szCs w:val="16"/>
                <w:lang w:eastAsia="tr-TR"/>
              </w:rPr>
              <w:t xml:space="preserve">, </w:t>
            </w:r>
            <w:proofErr w:type="spellStart"/>
            <w:r w:rsidRPr="00082CA6">
              <w:rPr>
                <w:sz w:val="16"/>
                <w:szCs w:val="16"/>
                <w:lang w:eastAsia="tr-TR"/>
              </w:rPr>
              <w:t>İş</w:t>
            </w:r>
            <w:proofErr w:type="spellEnd"/>
            <w:r w:rsidRPr="00082CA6">
              <w:rPr>
                <w:sz w:val="16"/>
                <w:szCs w:val="16"/>
                <w:lang w:eastAsia="tr-TR"/>
              </w:rPr>
              <w:t xml:space="preserve"> </w:t>
            </w:r>
            <w:proofErr w:type="spellStart"/>
            <w:r w:rsidRPr="00082CA6">
              <w:rPr>
                <w:sz w:val="16"/>
                <w:szCs w:val="16"/>
                <w:lang w:eastAsia="tr-TR"/>
              </w:rPr>
              <w:t>ortamı</w:t>
            </w:r>
            <w:proofErr w:type="spellEnd"/>
            <w:r w:rsidRPr="00082CA6">
              <w:rPr>
                <w:sz w:val="16"/>
                <w:szCs w:val="16"/>
                <w:lang w:eastAsia="tr-TR"/>
              </w:rPr>
              <w:t xml:space="preserve"> </w:t>
            </w:r>
            <w:proofErr w:type="spellStart"/>
            <w:r w:rsidRPr="00082CA6">
              <w:rPr>
                <w:sz w:val="16"/>
                <w:szCs w:val="16"/>
                <w:lang w:eastAsia="tr-TR"/>
              </w:rPr>
              <w:t>eğilimleri</w:t>
            </w:r>
            <w:proofErr w:type="spellEnd"/>
            <w:r w:rsidRPr="00082CA6">
              <w:rPr>
                <w:sz w:val="16"/>
                <w:szCs w:val="16"/>
                <w:lang w:eastAsia="tr-TR"/>
              </w:rPr>
              <w:t xml:space="preserve">, </w:t>
            </w:r>
            <w:proofErr w:type="spellStart"/>
            <w:r w:rsidRPr="00082CA6">
              <w:rPr>
                <w:sz w:val="16"/>
                <w:szCs w:val="16"/>
                <w:lang w:eastAsia="tr-TR"/>
              </w:rPr>
              <w:t>Yasal</w:t>
            </w:r>
            <w:proofErr w:type="spellEnd"/>
            <w:r w:rsidRPr="00082CA6">
              <w:rPr>
                <w:sz w:val="16"/>
                <w:szCs w:val="16"/>
                <w:lang w:eastAsia="tr-TR"/>
              </w:rPr>
              <w:t xml:space="preserve"> </w:t>
            </w:r>
            <w:proofErr w:type="spellStart"/>
            <w:r w:rsidRPr="00082CA6">
              <w:rPr>
                <w:sz w:val="16"/>
                <w:szCs w:val="16"/>
                <w:lang w:eastAsia="tr-TR"/>
              </w:rPr>
              <w:t>düzenlemeler</w:t>
            </w:r>
            <w:proofErr w:type="spellEnd"/>
            <w:r w:rsidRPr="00082CA6">
              <w:rPr>
                <w:sz w:val="16"/>
                <w:szCs w:val="16"/>
                <w:lang w:eastAsia="tr-TR"/>
              </w:rPr>
              <w:t xml:space="preserve">, </w:t>
            </w: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karar</w:t>
            </w:r>
            <w:proofErr w:type="spellEnd"/>
            <w:r w:rsidRPr="00082CA6">
              <w:rPr>
                <w:sz w:val="16"/>
                <w:szCs w:val="16"/>
                <w:lang w:eastAsia="tr-TR"/>
              </w:rPr>
              <w:t xml:space="preserve"> alma </w:t>
            </w:r>
            <w:proofErr w:type="spellStart"/>
            <w:r w:rsidRPr="00082CA6">
              <w:rPr>
                <w:sz w:val="16"/>
                <w:szCs w:val="16"/>
                <w:lang w:eastAsia="tr-TR"/>
              </w:rPr>
              <w:t>modeli</w:t>
            </w:r>
            <w:proofErr w:type="spellEnd"/>
            <w:r w:rsidRPr="00082CA6">
              <w:rPr>
                <w:sz w:val="16"/>
                <w:szCs w:val="16"/>
                <w:lang w:eastAsia="tr-TR"/>
              </w:rPr>
              <w:t xml:space="preserve">, </w:t>
            </w:r>
            <w:proofErr w:type="spellStart"/>
            <w:r w:rsidRPr="00082CA6">
              <w:rPr>
                <w:sz w:val="16"/>
                <w:szCs w:val="16"/>
                <w:lang w:eastAsia="tr-TR"/>
              </w:rPr>
              <w:t>Anayasa</w:t>
            </w:r>
            <w:proofErr w:type="spellEnd"/>
            <w:r w:rsidRPr="00082CA6">
              <w:rPr>
                <w:sz w:val="16"/>
                <w:szCs w:val="16"/>
                <w:lang w:eastAsia="tr-TR"/>
              </w:rPr>
              <w:t>/</w:t>
            </w:r>
            <w:proofErr w:type="spellStart"/>
            <w:r w:rsidRPr="00082CA6">
              <w:rPr>
                <w:sz w:val="16"/>
                <w:szCs w:val="16"/>
                <w:lang w:eastAsia="tr-TR"/>
              </w:rPr>
              <w:t>ek</w:t>
            </w:r>
            <w:proofErr w:type="spellEnd"/>
            <w:r w:rsidRPr="00082CA6">
              <w:rPr>
                <w:sz w:val="16"/>
                <w:szCs w:val="16"/>
                <w:lang w:eastAsia="tr-TR"/>
              </w:rPr>
              <w:t xml:space="preserve"> </w:t>
            </w:r>
            <w:proofErr w:type="spellStart"/>
            <w:r w:rsidRPr="00082CA6">
              <w:rPr>
                <w:sz w:val="16"/>
                <w:szCs w:val="16"/>
                <w:lang w:eastAsia="tr-TR"/>
              </w:rPr>
              <w:t>maddeler</w:t>
            </w:r>
            <w:proofErr w:type="spellEnd"/>
            <w:r w:rsidRPr="00082CA6">
              <w:rPr>
                <w:sz w:val="16"/>
                <w:szCs w:val="16"/>
                <w:lang w:eastAsia="tr-TR"/>
              </w:rPr>
              <w:t>/</w:t>
            </w:r>
            <w:proofErr w:type="spellStart"/>
            <w:r w:rsidRPr="00082CA6">
              <w:rPr>
                <w:sz w:val="16"/>
                <w:szCs w:val="16"/>
                <w:lang w:eastAsia="tr-TR"/>
              </w:rPr>
              <w:t>organizasyon</w:t>
            </w:r>
            <w:proofErr w:type="spellEnd"/>
            <w:r w:rsidRPr="00082CA6">
              <w:rPr>
                <w:sz w:val="16"/>
                <w:szCs w:val="16"/>
                <w:lang w:eastAsia="tr-TR"/>
              </w:rPr>
              <w:t xml:space="preserve"> </w:t>
            </w:r>
            <w:proofErr w:type="spellStart"/>
            <w:r w:rsidRPr="00082CA6">
              <w:rPr>
                <w:sz w:val="16"/>
                <w:szCs w:val="16"/>
                <w:lang w:eastAsia="tr-TR"/>
              </w:rPr>
              <w:t>mevzuatı</w:t>
            </w:r>
            <w:proofErr w:type="spellEnd"/>
            <w:r w:rsidRPr="00082CA6">
              <w:rPr>
                <w:sz w:val="16"/>
                <w:szCs w:val="16"/>
                <w:lang w:eastAsia="tr-TR"/>
              </w:rPr>
              <w:t xml:space="preserve"> </w:t>
            </w:r>
          </w:p>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tc>
        <w:tc>
          <w:tcPr>
            <w:tcW w:w="1681" w:type="dxa"/>
            <w:tcBorders>
              <w:top w:val="single" w:sz="4" w:space="0" w:color="auto"/>
              <w:left w:val="single" w:sz="4" w:space="0" w:color="auto"/>
              <w:bottom w:val="single" w:sz="4" w:space="0" w:color="auto"/>
              <w:right w:val="single" w:sz="4" w:space="0" w:color="auto"/>
            </w:tcBorders>
            <w:shd w:val="clear" w:color="auto" w:fill="FFFF00"/>
          </w:tcPr>
          <w:p w:rsidR="00082CA6" w:rsidRPr="00082CA6" w:rsidRDefault="00082CA6" w:rsidP="00082CA6">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Değerlendir</w:t>
            </w:r>
            <w:proofErr w:type="spellEnd"/>
            <w:r w:rsidRPr="00082CA6">
              <w:rPr>
                <w:sz w:val="16"/>
                <w:szCs w:val="16"/>
                <w:lang w:eastAsia="tr-TR"/>
              </w:rPr>
              <w:t xml:space="preserve"> (EDM01.01)</w:t>
            </w:r>
          </w:p>
        </w:tc>
        <w:tc>
          <w:tcPr>
            <w:tcW w:w="1300" w:type="dxa"/>
            <w:tcBorders>
              <w:lef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rPr>
              <w:t>Kurum</w:t>
            </w:r>
            <w:proofErr w:type="spellEnd"/>
            <w:r w:rsidRPr="00082CA6">
              <w:rPr>
                <w:sz w:val="16"/>
                <w:szCs w:val="16"/>
              </w:rPr>
              <w:t xml:space="preserve"> </w:t>
            </w:r>
            <w:proofErr w:type="spellStart"/>
            <w:r w:rsidRPr="00082CA6">
              <w:rPr>
                <w:sz w:val="16"/>
                <w:szCs w:val="16"/>
              </w:rPr>
              <w:t>yönetişimi</w:t>
            </w:r>
            <w:proofErr w:type="spellEnd"/>
            <w:r w:rsidRPr="00082CA6">
              <w:rPr>
                <w:sz w:val="16"/>
                <w:szCs w:val="16"/>
              </w:rPr>
              <w:t xml:space="preserve"> </w:t>
            </w:r>
            <w:proofErr w:type="spellStart"/>
            <w:r w:rsidRPr="00082CA6">
              <w:rPr>
                <w:sz w:val="16"/>
                <w:szCs w:val="16"/>
              </w:rPr>
              <w:t>rehber</w:t>
            </w:r>
            <w:proofErr w:type="spellEnd"/>
            <w:r w:rsidRPr="00082CA6">
              <w:rPr>
                <w:sz w:val="16"/>
                <w:szCs w:val="16"/>
              </w:rPr>
              <w:t xml:space="preserve"> </w:t>
            </w:r>
            <w:proofErr w:type="spellStart"/>
            <w:r w:rsidRPr="00082CA6">
              <w:rPr>
                <w:sz w:val="16"/>
                <w:szCs w:val="16"/>
              </w:rPr>
              <w:t>prensipleri</w:t>
            </w:r>
            <w:proofErr w:type="spellEnd"/>
            <w:r w:rsidRPr="00082CA6">
              <w:rPr>
                <w:sz w:val="16"/>
                <w:szCs w:val="16"/>
              </w:rPr>
              <w:t xml:space="preserve">, </w:t>
            </w:r>
            <w:proofErr w:type="spellStart"/>
            <w:r w:rsidRPr="00082CA6">
              <w:rPr>
                <w:sz w:val="16"/>
                <w:szCs w:val="16"/>
              </w:rPr>
              <w:t>Karar</w:t>
            </w:r>
            <w:proofErr w:type="spellEnd"/>
            <w:r w:rsidRPr="00082CA6">
              <w:rPr>
                <w:sz w:val="16"/>
                <w:szCs w:val="16"/>
              </w:rPr>
              <w:t xml:space="preserve"> alma </w:t>
            </w:r>
            <w:proofErr w:type="spellStart"/>
            <w:r w:rsidRPr="00082CA6">
              <w:rPr>
                <w:sz w:val="16"/>
                <w:szCs w:val="16"/>
              </w:rPr>
              <w:t>modeli</w:t>
            </w:r>
            <w:proofErr w:type="spellEnd"/>
            <w:r w:rsidRPr="00082CA6">
              <w:rPr>
                <w:sz w:val="16"/>
                <w:szCs w:val="16"/>
              </w:rPr>
              <w:t xml:space="preserve">, </w:t>
            </w:r>
            <w:proofErr w:type="spellStart"/>
            <w:r w:rsidRPr="00082CA6">
              <w:rPr>
                <w:sz w:val="16"/>
                <w:szCs w:val="16"/>
              </w:rPr>
              <w:t>Yetki</w:t>
            </w:r>
            <w:proofErr w:type="spellEnd"/>
            <w:r w:rsidRPr="00082CA6">
              <w:rPr>
                <w:sz w:val="16"/>
                <w:szCs w:val="16"/>
              </w:rPr>
              <w:t xml:space="preserve"> </w:t>
            </w:r>
            <w:proofErr w:type="spellStart"/>
            <w:r w:rsidRPr="00082CA6">
              <w:rPr>
                <w:sz w:val="16"/>
                <w:szCs w:val="16"/>
              </w:rPr>
              <w:t>seviyeleri</w:t>
            </w:r>
            <w:proofErr w:type="spellEnd"/>
          </w:p>
        </w:tc>
        <w:tc>
          <w:tcPr>
            <w:tcW w:w="1310" w:type="dxa"/>
          </w:tcPr>
          <w:p w:rsidR="00082CA6" w:rsidRPr="00082CA6" w:rsidRDefault="00082CA6" w:rsidP="00082CA6">
            <w:pPr>
              <w:keepNext/>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Tüm</w:t>
            </w:r>
            <w:proofErr w:type="spellEnd"/>
            <w:r w:rsidRPr="00082CA6">
              <w:rPr>
                <w:sz w:val="16"/>
                <w:szCs w:val="16"/>
                <w:lang w:eastAsia="tr-TR"/>
              </w:rPr>
              <w:t xml:space="preserve"> EDM APO01.01 APO01.03 </w:t>
            </w:r>
          </w:p>
          <w:p w:rsidR="00082CA6" w:rsidRPr="00082CA6" w:rsidRDefault="00082CA6" w:rsidP="00082CA6">
            <w:pPr>
              <w:keepNext/>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Tüm</w:t>
            </w:r>
            <w:proofErr w:type="spellEnd"/>
            <w:r w:rsidRPr="00082CA6">
              <w:rPr>
                <w:sz w:val="16"/>
                <w:szCs w:val="16"/>
                <w:lang w:eastAsia="tr-TR"/>
              </w:rPr>
              <w:t xml:space="preserve"> EDM APO01.01 </w:t>
            </w:r>
          </w:p>
          <w:p w:rsidR="00082CA6" w:rsidRPr="00082CA6" w:rsidRDefault="00082CA6" w:rsidP="00082CA6">
            <w:pPr>
              <w:keepNext/>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Tüm</w:t>
            </w:r>
            <w:proofErr w:type="spellEnd"/>
            <w:r w:rsidRPr="00082CA6">
              <w:rPr>
                <w:sz w:val="16"/>
                <w:szCs w:val="16"/>
                <w:lang w:eastAsia="tr-TR"/>
              </w:rPr>
              <w:t xml:space="preserve"> EDM APO01.02</w:t>
            </w:r>
          </w:p>
        </w:tc>
      </w:tr>
    </w:tbl>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(ISACA, </w:t>
      </w:r>
      <w:proofErr w:type="spellStart"/>
      <w:r w:rsidRPr="00082CA6">
        <w:rPr>
          <w:rFonts w:eastAsia="Times New Roman" w:cs="Times New Roman"/>
          <w:sz w:val="20"/>
          <w:lang w:eastAsia="tr-TR"/>
        </w:rPr>
        <w:t>Enabling</w:t>
      </w:r>
      <w:proofErr w:type="spellEnd"/>
      <w:r w:rsidRPr="00082CA6">
        <w:rPr>
          <w:rFonts w:eastAsia="Times New Roman" w:cs="Times New Roman"/>
          <w:sz w:val="20"/>
          <w:lang w:eastAsia="tr-TR"/>
        </w:rPr>
        <w:t xml:space="preserve"> </w:t>
      </w:r>
      <w:proofErr w:type="spellStart"/>
      <w:r w:rsidRPr="00082CA6">
        <w:rPr>
          <w:rFonts w:eastAsia="Times New Roman" w:cs="Times New Roman"/>
          <w:sz w:val="20"/>
          <w:lang w:eastAsia="tr-TR"/>
        </w:rPr>
        <w:t>Processes</w:t>
      </w:r>
      <w:proofErr w:type="spellEnd"/>
      <w:r w:rsidRPr="00082CA6">
        <w:rPr>
          <w:rFonts w:eastAsia="Times New Roman" w:cs="Times New Roman"/>
          <w:sz w:val="20"/>
          <w:lang w:eastAsia="tr-TR"/>
        </w:rPr>
        <w:t xml:space="preserve">, 2012)’ den esinlenerek araştırmacı tarafından hazırlanmıştır.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 görüldüğü üzere Yönetişim Sistemini Değerlendir (EDM01.01) adı altındaki sürecin bir takım girdileri ve çıktılar olmak zorundadır. COBIT-5 tarafından her alt sürecin girdi ve çıktıları jenerik olarak verilmektedir.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Yukarıda girdi ve çıktıları verilen Yönetişim Sistemini Değerlendir (EDM01.01) sürecinin yerine getirilmesi için KA özelinde bir takım kriter faaliyetlere</w:t>
      </w:r>
      <w:r w:rsidRPr="00082CA6">
        <w:rPr>
          <w:rFonts w:eastAsia="Times New Roman" w:cs="Times New Roman"/>
          <w:sz w:val="22"/>
          <w:vertAlign w:val="superscript"/>
          <w:lang w:eastAsia="tr-TR"/>
        </w:rPr>
        <w:footnoteReference w:id="15"/>
      </w:r>
      <w:r w:rsidRPr="00082CA6">
        <w:rPr>
          <w:rFonts w:eastAsia="Times New Roman" w:cs="Times New Roman"/>
          <w:sz w:val="22"/>
          <w:lang w:eastAsia="tr-TR"/>
        </w:rPr>
        <w:t xml:space="preserve"> de ihtiyaç vardır. Bu faaliyetler, sürecin varlığı ve sağlıklı işletilmesi açısından hayati önemi haizdirler. Aksi durumda beklenen çıktıları vermeyebileceklerinden dolayı diğer süreçler de olumsuz etkilenebileceklerdir. </w:t>
      </w:r>
    </w:p>
    <w:p w:rsidR="00082CA6" w:rsidRPr="00082CA6" w:rsidRDefault="00082CA6" w:rsidP="00082CA6">
      <w:pPr>
        <w:spacing w:before="0" w:after="120" w:line="240" w:lineRule="auto"/>
        <w:jc w:val="both"/>
        <w:rPr>
          <w:rFonts w:eastAsia="TimesNewRoman" w:cs="Times New Roman"/>
          <w:sz w:val="22"/>
          <w:lang w:eastAsia="tr-TR"/>
        </w:rPr>
      </w:pPr>
      <w:bookmarkStart w:id="60" w:name="_Toc421783879"/>
      <w:r w:rsidRPr="00082CA6">
        <w:rPr>
          <w:rFonts w:eastAsia="TimesNewRoman" w:cs="Times New Roman"/>
          <w:sz w:val="22"/>
          <w:lang w:eastAsia="tr-TR"/>
        </w:rPr>
        <w:t>Süreçteki kriter faaliyetler</w:t>
      </w:r>
      <w:bookmarkEnd w:id="60"/>
      <w:r w:rsidRPr="00082CA6">
        <w:rPr>
          <w:rFonts w:eastAsia="TimesNewRoman" w:cs="Times New Roman"/>
          <w:sz w:val="22"/>
          <w:lang w:eastAsia="tr-TR"/>
        </w:rPr>
        <w:t xml:space="preserve"> KA dinamiklerine mevzuatında belirtilen görev ve sorumluluklarına uyarlanabilecek şekilde aşağıda belirtilmektedir:</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1. İş ortamında yönetişim tasarımını etkileyebilecek iç ve dış ortam faktörleri (yasa, yönetmelik ve sözleşmeye ait yükümlülükler) ve eğilimlerin analiz edilmesi ve belirlenmesi:</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KB tarafından koordinasyon ve gözetim faaliyetleri kapsamında yapılacak değerlendirmeler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 xml:space="preserve">BGYM tarafından BGUS ve </w:t>
      </w:r>
      <w:proofErr w:type="spellStart"/>
      <w:r w:rsidRPr="00082CA6">
        <w:rPr>
          <w:rFonts w:eastAsia="Times New Roman" w:cs="Times New Roman"/>
          <w:sz w:val="22"/>
          <w:lang w:eastAsia="tr-TR"/>
        </w:rPr>
        <w:t>BKP’nın</w:t>
      </w:r>
      <w:proofErr w:type="spellEnd"/>
      <w:r w:rsidRPr="00082CA6">
        <w:rPr>
          <w:rFonts w:eastAsia="Times New Roman" w:cs="Times New Roman"/>
          <w:sz w:val="22"/>
          <w:lang w:eastAsia="tr-TR"/>
        </w:rPr>
        <w:t xml:space="preserve"> </w:t>
      </w:r>
      <w:proofErr w:type="spellStart"/>
      <w:r w:rsidRPr="00082CA6">
        <w:rPr>
          <w:rFonts w:eastAsia="Times New Roman" w:cs="Times New Roman"/>
          <w:sz w:val="22"/>
          <w:lang w:eastAsia="tr-TR"/>
        </w:rPr>
        <w:t>yönetişimine</w:t>
      </w:r>
      <w:proofErr w:type="spellEnd"/>
      <w:r w:rsidRPr="00082CA6">
        <w:rPr>
          <w:rFonts w:eastAsia="Times New Roman" w:cs="Times New Roman"/>
          <w:sz w:val="22"/>
          <w:lang w:eastAsia="tr-TR"/>
        </w:rPr>
        <w:t xml:space="preserve"> dair değerlendirmeler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KK tarafından yapılacak değerlendirme ve öneriler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YK tarafından hiyerarşik kontrol ile ilgili değerlendirmeler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İç denetçi ve dış denetim tarafından yapılacak analiz ve değerlendirmeler</w:t>
      </w:r>
    </w:p>
    <w:p w:rsidR="00082CA6" w:rsidRPr="00082CA6" w:rsidRDefault="00082CA6" w:rsidP="00082CA6">
      <w:pPr>
        <w:numPr>
          <w:ilvl w:val="0"/>
          <w:numId w:val="24"/>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GS tarafından sistemin işleyişine değerlendirmeler</w:t>
      </w:r>
    </w:p>
    <w:p w:rsidR="00082CA6" w:rsidRPr="00082CA6" w:rsidRDefault="00082CA6" w:rsidP="00082CA6">
      <w:pPr>
        <w:numPr>
          <w:ilvl w:val="0"/>
          <w:numId w:val="22"/>
        </w:numPr>
        <w:tabs>
          <w:tab w:val="left" w:pos="1418"/>
        </w:tabs>
        <w:suppressAutoHyphens/>
        <w:spacing w:before="0" w:after="120" w:line="240" w:lineRule="auto"/>
        <w:ind w:left="1418" w:hanging="284"/>
        <w:contextualSpacing/>
        <w:jc w:val="both"/>
        <w:rPr>
          <w:rFonts w:eastAsia="Times New Roman" w:cs="Times New Roman"/>
          <w:sz w:val="22"/>
          <w:lang w:eastAsia="tr-TR"/>
        </w:rPr>
      </w:pPr>
      <w:r w:rsidRPr="00082CA6">
        <w:rPr>
          <w:rFonts w:eastAsia="Times New Roman" w:cs="Times New Roman"/>
          <w:sz w:val="22"/>
          <w:lang w:eastAsia="tr-TR"/>
        </w:rPr>
        <w:t>Birim başkanları tarafından birim personeliyle birlikte yapılan değerlendirmeler</w:t>
      </w:r>
    </w:p>
    <w:p w:rsidR="00082CA6" w:rsidRPr="00082CA6" w:rsidRDefault="00082CA6" w:rsidP="00082CA6">
      <w:pPr>
        <w:tabs>
          <w:tab w:val="left" w:pos="851"/>
        </w:tabs>
        <w:suppressAutoHyphens/>
        <w:spacing w:before="0" w:after="120" w:line="240" w:lineRule="auto"/>
        <w:ind w:firstLine="709"/>
        <w:contextualSpacing/>
        <w:jc w:val="both"/>
        <w:rPr>
          <w:rFonts w:eastAsia="Times New Roman" w:cs="Times New Roman"/>
          <w:sz w:val="22"/>
          <w:lang w:eastAsia="tr-TR"/>
        </w:rPr>
      </w:pPr>
      <w:r w:rsidRPr="00082CA6">
        <w:rPr>
          <w:rFonts w:eastAsia="Times New Roman" w:cs="Times New Roman"/>
          <w:sz w:val="22"/>
          <w:lang w:eastAsia="tr-TR"/>
        </w:rPr>
        <w:lastRenderedPageBreak/>
        <w:t xml:space="preserve">Sonucunda yönetişim yapısı yeniden ele alınmalı ve mevzuat hükümleri ile yapısal kurgulanmaların etkinliği gözden geçirilmelidir. </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2. Bölgesel kalkınma ihtiyaçları ve KA yönetişimi açısından </w:t>
      </w:r>
      <w:proofErr w:type="spellStart"/>
      <w:r w:rsidRPr="00082CA6">
        <w:rPr>
          <w:rFonts w:eastAsia="Times New Roman" w:cs="Times New Roman"/>
          <w:i/>
          <w:sz w:val="22"/>
          <w:lang w:eastAsia="tr-TR"/>
        </w:rPr>
        <w:t>BT’nin</w:t>
      </w:r>
      <w:proofErr w:type="spellEnd"/>
      <w:r w:rsidRPr="00082CA6">
        <w:rPr>
          <w:rFonts w:eastAsia="Times New Roman" w:cs="Times New Roman"/>
          <w:i/>
          <w:sz w:val="22"/>
          <w:lang w:eastAsia="tr-TR"/>
        </w:rPr>
        <w:t xml:space="preserve"> öneminin ve rolünün BT hedefleri bağlamında belirlenmesi:</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BGUS doğrultusunda bölgesel kalkınma açısından yenilikçi teknolojiler ve BT önem düzeyinin belirlenmesi</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BKP kapsamında BT önceliklerinin belirlenmesi</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Stratejik planlama açısından yenilikçi teknolojiler ve BT önceliklerinin ve kilit performans göstergelerinin belirlenmesi</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Mali destek programları ve güdümlü projelerde BT düzeyinin belirlenmesi</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KAYS sisteminin BT öncelikleri ve BT hedeflerini karşılamadaki rolünün belirlenmesi</w:t>
      </w:r>
    </w:p>
    <w:p w:rsidR="00082CA6" w:rsidRPr="00082CA6" w:rsidRDefault="00082CA6" w:rsidP="00082CA6">
      <w:pPr>
        <w:numPr>
          <w:ilvl w:val="0"/>
          <w:numId w:val="22"/>
        </w:numPr>
        <w:tabs>
          <w:tab w:val="left" w:pos="851"/>
          <w:tab w:val="left" w:pos="993"/>
        </w:tabs>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 ve KB bilişim yönetişimi açısından BT entegrasyon hedeflerinin belirlenmesi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3. Yönetmelikler, yasalar ve sözleşme yükümlülükleri göz önünde bulundurulması ve bu çerçevede kurumsal BT yönetişimi dâhilinde nasıl uygulanmaları gerektiğinin belirlenmesi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 xml:space="preserve">BT yönetişimi ile ilgili yasal ve </w:t>
      </w:r>
      <w:proofErr w:type="spellStart"/>
      <w:r w:rsidRPr="00082CA6">
        <w:rPr>
          <w:rFonts w:eastAsia="Times New Roman" w:cs="Times New Roman"/>
          <w:sz w:val="22"/>
          <w:lang w:eastAsia="tr-TR"/>
        </w:rPr>
        <w:t>sözleşmesel</w:t>
      </w:r>
      <w:proofErr w:type="spellEnd"/>
      <w:r w:rsidRPr="00082CA6">
        <w:rPr>
          <w:rFonts w:eastAsia="Times New Roman" w:cs="Times New Roman"/>
          <w:sz w:val="22"/>
          <w:lang w:eastAsia="tr-TR"/>
        </w:rPr>
        <w:t xml:space="preserve"> yükümlülüklerin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BK ve KA sistemleri entegrasyonuna dair ihtiyaç analizlerinin yapılması,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Bilgi güvenliği ile ilgili BTK düzenlemelerinin gereklerinin yerine getirilmesi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proofErr w:type="spellStart"/>
      <w:r w:rsidRPr="00082CA6">
        <w:rPr>
          <w:rFonts w:eastAsia="Times New Roman" w:cs="Times New Roman"/>
          <w:sz w:val="22"/>
          <w:lang w:eastAsia="tr-TR"/>
        </w:rPr>
        <w:t>Log</w:t>
      </w:r>
      <w:proofErr w:type="spellEnd"/>
      <w:r w:rsidRPr="00082CA6">
        <w:rPr>
          <w:rFonts w:eastAsia="Times New Roman" w:cs="Times New Roman"/>
          <w:sz w:val="22"/>
          <w:lang w:eastAsia="tr-TR"/>
        </w:rPr>
        <w:t xml:space="preserve"> kayıtlarının tutulması ile ilgili düzenlemelere uyulması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Yedekleme mekanizmalarının belirlenmesi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4. Enformasyonun kullanımı ve işlenmesi ve bunun toplum, doğal ortam ve aynı zamanda iç ve dış paydaş menfaatleri üzerindeki etkisinin, kalkınma ajansının yönü, hedef ve amaçları ile hizalanmasını sağlanması.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BK, KK ve YK enformasyon ihtiyaçlarının ve irtibat görevlilerin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 enformasyon kaynaklarının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Bölgesel kalkınma için gerekli enformasyon kaynaklarının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BKP ve stratejik planlar ile ÇP uygulamaları için gerekli enformasyon ve verilerin elde edilmesi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Kilit performans göstergeleri için gerekli enformasyonun tespit edilmesi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Kurum içi örtük bilginin birim içi ve birimler arasında paylaşılmasını sağlayacak mekanizmalar geliştirilmesi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MDP ve güdümlü projelerin kalkınmaya etkisine dair enformasyonun elde edilmesi ve paydaşlarla paylaşılması</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5. KA genel kontrol ortamının BT alt yapısına ve KAYS sistemi işleyişine ilişkin etkilerinin belirlenmesi.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İç kontrol zafiyetlerinin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Yıllık iç kontrol raporunun KB tarafından incelenmesi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İç ve dış denetimin iç kontrol sistemini değerlendirmesi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 xml:space="preserve">BT </w:t>
      </w:r>
      <w:proofErr w:type="spellStart"/>
      <w:r w:rsidRPr="00082CA6">
        <w:rPr>
          <w:rFonts w:eastAsia="Times New Roman" w:cs="Times New Roman"/>
          <w:sz w:val="22"/>
          <w:lang w:eastAsia="tr-TR"/>
        </w:rPr>
        <w:t>yönetişimini</w:t>
      </w:r>
      <w:proofErr w:type="spellEnd"/>
      <w:r w:rsidRPr="00082CA6">
        <w:rPr>
          <w:rFonts w:eastAsia="Times New Roman" w:cs="Times New Roman"/>
          <w:sz w:val="22"/>
          <w:lang w:eastAsia="tr-TR"/>
        </w:rPr>
        <w:t xml:space="preserve"> etkileyen kontrol zafiyetlerinin tespit edilerek KAYS sistemi üzerinde iyileştirmelerin yapılması</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6. BT yönetişim ve karar alma tasarımına rehberlik edecek prensiplerin ifade edilmesinin sağlanması.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lastRenderedPageBreak/>
        <w:t>BT yönetişim ilkelerinin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KAYS sisteminin diğer sistemlerle iletişim düzeyinin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 verilerini içeren KAYS sistemindeki verilerin güvenliğine dair ilkelerin KB ölçeğinde belirlenmesi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7. Kalkınma ajansının karar alma kültürünün kavranması ve kurumsal süreçler ve BT için optimum karar alma modelinin belirlenmesinin sağlanması.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i/>
          <w:sz w:val="22"/>
          <w:lang w:eastAsia="tr-TR"/>
        </w:rPr>
      </w:pPr>
      <w:r w:rsidRPr="00082CA6">
        <w:rPr>
          <w:rFonts w:eastAsia="Times New Roman" w:cs="Times New Roman"/>
          <w:sz w:val="22"/>
          <w:lang w:eastAsia="tr-TR"/>
        </w:rPr>
        <w:t>Birim içi, KA ölçeğinde, YK ve KK düzeyinde mevzuatla belirlenmiş karar alma süreçlerinin haritalarının çıkarılması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i/>
          <w:sz w:val="22"/>
          <w:lang w:eastAsia="tr-TR"/>
        </w:rPr>
      </w:pPr>
      <w:r w:rsidRPr="00082CA6">
        <w:rPr>
          <w:rFonts w:eastAsia="Times New Roman" w:cs="Times New Roman"/>
          <w:sz w:val="22"/>
          <w:lang w:eastAsia="tr-TR"/>
        </w:rPr>
        <w:t>Mevzuatta yer almayan karar alma şekilleri ve sorumlulukların YK onayıyla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i/>
          <w:sz w:val="22"/>
          <w:lang w:eastAsia="tr-TR"/>
        </w:rPr>
      </w:pPr>
      <w:r w:rsidRPr="00082CA6">
        <w:rPr>
          <w:rFonts w:eastAsia="Times New Roman" w:cs="Times New Roman"/>
          <w:sz w:val="22"/>
          <w:lang w:eastAsia="tr-TR"/>
        </w:rPr>
        <w:t>KAYS sistemi dahilinde ve yeni sistemler ile ekipmanların alımında  ilgili karar mercilerinin ve sorumluluklarının belirlenmesi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8. BT ile ilgili kararlar için, eşik kuralları dâhil olmak üzere yetki delegasyonunun uygun seviyelerinin belirlenmesinin sağlanması.</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YK tarafından GS ye verilen yetkilerin gözden geçirilmesi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 xml:space="preserve">KAYS ile ilgili yetkilerin KB tarafından gözden geçirilerek KA yetkililerinin de sürece dâhil edilerek bunların </w:t>
      </w:r>
      <w:proofErr w:type="spellStart"/>
      <w:r w:rsidRPr="00082CA6">
        <w:rPr>
          <w:rFonts w:eastAsia="Times New Roman" w:cs="Times New Roman"/>
          <w:sz w:val="22"/>
          <w:lang w:eastAsia="tr-TR"/>
        </w:rPr>
        <w:t>dokümante</w:t>
      </w:r>
      <w:proofErr w:type="spellEnd"/>
      <w:r w:rsidRPr="00082CA6">
        <w:rPr>
          <w:rFonts w:eastAsia="Times New Roman" w:cs="Times New Roman"/>
          <w:sz w:val="22"/>
          <w:lang w:eastAsia="tr-TR"/>
        </w:rPr>
        <w:t xml:space="preserve"> edilmesi</w:t>
      </w:r>
    </w:p>
    <w:p w:rsidR="00082CA6" w:rsidRPr="00082CA6" w:rsidRDefault="00082CA6" w:rsidP="00082CA6">
      <w:pPr>
        <w:keepNext/>
        <w:tabs>
          <w:tab w:val="left" w:pos="851"/>
          <w:tab w:val="left" w:pos="993"/>
        </w:tabs>
        <w:spacing w:before="0" w:after="120" w:line="240" w:lineRule="auto"/>
        <w:jc w:val="both"/>
        <w:outlineLvl w:val="2"/>
        <w:rPr>
          <w:rFonts w:eastAsia="TimesNewRoman" w:cs="Times New Roman"/>
          <w:b/>
          <w:bCs/>
          <w:color w:val="000000"/>
          <w:spacing w:val="20"/>
          <w:position w:val="6"/>
          <w:sz w:val="22"/>
          <w:lang w:val="en-US" w:eastAsia="tr-TR"/>
        </w:rPr>
      </w:pPr>
      <w:bookmarkStart w:id="61" w:name="_Toc421783880"/>
      <w:proofErr w:type="spellStart"/>
      <w:r w:rsidRPr="00082CA6">
        <w:rPr>
          <w:rFonts w:eastAsia="TimesNewRoman" w:cs="Times New Roman"/>
          <w:b/>
          <w:bCs/>
          <w:color w:val="000000"/>
          <w:spacing w:val="20"/>
          <w:position w:val="6"/>
          <w:sz w:val="22"/>
          <w:lang w:val="en-US" w:eastAsia="tr-TR"/>
        </w:rPr>
        <w:t>Yönetişim</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sisteminin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yönlendirilmesi</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liderlerin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bilgilendirilmesi</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destek</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ortaklık</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ve</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bağlılıklarının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sağlanması</w:t>
      </w:r>
      <w:proofErr w:type="spellEnd"/>
      <w:r w:rsidRPr="00082CA6">
        <w:rPr>
          <w:rFonts w:eastAsia="TimesNewRoman" w:cs="Times New Roman"/>
          <w:b/>
          <w:bCs/>
          <w:color w:val="000000"/>
          <w:spacing w:val="20"/>
          <w:position w:val="6"/>
          <w:sz w:val="22"/>
          <w:lang w:val="en-US" w:eastAsia="tr-TR"/>
        </w:rPr>
        <w:t xml:space="preserve"> alt </w:t>
      </w:r>
      <w:proofErr w:type="spellStart"/>
      <w:r w:rsidRPr="00082CA6">
        <w:rPr>
          <w:rFonts w:eastAsia="TimesNewRoman" w:cs="Times New Roman"/>
          <w:b/>
          <w:bCs/>
          <w:color w:val="000000"/>
          <w:spacing w:val="20"/>
          <w:position w:val="6"/>
          <w:sz w:val="22"/>
          <w:lang w:val="en-US" w:eastAsia="tr-TR"/>
        </w:rPr>
        <w:t>süreci</w:t>
      </w:r>
      <w:proofErr w:type="spellEnd"/>
      <w:r w:rsidRPr="00082CA6">
        <w:rPr>
          <w:rFonts w:eastAsia="TimesNewRoman" w:cs="Times New Roman"/>
          <w:b/>
          <w:bCs/>
          <w:color w:val="000000"/>
          <w:spacing w:val="20"/>
          <w:position w:val="6"/>
          <w:sz w:val="22"/>
          <w:lang w:val="en-US" w:eastAsia="tr-TR"/>
        </w:rPr>
        <w:t xml:space="preserve"> (EDM01.02)</w:t>
      </w:r>
      <w:bookmarkEnd w:id="61"/>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Bu alt sürecin işletilmesinde, BT yönetişimi için yapılar, süreçler ve uygulamaları, üzerinde anlaşılmış olan yönetişim tasarımı prensipleri, karar alma modelleri ve yetki seviyeleri ile uyumlu olacak şekilde yönlendirmek ve bilgi dâhilinde karar alma için gerekli olan bilgileri tanımlamak gerekmektedir. </w:t>
      </w:r>
      <w:sdt>
        <w:sdtPr>
          <w:rPr>
            <w:rFonts w:eastAsia="Times New Roman" w:cs="Times New Roman"/>
            <w:sz w:val="22"/>
            <w:lang w:eastAsia="tr-TR"/>
          </w:rPr>
          <w:id w:val="646942541"/>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ISA12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(ISACA, Enabling Processes, 2012c)</w:t>
          </w:r>
          <w:r w:rsidRPr="00082CA6">
            <w:rPr>
              <w:rFonts w:eastAsia="Times New Roman" w:cs="Times New Roman"/>
              <w:sz w:val="22"/>
              <w:lang w:eastAsia="tr-TR"/>
            </w:rPr>
            <w:fldChar w:fldCharType="end"/>
          </w:r>
        </w:sdtContent>
      </w:sdt>
    </w:p>
    <w:p w:rsidR="00082CA6" w:rsidRPr="00082CA6" w:rsidRDefault="00082CA6" w:rsidP="00082CA6">
      <w:pPr>
        <w:spacing w:before="0" w:after="120" w:line="240" w:lineRule="auto"/>
        <w:jc w:val="both"/>
        <w:rPr>
          <w:rFonts w:eastAsia="Times New Roman" w:cs="Times New Roman"/>
          <w:bCs/>
          <w:sz w:val="22"/>
          <w:lang w:eastAsia="tr-TR"/>
        </w:rPr>
      </w:pPr>
      <w:bookmarkStart w:id="62" w:name="_Toc421787716"/>
      <w:r w:rsidRPr="00082CA6">
        <w:rPr>
          <w:rFonts w:eastAsia="Times New Roman" w:cs="Times New Roman"/>
          <w:b/>
          <w:bCs/>
          <w:sz w:val="22"/>
          <w:lang w:eastAsia="tr-TR"/>
        </w:rPr>
        <w:t>Şekil 5.</w:t>
      </w:r>
      <w:r w:rsidRPr="00082CA6">
        <w:rPr>
          <w:rFonts w:eastAsia="Times New Roman" w:cs="Times New Roman"/>
          <w:bCs/>
          <w:sz w:val="22"/>
          <w:lang w:eastAsia="tr-TR"/>
        </w:rPr>
        <w:t xml:space="preserve"> Yönetişim Sistemini Yönlendir  (EDM01.02) Süreç Uygulama Modeli</w:t>
      </w:r>
      <w:bookmarkEnd w:id="62"/>
    </w:p>
    <w:tbl>
      <w:tblPr>
        <w:tblStyle w:val="AkKlavuz-Vurgu51"/>
        <w:tblW w:w="0" w:type="auto"/>
        <w:tblLook w:val="04A0" w:firstRow="1" w:lastRow="0" w:firstColumn="1" w:lastColumn="0" w:noHBand="0" w:noVBand="1"/>
      </w:tblPr>
      <w:tblGrid>
        <w:gridCol w:w="1101"/>
        <w:gridCol w:w="1157"/>
        <w:gridCol w:w="2101"/>
        <w:gridCol w:w="1720"/>
        <w:gridCol w:w="1960"/>
      </w:tblGrid>
      <w:tr w:rsidR="00082CA6" w:rsidRPr="00082CA6" w:rsidTr="00082CA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86" w:type="dxa"/>
            <w:gridSpan w:val="5"/>
          </w:tcPr>
          <w:p w:rsidR="00082CA6" w:rsidRPr="00082CA6" w:rsidRDefault="00082CA6" w:rsidP="00082CA6">
            <w:pPr>
              <w:spacing w:before="0" w:after="120" w:line="240" w:lineRule="auto"/>
              <w:jc w:val="both"/>
              <w:rPr>
                <w:sz w:val="16"/>
                <w:szCs w:val="16"/>
                <w:lang w:eastAsia="tr-TR"/>
              </w:rPr>
            </w:pPr>
            <w:r w:rsidRPr="00082CA6">
              <w:rPr>
                <w:noProof/>
                <w:sz w:val="16"/>
                <w:szCs w:val="16"/>
                <w:lang w:eastAsia="tr-TR"/>
              </w:rPr>
              <w:drawing>
                <wp:inline distT="0" distB="0" distL="0" distR="0" wp14:anchorId="40AE0C65" wp14:editId="701E42E0">
                  <wp:extent cx="4659782" cy="299923"/>
                  <wp:effectExtent l="57150" t="76200" r="26670" b="119380"/>
                  <wp:docPr id="8"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082CA6" w:rsidRPr="00082CA6" w:rsidTr="00082CA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01" w:type="dxa"/>
          </w:tcPr>
          <w:p w:rsidR="00082CA6" w:rsidRPr="00082CA6" w:rsidRDefault="00082CA6" w:rsidP="00082CA6">
            <w:pPr>
              <w:spacing w:before="0" w:after="120" w:line="240" w:lineRule="auto"/>
              <w:jc w:val="both"/>
              <w:rPr>
                <w:sz w:val="16"/>
                <w:szCs w:val="16"/>
                <w:lang w:eastAsia="tr-TR"/>
              </w:rPr>
            </w:pPr>
          </w:p>
        </w:tc>
        <w:tc>
          <w:tcPr>
            <w:tcW w:w="1157" w:type="dxa"/>
            <w:tcBorders>
              <w:righ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
        </w:tc>
        <w:tc>
          <w:tcPr>
            <w:tcW w:w="1912" w:type="dxa"/>
            <w:tcBorders>
              <w:top w:val="single" w:sz="4" w:space="0" w:color="auto"/>
              <w:left w:val="single" w:sz="4" w:space="0" w:color="auto"/>
              <w:bottom w:val="single" w:sz="4" w:space="0" w:color="auto"/>
              <w:right w:val="single" w:sz="4" w:space="0" w:color="auto"/>
            </w:tcBorders>
            <w:shd w:val="clear" w:color="auto" w:fill="FFFF00"/>
          </w:tcPr>
          <w:p w:rsidR="00082CA6" w:rsidRPr="00082CA6" w:rsidRDefault="00082CA6" w:rsidP="00082CA6">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Yönlendir</w:t>
            </w:r>
            <w:proofErr w:type="spellEnd"/>
            <w:r w:rsidRPr="00082CA6">
              <w:rPr>
                <w:sz w:val="16"/>
                <w:szCs w:val="16"/>
                <w:lang w:eastAsia="tr-TR"/>
              </w:rPr>
              <w:t xml:space="preserve">, </w:t>
            </w:r>
            <w:proofErr w:type="spellStart"/>
            <w:r w:rsidRPr="00082CA6">
              <w:rPr>
                <w:sz w:val="16"/>
                <w:szCs w:val="16"/>
                <w:lang w:eastAsia="tr-TR"/>
              </w:rPr>
              <w:t>Liderleri</w:t>
            </w:r>
            <w:proofErr w:type="spellEnd"/>
            <w:r w:rsidRPr="00082CA6">
              <w:rPr>
                <w:sz w:val="16"/>
                <w:szCs w:val="16"/>
                <w:lang w:eastAsia="tr-TR"/>
              </w:rPr>
              <w:t xml:space="preserve"> </w:t>
            </w:r>
            <w:proofErr w:type="spellStart"/>
            <w:r w:rsidRPr="00082CA6">
              <w:rPr>
                <w:sz w:val="16"/>
                <w:szCs w:val="16"/>
                <w:lang w:eastAsia="tr-TR"/>
              </w:rPr>
              <w:t>Bilgilendir</w:t>
            </w:r>
            <w:proofErr w:type="spellEnd"/>
            <w:r w:rsidRPr="00082CA6">
              <w:rPr>
                <w:sz w:val="16"/>
                <w:szCs w:val="16"/>
                <w:lang w:eastAsia="tr-TR"/>
              </w:rPr>
              <w:t xml:space="preserve">; </w:t>
            </w:r>
            <w:proofErr w:type="spellStart"/>
            <w:r w:rsidRPr="00082CA6">
              <w:rPr>
                <w:sz w:val="16"/>
                <w:szCs w:val="16"/>
                <w:lang w:eastAsia="tr-TR"/>
              </w:rPr>
              <w:t>Destek</w:t>
            </w:r>
            <w:proofErr w:type="spellEnd"/>
            <w:r w:rsidRPr="00082CA6">
              <w:rPr>
                <w:sz w:val="16"/>
                <w:szCs w:val="16"/>
                <w:lang w:eastAsia="tr-TR"/>
              </w:rPr>
              <w:t xml:space="preserve">, </w:t>
            </w:r>
            <w:proofErr w:type="spellStart"/>
            <w:r w:rsidRPr="00082CA6">
              <w:rPr>
                <w:sz w:val="16"/>
                <w:szCs w:val="16"/>
                <w:lang w:eastAsia="tr-TR"/>
              </w:rPr>
              <w:t>Ortaklık</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Bağlılıklarını</w:t>
            </w:r>
            <w:proofErr w:type="spellEnd"/>
            <w:r w:rsidRPr="00082CA6">
              <w:rPr>
                <w:sz w:val="16"/>
                <w:szCs w:val="16"/>
                <w:lang w:eastAsia="tr-TR"/>
              </w:rPr>
              <w:t xml:space="preserve"> </w:t>
            </w:r>
            <w:proofErr w:type="spellStart"/>
            <w:r w:rsidRPr="00082CA6">
              <w:rPr>
                <w:sz w:val="16"/>
                <w:szCs w:val="16"/>
                <w:lang w:eastAsia="tr-TR"/>
              </w:rPr>
              <w:t>Sağla</w:t>
            </w:r>
            <w:proofErr w:type="spellEnd"/>
            <w:r w:rsidRPr="00082CA6">
              <w:rPr>
                <w:sz w:val="16"/>
                <w:szCs w:val="16"/>
                <w:lang w:eastAsia="tr-TR"/>
              </w:rPr>
              <w:t xml:space="preserve"> (EDM01.02)</w:t>
            </w:r>
          </w:p>
        </w:tc>
        <w:tc>
          <w:tcPr>
            <w:tcW w:w="1531" w:type="dxa"/>
            <w:tcBorders>
              <w:lef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082CA6">
              <w:rPr>
                <w:sz w:val="16"/>
                <w:szCs w:val="16"/>
              </w:rPr>
              <w:t>Kurum</w:t>
            </w:r>
            <w:proofErr w:type="spellEnd"/>
            <w:r w:rsidRPr="00082CA6">
              <w:rPr>
                <w:sz w:val="16"/>
                <w:szCs w:val="16"/>
              </w:rPr>
              <w:t xml:space="preserve"> </w:t>
            </w:r>
            <w:proofErr w:type="spellStart"/>
            <w:r w:rsidRPr="00082CA6">
              <w:rPr>
                <w:sz w:val="16"/>
                <w:szCs w:val="16"/>
              </w:rPr>
              <w:t>yönetişim</w:t>
            </w:r>
            <w:proofErr w:type="spellEnd"/>
            <w:r w:rsidRPr="00082CA6">
              <w:rPr>
                <w:sz w:val="16"/>
                <w:szCs w:val="16"/>
              </w:rPr>
              <w:t xml:space="preserve"> </w:t>
            </w:r>
            <w:proofErr w:type="spellStart"/>
            <w:r w:rsidRPr="00082CA6">
              <w:rPr>
                <w:sz w:val="16"/>
                <w:szCs w:val="16"/>
              </w:rPr>
              <w:t>iletişimleri</w:t>
            </w:r>
            <w:proofErr w:type="spellEnd"/>
            <w:r w:rsidRPr="00082CA6">
              <w:rPr>
                <w:sz w:val="16"/>
                <w:szCs w:val="16"/>
              </w:rPr>
              <w:t xml:space="preserve"> </w:t>
            </w:r>
          </w:p>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rPr>
              <w:t>Ödül</w:t>
            </w:r>
            <w:proofErr w:type="spellEnd"/>
            <w:r w:rsidRPr="00082CA6">
              <w:rPr>
                <w:sz w:val="16"/>
                <w:szCs w:val="16"/>
              </w:rPr>
              <w:t xml:space="preserve"> </w:t>
            </w:r>
            <w:proofErr w:type="spellStart"/>
            <w:r w:rsidRPr="00082CA6">
              <w:rPr>
                <w:sz w:val="16"/>
                <w:szCs w:val="16"/>
              </w:rPr>
              <w:t>sistemi</w:t>
            </w:r>
            <w:proofErr w:type="spellEnd"/>
            <w:r w:rsidRPr="00082CA6">
              <w:rPr>
                <w:sz w:val="16"/>
                <w:szCs w:val="16"/>
              </w:rPr>
              <w:t xml:space="preserve"> </w:t>
            </w:r>
            <w:proofErr w:type="spellStart"/>
            <w:r w:rsidRPr="00082CA6">
              <w:rPr>
                <w:sz w:val="16"/>
                <w:szCs w:val="16"/>
              </w:rPr>
              <w:t>yaklaşımı</w:t>
            </w:r>
            <w:proofErr w:type="spellEnd"/>
          </w:p>
        </w:tc>
        <w:tc>
          <w:tcPr>
            <w:tcW w:w="1885" w:type="dxa"/>
          </w:tcPr>
          <w:p w:rsidR="00082CA6" w:rsidRPr="00082CA6" w:rsidRDefault="00082CA6" w:rsidP="00082CA6">
            <w:pPr>
              <w:keepNext/>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Tüm</w:t>
            </w:r>
            <w:proofErr w:type="spellEnd"/>
            <w:r w:rsidRPr="00082CA6">
              <w:rPr>
                <w:sz w:val="16"/>
                <w:szCs w:val="16"/>
                <w:lang w:eastAsia="tr-TR"/>
              </w:rPr>
              <w:t xml:space="preserve"> EDM APO01.04 </w:t>
            </w:r>
          </w:p>
          <w:p w:rsidR="00082CA6" w:rsidRPr="00082CA6" w:rsidRDefault="00082CA6" w:rsidP="00082CA6">
            <w:pPr>
              <w:keepNext/>
              <w:spacing w:before="0" w:after="1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eastAsia="tr-TR"/>
              </w:rPr>
            </w:pPr>
            <w:r w:rsidRPr="00082CA6">
              <w:rPr>
                <w:sz w:val="16"/>
                <w:szCs w:val="16"/>
                <w:lang w:eastAsia="tr-TR"/>
              </w:rPr>
              <w:t>APO07.03 APO07.04</w:t>
            </w:r>
          </w:p>
        </w:tc>
      </w:tr>
    </w:tbl>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sz w:val="20"/>
          <w:lang w:eastAsia="tr-TR"/>
        </w:rPr>
        <w:t xml:space="preserve">Kaynak: (ISACA, </w:t>
      </w:r>
      <w:proofErr w:type="spellStart"/>
      <w:r w:rsidRPr="00082CA6">
        <w:rPr>
          <w:rFonts w:eastAsia="Times New Roman" w:cs="Times New Roman"/>
          <w:sz w:val="20"/>
          <w:lang w:eastAsia="tr-TR"/>
        </w:rPr>
        <w:t>Enabling</w:t>
      </w:r>
      <w:proofErr w:type="spellEnd"/>
      <w:r w:rsidRPr="00082CA6">
        <w:rPr>
          <w:rFonts w:eastAsia="Times New Roman" w:cs="Times New Roman"/>
          <w:sz w:val="20"/>
          <w:lang w:eastAsia="tr-TR"/>
        </w:rPr>
        <w:t xml:space="preserve"> </w:t>
      </w:r>
      <w:proofErr w:type="spellStart"/>
      <w:r w:rsidRPr="00082CA6">
        <w:rPr>
          <w:rFonts w:eastAsia="Times New Roman" w:cs="Times New Roman"/>
          <w:sz w:val="20"/>
          <w:lang w:eastAsia="tr-TR"/>
        </w:rPr>
        <w:t>Processes</w:t>
      </w:r>
      <w:proofErr w:type="spellEnd"/>
      <w:r w:rsidRPr="00082CA6">
        <w:rPr>
          <w:rFonts w:eastAsia="Times New Roman" w:cs="Times New Roman"/>
          <w:sz w:val="20"/>
          <w:lang w:eastAsia="tr-TR"/>
        </w:rPr>
        <w:t xml:space="preserve">, 2012)’ den esinlenerek araştırmacı tarafından hazırlanmıştır.  </w:t>
      </w:r>
    </w:p>
    <w:p w:rsidR="00082CA6" w:rsidRPr="00082CA6" w:rsidRDefault="00082CA6" w:rsidP="00082CA6">
      <w:pPr>
        <w:suppressAutoHyphens/>
        <w:spacing w:before="0" w:after="120" w:line="240" w:lineRule="auto"/>
        <w:ind w:firstLine="708"/>
        <w:jc w:val="both"/>
        <w:rPr>
          <w:rFonts w:eastAsia="TimesNewRoman" w:cs="Times New Roman"/>
          <w:sz w:val="22"/>
          <w:lang w:eastAsia="tr-TR"/>
        </w:rPr>
      </w:pPr>
      <w:r w:rsidRPr="00082CA6">
        <w:rPr>
          <w:rFonts w:eastAsia="TimesNewRoman" w:cs="Times New Roman"/>
          <w:sz w:val="22"/>
          <w:lang w:eastAsia="tr-TR"/>
        </w:rPr>
        <w:t>Süreçteki kriter faaliyetler KA dinamiklerine uyarlanabilecek şekilde aşağıda belirtilmektedir:</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1. Bilgi sahibi ve amacına bağlı liderlik oluşturmak için BT yönetişim prensipleri ile bağlantıyı sağla ve KB yetkilileri dâhil olmak üzere yönetici kadro ile hemfikir ol.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Tüm sistemlerde bilgi sahiplerinin belirlenmesi (</w:t>
      </w:r>
      <w:proofErr w:type="spellStart"/>
      <w:r w:rsidRPr="00082CA6">
        <w:rPr>
          <w:rFonts w:eastAsia="Times New Roman" w:cs="Times New Roman"/>
          <w:sz w:val="22"/>
          <w:lang w:eastAsia="tr-TR"/>
        </w:rPr>
        <w:t>data&amp;enfromation</w:t>
      </w:r>
      <w:proofErr w:type="spellEnd"/>
      <w:r w:rsidRPr="00082CA6">
        <w:rPr>
          <w:rFonts w:eastAsia="Times New Roman" w:cs="Times New Roman"/>
          <w:sz w:val="22"/>
          <w:lang w:eastAsia="tr-TR"/>
        </w:rPr>
        <w:t xml:space="preserve"> </w:t>
      </w:r>
      <w:proofErr w:type="spellStart"/>
      <w:r w:rsidRPr="00082CA6">
        <w:rPr>
          <w:rFonts w:eastAsia="Times New Roman" w:cs="Times New Roman"/>
          <w:sz w:val="22"/>
          <w:lang w:eastAsia="tr-TR"/>
        </w:rPr>
        <w:t>owners</w:t>
      </w:r>
      <w:proofErr w:type="spellEnd"/>
      <w:r w:rsidRPr="00082CA6">
        <w:rPr>
          <w:rFonts w:eastAsia="Times New Roman" w:cs="Times New Roman"/>
          <w:sz w:val="22"/>
          <w:lang w:eastAsia="tr-TR"/>
        </w:rPr>
        <w:t>)</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Kurumsal yönetişim ile BT yönetişimi arasında bağlantının sağlanması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KAYS sistemi KB, TUBITAK-YTE ve KA yetkililerinin periyodik olarak toplanarak bilgi sahipliliği, BT yönetişimi ve sistemlerin bağlantısıyla ilgili değerlendirme yapmaları, uyuşmazlıkları tespit etmeleri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2. Üzerinde anlaşılan tasarım prensipleri ile uyumlu olan yönetişim yapıları, süreçleri ve uygulamaların tesis edilmesini sağla veya görevlendirme yap.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lastRenderedPageBreak/>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Süreç haritalarının ve sahiplerinin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Danışılacak ve bilgilendirileceklerin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Gerekli yazılı görevlendirilmelerin yapılması</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3. Üzerinde anlaşılmış olan yönetişim tasarım prensipleri, karar alma modelleri ve yetki devri ile uyumlu olan sorumluluk, yetki ve yükümlülükleri tahsis et.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KB ile KA yetki sınırlarının belirlenmesi</w:t>
      </w:r>
    </w:p>
    <w:p w:rsidR="00082CA6" w:rsidRPr="00082CA6" w:rsidRDefault="00082CA6" w:rsidP="00082CA6">
      <w:pPr>
        <w:numPr>
          <w:ilvl w:val="0"/>
          <w:numId w:val="23"/>
        </w:numPr>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Personel düzeyinde sorumluluklarının ve görev tanımlarının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Yükümlülüklerin yazılı olarak ilgililere iletilmesi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4. İletişim ve raporlama mekanizmalarının gözetim ve karar almadan sorumlu olan kişiye uygun bilgileri temin etmesini sağla.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İletişim ve raporlama amaç, şekil, içerik ve metodolojisinin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İletişim ve raporlama mekanizmalarının gözetim ve karar almadan sorumlu olan personelin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İletişim ve raporlama mekanizmalarının gözetim ve karar alma şekillerinin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YK ve KB yetkililerine gerekli enformasyonu temin edilmesi</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 xml:space="preserve">5. Personelin, ahlaki ve profesyonel davranış için ilgili kurallara uymaya yönlendirilmesi ve riayetsizlik sonuçlarının bilinmesi ve uygulanmalarını sağla.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Etik değerler setini ve davranış kurallarını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Etik değerlerin benimsenmesi için eğitim planlaması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Belirli davranış şekilleri ve profesyonel tavırlar için personelin eğitimi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Etik ve davranış kuralları ihlallerini tespit mekanizmalarının geliştirilmesi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Etik ve davranış kuralları ihlalleri sonuçlarının ve disiplin kurallarının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Etik ve davranış kuralları ihlaline karışı disiplin mekanizmalarının uygulanması</w:t>
      </w:r>
    </w:p>
    <w:p w:rsidR="00082CA6" w:rsidRPr="00082CA6" w:rsidRDefault="00082CA6" w:rsidP="00082CA6">
      <w:pPr>
        <w:suppressAutoHyphens/>
        <w:spacing w:before="0" w:after="120" w:line="240" w:lineRule="auto"/>
        <w:ind w:firstLine="708"/>
        <w:jc w:val="both"/>
        <w:rPr>
          <w:rFonts w:eastAsia="Times New Roman" w:cs="Times New Roman"/>
          <w:i/>
          <w:sz w:val="22"/>
          <w:lang w:eastAsia="tr-TR"/>
        </w:rPr>
      </w:pPr>
      <w:r w:rsidRPr="00082CA6">
        <w:rPr>
          <w:rFonts w:eastAsia="Times New Roman" w:cs="Times New Roman"/>
          <w:i/>
          <w:sz w:val="22"/>
          <w:lang w:eastAsia="tr-TR"/>
        </w:rPr>
        <w:t>6. İstenilen kültür değişikliğini teşvik etmek amacıyla bir ödül sistemi kurulmasına dair yönlendirme yap.</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İş ve özel ilişkilere ait kurumsal kültürün oluşturulması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Kurumsal aidiyeti güçlendirici etkinlikler yapılması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Ortak bilinç ve takım hareketinin üst yönetimce benimsenerek personele aşılanması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Personelin kariyerini kurum içinde geliştirmesine fırsat tanınması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Personele güvenilmesi ve zor durumlarda destek sağlanması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Personelin kurumsal kültüre katkıda bulunmasını ve kurumsal kültürü benimsemesine yönelik programların uygulanması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Başarılı çalışmaların ödüllendirilmesi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Başarısız ve tembellerin diğer personelin motivasyonunu bozmaması için gerekli önlemlerin alınması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Güdümlü proje ve ortak etkinlik fikirlerinin teşvik edilerek özendirilmesi</w:t>
      </w:r>
    </w:p>
    <w:p w:rsidR="00082CA6" w:rsidRPr="00082CA6" w:rsidRDefault="00082CA6" w:rsidP="00082CA6">
      <w:pPr>
        <w:keepNext/>
        <w:tabs>
          <w:tab w:val="left" w:pos="851"/>
          <w:tab w:val="left" w:pos="993"/>
        </w:tabs>
        <w:spacing w:before="0" w:after="120" w:line="240" w:lineRule="auto"/>
        <w:jc w:val="both"/>
        <w:outlineLvl w:val="2"/>
        <w:rPr>
          <w:rFonts w:eastAsia="TimesNewRoman" w:cs="Times New Roman"/>
          <w:b/>
          <w:bCs/>
          <w:color w:val="000000"/>
          <w:spacing w:val="20"/>
          <w:position w:val="6"/>
          <w:sz w:val="22"/>
          <w:lang w:val="en-US" w:eastAsia="tr-TR"/>
        </w:rPr>
      </w:pPr>
      <w:bookmarkStart w:id="63" w:name="_Toc421783882"/>
      <w:proofErr w:type="spellStart"/>
      <w:r w:rsidRPr="00082CA6">
        <w:rPr>
          <w:rFonts w:eastAsia="TimesNewRoman" w:cs="Times New Roman"/>
          <w:b/>
          <w:bCs/>
          <w:color w:val="000000"/>
          <w:spacing w:val="20"/>
          <w:position w:val="6"/>
          <w:sz w:val="22"/>
          <w:lang w:val="en-US" w:eastAsia="tr-TR"/>
        </w:rPr>
        <w:lastRenderedPageBreak/>
        <w:t>Yönetişim</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sisteminin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izlenmesi</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yönetişim</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etkinliği</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ve</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performansinin</w:t>
      </w:r>
      <w:proofErr w:type="spellEnd"/>
      <w:r w:rsidRPr="00082CA6">
        <w:rPr>
          <w:rFonts w:eastAsia="TimesNewRoman" w:cs="Times New Roman"/>
          <w:b/>
          <w:bCs/>
          <w:color w:val="000000"/>
          <w:spacing w:val="20"/>
          <w:position w:val="6"/>
          <w:sz w:val="22"/>
          <w:lang w:val="en-US" w:eastAsia="tr-TR"/>
        </w:rPr>
        <w:t xml:space="preserve"> </w:t>
      </w:r>
      <w:proofErr w:type="spellStart"/>
      <w:r w:rsidRPr="00082CA6">
        <w:rPr>
          <w:rFonts w:eastAsia="TimesNewRoman" w:cs="Times New Roman"/>
          <w:b/>
          <w:bCs/>
          <w:color w:val="000000"/>
          <w:spacing w:val="20"/>
          <w:position w:val="6"/>
          <w:sz w:val="22"/>
          <w:lang w:val="en-US" w:eastAsia="tr-TR"/>
        </w:rPr>
        <w:t>izlenmesi</w:t>
      </w:r>
      <w:proofErr w:type="spellEnd"/>
      <w:r w:rsidRPr="00082CA6">
        <w:rPr>
          <w:rFonts w:eastAsia="TimesNewRoman" w:cs="Times New Roman"/>
          <w:b/>
          <w:bCs/>
          <w:color w:val="000000"/>
          <w:spacing w:val="20"/>
          <w:position w:val="6"/>
          <w:sz w:val="22"/>
          <w:lang w:val="en-US" w:eastAsia="tr-TR"/>
        </w:rPr>
        <w:t xml:space="preserve"> alt </w:t>
      </w:r>
      <w:proofErr w:type="spellStart"/>
      <w:r w:rsidRPr="00082CA6">
        <w:rPr>
          <w:rFonts w:eastAsia="TimesNewRoman" w:cs="Times New Roman"/>
          <w:b/>
          <w:bCs/>
          <w:color w:val="000000"/>
          <w:spacing w:val="20"/>
          <w:position w:val="6"/>
          <w:sz w:val="22"/>
          <w:lang w:val="en-US" w:eastAsia="tr-TR"/>
        </w:rPr>
        <w:t>süreci</w:t>
      </w:r>
      <w:proofErr w:type="spellEnd"/>
      <w:r w:rsidRPr="00082CA6">
        <w:rPr>
          <w:rFonts w:eastAsia="TimesNewRoman" w:cs="Times New Roman"/>
          <w:b/>
          <w:bCs/>
          <w:color w:val="000000"/>
          <w:spacing w:val="20"/>
          <w:position w:val="6"/>
          <w:sz w:val="22"/>
          <w:lang w:val="en-US" w:eastAsia="tr-TR"/>
        </w:rPr>
        <w:t xml:space="preserve"> (EDM01.03)</w:t>
      </w:r>
      <w:bookmarkEnd w:id="63"/>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Yönetişim sistemi ve uygulanan mekanizmaların (yapılar, prensipler ve süreçler dâhil) etkili şekilde çalışıp çalışmadığı ve uygun BT gözetimi sağlayıp sağlamadığını değerlendir. Bu alt sürecin girdileri; Performans raporları, aksiyonların durumu ve sonuçları, karşılaştırmalı ve diğer değerlendirmelerin sonuçları, iç kontrol izleme ve değerlendirmelerinin sonuçları, öz-değerlendirme inceleme sonuçları, güvence planları, uyum onayları, uyumsuzluk sorunları ve kök neden raporları, uyum güvence raporları, zorunluluklar ve denetleme raporlarıdır. Çıktıları ise yönetişim etkinliği ve performansına dair geri bildirim sağlanmasıdır.</w:t>
      </w:r>
      <w:sdt>
        <w:sdtPr>
          <w:rPr>
            <w:rFonts w:eastAsia="Times New Roman" w:cs="Times New Roman"/>
            <w:sz w:val="22"/>
            <w:lang w:eastAsia="tr-TR"/>
          </w:rPr>
          <w:id w:val="-380095398"/>
          <w:citation/>
        </w:sdtPr>
        <w:sdtEndPr/>
        <w:sdtContent>
          <w:r w:rsidRPr="00082CA6">
            <w:rPr>
              <w:rFonts w:eastAsia="Times New Roman" w:cs="Times New Roman"/>
              <w:sz w:val="22"/>
              <w:lang w:eastAsia="tr-TR"/>
            </w:rPr>
            <w:fldChar w:fldCharType="begin"/>
          </w:r>
          <w:r w:rsidRPr="00082CA6">
            <w:rPr>
              <w:rFonts w:eastAsia="Times New Roman" w:cs="Times New Roman"/>
              <w:sz w:val="22"/>
              <w:lang w:eastAsia="tr-TR"/>
            </w:rPr>
            <w:instrText xml:space="preserve">CITATION ISA12 \l 1055 </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 (ISACA, Enabling Processes, 2012c)</w:t>
          </w:r>
          <w:r w:rsidRPr="00082CA6">
            <w:rPr>
              <w:rFonts w:eastAsia="Times New Roman" w:cs="Times New Roman"/>
              <w:sz w:val="22"/>
              <w:lang w:eastAsia="tr-TR"/>
            </w:rPr>
            <w:fldChar w:fldCharType="end"/>
          </w:r>
        </w:sdtContent>
      </w:sdt>
    </w:p>
    <w:p w:rsidR="00082CA6" w:rsidRPr="00082CA6" w:rsidRDefault="00082CA6" w:rsidP="00082CA6">
      <w:pPr>
        <w:spacing w:before="0" w:after="120" w:line="240" w:lineRule="auto"/>
        <w:jc w:val="both"/>
        <w:rPr>
          <w:rFonts w:eastAsia="Times New Roman" w:cs="Times New Roman"/>
          <w:bCs/>
          <w:sz w:val="22"/>
          <w:lang w:eastAsia="tr-TR"/>
        </w:rPr>
      </w:pPr>
      <w:bookmarkStart w:id="64" w:name="_Toc421787717"/>
      <w:r w:rsidRPr="00082CA6">
        <w:rPr>
          <w:rFonts w:eastAsia="Times New Roman" w:cs="Times New Roman"/>
          <w:b/>
          <w:bCs/>
          <w:sz w:val="22"/>
          <w:lang w:eastAsia="tr-TR"/>
        </w:rPr>
        <w:t>Şekil 6.</w:t>
      </w:r>
      <w:r w:rsidRPr="00082CA6">
        <w:rPr>
          <w:rFonts w:eastAsia="Times New Roman" w:cs="Times New Roman"/>
          <w:bCs/>
          <w:sz w:val="22"/>
          <w:lang w:eastAsia="tr-TR"/>
        </w:rPr>
        <w:t xml:space="preserve"> Yönetişim Sistemini İzle (EDM01.03) Süreç Uygulama Modeli</w:t>
      </w:r>
      <w:bookmarkEnd w:id="64"/>
    </w:p>
    <w:tbl>
      <w:tblPr>
        <w:tblStyle w:val="AkKlavuz-Vurgu51"/>
        <w:tblW w:w="0" w:type="auto"/>
        <w:tblLook w:val="04A0" w:firstRow="1" w:lastRow="0" w:firstColumn="1" w:lastColumn="0" w:noHBand="0" w:noVBand="1"/>
      </w:tblPr>
      <w:tblGrid>
        <w:gridCol w:w="1309"/>
        <w:gridCol w:w="2111"/>
        <w:gridCol w:w="1518"/>
        <w:gridCol w:w="1457"/>
        <w:gridCol w:w="1191"/>
      </w:tblGrid>
      <w:tr w:rsidR="00082CA6" w:rsidRPr="00082CA6" w:rsidTr="00082CA6">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86" w:type="dxa"/>
            <w:gridSpan w:val="5"/>
          </w:tcPr>
          <w:p w:rsidR="00082CA6" w:rsidRPr="00082CA6" w:rsidRDefault="00082CA6" w:rsidP="00082CA6">
            <w:pPr>
              <w:spacing w:before="0" w:after="120" w:line="240" w:lineRule="auto"/>
              <w:jc w:val="both"/>
              <w:rPr>
                <w:sz w:val="16"/>
                <w:szCs w:val="16"/>
                <w:lang w:eastAsia="tr-TR"/>
              </w:rPr>
            </w:pPr>
            <w:r w:rsidRPr="00082CA6">
              <w:rPr>
                <w:noProof/>
                <w:sz w:val="16"/>
                <w:szCs w:val="16"/>
                <w:lang w:eastAsia="tr-TR"/>
              </w:rPr>
              <w:drawing>
                <wp:inline distT="0" distB="0" distL="0" distR="0" wp14:anchorId="53F87074" wp14:editId="7CFEED53">
                  <wp:extent cx="4484218" cy="387706"/>
                  <wp:effectExtent l="76200" t="57150" r="31115" b="107950"/>
                  <wp:docPr id="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r w:rsidR="00082CA6" w:rsidRPr="00082CA6" w:rsidTr="00082CA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309" w:type="dxa"/>
          </w:tcPr>
          <w:p w:rsidR="00082CA6" w:rsidRPr="00082CA6" w:rsidRDefault="00082CA6" w:rsidP="00082CA6">
            <w:pPr>
              <w:spacing w:before="0" w:after="120" w:line="240" w:lineRule="auto"/>
              <w:jc w:val="both"/>
              <w:rPr>
                <w:sz w:val="16"/>
                <w:szCs w:val="16"/>
                <w:lang w:eastAsia="tr-TR"/>
              </w:rPr>
            </w:pPr>
            <w:r w:rsidRPr="00082CA6">
              <w:rPr>
                <w:sz w:val="16"/>
                <w:szCs w:val="16"/>
                <w:lang w:eastAsia="tr-TR"/>
              </w:rPr>
              <w:t>MEA01.04 MEA01.05 MEA02.01 MEA02.03 MEA02.06 MEA03.03 MEA03.04</w:t>
            </w:r>
          </w:p>
        </w:tc>
        <w:tc>
          <w:tcPr>
            <w:tcW w:w="2111" w:type="dxa"/>
            <w:tcBorders>
              <w:righ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Aksiyonların</w:t>
            </w:r>
            <w:proofErr w:type="spellEnd"/>
            <w:r w:rsidRPr="00082CA6">
              <w:rPr>
                <w:sz w:val="16"/>
                <w:szCs w:val="16"/>
                <w:lang w:eastAsia="tr-TR"/>
              </w:rPr>
              <w:t xml:space="preserve"> </w:t>
            </w:r>
            <w:proofErr w:type="spellStart"/>
            <w:r w:rsidRPr="00082CA6">
              <w:rPr>
                <w:sz w:val="16"/>
                <w:szCs w:val="16"/>
                <w:lang w:eastAsia="tr-TR"/>
              </w:rPr>
              <w:t>durumu</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sonuçları</w:t>
            </w:r>
            <w:proofErr w:type="spellEnd"/>
            <w:r w:rsidRPr="00082CA6">
              <w:rPr>
                <w:sz w:val="16"/>
                <w:szCs w:val="16"/>
                <w:lang w:eastAsia="tr-TR"/>
              </w:rPr>
              <w:t xml:space="preserve">, </w:t>
            </w:r>
            <w:proofErr w:type="spellStart"/>
            <w:r w:rsidRPr="00082CA6">
              <w:rPr>
                <w:sz w:val="16"/>
                <w:szCs w:val="16"/>
                <w:lang w:eastAsia="tr-TR"/>
              </w:rPr>
              <w:t>Karşılaştırmalı</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diğer</w:t>
            </w:r>
            <w:proofErr w:type="spellEnd"/>
            <w:r w:rsidRPr="00082CA6">
              <w:rPr>
                <w:sz w:val="16"/>
                <w:szCs w:val="16"/>
                <w:lang w:eastAsia="tr-TR"/>
              </w:rPr>
              <w:t xml:space="preserve"> </w:t>
            </w:r>
            <w:proofErr w:type="spellStart"/>
            <w:r w:rsidRPr="00082CA6">
              <w:rPr>
                <w:sz w:val="16"/>
                <w:szCs w:val="16"/>
                <w:lang w:eastAsia="tr-TR"/>
              </w:rPr>
              <w:t>değerlendirmelerin</w:t>
            </w:r>
            <w:proofErr w:type="spellEnd"/>
            <w:r w:rsidRPr="00082CA6">
              <w:rPr>
                <w:sz w:val="16"/>
                <w:szCs w:val="16"/>
                <w:lang w:eastAsia="tr-TR"/>
              </w:rPr>
              <w:t xml:space="preserve"> </w:t>
            </w:r>
            <w:proofErr w:type="spellStart"/>
            <w:r w:rsidRPr="00082CA6">
              <w:rPr>
                <w:sz w:val="16"/>
                <w:szCs w:val="16"/>
                <w:lang w:eastAsia="tr-TR"/>
              </w:rPr>
              <w:t>sonuçları</w:t>
            </w:r>
            <w:proofErr w:type="spellEnd"/>
            <w:r w:rsidRPr="00082CA6">
              <w:rPr>
                <w:sz w:val="16"/>
                <w:szCs w:val="16"/>
                <w:lang w:eastAsia="tr-TR"/>
              </w:rPr>
              <w:t xml:space="preserve">, </w:t>
            </w:r>
            <w:proofErr w:type="spellStart"/>
            <w:r w:rsidRPr="00082CA6">
              <w:rPr>
                <w:sz w:val="16"/>
                <w:szCs w:val="16"/>
                <w:lang w:eastAsia="tr-TR"/>
              </w:rPr>
              <w:t>İç</w:t>
            </w:r>
            <w:proofErr w:type="spellEnd"/>
            <w:r w:rsidRPr="00082CA6">
              <w:rPr>
                <w:sz w:val="16"/>
                <w:szCs w:val="16"/>
                <w:lang w:eastAsia="tr-TR"/>
              </w:rPr>
              <w:t xml:space="preserve"> </w:t>
            </w:r>
            <w:proofErr w:type="spellStart"/>
            <w:r w:rsidRPr="00082CA6">
              <w:rPr>
                <w:sz w:val="16"/>
                <w:szCs w:val="16"/>
                <w:lang w:eastAsia="tr-TR"/>
              </w:rPr>
              <w:t>kontrol</w:t>
            </w:r>
            <w:proofErr w:type="spellEnd"/>
            <w:r w:rsidRPr="00082CA6">
              <w:rPr>
                <w:sz w:val="16"/>
                <w:szCs w:val="16"/>
                <w:lang w:eastAsia="tr-TR"/>
              </w:rPr>
              <w:t xml:space="preserve"> </w:t>
            </w:r>
            <w:proofErr w:type="spellStart"/>
            <w:r w:rsidRPr="00082CA6">
              <w:rPr>
                <w:sz w:val="16"/>
                <w:szCs w:val="16"/>
                <w:lang w:eastAsia="tr-TR"/>
              </w:rPr>
              <w:t>izleme</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değerlendirmelerinin</w:t>
            </w:r>
            <w:proofErr w:type="spellEnd"/>
            <w:r w:rsidRPr="00082CA6">
              <w:rPr>
                <w:sz w:val="16"/>
                <w:szCs w:val="16"/>
                <w:lang w:eastAsia="tr-TR"/>
              </w:rPr>
              <w:t xml:space="preserve"> </w:t>
            </w:r>
            <w:proofErr w:type="spellStart"/>
            <w:r w:rsidRPr="00082CA6">
              <w:rPr>
                <w:sz w:val="16"/>
                <w:szCs w:val="16"/>
                <w:lang w:eastAsia="tr-TR"/>
              </w:rPr>
              <w:t>sonuçları</w:t>
            </w:r>
            <w:proofErr w:type="spellEnd"/>
            <w:r w:rsidRPr="00082CA6">
              <w:rPr>
                <w:sz w:val="16"/>
                <w:szCs w:val="16"/>
                <w:lang w:eastAsia="tr-TR"/>
              </w:rPr>
              <w:t xml:space="preserve">, </w:t>
            </w:r>
            <w:proofErr w:type="spellStart"/>
            <w:r w:rsidRPr="00082CA6">
              <w:rPr>
                <w:sz w:val="16"/>
                <w:szCs w:val="16"/>
                <w:lang w:eastAsia="tr-TR"/>
              </w:rPr>
              <w:t>Öz-değerlendirme</w:t>
            </w:r>
            <w:proofErr w:type="spellEnd"/>
            <w:r w:rsidRPr="00082CA6">
              <w:rPr>
                <w:sz w:val="16"/>
                <w:szCs w:val="16"/>
                <w:lang w:eastAsia="tr-TR"/>
              </w:rPr>
              <w:t xml:space="preserve"> </w:t>
            </w:r>
            <w:proofErr w:type="spellStart"/>
            <w:r w:rsidRPr="00082CA6">
              <w:rPr>
                <w:sz w:val="16"/>
                <w:szCs w:val="16"/>
                <w:lang w:eastAsia="tr-TR"/>
              </w:rPr>
              <w:t>inceleme</w:t>
            </w:r>
            <w:proofErr w:type="spellEnd"/>
            <w:r w:rsidRPr="00082CA6">
              <w:rPr>
                <w:sz w:val="16"/>
                <w:szCs w:val="16"/>
                <w:lang w:eastAsia="tr-TR"/>
              </w:rPr>
              <w:t xml:space="preserve"> </w:t>
            </w:r>
            <w:proofErr w:type="spellStart"/>
            <w:r w:rsidRPr="00082CA6">
              <w:rPr>
                <w:sz w:val="16"/>
                <w:szCs w:val="16"/>
                <w:lang w:eastAsia="tr-TR"/>
              </w:rPr>
              <w:t>sonuçları</w:t>
            </w:r>
            <w:proofErr w:type="spellEnd"/>
            <w:r w:rsidRPr="00082CA6">
              <w:rPr>
                <w:sz w:val="16"/>
                <w:szCs w:val="16"/>
                <w:lang w:eastAsia="tr-TR"/>
              </w:rPr>
              <w:t xml:space="preserve"> </w:t>
            </w:r>
            <w:proofErr w:type="spellStart"/>
            <w:r w:rsidRPr="00082CA6">
              <w:rPr>
                <w:sz w:val="16"/>
                <w:szCs w:val="16"/>
                <w:lang w:eastAsia="tr-TR"/>
              </w:rPr>
              <w:t>Güvence</w:t>
            </w:r>
            <w:proofErr w:type="spellEnd"/>
            <w:r w:rsidRPr="00082CA6">
              <w:rPr>
                <w:sz w:val="16"/>
                <w:szCs w:val="16"/>
                <w:lang w:eastAsia="tr-TR"/>
              </w:rPr>
              <w:t xml:space="preserve"> </w:t>
            </w:r>
            <w:proofErr w:type="spellStart"/>
            <w:r w:rsidRPr="00082CA6">
              <w:rPr>
                <w:sz w:val="16"/>
                <w:szCs w:val="16"/>
                <w:lang w:eastAsia="tr-TR"/>
              </w:rPr>
              <w:t>planları</w:t>
            </w:r>
            <w:proofErr w:type="spellEnd"/>
            <w:r w:rsidRPr="00082CA6">
              <w:rPr>
                <w:sz w:val="16"/>
                <w:szCs w:val="16"/>
                <w:lang w:eastAsia="tr-TR"/>
              </w:rPr>
              <w:t xml:space="preserve"> </w:t>
            </w:r>
            <w:proofErr w:type="spellStart"/>
            <w:r w:rsidRPr="00082CA6">
              <w:rPr>
                <w:sz w:val="16"/>
                <w:szCs w:val="16"/>
                <w:lang w:eastAsia="tr-TR"/>
              </w:rPr>
              <w:t>Uyum</w:t>
            </w:r>
            <w:proofErr w:type="spellEnd"/>
            <w:r w:rsidRPr="00082CA6">
              <w:rPr>
                <w:sz w:val="16"/>
                <w:szCs w:val="16"/>
                <w:lang w:eastAsia="tr-TR"/>
              </w:rPr>
              <w:t xml:space="preserve"> </w:t>
            </w:r>
            <w:proofErr w:type="spellStart"/>
            <w:r w:rsidRPr="00082CA6">
              <w:rPr>
                <w:sz w:val="16"/>
                <w:szCs w:val="16"/>
                <w:lang w:eastAsia="tr-TR"/>
              </w:rPr>
              <w:t>onayları</w:t>
            </w:r>
            <w:proofErr w:type="spellEnd"/>
            <w:r w:rsidRPr="00082CA6">
              <w:rPr>
                <w:sz w:val="16"/>
                <w:szCs w:val="16"/>
                <w:lang w:eastAsia="tr-TR"/>
              </w:rPr>
              <w:t xml:space="preserve">,  </w:t>
            </w:r>
            <w:proofErr w:type="spellStart"/>
            <w:r w:rsidRPr="00082CA6">
              <w:rPr>
                <w:sz w:val="16"/>
                <w:szCs w:val="16"/>
                <w:lang w:eastAsia="tr-TR"/>
              </w:rPr>
              <w:t>Uyumsuzluk</w:t>
            </w:r>
            <w:proofErr w:type="spellEnd"/>
            <w:r w:rsidRPr="00082CA6">
              <w:rPr>
                <w:sz w:val="16"/>
                <w:szCs w:val="16"/>
                <w:lang w:eastAsia="tr-TR"/>
              </w:rPr>
              <w:t xml:space="preserve"> </w:t>
            </w:r>
            <w:proofErr w:type="spellStart"/>
            <w:r w:rsidRPr="00082CA6">
              <w:rPr>
                <w:sz w:val="16"/>
                <w:szCs w:val="16"/>
                <w:lang w:eastAsia="tr-TR"/>
              </w:rPr>
              <w:t>sorunları</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kök</w:t>
            </w:r>
            <w:proofErr w:type="spellEnd"/>
            <w:r w:rsidRPr="00082CA6">
              <w:rPr>
                <w:sz w:val="16"/>
                <w:szCs w:val="16"/>
                <w:lang w:eastAsia="tr-TR"/>
              </w:rPr>
              <w:t xml:space="preserve"> </w:t>
            </w:r>
            <w:proofErr w:type="spellStart"/>
            <w:r w:rsidRPr="00082CA6">
              <w:rPr>
                <w:sz w:val="16"/>
                <w:szCs w:val="16"/>
                <w:lang w:eastAsia="tr-TR"/>
              </w:rPr>
              <w:t>neden</w:t>
            </w:r>
            <w:proofErr w:type="spellEnd"/>
            <w:r w:rsidRPr="00082CA6">
              <w:rPr>
                <w:sz w:val="16"/>
                <w:szCs w:val="16"/>
                <w:lang w:eastAsia="tr-TR"/>
              </w:rPr>
              <w:t xml:space="preserve"> </w:t>
            </w:r>
            <w:proofErr w:type="spellStart"/>
            <w:r w:rsidRPr="00082CA6">
              <w:rPr>
                <w:sz w:val="16"/>
                <w:szCs w:val="16"/>
                <w:lang w:eastAsia="tr-TR"/>
              </w:rPr>
              <w:t>raporları</w:t>
            </w:r>
            <w:proofErr w:type="spellEnd"/>
            <w:r w:rsidRPr="00082CA6">
              <w:rPr>
                <w:sz w:val="16"/>
                <w:szCs w:val="16"/>
                <w:lang w:eastAsia="tr-TR"/>
              </w:rPr>
              <w:t xml:space="preserve">, </w:t>
            </w:r>
            <w:proofErr w:type="spellStart"/>
            <w:r w:rsidRPr="00082CA6">
              <w:rPr>
                <w:sz w:val="16"/>
                <w:szCs w:val="16"/>
                <w:lang w:eastAsia="tr-TR"/>
              </w:rPr>
              <w:t>Uyum</w:t>
            </w:r>
            <w:proofErr w:type="spellEnd"/>
            <w:r w:rsidRPr="00082CA6">
              <w:rPr>
                <w:sz w:val="16"/>
                <w:szCs w:val="16"/>
                <w:lang w:eastAsia="tr-TR"/>
              </w:rPr>
              <w:t xml:space="preserve"> </w:t>
            </w:r>
            <w:proofErr w:type="spellStart"/>
            <w:r w:rsidRPr="00082CA6">
              <w:rPr>
                <w:sz w:val="16"/>
                <w:szCs w:val="16"/>
                <w:lang w:eastAsia="tr-TR"/>
              </w:rPr>
              <w:t>güvence</w:t>
            </w:r>
            <w:proofErr w:type="spellEnd"/>
            <w:r w:rsidRPr="00082CA6">
              <w:rPr>
                <w:sz w:val="16"/>
                <w:szCs w:val="16"/>
                <w:lang w:eastAsia="tr-TR"/>
              </w:rPr>
              <w:t xml:space="preserve"> </w:t>
            </w:r>
            <w:proofErr w:type="spellStart"/>
            <w:r w:rsidRPr="00082CA6">
              <w:rPr>
                <w:sz w:val="16"/>
                <w:szCs w:val="16"/>
                <w:lang w:eastAsia="tr-TR"/>
              </w:rPr>
              <w:t>raporları</w:t>
            </w:r>
            <w:proofErr w:type="spellEnd"/>
            <w:r w:rsidRPr="00082CA6">
              <w:rPr>
                <w:sz w:val="16"/>
                <w:szCs w:val="16"/>
                <w:lang w:eastAsia="tr-TR"/>
              </w:rPr>
              <w:t xml:space="preserve">, </w:t>
            </w:r>
            <w:proofErr w:type="spellStart"/>
            <w:r w:rsidRPr="00082CA6">
              <w:rPr>
                <w:sz w:val="16"/>
                <w:szCs w:val="16"/>
                <w:lang w:eastAsia="tr-TR"/>
              </w:rPr>
              <w:t>Zorunlulukları</w:t>
            </w:r>
            <w:proofErr w:type="spellEnd"/>
            <w:r w:rsidRPr="00082CA6">
              <w:rPr>
                <w:sz w:val="16"/>
                <w:szCs w:val="16"/>
                <w:lang w:eastAsia="tr-TR"/>
              </w:rPr>
              <w:t xml:space="preserve">, </w:t>
            </w:r>
            <w:proofErr w:type="spellStart"/>
            <w:r w:rsidRPr="00082CA6">
              <w:rPr>
                <w:sz w:val="16"/>
                <w:szCs w:val="16"/>
                <w:lang w:eastAsia="tr-TR"/>
              </w:rPr>
              <w:t>Denetleme</w:t>
            </w:r>
            <w:proofErr w:type="spellEnd"/>
            <w:r w:rsidRPr="00082CA6">
              <w:rPr>
                <w:sz w:val="16"/>
                <w:szCs w:val="16"/>
                <w:lang w:eastAsia="tr-TR"/>
              </w:rPr>
              <w:t xml:space="preserve"> </w:t>
            </w:r>
            <w:proofErr w:type="spellStart"/>
            <w:r w:rsidRPr="00082CA6">
              <w:rPr>
                <w:sz w:val="16"/>
                <w:szCs w:val="16"/>
                <w:lang w:eastAsia="tr-TR"/>
              </w:rPr>
              <w:t>raporları</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FFFF00"/>
          </w:tcPr>
          <w:p w:rsidR="00082CA6" w:rsidRPr="00082CA6" w:rsidRDefault="00082CA6" w:rsidP="00082CA6">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Sistemini</w:t>
            </w:r>
            <w:proofErr w:type="spellEnd"/>
            <w:r w:rsidRPr="00082CA6">
              <w:rPr>
                <w:sz w:val="16"/>
                <w:szCs w:val="16"/>
                <w:lang w:eastAsia="tr-TR"/>
              </w:rPr>
              <w:t xml:space="preserve"> </w:t>
            </w:r>
            <w:proofErr w:type="spellStart"/>
            <w:r w:rsidRPr="00082CA6">
              <w:rPr>
                <w:sz w:val="16"/>
                <w:szCs w:val="16"/>
                <w:lang w:eastAsia="tr-TR"/>
              </w:rPr>
              <w:t>İzle</w:t>
            </w:r>
            <w:proofErr w:type="spellEnd"/>
            <w:r w:rsidRPr="00082CA6">
              <w:rPr>
                <w:sz w:val="16"/>
                <w:szCs w:val="16"/>
                <w:lang w:eastAsia="tr-TR"/>
              </w:rPr>
              <w:t xml:space="preserve">, </w:t>
            </w:r>
            <w:proofErr w:type="spellStart"/>
            <w:r w:rsidRPr="00082CA6">
              <w:rPr>
                <w:sz w:val="16"/>
                <w:szCs w:val="16"/>
                <w:lang w:eastAsia="tr-TR"/>
              </w:rPr>
              <w:t>Yönetişim</w:t>
            </w:r>
            <w:proofErr w:type="spellEnd"/>
            <w:r w:rsidRPr="00082CA6">
              <w:rPr>
                <w:sz w:val="16"/>
                <w:szCs w:val="16"/>
                <w:lang w:eastAsia="tr-TR"/>
              </w:rPr>
              <w:t xml:space="preserve"> </w:t>
            </w:r>
            <w:proofErr w:type="spellStart"/>
            <w:r w:rsidRPr="00082CA6">
              <w:rPr>
                <w:sz w:val="16"/>
                <w:szCs w:val="16"/>
                <w:lang w:eastAsia="tr-TR"/>
              </w:rPr>
              <w:t>Etkinliği</w:t>
            </w:r>
            <w:proofErr w:type="spellEnd"/>
            <w:r w:rsidRPr="00082CA6">
              <w:rPr>
                <w:sz w:val="16"/>
                <w:szCs w:val="16"/>
                <w:lang w:eastAsia="tr-TR"/>
              </w:rPr>
              <w:t xml:space="preserve"> </w:t>
            </w:r>
            <w:proofErr w:type="spellStart"/>
            <w:r w:rsidRPr="00082CA6">
              <w:rPr>
                <w:sz w:val="16"/>
                <w:szCs w:val="16"/>
                <w:lang w:eastAsia="tr-TR"/>
              </w:rPr>
              <w:t>ve</w:t>
            </w:r>
            <w:proofErr w:type="spellEnd"/>
            <w:r w:rsidRPr="00082CA6">
              <w:rPr>
                <w:sz w:val="16"/>
                <w:szCs w:val="16"/>
                <w:lang w:eastAsia="tr-TR"/>
              </w:rPr>
              <w:t xml:space="preserve"> </w:t>
            </w:r>
            <w:proofErr w:type="spellStart"/>
            <w:r w:rsidRPr="00082CA6">
              <w:rPr>
                <w:sz w:val="16"/>
                <w:szCs w:val="16"/>
                <w:lang w:eastAsia="tr-TR"/>
              </w:rPr>
              <w:t>Performansını</w:t>
            </w:r>
            <w:proofErr w:type="spellEnd"/>
            <w:r w:rsidRPr="00082CA6">
              <w:rPr>
                <w:sz w:val="16"/>
                <w:szCs w:val="16"/>
                <w:lang w:eastAsia="tr-TR"/>
              </w:rPr>
              <w:t xml:space="preserve"> </w:t>
            </w:r>
            <w:proofErr w:type="spellStart"/>
            <w:r w:rsidRPr="00082CA6">
              <w:rPr>
                <w:sz w:val="16"/>
                <w:szCs w:val="16"/>
                <w:lang w:eastAsia="tr-TR"/>
              </w:rPr>
              <w:t>İzle</w:t>
            </w:r>
            <w:proofErr w:type="spellEnd"/>
            <w:r w:rsidRPr="00082CA6">
              <w:rPr>
                <w:sz w:val="16"/>
                <w:szCs w:val="16"/>
                <w:lang w:eastAsia="tr-TR"/>
              </w:rPr>
              <w:t xml:space="preserve"> (EDM01.03)</w:t>
            </w:r>
          </w:p>
        </w:tc>
        <w:tc>
          <w:tcPr>
            <w:tcW w:w="1457" w:type="dxa"/>
            <w:tcBorders>
              <w:left w:val="single" w:sz="4" w:space="0" w:color="auto"/>
            </w:tcBorders>
          </w:tcPr>
          <w:p w:rsidR="00082CA6" w:rsidRPr="00082CA6" w:rsidRDefault="00082CA6" w:rsidP="00082CA6">
            <w:pPr>
              <w:spacing w:before="0" w:after="120" w:line="240" w:lineRule="auto"/>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rPr>
              <w:t>Yönetişim</w:t>
            </w:r>
            <w:proofErr w:type="spellEnd"/>
            <w:r w:rsidRPr="00082CA6">
              <w:rPr>
                <w:sz w:val="16"/>
                <w:szCs w:val="16"/>
              </w:rPr>
              <w:t xml:space="preserve"> </w:t>
            </w:r>
            <w:proofErr w:type="spellStart"/>
            <w:r w:rsidRPr="00082CA6">
              <w:rPr>
                <w:sz w:val="16"/>
                <w:szCs w:val="16"/>
              </w:rPr>
              <w:t>etkinliği</w:t>
            </w:r>
            <w:proofErr w:type="spellEnd"/>
            <w:r w:rsidRPr="00082CA6">
              <w:rPr>
                <w:sz w:val="16"/>
                <w:szCs w:val="16"/>
              </w:rPr>
              <w:t xml:space="preserve"> </w:t>
            </w:r>
            <w:proofErr w:type="spellStart"/>
            <w:r w:rsidRPr="00082CA6">
              <w:rPr>
                <w:sz w:val="16"/>
                <w:szCs w:val="16"/>
              </w:rPr>
              <w:t>ve</w:t>
            </w:r>
            <w:proofErr w:type="spellEnd"/>
            <w:r w:rsidRPr="00082CA6">
              <w:rPr>
                <w:sz w:val="16"/>
                <w:szCs w:val="16"/>
              </w:rPr>
              <w:t xml:space="preserve"> </w:t>
            </w:r>
            <w:proofErr w:type="spellStart"/>
            <w:r w:rsidRPr="00082CA6">
              <w:rPr>
                <w:sz w:val="16"/>
                <w:szCs w:val="16"/>
              </w:rPr>
              <w:t>performansına</w:t>
            </w:r>
            <w:proofErr w:type="spellEnd"/>
            <w:r w:rsidRPr="00082CA6">
              <w:rPr>
                <w:sz w:val="16"/>
                <w:szCs w:val="16"/>
              </w:rPr>
              <w:t xml:space="preserve"> </w:t>
            </w:r>
            <w:proofErr w:type="spellStart"/>
            <w:r w:rsidRPr="00082CA6">
              <w:rPr>
                <w:sz w:val="16"/>
                <w:szCs w:val="16"/>
              </w:rPr>
              <w:t>dair</w:t>
            </w:r>
            <w:proofErr w:type="spellEnd"/>
            <w:r w:rsidRPr="00082CA6">
              <w:rPr>
                <w:sz w:val="16"/>
                <w:szCs w:val="16"/>
              </w:rPr>
              <w:t xml:space="preserve"> </w:t>
            </w:r>
            <w:proofErr w:type="spellStart"/>
            <w:r w:rsidRPr="00082CA6">
              <w:rPr>
                <w:sz w:val="16"/>
                <w:szCs w:val="16"/>
              </w:rPr>
              <w:t>geri</w:t>
            </w:r>
            <w:proofErr w:type="spellEnd"/>
            <w:r w:rsidRPr="00082CA6">
              <w:rPr>
                <w:sz w:val="16"/>
                <w:szCs w:val="16"/>
              </w:rPr>
              <w:t xml:space="preserve"> </w:t>
            </w:r>
            <w:proofErr w:type="spellStart"/>
            <w:r w:rsidRPr="00082CA6">
              <w:rPr>
                <w:sz w:val="16"/>
                <w:szCs w:val="16"/>
              </w:rPr>
              <w:t>bildirim</w:t>
            </w:r>
            <w:proofErr w:type="spellEnd"/>
          </w:p>
        </w:tc>
        <w:tc>
          <w:tcPr>
            <w:tcW w:w="1191" w:type="dxa"/>
          </w:tcPr>
          <w:p w:rsidR="00082CA6" w:rsidRPr="00082CA6" w:rsidRDefault="00082CA6" w:rsidP="00082CA6">
            <w:pPr>
              <w:keepNext/>
              <w:spacing w:before="0" w:after="1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eastAsia="tr-TR"/>
              </w:rPr>
            </w:pPr>
            <w:proofErr w:type="spellStart"/>
            <w:r w:rsidRPr="00082CA6">
              <w:rPr>
                <w:sz w:val="16"/>
                <w:szCs w:val="16"/>
                <w:lang w:eastAsia="tr-TR"/>
              </w:rPr>
              <w:t>Tüm</w:t>
            </w:r>
            <w:proofErr w:type="spellEnd"/>
            <w:r w:rsidRPr="00082CA6">
              <w:rPr>
                <w:sz w:val="16"/>
                <w:szCs w:val="16"/>
                <w:lang w:eastAsia="tr-TR"/>
              </w:rPr>
              <w:t xml:space="preserve"> EDM</w:t>
            </w:r>
          </w:p>
          <w:p w:rsidR="00082CA6" w:rsidRPr="00082CA6" w:rsidRDefault="00082CA6" w:rsidP="00082CA6">
            <w:pPr>
              <w:keepNext/>
              <w:spacing w:before="0" w:after="1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eastAsia="tr-TR"/>
              </w:rPr>
            </w:pPr>
            <w:r w:rsidRPr="00082CA6">
              <w:rPr>
                <w:sz w:val="16"/>
                <w:szCs w:val="16"/>
                <w:lang w:eastAsia="tr-TR"/>
              </w:rPr>
              <w:t>APO01.07</w:t>
            </w:r>
          </w:p>
        </w:tc>
      </w:tr>
    </w:tbl>
    <w:p w:rsidR="00082CA6" w:rsidRPr="00082CA6" w:rsidRDefault="00082CA6" w:rsidP="00082CA6">
      <w:pPr>
        <w:spacing w:before="0" w:after="120" w:line="240" w:lineRule="auto"/>
        <w:jc w:val="both"/>
        <w:rPr>
          <w:rFonts w:eastAsia="Times New Roman" w:cs="Times New Roman"/>
          <w:sz w:val="20"/>
          <w:lang w:eastAsia="tr-TR"/>
        </w:rPr>
      </w:pPr>
      <w:r w:rsidRPr="00082CA6">
        <w:rPr>
          <w:rFonts w:eastAsia="Times New Roman" w:cs="Times New Roman"/>
          <w:b/>
          <w:sz w:val="20"/>
          <w:lang w:eastAsia="tr-TR"/>
        </w:rPr>
        <w:t>Kaynak:</w:t>
      </w:r>
      <w:r w:rsidRPr="00082CA6">
        <w:rPr>
          <w:rFonts w:eastAsia="Times New Roman" w:cs="Times New Roman"/>
          <w:sz w:val="20"/>
          <w:lang w:eastAsia="tr-TR"/>
        </w:rPr>
        <w:t xml:space="preserve"> (ISACA, </w:t>
      </w:r>
      <w:proofErr w:type="spellStart"/>
      <w:r w:rsidRPr="00082CA6">
        <w:rPr>
          <w:rFonts w:eastAsia="Times New Roman" w:cs="Times New Roman"/>
          <w:sz w:val="20"/>
          <w:lang w:eastAsia="tr-TR"/>
        </w:rPr>
        <w:t>Enabling</w:t>
      </w:r>
      <w:proofErr w:type="spellEnd"/>
      <w:r w:rsidRPr="00082CA6">
        <w:rPr>
          <w:rFonts w:eastAsia="Times New Roman" w:cs="Times New Roman"/>
          <w:sz w:val="20"/>
          <w:lang w:eastAsia="tr-TR"/>
        </w:rPr>
        <w:t xml:space="preserve"> </w:t>
      </w:r>
      <w:proofErr w:type="spellStart"/>
      <w:r w:rsidRPr="00082CA6">
        <w:rPr>
          <w:rFonts w:eastAsia="Times New Roman" w:cs="Times New Roman"/>
          <w:sz w:val="20"/>
          <w:lang w:eastAsia="tr-TR"/>
        </w:rPr>
        <w:t>Processes</w:t>
      </w:r>
      <w:proofErr w:type="spellEnd"/>
      <w:r w:rsidRPr="00082CA6">
        <w:rPr>
          <w:rFonts w:eastAsia="Times New Roman" w:cs="Times New Roman"/>
          <w:sz w:val="20"/>
          <w:lang w:eastAsia="tr-TR"/>
        </w:rPr>
        <w:t xml:space="preserve">, 2012)’ den esinlenerek araştırmacı tarafından hazırlanmıştır.  </w:t>
      </w:r>
    </w:p>
    <w:p w:rsidR="00082CA6" w:rsidRPr="00082CA6" w:rsidRDefault="00082CA6" w:rsidP="00082CA6">
      <w:pPr>
        <w:suppressAutoHyphens/>
        <w:spacing w:before="0" w:after="120" w:line="240" w:lineRule="auto"/>
        <w:jc w:val="both"/>
        <w:rPr>
          <w:rFonts w:eastAsia="TimesNewRoman" w:cs="Times New Roman"/>
          <w:sz w:val="22"/>
          <w:lang w:eastAsia="tr-TR"/>
        </w:rPr>
      </w:pPr>
      <w:r w:rsidRPr="00082CA6">
        <w:rPr>
          <w:rFonts w:eastAsia="TimesNewRoman" w:cs="Times New Roman"/>
          <w:sz w:val="22"/>
          <w:lang w:eastAsia="tr-TR"/>
        </w:rPr>
        <w:t>Süreçteki kriter faaliyetler KA dinamiklerine uyarlanabilecek şekilde aşağıda belirtilmektedir:</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 xml:space="preserve">1. KA yönetişimi için sorumluluk ve yetki alan görevlilerle paydaşların etkinlik ve performansını değerlendir.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Yönetişim sorumlulukları için performans göstergelerinin belirlenmesi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Performans göstergelerine ait verilerin toplanması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Performans sonuçlarına göre göstergelerinin yeniden değerlendirilmesi</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 xml:space="preserve">2. Üzerinde anlaşılan yönetişim ve BT yönetişim mekanizmalarının (yapılar, prensipler, süreçler, vb.) oluşturulup oluşturulmadığı ve etkili şekilde çalışıp çalışmadığını düzenli aralıklarla değerlendir.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Yönetişim ve BT yönetişim mekanizmalarına ait değerlendirmelerin iç denetim programına konulması</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KB ve YK tarafından yönetişim mekanizmalarının etkinliğine dair periyodik değerlendirmelerin yapılması</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 xml:space="preserve">3. Yönetişim tasarım etkinliğinin değerlendirilmesi ve bulunan her türlü sapmanın düzeltilmesi için eylemleri belirle.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KB tarafından YK ve KK üyelerinden yönetişim tasarımına dair değerlendirme istenmesi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lastRenderedPageBreak/>
        <w:t>YK tarafından KK ve GS’ den yönetişim yapısının iyileştirilmesine dair değerlendirmeler istenmesi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Yönetişim ilkelerinden ve uygulamalarından saplamaların KB ve YK’ ya raporlanması</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 xml:space="preserve">4. </w:t>
      </w:r>
      <w:proofErr w:type="spellStart"/>
      <w:r w:rsidRPr="00082CA6">
        <w:rPr>
          <w:rFonts w:eastAsia="Times New Roman" w:cs="Times New Roman"/>
          <w:i/>
          <w:sz w:val="22"/>
          <w:lang w:eastAsia="tr-TR"/>
        </w:rPr>
        <w:t>BT’nin</w:t>
      </w:r>
      <w:proofErr w:type="spellEnd"/>
      <w:r w:rsidRPr="00082CA6">
        <w:rPr>
          <w:rFonts w:eastAsia="Times New Roman" w:cs="Times New Roman"/>
          <w:i/>
          <w:sz w:val="22"/>
          <w:lang w:eastAsia="tr-TR"/>
        </w:rPr>
        <w:t xml:space="preserve"> zorunlulukları (yönetmelik, yasa, teamül hukuku, sözleşmeye ait), iç politikalar, standartlar ve profesyonel kuralları yerine getirme derecesi gözetimini sürdür.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Yönetmelik, yasa, teamül hukuku, sözleşmeye ait zorunlulukların tespit edilmesi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İç politikalar, standartlar ve profesyonel kuralların gözetilmesi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İç ve dış denetimden bu yönde raporlama talep edilmesi</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 xml:space="preserve">5. Kalkınma ajansının kontrol sisteminin etkinlik ve uygunluk gözetimini sağla. </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Dış denetim firmasının KB tarafından profesyonel denetim firmaları arasından seçilmesi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KB ve YK tarafından KA iç kontrol raporunun profesyonel standartlara göre hazırlanmasının gözetilmesi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İç kontrole dair iç denetim ve dış denetçi raporlarındaki değerlendirmelerin dikkate alınması</w:t>
      </w:r>
    </w:p>
    <w:p w:rsidR="00082CA6" w:rsidRPr="00082CA6" w:rsidRDefault="00082CA6" w:rsidP="00082CA6">
      <w:pPr>
        <w:suppressAutoHyphens/>
        <w:spacing w:before="0" w:after="120" w:line="240" w:lineRule="auto"/>
        <w:jc w:val="both"/>
        <w:rPr>
          <w:rFonts w:eastAsia="Times New Roman" w:cs="Times New Roman"/>
          <w:i/>
          <w:sz w:val="22"/>
          <w:lang w:eastAsia="tr-TR"/>
        </w:rPr>
      </w:pPr>
      <w:r w:rsidRPr="00082CA6">
        <w:rPr>
          <w:rFonts w:eastAsia="Times New Roman" w:cs="Times New Roman"/>
          <w:i/>
          <w:sz w:val="22"/>
          <w:lang w:eastAsia="tr-TR"/>
        </w:rPr>
        <w:t>6. BT kullanımının, ilgili zorunluluklar (yönetmelik, yasa, teamül hukuku, sözleşmeye ait), standartlar ve kurallara uygun olmasını sağlamak için düzenli ve rutin mekanizmaları izle.</w:t>
      </w:r>
    </w:p>
    <w:p w:rsidR="00082CA6" w:rsidRPr="00082CA6" w:rsidRDefault="00082CA6" w:rsidP="00082CA6">
      <w:pPr>
        <w:suppressAutoHyphens/>
        <w:spacing w:before="0" w:after="120" w:line="240" w:lineRule="auto"/>
        <w:jc w:val="both"/>
        <w:rPr>
          <w:rFonts w:eastAsia="Times New Roman" w:cs="Times New Roman"/>
          <w:sz w:val="22"/>
          <w:lang w:eastAsia="tr-TR"/>
        </w:rPr>
      </w:pPr>
      <w:r w:rsidRPr="00082CA6">
        <w:rPr>
          <w:rFonts w:eastAsia="Times New Roman" w:cs="Times New Roman"/>
          <w:sz w:val="22"/>
          <w:lang w:eastAsia="tr-TR"/>
        </w:rPr>
        <w:t>Buna göre yapılacak başlıca alt düzey faaliyetler şunlardır:</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Altı aylık  ve yıllık iç denetim raporlarında uygunluk sisteminin izlenmesine dair raporlama istenmesi</w:t>
      </w:r>
    </w:p>
    <w:p w:rsidR="00082CA6" w:rsidRPr="00082CA6" w:rsidRDefault="00082CA6" w:rsidP="00082CA6">
      <w:pPr>
        <w:numPr>
          <w:ilvl w:val="0"/>
          <w:numId w:val="23"/>
        </w:numPr>
        <w:suppressAutoHyphens/>
        <w:spacing w:before="0" w:after="120" w:line="240" w:lineRule="auto"/>
        <w:contextualSpacing/>
        <w:jc w:val="both"/>
        <w:rPr>
          <w:rFonts w:eastAsia="Times New Roman" w:cs="Times New Roman"/>
          <w:sz w:val="22"/>
          <w:lang w:eastAsia="tr-TR"/>
        </w:rPr>
      </w:pPr>
      <w:r w:rsidRPr="00082CA6">
        <w:rPr>
          <w:rFonts w:eastAsia="Times New Roman" w:cs="Times New Roman"/>
          <w:sz w:val="22"/>
          <w:lang w:eastAsia="tr-TR"/>
        </w:rPr>
        <w:t>KB tarafından KA izleme sistemin etkinliğinin izlenmesi</w:t>
      </w:r>
    </w:p>
    <w:p w:rsidR="00082CA6" w:rsidRPr="00082CA6" w:rsidRDefault="00082CA6" w:rsidP="00082CA6">
      <w:pPr>
        <w:keepNext/>
        <w:keepLines/>
        <w:spacing w:before="0" w:after="120" w:line="240" w:lineRule="auto"/>
        <w:jc w:val="both"/>
        <w:outlineLvl w:val="0"/>
        <w:rPr>
          <w:rFonts w:eastAsia="Times New Roman" w:cs="Times New Roman"/>
          <w:b/>
          <w:bCs/>
          <w:sz w:val="22"/>
          <w:lang w:eastAsia="tr-TR"/>
        </w:rPr>
      </w:pPr>
      <w:bookmarkStart w:id="65" w:name="_Toc421783919"/>
      <w:r w:rsidRPr="00082CA6">
        <w:rPr>
          <w:rFonts w:eastAsia="Times New Roman" w:cs="Times New Roman"/>
          <w:b/>
          <w:bCs/>
          <w:sz w:val="22"/>
          <w:lang w:eastAsia="tr-TR"/>
        </w:rPr>
        <w:t>COBIT -5 YÖNETİŞİM MODELİNİN UYGULANABİLİRLİĞİ</w:t>
      </w:r>
      <w:bookmarkEnd w:id="65"/>
    </w:p>
    <w:p w:rsidR="00082CA6" w:rsidRPr="00082CA6" w:rsidRDefault="00082CA6" w:rsidP="00082CA6">
      <w:pPr>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Araştırma varsayım ve hipotezinin test edilebilmesi için </w:t>
      </w:r>
      <w:proofErr w:type="spellStart"/>
      <w:r w:rsidRPr="00082CA6">
        <w:rPr>
          <w:rFonts w:eastAsia="Times New Roman" w:cs="Times New Roman"/>
          <w:sz w:val="22"/>
          <w:lang w:eastAsia="tr-TR"/>
        </w:rPr>
        <w:t>çevirimiçi</w:t>
      </w:r>
      <w:proofErr w:type="spellEnd"/>
      <w:r w:rsidRPr="00082CA6">
        <w:rPr>
          <w:rFonts w:eastAsia="Times New Roman" w:cs="Times New Roman"/>
          <w:sz w:val="22"/>
          <w:lang w:eastAsia="tr-TR"/>
        </w:rPr>
        <w:t xml:space="preserve"> anket yöntemi kullanılmıştır. Kalkınma Bakanlığı (KB) ve 26 adet kalkınma ajansı (KA) personelinden toplamda 179 kişi (KB+KA, %30 yönetici %70 uzman vd.) ankete katılmıştır. Gönüllü olarak ankete katılmak isteyenlere ulaşmaya yönelik rastgele örnekleme kullanılmıştır. Hedef kitle KB ve 26 adet KA personeli olup tüm personelin elektronik postalarına doğrudan talep gönderilmiştir. Temel varsayımlar ve model gerekliliklerinin doğrulanması bu anket sayesinde yapılabilmiştir. 12 soru sorulmuş ve aşağıdaki şekillerde görülmektedirler. </w:t>
      </w:r>
    </w:p>
    <w:p w:rsidR="00082CA6" w:rsidRPr="00082CA6" w:rsidRDefault="00082CA6" w:rsidP="00082CA6">
      <w:pPr>
        <w:spacing w:before="0" w:after="120" w:line="240" w:lineRule="auto"/>
        <w:jc w:val="center"/>
        <w:rPr>
          <w:rFonts w:eastAsia="Times New Roman" w:cs="Times New Roman"/>
          <w:bCs/>
          <w:sz w:val="22"/>
          <w:lang w:eastAsia="tr-TR"/>
        </w:rPr>
      </w:pPr>
      <w:bookmarkStart w:id="66" w:name="_Toc421787731"/>
      <w:r w:rsidRPr="00082CA6">
        <w:rPr>
          <w:rFonts w:eastAsia="Times New Roman" w:cs="Times New Roman"/>
          <w:b/>
          <w:bCs/>
          <w:sz w:val="22"/>
          <w:lang w:eastAsia="tr-TR"/>
        </w:rPr>
        <w:t>Şekil 7.</w:t>
      </w:r>
      <w:r w:rsidRPr="00082CA6">
        <w:rPr>
          <w:rFonts w:eastAsia="Times New Roman" w:cs="Times New Roman"/>
          <w:bCs/>
          <w:sz w:val="22"/>
          <w:lang w:eastAsia="tr-TR"/>
        </w:rPr>
        <w:t xml:space="preserve"> Anketin ilk sorusuna verilen cevaplar ve bulgu</w:t>
      </w:r>
      <w:bookmarkEnd w:id="66"/>
    </w:p>
    <w:p w:rsidR="00082CA6" w:rsidRPr="00082CA6" w:rsidRDefault="00082CA6" w:rsidP="00082CA6">
      <w:pPr>
        <w:keepNext/>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5AE38B87" wp14:editId="666C95FA">
            <wp:extent cx="3680299" cy="1845865"/>
            <wp:effectExtent l="19050" t="19050" r="15875" b="21590"/>
            <wp:docPr id="1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774129" cy="1892926"/>
                    </a:xfrm>
                    <a:prstGeom prst="rect">
                      <a:avLst/>
                    </a:prstGeom>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pic:spPr>
                </pic:pic>
              </a:graphicData>
            </a:graphic>
          </wp:inline>
        </w:drawing>
      </w:r>
    </w:p>
    <w:p w:rsidR="00082CA6" w:rsidRPr="00082CA6" w:rsidRDefault="00082CA6" w:rsidP="00082CA6">
      <w:pPr>
        <w:spacing w:before="0" w:after="120" w:line="240" w:lineRule="auto"/>
        <w:ind w:left="708" w:firstLine="708"/>
        <w:jc w:val="both"/>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rPr>
      </w:pPr>
      <w:r w:rsidRPr="00082CA6">
        <w:rPr>
          <w:rFonts w:eastAsia="Times New Roman" w:cs="Times New Roman"/>
          <w:sz w:val="22"/>
        </w:rPr>
        <w:lastRenderedPageBreak/>
        <w:tab/>
        <w:t xml:space="preserve">Yukarıdaki şekilden anlaşılacağı üzere, ankete atılanların büyük çoğunluğu KA yönetişim yapılandırılmasının yukarıdan inmeci ve merkeziyetçi bir anlayışla yapıldığını ortaya koymaktadır. Bu da COBIT modelinin uygulanabilmesi için gerekli olan paydaş ihtiyaçlarına göre kurumsal hedeflenmenin yapılması gerekliliğiyle çelişmekte olup, hazırlanan yönetişim modelinin uygulanabilirliği açısından iç ve dış paydaşların tespit edilerek yönetişim ihtiyaçları ve öncelikleri doğrultusunda bir yapılanma gerekliliğini ortaya koymaktadır. </w:t>
      </w:r>
      <w:bookmarkStart w:id="67" w:name="_Toc421787732"/>
    </w:p>
    <w:p w:rsidR="00082CA6" w:rsidRPr="00082CA6" w:rsidRDefault="00082CA6" w:rsidP="00082CA6">
      <w:pPr>
        <w:spacing w:before="0" w:after="120" w:line="240" w:lineRule="auto"/>
        <w:jc w:val="center"/>
        <w:rPr>
          <w:rFonts w:eastAsia="Times New Roman" w:cs="Times New Roman"/>
          <w:bCs/>
          <w:sz w:val="22"/>
          <w:lang w:eastAsia="tr-TR"/>
        </w:rPr>
      </w:pPr>
      <w:r w:rsidRPr="00082CA6">
        <w:rPr>
          <w:rFonts w:eastAsia="Times New Roman" w:cs="Times New Roman"/>
          <w:b/>
          <w:bCs/>
          <w:sz w:val="22"/>
          <w:lang w:eastAsia="tr-TR"/>
        </w:rPr>
        <w:t>Şekil 8.</w:t>
      </w:r>
      <w:r w:rsidRPr="00082CA6">
        <w:rPr>
          <w:rFonts w:eastAsia="Times New Roman" w:cs="Times New Roman"/>
          <w:bCs/>
          <w:sz w:val="22"/>
          <w:lang w:eastAsia="tr-TR"/>
        </w:rPr>
        <w:t xml:space="preserve"> Anketin ikinci sorusuna verilen cevaplar ve bulgu</w:t>
      </w:r>
      <w:bookmarkEnd w:id="67"/>
    </w:p>
    <w:p w:rsidR="00082CA6" w:rsidRPr="00082CA6" w:rsidRDefault="00082CA6" w:rsidP="00082CA6">
      <w:pPr>
        <w:spacing w:before="0" w:after="120" w:line="240" w:lineRule="auto"/>
        <w:jc w:val="center"/>
        <w:rPr>
          <w:rFonts w:eastAsia="Times New Roman" w:cs="Times New Roman"/>
          <w:sz w:val="22"/>
        </w:rPr>
      </w:pPr>
      <w:r w:rsidRPr="00082CA6">
        <w:rPr>
          <w:rFonts w:eastAsia="Times New Roman" w:cs="Times New Roman"/>
          <w:noProof/>
          <w:sz w:val="22"/>
          <w:lang w:eastAsia="tr-TR"/>
        </w:rPr>
        <w:drawing>
          <wp:inline distT="0" distB="0" distL="0" distR="0" wp14:anchorId="6EC29326" wp14:editId="39941842">
            <wp:extent cx="3602525" cy="1843811"/>
            <wp:effectExtent l="19050" t="19050" r="17145" b="23495"/>
            <wp:docPr id="1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695429" cy="1891360"/>
                    </a:xfrm>
                    <a:prstGeom prst="rect">
                      <a:avLst/>
                    </a:prstGeom>
                    <a:ln>
                      <a:gradFill>
                        <a:gsLst>
                          <a:gs pos="44150">
                            <a:srgbClr val="BDCEEC"/>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rPr>
      </w:pPr>
      <w:r w:rsidRPr="00082CA6">
        <w:rPr>
          <w:rFonts w:eastAsia="Times New Roman" w:cs="Times New Roman"/>
          <w:sz w:val="22"/>
        </w:rPr>
        <w:tab/>
        <w:t xml:space="preserve">Yukarıdaki şekilden anlaşılacağı üzere, ankete atılanların büyük çoğunluğu KA en önemli sorununun yönetişim sorunu olduğunu düşünmektedirler. Bu da araştırmamızın temel varsayımını doğrular niteliktedir. </w:t>
      </w:r>
    </w:p>
    <w:p w:rsidR="00082CA6" w:rsidRPr="00082CA6" w:rsidRDefault="00082CA6" w:rsidP="00082CA6">
      <w:pPr>
        <w:spacing w:before="0" w:after="120" w:line="240" w:lineRule="auto"/>
        <w:jc w:val="center"/>
        <w:rPr>
          <w:rFonts w:eastAsia="Times New Roman" w:cs="Times New Roman"/>
          <w:bCs/>
          <w:sz w:val="22"/>
          <w:lang w:eastAsia="tr-TR"/>
        </w:rPr>
      </w:pPr>
      <w:bookmarkStart w:id="68" w:name="_Toc421787733"/>
      <w:r w:rsidRPr="00082CA6">
        <w:rPr>
          <w:rFonts w:eastAsia="Times New Roman" w:cs="Times New Roman"/>
          <w:b/>
          <w:bCs/>
          <w:sz w:val="22"/>
          <w:lang w:eastAsia="tr-TR"/>
        </w:rPr>
        <w:t>Şekil 9.</w:t>
      </w:r>
      <w:r w:rsidRPr="00082CA6">
        <w:rPr>
          <w:rFonts w:eastAsia="Times New Roman" w:cs="Times New Roman"/>
          <w:bCs/>
          <w:sz w:val="22"/>
          <w:lang w:eastAsia="tr-TR"/>
        </w:rPr>
        <w:t xml:space="preserve"> Anketin üçüncü sorusuna verilen cevaplar ve bulgu</w:t>
      </w:r>
      <w:bookmarkEnd w:id="68"/>
    </w:p>
    <w:p w:rsidR="00082CA6" w:rsidRPr="00082CA6" w:rsidRDefault="00082CA6" w:rsidP="00082CA6">
      <w:pPr>
        <w:spacing w:before="0" w:after="120" w:line="240" w:lineRule="auto"/>
        <w:jc w:val="center"/>
        <w:rPr>
          <w:rFonts w:eastAsia="Times New Roman" w:cs="Times New Roman"/>
          <w:sz w:val="22"/>
        </w:rPr>
      </w:pPr>
      <w:r w:rsidRPr="00082CA6">
        <w:rPr>
          <w:rFonts w:eastAsia="Times New Roman" w:cs="Times New Roman"/>
          <w:noProof/>
          <w:sz w:val="22"/>
          <w:lang w:eastAsia="tr-TR"/>
        </w:rPr>
        <w:drawing>
          <wp:inline distT="0" distB="0" distL="0" distR="0" wp14:anchorId="017374C5" wp14:editId="45536668">
            <wp:extent cx="3554083" cy="2004017"/>
            <wp:effectExtent l="19050" t="19050" r="27940" b="15875"/>
            <wp:docPr id="12"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583503" cy="2020606"/>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rPr>
      </w:pPr>
      <w:r w:rsidRPr="00082CA6">
        <w:rPr>
          <w:rFonts w:eastAsia="Times New Roman" w:cs="Times New Roman"/>
          <w:sz w:val="22"/>
        </w:rPr>
        <w:tab/>
        <w:t xml:space="preserve">Yukarıdaki şekilden anlaşılacağı üzere, ankete atılanların büyük çoğunluğu COBIT hedef basamaklarına göre bir yapılanmayı ihtiyaç olarak görmektedir. Bu da yaptığımız çalışmada kullandığımız yöntem ve sonucun uygulayıcılar tarafından doğrulandığını ortaya koymaktadır. </w:t>
      </w:r>
    </w:p>
    <w:p w:rsidR="00082CA6" w:rsidRDefault="00082CA6">
      <w:pPr>
        <w:spacing w:before="0" w:line="259" w:lineRule="auto"/>
        <w:rPr>
          <w:rFonts w:eastAsia="Times New Roman" w:cs="Times New Roman"/>
          <w:b/>
          <w:bCs/>
          <w:sz w:val="22"/>
          <w:lang w:eastAsia="tr-TR"/>
        </w:rPr>
      </w:pPr>
      <w:bookmarkStart w:id="69" w:name="_Toc421787734"/>
      <w:r>
        <w:rPr>
          <w:rFonts w:eastAsia="Times New Roman" w:cs="Times New Roman"/>
          <w:b/>
          <w:bCs/>
          <w:sz w:val="22"/>
          <w:lang w:eastAsia="tr-TR"/>
        </w:rPr>
        <w:br w:type="page"/>
      </w:r>
    </w:p>
    <w:p w:rsidR="00082CA6" w:rsidRPr="00082CA6" w:rsidRDefault="00082CA6" w:rsidP="00082CA6">
      <w:pPr>
        <w:tabs>
          <w:tab w:val="left" w:pos="1359"/>
        </w:tabs>
        <w:spacing w:before="0" w:after="120" w:line="240" w:lineRule="auto"/>
        <w:jc w:val="center"/>
        <w:rPr>
          <w:rFonts w:eastAsia="Times New Roman" w:cs="Times New Roman"/>
          <w:bCs/>
          <w:sz w:val="22"/>
          <w:lang w:eastAsia="tr-TR"/>
        </w:rPr>
      </w:pPr>
      <w:r w:rsidRPr="00082CA6">
        <w:rPr>
          <w:rFonts w:eastAsia="Times New Roman" w:cs="Times New Roman"/>
          <w:b/>
          <w:bCs/>
          <w:sz w:val="22"/>
          <w:lang w:eastAsia="tr-TR"/>
        </w:rPr>
        <w:lastRenderedPageBreak/>
        <w:t>Şekil 10.</w:t>
      </w:r>
      <w:r w:rsidRPr="00082CA6">
        <w:rPr>
          <w:rFonts w:eastAsia="Times New Roman" w:cs="Times New Roman"/>
          <w:bCs/>
          <w:sz w:val="22"/>
          <w:lang w:eastAsia="tr-TR"/>
        </w:rPr>
        <w:t xml:space="preserve"> Anketin dördüncü sorusuna verilen cevaplar ve bulgu</w:t>
      </w:r>
      <w:bookmarkEnd w:id="69"/>
    </w:p>
    <w:p w:rsidR="00082CA6" w:rsidRPr="00082CA6" w:rsidRDefault="00082CA6" w:rsidP="00082CA6">
      <w:pPr>
        <w:spacing w:before="0" w:after="120" w:line="240" w:lineRule="auto"/>
        <w:jc w:val="center"/>
        <w:rPr>
          <w:rFonts w:eastAsia="Times New Roman" w:cs="Times New Roman"/>
          <w:sz w:val="22"/>
        </w:rPr>
      </w:pPr>
      <w:r w:rsidRPr="00082CA6">
        <w:rPr>
          <w:rFonts w:eastAsia="Times New Roman" w:cs="Times New Roman"/>
          <w:noProof/>
          <w:sz w:val="22"/>
          <w:lang w:eastAsia="tr-TR"/>
        </w:rPr>
        <w:drawing>
          <wp:inline distT="0" distB="0" distL="0" distR="0" wp14:anchorId="2B8C9081" wp14:editId="4A90794F">
            <wp:extent cx="3394653" cy="2131526"/>
            <wp:effectExtent l="19050" t="19050" r="15875" b="21590"/>
            <wp:docPr id="1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448799" cy="2165525"/>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Yukarıdaki şekilden anlaşılacağı üzere, ankete atılanların büyük çoğunluğu EMD01 sürecinin gereklerini bir ihtiyaç olarak görmektedir. Bu da uygulanmasını önerdiğimiz ve KA için yapılandırdığımız sürecin doğru tespit edildiğini ortaya koymaktadır. </w:t>
      </w:r>
    </w:p>
    <w:p w:rsidR="00082CA6" w:rsidRPr="00082CA6" w:rsidRDefault="00082CA6" w:rsidP="00082CA6">
      <w:pPr>
        <w:spacing w:before="0" w:after="120" w:line="240" w:lineRule="auto"/>
        <w:jc w:val="center"/>
        <w:rPr>
          <w:rFonts w:eastAsia="Times New Roman" w:cs="Times New Roman"/>
          <w:bCs/>
          <w:sz w:val="22"/>
          <w:lang w:eastAsia="tr-TR"/>
        </w:rPr>
      </w:pPr>
      <w:bookmarkStart w:id="70" w:name="_Toc421787735"/>
      <w:r w:rsidRPr="00082CA6">
        <w:rPr>
          <w:rFonts w:eastAsia="Times New Roman" w:cs="Times New Roman"/>
          <w:b/>
          <w:bCs/>
          <w:sz w:val="22"/>
          <w:lang w:eastAsia="tr-TR"/>
        </w:rPr>
        <w:t>Şekil 11.</w:t>
      </w:r>
      <w:r w:rsidRPr="00082CA6">
        <w:rPr>
          <w:rFonts w:eastAsia="Times New Roman" w:cs="Times New Roman"/>
          <w:bCs/>
          <w:sz w:val="22"/>
          <w:lang w:eastAsia="tr-TR"/>
        </w:rPr>
        <w:t xml:space="preserve"> Anketin beşinci sorusuna verilen cevaplar ve bulgu</w:t>
      </w:r>
      <w:bookmarkEnd w:id="70"/>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238A9A60" wp14:editId="17512414">
            <wp:extent cx="3435226" cy="2111571"/>
            <wp:effectExtent l="19050" t="19050" r="13335" b="22225"/>
            <wp:docPr id="1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495339" cy="2148521"/>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EMD02 sürecinin gereklerini bir ihtiyaç olarak görmektedir. Bu da uygulanmasını önerdiğimiz ve KA için yapılandırdığımız sürecin doğru tespit edildiğini ortaya koymaktadır. </w:t>
      </w:r>
    </w:p>
    <w:p w:rsidR="00082CA6" w:rsidRPr="00082CA6" w:rsidRDefault="00082CA6" w:rsidP="00082CA6">
      <w:pPr>
        <w:spacing w:before="0" w:after="200" w:line="276" w:lineRule="auto"/>
        <w:rPr>
          <w:rFonts w:eastAsia="Times New Roman" w:cs="Times New Roman"/>
          <w:bCs/>
          <w:sz w:val="22"/>
          <w:lang w:eastAsia="tr-TR"/>
        </w:rPr>
      </w:pPr>
      <w:bookmarkStart w:id="71" w:name="_Toc421787736"/>
      <w:r w:rsidRPr="00082CA6">
        <w:rPr>
          <w:rFonts w:eastAsia="Times New Roman" w:cs="Times New Roman"/>
          <w:bCs/>
          <w:sz w:val="22"/>
          <w:lang w:eastAsia="tr-TR"/>
        </w:rPr>
        <w:br w:type="page"/>
      </w:r>
    </w:p>
    <w:p w:rsidR="00082CA6" w:rsidRPr="00082CA6" w:rsidRDefault="00082CA6" w:rsidP="00082CA6">
      <w:pPr>
        <w:spacing w:before="0" w:after="120" w:line="240" w:lineRule="auto"/>
        <w:jc w:val="center"/>
        <w:rPr>
          <w:rFonts w:eastAsia="Times New Roman" w:cs="Times New Roman"/>
          <w:bCs/>
          <w:sz w:val="22"/>
          <w:lang w:eastAsia="tr-TR"/>
        </w:rPr>
      </w:pPr>
      <w:r w:rsidRPr="00082CA6">
        <w:rPr>
          <w:rFonts w:eastAsia="Times New Roman" w:cs="Times New Roman"/>
          <w:b/>
          <w:bCs/>
          <w:sz w:val="22"/>
          <w:lang w:eastAsia="tr-TR"/>
        </w:rPr>
        <w:lastRenderedPageBreak/>
        <w:t>Şekil 12.</w:t>
      </w:r>
      <w:r w:rsidRPr="00082CA6">
        <w:rPr>
          <w:rFonts w:eastAsia="Times New Roman" w:cs="Times New Roman"/>
          <w:bCs/>
          <w:sz w:val="22"/>
          <w:lang w:eastAsia="tr-TR"/>
        </w:rPr>
        <w:t xml:space="preserve"> Anketin altıncı sorusuna verilen cevaplar ve bulgu</w:t>
      </w:r>
      <w:bookmarkEnd w:id="71"/>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1EE1C685" wp14:editId="56899915">
            <wp:extent cx="3532659" cy="2015001"/>
            <wp:effectExtent l="19050" t="19050" r="10795" b="23495"/>
            <wp:docPr id="1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631009" cy="2071099"/>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EMD03 sürecinin gereklerini bir ihtiyaç olarak görmektedir. Bu da uygulanmasını önerdiğimiz ve KA için yapılandırdığımız sürecin doğru tespit edildiğini ortaya koymaktadır. Özellikle mali riskler ile program ve projelerin performans göstergelerini olumsuz etkileyebilecek idari ve teknik risklerin optimize edilmesi gerektiği anlaşılmaktadır. </w:t>
      </w:r>
    </w:p>
    <w:p w:rsidR="00082CA6" w:rsidRPr="00082CA6" w:rsidRDefault="00082CA6" w:rsidP="00082CA6">
      <w:pPr>
        <w:spacing w:before="0" w:after="120" w:line="240" w:lineRule="auto"/>
        <w:jc w:val="center"/>
        <w:rPr>
          <w:rFonts w:eastAsia="Times New Roman" w:cs="Times New Roman"/>
          <w:bCs/>
          <w:sz w:val="22"/>
          <w:lang w:eastAsia="tr-TR"/>
        </w:rPr>
      </w:pPr>
      <w:bookmarkStart w:id="72" w:name="_Toc421787737"/>
      <w:r w:rsidRPr="00082CA6">
        <w:rPr>
          <w:rFonts w:eastAsia="Times New Roman" w:cs="Times New Roman"/>
          <w:b/>
          <w:bCs/>
          <w:sz w:val="22"/>
          <w:lang w:eastAsia="tr-TR"/>
        </w:rPr>
        <w:t>Şekil 13.</w:t>
      </w:r>
      <w:r w:rsidRPr="00082CA6">
        <w:rPr>
          <w:rFonts w:eastAsia="Times New Roman" w:cs="Times New Roman"/>
          <w:bCs/>
          <w:sz w:val="22"/>
          <w:lang w:eastAsia="tr-TR"/>
        </w:rPr>
        <w:t xml:space="preserve"> Anketin yedinci sorusuna verilen cevaplar ve bulgu</w:t>
      </w:r>
      <w:bookmarkEnd w:id="72"/>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77C2A061" wp14:editId="008F9CB5">
            <wp:extent cx="3493698" cy="2078784"/>
            <wp:effectExtent l="19050" t="19050" r="12065" b="1714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559242" cy="2117783"/>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EMD04 sürecinin gereklerini bir ihtiyaç olarak görmektedir. Bu da uygulanmasını önerdiğimiz ve KA için yapılandırdığımız sürecin doğru tespit edildiğini ortaya koymaktadır. Özellikle kaynak optimizasyonunun hem merkezden ve hem de yerelden aktarılan mali bütçenin yanı sıra bölgesel düzeyde kalkınma süreçlerinde sorumluluk sahibi olan paydaşların sahi olduğu kaynakların da optimize edilmesine ihtiyaç olduğu söylenebilir. </w:t>
      </w:r>
    </w:p>
    <w:p w:rsidR="00082CA6" w:rsidRPr="00082CA6" w:rsidRDefault="00082CA6" w:rsidP="00082CA6">
      <w:pPr>
        <w:spacing w:before="0" w:after="120" w:line="240" w:lineRule="auto"/>
        <w:jc w:val="center"/>
        <w:rPr>
          <w:rFonts w:eastAsia="Times New Roman" w:cs="Times New Roman"/>
          <w:bCs/>
          <w:sz w:val="22"/>
          <w:lang w:eastAsia="tr-TR"/>
        </w:rPr>
      </w:pPr>
      <w:bookmarkStart w:id="73" w:name="_Toc421787738"/>
      <w:r w:rsidRPr="00082CA6">
        <w:rPr>
          <w:rFonts w:eastAsia="Times New Roman" w:cs="Times New Roman"/>
          <w:b/>
          <w:bCs/>
          <w:sz w:val="22"/>
          <w:lang w:eastAsia="tr-TR"/>
        </w:rPr>
        <w:t>Şekil 14.</w:t>
      </w:r>
      <w:r w:rsidRPr="00082CA6">
        <w:rPr>
          <w:rFonts w:eastAsia="Times New Roman" w:cs="Times New Roman"/>
          <w:bCs/>
          <w:sz w:val="22"/>
          <w:lang w:eastAsia="tr-TR"/>
        </w:rPr>
        <w:t xml:space="preserve"> Anketin sekizinci sorusuna verilen cevaplar ve bulgu</w:t>
      </w:r>
      <w:bookmarkEnd w:id="73"/>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lastRenderedPageBreak/>
        <w:drawing>
          <wp:inline distT="0" distB="0" distL="0" distR="0" wp14:anchorId="207B7BC9" wp14:editId="3C48920E">
            <wp:extent cx="3600630" cy="2231136"/>
            <wp:effectExtent l="19050" t="19050" r="19050" b="17145"/>
            <wp:docPr id="1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653427" cy="2263852"/>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EMD05 sürecinin gereklerini bir ihtiyaç olarak görmektedir. Bu da uygulanmasını önerdiğimiz ve KA için yapılandırdığımız sürecin doğru tespit edildiğini ortaya koymaktadır. </w:t>
      </w:r>
    </w:p>
    <w:p w:rsidR="00082CA6" w:rsidRPr="00082CA6" w:rsidRDefault="00082CA6" w:rsidP="00082CA6">
      <w:pPr>
        <w:spacing w:before="0" w:after="120" w:line="240" w:lineRule="auto"/>
        <w:jc w:val="center"/>
        <w:rPr>
          <w:rFonts w:eastAsia="Times New Roman" w:cs="Times New Roman"/>
          <w:bCs/>
          <w:sz w:val="22"/>
          <w:lang w:eastAsia="tr-TR"/>
        </w:rPr>
      </w:pPr>
      <w:bookmarkStart w:id="74" w:name="_Toc421787739"/>
      <w:r w:rsidRPr="00082CA6">
        <w:rPr>
          <w:rFonts w:eastAsia="Times New Roman" w:cs="Times New Roman"/>
          <w:b/>
          <w:bCs/>
          <w:sz w:val="22"/>
          <w:lang w:eastAsia="tr-TR"/>
        </w:rPr>
        <w:t>Şekil 15.</w:t>
      </w:r>
      <w:r w:rsidRPr="00082CA6">
        <w:rPr>
          <w:rFonts w:eastAsia="Times New Roman" w:cs="Times New Roman"/>
          <w:bCs/>
          <w:sz w:val="22"/>
          <w:lang w:eastAsia="tr-TR"/>
        </w:rPr>
        <w:t xml:space="preserve"> Anketin  dokuzuncu sorusuna verilen cevaplar ve bulgu</w:t>
      </w:r>
      <w:bookmarkEnd w:id="74"/>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471805BB" wp14:editId="7FA0A29C">
            <wp:extent cx="3577133" cy="2006235"/>
            <wp:effectExtent l="19050" t="19050" r="23495" b="13335"/>
            <wp:docPr id="1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630684" cy="2036269"/>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KA yönetişim süreçlerindeki iletişim rollerinin ve ilişkilerinin yeniden belirlenmesini bir ihtiyaç olarak görmektedir. Bu da uygulanmasını önerdiğimiz ve KA için yapılandırdığımız iç ve dış paydaşlar arasından özellikle KB kapsamında belirlediğimiz rollerin doğru tespit edildiğini ortaya koymaktadır. </w:t>
      </w:r>
    </w:p>
    <w:p w:rsidR="00082CA6" w:rsidRDefault="00082CA6">
      <w:pPr>
        <w:spacing w:before="0" w:line="259" w:lineRule="auto"/>
        <w:rPr>
          <w:rFonts w:eastAsia="Times New Roman" w:cs="Times New Roman"/>
          <w:b/>
          <w:bCs/>
          <w:sz w:val="22"/>
          <w:lang w:eastAsia="tr-TR"/>
        </w:rPr>
      </w:pPr>
      <w:bookmarkStart w:id="75" w:name="_Toc421787740"/>
      <w:r>
        <w:rPr>
          <w:rFonts w:eastAsia="Times New Roman" w:cs="Times New Roman"/>
          <w:b/>
          <w:bCs/>
          <w:sz w:val="22"/>
          <w:lang w:eastAsia="tr-TR"/>
        </w:rPr>
        <w:br w:type="page"/>
      </w:r>
    </w:p>
    <w:p w:rsidR="00082CA6" w:rsidRPr="00082CA6" w:rsidRDefault="00082CA6" w:rsidP="00082CA6">
      <w:pPr>
        <w:spacing w:before="0" w:after="120" w:line="240" w:lineRule="auto"/>
        <w:jc w:val="center"/>
        <w:rPr>
          <w:rFonts w:eastAsia="Times New Roman" w:cs="Times New Roman"/>
          <w:bCs/>
          <w:sz w:val="22"/>
          <w:lang w:eastAsia="tr-TR"/>
        </w:rPr>
      </w:pPr>
      <w:r w:rsidRPr="00082CA6">
        <w:rPr>
          <w:rFonts w:eastAsia="Times New Roman" w:cs="Times New Roman"/>
          <w:b/>
          <w:bCs/>
          <w:sz w:val="22"/>
          <w:lang w:eastAsia="tr-TR"/>
        </w:rPr>
        <w:lastRenderedPageBreak/>
        <w:t>Şekil 16.</w:t>
      </w:r>
      <w:r w:rsidRPr="00082CA6">
        <w:rPr>
          <w:rFonts w:eastAsia="Times New Roman" w:cs="Times New Roman"/>
          <w:bCs/>
          <w:sz w:val="22"/>
          <w:lang w:eastAsia="tr-TR"/>
        </w:rPr>
        <w:t xml:space="preserve"> Anketin onuncu sorusuna verilen cevaplar ve bulgu</w:t>
      </w:r>
      <w:bookmarkEnd w:id="75"/>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508B260B" wp14:editId="053F5914">
            <wp:extent cx="3489351" cy="2263758"/>
            <wp:effectExtent l="19050" t="19050" r="15875" b="22860"/>
            <wp:docPr id="1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535286" cy="2293559"/>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SMDB iletişim modelinin gereklerini bir ihtiyaç olarak görmektedir. Bu da uygulanmasını önerdiğimiz ve KA için yapılandırdığımız bilgilendirilen, danışılan, sorumlu ve mesul şeklindeki tesitlerin doğru olduğunu ortaya koymaktadır. </w:t>
      </w:r>
    </w:p>
    <w:p w:rsidR="00082CA6" w:rsidRPr="00082CA6" w:rsidRDefault="00082CA6" w:rsidP="00082CA6">
      <w:pPr>
        <w:spacing w:before="0" w:after="120" w:line="240" w:lineRule="auto"/>
        <w:jc w:val="center"/>
        <w:rPr>
          <w:rFonts w:eastAsia="Times New Roman" w:cs="Times New Roman"/>
          <w:bCs/>
          <w:sz w:val="22"/>
          <w:lang w:eastAsia="tr-TR"/>
        </w:rPr>
      </w:pPr>
      <w:bookmarkStart w:id="76" w:name="_Toc421787741"/>
      <w:r w:rsidRPr="00082CA6">
        <w:rPr>
          <w:rFonts w:eastAsia="Times New Roman" w:cs="Times New Roman"/>
          <w:b/>
          <w:bCs/>
          <w:sz w:val="22"/>
          <w:lang w:eastAsia="tr-TR"/>
        </w:rPr>
        <w:t>Şekil 17.</w:t>
      </w:r>
      <w:r w:rsidRPr="00082CA6">
        <w:rPr>
          <w:rFonts w:eastAsia="Times New Roman" w:cs="Times New Roman"/>
          <w:bCs/>
          <w:sz w:val="22"/>
          <w:lang w:eastAsia="tr-TR"/>
        </w:rPr>
        <w:t xml:space="preserve"> Anketin </w:t>
      </w:r>
      <w:proofErr w:type="spellStart"/>
      <w:r w:rsidRPr="00082CA6">
        <w:rPr>
          <w:rFonts w:eastAsia="Times New Roman" w:cs="Times New Roman"/>
          <w:bCs/>
          <w:sz w:val="22"/>
          <w:lang w:eastAsia="tr-TR"/>
        </w:rPr>
        <w:t>onbirinci</w:t>
      </w:r>
      <w:proofErr w:type="spellEnd"/>
      <w:r w:rsidRPr="00082CA6">
        <w:rPr>
          <w:rFonts w:eastAsia="Times New Roman" w:cs="Times New Roman"/>
          <w:bCs/>
          <w:sz w:val="22"/>
          <w:lang w:eastAsia="tr-TR"/>
        </w:rPr>
        <w:t xml:space="preserve"> sorusuna verilen cevaplar ve bulgu</w:t>
      </w:r>
      <w:bookmarkEnd w:id="76"/>
    </w:p>
    <w:p w:rsidR="00082CA6" w:rsidRPr="00082CA6" w:rsidRDefault="00082CA6" w:rsidP="00082CA6">
      <w:pPr>
        <w:spacing w:before="0" w:after="120" w:line="240" w:lineRule="auto"/>
        <w:jc w:val="center"/>
        <w:rPr>
          <w:rFonts w:eastAsia="Times New Roman" w:cs="Times New Roman"/>
          <w:sz w:val="22"/>
          <w:lang w:eastAsia="tr-TR"/>
        </w:rPr>
      </w:pPr>
      <w:r w:rsidRPr="00082CA6">
        <w:rPr>
          <w:rFonts w:eastAsia="Times New Roman" w:cs="Times New Roman"/>
          <w:noProof/>
          <w:sz w:val="22"/>
          <w:lang w:eastAsia="tr-TR"/>
        </w:rPr>
        <w:drawing>
          <wp:inline distT="0" distB="0" distL="0" distR="0" wp14:anchorId="6A490903" wp14:editId="0EEBB380">
            <wp:extent cx="3657600" cy="2224607"/>
            <wp:effectExtent l="19050" t="19050" r="19050" b="23495"/>
            <wp:docPr id="2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716720" cy="2260564"/>
                    </a:xfrm>
                    <a:prstGeom prst="rect">
                      <a:avLst/>
                    </a:prstGeom>
                    <a:ln>
                      <a:solidFill>
                        <a:srgbClr val="4F81BD"/>
                      </a:solidFill>
                    </a:ln>
                  </pic:spPr>
                </pic:pic>
              </a:graphicData>
            </a:graphic>
          </wp:inline>
        </w:drawing>
      </w:r>
    </w:p>
    <w:p w:rsidR="00082CA6" w:rsidRPr="00082CA6" w:rsidRDefault="00082CA6" w:rsidP="00082CA6">
      <w:pPr>
        <w:spacing w:before="0" w:after="120" w:line="240" w:lineRule="auto"/>
        <w:jc w:val="center"/>
        <w:rPr>
          <w:rFonts w:eastAsia="Times New Roman" w:cs="Times New Roman"/>
          <w:sz w:val="20"/>
          <w:lang w:eastAsia="tr-TR"/>
        </w:rPr>
      </w:pPr>
      <w:r w:rsidRPr="00082CA6">
        <w:rPr>
          <w:rFonts w:eastAsia="Times New Roman" w:cs="Times New Roman"/>
          <w:b/>
          <w:bCs/>
          <w:sz w:val="20"/>
          <w:lang w:eastAsia="tr-TR"/>
        </w:rPr>
        <w:t>Kaynak:</w:t>
      </w:r>
      <w:r w:rsidRPr="00082CA6">
        <w:rPr>
          <w:rFonts w:eastAsia="Times New Roman" w:cs="Times New Roman"/>
          <w:sz w:val="20"/>
          <w:lang w:eastAsia="tr-TR"/>
        </w:rPr>
        <w:t xml:space="preserve"> Araştırmacı tarafından oluşturulmuştur.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Yukarıdaki şekilden anlaşılacağı üzere, ankete atılanların büyük çoğunluğu plan ve politikaların yerel düzeyde esnek bir şekilde belirlenmesini bir paydaş ihtiyaç olarak görmektedir. Bu da uygulanmasını önerdiğimiz ve KA için yapılandırdığımız paydaş ihtiyaçları ile ilgili tespitlerin doğrulandığını ortaya koymaktadır. </w:t>
      </w:r>
    </w:p>
    <w:p w:rsidR="00082CA6" w:rsidRPr="00082CA6" w:rsidRDefault="00082CA6" w:rsidP="00082CA6">
      <w:pPr>
        <w:keepNext/>
        <w:keepLines/>
        <w:spacing w:before="0" w:after="120" w:line="240" w:lineRule="auto"/>
        <w:jc w:val="both"/>
        <w:outlineLvl w:val="0"/>
        <w:rPr>
          <w:rFonts w:eastAsia="Times New Roman" w:cs="Times New Roman"/>
          <w:b/>
          <w:bCs/>
          <w:sz w:val="22"/>
          <w:lang w:eastAsia="tr-TR"/>
        </w:rPr>
      </w:pPr>
      <w:r w:rsidRPr="00082CA6">
        <w:rPr>
          <w:rFonts w:eastAsia="Times New Roman" w:cs="Times New Roman"/>
          <w:b/>
          <w:bCs/>
          <w:sz w:val="22"/>
          <w:lang w:eastAsia="tr-TR"/>
        </w:rPr>
        <w:t>SONUÇ</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KA dinamiklerinde yönetim kurullarının toplanamamasının ve kalkınma kurullarının etkisiz ve yetersiz olmasının altında yatan temel nedenin etkin bir yönetişim sisteminin mevcut olmamasıdır. Çünkü yönetim kurulları (YK) karar mekanizmasını teşkil ederken kalkınma kurulları (KK) da bölgesel düzeyde danışmanlık ve rehberlik sistemini oluşturmaktadır. Her ikisinde birsen ciddi sorunların meydana gelmiş olması yönetişimin temel dinamiklerinin işletilemediği anlamına gelmektedir. Bu nedenle bölgesel kalkınma yönetişim mekanizmasının sorunlu olması araştırmamızda temel problem olarak ele alınmakta ve bunun için gerekli </w:t>
      </w:r>
      <w:r w:rsidRPr="00082CA6">
        <w:rPr>
          <w:rFonts w:eastAsia="Times New Roman" w:cs="Times New Roman"/>
          <w:sz w:val="22"/>
          <w:lang w:eastAsia="tr-TR"/>
        </w:rPr>
        <w:lastRenderedPageBreak/>
        <w:t xml:space="preserve">çözümlemelerin de COBIT-5 yönetişim süreçleri ile elde edilebileceği iddia edilerek bu çerçevede analiz, uyarlama ve süreç modellemesi yapılabilmiştir.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Kurumsal yönetişimde paydaşların rollerinin belirlenmesi hayati öneme sahip bir konudur. KA özelinde yerel ve bölgesel yönetişimin tesis edilebilmesi için mevzuata yansıtıldığı gibi kalkınma kurulları (KK) yılda en az iki defa toplantı yapar veya KB’ ye rapor eder gibi genel nitelikli olan ve dolayısıyla asli amaçlarından ve kurumsal hedeflerin ihsasından yoksun yönetişim kurgulamaları uygulamada meyve veremezler. Bu nedenle, Kalkınma Bakanlığı (KB) alt birimleri de sürece dâhil edilerek beş yıllık kalkınma planı (BYKP) ve bölgesel gelişme ulusal stratejisi (BGUS) doğrultusunda bir bölgesel kalkınma yönetişim sistemi oluşturulmaya çalışılmıştır. Bu sistematiğe göre her bir ana ve alt süreçler incelenerek KA için uygulanabilir bir model haline getirilebildiği ortaya konulmuştur.</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Önemle üzerinde durulması gereken diğer bir husus, SMDB tabloları denilen o süreçte kimlerin sorumlu, mesul, danışılan veya bilgilendirilen olduğunun belirlenmesidir. Bir alt süreçte bir yetkili sadece bir rol alabilir. Yani hem danışılan hem sorumlu gibi uygulamalara yer verilmemektedir. Yapılan atamalar kurgusal ve tahmini olup, her KA özelinde yapılacak ihtiyaç analizleri sonucunda kesinleştirilmesi gerekir.</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sz w:val="22"/>
          <w:lang w:eastAsia="tr-TR"/>
        </w:rPr>
        <w:t xml:space="preserve">BT Operasyon Sorumlusu, BT Güvenliği Sorumlusu, Risk Yönetimi Sorumlusu, İç Kontrol Sistemi Sorumlusu, Mahremiyet Sorumlusu ve İş Sürekliliği Sorumlusu COBIT-5 yönetişim zihniyetinde mevcut olan sorumluluklar iken Etki Değerlendirici Raportör KA sistematiği içerisindeki önemi gözetilerek tarafımızdan eklenmiştir. Bunlar, birim başkanı veya idari görevli olmayabilirler ancak her KA iç paydaşları içindeki anılan görevler için sorumlulukları ve yetkinlikleri olan personel arasından seçilebilirler. Dolayısıyla normal birimlerin altında olup da yönetişim süreçlerinde özel görevi olan personel açısından ikili raporlama ve çalışma ilişkisi ortaya çıktığından dolayı yarı-matris bir yapılanma gerekmektedir. </w:t>
      </w:r>
    </w:p>
    <w:p w:rsidR="00082CA6" w:rsidRPr="00082CA6" w:rsidRDefault="00082CA6" w:rsidP="00082CA6">
      <w:pPr>
        <w:suppressAutoHyphens/>
        <w:spacing w:before="0" w:after="120" w:line="240" w:lineRule="auto"/>
        <w:ind w:firstLine="708"/>
        <w:jc w:val="both"/>
        <w:rPr>
          <w:rFonts w:eastAsia="Times New Roman" w:cs="Times New Roman"/>
          <w:sz w:val="22"/>
          <w:lang w:eastAsia="tr-TR"/>
        </w:rPr>
      </w:pPr>
      <w:r w:rsidRPr="00082CA6">
        <w:rPr>
          <w:rFonts w:eastAsia="Times New Roman" w:cs="Times New Roman"/>
          <w:i/>
          <w:sz w:val="22"/>
          <w:lang w:eastAsia="tr-TR"/>
        </w:rPr>
        <w:t>KA sistematiğinde COBIT-5 yönetişim modelinin uygulanması olanaklı mıdır?</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sz w:val="22"/>
          <w:lang w:eastAsia="tr-TR"/>
        </w:rPr>
        <w:tab/>
        <w:t xml:space="preserve">Evet olanaklı olduğu görülmüştür. Mantıksal analizlerden ve problemlerin kök nedenlerinin araştırılmasından anlaşılacağı üzere COBIT-5 modeli sorun çözücü ve her kuruma adapte edilerek uyarlanabilir bir modeldir. Bunun test edilmesi için </w:t>
      </w:r>
      <w:proofErr w:type="spellStart"/>
      <w:r w:rsidRPr="00082CA6">
        <w:rPr>
          <w:rFonts w:eastAsia="Times New Roman" w:cs="Times New Roman"/>
          <w:sz w:val="22"/>
          <w:lang w:eastAsia="tr-TR"/>
        </w:rPr>
        <w:t>çevirimiçi</w:t>
      </w:r>
      <w:proofErr w:type="spellEnd"/>
      <w:r w:rsidRPr="00082CA6">
        <w:rPr>
          <w:rFonts w:eastAsia="Times New Roman" w:cs="Times New Roman"/>
          <w:sz w:val="22"/>
          <w:lang w:eastAsia="tr-TR"/>
        </w:rPr>
        <w:t xml:space="preserve"> anket yöntemi kullanılmıştır. KB ve KA personelinden 179 kişi (KB+KA, %30 yönetici %70 uzman vd.) katılmıştır. Gönüllü olarak ankete katılmak isteyenlere ulaşmaya yönelik rastgele örnekleme kullanılmıştır. Hedef kitle KA veya KB personeli olup tüm personelin elektronik postalarına doğrudan talep gönderilmiştir. %95 güven aralığında olduğu söylenebilir. Temel varsayımlar ve model gerekliliklerinin doğrulanması bu anket sayesinde yapılabilmiştir. Yönetişim modelinin gereklilikleri üzerinden 12 soru sorulmuş ve büyük çoğunlukla genel varsayımların ve yönetişim gerekliliklerinin bir ihtiyaç olduğu teyit edilebilmiştir.  </w:t>
      </w:r>
    </w:p>
    <w:sdt>
      <w:sdtPr>
        <w:rPr>
          <w:rFonts w:eastAsia="Times New Roman" w:cs="Times New Roman"/>
          <w:sz w:val="22"/>
          <w:lang w:eastAsia="tr-TR"/>
        </w:rPr>
        <w:id w:val="-461418249"/>
        <w:docPartObj>
          <w:docPartGallery w:val="Bibliographies"/>
          <w:docPartUnique/>
        </w:docPartObj>
      </w:sdtPr>
      <w:sdtEndPr/>
      <w:sdtContent>
        <w:p w:rsidR="00082CA6" w:rsidRPr="00082CA6" w:rsidRDefault="00082CA6" w:rsidP="00082CA6">
          <w:pPr>
            <w:keepNext/>
            <w:keepLines/>
            <w:spacing w:before="0" w:after="120" w:line="240" w:lineRule="auto"/>
            <w:jc w:val="both"/>
            <w:outlineLvl w:val="0"/>
            <w:rPr>
              <w:rFonts w:eastAsia="Times New Roman" w:cs="Times New Roman"/>
              <w:b/>
              <w:bCs/>
              <w:sz w:val="22"/>
              <w:lang w:eastAsia="tr-TR"/>
            </w:rPr>
          </w:pPr>
          <w:r w:rsidRPr="00082CA6">
            <w:rPr>
              <w:rFonts w:eastAsia="Times New Roman" w:cs="Times New Roman"/>
              <w:b/>
              <w:bCs/>
              <w:sz w:val="22"/>
              <w:lang w:eastAsia="tr-TR"/>
            </w:rPr>
            <w:t>KAYNAKÇA</w:t>
          </w:r>
        </w:p>
        <w:sdt>
          <w:sdtPr>
            <w:rPr>
              <w:rFonts w:eastAsia="Times New Roman" w:cs="Times New Roman"/>
              <w:sz w:val="22"/>
              <w:lang w:eastAsia="tr-TR"/>
            </w:rPr>
            <w:id w:val="111145805"/>
            <w:bibliography/>
          </w:sdtPr>
          <w:sdtEndPr/>
          <w:sdtContent>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sz w:val="22"/>
                  <w:lang w:eastAsia="tr-TR"/>
                </w:rPr>
                <w:fldChar w:fldCharType="begin"/>
              </w:r>
              <w:r w:rsidRPr="00082CA6">
                <w:rPr>
                  <w:rFonts w:eastAsia="Times New Roman" w:cs="Times New Roman"/>
                  <w:sz w:val="22"/>
                  <w:lang w:eastAsia="tr-TR"/>
                </w:rPr>
                <w:instrText>BIBLIOGRAPHY</w:instrText>
              </w:r>
              <w:r w:rsidRPr="00082CA6">
                <w:rPr>
                  <w:rFonts w:eastAsia="Times New Roman" w:cs="Times New Roman"/>
                  <w:sz w:val="22"/>
                  <w:lang w:eastAsia="tr-TR"/>
                </w:rPr>
                <w:fldChar w:fldCharType="separate"/>
              </w:r>
              <w:r w:rsidRPr="00082CA6">
                <w:rPr>
                  <w:rFonts w:eastAsia="Times New Roman" w:cs="Times New Roman"/>
                  <w:noProof/>
                  <w:sz w:val="22"/>
                  <w:lang w:eastAsia="tr-TR"/>
                </w:rPr>
                <w:t xml:space="preserve">Bayramoğlu, S. (2004). </w:t>
              </w:r>
              <w:r w:rsidRPr="00082CA6">
                <w:rPr>
                  <w:rFonts w:eastAsia="Times New Roman" w:cs="Times New Roman"/>
                  <w:i/>
                  <w:iCs/>
                  <w:noProof/>
                  <w:sz w:val="22"/>
                  <w:lang w:eastAsia="tr-TR"/>
                </w:rPr>
                <w:t>Yönetişim ve Demokrasi İlişkisinde Sİyasal İktidar Sorunu: Türkiye'de Bağımsız Düzenleyici Kurumlar.</w:t>
              </w:r>
              <w:r w:rsidRPr="00082CA6">
                <w:rPr>
                  <w:rFonts w:eastAsia="Times New Roman" w:cs="Times New Roman"/>
                  <w:noProof/>
                  <w:sz w:val="22"/>
                  <w:lang w:eastAsia="tr-TR"/>
                </w:rPr>
                <w:t xml:space="preserve"> Ankara: Ankara Üniversitesi Siyasal Bilgiler Fakültesi Doktora Tezi.</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COMCEC. (2012). </w:t>
              </w:r>
              <w:r w:rsidRPr="00082CA6">
                <w:rPr>
                  <w:rFonts w:eastAsia="Times New Roman" w:cs="Times New Roman"/>
                  <w:i/>
                  <w:iCs/>
                  <w:noProof/>
                  <w:sz w:val="22"/>
                  <w:lang w:eastAsia="tr-TR"/>
                </w:rPr>
                <w:t>COMCEC Strategy for Building an Interdependent Islamic World.</w:t>
              </w:r>
              <w:r w:rsidRPr="00082CA6">
                <w:rPr>
                  <w:rFonts w:eastAsia="Times New Roman" w:cs="Times New Roman"/>
                  <w:noProof/>
                  <w:sz w:val="22"/>
                  <w:lang w:eastAsia="tr-TR"/>
                </w:rPr>
                <w:t xml:space="preserve"> Makkah Al-Mukarramah: Comcec Coordination Office.</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DDK, Aykın, H., Arslanbaş, M., Dere, A., Özçelİk, A., Boyali, C., . . . Özkilinç, M. A. (2014). </w:t>
              </w:r>
              <w:r w:rsidRPr="00082CA6">
                <w:rPr>
                  <w:rFonts w:eastAsia="Times New Roman" w:cs="Times New Roman"/>
                  <w:i/>
                  <w:iCs/>
                  <w:noProof/>
                  <w:sz w:val="22"/>
                  <w:lang w:eastAsia="tr-TR"/>
                </w:rPr>
                <w:t>Kalkınma Ajansları İnceleme ve Araştırma Raporu (Hizmete Özel).</w:t>
              </w:r>
              <w:r w:rsidRPr="00082CA6">
                <w:rPr>
                  <w:rFonts w:eastAsia="Times New Roman" w:cs="Times New Roman"/>
                  <w:noProof/>
                  <w:sz w:val="22"/>
                  <w:lang w:eastAsia="tr-TR"/>
                </w:rPr>
                <w:t xml:space="preserve"> Ankara: Cumhurbaşkanlığı Devlet Denetleme Kurulu, http://www.tccb.gov.tr/faaliyetler/ddkraporlari/.</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Efe, A. (2013). Cobit-5 Framework as a Model for the Regional Development Agencies in Turkey. </w:t>
              </w:r>
              <w:r w:rsidRPr="00082CA6">
                <w:rPr>
                  <w:rFonts w:eastAsia="Times New Roman" w:cs="Times New Roman"/>
                  <w:i/>
                  <w:iCs/>
                  <w:noProof/>
                  <w:sz w:val="22"/>
                  <w:lang w:eastAsia="tr-TR"/>
                </w:rPr>
                <w:t>ICEBEG</w:t>
              </w:r>
              <w:r w:rsidRPr="00082CA6">
                <w:rPr>
                  <w:rFonts w:eastAsia="Times New Roman" w:cs="Times New Roman"/>
                  <w:noProof/>
                  <w:sz w:val="22"/>
                  <w:lang w:eastAsia="tr-TR"/>
                </w:rPr>
                <w:t xml:space="preserve"> (s. 33-42). İzmir: INTERNATIONAL JOURNAL OF eBUSINESS AND eGOVERNMENT STUDIES.</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lastRenderedPageBreak/>
                <w:t xml:space="preserve">Efe, A. (2013). Governance at the Regional Development Agencies in Turkey. </w:t>
              </w:r>
              <w:r w:rsidRPr="00082CA6">
                <w:rPr>
                  <w:rFonts w:eastAsia="Times New Roman" w:cs="Times New Roman"/>
                  <w:i/>
                  <w:iCs/>
                  <w:noProof/>
                  <w:sz w:val="22"/>
                  <w:lang w:eastAsia="tr-TR"/>
                </w:rPr>
                <w:t>SOSBIAD</w:t>
              </w:r>
              <w:r w:rsidRPr="00082CA6">
                <w:rPr>
                  <w:rFonts w:eastAsia="Times New Roman" w:cs="Times New Roman"/>
                  <w:noProof/>
                  <w:sz w:val="22"/>
                  <w:lang w:eastAsia="tr-TR"/>
                </w:rPr>
                <w:t xml:space="preserve"> (s. 59-69). İzmir: INTERNATIONAL JOURNALOF eBUSINESS AND eGOVERNMENT STUDIES Vol 5,No 2, 2013  ISSN: 2146</w:t>
              </w:r>
              <w:r w:rsidRPr="00082CA6">
                <w:rPr>
                  <w:rFonts w:ascii="Cambria Math" w:eastAsia="Times New Roman" w:hAnsi="Cambria Math" w:cs="Cambria Math"/>
                  <w:noProof/>
                  <w:sz w:val="22"/>
                  <w:lang w:eastAsia="tr-TR"/>
                </w:rPr>
                <w:t>‐</w:t>
              </w:r>
              <w:r w:rsidRPr="00082CA6">
                <w:rPr>
                  <w:rFonts w:eastAsia="Times New Roman" w:cs="Times New Roman"/>
                  <w:noProof/>
                  <w:sz w:val="22"/>
                  <w:lang w:eastAsia="tr-TR"/>
                </w:rPr>
                <w:t>0744 (Online).</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Efe, A. (2016). Türkiye’deki Kamu Yönetiminde Tek Tipçi Kurumsal Yapılanma Sorununa Kalkınma Ajansları Üzerinden Hermeneutik Kritik Kuramla Teorik Ve Kavramsal Analiz Ve Çözümleme. </w:t>
              </w:r>
              <w:r w:rsidRPr="00082CA6">
                <w:rPr>
                  <w:rFonts w:eastAsia="Times New Roman" w:cs="Times New Roman"/>
                  <w:i/>
                  <w:iCs/>
                  <w:noProof/>
                  <w:sz w:val="22"/>
                  <w:lang w:eastAsia="tr-TR"/>
                </w:rPr>
                <w:t>Anemon</w:t>
              </w:r>
              <w:r w:rsidRPr="00082CA6">
                <w:rPr>
                  <w:rFonts w:eastAsia="Times New Roman" w:cs="Times New Roman"/>
                  <w:noProof/>
                  <w:sz w:val="22"/>
                  <w:lang w:eastAsia="tr-TR"/>
                </w:rPr>
                <w:t>, 13-30.</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Efe, A. (2016b). Kamu Yönetiminde Bir Yönetişim Hedefi Olarak Kaynak Optimizasyonu: Kalkınma Ajanslarında COBIT-5 Çerçevesinde Bir Analiz. </w:t>
              </w:r>
              <w:r w:rsidRPr="00082CA6">
                <w:rPr>
                  <w:rFonts w:eastAsia="Times New Roman" w:cs="Times New Roman"/>
                  <w:i/>
                  <w:iCs/>
                  <w:noProof/>
                  <w:sz w:val="22"/>
                  <w:lang w:eastAsia="tr-TR"/>
                </w:rPr>
                <w:t>Uluslararası Ekonomi ve Yenilik Dergisi</w:t>
              </w:r>
              <w:r w:rsidRPr="00082CA6">
                <w:rPr>
                  <w:rFonts w:eastAsia="Times New Roman" w:cs="Times New Roman"/>
                  <w:noProof/>
                  <w:sz w:val="22"/>
                  <w:lang w:eastAsia="tr-TR"/>
                </w:rPr>
                <w:t>, 43-65.</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Efe, A. (2016c). Türkiye ’de Kalkınma Ajansları Özelinde Kamu Yönetimi -Bürokrasi -İdare -Devlet Bağlamında Cobit-5 ile Çoklu Disipliner Bir Analiz. </w:t>
              </w:r>
              <w:r w:rsidRPr="00082CA6">
                <w:rPr>
                  <w:rFonts w:eastAsia="Times New Roman" w:cs="Times New Roman"/>
                  <w:i/>
                  <w:iCs/>
                  <w:noProof/>
                  <w:sz w:val="22"/>
                  <w:lang w:eastAsia="tr-TR"/>
                </w:rPr>
                <w:t>TNB Hukuk Dergisi</w:t>
              </w:r>
              <w:r w:rsidRPr="00082CA6">
                <w:rPr>
                  <w:rFonts w:eastAsia="Times New Roman" w:cs="Times New Roman"/>
                  <w:noProof/>
                  <w:sz w:val="22"/>
                  <w:lang w:eastAsia="tr-TR"/>
                </w:rPr>
                <w:t>, 109-148.</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Efe, A., Uzunay, y., &amp; Taşcıoğlu, g. (2009). An eGovernment Information System Framework:Turkish National Agency Software Project. </w:t>
              </w:r>
              <w:r w:rsidRPr="00082CA6">
                <w:rPr>
                  <w:rFonts w:eastAsia="Times New Roman" w:cs="Times New Roman"/>
                  <w:i/>
                  <w:iCs/>
                  <w:noProof/>
                  <w:sz w:val="22"/>
                  <w:lang w:eastAsia="tr-TR"/>
                </w:rPr>
                <w:t>eTransformation in Public Administaration: From eGovernment to eGovernance</w:t>
              </w:r>
              <w:r w:rsidRPr="00082CA6">
                <w:rPr>
                  <w:rFonts w:eastAsia="Times New Roman" w:cs="Times New Roman"/>
                  <w:noProof/>
                  <w:sz w:val="22"/>
                  <w:lang w:eastAsia="tr-TR"/>
                </w:rPr>
                <w:t xml:space="preserve"> (s. 110-125). ANTALYA: TODAİE, SESRIC, UNDP.</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Hyman, J., Ericson, D., &amp; Baranic, M. (2014). </w:t>
              </w:r>
              <w:r w:rsidRPr="00082CA6">
                <w:rPr>
                  <w:rFonts w:eastAsia="Times New Roman" w:cs="Times New Roman"/>
                  <w:i/>
                  <w:iCs/>
                  <w:noProof/>
                  <w:sz w:val="22"/>
                  <w:lang w:eastAsia="tr-TR"/>
                </w:rPr>
                <w:t>Governance Working Group : Governance Terms of Reference.</w:t>
              </w:r>
              <w:r w:rsidRPr="00082CA6">
                <w:rPr>
                  <w:rFonts w:eastAsia="Times New Roman" w:cs="Times New Roman"/>
                  <w:noProof/>
                  <w:sz w:val="22"/>
                  <w:lang w:eastAsia="tr-TR"/>
                </w:rPr>
                <w:t xml:space="preserve"> publicintelligence.net: http://info.publicintelligence.net/ISAFgovernance.pdf adresinden alınmıştır</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IDKK. (2011, 08 16). </w:t>
              </w:r>
              <w:r w:rsidRPr="00082CA6">
                <w:rPr>
                  <w:rFonts w:eastAsia="Times New Roman" w:cs="Times New Roman"/>
                  <w:i/>
                  <w:iCs/>
                  <w:noProof/>
                  <w:sz w:val="22"/>
                  <w:lang w:eastAsia="tr-TR"/>
                </w:rPr>
                <w:t>Kamu İç Denetim Standartları.</w:t>
              </w:r>
              <w:r w:rsidRPr="00082CA6">
                <w:rPr>
                  <w:rFonts w:eastAsia="Times New Roman" w:cs="Times New Roman"/>
                  <w:noProof/>
                  <w:sz w:val="22"/>
                  <w:lang w:eastAsia="tr-TR"/>
                </w:rPr>
                <w:t xml:space="preserve"> Resmi gazete: http://www.resmigazete.gov.tr/eskiler/2011/08/20110816-18.htm adresinden alınmıştır</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ISACA. (2012). </w:t>
              </w:r>
              <w:r w:rsidRPr="00082CA6">
                <w:rPr>
                  <w:rFonts w:eastAsia="Times New Roman" w:cs="Times New Roman"/>
                  <w:i/>
                  <w:iCs/>
                  <w:noProof/>
                  <w:sz w:val="22"/>
                  <w:lang w:eastAsia="tr-TR"/>
                </w:rPr>
                <w:t>COBIT 5: A Business Framework for the Governance and Management of Enterprise IT.</w:t>
              </w:r>
              <w:r w:rsidRPr="00082CA6">
                <w:rPr>
                  <w:rFonts w:eastAsia="Times New Roman" w:cs="Times New Roman"/>
                  <w:noProof/>
                  <w:sz w:val="22"/>
                  <w:lang w:eastAsia="tr-TR"/>
                </w:rPr>
                <w:t xml:space="preserve"> Rolling Meadows, IL: ISACA.</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ISACA. (2012b). </w:t>
              </w:r>
              <w:r w:rsidRPr="00082CA6">
                <w:rPr>
                  <w:rFonts w:eastAsia="Times New Roman" w:cs="Times New Roman"/>
                  <w:i/>
                  <w:iCs/>
                  <w:noProof/>
                  <w:sz w:val="22"/>
                  <w:lang w:eastAsia="tr-TR"/>
                </w:rPr>
                <w:t>COBIT 5: A Business Framework for the Governance and Management of Enterprise IT.</w:t>
              </w:r>
              <w:r w:rsidRPr="00082CA6">
                <w:rPr>
                  <w:rFonts w:eastAsia="Times New Roman" w:cs="Times New Roman"/>
                  <w:noProof/>
                  <w:sz w:val="22"/>
                  <w:lang w:eastAsia="tr-TR"/>
                </w:rPr>
                <w:t xml:space="preserve"> Rolling Meadows, IL: ISACA.</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ISACA. (2012c). </w:t>
              </w:r>
              <w:r w:rsidRPr="00082CA6">
                <w:rPr>
                  <w:rFonts w:eastAsia="Times New Roman" w:cs="Times New Roman"/>
                  <w:i/>
                  <w:iCs/>
                  <w:noProof/>
                  <w:sz w:val="22"/>
                  <w:lang w:eastAsia="tr-TR"/>
                </w:rPr>
                <w:t>Enabling Processes.</w:t>
              </w:r>
              <w:r w:rsidRPr="00082CA6">
                <w:rPr>
                  <w:rFonts w:eastAsia="Times New Roman" w:cs="Times New Roman"/>
                  <w:noProof/>
                  <w:sz w:val="22"/>
                  <w:lang w:eastAsia="tr-TR"/>
                </w:rPr>
                <w:t xml:space="preserve"> USA: ISACA.</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ISACA. (2012a). </w:t>
              </w:r>
              <w:r w:rsidRPr="00082CA6">
                <w:rPr>
                  <w:rFonts w:eastAsia="Times New Roman" w:cs="Times New Roman"/>
                  <w:i/>
                  <w:iCs/>
                  <w:noProof/>
                  <w:sz w:val="22"/>
                  <w:lang w:eastAsia="tr-TR"/>
                </w:rPr>
                <w:t>COBIT 5 Implementation. .</w:t>
              </w:r>
              <w:r w:rsidRPr="00082CA6">
                <w:rPr>
                  <w:rFonts w:eastAsia="Times New Roman" w:cs="Times New Roman"/>
                  <w:noProof/>
                  <w:sz w:val="22"/>
                  <w:lang w:eastAsia="tr-TR"/>
                </w:rPr>
                <w:t xml:space="preserve"> Rolling Meadows, IL: ISACA.</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KB-BGYUGM. (2014). </w:t>
              </w:r>
              <w:r w:rsidRPr="00082CA6">
                <w:rPr>
                  <w:rFonts w:eastAsia="Times New Roman" w:cs="Times New Roman"/>
                  <w:i/>
                  <w:iCs/>
                  <w:noProof/>
                  <w:sz w:val="22"/>
                  <w:lang w:eastAsia="tr-TR"/>
                </w:rPr>
                <w:t>Devlet Denetleme Kurulu Kalkinma Ajanslari Araştirma ve İnceleme Raporu Kapsaminda Alinacak Tedbİrler.</w:t>
              </w:r>
              <w:r w:rsidRPr="00082CA6">
                <w:rPr>
                  <w:rFonts w:eastAsia="Times New Roman" w:cs="Times New Roman"/>
                  <w:noProof/>
                  <w:sz w:val="22"/>
                  <w:lang w:eastAsia="tr-TR"/>
                </w:rPr>
                <w:t xml:space="preserve"> Ankara: Kalkınma Bakanlığı (hizmete özel).</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Love, P., Reinhard, J., Schwab, A., &amp; Spafford, G. (2006). </w:t>
              </w:r>
              <w:r w:rsidRPr="00082CA6">
                <w:rPr>
                  <w:rFonts w:eastAsia="Times New Roman" w:cs="Times New Roman"/>
                  <w:i/>
                  <w:iCs/>
                  <w:noProof/>
                  <w:sz w:val="22"/>
                  <w:lang w:eastAsia="tr-TR"/>
                </w:rPr>
                <w:t>GTAG Global Teknoloji Denetim Rehberi Bilgi Güvenliği Yönetişimi.</w:t>
              </w:r>
              <w:r w:rsidRPr="00082CA6">
                <w:rPr>
                  <w:rFonts w:eastAsia="Times New Roman" w:cs="Times New Roman"/>
                  <w:noProof/>
                  <w:sz w:val="22"/>
                  <w:lang w:eastAsia="tr-TR"/>
                </w:rPr>
                <w:t xml:space="preserve"> ABD: IIA-TİDE.</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Moeller, R. R. (2013). </w:t>
              </w:r>
              <w:r w:rsidRPr="00082CA6">
                <w:rPr>
                  <w:rFonts w:eastAsia="Times New Roman" w:cs="Times New Roman"/>
                  <w:i/>
                  <w:iCs/>
                  <w:noProof/>
                  <w:sz w:val="22"/>
                  <w:lang w:eastAsia="tr-TR"/>
                </w:rPr>
                <w:t>Executive’s Guide to IT Governance.</w:t>
              </w:r>
              <w:r w:rsidRPr="00082CA6">
                <w:rPr>
                  <w:rFonts w:eastAsia="Times New Roman" w:cs="Times New Roman"/>
                  <w:noProof/>
                  <w:sz w:val="22"/>
                  <w:lang w:eastAsia="tr-TR"/>
                </w:rPr>
                <w:t xml:space="preserve"> New Jersey: John Wiley &amp; Sons, Inc.</w:t>
              </w:r>
            </w:p>
            <w:p w:rsidR="00082CA6" w:rsidRPr="00082CA6" w:rsidRDefault="00082CA6" w:rsidP="00082CA6">
              <w:pPr>
                <w:spacing w:before="0" w:after="120" w:line="240" w:lineRule="auto"/>
                <w:ind w:left="720" w:hanging="720"/>
                <w:jc w:val="both"/>
                <w:rPr>
                  <w:rFonts w:eastAsia="Times New Roman" w:cs="Times New Roman"/>
                  <w:noProof/>
                  <w:sz w:val="22"/>
                  <w:lang w:val="en-US" w:eastAsia="tr-TR"/>
                </w:rPr>
              </w:pPr>
              <w:r w:rsidRPr="00082CA6">
                <w:rPr>
                  <w:rFonts w:eastAsia="Times New Roman" w:cs="Times New Roman"/>
                  <w:noProof/>
                  <w:sz w:val="22"/>
                  <w:lang w:val="en-US" w:eastAsia="tr-TR"/>
                </w:rPr>
                <w:t xml:space="preserve">Steven De Haes, W. V., &amp; Roger, S. D. (2013, Spring). COBIT 5 and Enterprise Governance of Information Technology: Building Blocks and Research Opportunities. </w:t>
              </w:r>
              <w:r w:rsidRPr="00082CA6">
                <w:rPr>
                  <w:rFonts w:eastAsia="Times New Roman" w:cs="Times New Roman"/>
                  <w:i/>
                  <w:iCs/>
                  <w:noProof/>
                  <w:sz w:val="22"/>
                  <w:lang w:val="en-US" w:eastAsia="tr-TR"/>
                </w:rPr>
                <w:t>JOURNAL OF INFORMATION SYSTEMS, 27</w:t>
              </w:r>
              <w:r w:rsidRPr="00082CA6">
                <w:rPr>
                  <w:rFonts w:eastAsia="Times New Roman" w:cs="Times New Roman"/>
                  <w:noProof/>
                  <w:sz w:val="22"/>
                  <w:lang w:val="en-US" w:eastAsia="tr-TR"/>
                </w:rPr>
                <w:t>(1).</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TBMM. (2003). </w:t>
              </w:r>
              <w:r w:rsidRPr="00082CA6">
                <w:rPr>
                  <w:rFonts w:eastAsia="Times New Roman" w:cs="Times New Roman"/>
                  <w:i/>
                  <w:iCs/>
                  <w:noProof/>
                  <w:sz w:val="22"/>
                  <w:lang w:eastAsia="tr-TR"/>
                </w:rPr>
                <w:t>Kamu Mali Yönetimi ve Kontrol Yasası.</w:t>
              </w:r>
              <w:r w:rsidRPr="00082CA6">
                <w:rPr>
                  <w:rFonts w:eastAsia="Times New Roman" w:cs="Times New Roman"/>
                  <w:noProof/>
                  <w:sz w:val="22"/>
                  <w:lang w:eastAsia="tr-TR"/>
                </w:rPr>
                <w:t xml:space="preserve"> www.mevzuat.gov.tr: http://www.mevzuat.gov.tr/Metin1.Aspx?MevzuatKod=1.5.5018&amp;MevzuatIliski=0&amp;sourceXmlSearch=kontrol&amp;Tur=1&amp;Tertip=5&amp;No=5018 adresinden alınmıştır</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TEKİN, A. G. (2003, 5). </w:t>
              </w:r>
              <w:r w:rsidRPr="00082CA6">
                <w:rPr>
                  <w:rFonts w:eastAsia="Times New Roman" w:cs="Times New Roman"/>
                  <w:i/>
                  <w:iCs/>
                  <w:noProof/>
                  <w:sz w:val="22"/>
                  <w:lang w:eastAsia="tr-TR"/>
                </w:rPr>
                <w:t>Kurumsal Yönetİşİm Hakkinda.</w:t>
              </w:r>
              <w:r w:rsidRPr="00082CA6">
                <w:rPr>
                  <w:rFonts w:eastAsia="Times New Roman" w:cs="Times New Roman"/>
                  <w:noProof/>
                  <w:sz w:val="22"/>
                  <w:lang w:eastAsia="tr-TR"/>
                </w:rPr>
                <w:t xml:space="preserve"> angelfire: http://www.angelfire.com/ok4/aligunertekin/200304CGHk.pdf adresinden alınmıştır</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WorldBank. (1991). </w:t>
              </w:r>
              <w:r w:rsidRPr="00082CA6">
                <w:rPr>
                  <w:rFonts w:eastAsia="Times New Roman" w:cs="Times New Roman"/>
                  <w:i/>
                  <w:iCs/>
                  <w:noProof/>
                  <w:sz w:val="22"/>
                  <w:lang w:eastAsia="tr-TR"/>
                </w:rPr>
                <w:t>Managing Development:The Governance Dimension.</w:t>
              </w:r>
              <w:r w:rsidRPr="00082CA6">
                <w:rPr>
                  <w:rFonts w:eastAsia="Times New Roman" w:cs="Times New Roman"/>
                  <w:noProof/>
                  <w:sz w:val="22"/>
                  <w:lang w:eastAsia="tr-TR"/>
                </w:rPr>
                <w:t xml:space="preserve"> Washington: World Bank.</w:t>
              </w:r>
            </w:p>
            <w:p w:rsidR="00082CA6" w:rsidRPr="00082CA6" w:rsidRDefault="00082CA6" w:rsidP="00082CA6">
              <w:pPr>
                <w:spacing w:before="0" w:after="120" w:line="240" w:lineRule="auto"/>
                <w:ind w:left="720" w:hanging="720"/>
                <w:jc w:val="both"/>
                <w:rPr>
                  <w:rFonts w:eastAsia="Times New Roman" w:cs="Times New Roman"/>
                  <w:noProof/>
                  <w:sz w:val="22"/>
                  <w:lang w:eastAsia="tr-TR"/>
                </w:rPr>
              </w:pPr>
              <w:r w:rsidRPr="00082CA6">
                <w:rPr>
                  <w:rFonts w:eastAsia="Times New Roman" w:cs="Times New Roman"/>
                  <w:noProof/>
                  <w:sz w:val="22"/>
                  <w:lang w:eastAsia="tr-TR"/>
                </w:rPr>
                <w:t xml:space="preserve">Young, S., &amp; Thyil, V. (2014). Corporate Social Responsibility and Corporate Governance: Role of Context in International Settings. </w:t>
              </w:r>
              <w:r w:rsidRPr="00082CA6">
                <w:rPr>
                  <w:rFonts w:eastAsia="Times New Roman" w:cs="Times New Roman"/>
                  <w:i/>
                  <w:iCs/>
                  <w:noProof/>
                  <w:sz w:val="22"/>
                  <w:lang w:eastAsia="tr-TR"/>
                </w:rPr>
                <w:t>Journal of Business Ethics, June</w:t>
              </w:r>
              <w:r w:rsidRPr="00082CA6">
                <w:rPr>
                  <w:rFonts w:eastAsia="Times New Roman" w:cs="Times New Roman"/>
                  <w:noProof/>
                  <w:sz w:val="22"/>
                  <w:lang w:eastAsia="tr-TR"/>
                </w:rPr>
                <w:t>, 1-24.</w:t>
              </w:r>
            </w:p>
            <w:p w:rsidR="00082CA6" w:rsidRPr="00082CA6" w:rsidRDefault="00082CA6" w:rsidP="00082CA6">
              <w:pPr>
                <w:spacing w:before="0" w:after="120" w:line="240" w:lineRule="auto"/>
                <w:jc w:val="both"/>
                <w:rPr>
                  <w:rFonts w:eastAsia="Times New Roman" w:cs="Times New Roman"/>
                  <w:sz w:val="22"/>
                  <w:lang w:eastAsia="tr-TR"/>
                </w:rPr>
              </w:pPr>
              <w:r w:rsidRPr="00082CA6">
                <w:rPr>
                  <w:rFonts w:eastAsia="Times New Roman" w:cs="Times New Roman"/>
                  <w:b/>
                  <w:bCs/>
                  <w:sz w:val="22"/>
                  <w:lang w:eastAsia="tr-TR"/>
                </w:rPr>
                <w:lastRenderedPageBreak/>
                <w:fldChar w:fldCharType="end"/>
              </w:r>
            </w:p>
          </w:sdtContent>
        </w:sdt>
      </w:sdtContent>
    </w:sdt>
    <w:p w:rsidR="009A0105" w:rsidRDefault="009A0105" w:rsidP="009A0105">
      <w:pPr>
        <w:pStyle w:val="Kaynaka"/>
        <w:rPr>
          <w:rFonts w:cs="Times New Roman"/>
          <w:lang w:val="en-US"/>
        </w:rPr>
      </w:pPr>
    </w:p>
    <w:sectPr w:rsidR="009A0105" w:rsidSect="00B76FD1">
      <w:headerReference w:type="default" r:id="rId42"/>
      <w:footerReference w:type="default" r:id="rId43"/>
      <w:footerReference w:type="first" r:id="rId44"/>
      <w:pgSz w:w="11906" w:h="16838"/>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E0" w:rsidRDefault="00E80DE0" w:rsidP="003B1681">
      <w:pPr>
        <w:spacing w:before="0" w:after="0" w:line="240" w:lineRule="auto"/>
      </w:pPr>
      <w:r>
        <w:separator/>
      </w:r>
    </w:p>
  </w:endnote>
  <w:endnote w:type="continuationSeparator" w:id="0">
    <w:p w:rsidR="00E80DE0" w:rsidRDefault="00E80DE0" w:rsidP="003B16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7" w:usb1="080F0000" w:usb2="00000010" w:usb3="00000000" w:csb0="0012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094042"/>
      <w:docPartObj>
        <w:docPartGallery w:val="Page Numbers (Bottom of Page)"/>
        <w:docPartUnique/>
      </w:docPartObj>
    </w:sdtPr>
    <w:sdtContent>
      <w:p w:rsidR="00B76FD1" w:rsidRDefault="00B76FD1">
        <w:pPr>
          <w:pStyle w:val="Altbilgi"/>
          <w:jc w:val="center"/>
        </w:pPr>
        <w:r>
          <w:fldChar w:fldCharType="begin"/>
        </w:r>
        <w:r>
          <w:instrText>PAGE   \* MERGEFORMAT</w:instrText>
        </w:r>
        <w:r>
          <w:fldChar w:fldCharType="separate"/>
        </w:r>
        <w:r>
          <w:rPr>
            <w:noProof/>
          </w:rPr>
          <w:t>1</w:t>
        </w:r>
        <w:r>
          <w:fldChar w:fldCharType="end"/>
        </w:r>
      </w:p>
    </w:sdtContent>
  </w:sdt>
  <w:p w:rsidR="00B76FD1" w:rsidRDefault="00B76FD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634042"/>
      <w:docPartObj>
        <w:docPartGallery w:val="Page Numbers (Bottom of Page)"/>
        <w:docPartUnique/>
      </w:docPartObj>
    </w:sdtPr>
    <w:sdtContent>
      <w:p w:rsidR="00B76FD1" w:rsidRDefault="00B76FD1">
        <w:pPr>
          <w:pStyle w:val="Altbilgi"/>
          <w:jc w:val="center"/>
        </w:pPr>
        <w:r>
          <w:fldChar w:fldCharType="begin"/>
        </w:r>
        <w:r>
          <w:instrText>PAGE   \* MERGEFORMAT</w:instrText>
        </w:r>
        <w:r>
          <w:fldChar w:fldCharType="separate"/>
        </w:r>
        <w:r>
          <w:rPr>
            <w:noProof/>
          </w:rPr>
          <w:t>1</w:t>
        </w:r>
        <w:r>
          <w:fldChar w:fldCharType="end"/>
        </w:r>
      </w:p>
    </w:sdtContent>
  </w:sdt>
  <w:p w:rsidR="00B76FD1" w:rsidRDefault="00B76F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E0" w:rsidRDefault="00E80DE0" w:rsidP="003B1681">
      <w:pPr>
        <w:spacing w:before="0" w:after="0" w:line="240" w:lineRule="auto"/>
      </w:pPr>
      <w:r>
        <w:separator/>
      </w:r>
    </w:p>
  </w:footnote>
  <w:footnote w:type="continuationSeparator" w:id="0">
    <w:p w:rsidR="00E80DE0" w:rsidRDefault="00E80DE0" w:rsidP="003B1681">
      <w:pPr>
        <w:spacing w:before="0" w:after="0" w:line="240" w:lineRule="auto"/>
      </w:pPr>
      <w:r>
        <w:continuationSeparator/>
      </w:r>
    </w:p>
  </w:footnote>
  <w:footnote w:id="1">
    <w:p w:rsidR="00082CA6" w:rsidRDefault="00082CA6" w:rsidP="00082CA6">
      <w:pPr>
        <w:pStyle w:val="DipnotMetni"/>
      </w:pPr>
      <w:r>
        <w:rPr>
          <w:rStyle w:val="DipnotBavurusu"/>
        </w:rPr>
        <w:footnoteRef/>
      </w:r>
      <w:r>
        <w:rPr>
          <w:rFonts w:ascii="Times New Roman" w:hAnsi="Times New Roman"/>
        </w:rPr>
        <w:t>Ankara Kalkınma Ajansı</w:t>
      </w:r>
    </w:p>
  </w:footnote>
  <w:footnote w:id="2">
    <w:p w:rsidR="00082CA6" w:rsidRDefault="00082CA6" w:rsidP="00082CA6">
      <w:pPr>
        <w:pStyle w:val="DipnotMetni"/>
      </w:pPr>
      <w:r>
        <w:rPr>
          <w:rStyle w:val="DipnotBavurusu"/>
        </w:rPr>
        <w:footnoteRef/>
      </w:r>
      <w:r>
        <w:t xml:space="preserve"> </w:t>
      </w:r>
      <w:r w:rsidRPr="00693591">
        <w:rPr>
          <w:rFonts w:ascii="Times New Roman" w:hAnsi="Times New Roman"/>
        </w:rPr>
        <w:t>IIA (</w:t>
      </w:r>
      <w:proofErr w:type="spellStart"/>
      <w:r w:rsidRPr="00693591">
        <w:rPr>
          <w:rFonts w:ascii="Times New Roman" w:hAnsi="Times New Roman"/>
        </w:rPr>
        <w:t>Institute</w:t>
      </w:r>
      <w:proofErr w:type="spellEnd"/>
      <w:r w:rsidRPr="00693591">
        <w:rPr>
          <w:rFonts w:ascii="Times New Roman" w:hAnsi="Times New Roman"/>
        </w:rPr>
        <w:t xml:space="preserve"> of </w:t>
      </w:r>
      <w:proofErr w:type="spellStart"/>
      <w:r w:rsidRPr="00693591">
        <w:rPr>
          <w:rFonts w:ascii="Times New Roman" w:hAnsi="Times New Roman"/>
        </w:rPr>
        <w:t>Internal</w:t>
      </w:r>
      <w:proofErr w:type="spellEnd"/>
      <w:r w:rsidRPr="00693591">
        <w:rPr>
          <w:rFonts w:ascii="Times New Roman" w:hAnsi="Times New Roman"/>
        </w:rPr>
        <w:t xml:space="preserve"> </w:t>
      </w:r>
      <w:proofErr w:type="spellStart"/>
      <w:r w:rsidRPr="00693591">
        <w:rPr>
          <w:rFonts w:ascii="Times New Roman" w:hAnsi="Times New Roman"/>
        </w:rPr>
        <w:t>Auditors</w:t>
      </w:r>
      <w:proofErr w:type="spellEnd"/>
      <w:r w:rsidRPr="00693591">
        <w:rPr>
          <w:rFonts w:ascii="Times New Roman" w:hAnsi="Times New Roman"/>
        </w:rPr>
        <w:t>) çalışma standartlarından olan 2110, yönetişim ile ilgili olarak düzenlenmiştir.</w:t>
      </w:r>
      <w:r>
        <w:t xml:space="preserve"> </w:t>
      </w:r>
    </w:p>
  </w:footnote>
  <w:footnote w:id="3">
    <w:p w:rsidR="00082CA6" w:rsidRDefault="00082CA6" w:rsidP="00082CA6">
      <w:pPr>
        <w:autoSpaceDE w:val="0"/>
        <w:autoSpaceDN w:val="0"/>
        <w:adjustRightInd w:val="0"/>
        <w:rPr>
          <w:rFonts w:eastAsia="TimesNewRoman"/>
          <w:sz w:val="20"/>
          <w:szCs w:val="20"/>
        </w:rPr>
      </w:pPr>
      <w:r>
        <w:rPr>
          <w:rStyle w:val="DipnotBavurusu"/>
          <w:sz w:val="20"/>
          <w:szCs w:val="20"/>
        </w:rPr>
        <w:footnoteRef/>
      </w:r>
      <w:r>
        <w:rPr>
          <w:sz w:val="20"/>
          <w:szCs w:val="20"/>
        </w:rPr>
        <w:t xml:space="preserve"> Detaylı bilgi için </w:t>
      </w:r>
      <w:proofErr w:type="spellStart"/>
      <w:r>
        <w:rPr>
          <w:sz w:val="20"/>
          <w:szCs w:val="20"/>
        </w:rPr>
        <w:t>bkz</w:t>
      </w:r>
      <w:proofErr w:type="spellEnd"/>
      <w:r>
        <w:rPr>
          <w:sz w:val="20"/>
          <w:szCs w:val="20"/>
        </w:rPr>
        <w:t>: http://</w:t>
      </w:r>
      <w:hyperlink r:id="rId1" w:history="1">
        <w:r>
          <w:rPr>
            <w:rStyle w:val="Kpr"/>
            <w:rFonts w:eastAsia="TimesNewRoman"/>
            <w:sz w:val="20"/>
            <w:szCs w:val="20"/>
          </w:rPr>
          <w:t>www.itgi.org</w:t>
        </w:r>
      </w:hyperlink>
      <w:r>
        <w:rPr>
          <w:rFonts w:eastAsia="TimesNewRoman"/>
          <w:sz w:val="20"/>
          <w:szCs w:val="20"/>
        </w:rPr>
        <w:t xml:space="preserve"> </w:t>
      </w:r>
    </w:p>
  </w:footnote>
  <w:footnote w:id="4">
    <w:p w:rsidR="00082CA6" w:rsidRDefault="00082CA6" w:rsidP="00082CA6">
      <w:pPr>
        <w:pStyle w:val="DipnotMetni"/>
      </w:pPr>
      <w:r>
        <w:rPr>
          <w:rStyle w:val="DipnotBavurusu"/>
        </w:rPr>
        <w:footnoteRef/>
      </w:r>
      <w:r>
        <w:t xml:space="preserve"> </w:t>
      </w:r>
      <w:r w:rsidRPr="004175A5">
        <w:rPr>
          <w:rFonts w:ascii="Times New Roman" w:hAnsi="Times New Roman"/>
        </w:rPr>
        <w:t>EDM (</w:t>
      </w:r>
      <w:proofErr w:type="spellStart"/>
      <w:r w:rsidRPr="004175A5">
        <w:rPr>
          <w:rFonts w:ascii="Times New Roman" w:hAnsi="Times New Roman"/>
        </w:rPr>
        <w:t>evaluate</w:t>
      </w:r>
      <w:proofErr w:type="spellEnd"/>
      <w:r w:rsidRPr="004175A5">
        <w:rPr>
          <w:rFonts w:ascii="Times New Roman" w:hAnsi="Times New Roman"/>
        </w:rPr>
        <w:t xml:space="preserve">, </w:t>
      </w:r>
      <w:proofErr w:type="spellStart"/>
      <w:r w:rsidRPr="004175A5">
        <w:rPr>
          <w:rFonts w:ascii="Times New Roman" w:hAnsi="Times New Roman"/>
        </w:rPr>
        <w:t>direct</w:t>
      </w:r>
      <w:proofErr w:type="spellEnd"/>
      <w:r w:rsidRPr="004175A5">
        <w:rPr>
          <w:rFonts w:ascii="Times New Roman" w:hAnsi="Times New Roman"/>
        </w:rPr>
        <w:t xml:space="preserve"> </w:t>
      </w:r>
      <w:proofErr w:type="spellStart"/>
      <w:r w:rsidRPr="004175A5">
        <w:rPr>
          <w:rFonts w:ascii="Times New Roman" w:hAnsi="Times New Roman"/>
        </w:rPr>
        <w:t>and</w:t>
      </w:r>
      <w:proofErr w:type="spellEnd"/>
      <w:r w:rsidRPr="004175A5">
        <w:rPr>
          <w:rFonts w:ascii="Times New Roman" w:hAnsi="Times New Roman"/>
        </w:rPr>
        <w:t xml:space="preserve"> </w:t>
      </w:r>
      <w:proofErr w:type="spellStart"/>
      <w:r w:rsidRPr="004175A5">
        <w:rPr>
          <w:rFonts w:ascii="Times New Roman" w:hAnsi="Times New Roman"/>
        </w:rPr>
        <w:t>monitor</w:t>
      </w:r>
      <w:proofErr w:type="spellEnd"/>
      <w:r w:rsidRPr="004175A5">
        <w:rPr>
          <w:rFonts w:ascii="Times New Roman" w:hAnsi="Times New Roman"/>
        </w:rPr>
        <w:t>) olarak bilinen yönetişim süreçlerini ifade etmektedir.</w:t>
      </w:r>
    </w:p>
  </w:footnote>
  <w:footnote w:id="5">
    <w:p w:rsidR="00082CA6" w:rsidRPr="00BE28C0" w:rsidRDefault="00082CA6" w:rsidP="00082CA6">
      <w:pPr>
        <w:pStyle w:val="DipnotMetni"/>
        <w:rPr>
          <w:rFonts w:ascii="Times New Roman" w:hAnsi="Times New Roman"/>
        </w:rPr>
      </w:pPr>
      <w:r>
        <w:rPr>
          <w:rStyle w:val="DipnotBavurusu"/>
        </w:rPr>
        <w:footnoteRef/>
      </w:r>
      <w:r>
        <w:t xml:space="preserve"> </w:t>
      </w:r>
      <w:r w:rsidRPr="00BE28C0">
        <w:rPr>
          <w:rFonts w:ascii="Times New Roman" w:hAnsi="Times New Roman"/>
        </w:rPr>
        <w:t>SMDB kısaca şu anlamlara gelmektedir: Sorumlu(</w:t>
      </w:r>
      <w:r w:rsidRPr="00BE28C0">
        <w:rPr>
          <w:rFonts w:ascii="Times New Roman" w:hAnsi="Times New Roman"/>
          <w:b/>
        </w:rPr>
        <w:t>S</w:t>
      </w:r>
      <w:r w:rsidRPr="00BE28C0">
        <w:rPr>
          <w:rFonts w:ascii="Times New Roman" w:hAnsi="Times New Roman"/>
        </w:rPr>
        <w:t>): İşi kim yaptırır? Sorusuna cevap verir. Yani, f</w:t>
      </w:r>
      <w:r w:rsidRPr="00BE28C0">
        <w:rPr>
          <w:rFonts w:ascii="Times New Roman" w:hAnsi="Times New Roman"/>
          <w:color w:val="000000"/>
        </w:rPr>
        <w:t>aaliyetlerin başarılı biçimde tamamlandığını güvence altına alan kişiyi; Mesul (</w:t>
      </w:r>
      <w:r w:rsidRPr="00BE28C0">
        <w:rPr>
          <w:rFonts w:ascii="Times New Roman" w:hAnsi="Times New Roman"/>
          <w:b/>
          <w:color w:val="000000"/>
        </w:rPr>
        <w:t>M</w:t>
      </w:r>
      <w:r w:rsidRPr="00BE28C0">
        <w:rPr>
          <w:rFonts w:ascii="Times New Roman" w:hAnsi="Times New Roman"/>
          <w:color w:val="000000"/>
        </w:rPr>
        <w:t>), Görevin başarısı için kim hesap verir? sorusunu cevaplar. Yani, söz konusu olay, süreç ya da kapsamdan nihayetinde sorumlu kişi, grup ya da varlık; Danışılan (</w:t>
      </w:r>
      <w:r w:rsidRPr="00BE28C0">
        <w:rPr>
          <w:rFonts w:ascii="Times New Roman" w:hAnsi="Times New Roman"/>
          <w:b/>
          <w:color w:val="000000"/>
        </w:rPr>
        <w:t>D</w:t>
      </w:r>
      <w:r w:rsidRPr="00BE28C0">
        <w:rPr>
          <w:rFonts w:ascii="Times New Roman" w:hAnsi="Times New Roman"/>
          <w:color w:val="000000"/>
        </w:rPr>
        <w:t>), girdiyi kim sağlıyor? sorusunu cevaplar. Yani, Bir faaliyet hakkında fikirleri alınan kişilere işaret eder (iki yönlü iletişim); Bilgilendirilen (</w:t>
      </w:r>
      <w:r w:rsidRPr="00BE28C0">
        <w:rPr>
          <w:rFonts w:ascii="Times New Roman" w:hAnsi="Times New Roman"/>
          <w:b/>
          <w:color w:val="000000"/>
        </w:rPr>
        <w:t>B</w:t>
      </w:r>
      <w:r w:rsidRPr="00BE28C0">
        <w:rPr>
          <w:rFonts w:ascii="Times New Roman" w:hAnsi="Times New Roman"/>
          <w:color w:val="000000"/>
        </w:rPr>
        <w:t>),</w:t>
      </w:r>
      <w:r w:rsidRPr="00BE28C0">
        <w:rPr>
          <w:rFonts w:ascii="Times New Roman" w:hAnsi="Times New Roman"/>
        </w:rPr>
        <w:t xml:space="preserve"> </w:t>
      </w:r>
      <w:r w:rsidRPr="00BE28C0">
        <w:rPr>
          <w:rFonts w:ascii="Times New Roman" w:hAnsi="Times New Roman"/>
          <w:color w:val="000000"/>
        </w:rPr>
        <w:t>Kim bilgi alıyor? Sorusunu cevaplar. Yani, bir faaliyetin ilerleyişinden haberdar edilen kişileri anlatır (tek yönlü iletişim).</w:t>
      </w:r>
      <w:r w:rsidRPr="00BE28C0">
        <w:rPr>
          <w:rFonts w:ascii="Times New Roman" w:hAnsi="Times New Roman"/>
          <w:b/>
          <w:color w:val="000000"/>
        </w:rPr>
        <w:t xml:space="preserve"> </w:t>
      </w:r>
      <w:sdt>
        <w:sdtPr>
          <w:rPr>
            <w:rFonts w:ascii="Times New Roman" w:hAnsi="Times New Roman"/>
            <w:color w:val="221E1F"/>
            <w:szCs w:val="24"/>
          </w:rPr>
          <w:id w:val="1507019513"/>
          <w:citation/>
        </w:sdtPr>
        <w:sdtEndPr/>
        <w:sdtContent>
          <w:r w:rsidRPr="00BE28C0">
            <w:rPr>
              <w:rFonts w:ascii="Times New Roman" w:hAnsi="Times New Roman"/>
              <w:color w:val="221E1F"/>
              <w:szCs w:val="24"/>
            </w:rPr>
            <w:fldChar w:fldCharType="begin"/>
          </w:r>
          <w:r w:rsidRPr="00BE28C0">
            <w:rPr>
              <w:rFonts w:ascii="Times New Roman" w:hAnsi="Times New Roman"/>
              <w:color w:val="221E1F"/>
              <w:szCs w:val="24"/>
            </w:rPr>
            <w:instrText xml:space="preserve">CITATION ISA12 \l 1055 </w:instrText>
          </w:r>
          <w:r w:rsidRPr="00BE28C0">
            <w:rPr>
              <w:rFonts w:ascii="Times New Roman" w:hAnsi="Times New Roman"/>
              <w:color w:val="221E1F"/>
              <w:szCs w:val="24"/>
            </w:rPr>
            <w:fldChar w:fldCharType="separate"/>
          </w:r>
          <w:r w:rsidRPr="00BE28C0">
            <w:rPr>
              <w:rFonts w:ascii="Times New Roman" w:hAnsi="Times New Roman"/>
              <w:noProof/>
              <w:color w:val="221E1F"/>
              <w:szCs w:val="24"/>
            </w:rPr>
            <w:t>(ISACA, Enabling Processes, 2012c)</w:t>
          </w:r>
          <w:r w:rsidRPr="00BE28C0">
            <w:rPr>
              <w:rFonts w:ascii="Times New Roman" w:hAnsi="Times New Roman"/>
              <w:color w:val="221E1F"/>
              <w:szCs w:val="24"/>
            </w:rPr>
            <w:fldChar w:fldCharType="end"/>
          </w:r>
        </w:sdtContent>
      </w:sdt>
      <w:r w:rsidRPr="00BE28C0">
        <w:rPr>
          <w:rFonts w:ascii="Times New Roman" w:hAnsi="Times New Roman"/>
          <w:color w:val="221E1F"/>
          <w:szCs w:val="24"/>
        </w:rPr>
        <w:t xml:space="preserve">’ den uyarlanmıştır. </w:t>
      </w:r>
    </w:p>
  </w:footnote>
  <w:footnote w:id="6">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BGYK: Bölgesel Gelişme Yüksek Kurulu</w:t>
      </w:r>
    </w:p>
  </w:footnote>
  <w:footnote w:id="7">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BGK: Bölgesel Gelişme Komitesi</w:t>
      </w:r>
    </w:p>
  </w:footnote>
  <w:footnote w:id="8">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BGYUGM: KB Bölgesel Gelişme ve Yapısal Uyum Genel Müdürlüğü</w:t>
      </w:r>
    </w:p>
  </w:footnote>
  <w:footnote w:id="9">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YPKDGM: Yıllık Programlar ve Konjonktür Değerlendirme Genel Müdürlüğü</w:t>
      </w:r>
    </w:p>
  </w:footnote>
  <w:footnote w:id="10">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ISKM: İktisadi Sektörler ve Koordinasyon Genel Müdürlüğü</w:t>
      </w:r>
    </w:p>
  </w:footnote>
  <w:footnote w:id="11">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EMSAGM: Ekonomik Modeller ve Stratejik Araştırmalar Genel Müdürlüğü</w:t>
      </w:r>
    </w:p>
  </w:footnote>
  <w:footnote w:id="12">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DEİGM: Dış Ekonomik İlişkiler Genel Müdürlüğü </w:t>
      </w:r>
    </w:p>
  </w:footnote>
  <w:footnote w:id="13">
    <w:p w:rsidR="00082CA6" w:rsidRPr="00BE28C0" w:rsidRDefault="00082CA6" w:rsidP="00082CA6">
      <w:pPr>
        <w:pStyle w:val="DipnotMetni"/>
        <w:rPr>
          <w:rFonts w:ascii="Times New Roman" w:hAnsi="Times New Roman"/>
        </w:rPr>
      </w:pPr>
      <w:r w:rsidRPr="00BE28C0">
        <w:rPr>
          <w:rStyle w:val="DipnotBavurusu"/>
          <w:rFonts w:ascii="Times New Roman" w:hAnsi="Times New Roman"/>
        </w:rPr>
        <w:footnoteRef/>
      </w:r>
      <w:r w:rsidRPr="00BE28C0">
        <w:rPr>
          <w:rFonts w:ascii="Times New Roman" w:hAnsi="Times New Roman"/>
        </w:rPr>
        <w:t xml:space="preserve">  SSKGM: Sosyal Sektörler ve Koordinasyon Genel Müdürlüğü </w:t>
      </w:r>
    </w:p>
  </w:footnote>
  <w:footnote w:id="14">
    <w:p w:rsidR="00082CA6" w:rsidRDefault="00082CA6" w:rsidP="00082CA6">
      <w:pPr>
        <w:pStyle w:val="DipnotMetni"/>
      </w:pPr>
      <w:r w:rsidRPr="00BE28C0">
        <w:rPr>
          <w:rStyle w:val="DipnotBavurusu"/>
          <w:rFonts w:ascii="Times New Roman" w:hAnsi="Times New Roman"/>
        </w:rPr>
        <w:footnoteRef/>
      </w:r>
      <w:r w:rsidRPr="00BE28C0">
        <w:rPr>
          <w:rFonts w:ascii="Times New Roman" w:hAnsi="Times New Roman"/>
        </w:rPr>
        <w:t xml:space="preserve">  YPİGM: Yatırım</w:t>
      </w:r>
      <w:r w:rsidRPr="00BE28C0">
        <w:rPr>
          <w:rFonts w:ascii="Times New Roman" w:hAnsi="Times New Roman"/>
          <w:bCs/>
        </w:rPr>
        <w:t xml:space="preserve"> Programlama, İzleme ve Değerlendirme Genel Müdürlüğü</w:t>
      </w:r>
    </w:p>
  </w:footnote>
  <w:footnote w:id="15">
    <w:p w:rsidR="00082CA6" w:rsidRDefault="00082CA6" w:rsidP="00082CA6">
      <w:pPr>
        <w:pStyle w:val="DipnotMetni"/>
      </w:pPr>
      <w:r>
        <w:rPr>
          <w:rStyle w:val="DipnotBavurusu"/>
        </w:rPr>
        <w:footnoteRef/>
      </w:r>
      <w:r>
        <w:t xml:space="preserve"> </w:t>
      </w:r>
      <w:r w:rsidRPr="009312D4">
        <w:rPr>
          <w:rFonts w:ascii="Times New Roman" w:hAnsi="Times New Roman"/>
        </w:rPr>
        <w:t>Bu kriterlerin değerlendirildiği süreç yetenek modelinde metodolojik olarak şu şekilde uygulanmaktadır: Kriter faaliyetlerin KA tarafından karşılama Düzeyi: Ulaşılamadı (N=%0-15) Kısmen ulaşıldı (P=%15-50 ) Çoğunlukla ulaşıldı (L=%50-85 ) Tamamen ulaşıldı (F=%85-100). Süreç referans modeli açısından geçerli bir seviye için L veya F düzeyi aranmaktadır.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A6" w:rsidRPr="00AF156B" w:rsidRDefault="00082CA6" w:rsidP="00AF156B">
    <w:pPr>
      <w:pStyle w:val="stbilgi"/>
      <w:jc w:val="center"/>
      <w:rPr>
        <w:i/>
        <w:sz w:val="20"/>
        <w:u w:val="single"/>
      </w:rPr>
    </w:pPr>
    <w:r>
      <w:rPr>
        <w:i/>
        <w:sz w:val="20"/>
        <w:u w:val="single"/>
      </w:rPr>
      <w:t>Efe, A.                                                                                                 Yönetim Bilişim Dergisi, Cilt:2</w:t>
    </w:r>
    <w:r w:rsidRPr="00AF156B">
      <w:rPr>
        <w:i/>
        <w:sz w:val="20"/>
        <w:u w:val="single"/>
      </w:rPr>
      <w:t>, Sayı:1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2F3"/>
    <w:multiLevelType w:val="multilevel"/>
    <w:tmpl w:val="4D0ADE42"/>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2174885"/>
    <w:multiLevelType w:val="multilevel"/>
    <w:tmpl w:val="C6DA21E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 w15:restartNumberingAfterBreak="0">
    <w:nsid w:val="043B6FF1"/>
    <w:multiLevelType w:val="multilevel"/>
    <w:tmpl w:val="7F94E72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 w15:restartNumberingAfterBreak="0">
    <w:nsid w:val="07B847CF"/>
    <w:multiLevelType w:val="hybridMultilevel"/>
    <w:tmpl w:val="9F3A1AC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0138EE"/>
    <w:multiLevelType w:val="multilevel"/>
    <w:tmpl w:val="5042565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B67E5E"/>
    <w:multiLevelType w:val="multilevel"/>
    <w:tmpl w:val="6596A72C"/>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6" w15:restartNumberingAfterBreak="0">
    <w:nsid w:val="1A6D0041"/>
    <w:multiLevelType w:val="multilevel"/>
    <w:tmpl w:val="F0AEFF1C"/>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AE91689"/>
    <w:multiLevelType w:val="hybridMultilevel"/>
    <w:tmpl w:val="967E06BA"/>
    <w:lvl w:ilvl="0" w:tplc="C166ECB4">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D05A94"/>
    <w:multiLevelType w:val="multilevel"/>
    <w:tmpl w:val="5BA4FC1A"/>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9" w15:restartNumberingAfterBreak="0">
    <w:nsid w:val="2CD35C35"/>
    <w:multiLevelType w:val="hybridMultilevel"/>
    <w:tmpl w:val="567E8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F5457A"/>
    <w:multiLevelType w:val="multilevel"/>
    <w:tmpl w:val="3C18DC7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345902BF"/>
    <w:multiLevelType w:val="multilevel"/>
    <w:tmpl w:val="F74CDF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08271A"/>
    <w:multiLevelType w:val="multilevel"/>
    <w:tmpl w:val="80BE6B1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3" w15:restartNumberingAfterBreak="0">
    <w:nsid w:val="3E114AE5"/>
    <w:multiLevelType w:val="multilevel"/>
    <w:tmpl w:val="7958B0D0"/>
    <w:lvl w:ilvl="0">
      <w:start w:val="3"/>
      <w:numFmt w:val="decimal"/>
      <w:lvlText w:val="%1."/>
      <w:lvlJc w:val="left"/>
      <w:pPr>
        <w:ind w:left="645" w:hanging="64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40960DE6"/>
    <w:multiLevelType w:val="multilevel"/>
    <w:tmpl w:val="FC3628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2C77CAA"/>
    <w:multiLevelType w:val="multilevel"/>
    <w:tmpl w:val="6D32B184"/>
    <w:lvl w:ilvl="0">
      <w:start w:val="2"/>
      <w:numFmt w:val="decimal"/>
      <w:pStyle w:val="Balk1"/>
      <w:lvlText w:val="%1."/>
      <w:lvlJc w:val="left"/>
      <w:pPr>
        <w:ind w:left="432" w:hanging="432"/>
      </w:pPr>
      <w:rPr>
        <w:rFonts w:hint="default"/>
      </w:rPr>
    </w:lvl>
    <w:lvl w:ilvl="1">
      <w:start w:val="1"/>
      <w:numFmt w:val="decimal"/>
      <w:lvlText w:val="%1.%2"/>
      <w:lvlJc w:val="left"/>
      <w:pPr>
        <w:ind w:left="576" w:hanging="576"/>
      </w:pPr>
      <w:rPr>
        <w:rFonts w:hint="default"/>
        <w:sz w:val="32"/>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6" w15:restartNumberingAfterBreak="0">
    <w:nsid w:val="4565731B"/>
    <w:multiLevelType w:val="multilevel"/>
    <w:tmpl w:val="31362FC2"/>
    <w:lvl w:ilvl="0">
      <w:start w:val="1"/>
      <w:numFmt w:val="decimal"/>
      <w:lvlText w:val="%1."/>
      <w:lvlJc w:val="left"/>
      <w:pPr>
        <w:ind w:left="876" w:firstLine="425"/>
      </w:pPr>
      <w:rPr>
        <w:b/>
      </w:rPr>
    </w:lvl>
    <w:lvl w:ilvl="1">
      <w:start w:val="1"/>
      <w:numFmt w:val="lowerLetter"/>
      <w:lvlText w:val="%2."/>
      <w:lvlJc w:val="left"/>
      <w:pPr>
        <w:ind w:left="1506" w:firstLine="1146"/>
      </w:pPr>
    </w:lvl>
    <w:lvl w:ilvl="2">
      <w:start w:val="1"/>
      <w:numFmt w:val="lowerRoman"/>
      <w:lvlText w:val="%3."/>
      <w:lvlJc w:val="right"/>
      <w:pPr>
        <w:ind w:left="2226" w:firstLine="2046"/>
      </w:pPr>
    </w:lvl>
    <w:lvl w:ilvl="3">
      <w:start w:val="1"/>
      <w:numFmt w:val="decimal"/>
      <w:lvlText w:val="%4."/>
      <w:lvlJc w:val="left"/>
      <w:pPr>
        <w:ind w:left="2946" w:firstLine="2586"/>
      </w:pPr>
    </w:lvl>
    <w:lvl w:ilvl="4">
      <w:start w:val="1"/>
      <w:numFmt w:val="lowerLetter"/>
      <w:lvlText w:val="%5."/>
      <w:lvlJc w:val="left"/>
      <w:pPr>
        <w:ind w:left="3666" w:firstLine="3306"/>
      </w:pPr>
    </w:lvl>
    <w:lvl w:ilvl="5">
      <w:start w:val="1"/>
      <w:numFmt w:val="lowerRoman"/>
      <w:lvlText w:val="%6."/>
      <w:lvlJc w:val="right"/>
      <w:pPr>
        <w:ind w:left="4386" w:firstLine="4206"/>
      </w:pPr>
    </w:lvl>
    <w:lvl w:ilvl="6">
      <w:start w:val="1"/>
      <w:numFmt w:val="decimal"/>
      <w:lvlText w:val="%7."/>
      <w:lvlJc w:val="left"/>
      <w:pPr>
        <w:ind w:left="5106" w:firstLine="4746"/>
      </w:pPr>
    </w:lvl>
    <w:lvl w:ilvl="7">
      <w:start w:val="1"/>
      <w:numFmt w:val="lowerLetter"/>
      <w:lvlText w:val="%8."/>
      <w:lvlJc w:val="left"/>
      <w:pPr>
        <w:ind w:left="5826" w:firstLine="5466"/>
      </w:pPr>
    </w:lvl>
    <w:lvl w:ilvl="8">
      <w:start w:val="1"/>
      <w:numFmt w:val="lowerRoman"/>
      <w:lvlText w:val="%9."/>
      <w:lvlJc w:val="right"/>
      <w:pPr>
        <w:ind w:left="6546" w:firstLine="6366"/>
      </w:pPr>
    </w:lvl>
  </w:abstractNum>
  <w:abstractNum w:abstractNumId="17" w15:restartNumberingAfterBreak="0">
    <w:nsid w:val="46806617"/>
    <w:multiLevelType w:val="hybridMultilevel"/>
    <w:tmpl w:val="5642894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4FA8152A"/>
    <w:multiLevelType w:val="multilevel"/>
    <w:tmpl w:val="61BA9786"/>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19" w15:restartNumberingAfterBreak="0">
    <w:nsid w:val="525965F6"/>
    <w:multiLevelType w:val="hybridMultilevel"/>
    <w:tmpl w:val="9DE833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BB0547"/>
    <w:multiLevelType w:val="multilevel"/>
    <w:tmpl w:val="4D2C0D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CC251F"/>
    <w:multiLevelType w:val="hybridMultilevel"/>
    <w:tmpl w:val="BF7EC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83B2494"/>
    <w:multiLevelType w:val="hybridMultilevel"/>
    <w:tmpl w:val="223487C8"/>
    <w:lvl w:ilvl="0" w:tplc="F3967DD6">
      <w:start w:val="1"/>
      <w:numFmt w:val="decimal"/>
      <w:pStyle w:val="Balk2"/>
      <w:lvlText w:val="%1.1"/>
      <w:lvlJc w:val="left"/>
      <w:pPr>
        <w:ind w:left="720" w:hanging="360"/>
      </w:pPr>
      <w:rPr>
        <w:rFonts w:hint="default"/>
        <w:sz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0347C8"/>
    <w:multiLevelType w:val="hybridMultilevel"/>
    <w:tmpl w:val="46FED0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15:restartNumberingAfterBreak="0">
    <w:nsid w:val="65B758B1"/>
    <w:multiLevelType w:val="hybridMultilevel"/>
    <w:tmpl w:val="8FB6C78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6B590FF8"/>
    <w:multiLevelType w:val="multilevel"/>
    <w:tmpl w:val="0EDEC3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ED74505"/>
    <w:multiLevelType w:val="hybridMultilevel"/>
    <w:tmpl w:val="350C6E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22"/>
  </w:num>
  <w:num w:numId="5">
    <w:abstractNumId w:val="18"/>
  </w:num>
  <w:num w:numId="6">
    <w:abstractNumId w:val="8"/>
  </w:num>
  <w:num w:numId="7">
    <w:abstractNumId w:val="2"/>
  </w:num>
  <w:num w:numId="8">
    <w:abstractNumId w:val="16"/>
  </w:num>
  <w:num w:numId="9">
    <w:abstractNumId w:val="10"/>
  </w:num>
  <w:num w:numId="10">
    <w:abstractNumId w:val="9"/>
  </w:num>
  <w:num w:numId="11">
    <w:abstractNumId w:val="21"/>
  </w:num>
  <w:num w:numId="12">
    <w:abstractNumId w:val="12"/>
  </w:num>
  <w:num w:numId="13">
    <w:abstractNumId w:val="1"/>
  </w:num>
  <w:num w:numId="14">
    <w:abstractNumId w:val="4"/>
  </w:num>
  <w:num w:numId="15">
    <w:abstractNumId w:val="22"/>
  </w:num>
  <w:num w:numId="16">
    <w:abstractNumId w:val="15"/>
    <w:lvlOverride w:ilvl="0">
      <w:startOverride w:val="3"/>
    </w:lvlOverride>
    <w:lvlOverride w:ilvl="1">
      <w:startOverride w:val="5"/>
    </w:lvlOverride>
  </w:num>
  <w:num w:numId="17">
    <w:abstractNumId w:val="15"/>
    <w:lvlOverride w:ilvl="0">
      <w:startOverride w:val="3"/>
    </w:lvlOverride>
    <w:lvlOverride w:ilvl="1">
      <w:startOverride w:val="8"/>
    </w:lvlOverride>
  </w:num>
  <w:num w:numId="18">
    <w:abstractNumId w:val="11"/>
  </w:num>
  <w:num w:numId="19">
    <w:abstractNumId w:val="13"/>
  </w:num>
  <w:num w:numId="20">
    <w:abstractNumId w:val="25"/>
  </w:num>
  <w:num w:numId="21">
    <w:abstractNumId w:val="3"/>
  </w:num>
  <w:num w:numId="22">
    <w:abstractNumId w:val="17"/>
  </w:num>
  <w:num w:numId="23">
    <w:abstractNumId w:val="23"/>
  </w:num>
  <w:num w:numId="24">
    <w:abstractNumId w:val="24"/>
  </w:num>
  <w:num w:numId="25">
    <w:abstractNumId w:val="20"/>
  </w:num>
  <w:num w:numId="26">
    <w:abstractNumId w:val="1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0"/>
  </w:num>
  <w:num w:numId="30">
    <w:abstractNumId w:val="1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FE"/>
    <w:rsid w:val="00082CA6"/>
    <w:rsid w:val="000B5BD9"/>
    <w:rsid w:val="000D648B"/>
    <w:rsid w:val="000E30FE"/>
    <w:rsid w:val="000F0319"/>
    <w:rsid w:val="00101B26"/>
    <w:rsid w:val="00117095"/>
    <w:rsid w:val="00164980"/>
    <w:rsid w:val="001938FF"/>
    <w:rsid w:val="00201A09"/>
    <w:rsid w:val="00237F5B"/>
    <w:rsid w:val="00273103"/>
    <w:rsid w:val="002940CF"/>
    <w:rsid w:val="002C6294"/>
    <w:rsid w:val="003428ED"/>
    <w:rsid w:val="003562D4"/>
    <w:rsid w:val="0037078F"/>
    <w:rsid w:val="00395CD9"/>
    <w:rsid w:val="0039756E"/>
    <w:rsid w:val="003B1681"/>
    <w:rsid w:val="003E3D67"/>
    <w:rsid w:val="00410C73"/>
    <w:rsid w:val="004A477D"/>
    <w:rsid w:val="004D3BC1"/>
    <w:rsid w:val="00533317"/>
    <w:rsid w:val="005447B1"/>
    <w:rsid w:val="0055575E"/>
    <w:rsid w:val="00592616"/>
    <w:rsid w:val="005969E8"/>
    <w:rsid w:val="005B1900"/>
    <w:rsid w:val="005D1D31"/>
    <w:rsid w:val="0067624F"/>
    <w:rsid w:val="006A4728"/>
    <w:rsid w:val="006E27B0"/>
    <w:rsid w:val="00717B9B"/>
    <w:rsid w:val="00783C78"/>
    <w:rsid w:val="00784A34"/>
    <w:rsid w:val="007C0629"/>
    <w:rsid w:val="0084634E"/>
    <w:rsid w:val="0088730B"/>
    <w:rsid w:val="00887336"/>
    <w:rsid w:val="0090791F"/>
    <w:rsid w:val="009160A1"/>
    <w:rsid w:val="009300C9"/>
    <w:rsid w:val="009A0105"/>
    <w:rsid w:val="00A35773"/>
    <w:rsid w:val="00A93330"/>
    <w:rsid w:val="00AD52C1"/>
    <w:rsid w:val="00AF156B"/>
    <w:rsid w:val="00B76FD1"/>
    <w:rsid w:val="00BC1C5F"/>
    <w:rsid w:val="00BC57DC"/>
    <w:rsid w:val="00BE7F2D"/>
    <w:rsid w:val="00BF4884"/>
    <w:rsid w:val="00BF489E"/>
    <w:rsid w:val="00C07817"/>
    <w:rsid w:val="00C652EE"/>
    <w:rsid w:val="00C67716"/>
    <w:rsid w:val="00CD418A"/>
    <w:rsid w:val="00CE3D77"/>
    <w:rsid w:val="00D32F1C"/>
    <w:rsid w:val="00D9207F"/>
    <w:rsid w:val="00DE2CF3"/>
    <w:rsid w:val="00E05917"/>
    <w:rsid w:val="00E60F36"/>
    <w:rsid w:val="00E80DE0"/>
    <w:rsid w:val="00EA37CC"/>
    <w:rsid w:val="00F079CC"/>
    <w:rsid w:val="00F4517F"/>
    <w:rsid w:val="00F56FA8"/>
    <w:rsid w:val="00F75874"/>
    <w:rsid w:val="00FC3D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8E93E4-62E5-4B1F-8D63-C08B5F15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A34"/>
    <w:pPr>
      <w:spacing w:before="120" w:line="256" w:lineRule="auto"/>
    </w:pPr>
    <w:rPr>
      <w:rFonts w:ascii="Times New Roman" w:hAnsi="Times New Roman"/>
      <w:sz w:val="24"/>
    </w:rPr>
  </w:style>
  <w:style w:type="paragraph" w:styleId="Balk1">
    <w:name w:val="heading 1"/>
    <w:basedOn w:val="Normal"/>
    <w:next w:val="Normal"/>
    <w:link w:val="Balk1Char"/>
    <w:uiPriority w:val="9"/>
    <w:qFormat/>
    <w:rsid w:val="001938FF"/>
    <w:pPr>
      <w:keepNext/>
      <w:keepLines/>
      <w:numPr>
        <w:numId w:val="1"/>
      </w:numPr>
      <w:spacing w:before="240" w:after="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5447B1"/>
    <w:pPr>
      <w:keepNext/>
      <w:keepLines/>
      <w:numPr>
        <w:numId w:val="4"/>
      </w:numPr>
      <w:spacing w:before="40" w:after="0"/>
      <w:outlineLvl w:val="1"/>
    </w:pPr>
    <w:rPr>
      <w:rFonts w:eastAsiaTheme="majorEastAsia" w:cstheme="majorBidi"/>
      <w:b/>
      <w:sz w:val="22"/>
      <w:szCs w:val="26"/>
    </w:rPr>
  </w:style>
  <w:style w:type="paragraph" w:styleId="Balk3">
    <w:name w:val="heading 3"/>
    <w:basedOn w:val="Normal"/>
    <w:next w:val="Normal"/>
    <w:link w:val="Balk3Char"/>
    <w:uiPriority w:val="9"/>
    <w:unhideWhenUsed/>
    <w:qFormat/>
    <w:rsid w:val="005447B1"/>
    <w:pPr>
      <w:keepNext/>
      <w:keepLines/>
      <w:numPr>
        <w:ilvl w:val="2"/>
        <w:numId w:val="1"/>
      </w:numPr>
      <w:spacing w:before="160" w:after="0" w:line="276" w:lineRule="auto"/>
      <w:contextualSpacing/>
      <w:outlineLvl w:val="2"/>
    </w:pPr>
    <w:rPr>
      <w:rFonts w:eastAsia="Trebuchet MS" w:cs="Trebuchet MS"/>
      <w:b/>
      <w:sz w:val="22"/>
      <w:szCs w:val="24"/>
      <w:lang w:eastAsia="tr-TR"/>
    </w:rPr>
  </w:style>
  <w:style w:type="paragraph" w:styleId="Balk4">
    <w:name w:val="heading 4"/>
    <w:basedOn w:val="Normal"/>
    <w:next w:val="Normal"/>
    <w:link w:val="Balk4Char"/>
    <w:uiPriority w:val="9"/>
    <w:unhideWhenUsed/>
    <w:qFormat/>
    <w:rsid w:val="00784A34"/>
    <w:pPr>
      <w:keepNext/>
      <w:keepLines/>
      <w:numPr>
        <w:ilvl w:val="3"/>
        <w:numId w:val="1"/>
      </w:numPr>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84A3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784A3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784A3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784A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84A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938FF"/>
    <w:rPr>
      <w:rFonts w:ascii="Times New Roman" w:eastAsiaTheme="majorEastAsia" w:hAnsi="Times New Roman" w:cstheme="majorBidi"/>
      <w:b/>
      <w:szCs w:val="32"/>
    </w:rPr>
  </w:style>
  <w:style w:type="character" w:customStyle="1" w:styleId="Balk2Char">
    <w:name w:val="Başlık 2 Char"/>
    <w:basedOn w:val="VarsaylanParagrafYazTipi"/>
    <w:link w:val="Balk2"/>
    <w:uiPriority w:val="9"/>
    <w:rsid w:val="005447B1"/>
    <w:rPr>
      <w:rFonts w:ascii="Times New Roman" w:eastAsiaTheme="majorEastAsia" w:hAnsi="Times New Roman" w:cstheme="majorBidi"/>
      <w:b/>
      <w:szCs w:val="26"/>
    </w:rPr>
  </w:style>
  <w:style w:type="character" w:customStyle="1" w:styleId="Balk3Char">
    <w:name w:val="Başlık 3 Char"/>
    <w:basedOn w:val="VarsaylanParagrafYazTipi"/>
    <w:link w:val="Balk3"/>
    <w:uiPriority w:val="9"/>
    <w:rsid w:val="005447B1"/>
    <w:rPr>
      <w:rFonts w:ascii="Times New Roman" w:eastAsia="Trebuchet MS" w:hAnsi="Times New Roman" w:cs="Trebuchet MS"/>
      <w:b/>
      <w:szCs w:val="24"/>
      <w:lang w:eastAsia="tr-TR"/>
    </w:rPr>
  </w:style>
  <w:style w:type="character" w:customStyle="1" w:styleId="Balk4Char">
    <w:name w:val="Başlık 4 Char"/>
    <w:basedOn w:val="VarsaylanParagrafYazTipi"/>
    <w:link w:val="Balk4"/>
    <w:uiPriority w:val="9"/>
    <w:rsid w:val="00784A34"/>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784A34"/>
    <w:rPr>
      <w:rFonts w:asciiTheme="majorHAnsi" w:eastAsiaTheme="majorEastAsia" w:hAnsiTheme="majorHAnsi" w:cstheme="majorBidi"/>
      <w:color w:val="2E74B5" w:themeColor="accent1" w:themeShade="BF"/>
      <w:sz w:val="24"/>
    </w:rPr>
  </w:style>
  <w:style w:type="character" w:customStyle="1" w:styleId="Balk6Char">
    <w:name w:val="Başlık 6 Char"/>
    <w:basedOn w:val="VarsaylanParagrafYazTipi"/>
    <w:link w:val="Balk6"/>
    <w:uiPriority w:val="9"/>
    <w:rsid w:val="00784A34"/>
    <w:rPr>
      <w:rFonts w:asciiTheme="majorHAnsi" w:eastAsiaTheme="majorEastAsia" w:hAnsiTheme="majorHAnsi" w:cstheme="majorBidi"/>
      <w:color w:val="1F4D78" w:themeColor="accent1" w:themeShade="7F"/>
      <w:sz w:val="24"/>
    </w:rPr>
  </w:style>
  <w:style w:type="character" w:customStyle="1" w:styleId="Balk7Char">
    <w:name w:val="Başlık 7 Char"/>
    <w:basedOn w:val="VarsaylanParagrafYazTipi"/>
    <w:link w:val="Balk7"/>
    <w:uiPriority w:val="9"/>
    <w:semiHidden/>
    <w:rsid w:val="00784A34"/>
    <w:rPr>
      <w:rFonts w:asciiTheme="majorHAnsi" w:eastAsiaTheme="majorEastAsia" w:hAnsiTheme="majorHAnsi" w:cstheme="majorBidi"/>
      <w:i/>
      <w:iCs/>
      <w:color w:val="1F4D78" w:themeColor="accent1" w:themeShade="7F"/>
      <w:sz w:val="24"/>
    </w:rPr>
  </w:style>
  <w:style w:type="character" w:customStyle="1" w:styleId="Balk8Char">
    <w:name w:val="Başlık 8 Char"/>
    <w:basedOn w:val="VarsaylanParagrafYazTipi"/>
    <w:link w:val="Balk8"/>
    <w:uiPriority w:val="9"/>
    <w:semiHidden/>
    <w:rsid w:val="00784A3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84A34"/>
    <w:rPr>
      <w:rFonts w:asciiTheme="majorHAnsi" w:eastAsiaTheme="majorEastAsia" w:hAnsiTheme="majorHAnsi" w:cstheme="majorBidi"/>
      <w:i/>
      <w:iCs/>
      <w:color w:val="272727" w:themeColor="text1" w:themeTint="D8"/>
      <w:sz w:val="21"/>
      <w:szCs w:val="21"/>
    </w:rPr>
  </w:style>
  <w:style w:type="paragraph" w:customStyle="1" w:styleId="WW-NormalWeb1">
    <w:name w:val="WW-Normal (Web)1"/>
    <w:basedOn w:val="Normal"/>
    <w:rsid w:val="00164980"/>
    <w:pPr>
      <w:spacing w:before="280" w:after="119" w:line="240" w:lineRule="auto"/>
    </w:pPr>
    <w:rPr>
      <w:rFonts w:eastAsia="Times New Roman" w:cs="Times New Roman"/>
      <w:szCs w:val="24"/>
      <w:lang w:eastAsia="ar-SA"/>
    </w:rPr>
  </w:style>
  <w:style w:type="character" w:customStyle="1" w:styleId="apple-style-span">
    <w:name w:val="apple-style-span"/>
    <w:rsid w:val="00164980"/>
  </w:style>
  <w:style w:type="paragraph" w:customStyle="1" w:styleId="FigureStyle">
    <w:name w:val="FigureStyle"/>
    <w:basedOn w:val="Alnt"/>
    <w:link w:val="FigureStyleChar"/>
    <w:qFormat/>
    <w:rsid w:val="005447B1"/>
    <w:pPr>
      <w:spacing w:before="320" w:after="280"/>
    </w:pPr>
    <w:rPr>
      <w:rFonts w:cs="Times New Roman"/>
    </w:rPr>
  </w:style>
  <w:style w:type="character" w:customStyle="1" w:styleId="FigureStyleChar">
    <w:name w:val="FigureStyle Char"/>
    <w:basedOn w:val="AlntChar"/>
    <w:link w:val="FigureStyle"/>
    <w:rsid w:val="005447B1"/>
    <w:rPr>
      <w:rFonts w:ascii="Times New Roman" w:hAnsi="Times New Roman" w:cs="Times New Roman"/>
      <w:i/>
      <w:iCs/>
      <w:color w:val="404040" w:themeColor="text1" w:themeTint="BF"/>
      <w:sz w:val="24"/>
    </w:rPr>
  </w:style>
  <w:style w:type="paragraph" w:styleId="Alnt">
    <w:name w:val="Quote"/>
    <w:basedOn w:val="Normal"/>
    <w:next w:val="Normal"/>
    <w:link w:val="AlntChar"/>
    <w:uiPriority w:val="29"/>
    <w:qFormat/>
    <w:rsid w:val="005447B1"/>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5447B1"/>
    <w:rPr>
      <w:rFonts w:ascii="Times New Roman" w:hAnsi="Times New Roman"/>
      <w:i/>
      <w:iCs/>
      <w:color w:val="404040" w:themeColor="text1" w:themeTint="BF"/>
      <w:sz w:val="24"/>
    </w:rPr>
  </w:style>
  <w:style w:type="paragraph" w:styleId="ListeParagraf">
    <w:name w:val="List Paragraph"/>
    <w:basedOn w:val="Normal"/>
    <w:uiPriority w:val="34"/>
    <w:qFormat/>
    <w:rsid w:val="00410C73"/>
    <w:pPr>
      <w:ind w:left="720"/>
      <w:contextualSpacing/>
    </w:pPr>
  </w:style>
  <w:style w:type="paragraph" w:styleId="Kaynaka">
    <w:name w:val="Bibliography"/>
    <w:basedOn w:val="Normal"/>
    <w:next w:val="Normal"/>
    <w:uiPriority w:val="37"/>
    <w:unhideWhenUsed/>
    <w:rsid w:val="00533317"/>
  </w:style>
  <w:style w:type="paragraph" w:customStyle="1" w:styleId="Style1">
    <w:name w:val="Style1"/>
    <w:basedOn w:val="Normal"/>
    <w:qFormat/>
    <w:rsid w:val="005B1900"/>
    <w:pPr>
      <w:spacing w:after="200" w:line="240" w:lineRule="auto"/>
      <w:ind w:left="1418" w:firstLine="709"/>
      <w:jc w:val="both"/>
    </w:pPr>
    <w:rPr>
      <w:rFonts w:eastAsia="Times New Roman" w:cs="Times New Roman"/>
      <w:b/>
      <w:sz w:val="22"/>
    </w:rPr>
  </w:style>
  <w:style w:type="paragraph" w:styleId="BalonMetni">
    <w:name w:val="Balloon Text"/>
    <w:basedOn w:val="Normal"/>
    <w:link w:val="BalonMetniChar"/>
    <w:uiPriority w:val="99"/>
    <w:semiHidden/>
    <w:unhideWhenUsed/>
    <w:rsid w:val="003B1681"/>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1681"/>
    <w:rPr>
      <w:rFonts w:ascii="Tahoma" w:hAnsi="Tahoma" w:cs="Tahoma"/>
      <w:sz w:val="16"/>
      <w:szCs w:val="16"/>
    </w:rPr>
  </w:style>
  <w:style w:type="paragraph" w:styleId="stbilgi">
    <w:name w:val="header"/>
    <w:basedOn w:val="Normal"/>
    <w:link w:val="stbilgiChar"/>
    <w:uiPriority w:val="99"/>
    <w:unhideWhenUsed/>
    <w:rsid w:val="003B1681"/>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3B1681"/>
    <w:rPr>
      <w:rFonts w:ascii="Times New Roman" w:hAnsi="Times New Roman"/>
      <w:sz w:val="24"/>
    </w:rPr>
  </w:style>
  <w:style w:type="paragraph" w:styleId="Altbilgi">
    <w:name w:val="footer"/>
    <w:basedOn w:val="Normal"/>
    <w:link w:val="AltbilgiChar"/>
    <w:uiPriority w:val="99"/>
    <w:unhideWhenUsed/>
    <w:rsid w:val="003B1681"/>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3B1681"/>
    <w:rPr>
      <w:rFonts w:ascii="Times New Roman" w:hAnsi="Times New Roman"/>
      <w:sz w:val="24"/>
    </w:rPr>
  </w:style>
  <w:style w:type="numbering" w:customStyle="1" w:styleId="NoList1">
    <w:name w:val="No List1"/>
    <w:next w:val="ListeYok"/>
    <w:uiPriority w:val="99"/>
    <w:semiHidden/>
    <w:unhideWhenUsed/>
    <w:rsid w:val="00082CA6"/>
  </w:style>
  <w:style w:type="paragraph" w:styleId="ResimYazs">
    <w:name w:val="caption"/>
    <w:basedOn w:val="Normal"/>
    <w:next w:val="Normal"/>
    <w:uiPriority w:val="35"/>
    <w:unhideWhenUsed/>
    <w:qFormat/>
    <w:rsid w:val="00082CA6"/>
    <w:pPr>
      <w:spacing w:before="0" w:after="200" w:line="240" w:lineRule="auto"/>
      <w:jc w:val="both"/>
    </w:pPr>
    <w:rPr>
      <w:rFonts w:ascii="Calibri" w:eastAsia="Times New Roman" w:hAnsi="Calibri" w:cs="Times New Roman"/>
      <w:b/>
      <w:bCs/>
      <w:color w:val="2DA2BF"/>
      <w:sz w:val="18"/>
      <w:szCs w:val="18"/>
      <w:lang w:eastAsia="tr-TR"/>
    </w:rPr>
  </w:style>
  <w:style w:type="paragraph" w:styleId="DipnotMetni">
    <w:name w:val="footnote text"/>
    <w:basedOn w:val="Normal"/>
    <w:link w:val="DipnotMetniChar"/>
    <w:uiPriority w:val="99"/>
    <w:semiHidden/>
    <w:unhideWhenUsed/>
    <w:rsid w:val="00082CA6"/>
    <w:pPr>
      <w:spacing w:before="0" w:after="0" w:line="240" w:lineRule="auto"/>
      <w:jc w:val="both"/>
    </w:pPr>
    <w:rPr>
      <w:rFonts w:ascii="Calibri" w:eastAsia="Times New Roman" w:hAnsi="Calibri" w:cs="Times New Roman"/>
      <w:sz w:val="20"/>
      <w:szCs w:val="20"/>
      <w:lang w:eastAsia="tr-TR"/>
    </w:rPr>
  </w:style>
  <w:style w:type="character" w:customStyle="1" w:styleId="DipnotMetniChar">
    <w:name w:val="Dipnot Metni Char"/>
    <w:basedOn w:val="VarsaylanParagrafYazTipi"/>
    <w:link w:val="DipnotMetni"/>
    <w:uiPriority w:val="99"/>
    <w:semiHidden/>
    <w:rsid w:val="00082CA6"/>
    <w:rPr>
      <w:rFonts w:ascii="Calibri" w:eastAsia="Times New Roman" w:hAnsi="Calibri" w:cs="Times New Roman"/>
      <w:sz w:val="20"/>
      <w:szCs w:val="20"/>
      <w:lang w:eastAsia="tr-TR"/>
    </w:rPr>
  </w:style>
  <w:style w:type="character" w:styleId="Kpr">
    <w:name w:val="Hyperlink"/>
    <w:uiPriority w:val="99"/>
    <w:rsid w:val="00082CA6"/>
    <w:rPr>
      <w:strike w:val="0"/>
      <w:dstrike w:val="0"/>
      <w:color w:val="0000FF"/>
      <w:u w:val="none"/>
      <w:effect w:val="none"/>
    </w:rPr>
  </w:style>
  <w:style w:type="character" w:styleId="DipnotBavurusu">
    <w:name w:val="footnote reference"/>
    <w:uiPriority w:val="99"/>
    <w:rsid w:val="00082CA6"/>
    <w:rPr>
      <w:vertAlign w:val="superscript"/>
    </w:rPr>
  </w:style>
  <w:style w:type="table" w:styleId="TabloKlavuzu">
    <w:name w:val="Table Grid"/>
    <w:basedOn w:val="NormalTablo"/>
    <w:rsid w:val="00082CA6"/>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
    <w:name w:val="Açık Kılavuz - Vurgu 51"/>
    <w:basedOn w:val="NormalTablo"/>
    <w:next w:val="AkKlavuz-Vurgu5"/>
    <w:uiPriority w:val="62"/>
    <w:rsid w:val="00082CA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
    <w:name w:val="Light Grid - Accent 51"/>
    <w:basedOn w:val="NormalTablo"/>
    <w:next w:val="AkKlavuz-Vurgu5"/>
    <w:uiPriority w:val="62"/>
    <w:rsid w:val="00082CA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klamaBavurusu">
    <w:name w:val="annotation reference"/>
    <w:basedOn w:val="VarsaylanParagrafYazTipi"/>
    <w:uiPriority w:val="99"/>
    <w:semiHidden/>
    <w:unhideWhenUsed/>
    <w:rsid w:val="00082CA6"/>
    <w:rPr>
      <w:sz w:val="16"/>
      <w:szCs w:val="16"/>
    </w:rPr>
  </w:style>
  <w:style w:type="paragraph" w:styleId="AklamaMetni">
    <w:name w:val="annotation text"/>
    <w:basedOn w:val="Normal"/>
    <w:link w:val="AklamaMetniChar"/>
    <w:uiPriority w:val="99"/>
    <w:semiHidden/>
    <w:unhideWhenUsed/>
    <w:rsid w:val="00082CA6"/>
    <w:pPr>
      <w:spacing w:before="0" w:after="200" w:line="240" w:lineRule="auto"/>
      <w:jc w:val="both"/>
    </w:pPr>
    <w:rPr>
      <w:rFonts w:ascii="Calibri" w:eastAsia="Times New Roman" w:hAnsi="Calibri" w:cs="Times New Roman"/>
      <w:sz w:val="20"/>
      <w:szCs w:val="20"/>
      <w:lang w:eastAsia="tr-TR"/>
    </w:rPr>
  </w:style>
  <w:style w:type="character" w:customStyle="1" w:styleId="AklamaMetniChar">
    <w:name w:val="Açıklama Metni Char"/>
    <w:basedOn w:val="VarsaylanParagrafYazTipi"/>
    <w:link w:val="AklamaMetni"/>
    <w:uiPriority w:val="99"/>
    <w:semiHidden/>
    <w:rsid w:val="00082CA6"/>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082CA6"/>
    <w:rPr>
      <w:b/>
      <w:bCs/>
    </w:rPr>
  </w:style>
  <w:style w:type="character" w:customStyle="1" w:styleId="AklamaKonusuChar">
    <w:name w:val="Açıklama Konusu Char"/>
    <w:basedOn w:val="AklamaMetniChar"/>
    <w:link w:val="AklamaKonusu"/>
    <w:uiPriority w:val="99"/>
    <w:semiHidden/>
    <w:rsid w:val="00082CA6"/>
    <w:rPr>
      <w:rFonts w:ascii="Calibri" w:eastAsia="Times New Roman" w:hAnsi="Calibri" w:cs="Times New Roman"/>
      <w:b/>
      <w:bCs/>
      <w:sz w:val="20"/>
      <w:szCs w:val="20"/>
      <w:lang w:eastAsia="tr-TR"/>
    </w:rPr>
  </w:style>
  <w:style w:type="table" w:styleId="AkKlavuz-Vurgu5">
    <w:name w:val="Light Grid Accent 5"/>
    <w:basedOn w:val="NormalTablo"/>
    <w:uiPriority w:val="62"/>
    <w:semiHidden/>
    <w:unhideWhenUsed/>
    <w:rsid w:val="00082CA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875">
      <w:bodyDiv w:val="1"/>
      <w:marLeft w:val="0"/>
      <w:marRight w:val="0"/>
      <w:marTop w:val="0"/>
      <w:marBottom w:val="0"/>
      <w:divBdr>
        <w:top w:val="none" w:sz="0" w:space="0" w:color="auto"/>
        <w:left w:val="none" w:sz="0" w:space="0" w:color="auto"/>
        <w:bottom w:val="none" w:sz="0" w:space="0" w:color="auto"/>
        <w:right w:val="none" w:sz="0" w:space="0" w:color="auto"/>
      </w:divBdr>
    </w:div>
    <w:div w:id="11490813">
      <w:bodyDiv w:val="1"/>
      <w:marLeft w:val="0"/>
      <w:marRight w:val="0"/>
      <w:marTop w:val="0"/>
      <w:marBottom w:val="0"/>
      <w:divBdr>
        <w:top w:val="none" w:sz="0" w:space="0" w:color="auto"/>
        <w:left w:val="none" w:sz="0" w:space="0" w:color="auto"/>
        <w:bottom w:val="none" w:sz="0" w:space="0" w:color="auto"/>
        <w:right w:val="none" w:sz="0" w:space="0" w:color="auto"/>
      </w:divBdr>
    </w:div>
    <w:div w:id="18093340">
      <w:bodyDiv w:val="1"/>
      <w:marLeft w:val="0"/>
      <w:marRight w:val="0"/>
      <w:marTop w:val="0"/>
      <w:marBottom w:val="0"/>
      <w:divBdr>
        <w:top w:val="none" w:sz="0" w:space="0" w:color="auto"/>
        <w:left w:val="none" w:sz="0" w:space="0" w:color="auto"/>
        <w:bottom w:val="none" w:sz="0" w:space="0" w:color="auto"/>
        <w:right w:val="none" w:sz="0" w:space="0" w:color="auto"/>
      </w:divBdr>
    </w:div>
    <w:div w:id="19206870">
      <w:bodyDiv w:val="1"/>
      <w:marLeft w:val="0"/>
      <w:marRight w:val="0"/>
      <w:marTop w:val="0"/>
      <w:marBottom w:val="0"/>
      <w:divBdr>
        <w:top w:val="none" w:sz="0" w:space="0" w:color="auto"/>
        <w:left w:val="none" w:sz="0" w:space="0" w:color="auto"/>
        <w:bottom w:val="none" w:sz="0" w:space="0" w:color="auto"/>
        <w:right w:val="none" w:sz="0" w:space="0" w:color="auto"/>
      </w:divBdr>
    </w:div>
    <w:div w:id="20132452">
      <w:bodyDiv w:val="1"/>
      <w:marLeft w:val="0"/>
      <w:marRight w:val="0"/>
      <w:marTop w:val="0"/>
      <w:marBottom w:val="0"/>
      <w:divBdr>
        <w:top w:val="none" w:sz="0" w:space="0" w:color="auto"/>
        <w:left w:val="none" w:sz="0" w:space="0" w:color="auto"/>
        <w:bottom w:val="none" w:sz="0" w:space="0" w:color="auto"/>
        <w:right w:val="none" w:sz="0" w:space="0" w:color="auto"/>
      </w:divBdr>
    </w:div>
    <w:div w:id="23943698">
      <w:bodyDiv w:val="1"/>
      <w:marLeft w:val="0"/>
      <w:marRight w:val="0"/>
      <w:marTop w:val="0"/>
      <w:marBottom w:val="0"/>
      <w:divBdr>
        <w:top w:val="none" w:sz="0" w:space="0" w:color="auto"/>
        <w:left w:val="none" w:sz="0" w:space="0" w:color="auto"/>
        <w:bottom w:val="none" w:sz="0" w:space="0" w:color="auto"/>
        <w:right w:val="none" w:sz="0" w:space="0" w:color="auto"/>
      </w:divBdr>
    </w:div>
    <w:div w:id="24018775">
      <w:bodyDiv w:val="1"/>
      <w:marLeft w:val="0"/>
      <w:marRight w:val="0"/>
      <w:marTop w:val="0"/>
      <w:marBottom w:val="0"/>
      <w:divBdr>
        <w:top w:val="none" w:sz="0" w:space="0" w:color="auto"/>
        <w:left w:val="none" w:sz="0" w:space="0" w:color="auto"/>
        <w:bottom w:val="none" w:sz="0" w:space="0" w:color="auto"/>
        <w:right w:val="none" w:sz="0" w:space="0" w:color="auto"/>
      </w:divBdr>
    </w:div>
    <w:div w:id="24068043">
      <w:bodyDiv w:val="1"/>
      <w:marLeft w:val="0"/>
      <w:marRight w:val="0"/>
      <w:marTop w:val="0"/>
      <w:marBottom w:val="0"/>
      <w:divBdr>
        <w:top w:val="none" w:sz="0" w:space="0" w:color="auto"/>
        <w:left w:val="none" w:sz="0" w:space="0" w:color="auto"/>
        <w:bottom w:val="none" w:sz="0" w:space="0" w:color="auto"/>
        <w:right w:val="none" w:sz="0" w:space="0" w:color="auto"/>
      </w:divBdr>
    </w:div>
    <w:div w:id="25760710">
      <w:bodyDiv w:val="1"/>
      <w:marLeft w:val="0"/>
      <w:marRight w:val="0"/>
      <w:marTop w:val="0"/>
      <w:marBottom w:val="0"/>
      <w:divBdr>
        <w:top w:val="none" w:sz="0" w:space="0" w:color="auto"/>
        <w:left w:val="none" w:sz="0" w:space="0" w:color="auto"/>
        <w:bottom w:val="none" w:sz="0" w:space="0" w:color="auto"/>
        <w:right w:val="none" w:sz="0" w:space="0" w:color="auto"/>
      </w:divBdr>
    </w:div>
    <w:div w:id="25906648">
      <w:bodyDiv w:val="1"/>
      <w:marLeft w:val="0"/>
      <w:marRight w:val="0"/>
      <w:marTop w:val="0"/>
      <w:marBottom w:val="0"/>
      <w:divBdr>
        <w:top w:val="none" w:sz="0" w:space="0" w:color="auto"/>
        <w:left w:val="none" w:sz="0" w:space="0" w:color="auto"/>
        <w:bottom w:val="none" w:sz="0" w:space="0" w:color="auto"/>
        <w:right w:val="none" w:sz="0" w:space="0" w:color="auto"/>
      </w:divBdr>
    </w:div>
    <w:div w:id="55667116">
      <w:bodyDiv w:val="1"/>
      <w:marLeft w:val="0"/>
      <w:marRight w:val="0"/>
      <w:marTop w:val="0"/>
      <w:marBottom w:val="0"/>
      <w:divBdr>
        <w:top w:val="none" w:sz="0" w:space="0" w:color="auto"/>
        <w:left w:val="none" w:sz="0" w:space="0" w:color="auto"/>
        <w:bottom w:val="none" w:sz="0" w:space="0" w:color="auto"/>
        <w:right w:val="none" w:sz="0" w:space="0" w:color="auto"/>
      </w:divBdr>
    </w:div>
    <w:div w:id="57942925">
      <w:bodyDiv w:val="1"/>
      <w:marLeft w:val="0"/>
      <w:marRight w:val="0"/>
      <w:marTop w:val="0"/>
      <w:marBottom w:val="0"/>
      <w:divBdr>
        <w:top w:val="none" w:sz="0" w:space="0" w:color="auto"/>
        <w:left w:val="none" w:sz="0" w:space="0" w:color="auto"/>
        <w:bottom w:val="none" w:sz="0" w:space="0" w:color="auto"/>
        <w:right w:val="none" w:sz="0" w:space="0" w:color="auto"/>
      </w:divBdr>
    </w:div>
    <w:div w:id="59714584">
      <w:bodyDiv w:val="1"/>
      <w:marLeft w:val="0"/>
      <w:marRight w:val="0"/>
      <w:marTop w:val="0"/>
      <w:marBottom w:val="0"/>
      <w:divBdr>
        <w:top w:val="none" w:sz="0" w:space="0" w:color="auto"/>
        <w:left w:val="none" w:sz="0" w:space="0" w:color="auto"/>
        <w:bottom w:val="none" w:sz="0" w:space="0" w:color="auto"/>
        <w:right w:val="none" w:sz="0" w:space="0" w:color="auto"/>
      </w:divBdr>
    </w:div>
    <w:div w:id="62414373">
      <w:bodyDiv w:val="1"/>
      <w:marLeft w:val="0"/>
      <w:marRight w:val="0"/>
      <w:marTop w:val="0"/>
      <w:marBottom w:val="0"/>
      <w:divBdr>
        <w:top w:val="none" w:sz="0" w:space="0" w:color="auto"/>
        <w:left w:val="none" w:sz="0" w:space="0" w:color="auto"/>
        <w:bottom w:val="none" w:sz="0" w:space="0" w:color="auto"/>
        <w:right w:val="none" w:sz="0" w:space="0" w:color="auto"/>
      </w:divBdr>
    </w:div>
    <w:div w:id="62723837">
      <w:bodyDiv w:val="1"/>
      <w:marLeft w:val="0"/>
      <w:marRight w:val="0"/>
      <w:marTop w:val="0"/>
      <w:marBottom w:val="0"/>
      <w:divBdr>
        <w:top w:val="none" w:sz="0" w:space="0" w:color="auto"/>
        <w:left w:val="none" w:sz="0" w:space="0" w:color="auto"/>
        <w:bottom w:val="none" w:sz="0" w:space="0" w:color="auto"/>
        <w:right w:val="none" w:sz="0" w:space="0" w:color="auto"/>
      </w:divBdr>
    </w:div>
    <w:div w:id="66919897">
      <w:bodyDiv w:val="1"/>
      <w:marLeft w:val="0"/>
      <w:marRight w:val="0"/>
      <w:marTop w:val="0"/>
      <w:marBottom w:val="0"/>
      <w:divBdr>
        <w:top w:val="none" w:sz="0" w:space="0" w:color="auto"/>
        <w:left w:val="none" w:sz="0" w:space="0" w:color="auto"/>
        <w:bottom w:val="none" w:sz="0" w:space="0" w:color="auto"/>
        <w:right w:val="none" w:sz="0" w:space="0" w:color="auto"/>
      </w:divBdr>
    </w:div>
    <w:div w:id="68964975">
      <w:bodyDiv w:val="1"/>
      <w:marLeft w:val="0"/>
      <w:marRight w:val="0"/>
      <w:marTop w:val="0"/>
      <w:marBottom w:val="0"/>
      <w:divBdr>
        <w:top w:val="none" w:sz="0" w:space="0" w:color="auto"/>
        <w:left w:val="none" w:sz="0" w:space="0" w:color="auto"/>
        <w:bottom w:val="none" w:sz="0" w:space="0" w:color="auto"/>
        <w:right w:val="none" w:sz="0" w:space="0" w:color="auto"/>
      </w:divBdr>
    </w:div>
    <w:div w:id="73211903">
      <w:bodyDiv w:val="1"/>
      <w:marLeft w:val="0"/>
      <w:marRight w:val="0"/>
      <w:marTop w:val="0"/>
      <w:marBottom w:val="0"/>
      <w:divBdr>
        <w:top w:val="none" w:sz="0" w:space="0" w:color="auto"/>
        <w:left w:val="none" w:sz="0" w:space="0" w:color="auto"/>
        <w:bottom w:val="none" w:sz="0" w:space="0" w:color="auto"/>
        <w:right w:val="none" w:sz="0" w:space="0" w:color="auto"/>
      </w:divBdr>
    </w:div>
    <w:div w:id="76707298">
      <w:bodyDiv w:val="1"/>
      <w:marLeft w:val="0"/>
      <w:marRight w:val="0"/>
      <w:marTop w:val="0"/>
      <w:marBottom w:val="0"/>
      <w:divBdr>
        <w:top w:val="none" w:sz="0" w:space="0" w:color="auto"/>
        <w:left w:val="none" w:sz="0" w:space="0" w:color="auto"/>
        <w:bottom w:val="none" w:sz="0" w:space="0" w:color="auto"/>
        <w:right w:val="none" w:sz="0" w:space="0" w:color="auto"/>
      </w:divBdr>
    </w:div>
    <w:div w:id="81685039">
      <w:bodyDiv w:val="1"/>
      <w:marLeft w:val="0"/>
      <w:marRight w:val="0"/>
      <w:marTop w:val="0"/>
      <w:marBottom w:val="0"/>
      <w:divBdr>
        <w:top w:val="none" w:sz="0" w:space="0" w:color="auto"/>
        <w:left w:val="none" w:sz="0" w:space="0" w:color="auto"/>
        <w:bottom w:val="none" w:sz="0" w:space="0" w:color="auto"/>
        <w:right w:val="none" w:sz="0" w:space="0" w:color="auto"/>
      </w:divBdr>
    </w:div>
    <w:div w:id="83192151">
      <w:bodyDiv w:val="1"/>
      <w:marLeft w:val="0"/>
      <w:marRight w:val="0"/>
      <w:marTop w:val="0"/>
      <w:marBottom w:val="0"/>
      <w:divBdr>
        <w:top w:val="none" w:sz="0" w:space="0" w:color="auto"/>
        <w:left w:val="none" w:sz="0" w:space="0" w:color="auto"/>
        <w:bottom w:val="none" w:sz="0" w:space="0" w:color="auto"/>
        <w:right w:val="none" w:sz="0" w:space="0" w:color="auto"/>
      </w:divBdr>
    </w:div>
    <w:div w:id="95636096">
      <w:bodyDiv w:val="1"/>
      <w:marLeft w:val="0"/>
      <w:marRight w:val="0"/>
      <w:marTop w:val="0"/>
      <w:marBottom w:val="0"/>
      <w:divBdr>
        <w:top w:val="none" w:sz="0" w:space="0" w:color="auto"/>
        <w:left w:val="none" w:sz="0" w:space="0" w:color="auto"/>
        <w:bottom w:val="none" w:sz="0" w:space="0" w:color="auto"/>
        <w:right w:val="none" w:sz="0" w:space="0" w:color="auto"/>
      </w:divBdr>
    </w:div>
    <w:div w:id="101193937">
      <w:bodyDiv w:val="1"/>
      <w:marLeft w:val="0"/>
      <w:marRight w:val="0"/>
      <w:marTop w:val="0"/>
      <w:marBottom w:val="0"/>
      <w:divBdr>
        <w:top w:val="none" w:sz="0" w:space="0" w:color="auto"/>
        <w:left w:val="none" w:sz="0" w:space="0" w:color="auto"/>
        <w:bottom w:val="none" w:sz="0" w:space="0" w:color="auto"/>
        <w:right w:val="none" w:sz="0" w:space="0" w:color="auto"/>
      </w:divBdr>
    </w:div>
    <w:div w:id="106780881">
      <w:bodyDiv w:val="1"/>
      <w:marLeft w:val="0"/>
      <w:marRight w:val="0"/>
      <w:marTop w:val="0"/>
      <w:marBottom w:val="0"/>
      <w:divBdr>
        <w:top w:val="none" w:sz="0" w:space="0" w:color="auto"/>
        <w:left w:val="none" w:sz="0" w:space="0" w:color="auto"/>
        <w:bottom w:val="none" w:sz="0" w:space="0" w:color="auto"/>
        <w:right w:val="none" w:sz="0" w:space="0" w:color="auto"/>
      </w:divBdr>
    </w:div>
    <w:div w:id="120659996">
      <w:bodyDiv w:val="1"/>
      <w:marLeft w:val="0"/>
      <w:marRight w:val="0"/>
      <w:marTop w:val="0"/>
      <w:marBottom w:val="0"/>
      <w:divBdr>
        <w:top w:val="none" w:sz="0" w:space="0" w:color="auto"/>
        <w:left w:val="none" w:sz="0" w:space="0" w:color="auto"/>
        <w:bottom w:val="none" w:sz="0" w:space="0" w:color="auto"/>
        <w:right w:val="none" w:sz="0" w:space="0" w:color="auto"/>
      </w:divBdr>
    </w:div>
    <w:div w:id="120925118">
      <w:bodyDiv w:val="1"/>
      <w:marLeft w:val="0"/>
      <w:marRight w:val="0"/>
      <w:marTop w:val="0"/>
      <w:marBottom w:val="0"/>
      <w:divBdr>
        <w:top w:val="none" w:sz="0" w:space="0" w:color="auto"/>
        <w:left w:val="none" w:sz="0" w:space="0" w:color="auto"/>
        <w:bottom w:val="none" w:sz="0" w:space="0" w:color="auto"/>
        <w:right w:val="none" w:sz="0" w:space="0" w:color="auto"/>
      </w:divBdr>
    </w:div>
    <w:div w:id="132455414">
      <w:bodyDiv w:val="1"/>
      <w:marLeft w:val="0"/>
      <w:marRight w:val="0"/>
      <w:marTop w:val="0"/>
      <w:marBottom w:val="0"/>
      <w:divBdr>
        <w:top w:val="none" w:sz="0" w:space="0" w:color="auto"/>
        <w:left w:val="none" w:sz="0" w:space="0" w:color="auto"/>
        <w:bottom w:val="none" w:sz="0" w:space="0" w:color="auto"/>
        <w:right w:val="none" w:sz="0" w:space="0" w:color="auto"/>
      </w:divBdr>
    </w:div>
    <w:div w:id="134686048">
      <w:bodyDiv w:val="1"/>
      <w:marLeft w:val="0"/>
      <w:marRight w:val="0"/>
      <w:marTop w:val="0"/>
      <w:marBottom w:val="0"/>
      <w:divBdr>
        <w:top w:val="none" w:sz="0" w:space="0" w:color="auto"/>
        <w:left w:val="none" w:sz="0" w:space="0" w:color="auto"/>
        <w:bottom w:val="none" w:sz="0" w:space="0" w:color="auto"/>
        <w:right w:val="none" w:sz="0" w:space="0" w:color="auto"/>
      </w:divBdr>
    </w:div>
    <w:div w:id="136925107">
      <w:bodyDiv w:val="1"/>
      <w:marLeft w:val="0"/>
      <w:marRight w:val="0"/>
      <w:marTop w:val="0"/>
      <w:marBottom w:val="0"/>
      <w:divBdr>
        <w:top w:val="none" w:sz="0" w:space="0" w:color="auto"/>
        <w:left w:val="none" w:sz="0" w:space="0" w:color="auto"/>
        <w:bottom w:val="none" w:sz="0" w:space="0" w:color="auto"/>
        <w:right w:val="none" w:sz="0" w:space="0" w:color="auto"/>
      </w:divBdr>
    </w:div>
    <w:div w:id="140079151">
      <w:bodyDiv w:val="1"/>
      <w:marLeft w:val="0"/>
      <w:marRight w:val="0"/>
      <w:marTop w:val="0"/>
      <w:marBottom w:val="0"/>
      <w:divBdr>
        <w:top w:val="none" w:sz="0" w:space="0" w:color="auto"/>
        <w:left w:val="none" w:sz="0" w:space="0" w:color="auto"/>
        <w:bottom w:val="none" w:sz="0" w:space="0" w:color="auto"/>
        <w:right w:val="none" w:sz="0" w:space="0" w:color="auto"/>
      </w:divBdr>
    </w:div>
    <w:div w:id="140393900">
      <w:bodyDiv w:val="1"/>
      <w:marLeft w:val="0"/>
      <w:marRight w:val="0"/>
      <w:marTop w:val="0"/>
      <w:marBottom w:val="0"/>
      <w:divBdr>
        <w:top w:val="none" w:sz="0" w:space="0" w:color="auto"/>
        <w:left w:val="none" w:sz="0" w:space="0" w:color="auto"/>
        <w:bottom w:val="none" w:sz="0" w:space="0" w:color="auto"/>
        <w:right w:val="none" w:sz="0" w:space="0" w:color="auto"/>
      </w:divBdr>
    </w:div>
    <w:div w:id="149252203">
      <w:bodyDiv w:val="1"/>
      <w:marLeft w:val="0"/>
      <w:marRight w:val="0"/>
      <w:marTop w:val="0"/>
      <w:marBottom w:val="0"/>
      <w:divBdr>
        <w:top w:val="none" w:sz="0" w:space="0" w:color="auto"/>
        <w:left w:val="none" w:sz="0" w:space="0" w:color="auto"/>
        <w:bottom w:val="none" w:sz="0" w:space="0" w:color="auto"/>
        <w:right w:val="none" w:sz="0" w:space="0" w:color="auto"/>
      </w:divBdr>
    </w:div>
    <w:div w:id="152918078">
      <w:bodyDiv w:val="1"/>
      <w:marLeft w:val="0"/>
      <w:marRight w:val="0"/>
      <w:marTop w:val="0"/>
      <w:marBottom w:val="0"/>
      <w:divBdr>
        <w:top w:val="none" w:sz="0" w:space="0" w:color="auto"/>
        <w:left w:val="none" w:sz="0" w:space="0" w:color="auto"/>
        <w:bottom w:val="none" w:sz="0" w:space="0" w:color="auto"/>
        <w:right w:val="none" w:sz="0" w:space="0" w:color="auto"/>
      </w:divBdr>
    </w:div>
    <w:div w:id="160659775">
      <w:bodyDiv w:val="1"/>
      <w:marLeft w:val="0"/>
      <w:marRight w:val="0"/>
      <w:marTop w:val="0"/>
      <w:marBottom w:val="0"/>
      <w:divBdr>
        <w:top w:val="none" w:sz="0" w:space="0" w:color="auto"/>
        <w:left w:val="none" w:sz="0" w:space="0" w:color="auto"/>
        <w:bottom w:val="none" w:sz="0" w:space="0" w:color="auto"/>
        <w:right w:val="none" w:sz="0" w:space="0" w:color="auto"/>
      </w:divBdr>
    </w:div>
    <w:div w:id="162009827">
      <w:bodyDiv w:val="1"/>
      <w:marLeft w:val="0"/>
      <w:marRight w:val="0"/>
      <w:marTop w:val="0"/>
      <w:marBottom w:val="0"/>
      <w:divBdr>
        <w:top w:val="none" w:sz="0" w:space="0" w:color="auto"/>
        <w:left w:val="none" w:sz="0" w:space="0" w:color="auto"/>
        <w:bottom w:val="none" w:sz="0" w:space="0" w:color="auto"/>
        <w:right w:val="none" w:sz="0" w:space="0" w:color="auto"/>
      </w:divBdr>
    </w:div>
    <w:div w:id="171531513">
      <w:bodyDiv w:val="1"/>
      <w:marLeft w:val="0"/>
      <w:marRight w:val="0"/>
      <w:marTop w:val="0"/>
      <w:marBottom w:val="0"/>
      <w:divBdr>
        <w:top w:val="none" w:sz="0" w:space="0" w:color="auto"/>
        <w:left w:val="none" w:sz="0" w:space="0" w:color="auto"/>
        <w:bottom w:val="none" w:sz="0" w:space="0" w:color="auto"/>
        <w:right w:val="none" w:sz="0" w:space="0" w:color="auto"/>
      </w:divBdr>
    </w:div>
    <w:div w:id="177424995">
      <w:bodyDiv w:val="1"/>
      <w:marLeft w:val="0"/>
      <w:marRight w:val="0"/>
      <w:marTop w:val="0"/>
      <w:marBottom w:val="0"/>
      <w:divBdr>
        <w:top w:val="none" w:sz="0" w:space="0" w:color="auto"/>
        <w:left w:val="none" w:sz="0" w:space="0" w:color="auto"/>
        <w:bottom w:val="none" w:sz="0" w:space="0" w:color="auto"/>
        <w:right w:val="none" w:sz="0" w:space="0" w:color="auto"/>
      </w:divBdr>
    </w:div>
    <w:div w:id="183638509">
      <w:bodyDiv w:val="1"/>
      <w:marLeft w:val="0"/>
      <w:marRight w:val="0"/>
      <w:marTop w:val="0"/>
      <w:marBottom w:val="0"/>
      <w:divBdr>
        <w:top w:val="none" w:sz="0" w:space="0" w:color="auto"/>
        <w:left w:val="none" w:sz="0" w:space="0" w:color="auto"/>
        <w:bottom w:val="none" w:sz="0" w:space="0" w:color="auto"/>
        <w:right w:val="none" w:sz="0" w:space="0" w:color="auto"/>
      </w:divBdr>
    </w:div>
    <w:div w:id="183832604">
      <w:bodyDiv w:val="1"/>
      <w:marLeft w:val="0"/>
      <w:marRight w:val="0"/>
      <w:marTop w:val="0"/>
      <w:marBottom w:val="0"/>
      <w:divBdr>
        <w:top w:val="none" w:sz="0" w:space="0" w:color="auto"/>
        <w:left w:val="none" w:sz="0" w:space="0" w:color="auto"/>
        <w:bottom w:val="none" w:sz="0" w:space="0" w:color="auto"/>
        <w:right w:val="none" w:sz="0" w:space="0" w:color="auto"/>
      </w:divBdr>
    </w:div>
    <w:div w:id="192692724">
      <w:bodyDiv w:val="1"/>
      <w:marLeft w:val="0"/>
      <w:marRight w:val="0"/>
      <w:marTop w:val="0"/>
      <w:marBottom w:val="0"/>
      <w:divBdr>
        <w:top w:val="none" w:sz="0" w:space="0" w:color="auto"/>
        <w:left w:val="none" w:sz="0" w:space="0" w:color="auto"/>
        <w:bottom w:val="none" w:sz="0" w:space="0" w:color="auto"/>
        <w:right w:val="none" w:sz="0" w:space="0" w:color="auto"/>
      </w:divBdr>
    </w:div>
    <w:div w:id="195626510">
      <w:bodyDiv w:val="1"/>
      <w:marLeft w:val="0"/>
      <w:marRight w:val="0"/>
      <w:marTop w:val="0"/>
      <w:marBottom w:val="0"/>
      <w:divBdr>
        <w:top w:val="none" w:sz="0" w:space="0" w:color="auto"/>
        <w:left w:val="none" w:sz="0" w:space="0" w:color="auto"/>
        <w:bottom w:val="none" w:sz="0" w:space="0" w:color="auto"/>
        <w:right w:val="none" w:sz="0" w:space="0" w:color="auto"/>
      </w:divBdr>
    </w:div>
    <w:div w:id="199050883">
      <w:bodyDiv w:val="1"/>
      <w:marLeft w:val="0"/>
      <w:marRight w:val="0"/>
      <w:marTop w:val="0"/>
      <w:marBottom w:val="0"/>
      <w:divBdr>
        <w:top w:val="none" w:sz="0" w:space="0" w:color="auto"/>
        <w:left w:val="none" w:sz="0" w:space="0" w:color="auto"/>
        <w:bottom w:val="none" w:sz="0" w:space="0" w:color="auto"/>
        <w:right w:val="none" w:sz="0" w:space="0" w:color="auto"/>
      </w:divBdr>
    </w:div>
    <w:div w:id="207843978">
      <w:bodyDiv w:val="1"/>
      <w:marLeft w:val="0"/>
      <w:marRight w:val="0"/>
      <w:marTop w:val="0"/>
      <w:marBottom w:val="0"/>
      <w:divBdr>
        <w:top w:val="none" w:sz="0" w:space="0" w:color="auto"/>
        <w:left w:val="none" w:sz="0" w:space="0" w:color="auto"/>
        <w:bottom w:val="none" w:sz="0" w:space="0" w:color="auto"/>
        <w:right w:val="none" w:sz="0" w:space="0" w:color="auto"/>
      </w:divBdr>
    </w:div>
    <w:div w:id="208149953">
      <w:bodyDiv w:val="1"/>
      <w:marLeft w:val="0"/>
      <w:marRight w:val="0"/>
      <w:marTop w:val="0"/>
      <w:marBottom w:val="0"/>
      <w:divBdr>
        <w:top w:val="none" w:sz="0" w:space="0" w:color="auto"/>
        <w:left w:val="none" w:sz="0" w:space="0" w:color="auto"/>
        <w:bottom w:val="none" w:sz="0" w:space="0" w:color="auto"/>
        <w:right w:val="none" w:sz="0" w:space="0" w:color="auto"/>
      </w:divBdr>
    </w:div>
    <w:div w:id="221989035">
      <w:bodyDiv w:val="1"/>
      <w:marLeft w:val="0"/>
      <w:marRight w:val="0"/>
      <w:marTop w:val="0"/>
      <w:marBottom w:val="0"/>
      <w:divBdr>
        <w:top w:val="none" w:sz="0" w:space="0" w:color="auto"/>
        <w:left w:val="none" w:sz="0" w:space="0" w:color="auto"/>
        <w:bottom w:val="none" w:sz="0" w:space="0" w:color="auto"/>
        <w:right w:val="none" w:sz="0" w:space="0" w:color="auto"/>
      </w:divBdr>
    </w:div>
    <w:div w:id="228077700">
      <w:bodyDiv w:val="1"/>
      <w:marLeft w:val="0"/>
      <w:marRight w:val="0"/>
      <w:marTop w:val="0"/>
      <w:marBottom w:val="0"/>
      <w:divBdr>
        <w:top w:val="none" w:sz="0" w:space="0" w:color="auto"/>
        <w:left w:val="none" w:sz="0" w:space="0" w:color="auto"/>
        <w:bottom w:val="none" w:sz="0" w:space="0" w:color="auto"/>
        <w:right w:val="none" w:sz="0" w:space="0" w:color="auto"/>
      </w:divBdr>
    </w:div>
    <w:div w:id="231895194">
      <w:bodyDiv w:val="1"/>
      <w:marLeft w:val="0"/>
      <w:marRight w:val="0"/>
      <w:marTop w:val="0"/>
      <w:marBottom w:val="0"/>
      <w:divBdr>
        <w:top w:val="none" w:sz="0" w:space="0" w:color="auto"/>
        <w:left w:val="none" w:sz="0" w:space="0" w:color="auto"/>
        <w:bottom w:val="none" w:sz="0" w:space="0" w:color="auto"/>
        <w:right w:val="none" w:sz="0" w:space="0" w:color="auto"/>
      </w:divBdr>
    </w:div>
    <w:div w:id="236987137">
      <w:bodyDiv w:val="1"/>
      <w:marLeft w:val="0"/>
      <w:marRight w:val="0"/>
      <w:marTop w:val="0"/>
      <w:marBottom w:val="0"/>
      <w:divBdr>
        <w:top w:val="none" w:sz="0" w:space="0" w:color="auto"/>
        <w:left w:val="none" w:sz="0" w:space="0" w:color="auto"/>
        <w:bottom w:val="none" w:sz="0" w:space="0" w:color="auto"/>
        <w:right w:val="none" w:sz="0" w:space="0" w:color="auto"/>
      </w:divBdr>
    </w:div>
    <w:div w:id="244346726">
      <w:bodyDiv w:val="1"/>
      <w:marLeft w:val="0"/>
      <w:marRight w:val="0"/>
      <w:marTop w:val="0"/>
      <w:marBottom w:val="0"/>
      <w:divBdr>
        <w:top w:val="none" w:sz="0" w:space="0" w:color="auto"/>
        <w:left w:val="none" w:sz="0" w:space="0" w:color="auto"/>
        <w:bottom w:val="none" w:sz="0" w:space="0" w:color="auto"/>
        <w:right w:val="none" w:sz="0" w:space="0" w:color="auto"/>
      </w:divBdr>
    </w:div>
    <w:div w:id="244387604">
      <w:bodyDiv w:val="1"/>
      <w:marLeft w:val="0"/>
      <w:marRight w:val="0"/>
      <w:marTop w:val="0"/>
      <w:marBottom w:val="0"/>
      <w:divBdr>
        <w:top w:val="none" w:sz="0" w:space="0" w:color="auto"/>
        <w:left w:val="none" w:sz="0" w:space="0" w:color="auto"/>
        <w:bottom w:val="none" w:sz="0" w:space="0" w:color="auto"/>
        <w:right w:val="none" w:sz="0" w:space="0" w:color="auto"/>
      </w:divBdr>
    </w:div>
    <w:div w:id="244992944">
      <w:bodyDiv w:val="1"/>
      <w:marLeft w:val="0"/>
      <w:marRight w:val="0"/>
      <w:marTop w:val="0"/>
      <w:marBottom w:val="0"/>
      <w:divBdr>
        <w:top w:val="none" w:sz="0" w:space="0" w:color="auto"/>
        <w:left w:val="none" w:sz="0" w:space="0" w:color="auto"/>
        <w:bottom w:val="none" w:sz="0" w:space="0" w:color="auto"/>
        <w:right w:val="none" w:sz="0" w:space="0" w:color="auto"/>
      </w:divBdr>
    </w:div>
    <w:div w:id="247547424">
      <w:bodyDiv w:val="1"/>
      <w:marLeft w:val="0"/>
      <w:marRight w:val="0"/>
      <w:marTop w:val="0"/>
      <w:marBottom w:val="0"/>
      <w:divBdr>
        <w:top w:val="none" w:sz="0" w:space="0" w:color="auto"/>
        <w:left w:val="none" w:sz="0" w:space="0" w:color="auto"/>
        <w:bottom w:val="none" w:sz="0" w:space="0" w:color="auto"/>
        <w:right w:val="none" w:sz="0" w:space="0" w:color="auto"/>
      </w:divBdr>
    </w:div>
    <w:div w:id="262151892">
      <w:bodyDiv w:val="1"/>
      <w:marLeft w:val="0"/>
      <w:marRight w:val="0"/>
      <w:marTop w:val="0"/>
      <w:marBottom w:val="0"/>
      <w:divBdr>
        <w:top w:val="none" w:sz="0" w:space="0" w:color="auto"/>
        <w:left w:val="none" w:sz="0" w:space="0" w:color="auto"/>
        <w:bottom w:val="none" w:sz="0" w:space="0" w:color="auto"/>
        <w:right w:val="none" w:sz="0" w:space="0" w:color="auto"/>
      </w:divBdr>
    </w:div>
    <w:div w:id="266163536">
      <w:bodyDiv w:val="1"/>
      <w:marLeft w:val="0"/>
      <w:marRight w:val="0"/>
      <w:marTop w:val="0"/>
      <w:marBottom w:val="0"/>
      <w:divBdr>
        <w:top w:val="none" w:sz="0" w:space="0" w:color="auto"/>
        <w:left w:val="none" w:sz="0" w:space="0" w:color="auto"/>
        <w:bottom w:val="none" w:sz="0" w:space="0" w:color="auto"/>
        <w:right w:val="none" w:sz="0" w:space="0" w:color="auto"/>
      </w:divBdr>
    </w:div>
    <w:div w:id="268657712">
      <w:bodyDiv w:val="1"/>
      <w:marLeft w:val="0"/>
      <w:marRight w:val="0"/>
      <w:marTop w:val="0"/>
      <w:marBottom w:val="0"/>
      <w:divBdr>
        <w:top w:val="none" w:sz="0" w:space="0" w:color="auto"/>
        <w:left w:val="none" w:sz="0" w:space="0" w:color="auto"/>
        <w:bottom w:val="none" w:sz="0" w:space="0" w:color="auto"/>
        <w:right w:val="none" w:sz="0" w:space="0" w:color="auto"/>
      </w:divBdr>
    </w:div>
    <w:div w:id="270624521">
      <w:bodyDiv w:val="1"/>
      <w:marLeft w:val="0"/>
      <w:marRight w:val="0"/>
      <w:marTop w:val="0"/>
      <w:marBottom w:val="0"/>
      <w:divBdr>
        <w:top w:val="none" w:sz="0" w:space="0" w:color="auto"/>
        <w:left w:val="none" w:sz="0" w:space="0" w:color="auto"/>
        <w:bottom w:val="none" w:sz="0" w:space="0" w:color="auto"/>
        <w:right w:val="none" w:sz="0" w:space="0" w:color="auto"/>
      </w:divBdr>
    </w:div>
    <w:div w:id="274102111">
      <w:bodyDiv w:val="1"/>
      <w:marLeft w:val="0"/>
      <w:marRight w:val="0"/>
      <w:marTop w:val="0"/>
      <w:marBottom w:val="0"/>
      <w:divBdr>
        <w:top w:val="none" w:sz="0" w:space="0" w:color="auto"/>
        <w:left w:val="none" w:sz="0" w:space="0" w:color="auto"/>
        <w:bottom w:val="none" w:sz="0" w:space="0" w:color="auto"/>
        <w:right w:val="none" w:sz="0" w:space="0" w:color="auto"/>
      </w:divBdr>
    </w:div>
    <w:div w:id="279533089">
      <w:bodyDiv w:val="1"/>
      <w:marLeft w:val="0"/>
      <w:marRight w:val="0"/>
      <w:marTop w:val="0"/>
      <w:marBottom w:val="0"/>
      <w:divBdr>
        <w:top w:val="none" w:sz="0" w:space="0" w:color="auto"/>
        <w:left w:val="none" w:sz="0" w:space="0" w:color="auto"/>
        <w:bottom w:val="none" w:sz="0" w:space="0" w:color="auto"/>
        <w:right w:val="none" w:sz="0" w:space="0" w:color="auto"/>
      </w:divBdr>
    </w:div>
    <w:div w:id="286933909">
      <w:bodyDiv w:val="1"/>
      <w:marLeft w:val="0"/>
      <w:marRight w:val="0"/>
      <w:marTop w:val="0"/>
      <w:marBottom w:val="0"/>
      <w:divBdr>
        <w:top w:val="none" w:sz="0" w:space="0" w:color="auto"/>
        <w:left w:val="none" w:sz="0" w:space="0" w:color="auto"/>
        <w:bottom w:val="none" w:sz="0" w:space="0" w:color="auto"/>
        <w:right w:val="none" w:sz="0" w:space="0" w:color="auto"/>
      </w:divBdr>
    </w:div>
    <w:div w:id="287124048">
      <w:bodyDiv w:val="1"/>
      <w:marLeft w:val="0"/>
      <w:marRight w:val="0"/>
      <w:marTop w:val="0"/>
      <w:marBottom w:val="0"/>
      <w:divBdr>
        <w:top w:val="none" w:sz="0" w:space="0" w:color="auto"/>
        <w:left w:val="none" w:sz="0" w:space="0" w:color="auto"/>
        <w:bottom w:val="none" w:sz="0" w:space="0" w:color="auto"/>
        <w:right w:val="none" w:sz="0" w:space="0" w:color="auto"/>
      </w:divBdr>
    </w:div>
    <w:div w:id="287130906">
      <w:bodyDiv w:val="1"/>
      <w:marLeft w:val="0"/>
      <w:marRight w:val="0"/>
      <w:marTop w:val="0"/>
      <w:marBottom w:val="0"/>
      <w:divBdr>
        <w:top w:val="none" w:sz="0" w:space="0" w:color="auto"/>
        <w:left w:val="none" w:sz="0" w:space="0" w:color="auto"/>
        <w:bottom w:val="none" w:sz="0" w:space="0" w:color="auto"/>
        <w:right w:val="none" w:sz="0" w:space="0" w:color="auto"/>
      </w:divBdr>
    </w:div>
    <w:div w:id="295570596">
      <w:bodyDiv w:val="1"/>
      <w:marLeft w:val="0"/>
      <w:marRight w:val="0"/>
      <w:marTop w:val="0"/>
      <w:marBottom w:val="0"/>
      <w:divBdr>
        <w:top w:val="none" w:sz="0" w:space="0" w:color="auto"/>
        <w:left w:val="none" w:sz="0" w:space="0" w:color="auto"/>
        <w:bottom w:val="none" w:sz="0" w:space="0" w:color="auto"/>
        <w:right w:val="none" w:sz="0" w:space="0" w:color="auto"/>
      </w:divBdr>
    </w:div>
    <w:div w:id="301691859">
      <w:bodyDiv w:val="1"/>
      <w:marLeft w:val="0"/>
      <w:marRight w:val="0"/>
      <w:marTop w:val="0"/>
      <w:marBottom w:val="0"/>
      <w:divBdr>
        <w:top w:val="none" w:sz="0" w:space="0" w:color="auto"/>
        <w:left w:val="none" w:sz="0" w:space="0" w:color="auto"/>
        <w:bottom w:val="none" w:sz="0" w:space="0" w:color="auto"/>
        <w:right w:val="none" w:sz="0" w:space="0" w:color="auto"/>
      </w:divBdr>
    </w:div>
    <w:div w:id="318733492">
      <w:bodyDiv w:val="1"/>
      <w:marLeft w:val="0"/>
      <w:marRight w:val="0"/>
      <w:marTop w:val="0"/>
      <w:marBottom w:val="0"/>
      <w:divBdr>
        <w:top w:val="none" w:sz="0" w:space="0" w:color="auto"/>
        <w:left w:val="none" w:sz="0" w:space="0" w:color="auto"/>
        <w:bottom w:val="none" w:sz="0" w:space="0" w:color="auto"/>
        <w:right w:val="none" w:sz="0" w:space="0" w:color="auto"/>
      </w:divBdr>
    </w:div>
    <w:div w:id="325210404">
      <w:bodyDiv w:val="1"/>
      <w:marLeft w:val="0"/>
      <w:marRight w:val="0"/>
      <w:marTop w:val="0"/>
      <w:marBottom w:val="0"/>
      <w:divBdr>
        <w:top w:val="none" w:sz="0" w:space="0" w:color="auto"/>
        <w:left w:val="none" w:sz="0" w:space="0" w:color="auto"/>
        <w:bottom w:val="none" w:sz="0" w:space="0" w:color="auto"/>
        <w:right w:val="none" w:sz="0" w:space="0" w:color="auto"/>
      </w:divBdr>
    </w:div>
    <w:div w:id="326056409">
      <w:bodyDiv w:val="1"/>
      <w:marLeft w:val="0"/>
      <w:marRight w:val="0"/>
      <w:marTop w:val="0"/>
      <w:marBottom w:val="0"/>
      <w:divBdr>
        <w:top w:val="none" w:sz="0" w:space="0" w:color="auto"/>
        <w:left w:val="none" w:sz="0" w:space="0" w:color="auto"/>
        <w:bottom w:val="none" w:sz="0" w:space="0" w:color="auto"/>
        <w:right w:val="none" w:sz="0" w:space="0" w:color="auto"/>
      </w:divBdr>
    </w:div>
    <w:div w:id="328021795">
      <w:bodyDiv w:val="1"/>
      <w:marLeft w:val="0"/>
      <w:marRight w:val="0"/>
      <w:marTop w:val="0"/>
      <w:marBottom w:val="0"/>
      <w:divBdr>
        <w:top w:val="none" w:sz="0" w:space="0" w:color="auto"/>
        <w:left w:val="none" w:sz="0" w:space="0" w:color="auto"/>
        <w:bottom w:val="none" w:sz="0" w:space="0" w:color="auto"/>
        <w:right w:val="none" w:sz="0" w:space="0" w:color="auto"/>
      </w:divBdr>
    </w:div>
    <w:div w:id="331421407">
      <w:bodyDiv w:val="1"/>
      <w:marLeft w:val="0"/>
      <w:marRight w:val="0"/>
      <w:marTop w:val="0"/>
      <w:marBottom w:val="0"/>
      <w:divBdr>
        <w:top w:val="none" w:sz="0" w:space="0" w:color="auto"/>
        <w:left w:val="none" w:sz="0" w:space="0" w:color="auto"/>
        <w:bottom w:val="none" w:sz="0" w:space="0" w:color="auto"/>
        <w:right w:val="none" w:sz="0" w:space="0" w:color="auto"/>
      </w:divBdr>
    </w:div>
    <w:div w:id="331959266">
      <w:bodyDiv w:val="1"/>
      <w:marLeft w:val="0"/>
      <w:marRight w:val="0"/>
      <w:marTop w:val="0"/>
      <w:marBottom w:val="0"/>
      <w:divBdr>
        <w:top w:val="none" w:sz="0" w:space="0" w:color="auto"/>
        <w:left w:val="none" w:sz="0" w:space="0" w:color="auto"/>
        <w:bottom w:val="none" w:sz="0" w:space="0" w:color="auto"/>
        <w:right w:val="none" w:sz="0" w:space="0" w:color="auto"/>
      </w:divBdr>
    </w:div>
    <w:div w:id="332806013">
      <w:bodyDiv w:val="1"/>
      <w:marLeft w:val="0"/>
      <w:marRight w:val="0"/>
      <w:marTop w:val="0"/>
      <w:marBottom w:val="0"/>
      <w:divBdr>
        <w:top w:val="none" w:sz="0" w:space="0" w:color="auto"/>
        <w:left w:val="none" w:sz="0" w:space="0" w:color="auto"/>
        <w:bottom w:val="none" w:sz="0" w:space="0" w:color="auto"/>
        <w:right w:val="none" w:sz="0" w:space="0" w:color="auto"/>
      </w:divBdr>
    </w:div>
    <w:div w:id="336274676">
      <w:bodyDiv w:val="1"/>
      <w:marLeft w:val="0"/>
      <w:marRight w:val="0"/>
      <w:marTop w:val="0"/>
      <w:marBottom w:val="0"/>
      <w:divBdr>
        <w:top w:val="none" w:sz="0" w:space="0" w:color="auto"/>
        <w:left w:val="none" w:sz="0" w:space="0" w:color="auto"/>
        <w:bottom w:val="none" w:sz="0" w:space="0" w:color="auto"/>
        <w:right w:val="none" w:sz="0" w:space="0" w:color="auto"/>
      </w:divBdr>
    </w:div>
    <w:div w:id="343170792">
      <w:bodyDiv w:val="1"/>
      <w:marLeft w:val="0"/>
      <w:marRight w:val="0"/>
      <w:marTop w:val="0"/>
      <w:marBottom w:val="0"/>
      <w:divBdr>
        <w:top w:val="none" w:sz="0" w:space="0" w:color="auto"/>
        <w:left w:val="none" w:sz="0" w:space="0" w:color="auto"/>
        <w:bottom w:val="none" w:sz="0" w:space="0" w:color="auto"/>
        <w:right w:val="none" w:sz="0" w:space="0" w:color="auto"/>
      </w:divBdr>
    </w:div>
    <w:div w:id="344751170">
      <w:bodyDiv w:val="1"/>
      <w:marLeft w:val="0"/>
      <w:marRight w:val="0"/>
      <w:marTop w:val="0"/>
      <w:marBottom w:val="0"/>
      <w:divBdr>
        <w:top w:val="none" w:sz="0" w:space="0" w:color="auto"/>
        <w:left w:val="none" w:sz="0" w:space="0" w:color="auto"/>
        <w:bottom w:val="none" w:sz="0" w:space="0" w:color="auto"/>
        <w:right w:val="none" w:sz="0" w:space="0" w:color="auto"/>
      </w:divBdr>
    </w:div>
    <w:div w:id="354235722">
      <w:bodyDiv w:val="1"/>
      <w:marLeft w:val="0"/>
      <w:marRight w:val="0"/>
      <w:marTop w:val="0"/>
      <w:marBottom w:val="0"/>
      <w:divBdr>
        <w:top w:val="none" w:sz="0" w:space="0" w:color="auto"/>
        <w:left w:val="none" w:sz="0" w:space="0" w:color="auto"/>
        <w:bottom w:val="none" w:sz="0" w:space="0" w:color="auto"/>
        <w:right w:val="none" w:sz="0" w:space="0" w:color="auto"/>
      </w:divBdr>
    </w:div>
    <w:div w:id="356004435">
      <w:bodyDiv w:val="1"/>
      <w:marLeft w:val="0"/>
      <w:marRight w:val="0"/>
      <w:marTop w:val="0"/>
      <w:marBottom w:val="0"/>
      <w:divBdr>
        <w:top w:val="none" w:sz="0" w:space="0" w:color="auto"/>
        <w:left w:val="none" w:sz="0" w:space="0" w:color="auto"/>
        <w:bottom w:val="none" w:sz="0" w:space="0" w:color="auto"/>
        <w:right w:val="none" w:sz="0" w:space="0" w:color="auto"/>
      </w:divBdr>
    </w:div>
    <w:div w:id="358506203">
      <w:bodyDiv w:val="1"/>
      <w:marLeft w:val="0"/>
      <w:marRight w:val="0"/>
      <w:marTop w:val="0"/>
      <w:marBottom w:val="0"/>
      <w:divBdr>
        <w:top w:val="none" w:sz="0" w:space="0" w:color="auto"/>
        <w:left w:val="none" w:sz="0" w:space="0" w:color="auto"/>
        <w:bottom w:val="none" w:sz="0" w:space="0" w:color="auto"/>
        <w:right w:val="none" w:sz="0" w:space="0" w:color="auto"/>
      </w:divBdr>
    </w:div>
    <w:div w:id="361125987">
      <w:bodyDiv w:val="1"/>
      <w:marLeft w:val="0"/>
      <w:marRight w:val="0"/>
      <w:marTop w:val="0"/>
      <w:marBottom w:val="0"/>
      <w:divBdr>
        <w:top w:val="none" w:sz="0" w:space="0" w:color="auto"/>
        <w:left w:val="none" w:sz="0" w:space="0" w:color="auto"/>
        <w:bottom w:val="none" w:sz="0" w:space="0" w:color="auto"/>
        <w:right w:val="none" w:sz="0" w:space="0" w:color="auto"/>
      </w:divBdr>
    </w:div>
    <w:div w:id="362291885">
      <w:bodyDiv w:val="1"/>
      <w:marLeft w:val="0"/>
      <w:marRight w:val="0"/>
      <w:marTop w:val="0"/>
      <w:marBottom w:val="0"/>
      <w:divBdr>
        <w:top w:val="none" w:sz="0" w:space="0" w:color="auto"/>
        <w:left w:val="none" w:sz="0" w:space="0" w:color="auto"/>
        <w:bottom w:val="none" w:sz="0" w:space="0" w:color="auto"/>
        <w:right w:val="none" w:sz="0" w:space="0" w:color="auto"/>
      </w:divBdr>
    </w:div>
    <w:div w:id="368065400">
      <w:bodyDiv w:val="1"/>
      <w:marLeft w:val="0"/>
      <w:marRight w:val="0"/>
      <w:marTop w:val="0"/>
      <w:marBottom w:val="0"/>
      <w:divBdr>
        <w:top w:val="none" w:sz="0" w:space="0" w:color="auto"/>
        <w:left w:val="none" w:sz="0" w:space="0" w:color="auto"/>
        <w:bottom w:val="none" w:sz="0" w:space="0" w:color="auto"/>
        <w:right w:val="none" w:sz="0" w:space="0" w:color="auto"/>
      </w:divBdr>
    </w:div>
    <w:div w:id="368992425">
      <w:bodyDiv w:val="1"/>
      <w:marLeft w:val="0"/>
      <w:marRight w:val="0"/>
      <w:marTop w:val="0"/>
      <w:marBottom w:val="0"/>
      <w:divBdr>
        <w:top w:val="none" w:sz="0" w:space="0" w:color="auto"/>
        <w:left w:val="none" w:sz="0" w:space="0" w:color="auto"/>
        <w:bottom w:val="none" w:sz="0" w:space="0" w:color="auto"/>
        <w:right w:val="none" w:sz="0" w:space="0" w:color="auto"/>
      </w:divBdr>
    </w:div>
    <w:div w:id="378018332">
      <w:bodyDiv w:val="1"/>
      <w:marLeft w:val="0"/>
      <w:marRight w:val="0"/>
      <w:marTop w:val="0"/>
      <w:marBottom w:val="0"/>
      <w:divBdr>
        <w:top w:val="none" w:sz="0" w:space="0" w:color="auto"/>
        <w:left w:val="none" w:sz="0" w:space="0" w:color="auto"/>
        <w:bottom w:val="none" w:sz="0" w:space="0" w:color="auto"/>
        <w:right w:val="none" w:sz="0" w:space="0" w:color="auto"/>
      </w:divBdr>
    </w:div>
    <w:div w:id="380249511">
      <w:bodyDiv w:val="1"/>
      <w:marLeft w:val="0"/>
      <w:marRight w:val="0"/>
      <w:marTop w:val="0"/>
      <w:marBottom w:val="0"/>
      <w:divBdr>
        <w:top w:val="none" w:sz="0" w:space="0" w:color="auto"/>
        <w:left w:val="none" w:sz="0" w:space="0" w:color="auto"/>
        <w:bottom w:val="none" w:sz="0" w:space="0" w:color="auto"/>
        <w:right w:val="none" w:sz="0" w:space="0" w:color="auto"/>
      </w:divBdr>
    </w:div>
    <w:div w:id="389235870">
      <w:bodyDiv w:val="1"/>
      <w:marLeft w:val="0"/>
      <w:marRight w:val="0"/>
      <w:marTop w:val="0"/>
      <w:marBottom w:val="0"/>
      <w:divBdr>
        <w:top w:val="none" w:sz="0" w:space="0" w:color="auto"/>
        <w:left w:val="none" w:sz="0" w:space="0" w:color="auto"/>
        <w:bottom w:val="none" w:sz="0" w:space="0" w:color="auto"/>
        <w:right w:val="none" w:sz="0" w:space="0" w:color="auto"/>
      </w:divBdr>
    </w:div>
    <w:div w:id="402291287">
      <w:bodyDiv w:val="1"/>
      <w:marLeft w:val="0"/>
      <w:marRight w:val="0"/>
      <w:marTop w:val="0"/>
      <w:marBottom w:val="0"/>
      <w:divBdr>
        <w:top w:val="none" w:sz="0" w:space="0" w:color="auto"/>
        <w:left w:val="none" w:sz="0" w:space="0" w:color="auto"/>
        <w:bottom w:val="none" w:sz="0" w:space="0" w:color="auto"/>
        <w:right w:val="none" w:sz="0" w:space="0" w:color="auto"/>
      </w:divBdr>
    </w:div>
    <w:div w:id="404882187">
      <w:bodyDiv w:val="1"/>
      <w:marLeft w:val="0"/>
      <w:marRight w:val="0"/>
      <w:marTop w:val="0"/>
      <w:marBottom w:val="0"/>
      <w:divBdr>
        <w:top w:val="none" w:sz="0" w:space="0" w:color="auto"/>
        <w:left w:val="none" w:sz="0" w:space="0" w:color="auto"/>
        <w:bottom w:val="none" w:sz="0" w:space="0" w:color="auto"/>
        <w:right w:val="none" w:sz="0" w:space="0" w:color="auto"/>
      </w:divBdr>
    </w:div>
    <w:div w:id="417141427">
      <w:bodyDiv w:val="1"/>
      <w:marLeft w:val="0"/>
      <w:marRight w:val="0"/>
      <w:marTop w:val="0"/>
      <w:marBottom w:val="0"/>
      <w:divBdr>
        <w:top w:val="none" w:sz="0" w:space="0" w:color="auto"/>
        <w:left w:val="none" w:sz="0" w:space="0" w:color="auto"/>
        <w:bottom w:val="none" w:sz="0" w:space="0" w:color="auto"/>
        <w:right w:val="none" w:sz="0" w:space="0" w:color="auto"/>
      </w:divBdr>
    </w:div>
    <w:div w:id="421801896">
      <w:bodyDiv w:val="1"/>
      <w:marLeft w:val="0"/>
      <w:marRight w:val="0"/>
      <w:marTop w:val="0"/>
      <w:marBottom w:val="0"/>
      <w:divBdr>
        <w:top w:val="none" w:sz="0" w:space="0" w:color="auto"/>
        <w:left w:val="none" w:sz="0" w:space="0" w:color="auto"/>
        <w:bottom w:val="none" w:sz="0" w:space="0" w:color="auto"/>
        <w:right w:val="none" w:sz="0" w:space="0" w:color="auto"/>
      </w:divBdr>
    </w:div>
    <w:div w:id="424888851">
      <w:bodyDiv w:val="1"/>
      <w:marLeft w:val="0"/>
      <w:marRight w:val="0"/>
      <w:marTop w:val="0"/>
      <w:marBottom w:val="0"/>
      <w:divBdr>
        <w:top w:val="none" w:sz="0" w:space="0" w:color="auto"/>
        <w:left w:val="none" w:sz="0" w:space="0" w:color="auto"/>
        <w:bottom w:val="none" w:sz="0" w:space="0" w:color="auto"/>
        <w:right w:val="none" w:sz="0" w:space="0" w:color="auto"/>
      </w:divBdr>
    </w:div>
    <w:div w:id="428895696">
      <w:bodyDiv w:val="1"/>
      <w:marLeft w:val="0"/>
      <w:marRight w:val="0"/>
      <w:marTop w:val="0"/>
      <w:marBottom w:val="0"/>
      <w:divBdr>
        <w:top w:val="none" w:sz="0" w:space="0" w:color="auto"/>
        <w:left w:val="none" w:sz="0" w:space="0" w:color="auto"/>
        <w:bottom w:val="none" w:sz="0" w:space="0" w:color="auto"/>
        <w:right w:val="none" w:sz="0" w:space="0" w:color="auto"/>
      </w:divBdr>
    </w:div>
    <w:div w:id="429283385">
      <w:bodyDiv w:val="1"/>
      <w:marLeft w:val="0"/>
      <w:marRight w:val="0"/>
      <w:marTop w:val="0"/>
      <w:marBottom w:val="0"/>
      <w:divBdr>
        <w:top w:val="none" w:sz="0" w:space="0" w:color="auto"/>
        <w:left w:val="none" w:sz="0" w:space="0" w:color="auto"/>
        <w:bottom w:val="none" w:sz="0" w:space="0" w:color="auto"/>
        <w:right w:val="none" w:sz="0" w:space="0" w:color="auto"/>
      </w:divBdr>
    </w:div>
    <w:div w:id="429744369">
      <w:bodyDiv w:val="1"/>
      <w:marLeft w:val="0"/>
      <w:marRight w:val="0"/>
      <w:marTop w:val="0"/>
      <w:marBottom w:val="0"/>
      <w:divBdr>
        <w:top w:val="none" w:sz="0" w:space="0" w:color="auto"/>
        <w:left w:val="none" w:sz="0" w:space="0" w:color="auto"/>
        <w:bottom w:val="none" w:sz="0" w:space="0" w:color="auto"/>
        <w:right w:val="none" w:sz="0" w:space="0" w:color="auto"/>
      </w:divBdr>
    </w:div>
    <w:div w:id="432939697">
      <w:bodyDiv w:val="1"/>
      <w:marLeft w:val="0"/>
      <w:marRight w:val="0"/>
      <w:marTop w:val="0"/>
      <w:marBottom w:val="0"/>
      <w:divBdr>
        <w:top w:val="none" w:sz="0" w:space="0" w:color="auto"/>
        <w:left w:val="none" w:sz="0" w:space="0" w:color="auto"/>
        <w:bottom w:val="none" w:sz="0" w:space="0" w:color="auto"/>
        <w:right w:val="none" w:sz="0" w:space="0" w:color="auto"/>
      </w:divBdr>
    </w:div>
    <w:div w:id="435712237">
      <w:bodyDiv w:val="1"/>
      <w:marLeft w:val="0"/>
      <w:marRight w:val="0"/>
      <w:marTop w:val="0"/>
      <w:marBottom w:val="0"/>
      <w:divBdr>
        <w:top w:val="none" w:sz="0" w:space="0" w:color="auto"/>
        <w:left w:val="none" w:sz="0" w:space="0" w:color="auto"/>
        <w:bottom w:val="none" w:sz="0" w:space="0" w:color="auto"/>
        <w:right w:val="none" w:sz="0" w:space="0" w:color="auto"/>
      </w:divBdr>
    </w:div>
    <w:div w:id="436097871">
      <w:bodyDiv w:val="1"/>
      <w:marLeft w:val="0"/>
      <w:marRight w:val="0"/>
      <w:marTop w:val="0"/>
      <w:marBottom w:val="0"/>
      <w:divBdr>
        <w:top w:val="none" w:sz="0" w:space="0" w:color="auto"/>
        <w:left w:val="none" w:sz="0" w:space="0" w:color="auto"/>
        <w:bottom w:val="none" w:sz="0" w:space="0" w:color="auto"/>
        <w:right w:val="none" w:sz="0" w:space="0" w:color="auto"/>
      </w:divBdr>
    </w:div>
    <w:div w:id="437256199">
      <w:bodyDiv w:val="1"/>
      <w:marLeft w:val="0"/>
      <w:marRight w:val="0"/>
      <w:marTop w:val="0"/>
      <w:marBottom w:val="0"/>
      <w:divBdr>
        <w:top w:val="none" w:sz="0" w:space="0" w:color="auto"/>
        <w:left w:val="none" w:sz="0" w:space="0" w:color="auto"/>
        <w:bottom w:val="none" w:sz="0" w:space="0" w:color="auto"/>
        <w:right w:val="none" w:sz="0" w:space="0" w:color="auto"/>
      </w:divBdr>
    </w:div>
    <w:div w:id="457652479">
      <w:bodyDiv w:val="1"/>
      <w:marLeft w:val="0"/>
      <w:marRight w:val="0"/>
      <w:marTop w:val="0"/>
      <w:marBottom w:val="0"/>
      <w:divBdr>
        <w:top w:val="none" w:sz="0" w:space="0" w:color="auto"/>
        <w:left w:val="none" w:sz="0" w:space="0" w:color="auto"/>
        <w:bottom w:val="none" w:sz="0" w:space="0" w:color="auto"/>
        <w:right w:val="none" w:sz="0" w:space="0" w:color="auto"/>
      </w:divBdr>
    </w:div>
    <w:div w:id="458256975">
      <w:bodyDiv w:val="1"/>
      <w:marLeft w:val="0"/>
      <w:marRight w:val="0"/>
      <w:marTop w:val="0"/>
      <w:marBottom w:val="0"/>
      <w:divBdr>
        <w:top w:val="none" w:sz="0" w:space="0" w:color="auto"/>
        <w:left w:val="none" w:sz="0" w:space="0" w:color="auto"/>
        <w:bottom w:val="none" w:sz="0" w:space="0" w:color="auto"/>
        <w:right w:val="none" w:sz="0" w:space="0" w:color="auto"/>
      </w:divBdr>
    </w:div>
    <w:div w:id="461270296">
      <w:bodyDiv w:val="1"/>
      <w:marLeft w:val="0"/>
      <w:marRight w:val="0"/>
      <w:marTop w:val="0"/>
      <w:marBottom w:val="0"/>
      <w:divBdr>
        <w:top w:val="none" w:sz="0" w:space="0" w:color="auto"/>
        <w:left w:val="none" w:sz="0" w:space="0" w:color="auto"/>
        <w:bottom w:val="none" w:sz="0" w:space="0" w:color="auto"/>
        <w:right w:val="none" w:sz="0" w:space="0" w:color="auto"/>
      </w:divBdr>
    </w:div>
    <w:div w:id="465440964">
      <w:bodyDiv w:val="1"/>
      <w:marLeft w:val="0"/>
      <w:marRight w:val="0"/>
      <w:marTop w:val="0"/>
      <w:marBottom w:val="0"/>
      <w:divBdr>
        <w:top w:val="none" w:sz="0" w:space="0" w:color="auto"/>
        <w:left w:val="none" w:sz="0" w:space="0" w:color="auto"/>
        <w:bottom w:val="none" w:sz="0" w:space="0" w:color="auto"/>
        <w:right w:val="none" w:sz="0" w:space="0" w:color="auto"/>
      </w:divBdr>
    </w:div>
    <w:div w:id="465900828">
      <w:bodyDiv w:val="1"/>
      <w:marLeft w:val="0"/>
      <w:marRight w:val="0"/>
      <w:marTop w:val="0"/>
      <w:marBottom w:val="0"/>
      <w:divBdr>
        <w:top w:val="none" w:sz="0" w:space="0" w:color="auto"/>
        <w:left w:val="none" w:sz="0" w:space="0" w:color="auto"/>
        <w:bottom w:val="none" w:sz="0" w:space="0" w:color="auto"/>
        <w:right w:val="none" w:sz="0" w:space="0" w:color="auto"/>
      </w:divBdr>
    </w:div>
    <w:div w:id="467548056">
      <w:bodyDiv w:val="1"/>
      <w:marLeft w:val="0"/>
      <w:marRight w:val="0"/>
      <w:marTop w:val="0"/>
      <w:marBottom w:val="0"/>
      <w:divBdr>
        <w:top w:val="none" w:sz="0" w:space="0" w:color="auto"/>
        <w:left w:val="none" w:sz="0" w:space="0" w:color="auto"/>
        <w:bottom w:val="none" w:sz="0" w:space="0" w:color="auto"/>
        <w:right w:val="none" w:sz="0" w:space="0" w:color="auto"/>
      </w:divBdr>
    </w:div>
    <w:div w:id="468478564">
      <w:bodyDiv w:val="1"/>
      <w:marLeft w:val="0"/>
      <w:marRight w:val="0"/>
      <w:marTop w:val="0"/>
      <w:marBottom w:val="0"/>
      <w:divBdr>
        <w:top w:val="none" w:sz="0" w:space="0" w:color="auto"/>
        <w:left w:val="none" w:sz="0" w:space="0" w:color="auto"/>
        <w:bottom w:val="none" w:sz="0" w:space="0" w:color="auto"/>
        <w:right w:val="none" w:sz="0" w:space="0" w:color="auto"/>
      </w:divBdr>
    </w:div>
    <w:div w:id="491220630">
      <w:bodyDiv w:val="1"/>
      <w:marLeft w:val="0"/>
      <w:marRight w:val="0"/>
      <w:marTop w:val="0"/>
      <w:marBottom w:val="0"/>
      <w:divBdr>
        <w:top w:val="none" w:sz="0" w:space="0" w:color="auto"/>
        <w:left w:val="none" w:sz="0" w:space="0" w:color="auto"/>
        <w:bottom w:val="none" w:sz="0" w:space="0" w:color="auto"/>
        <w:right w:val="none" w:sz="0" w:space="0" w:color="auto"/>
      </w:divBdr>
    </w:div>
    <w:div w:id="502211474">
      <w:bodyDiv w:val="1"/>
      <w:marLeft w:val="0"/>
      <w:marRight w:val="0"/>
      <w:marTop w:val="0"/>
      <w:marBottom w:val="0"/>
      <w:divBdr>
        <w:top w:val="none" w:sz="0" w:space="0" w:color="auto"/>
        <w:left w:val="none" w:sz="0" w:space="0" w:color="auto"/>
        <w:bottom w:val="none" w:sz="0" w:space="0" w:color="auto"/>
        <w:right w:val="none" w:sz="0" w:space="0" w:color="auto"/>
      </w:divBdr>
    </w:div>
    <w:div w:id="519003258">
      <w:bodyDiv w:val="1"/>
      <w:marLeft w:val="0"/>
      <w:marRight w:val="0"/>
      <w:marTop w:val="0"/>
      <w:marBottom w:val="0"/>
      <w:divBdr>
        <w:top w:val="none" w:sz="0" w:space="0" w:color="auto"/>
        <w:left w:val="none" w:sz="0" w:space="0" w:color="auto"/>
        <w:bottom w:val="none" w:sz="0" w:space="0" w:color="auto"/>
        <w:right w:val="none" w:sz="0" w:space="0" w:color="auto"/>
      </w:divBdr>
    </w:div>
    <w:div w:id="527836506">
      <w:bodyDiv w:val="1"/>
      <w:marLeft w:val="0"/>
      <w:marRight w:val="0"/>
      <w:marTop w:val="0"/>
      <w:marBottom w:val="0"/>
      <w:divBdr>
        <w:top w:val="none" w:sz="0" w:space="0" w:color="auto"/>
        <w:left w:val="none" w:sz="0" w:space="0" w:color="auto"/>
        <w:bottom w:val="none" w:sz="0" w:space="0" w:color="auto"/>
        <w:right w:val="none" w:sz="0" w:space="0" w:color="auto"/>
      </w:divBdr>
    </w:div>
    <w:div w:id="529875907">
      <w:bodyDiv w:val="1"/>
      <w:marLeft w:val="0"/>
      <w:marRight w:val="0"/>
      <w:marTop w:val="0"/>
      <w:marBottom w:val="0"/>
      <w:divBdr>
        <w:top w:val="none" w:sz="0" w:space="0" w:color="auto"/>
        <w:left w:val="none" w:sz="0" w:space="0" w:color="auto"/>
        <w:bottom w:val="none" w:sz="0" w:space="0" w:color="auto"/>
        <w:right w:val="none" w:sz="0" w:space="0" w:color="auto"/>
      </w:divBdr>
    </w:div>
    <w:div w:id="543981211">
      <w:bodyDiv w:val="1"/>
      <w:marLeft w:val="0"/>
      <w:marRight w:val="0"/>
      <w:marTop w:val="0"/>
      <w:marBottom w:val="0"/>
      <w:divBdr>
        <w:top w:val="none" w:sz="0" w:space="0" w:color="auto"/>
        <w:left w:val="none" w:sz="0" w:space="0" w:color="auto"/>
        <w:bottom w:val="none" w:sz="0" w:space="0" w:color="auto"/>
        <w:right w:val="none" w:sz="0" w:space="0" w:color="auto"/>
      </w:divBdr>
    </w:div>
    <w:div w:id="560290912">
      <w:bodyDiv w:val="1"/>
      <w:marLeft w:val="0"/>
      <w:marRight w:val="0"/>
      <w:marTop w:val="0"/>
      <w:marBottom w:val="0"/>
      <w:divBdr>
        <w:top w:val="none" w:sz="0" w:space="0" w:color="auto"/>
        <w:left w:val="none" w:sz="0" w:space="0" w:color="auto"/>
        <w:bottom w:val="none" w:sz="0" w:space="0" w:color="auto"/>
        <w:right w:val="none" w:sz="0" w:space="0" w:color="auto"/>
      </w:divBdr>
    </w:div>
    <w:div w:id="562638678">
      <w:bodyDiv w:val="1"/>
      <w:marLeft w:val="0"/>
      <w:marRight w:val="0"/>
      <w:marTop w:val="0"/>
      <w:marBottom w:val="0"/>
      <w:divBdr>
        <w:top w:val="none" w:sz="0" w:space="0" w:color="auto"/>
        <w:left w:val="none" w:sz="0" w:space="0" w:color="auto"/>
        <w:bottom w:val="none" w:sz="0" w:space="0" w:color="auto"/>
        <w:right w:val="none" w:sz="0" w:space="0" w:color="auto"/>
      </w:divBdr>
    </w:div>
    <w:div w:id="565650964">
      <w:bodyDiv w:val="1"/>
      <w:marLeft w:val="0"/>
      <w:marRight w:val="0"/>
      <w:marTop w:val="0"/>
      <w:marBottom w:val="0"/>
      <w:divBdr>
        <w:top w:val="none" w:sz="0" w:space="0" w:color="auto"/>
        <w:left w:val="none" w:sz="0" w:space="0" w:color="auto"/>
        <w:bottom w:val="none" w:sz="0" w:space="0" w:color="auto"/>
        <w:right w:val="none" w:sz="0" w:space="0" w:color="auto"/>
      </w:divBdr>
    </w:div>
    <w:div w:id="570896414">
      <w:bodyDiv w:val="1"/>
      <w:marLeft w:val="0"/>
      <w:marRight w:val="0"/>
      <w:marTop w:val="0"/>
      <w:marBottom w:val="0"/>
      <w:divBdr>
        <w:top w:val="none" w:sz="0" w:space="0" w:color="auto"/>
        <w:left w:val="none" w:sz="0" w:space="0" w:color="auto"/>
        <w:bottom w:val="none" w:sz="0" w:space="0" w:color="auto"/>
        <w:right w:val="none" w:sz="0" w:space="0" w:color="auto"/>
      </w:divBdr>
    </w:div>
    <w:div w:id="581644732">
      <w:bodyDiv w:val="1"/>
      <w:marLeft w:val="0"/>
      <w:marRight w:val="0"/>
      <w:marTop w:val="0"/>
      <w:marBottom w:val="0"/>
      <w:divBdr>
        <w:top w:val="none" w:sz="0" w:space="0" w:color="auto"/>
        <w:left w:val="none" w:sz="0" w:space="0" w:color="auto"/>
        <w:bottom w:val="none" w:sz="0" w:space="0" w:color="auto"/>
        <w:right w:val="none" w:sz="0" w:space="0" w:color="auto"/>
      </w:divBdr>
    </w:div>
    <w:div w:id="584799362">
      <w:bodyDiv w:val="1"/>
      <w:marLeft w:val="0"/>
      <w:marRight w:val="0"/>
      <w:marTop w:val="0"/>
      <w:marBottom w:val="0"/>
      <w:divBdr>
        <w:top w:val="none" w:sz="0" w:space="0" w:color="auto"/>
        <w:left w:val="none" w:sz="0" w:space="0" w:color="auto"/>
        <w:bottom w:val="none" w:sz="0" w:space="0" w:color="auto"/>
        <w:right w:val="none" w:sz="0" w:space="0" w:color="auto"/>
      </w:divBdr>
    </w:div>
    <w:div w:id="587469730">
      <w:bodyDiv w:val="1"/>
      <w:marLeft w:val="0"/>
      <w:marRight w:val="0"/>
      <w:marTop w:val="0"/>
      <w:marBottom w:val="0"/>
      <w:divBdr>
        <w:top w:val="none" w:sz="0" w:space="0" w:color="auto"/>
        <w:left w:val="none" w:sz="0" w:space="0" w:color="auto"/>
        <w:bottom w:val="none" w:sz="0" w:space="0" w:color="auto"/>
        <w:right w:val="none" w:sz="0" w:space="0" w:color="auto"/>
      </w:divBdr>
    </w:div>
    <w:div w:id="592980547">
      <w:bodyDiv w:val="1"/>
      <w:marLeft w:val="0"/>
      <w:marRight w:val="0"/>
      <w:marTop w:val="0"/>
      <w:marBottom w:val="0"/>
      <w:divBdr>
        <w:top w:val="none" w:sz="0" w:space="0" w:color="auto"/>
        <w:left w:val="none" w:sz="0" w:space="0" w:color="auto"/>
        <w:bottom w:val="none" w:sz="0" w:space="0" w:color="auto"/>
        <w:right w:val="none" w:sz="0" w:space="0" w:color="auto"/>
      </w:divBdr>
    </w:div>
    <w:div w:id="597637895">
      <w:bodyDiv w:val="1"/>
      <w:marLeft w:val="0"/>
      <w:marRight w:val="0"/>
      <w:marTop w:val="0"/>
      <w:marBottom w:val="0"/>
      <w:divBdr>
        <w:top w:val="none" w:sz="0" w:space="0" w:color="auto"/>
        <w:left w:val="none" w:sz="0" w:space="0" w:color="auto"/>
        <w:bottom w:val="none" w:sz="0" w:space="0" w:color="auto"/>
        <w:right w:val="none" w:sz="0" w:space="0" w:color="auto"/>
      </w:divBdr>
    </w:div>
    <w:div w:id="601650208">
      <w:bodyDiv w:val="1"/>
      <w:marLeft w:val="0"/>
      <w:marRight w:val="0"/>
      <w:marTop w:val="0"/>
      <w:marBottom w:val="0"/>
      <w:divBdr>
        <w:top w:val="none" w:sz="0" w:space="0" w:color="auto"/>
        <w:left w:val="none" w:sz="0" w:space="0" w:color="auto"/>
        <w:bottom w:val="none" w:sz="0" w:space="0" w:color="auto"/>
        <w:right w:val="none" w:sz="0" w:space="0" w:color="auto"/>
      </w:divBdr>
    </w:div>
    <w:div w:id="603922038">
      <w:bodyDiv w:val="1"/>
      <w:marLeft w:val="0"/>
      <w:marRight w:val="0"/>
      <w:marTop w:val="0"/>
      <w:marBottom w:val="0"/>
      <w:divBdr>
        <w:top w:val="none" w:sz="0" w:space="0" w:color="auto"/>
        <w:left w:val="none" w:sz="0" w:space="0" w:color="auto"/>
        <w:bottom w:val="none" w:sz="0" w:space="0" w:color="auto"/>
        <w:right w:val="none" w:sz="0" w:space="0" w:color="auto"/>
      </w:divBdr>
    </w:div>
    <w:div w:id="617756390">
      <w:bodyDiv w:val="1"/>
      <w:marLeft w:val="0"/>
      <w:marRight w:val="0"/>
      <w:marTop w:val="0"/>
      <w:marBottom w:val="0"/>
      <w:divBdr>
        <w:top w:val="none" w:sz="0" w:space="0" w:color="auto"/>
        <w:left w:val="none" w:sz="0" w:space="0" w:color="auto"/>
        <w:bottom w:val="none" w:sz="0" w:space="0" w:color="auto"/>
        <w:right w:val="none" w:sz="0" w:space="0" w:color="auto"/>
      </w:divBdr>
    </w:div>
    <w:div w:id="621812114">
      <w:bodyDiv w:val="1"/>
      <w:marLeft w:val="0"/>
      <w:marRight w:val="0"/>
      <w:marTop w:val="0"/>
      <w:marBottom w:val="0"/>
      <w:divBdr>
        <w:top w:val="none" w:sz="0" w:space="0" w:color="auto"/>
        <w:left w:val="none" w:sz="0" w:space="0" w:color="auto"/>
        <w:bottom w:val="none" w:sz="0" w:space="0" w:color="auto"/>
        <w:right w:val="none" w:sz="0" w:space="0" w:color="auto"/>
      </w:divBdr>
    </w:div>
    <w:div w:id="626280421">
      <w:bodyDiv w:val="1"/>
      <w:marLeft w:val="0"/>
      <w:marRight w:val="0"/>
      <w:marTop w:val="0"/>
      <w:marBottom w:val="0"/>
      <w:divBdr>
        <w:top w:val="none" w:sz="0" w:space="0" w:color="auto"/>
        <w:left w:val="none" w:sz="0" w:space="0" w:color="auto"/>
        <w:bottom w:val="none" w:sz="0" w:space="0" w:color="auto"/>
        <w:right w:val="none" w:sz="0" w:space="0" w:color="auto"/>
      </w:divBdr>
    </w:div>
    <w:div w:id="639531296">
      <w:bodyDiv w:val="1"/>
      <w:marLeft w:val="0"/>
      <w:marRight w:val="0"/>
      <w:marTop w:val="0"/>
      <w:marBottom w:val="0"/>
      <w:divBdr>
        <w:top w:val="none" w:sz="0" w:space="0" w:color="auto"/>
        <w:left w:val="none" w:sz="0" w:space="0" w:color="auto"/>
        <w:bottom w:val="none" w:sz="0" w:space="0" w:color="auto"/>
        <w:right w:val="none" w:sz="0" w:space="0" w:color="auto"/>
      </w:divBdr>
    </w:div>
    <w:div w:id="654337055">
      <w:bodyDiv w:val="1"/>
      <w:marLeft w:val="0"/>
      <w:marRight w:val="0"/>
      <w:marTop w:val="0"/>
      <w:marBottom w:val="0"/>
      <w:divBdr>
        <w:top w:val="none" w:sz="0" w:space="0" w:color="auto"/>
        <w:left w:val="none" w:sz="0" w:space="0" w:color="auto"/>
        <w:bottom w:val="none" w:sz="0" w:space="0" w:color="auto"/>
        <w:right w:val="none" w:sz="0" w:space="0" w:color="auto"/>
      </w:divBdr>
    </w:div>
    <w:div w:id="660277376">
      <w:bodyDiv w:val="1"/>
      <w:marLeft w:val="0"/>
      <w:marRight w:val="0"/>
      <w:marTop w:val="0"/>
      <w:marBottom w:val="0"/>
      <w:divBdr>
        <w:top w:val="none" w:sz="0" w:space="0" w:color="auto"/>
        <w:left w:val="none" w:sz="0" w:space="0" w:color="auto"/>
        <w:bottom w:val="none" w:sz="0" w:space="0" w:color="auto"/>
        <w:right w:val="none" w:sz="0" w:space="0" w:color="auto"/>
      </w:divBdr>
    </w:div>
    <w:div w:id="671222492">
      <w:bodyDiv w:val="1"/>
      <w:marLeft w:val="0"/>
      <w:marRight w:val="0"/>
      <w:marTop w:val="0"/>
      <w:marBottom w:val="0"/>
      <w:divBdr>
        <w:top w:val="none" w:sz="0" w:space="0" w:color="auto"/>
        <w:left w:val="none" w:sz="0" w:space="0" w:color="auto"/>
        <w:bottom w:val="none" w:sz="0" w:space="0" w:color="auto"/>
        <w:right w:val="none" w:sz="0" w:space="0" w:color="auto"/>
      </w:divBdr>
    </w:div>
    <w:div w:id="673843494">
      <w:bodyDiv w:val="1"/>
      <w:marLeft w:val="0"/>
      <w:marRight w:val="0"/>
      <w:marTop w:val="0"/>
      <w:marBottom w:val="0"/>
      <w:divBdr>
        <w:top w:val="none" w:sz="0" w:space="0" w:color="auto"/>
        <w:left w:val="none" w:sz="0" w:space="0" w:color="auto"/>
        <w:bottom w:val="none" w:sz="0" w:space="0" w:color="auto"/>
        <w:right w:val="none" w:sz="0" w:space="0" w:color="auto"/>
      </w:divBdr>
    </w:div>
    <w:div w:id="674191970">
      <w:bodyDiv w:val="1"/>
      <w:marLeft w:val="0"/>
      <w:marRight w:val="0"/>
      <w:marTop w:val="0"/>
      <w:marBottom w:val="0"/>
      <w:divBdr>
        <w:top w:val="none" w:sz="0" w:space="0" w:color="auto"/>
        <w:left w:val="none" w:sz="0" w:space="0" w:color="auto"/>
        <w:bottom w:val="none" w:sz="0" w:space="0" w:color="auto"/>
        <w:right w:val="none" w:sz="0" w:space="0" w:color="auto"/>
      </w:divBdr>
    </w:div>
    <w:div w:id="693269682">
      <w:bodyDiv w:val="1"/>
      <w:marLeft w:val="0"/>
      <w:marRight w:val="0"/>
      <w:marTop w:val="0"/>
      <w:marBottom w:val="0"/>
      <w:divBdr>
        <w:top w:val="none" w:sz="0" w:space="0" w:color="auto"/>
        <w:left w:val="none" w:sz="0" w:space="0" w:color="auto"/>
        <w:bottom w:val="none" w:sz="0" w:space="0" w:color="auto"/>
        <w:right w:val="none" w:sz="0" w:space="0" w:color="auto"/>
      </w:divBdr>
    </w:div>
    <w:div w:id="701781764">
      <w:bodyDiv w:val="1"/>
      <w:marLeft w:val="0"/>
      <w:marRight w:val="0"/>
      <w:marTop w:val="0"/>
      <w:marBottom w:val="0"/>
      <w:divBdr>
        <w:top w:val="none" w:sz="0" w:space="0" w:color="auto"/>
        <w:left w:val="none" w:sz="0" w:space="0" w:color="auto"/>
        <w:bottom w:val="none" w:sz="0" w:space="0" w:color="auto"/>
        <w:right w:val="none" w:sz="0" w:space="0" w:color="auto"/>
      </w:divBdr>
    </w:div>
    <w:div w:id="705719803">
      <w:bodyDiv w:val="1"/>
      <w:marLeft w:val="0"/>
      <w:marRight w:val="0"/>
      <w:marTop w:val="0"/>
      <w:marBottom w:val="0"/>
      <w:divBdr>
        <w:top w:val="none" w:sz="0" w:space="0" w:color="auto"/>
        <w:left w:val="none" w:sz="0" w:space="0" w:color="auto"/>
        <w:bottom w:val="none" w:sz="0" w:space="0" w:color="auto"/>
        <w:right w:val="none" w:sz="0" w:space="0" w:color="auto"/>
      </w:divBdr>
    </w:div>
    <w:div w:id="713970666">
      <w:bodyDiv w:val="1"/>
      <w:marLeft w:val="0"/>
      <w:marRight w:val="0"/>
      <w:marTop w:val="0"/>
      <w:marBottom w:val="0"/>
      <w:divBdr>
        <w:top w:val="none" w:sz="0" w:space="0" w:color="auto"/>
        <w:left w:val="none" w:sz="0" w:space="0" w:color="auto"/>
        <w:bottom w:val="none" w:sz="0" w:space="0" w:color="auto"/>
        <w:right w:val="none" w:sz="0" w:space="0" w:color="auto"/>
      </w:divBdr>
    </w:div>
    <w:div w:id="731271955">
      <w:bodyDiv w:val="1"/>
      <w:marLeft w:val="0"/>
      <w:marRight w:val="0"/>
      <w:marTop w:val="0"/>
      <w:marBottom w:val="0"/>
      <w:divBdr>
        <w:top w:val="none" w:sz="0" w:space="0" w:color="auto"/>
        <w:left w:val="none" w:sz="0" w:space="0" w:color="auto"/>
        <w:bottom w:val="none" w:sz="0" w:space="0" w:color="auto"/>
        <w:right w:val="none" w:sz="0" w:space="0" w:color="auto"/>
      </w:divBdr>
    </w:div>
    <w:div w:id="732509310">
      <w:bodyDiv w:val="1"/>
      <w:marLeft w:val="0"/>
      <w:marRight w:val="0"/>
      <w:marTop w:val="0"/>
      <w:marBottom w:val="0"/>
      <w:divBdr>
        <w:top w:val="none" w:sz="0" w:space="0" w:color="auto"/>
        <w:left w:val="none" w:sz="0" w:space="0" w:color="auto"/>
        <w:bottom w:val="none" w:sz="0" w:space="0" w:color="auto"/>
        <w:right w:val="none" w:sz="0" w:space="0" w:color="auto"/>
      </w:divBdr>
    </w:div>
    <w:div w:id="736560009">
      <w:bodyDiv w:val="1"/>
      <w:marLeft w:val="0"/>
      <w:marRight w:val="0"/>
      <w:marTop w:val="0"/>
      <w:marBottom w:val="0"/>
      <w:divBdr>
        <w:top w:val="none" w:sz="0" w:space="0" w:color="auto"/>
        <w:left w:val="none" w:sz="0" w:space="0" w:color="auto"/>
        <w:bottom w:val="none" w:sz="0" w:space="0" w:color="auto"/>
        <w:right w:val="none" w:sz="0" w:space="0" w:color="auto"/>
      </w:divBdr>
    </w:div>
    <w:div w:id="744648047">
      <w:bodyDiv w:val="1"/>
      <w:marLeft w:val="0"/>
      <w:marRight w:val="0"/>
      <w:marTop w:val="0"/>
      <w:marBottom w:val="0"/>
      <w:divBdr>
        <w:top w:val="none" w:sz="0" w:space="0" w:color="auto"/>
        <w:left w:val="none" w:sz="0" w:space="0" w:color="auto"/>
        <w:bottom w:val="none" w:sz="0" w:space="0" w:color="auto"/>
        <w:right w:val="none" w:sz="0" w:space="0" w:color="auto"/>
      </w:divBdr>
    </w:div>
    <w:div w:id="759254660">
      <w:bodyDiv w:val="1"/>
      <w:marLeft w:val="0"/>
      <w:marRight w:val="0"/>
      <w:marTop w:val="0"/>
      <w:marBottom w:val="0"/>
      <w:divBdr>
        <w:top w:val="none" w:sz="0" w:space="0" w:color="auto"/>
        <w:left w:val="none" w:sz="0" w:space="0" w:color="auto"/>
        <w:bottom w:val="none" w:sz="0" w:space="0" w:color="auto"/>
        <w:right w:val="none" w:sz="0" w:space="0" w:color="auto"/>
      </w:divBdr>
    </w:div>
    <w:div w:id="765003607">
      <w:bodyDiv w:val="1"/>
      <w:marLeft w:val="0"/>
      <w:marRight w:val="0"/>
      <w:marTop w:val="0"/>
      <w:marBottom w:val="0"/>
      <w:divBdr>
        <w:top w:val="none" w:sz="0" w:space="0" w:color="auto"/>
        <w:left w:val="none" w:sz="0" w:space="0" w:color="auto"/>
        <w:bottom w:val="none" w:sz="0" w:space="0" w:color="auto"/>
        <w:right w:val="none" w:sz="0" w:space="0" w:color="auto"/>
      </w:divBdr>
    </w:div>
    <w:div w:id="765464294">
      <w:bodyDiv w:val="1"/>
      <w:marLeft w:val="0"/>
      <w:marRight w:val="0"/>
      <w:marTop w:val="0"/>
      <w:marBottom w:val="0"/>
      <w:divBdr>
        <w:top w:val="none" w:sz="0" w:space="0" w:color="auto"/>
        <w:left w:val="none" w:sz="0" w:space="0" w:color="auto"/>
        <w:bottom w:val="none" w:sz="0" w:space="0" w:color="auto"/>
        <w:right w:val="none" w:sz="0" w:space="0" w:color="auto"/>
      </w:divBdr>
    </w:div>
    <w:div w:id="781919806">
      <w:bodyDiv w:val="1"/>
      <w:marLeft w:val="0"/>
      <w:marRight w:val="0"/>
      <w:marTop w:val="0"/>
      <w:marBottom w:val="0"/>
      <w:divBdr>
        <w:top w:val="none" w:sz="0" w:space="0" w:color="auto"/>
        <w:left w:val="none" w:sz="0" w:space="0" w:color="auto"/>
        <w:bottom w:val="none" w:sz="0" w:space="0" w:color="auto"/>
        <w:right w:val="none" w:sz="0" w:space="0" w:color="auto"/>
      </w:divBdr>
    </w:div>
    <w:div w:id="781920219">
      <w:bodyDiv w:val="1"/>
      <w:marLeft w:val="0"/>
      <w:marRight w:val="0"/>
      <w:marTop w:val="0"/>
      <w:marBottom w:val="0"/>
      <w:divBdr>
        <w:top w:val="none" w:sz="0" w:space="0" w:color="auto"/>
        <w:left w:val="none" w:sz="0" w:space="0" w:color="auto"/>
        <w:bottom w:val="none" w:sz="0" w:space="0" w:color="auto"/>
        <w:right w:val="none" w:sz="0" w:space="0" w:color="auto"/>
      </w:divBdr>
    </w:div>
    <w:div w:id="785931418">
      <w:bodyDiv w:val="1"/>
      <w:marLeft w:val="0"/>
      <w:marRight w:val="0"/>
      <w:marTop w:val="0"/>
      <w:marBottom w:val="0"/>
      <w:divBdr>
        <w:top w:val="none" w:sz="0" w:space="0" w:color="auto"/>
        <w:left w:val="none" w:sz="0" w:space="0" w:color="auto"/>
        <w:bottom w:val="none" w:sz="0" w:space="0" w:color="auto"/>
        <w:right w:val="none" w:sz="0" w:space="0" w:color="auto"/>
      </w:divBdr>
    </w:div>
    <w:div w:id="787285295">
      <w:bodyDiv w:val="1"/>
      <w:marLeft w:val="0"/>
      <w:marRight w:val="0"/>
      <w:marTop w:val="0"/>
      <w:marBottom w:val="0"/>
      <w:divBdr>
        <w:top w:val="none" w:sz="0" w:space="0" w:color="auto"/>
        <w:left w:val="none" w:sz="0" w:space="0" w:color="auto"/>
        <w:bottom w:val="none" w:sz="0" w:space="0" w:color="auto"/>
        <w:right w:val="none" w:sz="0" w:space="0" w:color="auto"/>
      </w:divBdr>
    </w:div>
    <w:div w:id="788359967">
      <w:bodyDiv w:val="1"/>
      <w:marLeft w:val="0"/>
      <w:marRight w:val="0"/>
      <w:marTop w:val="0"/>
      <w:marBottom w:val="0"/>
      <w:divBdr>
        <w:top w:val="none" w:sz="0" w:space="0" w:color="auto"/>
        <w:left w:val="none" w:sz="0" w:space="0" w:color="auto"/>
        <w:bottom w:val="none" w:sz="0" w:space="0" w:color="auto"/>
        <w:right w:val="none" w:sz="0" w:space="0" w:color="auto"/>
      </w:divBdr>
    </w:div>
    <w:div w:id="788745550">
      <w:bodyDiv w:val="1"/>
      <w:marLeft w:val="0"/>
      <w:marRight w:val="0"/>
      <w:marTop w:val="0"/>
      <w:marBottom w:val="0"/>
      <w:divBdr>
        <w:top w:val="none" w:sz="0" w:space="0" w:color="auto"/>
        <w:left w:val="none" w:sz="0" w:space="0" w:color="auto"/>
        <w:bottom w:val="none" w:sz="0" w:space="0" w:color="auto"/>
        <w:right w:val="none" w:sz="0" w:space="0" w:color="auto"/>
      </w:divBdr>
    </w:div>
    <w:div w:id="792745926">
      <w:bodyDiv w:val="1"/>
      <w:marLeft w:val="0"/>
      <w:marRight w:val="0"/>
      <w:marTop w:val="0"/>
      <w:marBottom w:val="0"/>
      <w:divBdr>
        <w:top w:val="none" w:sz="0" w:space="0" w:color="auto"/>
        <w:left w:val="none" w:sz="0" w:space="0" w:color="auto"/>
        <w:bottom w:val="none" w:sz="0" w:space="0" w:color="auto"/>
        <w:right w:val="none" w:sz="0" w:space="0" w:color="auto"/>
      </w:divBdr>
    </w:div>
    <w:div w:id="803813733">
      <w:bodyDiv w:val="1"/>
      <w:marLeft w:val="0"/>
      <w:marRight w:val="0"/>
      <w:marTop w:val="0"/>
      <w:marBottom w:val="0"/>
      <w:divBdr>
        <w:top w:val="none" w:sz="0" w:space="0" w:color="auto"/>
        <w:left w:val="none" w:sz="0" w:space="0" w:color="auto"/>
        <w:bottom w:val="none" w:sz="0" w:space="0" w:color="auto"/>
        <w:right w:val="none" w:sz="0" w:space="0" w:color="auto"/>
      </w:divBdr>
    </w:div>
    <w:div w:id="808401982">
      <w:bodyDiv w:val="1"/>
      <w:marLeft w:val="0"/>
      <w:marRight w:val="0"/>
      <w:marTop w:val="0"/>
      <w:marBottom w:val="0"/>
      <w:divBdr>
        <w:top w:val="none" w:sz="0" w:space="0" w:color="auto"/>
        <w:left w:val="none" w:sz="0" w:space="0" w:color="auto"/>
        <w:bottom w:val="none" w:sz="0" w:space="0" w:color="auto"/>
        <w:right w:val="none" w:sz="0" w:space="0" w:color="auto"/>
      </w:divBdr>
    </w:div>
    <w:div w:id="808867389">
      <w:bodyDiv w:val="1"/>
      <w:marLeft w:val="0"/>
      <w:marRight w:val="0"/>
      <w:marTop w:val="0"/>
      <w:marBottom w:val="0"/>
      <w:divBdr>
        <w:top w:val="none" w:sz="0" w:space="0" w:color="auto"/>
        <w:left w:val="none" w:sz="0" w:space="0" w:color="auto"/>
        <w:bottom w:val="none" w:sz="0" w:space="0" w:color="auto"/>
        <w:right w:val="none" w:sz="0" w:space="0" w:color="auto"/>
      </w:divBdr>
    </w:div>
    <w:div w:id="810366995">
      <w:bodyDiv w:val="1"/>
      <w:marLeft w:val="0"/>
      <w:marRight w:val="0"/>
      <w:marTop w:val="0"/>
      <w:marBottom w:val="0"/>
      <w:divBdr>
        <w:top w:val="none" w:sz="0" w:space="0" w:color="auto"/>
        <w:left w:val="none" w:sz="0" w:space="0" w:color="auto"/>
        <w:bottom w:val="none" w:sz="0" w:space="0" w:color="auto"/>
        <w:right w:val="none" w:sz="0" w:space="0" w:color="auto"/>
      </w:divBdr>
    </w:div>
    <w:div w:id="815335267">
      <w:bodyDiv w:val="1"/>
      <w:marLeft w:val="0"/>
      <w:marRight w:val="0"/>
      <w:marTop w:val="0"/>
      <w:marBottom w:val="0"/>
      <w:divBdr>
        <w:top w:val="none" w:sz="0" w:space="0" w:color="auto"/>
        <w:left w:val="none" w:sz="0" w:space="0" w:color="auto"/>
        <w:bottom w:val="none" w:sz="0" w:space="0" w:color="auto"/>
        <w:right w:val="none" w:sz="0" w:space="0" w:color="auto"/>
      </w:divBdr>
    </w:div>
    <w:div w:id="820076599">
      <w:bodyDiv w:val="1"/>
      <w:marLeft w:val="0"/>
      <w:marRight w:val="0"/>
      <w:marTop w:val="0"/>
      <w:marBottom w:val="0"/>
      <w:divBdr>
        <w:top w:val="none" w:sz="0" w:space="0" w:color="auto"/>
        <w:left w:val="none" w:sz="0" w:space="0" w:color="auto"/>
        <w:bottom w:val="none" w:sz="0" w:space="0" w:color="auto"/>
        <w:right w:val="none" w:sz="0" w:space="0" w:color="auto"/>
      </w:divBdr>
    </w:div>
    <w:div w:id="825777711">
      <w:bodyDiv w:val="1"/>
      <w:marLeft w:val="0"/>
      <w:marRight w:val="0"/>
      <w:marTop w:val="0"/>
      <w:marBottom w:val="0"/>
      <w:divBdr>
        <w:top w:val="none" w:sz="0" w:space="0" w:color="auto"/>
        <w:left w:val="none" w:sz="0" w:space="0" w:color="auto"/>
        <w:bottom w:val="none" w:sz="0" w:space="0" w:color="auto"/>
        <w:right w:val="none" w:sz="0" w:space="0" w:color="auto"/>
      </w:divBdr>
    </w:div>
    <w:div w:id="827207609">
      <w:bodyDiv w:val="1"/>
      <w:marLeft w:val="0"/>
      <w:marRight w:val="0"/>
      <w:marTop w:val="0"/>
      <w:marBottom w:val="0"/>
      <w:divBdr>
        <w:top w:val="none" w:sz="0" w:space="0" w:color="auto"/>
        <w:left w:val="none" w:sz="0" w:space="0" w:color="auto"/>
        <w:bottom w:val="none" w:sz="0" w:space="0" w:color="auto"/>
        <w:right w:val="none" w:sz="0" w:space="0" w:color="auto"/>
      </w:divBdr>
    </w:div>
    <w:div w:id="833105978">
      <w:bodyDiv w:val="1"/>
      <w:marLeft w:val="0"/>
      <w:marRight w:val="0"/>
      <w:marTop w:val="0"/>
      <w:marBottom w:val="0"/>
      <w:divBdr>
        <w:top w:val="none" w:sz="0" w:space="0" w:color="auto"/>
        <w:left w:val="none" w:sz="0" w:space="0" w:color="auto"/>
        <w:bottom w:val="none" w:sz="0" w:space="0" w:color="auto"/>
        <w:right w:val="none" w:sz="0" w:space="0" w:color="auto"/>
      </w:divBdr>
    </w:div>
    <w:div w:id="838350608">
      <w:bodyDiv w:val="1"/>
      <w:marLeft w:val="0"/>
      <w:marRight w:val="0"/>
      <w:marTop w:val="0"/>
      <w:marBottom w:val="0"/>
      <w:divBdr>
        <w:top w:val="none" w:sz="0" w:space="0" w:color="auto"/>
        <w:left w:val="none" w:sz="0" w:space="0" w:color="auto"/>
        <w:bottom w:val="none" w:sz="0" w:space="0" w:color="auto"/>
        <w:right w:val="none" w:sz="0" w:space="0" w:color="auto"/>
      </w:divBdr>
    </w:div>
    <w:div w:id="839321018">
      <w:bodyDiv w:val="1"/>
      <w:marLeft w:val="0"/>
      <w:marRight w:val="0"/>
      <w:marTop w:val="0"/>
      <w:marBottom w:val="0"/>
      <w:divBdr>
        <w:top w:val="none" w:sz="0" w:space="0" w:color="auto"/>
        <w:left w:val="none" w:sz="0" w:space="0" w:color="auto"/>
        <w:bottom w:val="none" w:sz="0" w:space="0" w:color="auto"/>
        <w:right w:val="none" w:sz="0" w:space="0" w:color="auto"/>
      </w:divBdr>
    </w:div>
    <w:div w:id="855659141">
      <w:bodyDiv w:val="1"/>
      <w:marLeft w:val="0"/>
      <w:marRight w:val="0"/>
      <w:marTop w:val="0"/>
      <w:marBottom w:val="0"/>
      <w:divBdr>
        <w:top w:val="none" w:sz="0" w:space="0" w:color="auto"/>
        <w:left w:val="none" w:sz="0" w:space="0" w:color="auto"/>
        <w:bottom w:val="none" w:sz="0" w:space="0" w:color="auto"/>
        <w:right w:val="none" w:sz="0" w:space="0" w:color="auto"/>
      </w:divBdr>
    </w:div>
    <w:div w:id="857423194">
      <w:bodyDiv w:val="1"/>
      <w:marLeft w:val="0"/>
      <w:marRight w:val="0"/>
      <w:marTop w:val="0"/>
      <w:marBottom w:val="0"/>
      <w:divBdr>
        <w:top w:val="none" w:sz="0" w:space="0" w:color="auto"/>
        <w:left w:val="none" w:sz="0" w:space="0" w:color="auto"/>
        <w:bottom w:val="none" w:sz="0" w:space="0" w:color="auto"/>
        <w:right w:val="none" w:sz="0" w:space="0" w:color="auto"/>
      </w:divBdr>
    </w:div>
    <w:div w:id="860126626">
      <w:bodyDiv w:val="1"/>
      <w:marLeft w:val="0"/>
      <w:marRight w:val="0"/>
      <w:marTop w:val="0"/>
      <w:marBottom w:val="0"/>
      <w:divBdr>
        <w:top w:val="none" w:sz="0" w:space="0" w:color="auto"/>
        <w:left w:val="none" w:sz="0" w:space="0" w:color="auto"/>
        <w:bottom w:val="none" w:sz="0" w:space="0" w:color="auto"/>
        <w:right w:val="none" w:sz="0" w:space="0" w:color="auto"/>
      </w:divBdr>
    </w:div>
    <w:div w:id="864370740">
      <w:bodyDiv w:val="1"/>
      <w:marLeft w:val="0"/>
      <w:marRight w:val="0"/>
      <w:marTop w:val="0"/>
      <w:marBottom w:val="0"/>
      <w:divBdr>
        <w:top w:val="none" w:sz="0" w:space="0" w:color="auto"/>
        <w:left w:val="none" w:sz="0" w:space="0" w:color="auto"/>
        <w:bottom w:val="none" w:sz="0" w:space="0" w:color="auto"/>
        <w:right w:val="none" w:sz="0" w:space="0" w:color="auto"/>
      </w:divBdr>
    </w:div>
    <w:div w:id="866722291">
      <w:bodyDiv w:val="1"/>
      <w:marLeft w:val="0"/>
      <w:marRight w:val="0"/>
      <w:marTop w:val="0"/>
      <w:marBottom w:val="0"/>
      <w:divBdr>
        <w:top w:val="none" w:sz="0" w:space="0" w:color="auto"/>
        <w:left w:val="none" w:sz="0" w:space="0" w:color="auto"/>
        <w:bottom w:val="none" w:sz="0" w:space="0" w:color="auto"/>
        <w:right w:val="none" w:sz="0" w:space="0" w:color="auto"/>
      </w:divBdr>
    </w:div>
    <w:div w:id="873543223">
      <w:bodyDiv w:val="1"/>
      <w:marLeft w:val="0"/>
      <w:marRight w:val="0"/>
      <w:marTop w:val="0"/>
      <w:marBottom w:val="0"/>
      <w:divBdr>
        <w:top w:val="none" w:sz="0" w:space="0" w:color="auto"/>
        <w:left w:val="none" w:sz="0" w:space="0" w:color="auto"/>
        <w:bottom w:val="none" w:sz="0" w:space="0" w:color="auto"/>
        <w:right w:val="none" w:sz="0" w:space="0" w:color="auto"/>
      </w:divBdr>
    </w:div>
    <w:div w:id="875776622">
      <w:bodyDiv w:val="1"/>
      <w:marLeft w:val="0"/>
      <w:marRight w:val="0"/>
      <w:marTop w:val="0"/>
      <w:marBottom w:val="0"/>
      <w:divBdr>
        <w:top w:val="none" w:sz="0" w:space="0" w:color="auto"/>
        <w:left w:val="none" w:sz="0" w:space="0" w:color="auto"/>
        <w:bottom w:val="none" w:sz="0" w:space="0" w:color="auto"/>
        <w:right w:val="none" w:sz="0" w:space="0" w:color="auto"/>
      </w:divBdr>
    </w:div>
    <w:div w:id="880943275">
      <w:bodyDiv w:val="1"/>
      <w:marLeft w:val="0"/>
      <w:marRight w:val="0"/>
      <w:marTop w:val="0"/>
      <w:marBottom w:val="0"/>
      <w:divBdr>
        <w:top w:val="none" w:sz="0" w:space="0" w:color="auto"/>
        <w:left w:val="none" w:sz="0" w:space="0" w:color="auto"/>
        <w:bottom w:val="none" w:sz="0" w:space="0" w:color="auto"/>
        <w:right w:val="none" w:sz="0" w:space="0" w:color="auto"/>
      </w:divBdr>
    </w:div>
    <w:div w:id="882787080">
      <w:bodyDiv w:val="1"/>
      <w:marLeft w:val="0"/>
      <w:marRight w:val="0"/>
      <w:marTop w:val="0"/>
      <w:marBottom w:val="0"/>
      <w:divBdr>
        <w:top w:val="none" w:sz="0" w:space="0" w:color="auto"/>
        <w:left w:val="none" w:sz="0" w:space="0" w:color="auto"/>
        <w:bottom w:val="none" w:sz="0" w:space="0" w:color="auto"/>
        <w:right w:val="none" w:sz="0" w:space="0" w:color="auto"/>
      </w:divBdr>
    </w:div>
    <w:div w:id="887490612">
      <w:bodyDiv w:val="1"/>
      <w:marLeft w:val="0"/>
      <w:marRight w:val="0"/>
      <w:marTop w:val="0"/>
      <w:marBottom w:val="0"/>
      <w:divBdr>
        <w:top w:val="none" w:sz="0" w:space="0" w:color="auto"/>
        <w:left w:val="none" w:sz="0" w:space="0" w:color="auto"/>
        <w:bottom w:val="none" w:sz="0" w:space="0" w:color="auto"/>
        <w:right w:val="none" w:sz="0" w:space="0" w:color="auto"/>
      </w:divBdr>
    </w:div>
    <w:div w:id="893857037">
      <w:bodyDiv w:val="1"/>
      <w:marLeft w:val="0"/>
      <w:marRight w:val="0"/>
      <w:marTop w:val="0"/>
      <w:marBottom w:val="0"/>
      <w:divBdr>
        <w:top w:val="none" w:sz="0" w:space="0" w:color="auto"/>
        <w:left w:val="none" w:sz="0" w:space="0" w:color="auto"/>
        <w:bottom w:val="none" w:sz="0" w:space="0" w:color="auto"/>
        <w:right w:val="none" w:sz="0" w:space="0" w:color="auto"/>
      </w:divBdr>
    </w:div>
    <w:div w:id="895092466">
      <w:bodyDiv w:val="1"/>
      <w:marLeft w:val="0"/>
      <w:marRight w:val="0"/>
      <w:marTop w:val="0"/>
      <w:marBottom w:val="0"/>
      <w:divBdr>
        <w:top w:val="none" w:sz="0" w:space="0" w:color="auto"/>
        <w:left w:val="none" w:sz="0" w:space="0" w:color="auto"/>
        <w:bottom w:val="none" w:sz="0" w:space="0" w:color="auto"/>
        <w:right w:val="none" w:sz="0" w:space="0" w:color="auto"/>
      </w:divBdr>
    </w:div>
    <w:div w:id="896474746">
      <w:bodyDiv w:val="1"/>
      <w:marLeft w:val="0"/>
      <w:marRight w:val="0"/>
      <w:marTop w:val="0"/>
      <w:marBottom w:val="0"/>
      <w:divBdr>
        <w:top w:val="none" w:sz="0" w:space="0" w:color="auto"/>
        <w:left w:val="none" w:sz="0" w:space="0" w:color="auto"/>
        <w:bottom w:val="none" w:sz="0" w:space="0" w:color="auto"/>
        <w:right w:val="none" w:sz="0" w:space="0" w:color="auto"/>
      </w:divBdr>
    </w:div>
    <w:div w:id="904101251">
      <w:bodyDiv w:val="1"/>
      <w:marLeft w:val="0"/>
      <w:marRight w:val="0"/>
      <w:marTop w:val="0"/>
      <w:marBottom w:val="0"/>
      <w:divBdr>
        <w:top w:val="none" w:sz="0" w:space="0" w:color="auto"/>
        <w:left w:val="none" w:sz="0" w:space="0" w:color="auto"/>
        <w:bottom w:val="none" w:sz="0" w:space="0" w:color="auto"/>
        <w:right w:val="none" w:sz="0" w:space="0" w:color="auto"/>
      </w:divBdr>
    </w:div>
    <w:div w:id="906720190">
      <w:bodyDiv w:val="1"/>
      <w:marLeft w:val="0"/>
      <w:marRight w:val="0"/>
      <w:marTop w:val="0"/>
      <w:marBottom w:val="0"/>
      <w:divBdr>
        <w:top w:val="none" w:sz="0" w:space="0" w:color="auto"/>
        <w:left w:val="none" w:sz="0" w:space="0" w:color="auto"/>
        <w:bottom w:val="none" w:sz="0" w:space="0" w:color="auto"/>
        <w:right w:val="none" w:sz="0" w:space="0" w:color="auto"/>
      </w:divBdr>
    </w:div>
    <w:div w:id="914049444">
      <w:bodyDiv w:val="1"/>
      <w:marLeft w:val="0"/>
      <w:marRight w:val="0"/>
      <w:marTop w:val="0"/>
      <w:marBottom w:val="0"/>
      <w:divBdr>
        <w:top w:val="none" w:sz="0" w:space="0" w:color="auto"/>
        <w:left w:val="none" w:sz="0" w:space="0" w:color="auto"/>
        <w:bottom w:val="none" w:sz="0" w:space="0" w:color="auto"/>
        <w:right w:val="none" w:sz="0" w:space="0" w:color="auto"/>
      </w:divBdr>
    </w:div>
    <w:div w:id="914630950">
      <w:bodyDiv w:val="1"/>
      <w:marLeft w:val="0"/>
      <w:marRight w:val="0"/>
      <w:marTop w:val="0"/>
      <w:marBottom w:val="0"/>
      <w:divBdr>
        <w:top w:val="none" w:sz="0" w:space="0" w:color="auto"/>
        <w:left w:val="none" w:sz="0" w:space="0" w:color="auto"/>
        <w:bottom w:val="none" w:sz="0" w:space="0" w:color="auto"/>
        <w:right w:val="none" w:sz="0" w:space="0" w:color="auto"/>
      </w:divBdr>
    </w:div>
    <w:div w:id="919867905">
      <w:bodyDiv w:val="1"/>
      <w:marLeft w:val="0"/>
      <w:marRight w:val="0"/>
      <w:marTop w:val="0"/>
      <w:marBottom w:val="0"/>
      <w:divBdr>
        <w:top w:val="none" w:sz="0" w:space="0" w:color="auto"/>
        <w:left w:val="none" w:sz="0" w:space="0" w:color="auto"/>
        <w:bottom w:val="none" w:sz="0" w:space="0" w:color="auto"/>
        <w:right w:val="none" w:sz="0" w:space="0" w:color="auto"/>
      </w:divBdr>
    </w:div>
    <w:div w:id="929771904">
      <w:bodyDiv w:val="1"/>
      <w:marLeft w:val="0"/>
      <w:marRight w:val="0"/>
      <w:marTop w:val="0"/>
      <w:marBottom w:val="0"/>
      <w:divBdr>
        <w:top w:val="none" w:sz="0" w:space="0" w:color="auto"/>
        <w:left w:val="none" w:sz="0" w:space="0" w:color="auto"/>
        <w:bottom w:val="none" w:sz="0" w:space="0" w:color="auto"/>
        <w:right w:val="none" w:sz="0" w:space="0" w:color="auto"/>
      </w:divBdr>
    </w:div>
    <w:div w:id="955217499">
      <w:bodyDiv w:val="1"/>
      <w:marLeft w:val="0"/>
      <w:marRight w:val="0"/>
      <w:marTop w:val="0"/>
      <w:marBottom w:val="0"/>
      <w:divBdr>
        <w:top w:val="none" w:sz="0" w:space="0" w:color="auto"/>
        <w:left w:val="none" w:sz="0" w:space="0" w:color="auto"/>
        <w:bottom w:val="none" w:sz="0" w:space="0" w:color="auto"/>
        <w:right w:val="none" w:sz="0" w:space="0" w:color="auto"/>
      </w:divBdr>
    </w:div>
    <w:div w:id="959798803">
      <w:bodyDiv w:val="1"/>
      <w:marLeft w:val="0"/>
      <w:marRight w:val="0"/>
      <w:marTop w:val="0"/>
      <w:marBottom w:val="0"/>
      <w:divBdr>
        <w:top w:val="none" w:sz="0" w:space="0" w:color="auto"/>
        <w:left w:val="none" w:sz="0" w:space="0" w:color="auto"/>
        <w:bottom w:val="none" w:sz="0" w:space="0" w:color="auto"/>
        <w:right w:val="none" w:sz="0" w:space="0" w:color="auto"/>
      </w:divBdr>
    </w:div>
    <w:div w:id="960499967">
      <w:bodyDiv w:val="1"/>
      <w:marLeft w:val="0"/>
      <w:marRight w:val="0"/>
      <w:marTop w:val="0"/>
      <w:marBottom w:val="0"/>
      <w:divBdr>
        <w:top w:val="none" w:sz="0" w:space="0" w:color="auto"/>
        <w:left w:val="none" w:sz="0" w:space="0" w:color="auto"/>
        <w:bottom w:val="none" w:sz="0" w:space="0" w:color="auto"/>
        <w:right w:val="none" w:sz="0" w:space="0" w:color="auto"/>
      </w:divBdr>
    </w:div>
    <w:div w:id="981349204">
      <w:bodyDiv w:val="1"/>
      <w:marLeft w:val="0"/>
      <w:marRight w:val="0"/>
      <w:marTop w:val="0"/>
      <w:marBottom w:val="0"/>
      <w:divBdr>
        <w:top w:val="none" w:sz="0" w:space="0" w:color="auto"/>
        <w:left w:val="none" w:sz="0" w:space="0" w:color="auto"/>
        <w:bottom w:val="none" w:sz="0" w:space="0" w:color="auto"/>
        <w:right w:val="none" w:sz="0" w:space="0" w:color="auto"/>
      </w:divBdr>
    </w:div>
    <w:div w:id="983312473">
      <w:bodyDiv w:val="1"/>
      <w:marLeft w:val="0"/>
      <w:marRight w:val="0"/>
      <w:marTop w:val="0"/>
      <w:marBottom w:val="0"/>
      <w:divBdr>
        <w:top w:val="none" w:sz="0" w:space="0" w:color="auto"/>
        <w:left w:val="none" w:sz="0" w:space="0" w:color="auto"/>
        <w:bottom w:val="none" w:sz="0" w:space="0" w:color="auto"/>
        <w:right w:val="none" w:sz="0" w:space="0" w:color="auto"/>
      </w:divBdr>
    </w:div>
    <w:div w:id="1009911718">
      <w:bodyDiv w:val="1"/>
      <w:marLeft w:val="0"/>
      <w:marRight w:val="0"/>
      <w:marTop w:val="0"/>
      <w:marBottom w:val="0"/>
      <w:divBdr>
        <w:top w:val="none" w:sz="0" w:space="0" w:color="auto"/>
        <w:left w:val="none" w:sz="0" w:space="0" w:color="auto"/>
        <w:bottom w:val="none" w:sz="0" w:space="0" w:color="auto"/>
        <w:right w:val="none" w:sz="0" w:space="0" w:color="auto"/>
      </w:divBdr>
    </w:div>
    <w:div w:id="1012688713">
      <w:bodyDiv w:val="1"/>
      <w:marLeft w:val="0"/>
      <w:marRight w:val="0"/>
      <w:marTop w:val="0"/>
      <w:marBottom w:val="0"/>
      <w:divBdr>
        <w:top w:val="none" w:sz="0" w:space="0" w:color="auto"/>
        <w:left w:val="none" w:sz="0" w:space="0" w:color="auto"/>
        <w:bottom w:val="none" w:sz="0" w:space="0" w:color="auto"/>
        <w:right w:val="none" w:sz="0" w:space="0" w:color="auto"/>
      </w:divBdr>
    </w:div>
    <w:div w:id="1016034841">
      <w:bodyDiv w:val="1"/>
      <w:marLeft w:val="0"/>
      <w:marRight w:val="0"/>
      <w:marTop w:val="0"/>
      <w:marBottom w:val="0"/>
      <w:divBdr>
        <w:top w:val="none" w:sz="0" w:space="0" w:color="auto"/>
        <w:left w:val="none" w:sz="0" w:space="0" w:color="auto"/>
        <w:bottom w:val="none" w:sz="0" w:space="0" w:color="auto"/>
        <w:right w:val="none" w:sz="0" w:space="0" w:color="auto"/>
      </w:divBdr>
    </w:div>
    <w:div w:id="1020280429">
      <w:bodyDiv w:val="1"/>
      <w:marLeft w:val="0"/>
      <w:marRight w:val="0"/>
      <w:marTop w:val="0"/>
      <w:marBottom w:val="0"/>
      <w:divBdr>
        <w:top w:val="none" w:sz="0" w:space="0" w:color="auto"/>
        <w:left w:val="none" w:sz="0" w:space="0" w:color="auto"/>
        <w:bottom w:val="none" w:sz="0" w:space="0" w:color="auto"/>
        <w:right w:val="none" w:sz="0" w:space="0" w:color="auto"/>
      </w:divBdr>
    </w:div>
    <w:div w:id="1020737902">
      <w:bodyDiv w:val="1"/>
      <w:marLeft w:val="0"/>
      <w:marRight w:val="0"/>
      <w:marTop w:val="0"/>
      <w:marBottom w:val="0"/>
      <w:divBdr>
        <w:top w:val="none" w:sz="0" w:space="0" w:color="auto"/>
        <w:left w:val="none" w:sz="0" w:space="0" w:color="auto"/>
        <w:bottom w:val="none" w:sz="0" w:space="0" w:color="auto"/>
        <w:right w:val="none" w:sz="0" w:space="0" w:color="auto"/>
      </w:divBdr>
    </w:div>
    <w:div w:id="1029792116">
      <w:bodyDiv w:val="1"/>
      <w:marLeft w:val="0"/>
      <w:marRight w:val="0"/>
      <w:marTop w:val="0"/>
      <w:marBottom w:val="0"/>
      <w:divBdr>
        <w:top w:val="none" w:sz="0" w:space="0" w:color="auto"/>
        <w:left w:val="none" w:sz="0" w:space="0" w:color="auto"/>
        <w:bottom w:val="none" w:sz="0" w:space="0" w:color="auto"/>
        <w:right w:val="none" w:sz="0" w:space="0" w:color="auto"/>
      </w:divBdr>
    </w:div>
    <w:div w:id="1041321405">
      <w:bodyDiv w:val="1"/>
      <w:marLeft w:val="0"/>
      <w:marRight w:val="0"/>
      <w:marTop w:val="0"/>
      <w:marBottom w:val="0"/>
      <w:divBdr>
        <w:top w:val="none" w:sz="0" w:space="0" w:color="auto"/>
        <w:left w:val="none" w:sz="0" w:space="0" w:color="auto"/>
        <w:bottom w:val="none" w:sz="0" w:space="0" w:color="auto"/>
        <w:right w:val="none" w:sz="0" w:space="0" w:color="auto"/>
      </w:divBdr>
    </w:div>
    <w:div w:id="1042049591">
      <w:bodyDiv w:val="1"/>
      <w:marLeft w:val="0"/>
      <w:marRight w:val="0"/>
      <w:marTop w:val="0"/>
      <w:marBottom w:val="0"/>
      <w:divBdr>
        <w:top w:val="none" w:sz="0" w:space="0" w:color="auto"/>
        <w:left w:val="none" w:sz="0" w:space="0" w:color="auto"/>
        <w:bottom w:val="none" w:sz="0" w:space="0" w:color="auto"/>
        <w:right w:val="none" w:sz="0" w:space="0" w:color="auto"/>
      </w:divBdr>
    </w:div>
    <w:div w:id="1043558396">
      <w:bodyDiv w:val="1"/>
      <w:marLeft w:val="0"/>
      <w:marRight w:val="0"/>
      <w:marTop w:val="0"/>
      <w:marBottom w:val="0"/>
      <w:divBdr>
        <w:top w:val="none" w:sz="0" w:space="0" w:color="auto"/>
        <w:left w:val="none" w:sz="0" w:space="0" w:color="auto"/>
        <w:bottom w:val="none" w:sz="0" w:space="0" w:color="auto"/>
        <w:right w:val="none" w:sz="0" w:space="0" w:color="auto"/>
      </w:divBdr>
    </w:div>
    <w:div w:id="1043673169">
      <w:bodyDiv w:val="1"/>
      <w:marLeft w:val="0"/>
      <w:marRight w:val="0"/>
      <w:marTop w:val="0"/>
      <w:marBottom w:val="0"/>
      <w:divBdr>
        <w:top w:val="none" w:sz="0" w:space="0" w:color="auto"/>
        <w:left w:val="none" w:sz="0" w:space="0" w:color="auto"/>
        <w:bottom w:val="none" w:sz="0" w:space="0" w:color="auto"/>
        <w:right w:val="none" w:sz="0" w:space="0" w:color="auto"/>
      </w:divBdr>
    </w:div>
    <w:div w:id="1045450768">
      <w:bodyDiv w:val="1"/>
      <w:marLeft w:val="0"/>
      <w:marRight w:val="0"/>
      <w:marTop w:val="0"/>
      <w:marBottom w:val="0"/>
      <w:divBdr>
        <w:top w:val="none" w:sz="0" w:space="0" w:color="auto"/>
        <w:left w:val="none" w:sz="0" w:space="0" w:color="auto"/>
        <w:bottom w:val="none" w:sz="0" w:space="0" w:color="auto"/>
        <w:right w:val="none" w:sz="0" w:space="0" w:color="auto"/>
      </w:divBdr>
    </w:div>
    <w:div w:id="1054935915">
      <w:bodyDiv w:val="1"/>
      <w:marLeft w:val="0"/>
      <w:marRight w:val="0"/>
      <w:marTop w:val="0"/>
      <w:marBottom w:val="0"/>
      <w:divBdr>
        <w:top w:val="none" w:sz="0" w:space="0" w:color="auto"/>
        <w:left w:val="none" w:sz="0" w:space="0" w:color="auto"/>
        <w:bottom w:val="none" w:sz="0" w:space="0" w:color="auto"/>
        <w:right w:val="none" w:sz="0" w:space="0" w:color="auto"/>
      </w:divBdr>
    </w:div>
    <w:div w:id="1059591287">
      <w:bodyDiv w:val="1"/>
      <w:marLeft w:val="0"/>
      <w:marRight w:val="0"/>
      <w:marTop w:val="0"/>
      <w:marBottom w:val="0"/>
      <w:divBdr>
        <w:top w:val="none" w:sz="0" w:space="0" w:color="auto"/>
        <w:left w:val="none" w:sz="0" w:space="0" w:color="auto"/>
        <w:bottom w:val="none" w:sz="0" w:space="0" w:color="auto"/>
        <w:right w:val="none" w:sz="0" w:space="0" w:color="auto"/>
      </w:divBdr>
    </w:div>
    <w:div w:id="1064567059">
      <w:bodyDiv w:val="1"/>
      <w:marLeft w:val="0"/>
      <w:marRight w:val="0"/>
      <w:marTop w:val="0"/>
      <w:marBottom w:val="0"/>
      <w:divBdr>
        <w:top w:val="none" w:sz="0" w:space="0" w:color="auto"/>
        <w:left w:val="none" w:sz="0" w:space="0" w:color="auto"/>
        <w:bottom w:val="none" w:sz="0" w:space="0" w:color="auto"/>
        <w:right w:val="none" w:sz="0" w:space="0" w:color="auto"/>
      </w:divBdr>
    </w:div>
    <w:div w:id="1065225664">
      <w:bodyDiv w:val="1"/>
      <w:marLeft w:val="0"/>
      <w:marRight w:val="0"/>
      <w:marTop w:val="0"/>
      <w:marBottom w:val="0"/>
      <w:divBdr>
        <w:top w:val="none" w:sz="0" w:space="0" w:color="auto"/>
        <w:left w:val="none" w:sz="0" w:space="0" w:color="auto"/>
        <w:bottom w:val="none" w:sz="0" w:space="0" w:color="auto"/>
        <w:right w:val="none" w:sz="0" w:space="0" w:color="auto"/>
      </w:divBdr>
    </w:div>
    <w:div w:id="1067534623">
      <w:bodyDiv w:val="1"/>
      <w:marLeft w:val="0"/>
      <w:marRight w:val="0"/>
      <w:marTop w:val="0"/>
      <w:marBottom w:val="0"/>
      <w:divBdr>
        <w:top w:val="none" w:sz="0" w:space="0" w:color="auto"/>
        <w:left w:val="none" w:sz="0" w:space="0" w:color="auto"/>
        <w:bottom w:val="none" w:sz="0" w:space="0" w:color="auto"/>
        <w:right w:val="none" w:sz="0" w:space="0" w:color="auto"/>
      </w:divBdr>
    </w:div>
    <w:div w:id="1068844121">
      <w:bodyDiv w:val="1"/>
      <w:marLeft w:val="0"/>
      <w:marRight w:val="0"/>
      <w:marTop w:val="0"/>
      <w:marBottom w:val="0"/>
      <w:divBdr>
        <w:top w:val="none" w:sz="0" w:space="0" w:color="auto"/>
        <w:left w:val="none" w:sz="0" w:space="0" w:color="auto"/>
        <w:bottom w:val="none" w:sz="0" w:space="0" w:color="auto"/>
        <w:right w:val="none" w:sz="0" w:space="0" w:color="auto"/>
      </w:divBdr>
    </w:div>
    <w:div w:id="1072317212">
      <w:bodyDiv w:val="1"/>
      <w:marLeft w:val="0"/>
      <w:marRight w:val="0"/>
      <w:marTop w:val="0"/>
      <w:marBottom w:val="0"/>
      <w:divBdr>
        <w:top w:val="none" w:sz="0" w:space="0" w:color="auto"/>
        <w:left w:val="none" w:sz="0" w:space="0" w:color="auto"/>
        <w:bottom w:val="none" w:sz="0" w:space="0" w:color="auto"/>
        <w:right w:val="none" w:sz="0" w:space="0" w:color="auto"/>
      </w:divBdr>
    </w:div>
    <w:div w:id="1074545018">
      <w:bodyDiv w:val="1"/>
      <w:marLeft w:val="0"/>
      <w:marRight w:val="0"/>
      <w:marTop w:val="0"/>
      <w:marBottom w:val="0"/>
      <w:divBdr>
        <w:top w:val="none" w:sz="0" w:space="0" w:color="auto"/>
        <w:left w:val="none" w:sz="0" w:space="0" w:color="auto"/>
        <w:bottom w:val="none" w:sz="0" w:space="0" w:color="auto"/>
        <w:right w:val="none" w:sz="0" w:space="0" w:color="auto"/>
      </w:divBdr>
    </w:div>
    <w:div w:id="1082025006">
      <w:bodyDiv w:val="1"/>
      <w:marLeft w:val="0"/>
      <w:marRight w:val="0"/>
      <w:marTop w:val="0"/>
      <w:marBottom w:val="0"/>
      <w:divBdr>
        <w:top w:val="none" w:sz="0" w:space="0" w:color="auto"/>
        <w:left w:val="none" w:sz="0" w:space="0" w:color="auto"/>
        <w:bottom w:val="none" w:sz="0" w:space="0" w:color="auto"/>
        <w:right w:val="none" w:sz="0" w:space="0" w:color="auto"/>
      </w:divBdr>
    </w:div>
    <w:div w:id="1084034288">
      <w:bodyDiv w:val="1"/>
      <w:marLeft w:val="0"/>
      <w:marRight w:val="0"/>
      <w:marTop w:val="0"/>
      <w:marBottom w:val="0"/>
      <w:divBdr>
        <w:top w:val="none" w:sz="0" w:space="0" w:color="auto"/>
        <w:left w:val="none" w:sz="0" w:space="0" w:color="auto"/>
        <w:bottom w:val="none" w:sz="0" w:space="0" w:color="auto"/>
        <w:right w:val="none" w:sz="0" w:space="0" w:color="auto"/>
      </w:divBdr>
    </w:div>
    <w:div w:id="1087001917">
      <w:bodyDiv w:val="1"/>
      <w:marLeft w:val="0"/>
      <w:marRight w:val="0"/>
      <w:marTop w:val="0"/>
      <w:marBottom w:val="0"/>
      <w:divBdr>
        <w:top w:val="none" w:sz="0" w:space="0" w:color="auto"/>
        <w:left w:val="none" w:sz="0" w:space="0" w:color="auto"/>
        <w:bottom w:val="none" w:sz="0" w:space="0" w:color="auto"/>
        <w:right w:val="none" w:sz="0" w:space="0" w:color="auto"/>
      </w:divBdr>
    </w:div>
    <w:div w:id="1096632306">
      <w:bodyDiv w:val="1"/>
      <w:marLeft w:val="0"/>
      <w:marRight w:val="0"/>
      <w:marTop w:val="0"/>
      <w:marBottom w:val="0"/>
      <w:divBdr>
        <w:top w:val="none" w:sz="0" w:space="0" w:color="auto"/>
        <w:left w:val="none" w:sz="0" w:space="0" w:color="auto"/>
        <w:bottom w:val="none" w:sz="0" w:space="0" w:color="auto"/>
        <w:right w:val="none" w:sz="0" w:space="0" w:color="auto"/>
      </w:divBdr>
    </w:div>
    <w:div w:id="1099986641">
      <w:bodyDiv w:val="1"/>
      <w:marLeft w:val="0"/>
      <w:marRight w:val="0"/>
      <w:marTop w:val="0"/>
      <w:marBottom w:val="0"/>
      <w:divBdr>
        <w:top w:val="none" w:sz="0" w:space="0" w:color="auto"/>
        <w:left w:val="none" w:sz="0" w:space="0" w:color="auto"/>
        <w:bottom w:val="none" w:sz="0" w:space="0" w:color="auto"/>
        <w:right w:val="none" w:sz="0" w:space="0" w:color="auto"/>
      </w:divBdr>
    </w:div>
    <w:div w:id="1114207038">
      <w:bodyDiv w:val="1"/>
      <w:marLeft w:val="0"/>
      <w:marRight w:val="0"/>
      <w:marTop w:val="0"/>
      <w:marBottom w:val="0"/>
      <w:divBdr>
        <w:top w:val="none" w:sz="0" w:space="0" w:color="auto"/>
        <w:left w:val="none" w:sz="0" w:space="0" w:color="auto"/>
        <w:bottom w:val="none" w:sz="0" w:space="0" w:color="auto"/>
        <w:right w:val="none" w:sz="0" w:space="0" w:color="auto"/>
      </w:divBdr>
    </w:div>
    <w:div w:id="1132140706">
      <w:bodyDiv w:val="1"/>
      <w:marLeft w:val="0"/>
      <w:marRight w:val="0"/>
      <w:marTop w:val="0"/>
      <w:marBottom w:val="0"/>
      <w:divBdr>
        <w:top w:val="none" w:sz="0" w:space="0" w:color="auto"/>
        <w:left w:val="none" w:sz="0" w:space="0" w:color="auto"/>
        <w:bottom w:val="none" w:sz="0" w:space="0" w:color="auto"/>
        <w:right w:val="none" w:sz="0" w:space="0" w:color="auto"/>
      </w:divBdr>
    </w:div>
    <w:div w:id="1133448232">
      <w:bodyDiv w:val="1"/>
      <w:marLeft w:val="0"/>
      <w:marRight w:val="0"/>
      <w:marTop w:val="0"/>
      <w:marBottom w:val="0"/>
      <w:divBdr>
        <w:top w:val="none" w:sz="0" w:space="0" w:color="auto"/>
        <w:left w:val="none" w:sz="0" w:space="0" w:color="auto"/>
        <w:bottom w:val="none" w:sz="0" w:space="0" w:color="auto"/>
        <w:right w:val="none" w:sz="0" w:space="0" w:color="auto"/>
      </w:divBdr>
    </w:div>
    <w:div w:id="1135680983">
      <w:bodyDiv w:val="1"/>
      <w:marLeft w:val="0"/>
      <w:marRight w:val="0"/>
      <w:marTop w:val="0"/>
      <w:marBottom w:val="0"/>
      <w:divBdr>
        <w:top w:val="none" w:sz="0" w:space="0" w:color="auto"/>
        <w:left w:val="none" w:sz="0" w:space="0" w:color="auto"/>
        <w:bottom w:val="none" w:sz="0" w:space="0" w:color="auto"/>
        <w:right w:val="none" w:sz="0" w:space="0" w:color="auto"/>
      </w:divBdr>
    </w:div>
    <w:div w:id="1136530237">
      <w:bodyDiv w:val="1"/>
      <w:marLeft w:val="0"/>
      <w:marRight w:val="0"/>
      <w:marTop w:val="0"/>
      <w:marBottom w:val="0"/>
      <w:divBdr>
        <w:top w:val="none" w:sz="0" w:space="0" w:color="auto"/>
        <w:left w:val="none" w:sz="0" w:space="0" w:color="auto"/>
        <w:bottom w:val="none" w:sz="0" w:space="0" w:color="auto"/>
        <w:right w:val="none" w:sz="0" w:space="0" w:color="auto"/>
      </w:divBdr>
    </w:div>
    <w:div w:id="1137069660">
      <w:bodyDiv w:val="1"/>
      <w:marLeft w:val="0"/>
      <w:marRight w:val="0"/>
      <w:marTop w:val="0"/>
      <w:marBottom w:val="0"/>
      <w:divBdr>
        <w:top w:val="none" w:sz="0" w:space="0" w:color="auto"/>
        <w:left w:val="none" w:sz="0" w:space="0" w:color="auto"/>
        <w:bottom w:val="none" w:sz="0" w:space="0" w:color="auto"/>
        <w:right w:val="none" w:sz="0" w:space="0" w:color="auto"/>
      </w:divBdr>
    </w:div>
    <w:div w:id="1146125084">
      <w:bodyDiv w:val="1"/>
      <w:marLeft w:val="0"/>
      <w:marRight w:val="0"/>
      <w:marTop w:val="0"/>
      <w:marBottom w:val="0"/>
      <w:divBdr>
        <w:top w:val="none" w:sz="0" w:space="0" w:color="auto"/>
        <w:left w:val="none" w:sz="0" w:space="0" w:color="auto"/>
        <w:bottom w:val="none" w:sz="0" w:space="0" w:color="auto"/>
        <w:right w:val="none" w:sz="0" w:space="0" w:color="auto"/>
      </w:divBdr>
    </w:div>
    <w:div w:id="1148522145">
      <w:bodyDiv w:val="1"/>
      <w:marLeft w:val="0"/>
      <w:marRight w:val="0"/>
      <w:marTop w:val="0"/>
      <w:marBottom w:val="0"/>
      <w:divBdr>
        <w:top w:val="none" w:sz="0" w:space="0" w:color="auto"/>
        <w:left w:val="none" w:sz="0" w:space="0" w:color="auto"/>
        <w:bottom w:val="none" w:sz="0" w:space="0" w:color="auto"/>
        <w:right w:val="none" w:sz="0" w:space="0" w:color="auto"/>
      </w:divBdr>
    </w:div>
    <w:div w:id="1148979694">
      <w:bodyDiv w:val="1"/>
      <w:marLeft w:val="0"/>
      <w:marRight w:val="0"/>
      <w:marTop w:val="0"/>
      <w:marBottom w:val="0"/>
      <w:divBdr>
        <w:top w:val="none" w:sz="0" w:space="0" w:color="auto"/>
        <w:left w:val="none" w:sz="0" w:space="0" w:color="auto"/>
        <w:bottom w:val="none" w:sz="0" w:space="0" w:color="auto"/>
        <w:right w:val="none" w:sz="0" w:space="0" w:color="auto"/>
      </w:divBdr>
    </w:div>
    <w:div w:id="1158808663">
      <w:bodyDiv w:val="1"/>
      <w:marLeft w:val="0"/>
      <w:marRight w:val="0"/>
      <w:marTop w:val="0"/>
      <w:marBottom w:val="0"/>
      <w:divBdr>
        <w:top w:val="none" w:sz="0" w:space="0" w:color="auto"/>
        <w:left w:val="none" w:sz="0" w:space="0" w:color="auto"/>
        <w:bottom w:val="none" w:sz="0" w:space="0" w:color="auto"/>
        <w:right w:val="none" w:sz="0" w:space="0" w:color="auto"/>
      </w:divBdr>
    </w:div>
    <w:div w:id="1159078770">
      <w:bodyDiv w:val="1"/>
      <w:marLeft w:val="0"/>
      <w:marRight w:val="0"/>
      <w:marTop w:val="0"/>
      <w:marBottom w:val="0"/>
      <w:divBdr>
        <w:top w:val="none" w:sz="0" w:space="0" w:color="auto"/>
        <w:left w:val="none" w:sz="0" w:space="0" w:color="auto"/>
        <w:bottom w:val="none" w:sz="0" w:space="0" w:color="auto"/>
        <w:right w:val="none" w:sz="0" w:space="0" w:color="auto"/>
      </w:divBdr>
    </w:div>
    <w:div w:id="1159540220">
      <w:bodyDiv w:val="1"/>
      <w:marLeft w:val="0"/>
      <w:marRight w:val="0"/>
      <w:marTop w:val="0"/>
      <w:marBottom w:val="0"/>
      <w:divBdr>
        <w:top w:val="none" w:sz="0" w:space="0" w:color="auto"/>
        <w:left w:val="none" w:sz="0" w:space="0" w:color="auto"/>
        <w:bottom w:val="none" w:sz="0" w:space="0" w:color="auto"/>
        <w:right w:val="none" w:sz="0" w:space="0" w:color="auto"/>
      </w:divBdr>
    </w:div>
    <w:div w:id="1162549626">
      <w:bodyDiv w:val="1"/>
      <w:marLeft w:val="0"/>
      <w:marRight w:val="0"/>
      <w:marTop w:val="0"/>
      <w:marBottom w:val="0"/>
      <w:divBdr>
        <w:top w:val="none" w:sz="0" w:space="0" w:color="auto"/>
        <w:left w:val="none" w:sz="0" w:space="0" w:color="auto"/>
        <w:bottom w:val="none" w:sz="0" w:space="0" w:color="auto"/>
        <w:right w:val="none" w:sz="0" w:space="0" w:color="auto"/>
      </w:divBdr>
    </w:div>
    <w:div w:id="1163012558">
      <w:bodyDiv w:val="1"/>
      <w:marLeft w:val="0"/>
      <w:marRight w:val="0"/>
      <w:marTop w:val="0"/>
      <w:marBottom w:val="0"/>
      <w:divBdr>
        <w:top w:val="none" w:sz="0" w:space="0" w:color="auto"/>
        <w:left w:val="none" w:sz="0" w:space="0" w:color="auto"/>
        <w:bottom w:val="none" w:sz="0" w:space="0" w:color="auto"/>
        <w:right w:val="none" w:sz="0" w:space="0" w:color="auto"/>
      </w:divBdr>
    </w:div>
    <w:div w:id="1165365346">
      <w:bodyDiv w:val="1"/>
      <w:marLeft w:val="0"/>
      <w:marRight w:val="0"/>
      <w:marTop w:val="0"/>
      <w:marBottom w:val="0"/>
      <w:divBdr>
        <w:top w:val="none" w:sz="0" w:space="0" w:color="auto"/>
        <w:left w:val="none" w:sz="0" w:space="0" w:color="auto"/>
        <w:bottom w:val="none" w:sz="0" w:space="0" w:color="auto"/>
        <w:right w:val="none" w:sz="0" w:space="0" w:color="auto"/>
      </w:divBdr>
    </w:div>
    <w:div w:id="1167479669">
      <w:bodyDiv w:val="1"/>
      <w:marLeft w:val="0"/>
      <w:marRight w:val="0"/>
      <w:marTop w:val="0"/>
      <w:marBottom w:val="0"/>
      <w:divBdr>
        <w:top w:val="none" w:sz="0" w:space="0" w:color="auto"/>
        <w:left w:val="none" w:sz="0" w:space="0" w:color="auto"/>
        <w:bottom w:val="none" w:sz="0" w:space="0" w:color="auto"/>
        <w:right w:val="none" w:sz="0" w:space="0" w:color="auto"/>
      </w:divBdr>
    </w:div>
    <w:div w:id="1195384715">
      <w:bodyDiv w:val="1"/>
      <w:marLeft w:val="0"/>
      <w:marRight w:val="0"/>
      <w:marTop w:val="0"/>
      <w:marBottom w:val="0"/>
      <w:divBdr>
        <w:top w:val="none" w:sz="0" w:space="0" w:color="auto"/>
        <w:left w:val="none" w:sz="0" w:space="0" w:color="auto"/>
        <w:bottom w:val="none" w:sz="0" w:space="0" w:color="auto"/>
        <w:right w:val="none" w:sz="0" w:space="0" w:color="auto"/>
      </w:divBdr>
    </w:div>
    <w:div w:id="1198853171">
      <w:bodyDiv w:val="1"/>
      <w:marLeft w:val="0"/>
      <w:marRight w:val="0"/>
      <w:marTop w:val="0"/>
      <w:marBottom w:val="0"/>
      <w:divBdr>
        <w:top w:val="none" w:sz="0" w:space="0" w:color="auto"/>
        <w:left w:val="none" w:sz="0" w:space="0" w:color="auto"/>
        <w:bottom w:val="none" w:sz="0" w:space="0" w:color="auto"/>
        <w:right w:val="none" w:sz="0" w:space="0" w:color="auto"/>
      </w:divBdr>
    </w:div>
    <w:div w:id="1200119269">
      <w:bodyDiv w:val="1"/>
      <w:marLeft w:val="0"/>
      <w:marRight w:val="0"/>
      <w:marTop w:val="0"/>
      <w:marBottom w:val="0"/>
      <w:divBdr>
        <w:top w:val="none" w:sz="0" w:space="0" w:color="auto"/>
        <w:left w:val="none" w:sz="0" w:space="0" w:color="auto"/>
        <w:bottom w:val="none" w:sz="0" w:space="0" w:color="auto"/>
        <w:right w:val="none" w:sz="0" w:space="0" w:color="auto"/>
      </w:divBdr>
    </w:div>
    <w:div w:id="1204558074">
      <w:bodyDiv w:val="1"/>
      <w:marLeft w:val="0"/>
      <w:marRight w:val="0"/>
      <w:marTop w:val="0"/>
      <w:marBottom w:val="0"/>
      <w:divBdr>
        <w:top w:val="none" w:sz="0" w:space="0" w:color="auto"/>
        <w:left w:val="none" w:sz="0" w:space="0" w:color="auto"/>
        <w:bottom w:val="none" w:sz="0" w:space="0" w:color="auto"/>
        <w:right w:val="none" w:sz="0" w:space="0" w:color="auto"/>
      </w:divBdr>
    </w:div>
    <w:div w:id="1209104211">
      <w:bodyDiv w:val="1"/>
      <w:marLeft w:val="0"/>
      <w:marRight w:val="0"/>
      <w:marTop w:val="0"/>
      <w:marBottom w:val="0"/>
      <w:divBdr>
        <w:top w:val="none" w:sz="0" w:space="0" w:color="auto"/>
        <w:left w:val="none" w:sz="0" w:space="0" w:color="auto"/>
        <w:bottom w:val="none" w:sz="0" w:space="0" w:color="auto"/>
        <w:right w:val="none" w:sz="0" w:space="0" w:color="auto"/>
      </w:divBdr>
    </w:div>
    <w:div w:id="1210454204">
      <w:bodyDiv w:val="1"/>
      <w:marLeft w:val="0"/>
      <w:marRight w:val="0"/>
      <w:marTop w:val="0"/>
      <w:marBottom w:val="0"/>
      <w:divBdr>
        <w:top w:val="none" w:sz="0" w:space="0" w:color="auto"/>
        <w:left w:val="none" w:sz="0" w:space="0" w:color="auto"/>
        <w:bottom w:val="none" w:sz="0" w:space="0" w:color="auto"/>
        <w:right w:val="none" w:sz="0" w:space="0" w:color="auto"/>
      </w:divBdr>
    </w:div>
    <w:div w:id="1210917297">
      <w:bodyDiv w:val="1"/>
      <w:marLeft w:val="0"/>
      <w:marRight w:val="0"/>
      <w:marTop w:val="0"/>
      <w:marBottom w:val="0"/>
      <w:divBdr>
        <w:top w:val="none" w:sz="0" w:space="0" w:color="auto"/>
        <w:left w:val="none" w:sz="0" w:space="0" w:color="auto"/>
        <w:bottom w:val="none" w:sz="0" w:space="0" w:color="auto"/>
        <w:right w:val="none" w:sz="0" w:space="0" w:color="auto"/>
      </w:divBdr>
    </w:div>
    <w:div w:id="1217476899">
      <w:bodyDiv w:val="1"/>
      <w:marLeft w:val="0"/>
      <w:marRight w:val="0"/>
      <w:marTop w:val="0"/>
      <w:marBottom w:val="0"/>
      <w:divBdr>
        <w:top w:val="none" w:sz="0" w:space="0" w:color="auto"/>
        <w:left w:val="none" w:sz="0" w:space="0" w:color="auto"/>
        <w:bottom w:val="none" w:sz="0" w:space="0" w:color="auto"/>
        <w:right w:val="none" w:sz="0" w:space="0" w:color="auto"/>
      </w:divBdr>
    </w:div>
    <w:div w:id="1221399750">
      <w:bodyDiv w:val="1"/>
      <w:marLeft w:val="0"/>
      <w:marRight w:val="0"/>
      <w:marTop w:val="0"/>
      <w:marBottom w:val="0"/>
      <w:divBdr>
        <w:top w:val="none" w:sz="0" w:space="0" w:color="auto"/>
        <w:left w:val="none" w:sz="0" w:space="0" w:color="auto"/>
        <w:bottom w:val="none" w:sz="0" w:space="0" w:color="auto"/>
        <w:right w:val="none" w:sz="0" w:space="0" w:color="auto"/>
      </w:divBdr>
    </w:div>
    <w:div w:id="1223323091">
      <w:bodyDiv w:val="1"/>
      <w:marLeft w:val="0"/>
      <w:marRight w:val="0"/>
      <w:marTop w:val="0"/>
      <w:marBottom w:val="0"/>
      <w:divBdr>
        <w:top w:val="none" w:sz="0" w:space="0" w:color="auto"/>
        <w:left w:val="none" w:sz="0" w:space="0" w:color="auto"/>
        <w:bottom w:val="none" w:sz="0" w:space="0" w:color="auto"/>
        <w:right w:val="none" w:sz="0" w:space="0" w:color="auto"/>
      </w:divBdr>
    </w:div>
    <w:div w:id="1223567435">
      <w:bodyDiv w:val="1"/>
      <w:marLeft w:val="0"/>
      <w:marRight w:val="0"/>
      <w:marTop w:val="0"/>
      <w:marBottom w:val="0"/>
      <w:divBdr>
        <w:top w:val="none" w:sz="0" w:space="0" w:color="auto"/>
        <w:left w:val="none" w:sz="0" w:space="0" w:color="auto"/>
        <w:bottom w:val="none" w:sz="0" w:space="0" w:color="auto"/>
        <w:right w:val="none" w:sz="0" w:space="0" w:color="auto"/>
      </w:divBdr>
    </w:div>
    <w:div w:id="1228035235">
      <w:bodyDiv w:val="1"/>
      <w:marLeft w:val="0"/>
      <w:marRight w:val="0"/>
      <w:marTop w:val="0"/>
      <w:marBottom w:val="0"/>
      <w:divBdr>
        <w:top w:val="none" w:sz="0" w:space="0" w:color="auto"/>
        <w:left w:val="none" w:sz="0" w:space="0" w:color="auto"/>
        <w:bottom w:val="none" w:sz="0" w:space="0" w:color="auto"/>
        <w:right w:val="none" w:sz="0" w:space="0" w:color="auto"/>
      </w:divBdr>
    </w:div>
    <w:div w:id="1229729637">
      <w:bodyDiv w:val="1"/>
      <w:marLeft w:val="0"/>
      <w:marRight w:val="0"/>
      <w:marTop w:val="0"/>
      <w:marBottom w:val="0"/>
      <w:divBdr>
        <w:top w:val="none" w:sz="0" w:space="0" w:color="auto"/>
        <w:left w:val="none" w:sz="0" w:space="0" w:color="auto"/>
        <w:bottom w:val="none" w:sz="0" w:space="0" w:color="auto"/>
        <w:right w:val="none" w:sz="0" w:space="0" w:color="auto"/>
      </w:divBdr>
    </w:div>
    <w:div w:id="1230727408">
      <w:bodyDiv w:val="1"/>
      <w:marLeft w:val="0"/>
      <w:marRight w:val="0"/>
      <w:marTop w:val="0"/>
      <w:marBottom w:val="0"/>
      <w:divBdr>
        <w:top w:val="none" w:sz="0" w:space="0" w:color="auto"/>
        <w:left w:val="none" w:sz="0" w:space="0" w:color="auto"/>
        <w:bottom w:val="none" w:sz="0" w:space="0" w:color="auto"/>
        <w:right w:val="none" w:sz="0" w:space="0" w:color="auto"/>
      </w:divBdr>
    </w:div>
    <w:div w:id="1234466297">
      <w:bodyDiv w:val="1"/>
      <w:marLeft w:val="0"/>
      <w:marRight w:val="0"/>
      <w:marTop w:val="0"/>
      <w:marBottom w:val="0"/>
      <w:divBdr>
        <w:top w:val="none" w:sz="0" w:space="0" w:color="auto"/>
        <w:left w:val="none" w:sz="0" w:space="0" w:color="auto"/>
        <w:bottom w:val="none" w:sz="0" w:space="0" w:color="auto"/>
        <w:right w:val="none" w:sz="0" w:space="0" w:color="auto"/>
      </w:divBdr>
    </w:div>
    <w:div w:id="1235163011">
      <w:bodyDiv w:val="1"/>
      <w:marLeft w:val="0"/>
      <w:marRight w:val="0"/>
      <w:marTop w:val="0"/>
      <w:marBottom w:val="0"/>
      <w:divBdr>
        <w:top w:val="none" w:sz="0" w:space="0" w:color="auto"/>
        <w:left w:val="none" w:sz="0" w:space="0" w:color="auto"/>
        <w:bottom w:val="none" w:sz="0" w:space="0" w:color="auto"/>
        <w:right w:val="none" w:sz="0" w:space="0" w:color="auto"/>
      </w:divBdr>
    </w:div>
    <w:div w:id="1236745458">
      <w:bodyDiv w:val="1"/>
      <w:marLeft w:val="0"/>
      <w:marRight w:val="0"/>
      <w:marTop w:val="0"/>
      <w:marBottom w:val="0"/>
      <w:divBdr>
        <w:top w:val="none" w:sz="0" w:space="0" w:color="auto"/>
        <w:left w:val="none" w:sz="0" w:space="0" w:color="auto"/>
        <w:bottom w:val="none" w:sz="0" w:space="0" w:color="auto"/>
        <w:right w:val="none" w:sz="0" w:space="0" w:color="auto"/>
      </w:divBdr>
    </w:div>
    <w:div w:id="1242330730">
      <w:bodyDiv w:val="1"/>
      <w:marLeft w:val="0"/>
      <w:marRight w:val="0"/>
      <w:marTop w:val="0"/>
      <w:marBottom w:val="0"/>
      <w:divBdr>
        <w:top w:val="none" w:sz="0" w:space="0" w:color="auto"/>
        <w:left w:val="none" w:sz="0" w:space="0" w:color="auto"/>
        <w:bottom w:val="none" w:sz="0" w:space="0" w:color="auto"/>
        <w:right w:val="none" w:sz="0" w:space="0" w:color="auto"/>
      </w:divBdr>
    </w:div>
    <w:div w:id="1251738279">
      <w:bodyDiv w:val="1"/>
      <w:marLeft w:val="0"/>
      <w:marRight w:val="0"/>
      <w:marTop w:val="0"/>
      <w:marBottom w:val="0"/>
      <w:divBdr>
        <w:top w:val="none" w:sz="0" w:space="0" w:color="auto"/>
        <w:left w:val="none" w:sz="0" w:space="0" w:color="auto"/>
        <w:bottom w:val="none" w:sz="0" w:space="0" w:color="auto"/>
        <w:right w:val="none" w:sz="0" w:space="0" w:color="auto"/>
      </w:divBdr>
    </w:div>
    <w:div w:id="1264148028">
      <w:bodyDiv w:val="1"/>
      <w:marLeft w:val="0"/>
      <w:marRight w:val="0"/>
      <w:marTop w:val="0"/>
      <w:marBottom w:val="0"/>
      <w:divBdr>
        <w:top w:val="none" w:sz="0" w:space="0" w:color="auto"/>
        <w:left w:val="none" w:sz="0" w:space="0" w:color="auto"/>
        <w:bottom w:val="none" w:sz="0" w:space="0" w:color="auto"/>
        <w:right w:val="none" w:sz="0" w:space="0" w:color="auto"/>
      </w:divBdr>
    </w:div>
    <w:div w:id="1271820766">
      <w:bodyDiv w:val="1"/>
      <w:marLeft w:val="0"/>
      <w:marRight w:val="0"/>
      <w:marTop w:val="0"/>
      <w:marBottom w:val="0"/>
      <w:divBdr>
        <w:top w:val="none" w:sz="0" w:space="0" w:color="auto"/>
        <w:left w:val="none" w:sz="0" w:space="0" w:color="auto"/>
        <w:bottom w:val="none" w:sz="0" w:space="0" w:color="auto"/>
        <w:right w:val="none" w:sz="0" w:space="0" w:color="auto"/>
      </w:divBdr>
    </w:div>
    <w:div w:id="1279796867">
      <w:bodyDiv w:val="1"/>
      <w:marLeft w:val="0"/>
      <w:marRight w:val="0"/>
      <w:marTop w:val="0"/>
      <w:marBottom w:val="0"/>
      <w:divBdr>
        <w:top w:val="none" w:sz="0" w:space="0" w:color="auto"/>
        <w:left w:val="none" w:sz="0" w:space="0" w:color="auto"/>
        <w:bottom w:val="none" w:sz="0" w:space="0" w:color="auto"/>
        <w:right w:val="none" w:sz="0" w:space="0" w:color="auto"/>
      </w:divBdr>
    </w:div>
    <w:div w:id="1299798522">
      <w:bodyDiv w:val="1"/>
      <w:marLeft w:val="0"/>
      <w:marRight w:val="0"/>
      <w:marTop w:val="0"/>
      <w:marBottom w:val="0"/>
      <w:divBdr>
        <w:top w:val="none" w:sz="0" w:space="0" w:color="auto"/>
        <w:left w:val="none" w:sz="0" w:space="0" w:color="auto"/>
        <w:bottom w:val="none" w:sz="0" w:space="0" w:color="auto"/>
        <w:right w:val="none" w:sz="0" w:space="0" w:color="auto"/>
      </w:divBdr>
    </w:div>
    <w:div w:id="1307129447">
      <w:bodyDiv w:val="1"/>
      <w:marLeft w:val="0"/>
      <w:marRight w:val="0"/>
      <w:marTop w:val="0"/>
      <w:marBottom w:val="0"/>
      <w:divBdr>
        <w:top w:val="none" w:sz="0" w:space="0" w:color="auto"/>
        <w:left w:val="none" w:sz="0" w:space="0" w:color="auto"/>
        <w:bottom w:val="none" w:sz="0" w:space="0" w:color="auto"/>
        <w:right w:val="none" w:sz="0" w:space="0" w:color="auto"/>
      </w:divBdr>
    </w:div>
    <w:div w:id="1317490798">
      <w:bodyDiv w:val="1"/>
      <w:marLeft w:val="0"/>
      <w:marRight w:val="0"/>
      <w:marTop w:val="0"/>
      <w:marBottom w:val="0"/>
      <w:divBdr>
        <w:top w:val="none" w:sz="0" w:space="0" w:color="auto"/>
        <w:left w:val="none" w:sz="0" w:space="0" w:color="auto"/>
        <w:bottom w:val="none" w:sz="0" w:space="0" w:color="auto"/>
        <w:right w:val="none" w:sz="0" w:space="0" w:color="auto"/>
      </w:divBdr>
    </w:div>
    <w:div w:id="1317763382">
      <w:bodyDiv w:val="1"/>
      <w:marLeft w:val="0"/>
      <w:marRight w:val="0"/>
      <w:marTop w:val="0"/>
      <w:marBottom w:val="0"/>
      <w:divBdr>
        <w:top w:val="none" w:sz="0" w:space="0" w:color="auto"/>
        <w:left w:val="none" w:sz="0" w:space="0" w:color="auto"/>
        <w:bottom w:val="none" w:sz="0" w:space="0" w:color="auto"/>
        <w:right w:val="none" w:sz="0" w:space="0" w:color="auto"/>
      </w:divBdr>
    </w:div>
    <w:div w:id="1317803955">
      <w:bodyDiv w:val="1"/>
      <w:marLeft w:val="0"/>
      <w:marRight w:val="0"/>
      <w:marTop w:val="0"/>
      <w:marBottom w:val="0"/>
      <w:divBdr>
        <w:top w:val="none" w:sz="0" w:space="0" w:color="auto"/>
        <w:left w:val="none" w:sz="0" w:space="0" w:color="auto"/>
        <w:bottom w:val="none" w:sz="0" w:space="0" w:color="auto"/>
        <w:right w:val="none" w:sz="0" w:space="0" w:color="auto"/>
      </w:divBdr>
    </w:div>
    <w:div w:id="1317952496">
      <w:bodyDiv w:val="1"/>
      <w:marLeft w:val="0"/>
      <w:marRight w:val="0"/>
      <w:marTop w:val="0"/>
      <w:marBottom w:val="0"/>
      <w:divBdr>
        <w:top w:val="none" w:sz="0" w:space="0" w:color="auto"/>
        <w:left w:val="none" w:sz="0" w:space="0" w:color="auto"/>
        <w:bottom w:val="none" w:sz="0" w:space="0" w:color="auto"/>
        <w:right w:val="none" w:sz="0" w:space="0" w:color="auto"/>
      </w:divBdr>
    </w:div>
    <w:div w:id="1319262867">
      <w:bodyDiv w:val="1"/>
      <w:marLeft w:val="0"/>
      <w:marRight w:val="0"/>
      <w:marTop w:val="0"/>
      <w:marBottom w:val="0"/>
      <w:divBdr>
        <w:top w:val="none" w:sz="0" w:space="0" w:color="auto"/>
        <w:left w:val="none" w:sz="0" w:space="0" w:color="auto"/>
        <w:bottom w:val="none" w:sz="0" w:space="0" w:color="auto"/>
        <w:right w:val="none" w:sz="0" w:space="0" w:color="auto"/>
      </w:divBdr>
    </w:div>
    <w:div w:id="1325819030">
      <w:bodyDiv w:val="1"/>
      <w:marLeft w:val="0"/>
      <w:marRight w:val="0"/>
      <w:marTop w:val="0"/>
      <w:marBottom w:val="0"/>
      <w:divBdr>
        <w:top w:val="none" w:sz="0" w:space="0" w:color="auto"/>
        <w:left w:val="none" w:sz="0" w:space="0" w:color="auto"/>
        <w:bottom w:val="none" w:sz="0" w:space="0" w:color="auto"/>
        <w:right w:val="none" w:sz="0" w:space="0" w:color="auto"/>
      </w:divBdr>
    </w:div>
    <w:div w:id="1328826949">
      <w:bodyDiv w:val="1"/>
      <w:marLeft w:val="0"/>
      <w:marRight w:val="0"/>
      <w:marTop w:val="0"/>
      <w:marBottom w:val="0"/>
      <w:divBdr>
        <w:top w:val="none" w:sz="0" w:space="0" w:color="auto"/>
        <w:left w:val="none" w:sz="0" w:space="0" w:color="auto"/>
        <w:bottom w:val="none" w:sz="0" w:space="0" w:color="auto"/>
        <w:right w:val="none" w:sz="0" w:space="0" w:color="auto"/>
      </w:divBdr>
    </w:div>
    <w:div w:id="1339305914">
      <w:bodyDiv w:val="1"/>
      <w:marLeft w:val="0"/>
      <w:marRight w:val="0"/>
      <w:marTop w:val="0"/>
      <w:marBottom w:val="0"/>
      <w:divBdr>
        <w:top w:val="none" w:sz="0" w:space="0" w:color="auto"/>
        <w:left w:val="none" w:sz="0" w:space="0" w:color="auto"/>
        <w:bottom w:val="none" w:sz="0" w:space="0" w:color="auto"/>
        <w:right w:val="none" w:sz="0" w:space="0" w:color="auto"/>
      </w:divBdr>
    </w:div>
    <w:div w:id="1349528175">
      <w:bodyDiv w:val="1"/>
      <w:marLeft w:val="0"/>
      <w:marRight w:val="0"/>
      <w:marTop w:val="0"/>
      <w:marBottom w:val="0"/>
      <w:divBdr>
        <w:top w:val="none" w:sz="0" w:space="0" w:color="auto"/>
        <w:left w:val="none" w:sz="0" w:space="0" w:color="auto"/>
        <w:bottom w:val="none" w:sz="0" w:space="0" w:color="auto"/>
        <w:right w:val="none" w:sz="0" w:space="0" w:color="auto"/>
      </w:divBdr>
    </w:div>
    <w:div w:id="1367562709">
      <w:bodyDiv w:val="1"/>
      <w:marLeft w:val="0"/>
      <w:marRight w:val="0"/>
      <w:marTop w:val="0"/>
      <w:marBottom w:val="0"/>
      <w:divBdr>
        <w:top w:val="none" w:sz="0" w:space="0" w:color="auto"/>
        <w:left w:val="none" w:sz="0" w:space="0" w:color="auto"/>
        <w:bottom w:val="none" w:sz="0" w:space="0" w:color="auto"/>
        <w:right w:val="none" w:sz="0" w:space="0" w:color="auto"/>
      </w:divBdr>
    </w:div>
    <w:div w:id="1370375354">
      <w:bodyDiv w:val="1"/>
      <w:marLeft w:val="0"/>
      <w:marRight w:val="0"/>
      <w:marTop w:val="0"/>
      <w:marBottom w:val="0"/>
      <w:divBdr>
        <w:top w:val="none" w:sz="0" w:space="0" w:color="auto"/>
        <w:left w:val="none" w:sz="0" w:space="0" w:color="auto"/>
        <w:bottom w:val="none" w:sz="0" w:space="0" w:color="auto"/>
        <w:right w:val="none" w:sz="0" w:space="0" w:color="auto"/>
      </w:divBdr>
    </w:div>
    <w:div w:id="1374501886">
      <w:bodyDiv w:val="1"/>
      <w:marLeft w:val="0"/>
      <w:marRight w:val="0"/>
      <w:marTop w:val="0"/>
      <w:marBottom w:val="0"/>
      <w:divBdr>
        <w:top w:val="none" w:sz="0" w:space="0" w:color="auto"/>
        <w:left w:val="none" w:sz="0" w:space="0" w:color="auto"/>
        <w:bottom w:val="none" w:sz="0" w:space="0" w:color="auto"/>
        <w:right w:val="none" w:sz="0" w:space="0" w:color="auto"/>
      </w:divBdr>
    </w:div>
    <w:div w:id="1379469455">
      <w:bodyDiv w:val="1"/>
      <w:marLeft w:val="0"/>
      <w:marRight w:val="0"/>
      <w:marTop w:val="0"/>
      <w:marBottom w:val="0"/>
      <w:divBdr>
        <w:top w:val="none" w:sz="0" w:space="0" w:color="auto"/>
        <w:left w:val="none" w:sz="0" w:space="0" w:color="auto"/>
        <w:bottom w:val="none" w:sz="0" w:space="0" w:color="auto"/>
        <w:right w:val="none" w:sz="0" w:space="0" w:color="auto"/>
      </w:divBdr>
    </w:div>
    <w:div w:id="1391613847">
      <w:bodyDiv w:val="1"/>
      <w:marLeft w:val="0"/>
      <w:marRight w:val="0"/>
      <w:marTop w:val="0"/>
      <w:marBottom w:val="0"/>
      <w:divBdr>
        <w:top w:val="none" w:sz="0" w:space="0" w:color="auto"/>
        <w:left w:val="none" w:sz="0" w:space="0" w:color="auto"/>
        <w:bottom w:val="none" w:sz="0" w:space="0" w:color="auto"/>
        <w:right w:val="none" w:sz="0" w:space="0" w:color="auto"/>
      </w:divBdr>
    </w:div>
    <w:div w:id="1392390881">
      <w:bodyDiv w:val="1"/>
      <w:marLeft w:val="0"/>
      <w:marRight w:val="0"/>
      <w:marTop w:val="0"/>
      <w:marBottom w:val="0"/>
      <w:divBdr>
        <w:top w:val="none" w:sz="0" w:space="0" w:color="auto"/>
        <w:left w:val="none" w:sz="0" w:space="0" w:color="auto"/>
        <w:bottom w:val="none" w:sz="0" w:space="0" w:color="auto"/>
        <w:right w:val="none" w:sz="0" w:space="0" w:color="auto"/>
      </w:divBdr>
    </w:div>
    <w:div w:id="1394040533">
      <w:bodyDiv w:val="1"/>
      <w:marLeft w:val="0"/>
      <w:marRight w:val="0"/>
      <w:marTop w:val="0"/>
      <w:marBottom w:val="0"/>
      <w:divBdr>
        <w:top w:val="none" w:sz="0" w:space="0" w:color="auto"/>
        <w:left w:val="none" w:sz="0" w:space="0" w:color="auto"/>
        <w:bottom w:val="none" w:sz="0" w:space="0" w:color="auto"/>
        <w:right w:val="none" w:sz="0" w:space="0" w:color="auto"/>
      </w:divBdr>
    </w:div>
    <w:div w:id="1394699908">
      <w:bodyDiv w:val="1"/>
      <w:marLeft w:val="0"/>
      <w:marRight w:val="0"/>
      <w:marTop w:val="0"/>
      <w:marBottom w:val="0"/>
      <w:divBdr>
        <w:top w:val="none" w:sz="0" w:space="0" w:color="auto"/>
        <w:left w:val="none" w:sz="0" w:space="0" w:color="auto"/>
        <w:bottom w:val="none" w:sz="0" w:space="0" w:color="auto"/>
        <w:right w:val="none" w:sz="0" w:space="0" w:color="auto"/>
      </w:divBdr>
    </w:div>
    <w:div w:id="1401100598">
      <w:bodyDiv w:val="1"/>
      <w:marLeft w:val="0"/>
      <w:marRight w:val="0"/>
      <w:marTop w:val="0"/>
      <w:marBottom w:val="0"/>
      <w:divBdr>
        <w:top w:val="none" w:sz="0" w:space="0" w:color="auto"/>
        <w:left w:val="none" w:sz="0" w:space="0" w:color="auto"/>
        <w:bottom w:val="none" w:sz="0" w:space="0" w:color="auto"/>
        <w:right w:val="none" w:sz="0" w:space="0" w:color="auto"/>
      </w:divBdr>
    </w:div>
    <w:div w:id="1402018434">
      <w:bodyDiv w:val="1"/>
      <w:marLeft w:val="0"/>
      <w:marRight w:val="0"/>
      <w:marTop w:val="0"/>
      <w:marBottom w:val="0"/>
      <w:divBdr>
        <w:top w:val="none" w:sz="0" w:space="0" w:color="auto"/>
        <w:left w:val="none" w:sz="0" w:space="0" w:color="auto"/>
        <w:bottom w:val="none" w:sz="0" w:space="0" w:color="auto"/>
        <w:right w:val="none" w:sz="0" w:space="0" w:color="auto"/>
      </w:divBdr>
    </w:div>
    <w:div w:id="1404334613">
      <w:bodyDiv w:val="1"/>
      <w:marLeft w:val="0"/>
      <w:marRight w:val="0"/>
      <w:marTop w:val="0"/>
      <w:marBottom w:val="0"/>
      <w:divBdr>
        <w:top w:val="none" w:sz="0" w:space="0" w:color="auto"/>
        <w:left w:val="none" w:sz="0" w:space="0" w:color="auto"/>
        <w:bottom w:val="none" w:sz="0" w:space="0" w:color="auto"/>
        <w:right w:val="none" w:sz="0" w:space="0" w:color="auto"/>
      </w:divBdr>
    </w:div>
    <w:div w:id="1412040915">
      <w:bodyDiv w:val="1"/>
      <w:marLeft w:val="0"/>
      <w:marRight w:val="0"/>
      <w:marTop w:val="0"/>
      <w:marBottom w:val="0"/>
      <w:divBdr>
        <w:top w:val="none" w:sz="0" w:space="0" w:color="auto"/>
        <w:left w:val="none" w:sz="0" w:space="0" w:color="auto"/>
        <w:bottom w:val="none" w:sz="0" w:space="0" w:color="auto"/>
        <w:right w:val="none" w:sz="0" w:space="0" w:color="auto"/>
      </w:divBdr>
    </w:div>
    <w:div w:id="1416511830">
      <w:bodyDiv w:val="1"/>
      <w:marLeft w:val="0"/>
      <w:marRight w:val="0"/>
      <w:marTop w:val="0"/>
      <w:marBottom w:val="0"/>
      <w:divBdr>
        <w:top w:val="none" w:sz="0" w:space="0" w:color="auto"/>
        <w:left w:val="none" w:sz="0" w:space="0" w:color="auto"/>
        <w:bottom w:val="none" w:sz="0" w:space="0" w:color="auto"/>
        <w:right w:val="none" w:sz="0" w:space="0" w:color="auto"/>
      </w:divBdr>
    </w:div>
    <w:div w:id="1418019143">
      <w:bodyDiv w:val="1"/>
      <w:marLeft w:val="0"/>
      <w:marRight w:val="0"/>
      <w:marTop w:val="0"/>
      <w:marBottom w:val="0"/>
      <w:divBdr>
        <w:top w:val="none" w:sz="0" w:space="0" w:color="auto"/>
        <w:left w:val="none" w:sz="0" w:space="0" w:color="auto"/>
        <w:bottom w:val="none" w:sz="0" w:space="0" w:color="auto"/>
        <w:right w:val="none" w:sz="0" w:space="0" w:color="auto"/>
      </w:divBdr>
    </w:div>
    <w:div w:id="1441300438">
      <w:bodyDiv w:val="1"/>
      <w:marLeft w:val="0"/>
      <w:marRight w:val="0"/>
      <w:marTop w:val="0"/>
      <w:marBottom w:val="0"/>
      <w:divBdr>
        <w:top w:val="none" w:sz="0" w:space="0" w:color="auto"/>
        <w:left w:val="none" w:sz="0" w:space="0" w:color="auto"/>
        <w:bottom w:val="none" w:sz="0" w:space="0" w:color="auto"/>
        <w:right w:val="none" w:sz="0" w:space="0" w:color="auto"/>
      </w:divBdr>
    </w:div>
    <w:div w:id="1444419657">
      <w:bodyDiv w:val="1"/>
      <w:marLeft w:val="0"/>
      <w:marRight w:val="0"/>
      <w:marTop w:val="0"/>
      <w:marBottom w:val="0"/>
      <w:divBdr>
        <w:top w:val="none" w:sz="0" w:space="0" w:color="auto"/>
        <w:left w:val="none" w:sz="0" w:space="0" w:color="auto"/>
        <w:bottom w:val="none" w:sz="0" w:space="0" w:color="auto"/>
        <w:right w:val="none" w:sz="0" w:space="0" w:color="auto"/>
      </w:divBdr>
    </w:div>
    <w:div w:id="1466895207">
      <w:bodyDiv w:val="1"/>
      <w:marLeft w:val="0"/>
      <w:marRight w:val="0"/>
      <w:marTop w:val="0"/>
      <w:marBottom w:val="0"/>
      <w:divBdr>
        <w:top w:val="none" w:sz="0" w:space="0" w:color="auto"/>
        <w:left w:val="none" w:sz="0" w:space="0" w:color="auto"/>
        <w:bottom w:val="none" w:sz="0" w:space="0" w:color="auto"/>
        <w:right w:val="none" w:sz="0" w:space="0" w:color="auto"/>
      </w:divBdr>
    </w:div>
    <w:div w:id="1476947019">
      <w:bodyDiv w:val="1"/>
      <w:marLeft w:val="0"/>
      <w:marRight w:val="0"/>
      <w:marTop w:val="0"/>
      <w:marBottom w:val="0"/>
      <w:divBdr>
        <w:top w:val="none" w:sz="0" w:space="0" w:color="auto"/>
        <w:left w:val="none" w:sz="0" w:space="0" w:color="auto"/>
        <w:bottom w:val="none" w:sz="0" w:space="0" w:color="auto"/>
        <w:right w:val="none" w:sz="0" w:space="0" w:color="auto"/>
      </w:divBdr>
    </w:div>
    <w:div w:id="1480732952">
      <w:bodyDiv w:val="1"/>
      <w:marLeft w:val="0"/>
      <w:marRight w:val="0"/>
      <w:marTop w:val="0"/>
      <w:marBottom w:val="0"/>
      <w:divBdr>
        <w:top w:val="none" w:sz="0" w:space="0" w:color="auto"/>
        <w:left w:val="none" w:sz="0" w:space="0" w:color="auto"/>
        <w:bottom w:val="none" w:sz="0" w:space="0" w:color="auto"/>
        <w:right w:val="none" w:sz="0" w:space="0" w:color="auto"/>
      </w:divBdr>
    </w:div>
    <w:div w:id="1484663036">
      <w:bodyDiv w:val="1"/>
      <w:marLeft w:val="0"/>
      <w:marRight w:val="0"/>
      <w:marTop w:val="0"/>
      <w:marBottom w:val="0"/>
      <w:divBdr>
        <w:top w:val="none" w:sz="0" w:space="0" w:color="auto"/>
        <w:left w:val="none" w:sz="0" w:space="0" w:color="auto"/>
        <w:bottom w:val="none" w:sz="0" w:space="0" w:color="auto"/>
        <w:right w:val="none" w:sz="0" w:space="0" w:color="auto"/>
      </w:divBdr>
    </w:div>
    <w:div w:id="1501778132">
      <w:bodyDiv w:val="1"/>
      <w:marLeft w:val="0"/>
      <w:marRight w:val="0"/>
      <w:marTop w:val="0"/>
      <w:marBottom w:val="0"/>
      <w:divBdr>
        <w:top w:val="none" w:sz="0" w:space="0" w:color="auto"/>
        <w:left w:val="none" w:sz="0" w:space="0" w:color="auto"/>
        <w:bottom w:val="none" w:sz="0" w:space="0" w:color="auto"/>
        <w:right w:val="none" w:sz="0" w:space="0" w:color="auto"/>
      </w:divBdr>
    </w:div>
    <w:div w:id="1502239811">
      <w:bodyDiv w:val="1"/>
      <w:marLeft w:val="0"/>
      <w:marRight w:val="0"/>
      <w:marTop w:val="0"/>
      <w:marBottom w:val="0"/>
      <w:divBdr>
        <w:top w:val="none" w:sz="0" w:space="0" w:color="auto"/>
        <w:left w:val="none" w:sz="0" w:space="0" w:color="auto"/>
        <w:bottom w:val="none" w:sz="0" w:space="0" w:color="auto"/>
        <w:right w:val="none" w:sz="0" w:space="0" w:color="auto"/>
      </w:divBdr>
    </w:div>
    <w:div w:id="1511673242">
      <w:bodyDiv w:val="1"/>
      <w:marLeft w:val="0"/>
      <w:marRight w:val="0"/>
      <w:marTop w:val="0"/>
      <w:marBottom w:val="0"/>
      <w:divBdr>
        <w:top w:val="none" w:sz="0" w:space="0" w:color="auto"/>
        <w:left w:val="none" w:sz="0" w:space="0" w:color="auto"/>
        <w:bottom w:val="none" w:sz="0" w:space="0" w:color="auto"/>
        <w:right w:val="none" w:sz="0" w:space="0" w:color="auto"/>
      </w:divBdr>
    </w:div>
    <w:div w:id="1512137100">
      <w:bodyDiv w:val="1"/>
      <w:marLeft w:val="0"/>
      <w:marRight w:val="0"/>
      <w:marTop w:val="0"/>
      <w:marBottom w:val="0"/>
      <w:divBdr>
        <w:top w:val="none" w:sz="0" w:space="0" w:color="auto"/>
        <w:left w:val="none" w:sz="0" w:space="0" w:color="auto"/>
        <w:bottom w:val="none" w:sz="0" w:space="0" w:color="auto"/>
        <w:right w:val="none" w:sz="0" w:space="0" w:color="auto"/>
      </w:divBdr>
    </w:div>
    <w:div w:id="1515806935">
      <w:bodyDiv w:val="1"/>
      <w:marLeft w:val="0"/>
      <w:marRight w:val="0"/>
      <w:marTop w:val="0"/>
      <w:marBottom w:val="0"/>
      <w:divBdr>
        <w:top w:val="none" w:sz="0" w:space="0" w:color="auto"/>
        <w:left w:val="none" w:sz="0" w:space="0" w:color="auto"/>
        <w:bottom w:val="none" w:sz="0" w:space="0" w:color="auto"/>
        <w:right w:val="none" w:sz="0" w:space="0" w:color="auto"/>
      </w:divBdr>
    </w:div>
    <w:div w:id="1516767974">
      <w:bodyDiv w:val="1"/>
      <w:marLeft w:val="0"/>
      <w:marRight w:val="0"/>
      <w:marTop w:val="0"/>
      <w:marBottom w:val="0"/>
      <w:divBdr>
        <w:top w:val="none" w:sz="0" w:space="0" w:color="auto"/>
        <w:left w:val="none" w:sz="0" w:space="0" w:color="auto"/>
        <w:bottom w:val="none" w:sz="0" w:space="0" w:color="auto"/>
        <w:right w:val="none" w:sz="0" w:space="0" w:color="auto"/>
      </w:divBdr>
    </w:div>
    <w:div w:id="1517118033">
      <w:bodyDiv w:val="1"/>
      <w:marLeft w:val="0"/>
      <w:marRight w:val="0"/>
      <w:marTop w:val="0"/>
      <w:marBottom w:val="0"/>
      <w:divBdr>
        <w:top w:val="none" w:sz="0" w:space="0" w:color="auto"/>
        <w:left w:val="none" w:sz="0" w:space="0" w:color="auto"/>
        <w:bottom w:val="none" w:sz="0" w:space="0" w:color="auto"/>
        <w:right w:val="none" w:sz="0" w:space="0" w:color="auto"/>
      </w:divBdr>
    </w:div>
    <w:div w:id="1521772616">
      <w:bodyDiv w:val="1"/>
      <w:marLeft w:val="0"/>
      <w:marRight w:val="0"/>
      <w:marTop w:val="0"/>
      <w:marBottom w:val="0"/>
      <w:divBdr>
        <w:top w:val="none" w:sz="0" w:space="0" w:color="auto"/>
        <w:left w:val="none" w:sz="0" w:space="0" w:color="auto"/>
        <w:bottom w:val="none" w:sz="0" w:space="0" w:color="auto"/>
        <w:right w:val="none" w:sz="0" w:space="0" w:color="auto"/>
      </w:divBdr>
    </w:div>
    <w:div w:id="1528787491">
      <w:bodyDiv w:val="1"/>
      <w:marLeft w:val="0"/>
      <w:marRight w:val="0"/>
      <w:marTop w:val="0"/>
      <w:marBottom w:val="0"/>
      <w:divBdr>
        <w:top w:val="none" w:sz="0" w:space="0" w:color="auto"/>
        <w:left w:val="none" w:sz="0" w:space="0" w:color="auto"/>
        <w:bottom w:val="none" w:sz="0" w:space="0" w:color="auto"/>
        <w:right w:val="none" w:sz="0" w:space="0" w:color="auto"/>
      </w:divBdr>
    </w:div>
    <w:div w:id="1542135477">
      <w:bodyDiv w:val="1"/>
      <w:marLeft w:val="0"/>
      <w:marRight w:val="0"/>
      <w:marTop w:val="0"/>
      <w:marBottom w:val="0"/>
      <w:divBdr>
        <w:top w:val="none" w:sz="0" w:space="0" w:color="auto"/>
        <w:left w:val="none" w:sz="0" w:space="0" w:color="auto"/>
        <w:bottom w:val="none" w:sz="0" w:space="0" w:color="auto"/>
        <w:right w:val="none" w:sz="0" w:space="0" w:color="auto"/>
      </w:divBdr>
    </w:div>
    <w:div w:id="1545478962">
      <w:bodyDiv w:val="1"/>
      <w:marLeft w:val="0"/>
      <w:marRight w:val="0"/>
      <w:marTop w:val="0"/>
      <w:marBottom w:val="0"/>
      <w:divBdr>
        <w:top w:val="none" w:sz="0" w:space="0" w:color="auto"/>
        <w:left w:val="none" w:sz="0" w:space="0" w:color="auto"/>
        <w:bottom w:val="none" w:sz="0" w:space="0" w:color="auto"/>
        <w:right w:val="none" w:sz="0" w:space="0" w:color="auto"/>
      </w:divBdr>
    </w:div>
    <w:div w:id="1548104613">
      <w:bodyDiv w:val="1"/>
      <w:marLeft w:val="0"/>
      <w:marRight w:val="0"/>
      <w:marTop w:val="0"/>
      <w:marBottom w:val="0"/>
      <w:divBdr>
        <w:top w:val="none" w:sz="0" w:space="0" w:color="auto"/>
        <w:left w:val="none" w:sz="0" w:space="0" w:color="auto"/>
        <w:bottom w:val="none" w:sz="0" w:space="0" w:color="auto"/>
        <w:right w:val="none" w:sz="0" w:space="0" w:color="auto"/>
      </w:divBdr>
    </w:div>
    <w:div w:id="1564490982">
      <w:bodyDiv w:val="1"/>
      <w:marLeft w:val="0"/>
      <w:marRight w:val="0"/>
      <w:marTop w:val="0"/>
      <w:marBottom w:val="0"/>
      <w:divBdr>
        <w:top w:val="none" w:sz="0" w:space="0" w:color="auto"/>
        <w:left w:val="none" w:sz="0" w:space="0" w:color="auto"/>
        <w:bottom w:val="none" w:sz="0" w:space="0" w:color="auto"/>
        <w:right w:val="none" w:sz="0" w:space="0" w:color="auto"/>
      </w:divBdr>
    </w:div>
    <w:div w:id="1565682094">
      <w:bodyDiv w:val="1"/>
      <w:marLeft w:val="0"/>
      <w:marRight w:val="0"/>
      <w:marTop w:val="0"/>
      <w:marBottom w:val="0"/>
      <w:divBdr>
        <w:top w:val="none" w:sz="0" w:space="0" w:color="auto"/>
        <w:left w:val="none" w:sz="0" w:space="0" w:color="auto"/>
        <w:bottom w:val="none" w:sz="0" w:space="0" w:color="auto"/>
        <w:right w:val="none" w:sz="0" w:space="0" w:color="auto"/>
      </w:divBdr>
    </w:div>
    <w:div w:id="1567761505">
      <w:bodyDiv w:val="1"/>
      <w:marLeft w:val="0"/>
      <w:marRight w:val="0"/>
      <w:marTop w:val="0"/>
      <w:marBottom w:val="0"/>
      <w:divBdr>
        <w:top w:val="none" w:sz="0" w:space="0" w:color="auto"/>
        <w:left w:val="none" w:sz="0" w:space="0" w:color="auto"/>
        <w:bottom w:val="none" w:sz="0" w:space="0" w:color="auto"/>
        <w:right w:val="none" w:sz="0" w:space="0" w:color="auto"/>
      </w:divBdr>
    </w:div>
    <w:div w:id="1570770839">
      <w:bodyDiv w:val="1"/>
      <w:marLeft w:val="0"/>
      <w:marRight w:val="0"/>
      <w:marTop w:val="0"/>
      <w:marBottom w:val="0"/>
      <w:divBdr>
        <w:top w:val="none" w:sz="0" w:space="0" w:color="auto"/>
        <w:left w:val="none" w:sz="0" w:space="0" w:color="auto"/>
        <w:bottom w:val="none" w:sz="0" w:space="0" w:color="auto"/>
        <w:right w:val="none" w:sz="0" w:space="0" w:color="auto"/>
      </w:divBdr>
    </w:div>
    <w:div w:id="1572502907">
      <w:bodyDiv w:val="1"/>
      <w:marLeft w:val="0"/>
      <w:marRight w:val="0"/>
      <w:marTop w:val="0"/>
      <w:marBottom w:val="0"/>
      <w:divBdr>
        <w:top w:val="none" w:sz="0" w:space="0" w:color="auto"/>
        <w:left w:val="none" w:sz="0" w:space="0" w:color="auto"/>
        <w:bottom w:val="none" w:sz="0" w:space="0" w:color="auto"/>
        <w:right w:val="none" w:sz="0" w:space="0" w:color="auto"/>
      </w:divBdr>
    </w:div>
    <w:div w:id="1575510529">
      <w:bodyDiv w:val="1"/>
      <w:marLeft w:val="0"/>
      <w:marRight w:val="0"/>
      <w:marTop w:val="0"/>
      <w:marBottom w:val="0"/>
      <w:divBdr>
        <w:top w:val="none" w:sz="0" w:space="0" w:color="auto"/>
        <w:left w:val="none" w:sz="0" w:space="0" w:color="auto"/>
        <w:bottom w:val="none" w:sz="0" w:space="0" w:color="auto"/>
        <w:right w:val="none" w:sz="0" w:space="0" w:color="auto"/>
      </w:divBdr>
    </w:div>
    <w:div w:id="1592663716">
      <w:bodyDiv w:val="1"/>
      <w:marLeft w:val="0"/>
      <w:marRight w:val="0"/>
      <w:marTop w:val="0"/>
      <w:marBottom w:val="0"/>
      <w:divBdr>
        <w:top w:val="none" w:sz="0" w:space="0" w:color="auto"/>
        <w:left w:val="none" w:sz="0" w:space="0" w:color="auto"/>
        <w:bottom w:val="none" w:sz="0" w:space="0" w:color="auto"/>
        <w:right w:val="none" w:sz="0" w:space="0" w:color="auto"/>
      </w:divBdr>
    </w:div>
    <w:div w:id="1594704932">
      <w:bodyDiv w:val="1"/>
      <w:marLeft w:val="0"/>
      <w:marRight w:val="0"/>
      <w:marTop w:val="0"/>
      <w:marBottom w:val="0"/>
      <w:divBdr>
        <w:top w:val="none" w:sz="0" w:space="0" w:color="auto"/>
        <w:left w:val="none" w:sz="0" w:space="0" w:color="auto"/>
        <w:bottom w:val="none" w:sz="0" w:space="0" w:color="auto"/>
        <w:right w:val="none" w:sz="0" w:space="0" w:color="auto"/>
      </w:divBdr>
    </w:div>
    <w:div w:id="1603491516">
      <w:bodyDiv w:val="1"/>
      <w:marLeft w:val="0"/>
      <w:marRight w:val="0"/>
      <w:marTop w:val="0"/>
      <w:marBottom w:val="0"/>
      <w:divBdr>
        <w:top w:val="none" w:sz="0" w:space="0" w:color="auto"/>
        <w:left w:val="none" w:sz="0" w:space="0" w:color="auto"/>
        <w:bottom w:val="none" w:sz="0" w:space="0" w:color="auto"/>
        <w:right w:val="none" w:sz="0" w:space="0" w:color="auto"/>
      </w:divBdr>
    </w:div>
    <w:div w:id="1606957646">
      <w:bodyDiv w:val="1"/>
      <w:marLeft w:val="0"/>
      <w:marRight w:val="0"/>
      <w:marTop w:val="0"/>
      <w:marBottom w:val="0"/>
      <w:divBdr>
        <w:top w:val="none" w:sz="0" w:space="0" w:color="auto"/>
        <w:left w:val="none" w:sz="0" w:space="0" w:color="auto"/>
        <w:bottom w:val="none" w:sz="0" w:space="0" w:color="auto"/>
        <w:right w:val="none" w:sz="0" w:space="0" w:color="auto"/>
      </w:divBdr>
    </w:div>
    <w:div w:id="1607039133">
      <w:bodyDiv w:val="1"/>
      <w:marLeft w:val="0"/>
      <w:marRight w:val="0"/>
      <w:marTop w:val="0"/>
      <w:marBottom w:val="0"/>
      <w:divBdr>
        <w:top w:val="none" w:sz="0" w:space="0" w:color="auto"/>
        <w:left w:val="none" w:sz="0" w:space="0" w:color="auto"/>
        <w:bottom w:val="none" w:sz="0" w:space="0" w:color="auto"/>
        <w:right w:val="none" w:sz="0" w:space="0" w:color="auto"/>
      </w:divBdr>
    </w:div>
    <w:div w:id="1607079568">
      <w:bodyDiv w:val="1"/>
      <w:marLeft w:val="0"/>
      <w:marRight w:val="0"/>
      <w:marTop w:val="0"/>
      <w:marBottom w:val="0"/>
      <w:divBdr>
        <w:top w:val="none" w:sz="0" w:space="0" w:color="auto"/>
        <w:left w:val="none" w:sz="0" w:space="0" w:color="auto"/>
        <w:bottom w:val="none" w:sz="0" w:space="0" w:color="auto"/>
        <w:right w:val="none" w:sz="0" w:space="0" w:color="auto"/>
      </w:divBdr>
    </w:div>
    <w:div w:id="1612740089">
      <w:bodyDiv w:val="1"/>
      <w:marLeft w:val="0"/>
      <w:marRight w:val="0"/>
      <w:marTop w:val="0"/>
      <w:marBottom w:val="0"/>
      <w:divBdr>
        <w:top w:val="none" w:sz="0" w:space="0" w:color="auto"/>
        <w:left w:val="none" w:sz="0" w:space="0" w:color="auto"/>
        <w:bottom w:val="none" w:sz="0" w:space="0" w:color="auto"/>
        <w:right w:val="none" w:sz="0" w:space="0" w:color="auto"/>
      </w:divBdr>
    </w:div>
    <w:div w:id="1621959391">
      <w:bodyDiv w:val="1"/>
      <w:marLeft w:val="0"/>
      <w:marRight w:val="0"/>
      <w:marTop w:val="0"/>
      <w:marBottom w:val="0"/>
      <w:divBdr>
        <w:top w:val="none" w:sz="0" w:space="0" w:color="auto"/>
        <w:left w:val="none" w:sz="0" w:space="0" w:color="auto"/>
        <w:bottom w:val="none" w:sz="0" w:space="0" w:color="auto"/>
        <w:right w:val="none" w:sz="0" w:space="0" w:color="auto"/>
      </w:divBdr>
    </w:div>
    <w:div w:id="1630277238">
      <w:bodyDiv w:val="1"/>
      <w:marLeft w:val="0"/>
      <w:marRight w:val="0"/>
      <w:marTop w:val="0"/>
      <w:marBottom w:val="0"/>
      <w:divBdr>
        <w:top w:val="none" w:sz="0" w:space="0" w:color="auto"/>
        <w:left w:val="none" w:sz="0" w:space="0" w:color="auto"/>
        <w:bottom w:val="none" w:sz="0" w:space="0" w:color="auto"/>
        <w:right w:val="none" w:sz="0" w:space="0" w:color="auto"/>
      </w:divBdr>
    </w:div>
    <w:div w:id="1634019948">
      <w:bodyDiv w:val="1"/>
      <w:marLeft w:val="0"/>
      <w:marRight w:val="0"/>
      <w:marTop w:val="0"/>
      <w:marBottom w:val="0"/>
      <w:divBdr>
        <w:top w:val="none" w:sz="0" w:space="0" w:color="auto"/>
        <w:left w:val="none" w:sz="0" w:space="0" w:color="auto"/>
        <w:bottom w:val="none" w:sz="0" w:space="0" w:color="auto"/>
        <w:right w:val="none" w:sz="0" w:space="0" w:color="auto"/>
      </w:divBdr>
    </w:div>
    <w:div w:id="1635329536">
      <w:bodyDiv w:val="1"/>
      <w:marLeft w:val="0"/>
      <w:marRight w:val="0"/>
      <w:marTop w:val="0"/>
      <w:marBottom w:val="0"/>
      <w:divBdr>
        <w:top w:val="none" w:sz="0" w:space="0" w:color="auto"/>
        <w:left w:val="none" w:sz="0" w:space="0" w:color="auto"/>
        <w:bottom w:val="none" w:sz="0" w:space="0" w:color="auto"/>
        <w:right w:val="none" w:sz="0" w:space="0" w:color="auto"/>
      </w:divBdr>
    </w:div>
    <w:div w:id="1639989399">
      <w:bodyDiv w:val="1"/>
      <w:marLeft w:val="0"/>
      <w:marRight w:val="0"/>
      <w:marTop w:val="0"/>
      <w:marBottom w:val="0"/>
      <w:divBdr>
        <w:top w:val="none" w:sz="0" w:space="0" w:color="auto"/>
        <w:left w:val="none" w:sz="0" w:space="0" w:color="auto"/>
        <w:bottom w:val="none" w:sz="0" w:space="0" w:color="auto"/>
        <w:right w:val="none" w:sz="0" w:space="0" w:color="auto"/>
      </w:divBdr>
    </w:div>
    <w:div w:id="1643731624">
      <w:bodyDiv w:val="1"/>
      <w:marLeft w:val="0"/>
      <w:marRight w:val="0"/>
      <w:marTop w:val="0"/>
      <w:marBottom w:val="0"/>
      <w:divBdr>
        <w:top w:val="none" w:sz="0" w:space="0" w:color="auto"/>
        <w:left w:val="none" w:sz="0" w:space="0" w:color="auto"/>
        <w:bottom w:val="none" w:sz="0" w:space="0" w:color="auto"/>
        <w:right w:val="none" w:sz="0" w:space="0" w:color="auto"/>
      </w:divBdr>
    </w:div>
    <w:div w:id="1644845878">
      <w:bodyDiv w:val="1"/>
      <w:marLeft w:val="0"/>
      <w:marRight w:val="0"/>
      <w:marTop w:val="0"/>
      <w:marBottom w:val="0"/>
      <w:divBdr>
        <w:top w:val="none" w:sz="0" w:space="0" w:color="auto"/>
        <w:left w:val="none" w:sz="0" w:space="0" w:color="auto"/>
        <w:bottom w:val="none" w:sz="0" w:space="0" w:color="auto"/>
        <w:right w:val="none" w:sz="0" w:space="0" w:color="auto"/>
      </w:divBdr>
    </w:div>
    <w:div w:id="1645937307">
      <w:bodyDiv w:val="1"/>
      <w:marLeft w:val="0"/>
      <w:marRight w:val="0"/>
      <w:marTop w:val="0"/>
      <w:marBottom w:val="0"/>
      <w:divBdr>
        <w:top w:val="none" w:sz="0" w:space="0" w:color="auto"/>
        <w:left w:val="none" w:sz="0" w:space="0" w:color="auto"/>
        <w:bottom w:val="none" w:sz="0" w:space="0" w:color="auto"/>
        <w:right w:val="none" w:sz="0" w:space="0" w:color="auto"/>
      </w:divBdr>
    </w:div>
    <w:div w:id="1652247246">
      <w:bodyDiv w:val="1"/>
      <w:marLeft w:val="0"/>
      <w:marRight w:val="0"/>
      <w:marTop w:val="0"/>
      <w:marBottom w:val="0"/>
      <w:divBdr>
        <w:top w:val="none" w:sz="0" w:space="0" w:color="auto"/>
        <w:left w:val="none" w:sz="0" w:space="0" w:color="auto"/>
        <w:bottom w:val="none" w:sz="0" w:space="0" w:color="auto"/>
        <w:right w:val="none" w:sz="0" w:space="0" w:color="auto"/>
      </w:divBdr>
    </w:div>
    <w:div w:id="1654481496">
      <w:bodyDiv w:val="1"/>
      <w:marLeft w:val="0"/>
      <w:marRight w:val="0"/>
      <w:marTop w:val="0"/>
      <w:marBottom w:val="0"/>
      <w:divBdr>
        <w:top w:val="none" w:sz="0" w:space="0" w:color="auto"/>
        <w:left w:val="none" w:sz="0" w:space="0" w:color="auto"/>
        <w:bottom w:val="none" w:sz="0" w:space="0" w:color="auto"/>
        <w:right w:val="none" w:sz="0" w:space="0" w:color="auto"/>
      </w:divBdr>
    </w:div>
    <w:div w:id="1658417350">
      <w:bodyDiv w:val="1"/>
      <w:marLeft w:val="0"/>
      <w:marRight w:val="0"/>
      <w:marTop w:val="0"/>
      <w:marBottom w:val="0"/>
      <w:divBdr>
        <w:top w:val="none" w:sz="0" w:space="0" w:color="auto"/>
        <w:left w:val="none" w:sz="0" w:space="0" w:color="auto"/>
        <w:bottom w:val="none" w:sz="0" w:space="0" w:color="auto"/>
        <w:right w:val="none" w:sz="0" w:space="0" w:color="auto"/>
      </w:divBdr>
    </w:div>
    <w:div w:id="1658537620">
      <w:bodyDiv w:val="1"/>
      <w:marLeft w:val="0"/>
      <w:marRight w:val="0"/>
      <w:marTop w:val="0"/>
      <w:marBottom w:val="0"/>
      <w:divBdr>
        <w:top w:val="none" w:sz="0" w:space="0" w:color="auto"/>
        <w:left w:val="none" w:sz="0" w:space="0" w:color="auto"/>
        <w:bottom w:val="none" w:sz="0" w:space="0" w:color="auto"/>
        <w:right w:val="none" w:sz="0" w:space="0" w:color="auto"/>
      </w:divBdr>
    </w:div>
    <w:div w:id="1672365367">
      <w:bodyDiv w:val="1"/>
      <w:marLeft w:val="0"/>
      <w:marRight w:val="0"/>
      <w:marTop w:val="0"/>
      <w:marBottom w:val="0"/>
      <w:divBdr>
        <w:top w:val="none" w:sz="0" w:space="0" w:color="auto"/>
        <w:left w:val="none" w:sz="0" w:space="0" w:color="auto"/>
        <w:bottom w:val="none" w:sz="0" w:space="0" w:color="auto"/>
        <w:right w:val="none" w:sz="0" w:space="0" w:color="auto"/>
      </w:divBdr>
    </w:div>
    <w:div w:id="1676489942">
      <w:bodyDiv w:val="1"/>
      <w:marLeft w:val="0"/>
      <w:marRight w:val="0"/>
      <w:marTop w:val="0"/>
      <w:marBottom w:val="0"/>
      <w:divBdr>
        <w:top w:val="none" w:sz="0" w:space="0" w:color="auto"/>
        <w:left w:val="none" w:sz="0" w:space="0" w:color="auto"/>
        <w:bottom w:val="none" w:sz="0" w:space="0" w:color="auto"/>
        <w:right w:val="none" w:sz="0" w:space="0" w:color="auto"/>
      </w:divBdr>
    </w:div>
    <w:div w:id="1676612536">
      <w:bodyDiv w:val="1"/>
      <w:marLeft w:val="0"/>
      <w:marRight w:val="0"/>
      <w:marTop w:val="0"/>
      <w:marBottom w:val="0"/>
      <w:divBdr>
        <w:top w:val="none" w:sz="0" w:space="0" w:color="auto"/>
        <w:left w:val="none" w:sz="0" w:space="0" w:color="auto"/>
        <w:bottom w:val="none" w:sz="0" w:space="0" w:color="auto"/>
        <w:right w:val="none" w:sz="0" w:space="0" w:color="auto"/>
      </w:divBdr>
    </w:div>
    <w:div w:id="1676882282">
      <w:bodyDiv w:val="1"/>
      <w:marLeft w:val="0"/>
      <w:marRight w:val="0"/>
      <w:marTop w:val="0"/>
      <w:marBottom w:val="0"/>
      <w:divBdr>
        <w:top w:val="none" w:sz="0" w:space="0" w:color="auto"/>
        <w:left w:val="none" w:sz="0" w:space="0" w:color="auto"/>
        <w:bottom w:val="none" w:sz="0" w:space="0" w:color="auto"/>
        <w:right w:val="none" w:sz="0" w:space="0" w:color="auto"/>
      </w:divBdr>
    </w:div>
    <w:div w:id="1677225414">
      <w:bodyDiv w:val="1"/>
      <w:marLeft w:val="0"/>
      <w:marRight w:val="0"/>
      <w:marTop w:val="0"/>
      <w:marBottom w:val="0"/>
      <w:divBdr>
        <w:top w:val="none" w:sz="0" w:space="0" w:color="auto"/>
        <w:left w:val="none" w:sz="0" w:space="0" w:color="auto"/>
        <w:bottom w:val="none" w:sz="0" w:space="0" w:color="auto"/>
        <w:right w:val="none" w:sz="0" w:space="0" w:color="auto"/>
      </w:divBdr>
    </w:div>
    <w:div w:id="1677657517">
      <w:bodyDiv w:val="1"/>
      <w:marLeft w:val="0"/>
      <w:marRight w:val="0"/>
      <w:marTop w:val="0"/>
      <w:marBottom w:val="0"/>
      <w:divBdr>
        <w:top w:val="none" w:sz="0" w:space="0" w:color="auto"/>
        <w:left w:val="none" w:sz="0" w:space="0" w:color="auto"/>
        <w:bottom w:val="none" w:sz="0" w:space="0" w:color="auto"/>
        <w:right w:val="none" w:sz="0" w:space="0" w:color="auto"/>
      </w:divBdr>
    </w:div>
    <w:div w:id="1679885288">
      <w:bodyDiv w:val="1"/>
      <w:marLeft w:val="0"/>
      <w:marRight w:val="0"/>
      <w:marTop w:val="0"/>
      <w:marBottom w:val="0"/>
      <w:divBdr>
        <w:top w:val="none" w:sz="0" w:space="0" w:color="auto"/>
        <w:left w:val="none" w:sz="0" w:space="0" w:color="auto"/>
        <w:bottom w:val="none" w:sz="0" w:space="0" w:color="auto"/>
        <w:right w:val="none" w:sz="0" w:space="0" w:color="auto"/>
      </w:divBdr>
    </w:div>
    <w:div w:id="1688680890">
      <w:bodyDiv w:val="1"/>
      <w:marLeft w:val="0"/>
      <w:marRight w:val="0"/>
      <w:marTop w:val="0"/>
      <w:marBottom w:val="0"/>
      <w:divBdr>
        <w:top w:val="none" w:sz="0" w:space="0" w:color="auto"/>
        <w:left w:val="none" w:sz="0" w:space="0" w:color="auto"/>
        <w:bottom w:val="none" w:sz="0" w:space="0" w:color="auto"/>
        <w:right w:val="none" w:sz="0" w:space="0" w:color="auto"/>
      </w:divBdr>
    </w:div>
    <w:div w:id="1694267079">
      <w:bodyDiv w:val="1"/>
      <w:marLeft w:val="0"/>
      <w:marRight w:val="0"/>
      <w:marTop w:val="0"/>
      <w:marBottom w:val="0"/>
      <w:divBdr>
        <w:top w:val="none" w:sz="0" w:space="0" w:color="auto"/>
        <w:left w:val="none" w:sz="0" w:space="0" w:color="auto"/>
        <w:bottom w:val="none" w:sz="0" w:space="0" w:color="auto"/>
        <w:right w:val="none" w:sz="0" w:space="0" w:color="auto"/>
      </w:divBdr>
    </w:div>
    <w:div w:id="1704591844">
      <w:bodyDiv w:val="1"/>
      <w:marLeft w:val="0"/>
      <w:marRight w:val="0"/>
      <w:marTop w:val="0"/>
      <w:marBottom w:val="0"/>
      <w:divBdr>
        <w:top w:val="none" w:sz="0" w:space="0" w:color="auto"/>
        <w:left w:val="none" w:sz="0" w:space="0" w:color="auto"/>
        <w:bottom w:val="none" w:sz="0" w:space="0" w:color="auto"/>
        <w:right w:val="none" w:sz="0" w:space="0" w:color="auto"/>
      </w:divBdr>
    </w:div>
    <w:div w:id="1710757968">
      <w:bodyDiv w:val="1"/>
      <w:marLeft w:val="0"/>
      <w:marRight w:val="0"/>
      <w:marTop w:val="0"/>
      <w:marBottom w:val="0"/>
      <w:divBdr>
        <w:top w:val="none" w:sz="0" w:space="0" w:color="auto"/>
        <w:left w:val="none" w:sz="0" w:space="0" w:color="auto"/>
        <w:bottom w:val="none" w:sz="0" w:space="0" w:color="auto"/>
        <w:right w:val="none" w:sz="0" w:space="0" w:color="auto"/>
      </w:divBdr>
    </w:div>
    <w:div w:id="1712420513">
      <w:bodyDiv w:val="1"/>
      <w:marLeft w:val="0"/>
      <w:marRight w:val="0"/>
      <w:marTop w:val="0"/>
      <w:marBottom w:val="0"/>
      <w:divBdr>
        <w:top w:val="none" w:sz="0" w:space="0" w:color="auto"/>
        <w:left w:val="none" w:sz="0" w:space="0" w:color="auto"/>
        <w:bottom w:val="none" w:sz="0" w:space="0" w:color="auto"/>
        <w:right w:val="none" w:sz="0" w:space="0" w:color="auto"/>
      </w:divBdr>
    </w:div>
    <w:div w:id="1717656376">
      <w:bodyDiv w:val="1"/>
      <w:marLeft w:val="0"/>
      <w:marRight w:val="0"/>
      <w:marTop w:val="0"/>
      <w:marBottom w:val="0"/>
      <w:divBdr>
        <w:top w:val="none" w:sz="0" w:space="0" w:color="auto"/>
        <w:left w:val="none" w:sz="0" w:space="0" w:color="auto"/>
        <w:bottom w:val="none" w:sz="0" w:space="0" w:color="auto"/>
        <w:right w:val="none" w:sz="0" w:space="0" w:color="auto"/>
      </w:divBdr>
    </w:div>
    <w:div w:id="1719429760">
      <w:bodyDiv w:val="1"/>
      <w:marLeft w:val="0"/>
      <w:marRight w:val="0"/>
      <w:marTop w:val="0"/>
      <w:marBottom w:val="0"/>
      <w:divBdr>
        <w:top w:val="none" w:sz="0" w:space="0" w:color="auto"/>
        <w:left w:val="none" w:sz="0" w:space="0" w:color="auto"/>
        <w:bottom w:val="none" w:sz="0" w:space="0" w:color="auto"/>
        <w:right w:val="none" w:sz="0" w:space="0" w:color="auto"/>
      </w:divBdr>
    </w:div>
    <w:div w:id="1719890714">
      <w:bodyDiv w:val="1"/>
      <w:marLeft w:val="0"/>
      <w:marRight w:val="0"/>
      <w:marTop w:val="0"/>
      <w:marBottom w:val="0"/>
      <w:divBdr>
        <w:top w:val="none" w:sz="0" w:space="0" w:color="auto"/>
        <w:left w:val="none" w:sz="0" w:space="0" w:color="auto"/>
        <w:bottom w:val="none" w:sz="0" w:space="0" w:color="auto"/>
        <w:right w:val="none" w:sz="0" w:space="0" w:color="auto"/>
      </w:divBdr>
    </w:div>
    <w:div w:id="1721710340">
      <w:bodyDiv w:val="1"/>
      <w:marLeft w:val="0"/>
      <w:marRight w:val="0"/>
      <w:marTop w:val="0"/>
      <w:marBottom w:val="0"/>
      <w:divBdr>
        <w:top w:val="none" w:sz="0" w:space="0" w:color="auto"/>
        <w:left w:val="none" w:sz="0" w:space="0" w:color="auto"/>
        <w:bottom w:val="none" w:sz="0" w:space="0" w:color="auto"/>
        <w:right w:val="none" w:sz="0" w:space="0" w:color="auto"/>
      </w:divBdr>
    </w:div>
    <w:div w:id="1722090876">
      <w:bodyDiv w:val="1"/>
      <w:marLeft w:val="0"/>
      <w:marRight w:val="0"/>
      <w:marTop w:val="0"/>
      <w:marBottom w:val="0"/>
      <w:divBdr>
        <w:top w:val="none" w:sz="0" w:space="0" w:color="auto"/>
        <w:left w:val="none" w:sz="0" w:space="0" w:color="auto"/>
        <w:bottom w:val="none" w:sz="0" w:space="0" w:color="auto"/>
        <w:right w:val="none" w:sz="0" w:space="0" w:color="auto"/>
      </w:divBdr>
    </w:div>
    <w:div w:id="1736245843">
      <w:bodyDiv w:val="1"/>
      <w:marLeft w:val="0"/>
      <w:marRight w:val="0"/>
      <w:marTop w:val="0"/>
      <w:marBottom w:val="0"/>
      <w:divBdr>
        <w:top w:val="none" w:sz="0" w:space="0" w:color="auto"/>
        <w:left w:val="none" w:sz="0" w:space="0" w:color="auto"/>
        <w:bottom w:val="none" w:sz="0" w:space="0" w:color="auto"/>
        <w:right w:val="none" w:sz="0" w:space="0" w:color="auto"/>
      </w:divBdr>
    </w:div>
    <w:div w:id="1753547511">
      <w:bodyDiv w:val="1"/>
      <w:marLeft w:val="0"/>
      <w:marRight w:val="0"/>
      <w:marTop w:val="0"/>
      <w:marBottom w:val="0"/>
      <w:divBdr>
        <w:top w:val="none" w:sz="0" w:space="0" w:color="auto"/>
        <w:left w:val="none" w:sz="0" w:space="0" w:color="auto"/>
        <w:bottom w:val="none" w:sz="0" w:space="0" w:color="auto"/>
        <w:right w:val="none" w:sz="0" w:space="0" w:color="auto"/>
      </w:divBdr>
    </w:div>
    <w:div w:id="1759206486">
      <w:bodyDiv w:val="1"/>
      <w:marLeft w:val="0"/>
      <w:marRight w:val="0"/>
      <w:marTop w:val="0"/>
      <w:marBottom w:val="0"/>
      <w:divBdr>
        <w:top w:val="none" w:sz="0" w:space="0" w:color="auto"/>
        <w:left w:val="none" w:sz="0" w:space="0" w:color="auto"/>
        <w:bottom w:val="none" w:sz="0" w:space="0" w:color="auto"/>
        <w:right w:val="none" w:sz="0" w:space="0" w:color="auto"/>
      </w:divBdr>
    </w:div>
    <w:div w:id="1760062679">
      <w:bodyDiv w:val="1"/>
      <w:marLeft w:val="0"/>
      <w:marRight w:val="0"/>
      <w:marTop w:val="0"/>
      <w:marBottom w:val="0"/>
      <w:divBdr>
        <w:top w:val="none" w:sz="0" w:space="0" w:color="auto"/>
        <w:left w:val="none" w:sz="0" w:space="0" w:color="auto"/>
        <w:bottom w:val="none" w:sz="0" w:space="0" w:color="auto"/>
        <w:right w:val="none" w:sz="0" w:space="0" w:color="auto"/>
      </w:divBdr>
    </w:div>
    <w:div w:id="1766460296">
      <w:bodyDiv w:val="1"/>
      <w:marLeft w:val="0"/>
      <w:marRight w:val="0"/>
      <w:marTop w:val="0"/>
      <w:marBottom w:val="0"/>
      <w:divBdr>
        <w:top w:val="none" w:sz="0" w:space="0" w:color="auto"/>
        <w:left w:val="none" w:sz="0" w:space="0" w:color="auto"/>
        <w:bottom w:val="none" w:sz="0" w:space="0" w:color="auto"/>
        <w:right w:val="none" w:sz="0" w:space="0" w:color="auto"/>
      </w:divBdr>
    </w:div>
    <w:div w:id="1770734479">
      <w:bodyDiv w:val="1"/>
      <w:marLeft w:val="0"/>
      <w:marRight w:val="0"/>
      <w:marTop w:val="0"/>
      <w:marBottom w:val="0"/>
      <w:divBdr>
        <w:top w:val="none" w:sz="0" w:space="0" w:color="auto"/>
        <w:left w:val="none" w:sz="0" w:space="0" w:color="auto"/>
        <w:bottom w:val="none" w:sz="0" w:space="0" w:color="auto"/>
        <w:right w:val="none" w:sz="0" w:space="0" w:color="auto"/>
      </w:divBdr>
    </w:div>
    <w:div w:id="1773091551">
      <w:bodyDiv w:val="1"/>
      <w:marLeft w:val="0"/>
      <w:marRight w:val="0"/>
      <w:marTop w:val="0"/>
      <w:marBottom w:val="0"/>
      <w:divBdr>
        <w:top w:val="none" w:sz="0" w:space="0" w:color="auto"/>
        <w:left w:val="none" w:sz="0" w:space="0" w:color="auto"/>
        <w:bottom w:val="none" w:sz="0" w:space="0" w:color="auto"/>
        <w:right w:val="none" w:sz="0" w:space="0" w:color="auto"/>
      </w:divBdr>
    </w:div>
    <w:div w:id="1773820909">
      <w:bodyDiv w:val="1"/>
      <w:marLeft w:val="0"/>
      <w:marRight w:val="0"/>
      <w:marTop w:val="0"/>
      <w:marBottom w:val="0"/>
      <w:divBdr>
        <w:top w:val="none" w:sz="0" w:space="0" w:color="auto"/>
        <w:left w:val="none" w:sz="0" w:space="0" w:color="auto"/>
        <w:bottom w:val="none" w:sz="0" w:space="0" w:color="auto"/>
        <w:right w:val="none" w:sz="0" w:space="0" w:color="auto"/>
      </w:divBdr>
    </w:div>
    <w:div w:id="1776169519">
      <w:bodyDiv w:val="1"/>
      <w:marLeft w:val="0"/>
      <w:marRight w:val="0"/>
      <w:marTop w:val="0"/>
      <w:marBottom w:val="0"/>
      <w:divBdr>
        <w:top w:val="none" w:sz="0" w:space="0" w:color="auto"/>
        <w:left w:val="none" w:sz="0" w:space="0" w:color="auto"/>
        <w:bottom w:val="none" w:sz="0" w:space="0" w:color="auto"/>
        <w:right w:val="none" w:sz="0" w:space="0" w:color="auto"/>
      </w:divBdr>
    </w:div>
    <w:div w:id="1780485244">
      <w:bodyDiv w:val="1"/>
      <w:marLeft w:val="0"/>
      <w:marRight w:val="0"/>
      <w:marTop w:val="0"/>
      <w:marBottom w:val="0"/>
      <w:divBdr>
        <w:top w:val="none" w:sz="0" w:space="0" w:color="auto"/>
        <w:left w:val="none" w:sz="0" w:space="0" w:color="auto"/>
        <w:bottom w:val="none" w:sz="0" w:space="0" w:color="auto"/>
        <w:right w:val="none" w:sz="0" w:space="0" w:color="auto"/>
      </w:divBdr>
    </w:div>
    <w:div w:id="1784571559">
      <w:bodyDiv w:val="1"/>
      <w:marLeft w:val="0"/>
      <w:marRight w:val="0"/>
      <w:marTop w:val="0"/>
      <w:marBottom w:val="0"/>
      <w:divBdr>
        <w:top w:val="none" w:sz="0" w:space="0" w:color="auto"/>
        <w:left w:val="none" w:sz="0" w:space="0" w:color="auto"/>
        <w:bottom w:val="none" w:sz="0" w:space="0" w:color="auto"/>
        <w:right w:val="none" w:sz="0" w:space="0" w:color="auto"/>
      </w:divBdr>
    </w:div>
    <w:div w:id="1785996156">
      <w:bodyDiv w:val="1"/>
      <w:marLeft w:val="0"/>
      <w:marRight w:val="0"/>
      <w:marTop w:val="0"/>
      <w:marBottom w:val="0"/>
      <w:divBdr>
        <w:top w:val="none" w:sz="0" w:space="0" w:color="auto"/>
        <w:left w:val="none" w:sz="0" w:space="0" w:color="auto"/>
        <w:bottom w:val="none" w:sz="0" w:space="0" w:color="auto"/>
        <w:right w:val="none" w:sz="0" w:space="0" w:color="auto"/>
      </w:divBdr>
    </w:div>
    <w:div w:id="1791126316">
      <w:bodyDiv w:val="1"/>
      <w:marLeft w:val="0"/>
      <w:marRight w:val="0"/>
      <w:marTop w:val="0"/>
      <w:marBottom w:val="0"/>
      <w:divBdr>
        <w:top w:val="none" w:sz="0" w:space="0" w:color="auto"/>
        <w:left w:val="none" w:sz="0" w:space="0" w:color="auto"/>
        <w:bottom w:val="none" w:sz="0" w:space="0" w:color="auto"/>
        <w:right w:val="none" w:sz="0" w:space="0" w:color="auto"/>
      </w:divBdr>
    </w:div>
    <w:div w:id="1793983791">
      <w:bodyDiv w:val="1"/>
      <w:marLeft w:val="0"/>
      <w:marRight w:val="0"/>
      <w:marTop w:val="0"/>
      <w:marBottom w:val="0"/>
      <w:divBdr>
        <w:top w:val="none" w:sz="0" w:space="0" w:color="auto"/>
        <w:left w:val="none" w:sz="0" w:space="0" w:color="auto"/>
        <w:bottom w:val="none" w:sz="0" w:space="0" w:color="auto"/>
        <w:right w:val="none" w:sz="0" w:space="0" w:color="auto"/>
      </w:divBdr>
    </w:div>
    <w:div w:id="1795369483">
      <w:bodyDiv w:val="1"/>
      <w:marLeft w:val="0"/>
      <w:marRight w:val="0"/>
      <w:marTop w:val="0"/>
      <w:marBottom w:val="0"/>
      <w:divBdr>
        <w:top w:val="none" w:sz="0" w:space="0" w:color="auto"/>
        <w:left w:val="none" w:sz="0" w:space="0" w:color="auto"/>
        <w:bottom w:val="none" w:sz="0" w:space="0" w:color="auto"/>
        <w:right w:val="none" w:sz="0" w:space="0" w:color="auto"/>
      </w:divBdr>
    </w:div>
    <w:div w:id="1802921493">
      <w:bodyDiv w:val="1"/>
      <w:marLeft w:val="0"/>
      <w:marRight w:val="0"/>
      <w:marTop w:val="0"/>
      <w:marBottom w:val="0"/>
      <w:divBdr>
        <w:top w:val="none" w:sz="0" w:space="0" w:color="auto"/>
        <w:left w:val="none" w:sz="0" w:space="0" w:color="auto"/>
        <w:bottom w:val="none" w:sz="0" w:space="0" w:color="auto"/>
        <w:right w:val="none" w:sz="0" w:space="0" w:color="auto"/>
      </w:divBdr>
    </w:div>
    <w:div w:id="1821918932">
      <w:bodyDiv w:val="1"/>
      <w:marLeft w:val="0"/>
      <w:marRight w:val="0"/>
      <w:marTop w:val="0"/>
      <w:marBottom w:val="0"/>
      <w:divBdr>
        <w:top w:val="none" w:sz="0" w:space="0" w:color="auto"/>
        <w:left w:val="none" w:sz="0" w:space="0" w:color="auto"/>
        <w:bottom w:val="none" w:sz="0" w:space="0" w:color="auto"/>
        <w:right w:val="none" w:sz="0" w:space="0" w:color="auto"/>
      </w:divBdr>
    </w:div>
    <w:div w:id="1828282918">
      <w:bodyDiv w:val="1"/>
      <w:marLeft w:val="0"/>
      <w:marRight w:val="0"/>
      <w:marTop w:val="0"/>
      <w:marBottom w:val="0"/>
      <w:divBdr>
        <w:top w:val="none" w:sz="0" w:space="0" w:color="auto"/>
        <w:left w:val="none" w:sz="0" w:space="0" w:color="auto"/>
        <w:bottom w:val="none" w:sz="0" w:space="0" w:color="auto"/>
        <w:right w:val="none" w:sz="0" w:space="0" w:color="auto"/>
      </w:divBdr>
    </w:div>
    <w:div w:id="1832141685">
      <w:bodyDiv w:val="1"/>
      <w:marLeft w:val="0"/>
      <w:marRight w:val="0"/>
      <w:marTop w:val="0"/>
      <w:marBottom w:val="0"/>
      <w:divBdr>
        <w:top w:val="none" w:sz="0" w:space="0" w:color="auto"/>
        <w:left w:val="none" w:sz="0" w:space="0" w:color="auto"/>
        <w:bottom w:val="none" w:sz="0" w:space="0" w:color="auto"/>
        <w:right w:val="none" w:sz="0" w:space="0" w:color="auto"/>
      </w:divBdr>
    </w:div>
    <w:div w:id="1847817615">
      <w:bodyDiv w:val="1"/>
      <w:marLeft w:val="0"/>
      <w:marRight w:val="0"/>
      <w:marTop w:val="0"/>
      <w:marBottom w:val="0"/>
      <w:divBdr>
        <w:top w:val="none" w:sz="0" w:space="0" w:color="auto"/>
        <w:left w:val="none" w:sz="0" w:space="0" w:color="auto"/>
        <w:bottom w:val="none" w:sz="0" w:space="0" w:color="auto"/>
        <w:right w:val="none" w:sz="0" w:space="0" w:color="auto"/>
      </w:divBdr>
    </w:div>
    <w:div w:id="1849102742">
      <w:bodyDiv w:val="1"/>
      <w:marLeft w:val="0"/>
      <w:marRight w:val="0"/>
      <w:marTop w:val="0"/>
      <w:marBottom w:val="0"/>
      <w:divBdr>
        <w:top w:val="none" w:sz="0" w:space="0" w:color="auto"/>
        <w:left w:val="none" w:sz="0" w:space="0" w:color="auto"/>
        <w:bottom w:val="none" w:sz="0" w:space="0" w:color="auto"/>
        <w:right w:val="none" w:sz="0" w:space="0" w:color="auto"/>
      </w:divBdr>
    </w:div>
    <w:div w:id="1851292427">
      <w:bodyDiv w:val="1"/>
      <w:marLeft w:val="0"/>
      <w:marRight w:val="0"/>
      <w:marTop w:val="0"/>
      <w:marBottom w:val="0"/>
      <w:divBdr>
        <w:top w:val="none" w:sz="0" w:space="0" w:color="auto"/>
        <w:left w:val="none" w:sz="0" w:space="0" w:color="auto"/>
        <w:bottom w:val="none" w:sz="0" w:space="0" w:color="auto"/>
        <w:right w:val="none" w:sz="0" w:space="0" w:color="auto"/>
      </w:divBdr>
    </w:div>
    <w:div w:id="1852722508">
      <w:bodyDiv w:val="1"/>
      <w:marLeft w:val="0"/>
      <w:marRight w:val="0"/>
      <w:marTop w:val="0"/>
      <w:marBottom w:val="0"/>
      <w:divBdr>
        <w:top w:val="none" w:sz="0" w:space="0" w:color="auto"/>
        <w:left w:val="none" w:sz="0" w:space="0" w:color="auto"/>
        <w:bottom w:val="none" w:sz="0" w:space="0" w:color="auto"/>
        <w:right w:val="none" w:sz="0" w:space="0" w:color="auto"/>
      </w:divBdr>
    </w:div>
    <w:div w:id="1854029161">
      <w:bodyDiv w:val="1"/>
      <w:marLeft w:val="0"/>
      <w:marRight w:val="0"/>
      <w:marTop w:val="0"/>
      <w:marBottom w:val="0"/>
      <w:divBdr>
        <w:top w:val="none" w:sz="0" w:space="0" w:color="auto"/>
        <w:left w:val="none" w:sz="0" w:space="0" w:color="auto"/>
        <w:bottom w:val="none" w:sz="0" w:space="0" w:color="auto"/>
        <w:right w:val="none" w:sz="0" w:space="0" w:color="auto"/>
      </w:divBdr>
    </w:div>
    <w:div w:id="1855922140">
      <w:bodyDiv w:val="1"/>
      <w:marLeft w:val="0"/>
      <w:marRight w:val="0"/>
      <w:marTop w:val="0"/>
      <w:marBottom w:val="0"/>
      <w:divBdr>
        <w:top w:val="none" w:sz="0" w:space="0" w:color="auto"/>
        <w:left w:val="none" w:sz="0" w:space="0" w:color="auto"/>
        <w:bottom w:val="none" w:sz="0" w:space="0" w:color="auto"/>
        <w:right w:val="none" w:sz="0" w:space="0" w:color="auto"/>
      </w:divBdr>
    </w:div>
    <w:div w:id="1860968789">
      <w:bodyDiv w:val="1"/>
      <w:marLeft w:val="0"/>
      <w:marRight w:val="0"/>
      <w:marTop w:val="0"/>
      <w:marBottom w:val="0"/>
      <w:divBdr>
        <w:top w:val="none" w:sz="0" w:space="0" w:color="auto"/>
        <w:left w:val="none" w:sz="0" w:space="0" w:color="auto"/>
        <w:bottom w:val="none" w:sz="0" w:space="0" w:color="auto"/>
        <w:right w:val="none" w:sz="0" w:space="0" w:color="auto"/>
      </w:divBdr>
    </w:div>
    <w:div w:id="1866674733">
      <w:bodyDiv w:val="1"/>
      <w:marLeft w:val="0"/>
      <w:marRight w:val="0"/>
      <w:marTop w:val="0"/>
      <w:marBottom w:val="0"/>
      <w:divBdr>
        <w:top w:val="none" w:sz="0" w:space="0" w:color="auto"/>
        <w:left w:val="none" w:sz="0" w:space="0" w:color="auto"/>
        <w:bottom w:val="none" w:sz="0" w:space="0" w:color="auto"/>
        <w:right w:val="none" w:sz="0" w:space="0" w:color="auto"/>
      </w:divBdr>
    </w:div>
    <w:div w:id="1867868684">
      <w:bodyDiv w:val="1"/>
      <w:marLeft w:val="0"/>
      <w:marRight w:val="0"/>
      <w:marTop w:val="0"/>
      <w:marBottom w:val="0"/>
      <w:divBdr>
        <w:top w:val="none" w:sz="0" w:space="0" w:color="auto"/>
        <w:left w:val="none" w:sz="0" w:space="0" w:color="auto"/>
        <w:bottom w:val="none" w:sz="0" w:space="0" w:color="auto"/>
        <w:right w:val="none" w:sz="0" w:space="0" w:color="auto"/>
      </w:divBdr>
    </w:div>
    <w:div w:id="1868323982">
      <w:bodyDiv w:val="1"/>
      <w:marLeft w:val="0"/>
      <w:marRight w:val="0"/>
      <w:marTop w:val="0"/>
      <w:marBottom w:val="0"/>
      <w:divBdr>
        <w:top w:val="none" w:sz="0" w:space="0" w:color="auto"/>
        <w:left w:val="none" w:sz="0" w:space="0" w:color="auto"/>
        <w:bottom w:val="none" w:sz="0" w:space="0" w:color="auto"/>
        <w:right w:val="none" w:sz="0" w:space="0" w:color="auto"/>
      </w:divBdr>
    </w:div>
    <w:div w:id="1872844376">
      <w:bodyDiv w:val="1"/>
      <w:marLeft w:val="0"/>
      <w:marRight w:val="0"/>
      <w:marTop w:val="0"/>
      <w:marBottom w:val="0"/>
      <w:divBdr>
        <w:top w:val="none" w:sz="0" w:space="0" w:color="auto"/>
        <w:left w:val="none" w:sz="0" w:space="0" w:color="auto"/>
        <w:bottom w:val="none" w:sz="0" w:space="0" w:color="auto"/>
        <w:right w:val="none" w:sz="0" w:space="0" w:color="auto"/>
      </w:divBdr>
    </w:div>
    <w:div w:id="1897427586">
      <w:bodyDiv w:val="1"/>
      <w:marLeft w:val="0"/>
      <w:marRight w:val="0"/>
      <w:marTop w:val="0"/>
      <w:marBottom w:val="0"/>
      <w:divBdr>
        <w:top w:val="none" w:sz="0" w:space="0" w:color="auto"/>
        <w:left w:val="none" w:sz="0" w:space="0" w:color="auto"/>
        <w:bottom w:val="none" w:sz="0" w:space="0" w:color="auto"/>
        <w:right w:val="none" w:sz="0" w:space="0" w:color="auto"/>
      </w:divBdr>
    </w:div>
    <w:div w:id="1900749585">
      <w:bodyDiv w:val="1"/>
      <w:marLeft w:val="0"/>
      <w:marRight w:val="0"/>
      <w:marTop w:val="0"/>
      <w:marBottom w:val="0"/>
      <w:divBdr>
        <w:top w:val="none" w:sz="0" w:space="0" w:color="auto"/>
        <w:left w:val="none" w:sz="0" w:space="0" w:color="auto"/>
        <w:bottom w:val="none" w:sz="0" w:space="0" w:color="auto"/>
        <w:right w:val="none" w:sz="0" w:space="0" w:color="auto"/>
      </w:divBdr>
    </w:div>
    <w:div w:id="1916671504">
      <w:bodyDiv w:val="1"/>
      <w:marLeft w:val="0"/>
      <w:marRight w:val="0"/>
      <w:marTop w:val="0"/>
      <w:marBottom w:val="0"/>
      <w:divBdr>
        <w:top w:val="none" w:sz="0" w:space="0" w:color="auto"/>
        <w:left w:val="none" w:sz="0" w:space="0" w:color="auto"/>
        <w:bottom w:val="none" w:sz="0" w:space="0" w:color="auto"/>
        <w:right w:val="none" w:sz="0" w:space="0" w:color="auto"/>
      </w:divBdr>
    </w:div>
    <w:div w:id="1932158333">
      <w:bodyDiv w:val="1"/>
      <w:marLeft w:val="0"/>
      <w:marRight w:val="0"/>
      <w:marTop w:val="0"/>
      <w:marBottom w:val="0"/>
      <w:divBdr>
        <w:top w:val="none" w:sz="0" w:space="0" w:color="auto"/>
        <w:left w:val="none" w:sz="0" w:space="0" w:color="auto"/>
        <w:bottom w:val="none" w:sz="0" w:space="0" w:color="auto"/>
        <w:right w:val="none" w:sz="0" w:space="0" w:color="auto"/>
      </w:divBdr>
    </w:div>
    <w:div w:id="1932421767">
      <w:bodyDiv w:val="1"/>
      <w:marLeft w:val="0"/>
      <w:marRight w:val="0"/>
      <w:marTop w:val="0"/>
      <w:marBottom w:val="0"/>
      <w:divBdr>
        <w:top w:val="none" w:sz="0" w:space="0" w:color="auto"/>
        <w:left w:val="none" w:sz="0" w:space="0" w:color="auto"/>
        <w:bottom w:val="none" w:sz="0" w:space="0" w:color="auto"/>
        <w:right w:val="none" w:sz="0" w:space="0" w:color="auto"/>
      </w:divBdr>
    </w:div>
    <w:div w:id="1933665133">
      <w:bodyDiv w:val="1"/>
      <w:marLeft w:val="0"/>
      <w:marRight w:val="0"/>
      <w:marTop w:val="0"/>
      <w:marBottom w:val="0"/>
      <w:divBdr>
        <w:top w:val="none" w:sz="0" w:space="0" w:color="auto"/>
        <w:left w:val="none" w:sz="0" w:space="0" w:color="auto"/>
        <w:bottom w:val="none" w:sz="0" w:space="0" w:color="auto"/>
        <w:right w:val="none" w:sz="0" w:space="0" w:color="auto"/>
      </w:divBdr>
    </w:div>
    <w:div w:id="1933733714">
      <w:bodyDiv w:val="1"/>
      <w:marLeft w:val="0"/>
      <w:marRight w:val="0"/>
      <w:marTop w:val="0"/>
      <w:marBottom w:val="0"/>
      <w:divBdr>
        <w:top w:val="none" w:sz="0" w:space="0" w:color="auto"/>
        <w:left w:val="none" w:sz="0" w:space="0" w:color="auto"/>
        <w:bottom w:val="none" w:sz="0" w:space="0" w:color="auto"/>
        <w:right w:val="none" w:sz="0" w:space="0" w:color="auto"/>
      </w:divBdr>
    </w:div>
    <w:div w:id="1936668753">
      <w:bodyDiv w:val="1"/>
      <w:marLeft w:val="0"/>
      <w:marRight w:val="0"/>
      <w:marTop w:val="0"/>
      <w:marBottom w:val="0"/>
      <w:divBdr>
        <w:top w:val="none" w:sz="0" w:space="0" w:color="auto"/>
        <w:left w:val="none" w:sz="0" w:space="0" w:color="auto"/>
        <w:bottom w:val="none" w:sz="0" w:space="0" w:color="auto"/>
        <w:right w:val="none" w:sz="0" w:space="0" w:color="auto"/>
      </w:divBdr>
    </w:div>
    <w:div w:id="1942446751">
      <w:bodyDiv w:val="1"/>
      <w:marLeft w:val="0"/>
      <w:marRight w:val="0"/>
      <w:marTop w:val="0"/>
      <w:marBottom w:val="0"/>
      <w:divBdr>
        <w:top w:val="none" w:sz="0" w:space="0" w:color="auto"/>
        <w:left w:val="none" w:sz="0" w:space="0" w:color="auto"/>
        <w:bottom w:val="none" w:sz="0" w:space="0" w:color="auto"/>
        <w:right w:val="none" w:sz="0" w:space="0" w:color="auto"/>
      </w:divBdr>
    </w:div>
    <w:div w:id="1945921647">
      <w:bodyDiv w:val="1"/>
      <w:marLeft w:val="0"/>
      <w:marRight w:val="0"/>
      <w:marTop w:val="0"/>
      <w:marBottom w:val="0"/>
      <w:divBdr>
        <w:top w:val="none" w:sz="0" w:space="0" w:color="auto"/>
        <w:left w:val="none" w:sz="0" w:space="0" w:color="auto"/>
        <w:bottom w:val="none" w:sz="0" w:space="0" w:color="auto"/>
        <w:right w:val="none" w:sz="0" w:space="0" w:color="auto"/>
      </w:divBdr>
    </w:div>
    <w:div w:id="1968270874">
      <w:bodyDiv w:val="1"/>
      <w:marLeft w:val="0"/>
      <w:marRight w:val="0"/>
      <w:marTop w:val="0"/>
      <w:marBottom w:val="0"/>
      <w:divBdr>
        <w:top w:val="none" w:sz="0" w:space="0" w:color="auto"/>
        <w:left w:val="none" w:sz="0" w:space="0" w:color="auto"/>
        <w:bottom w:val="none" w:sz="0" w:space="0" w:color="auto"/>
        <w:right w:val="none" w:sz="0" w:space="0" w:color="auto"/>
      </w:divBdr>
    </w:div>
    <w:div w:id="1973706381">
      <w:bodyDiv w:val="1"/>
      <w:marLeft w:val="0"/>
      <w:marRight w:val="0"/>
      <w:marTop w:val="0"/>
      <w:marBottom w:val="0"/>
      <w:divBdr>
        <w:top w:val="none" w:sz="0" w:space="0" w:color="auto"/>
        <w:left w:val="none" w:sz="0" w:space="0" w:color="auto"/>
        <w:bottom w:val="none" w:sz="0" w:space="0" w:color="auto"/>
        <w:right w:val="none" w:sz="0" w:space="0" w:color="auto"/>
      </w:divBdr>
    </w:div>
    <w:div w:id="1985964347">
      <w:bodyDiv w:val="1"/>
      <w:marLeft w:val="0"/>
      <w:marRight w:val="0"/>
      <w:marTop w:val="0"/>
      <w:marBottom w:val="0"/>
      <w:divBdr>
        <w:top w:val="none" w:sz="0" w:space="0" w:color="auto"/>
        <w:left w:val="none" w:sz="0" w:space="0" w:color="auto"/>
        <w:bottom w:val="none" w:sz="0" w:space="0" w:color="auto"/>
        <w:right w:val="none" w:sz="0" w:space="0" w:color="auto"/>
      </w:divBdr>
    </w:div>
    <w:div w:id="1995252132">
      <w:bodyDiv w:val="1"/>
      <w:marLeft w:val="0"/>
      <w:marRight w:val="0"/>
      <w:marTop w:val="0"/>
      <w:marBottom w:val="0"/>
      <w:divBdr>
        <w:top w:val="none" w:sz="0" w:space="0" w:color="auto"/>
        <w:left w:val="none" w:sz="0" w:space="0" w:color="auto"/>
        <w:bottom w:val="none" w:sz="0" w:space="0" w:color="auto"/>
        <w:right w:val="none" w:sz="0" w:space="0" w:color="auto"/>
      </w:divBdr>
    </w:div>
    <w:div w:id="1998796947">
      <w:bodyDiv w:val="1"/>
      <w:marLeft w:val="0"/>
      <w:marRight w:val="0"/>
      <w:marTop w:val="0"/>
      <w:marBottom w:val="0"/>
      <w:divBdr>
        <w:top w:val="none" w:sz="0" w:space="0" w:color="auto"/>
        <w:left w:val="none" w:sz="0" w:space="0" w:color="auto"/>
        <w:bottom w:val="none" w:sz="0" w:space="0" w:color="auto"/>
        <w:right w:val="none" w:sz="0" w:space="0" w:color="auto"/>
      </w:divBdr>
    </w:div>
    <w:div w:id="2009559594">
      <w:bodyDiv w:val="1"/>
      <w:marLeft w:val="0"/>
      <w:marRight w:val="0"/>
      <w:marTop w:val="0"/>
      <w:marBottom w:val="0"/>
      <w:divBdr>
        <w:top w:val="none" w:sz="0" w:space="0" w:color="auto"/>
        <w:left w:val="none" w:sz="0" w:space="0" w:color="auto"/>
        <w:bottom w:val="none" w:sz="0" w:space="0" w:color="auto"/>
        <w:right w:val="none" w:sz="0" w:space="0" w:color="auto"/>
      </w:divBdr>
    </w:div>
    <w:div w:id="2022705072">
      <w:bodyDiv w:val="1"/>
      <w:marLeft w:val="0"/>
      <w:marRight w:val="0"/>
      <w:marTop w:val="0"/>
      <w:marBottom w:val="0"/>
      <w:divBdr>
        <w:top w:val="none" w:sz="0" w:space="0" w:color="auto"/>
        <w:left w:val="none" w:sz="0" w:space="0" w:color="auto"/>
        <w:bottom w:val="none" w:sz="0" w:space="0" w:color="auto"/>
        <w:right w:val="none" w:sz="0" w:space="0" w:color="auto"/>
      </w:divBdr>
    </w:div>
    <w:div w:id="2029597403">
      <w:bodyDiv w:val="1"/>
      <w:marLeft w:val="0"/>
      <w:marRight w:val="0"/>
      <w:marTop w:val="0"/>
      <w:marBottom w:val="0"/>
      <w:divBdr>
        <w:top w:val="none" w:sz="0" w:space="0" w:color="auto"/>
        <w:left w:val="none" w:sz="0" w:space="0" w:color="auto"/>
        <w:bottom w:val="none" w:sz="0" w:space="0" w:color="auto"/>
        <w:right w:val="none" w:sz="0" w:space="0" w:color="auto"/>
      </w:divBdr>
    </w:div>
    <w:div w:id="2046103613">
      <w:bodyDiv w:val="1"/>
      <w:marLeft w:val="0"/>
      <w:marRight w:val="0"/>
      <w:marTop w:val="0"/>
      <w:marBottom w:val="0"/>
      <w:divBdr>
        <w:top w:val="none" w:sz="0" w:space="0" w:color="auto"/>
        <w:left w:val="none" w:sz="0" w:space="0" w:color="auto"/>
        <w:bottom w:val="none" w:sz="0" w:space="0" w:color="auto"/>
        <w:right w:val="none" w:sz="0" w:space="0" w:color="auto"/>
      </w:divBdr>
    </w:div>
    <w:div w:id="2047827449">
      <w:bodyDiv w:val="1"/>
      <w:marLeft w:val="0"/>
      <w:marRight w:val="0"/>
      <w:marTop w:val="0"/>
      <w:marBottom w:val="0"/>
      <w:divBdr>
        <w:top w:val="none" w:sz="0" w:space="0" w:color="auto"/>
        <w:left w:val="none" w:sz="0" w:space="0" w:color="auto"/>
        <w:bottom w:val="none" w:sz="0" w:space="0" w:color="auto"/>
        <w:right w:val="none" w:sz="0" w:space="0" w:color="auto"/>
      </w:divBdr>
    </w:div>
    <w:div w:id="2048488211">
      <w:bodyDiv w:val="1"/>
      <w:marLeft w:val="0"/>
      <w:marRight w:val="0"/>
      <w:marTop w:val="0"/>
      <w:marBottom w:val="0"/>
      <w:divBdr>
        <w:top w:val="none" w:sz="0" w:space="0" w:color="auto"/>
        <w:left w:val="none" w:sz="0" w:space="0" w:color="auto"/>
        <w:bottom w:val="none" w:sz="0" w:space="0" w:color="auto"/>
        <w:right w:val="none" w:sz="0" w:space="0" w:color="auto"/>
      </w:divBdr>
    </w:div>
    <w:div w:id="2049404741">
      <w:bodyDiv w:val="1"/>
      <w:marLeft w:val="0"/>
      <w:marRight w:val="0"/>
      <w:marTop w:val="0"/>
      <w:marBottom w:val="0"/>
      <w:divBdr>
        <w:top w:val="none" w:sz="0" w:space="0" w:color="auto"/>
        <w:left w:val="none" w:sz="0" w:space="0" w:color="auto"/>
        <w:bottom w:val="none" w:sz="0" w:space="0" w:color="auto"/>
        <w:right w:val="none" w:sz="0" w:space="0" w:color="auto"/>
      </w:divBdr>
    </w:div>
    <w:div w:id="2053967265">
      <w:bodyDiv w:val="1"/>
      <w:marLeft w:val="0"/>
      <w:marRight w:val="0"/>
      <w:marTop w:val="0"/>
      <w:marBottom w:val="0"/>
      <w:divBdr>
        <w:top w:val="none" w:sz="0" w:space="0" w:color="auto"/>
        <w:left w:val="none" w:sz="0" w:space="0" w:color="auto"/>
        <w:bottom w:val="none" w:sz="0" w:space="0" w:color="auto"/>
        <w:right w:val="none" w:sz="0" w:space="0" w:color="auto"/>
      </w:divBdr>
    </w:div>
    <w:div w:id="2056732365">
      <w:bodyDiv w:val="1"/>
      <w:marLeft w:val="0"/>
      <w:marRight w:val="0"/>
      <w:marTop w:val="0"/>
      <w:marBottom w:val="0"/>
      <w:divBdr>
        <w:top w:val="none" w:sz="0" w:space="0" w:color="auto"/>
        <w:left w:val="none" w:sz="0" w:space="0" w:color="auto"/>
        <w:bottom w:val="none" w:sz="0" w:space="0" w:color="auto"/>
        <w:right w:val="none" w:sz="0" w:space="0" w:color="auto"/>
      </w:divBdr>
    </w:div>
    <w:div w:id="2063820587">
      <w:bodyDiv w:val="1"/>
      <w:marLeft w:val="0"/>
      <w:marRight w:val="0"/>
      <w:marTop w:val="0"/>
      <w:marBottom w:val="0"/>
      <w:divBdr>
        <w:top w:val="none" w:sz="0" w:space="0" w:color="auto"/>
        <w:left w:val="none" w:sz="0" w:space="0" w:color="auto"/>
        <w:bottom w:val="none" w:sz="0" w:space="0" w:color="auto"/>
        <w:right w:val="none" w:sz="0" w:space="0" w:color="auto"/>
      </w:divBdr>
    </w:div>
    <w:div w:id="2072656280">
      <w:bodyDiv w:val="1"/>
      <w:marLeft w:val="0"/>
      <w:marRight w:val="0"/>
      <w:marTop w:val="0"/>
      <w:marBottom w:val="0"/>
      <w:divBdr>
        <w:top w:val="none" w:sz="0" w:space="0" w:color="auto"/>
        <w:left w:val="none" w:sz="0" w:space="0" w:color="auto"/>
        <w:bottom w:val="none" w:sz="0" w:space="0" w:color="auto"/>
        <w:right w:val="none" w:sz="0" w:space="0" w:color="auto"/>
      </w:divBdr>
    </w:div>
    <w:div w:id="2076465732">
      <w:bodyDiv w:val="1"/>
      <w:marLeft w:val="0"/>
      <w:marRight w:val="0"/>
      <w:marTop w:val="0"/>
      <w:marBottom w:val="0"/>
      <w:divBdr>
        <w:top w:val="none" w:sz="0" w:space="0" w:color="auto"/>
        <w:left w:val="none" w:sz="0" w:space="0" w:color="auto"/>
        <w:bottom w:val="none" w:sz="0" w:space="0" w:color="auto"/>
        <w:right w:val="none" w:sz="0" w:space="0" w:color="auto"/>
      </w:divBdr>
    </w:div>
    <w:div w:id="2083259364">
      <w:bodyDiv w:val="1"/>
      <w:marLeft w:val="0"/>
      <w:marRight w:val="0"/>
      <w:marTop w:val="0"/>
      <w:marBottom w:val="0"/>
      <w:divBdr>
        <w:top w:val="none" w:sz="0" w:space="0" w:color="auto"/>
        <w:left w:val="none" w:sz="0" w:space="0" w:color="auto"/>
        <w:bottom w:val="none" w:sz="0" w:space="0" w:color="auto"/>
        <w:right w:val="none" w:sz="0" w:space="0" w:color="auto"/>
      </w:divBdr>
    </w:div>
    <w:div w:id="2094204505">
      <w:bodyDiv w:val="1"/>
      <w:marLeft w:val="0"/>
      <w:marRight w:val="0"/>
      <w:marTop w:val="0"/>
      <w:marBottom w:val="0"/>
      <w:divBdr>
        <w:top w:val="none" w:sz="0" w:space="0" w:color="auto"/>
        <w:left w:val="none" w:sz="0" w:space="0" w:color="auto"/>
        <w:bottom w:val="none" w:sz="0" w:space="0" w:color="auto"/>
        <w:right w:val="none" w:sz="0" w:space="0" w:color="auto"/>
      </w:divBdr>
    </w:div>
    <w:div w:id="2098790912">
      <w:bodyDiv w:val="1"/>
      <w:marLeft w:val="0"/>
      <w:marRight w:val="0"/>
      <w:marTop w:val="0"/>
      <w:marBottom w:val="0"/>
      <w:divBdr>
        <w:top w:val="none" w:sz="0" w:space="0" w:color="auto"/>
        <w:left w:val="none" w:sz="0" w:space="0" w:color="auto"/>
        <w:bottom w:val="none" w:sz="0" w:space="0" w:color="auto"/>
        <w:right w:val="none" w:sz="0" w:space="0" w:color="auto"/>
      </w:divBdr>
    </w:div>
    <w:div w:id="2132823212">
      <w:bodyDiv w:val="1"/>
      <w:marLeft w:val="0"/>
      <w:marRight w:val="0"/>
      <w:marTop w:val="0"/>
      <w:marBottom w:val="0"/>
      <w:divBdr>
        <w:top w:val="none" w:sz="0" w:space="0" w:color="auto"/>
        <w:left w:val="none" w:sz="0" w:space="0" w:color="auto"/>
        <w:bottom w:val="none" w:sz="0" w:space="0" w:color="auto"/>
        <w:right w:val="none" w:sz="0" w:space="0" w:color="auto"/>
      </w:divBdr>
    </w:div>
    <w:div w:id="2138714429">
      <w:bodyDiv w:val="1"/>
      <w:marLeft w:val="0"/>
      <w:marRight w:val="0"/>
      <w:marTop w:val="0"/>
      <w:marBottom w:val="0"/>
      <w:divBdr>
        <w:top w:val="none" w:sz="0" w:space="0" w:color="auto"/>
        <w:left w:val="none" w:sz="0" w:space="0" w:color="auto"/>
        <w:bottom w:val="none" w:sz="0" w:space="0" w:color="auto"/>
        <w:right w:val="none" w:sz="0" w:space="0" w:color="auto"/>
      </w:divBdr>
    </w:div>
    <w:div w:id="214703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12.png"/><Relationship Id="rId21" Type="http://schemas.openxmlformats.org/officeDocument/2006/relationships/diagramData" Target="diagrams/data3.xml"/><Relationship Id="rId34" Type="http://schemas.openxmlformats.org/officeDocument/2006/relationships/image" Target="media/image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itgi.org/"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37E32-5775-4FB2-A68B-A570F129FC95}"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D0C6D90B-B056-45E6-A294-CCD93E928DE5}">
      <dgm:prSet custT="1"/>
      <dgm:spPr>
        <a:xfrm>
          <a:off x="2946" y="1960295"/>
          <a:ext cx="772285" cy="103911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hueOff val="0"/>
                  <a:satOff val="0"/>
                  <a:lumOff val="0"/>
                  <a:alphaOff val="0"/>
                </a:sysClr>
              </a:solidFill>
              <a:latin typeface="Times New Roman"/>
              <a:ea typeface="+mn-ea"/>
              <a:cs typeface="+mn-cs"/>
            </a:rPr>
            <a:t>YÖNETİŞİM SÜREÇLERİ </a:t>
          </a:r>
        </a:p>
        <a:p>
          <a:r>
            <a:rPr lang="tr-TR" sz="800">
              <a:solidFill>
                <a:sysClr val="windowText" lastClr="000000">
                  <a:hueOff val="0"/>
                  <a:satOff val="0"/>
                  <a:lumOff val="0"/>
                  <a:alphaOff val="0"/>
                </a:sysClr>
              </a:solidFill>
              <a:latin typeface="Times New Roman"/>
              <a:ea typeface="+mn-ea"/>
              <a:cs typeface="+mn-cs"/>
            </a:rPr>
            <a:t>Değerlendir, Yönlendir ve İzle (EDM)</a:t>
          </a:r>
          <a:endParaRPr lang="en-US" sz="800">
            <a:solidFill>
              <a:sysClr val="windowText" lastClr="000000">
                <a:hueOff val="0"/>
                <a:satOff val="0"/>
                <a:lumOff val="0"/>
                <a:alphaOff val="0"/>
              </a:sysClr>
            </a:solidFill>
            <a:latin typeface="Times New Roman"/>
            <a:ea typeface="+mn-ea"/>
            <a:cs typeface="+mn-cs"/>
          </a:endParaRPr>
        </a:p>
      </dgm:t>
    </dgm:pt>
    <dgm:pt modelId="{9C43393A-4525-42D3-B4D7-948901F16A64}" type="parTrans" cxnId="{FE839EF1-74DC-4006-8229-18A4471E8906}">
      <dgm:prSet/>
      <dgm:spPr/>
      <dgm:t>
        <a:bodyPr/>
        <a:lstStyle/>
        <a:p>
          <a:endParaRPr lang="en-US"/>
        </a:p>
      </dgm:t>
    </dgm:pt>
    <dgm:pt modelId="{64844C4D-567D-45C3-99B4-4637BD0AEBA0}" type="sibTrans" cxnId="{FE839EF1-74DC-4006-8229-18A4471E8906}">
      <dgm:prSet/>
      <dgm:spPr/>
      <dgm:t>
        <a:bodyPr/>
        <a:lstStyle/>
        <a:p>
          <a:endParaRPr lang="en-US"/>
        </a:p>
      </dgm:t>
    </dgm:pt>
    <dgm:pt modelId="{24D227A0-BBDF-4B56-9BF9-F480F43FD490}">
      <dgm:prSet custT="1"/>
      <dgm:spPr>
        <a:xfrm>
          <a:off x="1049103" y="431848"/>
          <a:ext cx="913062" cy="55278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hueOff val="0"/>
                  <a:satOff val="0"/>
                  <a:lumOff val="0"/>
                  <a:alphaOff val="0"/>
                </a:sysClr>
              </a:solidFill>
              <a:latin typeface="Times New Roman"/>
              <a:ea typeface="+mn-ea"/>
              <a:cs typeface="+mn-cs"/>
            </a:rPr>
            <a:t>Yönetişim çerçevesi kur ve sürdür (EDM01)</a:t>
          </a:r>
          <a:endParaRPr lang="en-US" sz="800">
            <a:solidFill>
              <a:sysClr val="windowText" lastClr="000000">
                <a:hueOff val="0"/>
                <a:satOff val="0"/>
                <a:lumOff val="0"/>
                <a:alphaOff val="0"/>
              </a:sysClr>
            </a:solidFill>
            <a:latin typeface="Times New Roman"/>
            <a:ea typeface="+mn-ea"/>
            <a:cs typeface="+mn-cs"/>
          </a:endParaRPr>
        </a:p>
      </dgm:t>
    </dgm:pt>
    <dgm:pt modelId="{CC95CEDE-8678-4BB5-AC3B-D35B549F32EA}" type="parTrans" cxnId="{65A618CD-A2AD-4133-AD9C-279A143E6F94}">
      <dgm:prSet/>
      <dgm:spPr>
        <a:xfrm rot="16727265">
          <a:off x="15840" y="1587835"/>
          <a:ext cx="1792655" cy="12424"/>
        </a:xfrm>
        <a:noFill/>
        <a:ln w="25400" cap="flat" cmpd="sng" algn="ctr">
          <a:solidFill>
            <a:sysClr val="windowText" lastClr="000000">
              <a:shade val="6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C048C5E3-FF0E-47E9-AB6A-E03848FDFA6F}" type="sibTrans" cxnId="{65A618CD-A2AD-4133-AD9C-279A143E6F94}">
      <dgm:prSet/>
      <dgm:spPr/>
      <dgm:t>
        <a:bodyPr/>
        <a:lstStyle/>
        <a:p>
          <a:endParaRPr lang="en-US"/>
        </a:p>
      </dgm:t>
    </dgm:pt>
    <dgm:pt modelId="{65EC3851-A3DD-407B-A2FF-135A6189B8E0}">
      <dgm:prSet custT="1"/>
      <dgm:spPr>
        <a:xfrm>
          <a:off x="1049103" y="1612922"/>
          <a:ext cx="913062" cy="55278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hueOff val="0"/>
                  <a:satOff val="0"/>
                  <a:lumOff val="0"/>
                  <a:alphaOff val="0"/>
                </a:sysClr>
              </a:solidFill>
              <a:latin typeface="Times New Roman"/>
              <a:ea typeface="+mn-ea"/>
              <a:cs typeface="+mn-cs"/>
            </a:rPr>
            <a:t>Fayda oluşturulmasını sağla (EDM02)</a:t>
          </a:r>
          <a:endParaRPr lang="en-US" sz="800">
            <a:solidFill>
              <a:sysClr val="windowText" lastClr="000000">
                <a:hueOff val="0"/>
                <a:satOff val="0"/>
                <a:lumOff val="0"/>
                <a:alphaOff val="0"/>
              </a:sysClr>
            </a:solidFill>
            <a:latin typeface="Times New Roman"/>
            <a:ea typeface="+mn-ea"/>
            <a:cs typeface="+mn-cs"/>
          </a:endParaRPr>
        </a:p>
      </dgm:t>
    </dgm:pt>
    <dgm:pt modelId="{448755EE-2FCF-473D-BE4A-8ECCFFF5E3FC}" type="parTrans" cxnId="{EE752EFE-E0E4-42EA-921B-E39C9D702D4B}">
      <dgm:prSet/>
      <dgm:spPr>
        <a:xfrm rot="17692822">
          <a:off x="586691" y="2178372"/>
          <a:ext cx="650953" cy="12424"/>
        </a:xfrm>
        <a:noFill/>
        <a:ln w="25400" cap="flat" cmpd="sng" algn="ctr">
          <a:solidFill>
            <a:sysClr val="windowText" lastClr="000000">
              <a:shade val="6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0E9CB437-508B-4AF7-BC12-E996787B6376}" type="sibTrans" cxnId="{EE752EFE-E0E4-42EA-921B-E39C9D702D4B}">
      <dgm:prSet/>
      <dgm:spPr/>
      <dgm:t>
        <a:bodyPr/>
        <a:lstStyle/>
        <a:p>
          <a:endParaRPr lang="en-US"/>
        </a:p>
      </dgm:t>
    </dgm:pt>
    <dgm:pt modelId="{A8398DA4-7B41-4F6D-99C7-4C888E5FAEAA}">
      <dgm:prSet custT="1"/>
      <dgm:spPr>
        <a:xfrm>
          <a:off x="1049103" y="2785744"/>
          <a:ext cx="913062" cy="56929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hueOff val="0"/>
                  <a:satOff val="0"/>
                  <a:lumOff val="0"/>
                  <a:alphaOff val="0"/>
                </a:sysClr>
              </a:solidFill>
              <a:latin typeface="Times New Roman"/>
              <a:ea typeface="+mn-ea"/>
              <a:cs typeface="+mn-cs"/>
            </a:rPr>
            <a:t>Risk optimizasyonunu sağla (EDM03)</a:t>
          </a:r>
          <a:endParaRPr lang="en-US" sz="800">
            <a:solidFill>
              <a:sysClr val="windowText" lastClr="000000">
                <a:hueOff val="0"/>
                <a:satOff val="0"/>
                <a:lumOff val="0"/>
                <a:alphaOff val="0"/>
              </a:sysClr>
            </a:solidFill>
            <a:latin typeface="Times New Roman"/>
            <a:ea typeface="+mn-ea"/>
            <a:cs typeface="+mn-cs"/>
          </a:endParaRPr>
        </a:p>
      </dgm:t>
    </dgm:pt>
    <dgm:pt modelId="{188DADBB-5C4D-4C45-B928-DFEFD7673486}" type="parTrans" cxnId="{9EC1CD19-7F41-4386-842B-8A7206C615A9}">
      <dgm:prSet/>
      <dgm:spPr>
        <a:xfrm rot="3907178">
          <a:off x="586691" y="2768909"/>
          <a:ext cx="650953" cy="12424"/>
        </a:xfrm>
        <a:noFill/>
        <a:ln w="25400" cap="flat" cmpd="sng" algn="ctr">
          <a:solidFill>
            <a:sysClr val="windowText" lastClr="000000">
              <a:shade val="6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83E76F9E-EE2F-40B8-85E7-3646256B7EE0}" type="sibTrans" cxnId="{9EC1CD19-7F41-4386-842B-8A7206C615A9}">
      <dgm:prSet/>
      <dgm:spPr/>
      <dgm:t>
        <a:bodyPr/>
        <a:lstStyle/>
        <a:p>
          <a:endParaRPr lang="en-US"/>
        </a:p>
      </dgm:t>
    </dgm:pt>
    <dgm:pt modelId="{3DCF13E9-D3EE-4EC9-BAA2-D802CAB7191E}">
      <dgm:prSet custT="1"/>
      <dgm:spPr>
        <a:xfrm>
          <a:off x="1049103" y="3975070"/>
          <a:ext cx="913062" cy="55278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hueOff val="0"/>
                  <a:satOff val="0"/>
                  <a:lumOff val="0"/>
                  <a:alphaOff val="0"/>
                </a:sysClr>
              </a:solidFill>
              <a:latin typeface="Times New Roman"/>
              <a:ea typeface="+mn-ea"/>
              <a:cs typeface="+mn-cs"/>
            </a:rPr>
            <a:t>Kaynak Optimizasyonu Sağla (EDM04)</a:t>
          </a:r>
          <a:endParaRPr lang="en-US" sz="800">
            <a:solidFill>
              <a:sysClr val="windowText" lastClr="000000">
                <a:hueOff val="0"/>
                <a:satOff val="0"/>
                <a:lumOff val="0"/>
                <a:alphaOff val="0"/>
              </a:sysClr>
            </a:solidFill>
            <a:latin typeface="Times New Roman"/>
            <a:ea typeface="+mn-ea"/>
            <a:cs typeface="+mn-cs"/>
          </a:endParaRPr>
        </a:p>
      </dgm:t>
    </dgm:pt>
    <dgm:pt modelId="{58A50F1D-6F60-4208-8214-29EB206E3A56}" type="parTrans" cxnId="{7025934A-62F2-4FD9-A78F-68ACBE0B5DE0}">
      <dgm:prSet/>
      <dgm:spPr>
        <a:xfrm rot="4872735">
          <a:off x="15840" y="3359446"/>
          <a:ext cx="1792655" cy="12424"/>
        </a:xfrm>
        <a:noFill/>
        <a:ln w="25400" cap="flat" cmpd="sng" algn="ctr">
          <a:solidFill>
            <a:sysClr val="windowText" lastClr="000000">
              <a:shade val="6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E9B373D7-7C95-4FF5-BBDB-83B7B7357C19}" type="sibTrans" cxnId="{7025934A-62F2-4FD9-A78F-68ACBE0B5DE0}">
      <dgm:prSet/>
      <dgm:spPr/>
      <dgm:t>
        <a:bodyPr/>
        <a:lstStyle/>
        <a:p>
          <a:endParaRPr lang="en-US"/>
        </a:p>
      </dgm:t>
    </dgm:pt>
    <dgm:pt modelId="{EBA07376-F956-45D6-8542-DF361617A73D}">
      <dgm:prSet custT="1"/>
      <dgm:spPr>
        <a:xfrm>
          <a:off x="2236039" y="143380"/>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Yönetişim sistemini değerlendir (EDM01.01)</a:t>
          </a:r>
          <a:endParaRPr lang="en-US" sz="800">
            <a:solidFill>
              <a:sysClr val="windowText" lastClr="000000">
                <a:hueOff val="0"/>
                <a:satOff val="0"/>
                <a:lumOff val="0"/>
                <a:alphaOff val="0"/>
              </a:sysClr>
            </a:solidFill>
            <a:latin typeface="Times New Roman"/>
            <a:ea typeface="+mn-ea"/>
            <a:cs typeface="+mn-cs"/>
          </a:endParaRPr>
        </a:p>
      </dgm:t>
    </dgm:pt>
    <dgm:pt modelId="{EE726109-C825-4AEA-96A0-6526C44D3892}" type="parTrans" cxnId="{68AE4AAB-D76F-4902-9824-CC5CF2A3AA08}">
      <dgm:prSet/>
      <dgm:spPr>
        <a:xfrm rot="18289469">
          <a:off x="1859311" y="505183"/>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441204E5-1D41-4A56-9771-8BCC30CE2D60}" type="sibTrans" cxnId="{68AE4AAB-D76F-4902-9824-CC5CF2A3AA08}">
      <dgm:prSet/>
      <dgm:spPr/>
      <dgm:t>
        <a:bodyPr/>
        <a:lstStyle/>
        <a:p>
          <a:endParaRPr lang="en-US"/>
        </a:p>
      </dgm:t>
    </dgm:pt>
    <dgm:pt modelId="{9F49B35D-9ABA-4DCE-AD45-2E6F840BC2B0}">
      <dgm:prSet custT="1"/>
      <dgm:spPr>
        <a:xfrm>
          <a:off x="2238985" y="1319959"/>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Değer optimizasyonunu değerlendir (EDM02.01)</a:t>
          </a:r>
          <a:endParaRPr lang="en-US" sz="800">
            <a:solidFill>
              <a:sysClr val="windowText" lastClr="000000">
                <a:hueOff val="0"/>
                <a:satOff val="0"/>
                <a:lumOff val="0"/>
                <a:alphaOff val="0"/>
              </a:sysClr>
            </a:solidFill>
            <a:latin typeface="Times New Roman"/>
            <a:ea typeface="+mn-ea"/>
            <a:cs typeface="+mn-cs"/>
          </a:endParaRPr>
        </a:p>
      </dgm:t>
    </dgm:pt>
    <dgm:pt modelId="{8AD261F5-E90A-47DC-8A7C-058B7D429DD9}" type="parTrans" cxnId="{AFC33B46-22E5-497C-BFD8-97DACCCF4838}">
      <dgm:prSet/>
      <dgm:spPr>
        <a:xfrm rot="18288417">
          <a:off x="1858098" y="1684010"/>
          <a:ext cx="484954"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F8FD9046-9606-4527-85D9-7229AEAA4DD9}" type="sibTrans" cxnId="{AFC33B46-22E5-497C-BFD8-97DACCCF4838}">
      <dgm:prSet/>
      <dgm:spPr/>
      <dgm:t>
        <a:bodyPr/>
        <a:lstStyle/>
        <a:p>
          <a:endParaRPr lang="en-US"/>
        </a:p>
      </dgm:t>
    </dgm:pt>
    <dgm:pt modelId="{BC3BB247-F050-40E3-BD1C-347B0ED61CA7}">
      <dgm:prSet custT="1"/>
      <dgm:spPr>
        <a:xfrm>
          <a:off x="2236039" y="2505528"/>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Risk yönetimini değerlendir (EDM03.01)</a:t>
          </a:r>
          <a:endParaRPr lang="en-US" sz="800">
            <a:solidFill>
              <a:sysClr val="windowText" lastClr="000000">
                <a:hueOff val="0"/>
                <a:satOff val="0"/>
                <a:lumOff val="0"/>
                <a:alphaOff val="0"/>
              </a:sysClr>
            </a:solidFill>
            <a:latin typeface="Times New Roman"/>
            <a:ea typeface="+mn-ea"/>
            <a:cs typeface="+mn-cs"/>
          </a:endParaRPr>
        </a:p>
      </dgm:t>
    </dgm:pt>
    <dgm:pt modelId="{3CDC391F-01A5-4CF3-8011-19F1EE57B850}" type="parTrans" cxnId="{981A972A-C7F1-4F77-B402-B497A43F23C6}">
      <dgm:prSet/>
      <dgm:spPr>
        <a:xfrm rot="18289469">
          <a:off x="1859311" y="2867332"/>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53A33294-EDBF-449C-831C-08F7E1C3DF5D}" type="sibTrans" cxnId="{981A972A-C7F1-4F77-B402-B497A43F23C6}">
      <dgm:prSet/>
      <dgm:spPr/>
      <dgm:t>
        <a:bodyPr/>
        <a:lstStyle/>
        <a:p>
          <a:endParaRPr lang="en-US"/>
        </a:p>
      </dgm:t>
    </dgm:pt>
    <dgm:pt modelId="{836EA24E-B8B7-43E4-A71A-A2A3C89E5B50}">
      <dgm:prSet custT="1"/>
      <dgm:spPr>
        <a:xfrm>
          <a:off x="2236039" y="3686602"/>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Kaynak yönetimini değerlendir (EDM04.01)</a:t>
          </a:r>
          <a:endParaRPr lang="en-US" sz="800">
            <a:solidFill>
              <a:sysClr val="windowText" lastClr="000000">
                <a:hueOff val="0"/>
                <a:satOff val="0"/>
                <a:lumOff val="0"/>
                <a:alphaOff val="0"/>
              </a:sysClr>
            </a:solidFill>
            <a:latin typeface="Times New Roman"/>
            <a:ea typeface="+mn-ea"/>
            <a:cs typeface="+mn-cs"/>
          </a:endParaRPr>
        </a:p>
      </dgm:t>
    </dgm:pt>
    <dgm:pt modelId="{0B443AE9-0EA3-4602-AADA-77E7E38790B9}" type="parTrans" cxnId="{68E01D61-5993-4D0B-8AF0-24A225760986}">
      <dgm:prSet/>
      <dgm:spPr>
        <a:xfrm rot="18289469">
          <a:off x="1859311" y="4048406"/>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BF6FA69C-491F-4138-94F5-26A6E6DCD244}" type="sibTrans" cxnId="{68E01D61-5993-4D0B-8AF0-24A225760986}">
      <dgm:prSet/>
      <dgm:spPr/>
      <dgm:t>
        <a:bodyPr/>
        <a:lstStyle/>
        <a:p>
          <a:endParaRPr lang="en-US"/>
        </a:p>
      </dgm:t>
    </dgm:pt>
    <dgm:pt modelId="{82FC6AD7-5C77-41C6-833E-B09953D2E826}">
      <dgm:prSet custT="1"/>
      <dgm:spPr>
        <a:xfrm>
          <a:off x="2236039" y="537071"/>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Yönetişim sistemini yönlendir, Liderleri bilgilendir ve destek, ortaklık ve bağlılıklarını sağla (EDM01.02)</a:t>
          </a:r>
          <a:endParaRPr lang="en-US" sz="800">
            <a:solidFill>
              <a:sysClr val="windowText" lastClr="000000">
                <a:hueOff val="0"/>
                <a:satOff val="0"/>
                <a:lumOff val="0"/>
                <a:alphaOff val="0"/>
              </a:sysClr>
            </a:solidFill>
            <a:latin typeface="Times New Roman"/>
            <a:ea typeface="+mn-ea"/>
            <a:cs typeface="+mn-cs"/>
          </a:endParaRPr>
        </a:p>
      </dgm:t>
    </dgm:pt>
    <dgm:pt modelId="{BB1F1621-8D8A-47C5-9CF3-6182F934FDE2}" type="parTrans" cxnId="{6E5E5047-F1E1-43A3-8778-CD0D0869C304}">
      <dgm:prSet/>
      <dgm:spPr>
        <a:xfrm>
          <a:off x="1962166" y="702029"/>
          <a:ext cx="27387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96A9D009-8181-4673-98AD-396458DB28E0}" type="sibTrans" cxnId="{6E5E5047-F1E1-43A3-8778-CD0D0869C304}">
      <dgm:prSet/>
      <dgm:spPr/>
      <dgm:t>
        <a:bodyPr/>
        <a:lstStyle/>
        <a:p>
          <a:endParaRPr lang="en-US"/>
        </a:p>
      </dgm:t>
    </dgm:pt>
    <dgm:pt modelId="{39DC7898-CFFA-4F10-B9B5-64F5C5A3B7E3}">
      <dgm:prSet custT="1"/>
      <dgm:spPr>
        <a:xfrm>
          <a:off x="2236039" y="930762"/>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Yönetişim sistemini izle,  kalkınma ajansının BT yönetişim etkinliği ve performansını izle (EDM01.03)</a:t>
          </a:r>
          <a:endParaRPr lang="en-US" sz="800">
            <a:solidFill>
              <a:sysClr val="windowText" lastClr="000000">
                <a:hueOff val="0"/>
                <a:satOff val="0"/>
                <a:lumOff val="0"/>
                <a:alphaOff val="0"/>
              </a:sysClr>
            </a:solidFill>
            <a:latin typeface="Times New Roman"/>
            <a:ea typeface="+mn-ea"/>
            <a:cs typeface="+mn-cs"/>
          </a:endParaRPr>
        </a:p>
      </dgm:t>
    </dgm:pt>
    <dgm:pt modelId="{5988D4D9-80B7-40F7-A039-E4336803005A}" type="parTrans" cxnId="{809760FD-745E-428B-940B-1645884F8B78}">
      <dgm:prSet/>
      <dgm:spPr>
        <a:xfrm rot="3310531">
          <a:off x="1859311" y="898875"/>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3830031E-B7FD-4146-85FC-7AC1899D21FC}" type="sibTrans" cxnId="{809760FD-745E-428B-940B-1645884F8B78}">
      <dgm:prSet/>
      <dgm:spPr/>
      <dgm:t>
        <a:bodyPr/>
        <a:lstStyle/>
        <a:p>
          <a:endParaRPr lang="en-US"/>
        </a:p>
      </dgm:t>
    </dgm:pt>
    <dgm:pt modelId="{4BD1CBCA-485F-4AF6-B0B2-F13DF6D04F18}">
      <dgm:prSet custT="1"/>
      <dgm:spPr>
        <a:xfrm>
          <a:off x="2236039" y="1718145"/>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Değer optimizasyonunu yönlendir (EDM02.02)</a:t>
          </a:r>
          <a:endParaRPr lang="en-US" sz="800">
            <a:solidFill>
              <a:sysClr val="windowText" lastClr="000000">
                <a:hueOff val="0"/>
                <a:satOff val="0"/>
                <a:lumOff val="0"/>
                <a:alphaOff val="0"/>
              </a:sysClr>
            </a:solidFill>
            <a:latin typeface="Times New Roman"/>
            <a:ea typeface="+mn-ea"/>
            <a:cs typeface="+mn-cs"/>
          </a:endParaRPr>
        </a:p>
      </dgm:t>
    </dgm:pt>
    <dgm:pt modelId="{B181078E-0E7D-45E3-A257-C12EEE358439}" type="parTrans" cxnId="{46235D75-E51E-4B45-A59A-42FA7AB476A3}">
      <dgm:prSet/>
      <dgm:spPr>
        <a:xfrm>
          <a:off x="1962166" y="1883103"/>
          <a:ext cx="27387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7EECE5DE-958A-4B5C-91B9-87D0236B69AE}" type="sibTrans" cxnId="{46235D75-E51E-4B45-A59A-42FA7AB476A3}">
      <dgm:prSet/>
      <dgm:spPr/>
      <dgm:t>
        <a:bodyPr/>
        <a:lstStyle/>
        <a:p>
          <a:endParaRPr lang="en-US"/>
        </a:p>
      </dgm:t>
    </dgm:pt>
    <dgm:pt modelId="{0570E3F9-C531-4539-B6D5-197AC17404DA}">
      <dgm:prSet custT="1"/>
      <dgm:spPr>
        <a:xfrm>
          <a:off x="2236039" y="2111837"/>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Değer optimizasyonunu izle (EDM02.03)</a:t>
          </a:r>
          <a:endParaRPr lang="en-US" sz="800">
            <a:solidFill>
              <a:sysClr val="windowText" lastClr="000000">
                <a:hueOff val="0"/>
                <a:satOff val="0"/>
                <a:lumOff val="0"/>
                <a:alphaOff val="0"/>
              </a:sysClr>
            </a:solidFill>
            <a:latin typeface="Times New Roman"/>
            <a:ea typeface="+mn-ea"/>
            <a:cs typeface="+mn-cs"/>
          </a:endParaRPr>
        </a:p>
      </dgm:t>
    </dgm:pt>
    <dgm:pt modelId="{DE1949B7-EC38-43D9-9625-573D0451E1AA}" type="parTrans" cxnId="{E576DAFD-D01C-4072-B941-5CD7A0D8879C}">
      <dgm:prSet/>
      <dgm:spPr>
        <a:xfrm rot="3310531">
          <a:off x="1859311" y="2079949"/>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3050937C-F679-458B-9838-FBB00B131726}" type="sibTrans" cxnId="{E576DAFD-D01C-4072-B941-5CD7A0D8879C}">
      <dgm:prSet/>
      <dgm:spPr/>
      <dgm:t>
        <a:bodyPr/>
        <a:lstStyle/>
        <a:p>
          <a:endParaRPr lang="en-US"/>
        </a:p>
      </dgm:t>
    </dgm:pt>
    <dgm:pt modelId="{9DAF9024-C648-483F-83C5-3FA676EAAC70}">
      <dgm:prSet custT="1"/>
      <dgm:spPr>
        <a:xfrm>
          <a:off x="2236039" y="2899219"/>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Risk yönetimini yönlendir (EDM03.02)</a:t>
          </a:r>
          <a:endParaRPr lang="en-US" sz="800">
            <a:solidFill>
              <a:sysClr val="windowText" lastClr="000000">
                <a:hueOff val="0"/>
                <a:satOff val="0"/>
                <a:lumOff val="0"/>
                <a:alphaOff val="0"/>
              </a:sysClr>
            </a:solidFill>
            <a:latin typeface="Times New Roman"/>
            <a:ea typeface="+mn-ea"/>
            <a:cs typeface="+mn-cs"/>
          </a:endParaRPr>
        </a:p>
      </dgm:t>
    </dgm:pt>
    <dgm:pt modelId="{62BDFB77-7FE9-412F-8A3E-7FEAA303473C}" type="parTrans" cxnId="{C6B9D970-1DD6-472F-894B-B87E444B01F3}">
      <dgm:prSet/>
      <dgm:spPr>
        <a:xfrm>
          <a:off x="1962166" y="3064177"/>
          <a:ext cx="27387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E1C46108-FE99-4A16-A638-07EAD828EC59}" type="sibTrans" cxnId="{C6B9D970-1DD6-472F-894B-B87E444B01F3}">
      <dgm:prSet/>
      <dgm:spPr/>
      <dgm:t>
        <a:bodyPr/>
        <a:lstStyle/>
        <a:p>
          <a:endParaRPr lang="en-US"/>
        </a:p>
      </dgm:t>
    </dgm:pt>
    <dgm:pt modelId="{B1FB9312-FD76-432F-B51F-B9352B03E0E8}">
      <dgm:prSet custT="1"/>
      <dgm:spPr>
        <a:xfrm>
          <a:off x="2236039" y="3292911"/>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Risk yönetimini izle (EDM03.03)</a:t>
          </a:r>
          <a:endParaRPr lang="en-US" sz="800">
            <a:solidFill>
              <a:sysClr val="windowText" lastClr="000000">
                <a:hueOff val="0"/>
                <a:satOff val="0"/>
                <a:lumOff val="0"/>
                <a:alphaOff val="0"/>
              </a:sysClr>
            </a:solidFill>
            <a:latin typeface="Times New Roman"/>
            <a:ea typeface="+mn-ea"/>
            <a:cs typeface="+mn-cs"/>
          </a:endParaRPr>
        </a:p>
      </dgm:t>
    </dgm:pt>
    <dgm:pt modelId="{8A797EC4-960B-4D02-884D-18ECDE795F35}" type="parTrans" cxnId="{FCBE5785-E4F0-40B5-A901-DAC5F54F3E96}">
      <dgm:prSet/>
      <dgm:spPr>
        <a:xfrm rot="3310531">
          <a:off x="1859311" y="3261023"/>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396D34DB-6428-440B-B48B-DB37747AE3B9}" type="sibTrans" cxnId="{FCBE5785-E4F0-40B5-A901-DAC5F54F3E96}">
      <dgm:prSet/>
      <dgm:spPr/>
      <dgm:t>
        <a:bodyPr/>
        <a:lstStyle/>
        <a:p>
          <a:endParaRPr lang="en-US"/>
        </a:p>
      </dgm:t>
    </dgm:pt>
    <dgm:pt modelId="{54978093-B79D-4B10-BB68-27F3D45AB46A}">
      <dgm:prSet custT="1"/>
      <dgm:spPr>
        <a:xfrm>
          <a:off x="2236039" y="4080294"/>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Kaynak yönetimini yönlendir (EDM04.02)</a:t>
          </a:r>
          <a:endParaRPr lang="en-US" sz="800">
            <a:solidFill>
              <a:sysClr val="windowText" lastClr="000000">
                <a:hueOff val="0"/>
                <a:satOff val="0"/>
                <a:lumOff val="0"/>
                <a:alphaOff val="0"/>
              </a:sysClr>
            </a:solidFill>
            <a:latin typeface="Times New Roman"/>
            <a:ea typeface="+mn-ea"/>
            <a:cs typeface="+mn-cs"/>
          </a:endParaRPr>
        </a:p>
      </dgm:t>
    </dgm:pt>
    <dgm:pt modelId="{A64C4086-286D-4BB2-BB1C-D391AF14E1D9}" type="parTrans" cxnId="{243A7E50-4E5B-4361-A06E-BA38F9C1035E}">
      <dgm:prSet/>
      <dgm:spPr>
        <a:xfrm>
          <a:off x="1962166" y="4245252"/>
          <a:ext cx="27387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AEDB0EB7-B0A2-4E13-89F2-252FDD7DA20D}" type="sibTrans" cxnId="{243A7E50-4E5B-4361-A06E-BA38F9C1035E}">
      <dgm:prSet/>
      <dgm:spPr/>
      <dgm:t>
        <a:bodyPr/>
        <a:lstStyle/>
        <a:p>
          <a:endParaRPr lang="en-US"/>
        </a:p>
      </dgm:t>
    </dgm:pt>
    <dgm:pt modelId="{DB2EB5AE-92A5-4B08-900B-686BA356A49F}">
      <dgm:prSet custT="1"/>
      <dgm:spPr>
        <a:xfrm>
          <a:off x="2236039" y="4473985"/>
          <a:ext cx="2457373" cy="34234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800">
              <a:solidFill>
                <a:sysClr val="windowText" lastClr="000000">
                  <a:hueOff val="0"/>
                  <a:satOff val="0"/>
                  <a:lumOff val="0"/>
                  <a:alphaOff val="0"/>
                </a:sysClr>
              </a:solidFill>
              <a:latin typeface="Times New Roman"/>
              <a:ea typeface="+mn-ea"/>
              <a:cs typeface="+mn-cs"/>
            </a:rPr>
            <a:t>Kaynak yönetimini izle (EDM04.03)</a:t>
          </a:r>
          <a:endParaRPr lang="en-US" sz="800">
            <a:solidFill>
              <a:sysClr val="windowText" lastClr="000000">
                <a:hueOff val="0"/>
                <a:satOff val="0"/>
                <a:lumOff val="0"/>
                <a:alphaOff val="0"/>
              </a:sysClr>
            </a:solidFill>
            <a:latin typeface="Times New Roman"/>
            <a:ea typeface="+mn-ea"/>
            <a:cs typeface="+mn-cs"/>
          </a:endParaRPr>
        </a:p>
      </dgm:t>
    </dgm:pt>
    <dgm:pt modelId="{91D167B3-4021-4A9D-99DB-DA6AB5AA9F75}" type="parTrans" cxnId="{6C50F3E5-EB59-4A41-A8E0-D46E203211B1}">
      <dgm:prSet/>
      <dgm:spPr>
        <a:xfrm rot="3310531">
          <a:off x="1859311" y="4442097"/>
          <a:ext cx="479582" cy="12424"/>
        </a:xfr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Times New Roman"/>
            <a:ea typeface="+mn-ea"/>
            <a:cs typeface="+mn-cs"/>
          </a:endParaRPr>
        </a:p>
      </dgm:t>
    </dgm:pt>
    <dgm:pt modelId="{A9D519CC-706B-46CC-B4C1-07204D46BDC2}" type="sibTrans" cxnId="{6C50F3E5-EB59-4A41-A8E0-D46E203211B1}">
      <dgm:prSet/>
      <dgm:spPr/>
      <dgm:t>
        <a:bodyPr/>
        <a:lstStyle/>
        <a:p>
          <a:endParaRPr lang="en-US"/>
        </a:p>
      </dgm:t>
    </dgm:pt>
    <dgm:pt modelId="{E80849EF-A0A7-4770-A5EF-E3C7C00797CF}" type="pres">
      <dgm:prSet presAssocID="{80337E32-5775-4FB2-A68B-A570F129FC95}" presName="diagram" presStyleCnt="0">
        <dgm:presLayoutVars>
          <dgm:chPref val="1"/>
          <dgm:dir/>
          <dgm:animOne val="branch"/>
          <dgm:animLvl val="lvl"/>
          <dgm:resizeHandles val="exact"/>
        </dgm:presLayoutVars>
      </dgm:prSet>
      <dgm:spPr/>
      <dgm:t>
        <a:bodyPr/>
        <a:lstStyle/>
        <a:p>
          <a:endParaRPr lang="en-US"/>
        </a:p>
      </dgm:t>
    </dgm:pt>
    <dgm:pt modelId="{EF07ED4F-0FF9-43ED-9773-5E4EA06D60C4}" type="pres">
      <dgm:prSet presAssocID="{D0C6D90B-B056-45E6-A294-CCD93E928DE5}" presName="root1" presStyleCnt="0"/>
      <dgm:spPr/>
      <dgm:t>
        <a:bodyPr/>
        <a:lstStyle/>
        <a:p>
          <a:endParaRPr lang="en-US"/>
        </a:p>
      </dgm:t>
    </dgm:pt>
    <dgm:pt modelId="{7E0D8332-A0B9-4B5D-BC6D-23588B95D6C5}" type="pres">
      <dgm:prSet presAssocID="{D0C6D90B-B056-45E6-A294-CCD93E928DE5}" presName="LevelOneTextNode" presStyleLbl="node0" presStyleIdx="0" presStyleCnt="1" custScaleX="112795" custScaleY="303533">
        <dgm:presLayoutVars>
          <dgm:chPref val="3"/>
        </dgm:presLayoutVars>
      </dgm:prSet>
      <dgm:spPr>
        <a:prstGeom prst="roundRect">
          <a:avLst>
            <a:gd name="adj" fmla="val 10000"/>
          </a:avLst>
        </a:prstGeom>
      </dgm:spPr>
      <dgm:t>
        <a:bodyPr/>
        <a:lstStyle/>
        <a:p>
          <a:endParaRPr lang="en-US"/>
        </a:p>
      </dgm:t>
    </dgm:pt>
    <dgm:pt modelId="{A258E581-1FA6-4450-B3B1-F1B752067817}" type="pres">
      <dgm:prSet presAssocID="{D0C6D90B-B056-45E6-A294-CCD93E928DE5}" presName="level2hierChild" presStyleCnt="0"/>
      <dgm:spPr/>
      <dgm:t>
        <a:bodyPr/>
        <a:lstStyle/>
        <a:p>
          <a:endParaRPr lang="en-US"/>
        </a:p>
      </dgm:t>
    </dgm:pt>
    <dgm:pt modelId="{738F478C-CD3F-40B9-BAA5-3F24061974F2}" type="pres">
      <dgm:prSet presAssocID="{CC95CEDE-8678-4BB5-AC3B-D35B549F32EA}" presName="conn2-1" presStyleLbl="parChTrans1D2" presStyleIdx="0" presStyleCnt="4"/>
      <dgm:spPr>
        <a:custGeom>
          <a:avLst/>
          <a:gdLst/>
          <a:ahLst/>
          <a:cxnLst/>
          <a:rect l="0" t="0" r="0" b="0"/>
          <a:pathLst>
            <a:path>
              <a:moveTo>
                <a:pt x="0" y="6585"/>
              </a:moveTo>
              <a:lnTo>
                <a:pt x="2099532" y="6585"/>
              </a:lnTo>
            </a:path>
          </a:pathLst>
        </a:custGeom>
      </dgm:spPr>
      <dgm:t>
        <a:bodyPr/>
        <a:lstStyle/>
        <a:p>
          <a:endParaRPr lang="en-US"/>
        </a:p>
      </dgm:t>
    </dgm:pt>
    <dgm:pt modelId="{8D2D23BC-8699-4206-B290-E97344DB2ECD}" type="pres">
      <dgm:prSet presAssocID="{CC95CEDE-8678-4BB5-AC3B-D35B549F32EA}" presName="connTx" presStyleLbl="parChTrans1D2" presStyleIdx="0" presStyleCnt="4"/>
      <dgm:spPr/>
      <dgm:t>
        <a:bodyPr/>
        <a:lstStyle/>
        <a:p>
          <a:endParaRPr lang="en-US"/>
        </a:p>
      </dgm:t>
    </dgm:pt>
    <dgm:pt modelId="{5E94DE16-EB0B-4599-9299-B2FE0BB48D92}" type="pres">
      <dgm:prSet presAssocID="{24D227A0-BBDF-4B56-9BF9-F480F43FD490}" presName="root2" presStyleCnt="0"/>
      <dgm:spPr/>
      <dgm:t>
        <a:bodyPr/>
        <a:lstStyle/>
        <a:p>
          <a:endParaRPr lang="en-US"/>
        </a:p>
      </dgm:t>
    </dgm:pt>
    <dgm:pt modelId="{7211CBD2-C4EB-426D-88B3-454AD30DC970}" type="pres">
      <dgm:prSet presAssocID="{24D227A0-BBDF-4B56-9BF9-F480F43FD490}" presName="LevelTwoTextNode" presStyleLbl="node2" presStyleIdx="0" presStyleCnt="4" custScaleX="133356" custScaleY="161473">
        <dgm:presLayoutVars>
          <dgm:chPref val="3"/>
        </dgm:presLayoutVars>
      </dgm:prSet>
      <dgm:spPr>
        <a:prstGeom prst="roundRect">
          <a:avLst>
            <a:gd name="adj" fmla="val 10000"/>
          </a:avLst>
        </a:prstGeom>
      </dgm:spPr>
      <dgm:t>
        <a:bodyPr/>
        <a:lstStyle/>
        <a:p>
          <a:endParaRPr lang="en-US"/>
        </a:p>
      </dgm:t>
    </dgm:pt>
    <dgm:pt modelId="{77D33AFD-F343-44C5-831A-04BBCA5BA158}" type="pres">
      <dgm:prSet presAssocID="{24D227A0-BBDF-4B56-9BF9-F480F43FD490}" presName="level3hierChild" presStyleCnt="0"/>
      <dgm:spPr/>
      <dgm:t>
        <a:bodyPr/>
        <a:lstStyle/>
        <a:p>
          <a:endParaRPr lang="en-US"/>
        </a:p>
      </dgm:t>
    </dgm:pt>
    <dgm:pt modelId="{1A0410EF-E02C-4964-90D5-22B4915D2DE6}" type="pres">
      <dgm:prSet presAssocID="{EE726109-C825-4AEA-96A0-6526C44D3892}" presName="conn2-1" presStyleLbl="parChTrans1D3" presStyleIdx="0" presStyleCnt="12"/>
      <dgm:spPr>
        <a:custGeom>
          <a:avLst/>
          <a:gdLst/>
          <a:ahLst/>
          <a:cxnLst/>
          <a:rect l="0" t="0" r="0" b="0"/>
          <a:pathLst>
            <a:path>
              <a:moveTo>
                <a:pt x="0" y="6585"/>
              </a:moveTo>
              <a:lnTo>
                <a:pt x="561679" y="6585"/>
              </a:lnTo>
            </a:path>
          </a:pathLst>
        </a:custGeom>
      </dgm:spPr>
      <dgm:t>
        <a:bodyPr/>
        <a:lstStyle/>
        <a:p>
          <a:endParaRPr lang="en-US"/>
        </a:p>
      </dgm:t>
    </dgm:pt>
    <dgm:pt modelId="{9554715E-DA9D-4793-9F8B-3498CF7F6BC0}" type="pres">
      <dgm:prSet presAssocID="{EE726109-C825-4AEA-96A0-6526C44D3892}" presName="connTx" presStyleLbl="parChTrans1D3" presStyleIdx="0" presStyleCnt="12"/>
      <dgm:spPr/>
      <dgm:t>
        <a:bodyPr/>
        <a:lstStyle/>
        <a:p>
          <a:endParaRPr lang="en-US"/>
        </a:p>
      </dgm:t>
    </dgm:pt>
    <dgm:pt modelId="{4552BB8C-6132-4B5D-A388-AFB475EFBCF7}" type="pres">
      <dgm:prSet presAssocID="{EBA07376-F956-45D6-8542-DF361617A73D}" presName="root2" presStyleCnt="0"/>
      <dgm:spPr/>
      <dgm:t>
        <a:bodyPr/>
        <a:lstStyle/>
        <a:p>
          <a:endParaRPr lang="en-US"/>
        </a:p>
      </dgm:t>
    </dgm:pt>
    <dgm:pt modelId="{5FA7F37C-CB02-4248-8012-16873AF52195}" type="pres">
      <dgm:prSet presAssocID="{EBA07376-F956-45D6-8542-DF361617A73D}" presName="LevelTwoTextNode" presStyleLbl="node3" presStyleIdx="0" presStyleCnt="12" custScaleX="358908">
        <dgm:presLayoutVars>
          <dgm:chPref val="3"/>
        </dgm:presLayoutVars>
      </dgm:prSet>
      <dgm:spPr>
        <a:prstGeom prst="roundRect">
          <a:avLst>
            <a:gd name="adj" fmla="val 10000"/>
          </a:avLst>
        </a:prstGeom>
      </dgm:spPr>
      <dgm:t>
        <a:bodyPr/>
        <a:lstStyle/>
        <a:p>
          <a:endParaRPr lang="en-US"/>
        </a:p>
      </dgm:t>
    </dgm:pt>
    <dgm:pt modelId="{98FD3334-D937-4D18-AF26-9B93AA49C058}" type="pres">
      <dgm:prSet presAssocID="{EBA07376-F956-45D6-8542-DF361617A73D}" presName="level3hierChild" presStyleCnt="0"/>
      <dgm:spPr/>
      <dgm:t>
        <a:bodyPr/>
        <a:lstStyle/>
        <a:p>
          <a:endParaRPr lang="en-US"/>
        </a:p>
      </dgm:t>
    </dgm:pt>
    <dgm:pt modelId="{AB45EA8E-FFA7-4E65-A5E8-FA6B2480F5DD}" type="pres">
      <dgm:prSet presAssocID="{BB1F1621-8D8A-47C5-9CF3-6182F934FDE2}" presName="conn2-1" presStyleLbl="parChTrans1D3" presStyleIdx="1" presStyleCnt="12"/>
      <dgm:spPr>
        <a:custGeom>
          <a:avLst/>
          <a:gdLst/>
          <a:ahLst/>
          <a:cxnLst/>
          <a:rect l="0" t="0" r="0" b="0"/>
          <a:pathLst>
            <a:path>
              <a:moveTo>
                <a:pt x="0" y="6585"/>
              </a:moveTo>
              <a:lnTo>
                <a:pt x="320755" y="6585"/>
              </a:lnTo>
            </a:path>
          </a:pathLst>
        </a:custGeom>
      </dgm:spPr>
      <dgm:t>
        <a:bodyPr/>
        <a:lstStyle/>
        <a:p>
          <a:endParaRPr lang="en-US"/>
        </a:p>
      </dgm:t>
    </dgm:pt>
    <dgm:pt modelId="{A75DB3D9-6B26-4A91-85D3-32C4D3985631}" type="pres">
      <dgm:prSet presAssocID="{BB1F1621-8D8A-47C5-9CF3-6182F934FDE2}" presName="connTx" presStyleLbl="parChTrans1D3" presStyleIdx="1" presStyleCnt="12"/>
      <dgm:spPr/>
      <dgm:t>
        <a:bodyPr/>
        <a:lstStyle/>
        <a:p>
          <a:endParaRPr lang="en-US"/>
        </a:p>
      </dgm:t>
    </dgm:pt>
    <dgm:pt modelId="{D2CF16EB-C641-4777-92FF-DDFC33068949}" type="pres">
      <dgm:prSet presAssocID="{82FC6AD7-5C77-41C6-833E-B09953D2E826}" presName="root2" presStyleCnt="0"/>
      <dgm:spPr/>
      <dgm:t>
        <a:bodyPr/>
        <a:lstStyle/>
        <a:p>
          <a:endParaRPr lang="en-US"/>
        </a:p>
      </dgm:t>
    </dgm:pt>
    <dgm:pt modelId="{B0B4D5C6-6768-444F-8492-FB3B7821A157}" type="pres">
      <dgm:prSet presAssocID="{82FC6AD7-5C77-41C6-833E-B09953D2E826}" presName="LevelTwoTextNode" presStyleLbl="node3" presStyleIdx="1" presStyleCnt="12" custScaleX="358908">
        <dgm:presLayoutVars>
          <dgm:chPref val="3"/>
        </dgm:presLayoutVars>
      </dgm:prSet>
      <dgm:spPr>
        <a:prstGeom prst="roundRect">
          <a:avLst>
            <a:gd name="adj" fmla="val 10000"/>
          </a:avLst>
        </a:prstGeom>
      </dgm:spPr>
      <dgm:t>
        <a:bodyPr/>
        <a:lstStyle/>
        <a:p>
          <a:endParaRPr lang="en-US"/>
        </a:p>
      </dgm:t>
    </dgm:pt>
    <dgm:pt modelId="{AB5E388F-ACE1-41BF-9165-FC182311FDBD}" type="pres">
      <dgm:prSet presAssocID="{82FC6AD7-5C77-41C6-833E-B09953D2E826}" presName="level3hierChild" presStyleCnt="0"/>
      <dgm:spPr/>
      <dgm:t>
        <a:bodyPr/>
        <a:lstStyle/>
        <a:p>
          <a:endParaRPr lang="en-US"/>
        </a:p>
      </dgm:t>
    </dgm:pt>
    <dgm:pt modelId="{E43837BF-F777-449E-873D-CB47F6494200}" type="pres">
      <dgm:prSet presAssocID="{5988D4D9-80B7-40F7-A039-E4336803005A}" presName="conn2-1" presStyleLbl="parChTrans1D3" presStyleIdx="2" presStyleCnt="12"/>
      <dgm:spPr>
        <a:custGeom>
          <a:avLst/>
          <a:gdLst/>
          <a:ahLst/>
          <a:cxnLst/>
          <a:rect l="0" t="0" r="0" b="0"/>
          <a:pathLst>
            <a:path>
              <a:moveTo>
                <a:pt x="0" y="6585"/>
              </a:moveTo>
              <a:lnTo>
                <a:pt x="561679" y="6585"/>
              </a:lnTo>
            </a:path>
          </a:pathLst>
        </a:custGeom>
      </dgm:spPr>
      <dgm:t>
        <a:bodyPr/>
        <a:lstStyle/>
        <a:p>
          <a:endParaRPr lang="en-US"/>
        </a:p>
      </dgm:t>
    </dgm:pt>
    <dgm:pt modelId="{FF95CBF5-5BEF-4AC7-B946-CB09CC4C7FE6}" type="pres">
      <dgm:prSet presAssocID="{5988D4D9-80B7-40F7-A039-E4336803005A}" presName="connTx" presStyleLbl="parChTrans1D3" presStyleIdx="2" presStyleCnt="12"/>
      <dgm:spPr/>
      <dgm:t>
        <a:bodyPr/>
        <a:lstStyle/>
        <a:p>
          <a:endParaRPr lang="en-US"/>
        </a:p>
      </dgm:t>
    </dgm:pt>
    <dgm:pt modelId="{5802C344-2676-4213-8DB4-C1E51CC1F499}" type="pres">
      <dgm:prSet presAssocID="{39DC7898-CFFA-4F10-B9B5-64F5C5A3B7E3}" presName="root2" presStyleCnt="0"/>
      <dgm:spPr/>
      <dgm:t>
        <a:bodyPr/>
        <a:lstStyle/>
        <a:p>
          <a:endParaRPr lang="en-US"/>
        </a:p>
      </dgm:t>
    </dgm:pt>
    <dgm:pt modelId="{571CE0B5-BB52-4CB6-944E-9ADDE3F57363}" type="pres">
      <dgm:prSet presAssocID="{39DC7898-CFFA-4F10-B9B5-64F5C5A3B7E3}" presName="LevelTwoTextNode" presStyleLbl="node3" presStyleIdx="2" presStyleCnt="12" custScaleX="358908">
        <dgm:presLayoutVars>
          <dgm:chPref val="3"/>
        </dgm:presLayoutVars>
      </dgm:prSet>
      <dgm:spPr>
        <a:prstGeom prst="roundRect">
          <a:avLst>
            <a:gd name="adj" fmla="val 10000"/>
          </a:avLst>
        </a:prstGeom>
      </dgm:spPr>
      <dgm:t>
        <a:bodyPr/>
        <a:lstStyle/>
        <a:p>
          <a:endParaRPr lang="en-US"/>
        </a:p>
      </dgm:t>
    </dgm:pt>
    <dgm:pt modelId="{B3B1B0A5-8EBC-4326-B7D6-EBC3846B7105}" type="pres">
      <dgm:prSet presAssocID="{39DC7898-CFFA-4F10-B9B5-64F5C5A3B7E3}" presName="level3hierChild" presStyleCnt="0"/>
      <dgm:spPr/>
      <dgm:t>
        <a:bodyPr/>
        <a:lstStyle/>
        <a:p>
          <a:endParaRPr lang="en-US"/>
        </a:p>
      </dgm:t>
    </dgm:pt>
    <dgm:pt modelId="{1E33EF9F-5127-4D70-982A-F33D5926CBFC}" type="pres">
      <dgm:prSet presAssocID="{448755EE-2FCF-473D-BE4A-8ECCFFF5E3FC}" presName="conn2-1" presStyleLbl="parChTrans1D2" presStyleIdx="1" presStyleCnt="4"/>
      <dgm:spPr>
        <a:custGeom>
          <a:avLst/>
          <a:gdLst/>
          <a:ahLst/>
          <a:cxnLst/>
          <a:rect l="0" t="0" r="0" b="0"/>
          <a:pathLst>
            <a:path>
              <a:moveTo>
                <a:pt x="0" y="6585"/>
              </a:moveTo>
              <a:lnTo>
                <a:pt x="762387" y="6585"/>
              </a:lnTo>
            </a:path>
          </a:pathLst>
        </a:custGeom>
      </dgm:spPr>
      <dgm:t>
        <a:bodyPr/>
        <a:lstStyle/>
        <a:p>
          <a:endParaRPr lang="en-US"/>
        </a:p>
      </dgm:t>
    </dgm:pt>
    <dgm:pt modelId="{BB35ABFD-FB61-40A1-8347-EBB961158710}" type="pres">
      <dgm:prSet presAssocID="{448755EE-2FCF-473D-BE4A-8ECCFFF5E3FC}" presName="connTx" presStyleLbl="parChTrans1D2" presStyleIdx="1" presStyleCnt="4"/>
      <dgm:spPr/>
      <dgm:t>
        <a:bodyPr/>
        <a:lstStyle/>
        <a:p>
          <a:endParaRPr lang="en-US"/>
        </a:p>
      </dgm:t>
    </dgm:pt>
    <dgm:pt modelId="{418EFC2A-63D5-4BC0-8C31-80DE7A5A16BD}" type="pres">
      <dgm:prSet presAssocID="{65EC3851-A3DD-407B-A2FF-135A6189B8E0}" presName="root2" presStyleCnt="0"/>
      <dgm:spPr/>
      <dgm:t>
        <a:bodyPr/>
        <a:lstStyle/>
        <a:p>
          <a:endParaRPr lang="en-US"/>
        </a:p>
      </dgm:t>
    </dgm:pt>
    <dgm:pt modelId="{8BE55CDF-F424-42EA-9A3F-7B9D7FA537D9}" type="pres">
      <dgm:prSet presAssocID="{65EC3851-A3DD-407B-A2FF-135A6189B8E0}" presName="LevelTwoTextNode" presStyleLbl="node2" presStyleIdx="1" presStyleCnt="4" custScaleX="133356" custScaleY="161473">
        <dgm:presLayoutVars>
          <dgm:chPref val="3"/>
        </dgm:presLayoutVars>
      </dgm:prSet>
      <dgm:spPr>
        <a:prstGeom prst="roundRect">
          <a:avLst>
            <a:gd name="adj" fmla="val 10000"/>
          </a:avLst>
        </a:prstGeom>
      </dgm:spPr>
      <dgm:t>
        <a:bodyPr/>
        <a:lstStyle/>
        <a:p>
          <a:endParaRPr lang="en-US"/>
        </a:p>
      </dgm:t>
    </dgm:pt>
    <dgm:pt modelId="{89620B01-E992-430E-B9D6-DF680BB2AB27}" type="pres">
      <dgm:prSet presAssocID="{65EC3851-A3DD-407B-A2FF-135A6189B8E0}" presName="level3hierChild" presStyleCnt="0"/>
      <dgm:spPr/>
      <dgm:t>
        <a:bodyPr/>
        <a:lstStyle/>
        <a:p>
          <a:endParaRPr lang="en-US"/>
        </a:p>
      </dgm:t>
    </dgm:pt>
    <dgm:pt modelId="{6EC3F392-7120-43F2-80F3-B00AAC7C5B95}" type="pres">
      <dgm:prSet presAssocID="{8AD261F5-E90A-47DC-8A7C-058B7D429DD9}" presName="conn2-1" presStyleLbl="parChTrans1D3" presStyleIdx="3" presStyleCnt="12"/>
      <dgm:spPr>
        <a:custGeom>
          <a:avLst/>
          <a:gdLst/>
          <a:ahLst/>
          <a:cxnLst/>
          <a:rect l="0" t="0" r="0" b="0"/>
          <a:pathLst>
            <a:path>
              <a:moveTo>
                <a:pt x="0" y="6585"/>
              </a:moveTo>
              <a:lnTo>
                <a:pt x="568882" y="6585"/>
              </a:lnTo>
            </a:path>
          </a:pathLst>
        </a:custGeom>
      </dgm:spPr>
      <dgm:t>
        <a:bodyPr/>
        <a:lstStyle/>
        <a:p>
          <a:endParaRPr lang="en-US"/>
        </a:p>
      </dgm:t>
    </dgm:pt>
    <dgm:pt modelId="{2C42B795-91E5-4CF0-9D7C-FBDCF21BEB98}" type="pres">
      <dgm:prSet presAssocID="{8AD261F5-E90A-47DC-8A7C-058B7D429DD9}" presName="connTx" presStyleLbl="parChTrans1D3" presStyleIdx="3" presStyleCnt="12"/>
      <dgm:spPr/>
      <dgm:t>
        <a:bodyPr/>
        <a:lstStyle/>
        <a:p>
          <a:endParaRPr lang="en-US"/>
        </a:p>
      </dgm:t>
    </dgm:pt>
    <dgm:pt modelId="{FCFBF2E9-736C-4AB3-8883-316A06BDBE26}" type="pres">
      <dgm:prSet presAssocID="{9F49B35D-9ABA-4DCE-AD45-2E6F840BC2B0}" presName="root2" presStyleCnt="0"/>
      <dgm:spPr/>
      <dgm:t>
        <a:bodyPr/>
        <a:lstStyle/>
        <a:p>
          <a:endParaRPr lang="en-US"/>
        </a:p>
      </dgm:t>
    </dgm:pt>
    <dgm:pt modelId="{5FD7016A-3F18-4F11-B445-C5ACADAD90A6}" type="pres">
      <dgm:prSet presAssocID="{9F49B35D-9ABA-4DCE-AD45-2E6F840BC2B0}" presName="LevelTwoTextNode" presStyleLbl="node3" presStyleIdx="3" presStyleCnt="12" custScaleX="358908" custLinFactNeighborX="629" custLinFactNeighborY="-1313">
        <dgm:presLayoutVars>
          <dgm:chPref val="3"/>
        </dgm:presLayoutVars>
      </dgm:prSet>
      <dgm:spPr>
        <a:prstGeom prst="roundRect">
          <a:avLst>
            <a:gd name="adj" fmla="val 10000"/>
          </a:avLst>
        </a:prstGeom>
      </dgm:spPr>
      <dgm:t>
        <a:bodyPr/>
        <a:lstStyle/>
        <a:p>
          <a:endParaRPr lang="en-US"/>
        </a:p>
      </dgm:t>
    </dgm:pt>
    <dgm:pt modelId="{6841C8B9-4D66-4EB0-A962-8036138C23CA}" type="pres">
      <dgm:prSet presAssocID="{9F49B35D-9ABA-4DCE-AD45-2E6F840BC2B0}" presName="level3hierChild" presStyleCnt="0"/>
      <dgm:spPr/>
      <dgm:t>
        <a:bodyPr/>
        <a:lstStyle/>
        <a:p>
          <a:endParaRPr lang="en-US"/>
        </a:p>
      </dgm:t>
    </dgm:pt>
    <dgm:pt modelId="{0FD13133-7A94-469D-ABB9-FD028A5AD315}" type="pres">
      <dgm:prSet presAssocID="{B181078E-0E7D-45E3-A257-C12EEE358439}" presName="conn2-1" presStyleLbl="parChTrans1D3" presStyleIdx="4" presStyleCnt="12"/>
      <dgm:spPr>
        <a:custGeom>
          <a:avLst/>
          <a:gdLst/>
          <a:ahLst/>
          <a:cxnLst/>
          <a:rect l="0" t="0" r="0" b="0"/>
          <a:pathLst>
            <a:path>
              <a:moveTo>
                <a:pt x="0" y="6585"/>
              </a:moveTo>
              <a:lnTo>
                <a:pt x="320755" y="6585"/>
              </a:lnTo>
            </a:path>
          </a:pathLst>
        </a:custGeom>
      </dgm:spPr>
      <dgm:t>
        <a:bodyPr/>
        <a:lstStyle/>
        <a:p>
          <a:endParaRPr lang="en-US"/>
        </a:p>
      </dgm:t>
    </dgm:pt>
    <dgm:pt modelId="{CE059485-3BF8-412F-B01F-B6EB47A67C4F}" type="pres">
      <dgm:prSet presAssocID="{B181078E-0E7D-45E3-A257-C12EEE358439}" presName="connTx" presStyleLbl="parChTrans1D3" presStyleIdx="4" presStyleCnt="12"/>
      <dgm:spPr/>
      <dgm:t>
        <a:bodyPr/>
        <a:lstStyle/>
        <a:p>
          <a:endParaRPr lang="en-US"/>
        </a:p>
      </dgm:t>
    </dgm:pt>
    <dgm:pt modelId="{A19158E9-990A-4634-B1B2-952F30800AE3}" type="pres">
      <dgm:prSet presAssocID="{4BD1CBCA-485F-4AF6-B0B2-F13DF6D04F18}" presName="root2" presStyleCnt="0"/>
      <dgm:spPr/>
      <dgm:t>
        <a:bodyPr/>
        <a:lstStyle/>
        <a:p>
          <a:endParaRPr lang="en-US"/>
        </a:p>
      </dgm:t>
    </dgm:pt>
    <dgm:pt modelId="{2F52D90D-7274-4BE2-B9DC-C9AC176A85E3}" type="pres">
      <dgm:prSet presAssocID="{4BD1CBCA-485F-4AF6-B0B2-F13DF6D04F18}" presName="LevelTwoTextNode" presStyleLbl="node3" presStyleIdx="4" presStyleCnt="12" custScaleX="358908">
        <dgm:presLayoutVars>
          <dgm:chPref val="3"/>
        </dgm:presLayoutVars>
      </dgm:prSet>
      <dgm:spPr>
        <a:prstGeom prst="roundRect">
          <a:avLst>
            <a:gd name="adj" fmla="val 10000"/>
          </a:avLst>
        </a:prstGeom>
      </dgm:spPr>
      <dgm:t>
        <a:bodyPr/>
        <a:lstStyle/>
        <a:p>
          <a:endParaRPr lang="en-US"/>
        </a:p>
      </dgm:t>
    </dgm:pt>
    <dgm:pt modelId="{46D0474A-B022-465C-BD64-22CB4F4A0808}" type="pres">
      <dgm:prSet presAssocID="{4BD1CBCA-485F-4AF6-B0B2-F13DF6D04F18}" presName="level3hierChild" presStyleCnt="0"/>
      <dgm:spPr/>
      <dgm:t>
        <a:bodyPr/>
        <a:lstStyle/>
        <a:p>
          <a:endParaRPr lang="en-US"/>
        </a:p>
      </dgm:t>
    </dgm:pt>
    <dgm:pt modelId="{96964DA0-CBE2-410C-AB0F-2D606161AA67}" type="pres">
      <dgm:prSet presAssocID="{DE1949B7-EC38-43D9-9625-573D0451E1AA}" presName="conn2-1" presStyleLbl="parChTrans1D3" presStyleIdx="5" presStyleCnt="12"/>
      <dgm:spPr>
        <a:custGeom>
          <a:avLst/>
          <a:gdLst/>
          <a:ahLst/>
          <a:cxnLst/>
          <a:rect l="0" t="0" r="0" b="0"/>
          <a:pathLst>
            <a:path>
              <a:moveTo>
                <a:pt x="0" y="6585"/>
              </a:moveTo>
              <a:lnTo>
                <a:pt x="561679" y="6585"/>
              </a:lnTo>
            </a:path>
          </a:pathLst>
        </a:custGeom>
      </dgm:spPr>
      <dgm:t>
        <a:bodyPr/>
        <a:lstStyle/>
        <a:p>
          <a:endParaRPr lang="en-US"/>
        </a:p>
      </dgm:t>
    </dgm:pt>
    <dgm:pt modelId="{07D4EFA4-C92D-418A-A6C3-7D8715127369}" type="pres">
      <dgm:prSet presAssocID="{DE1949B7-EC38-43D9-9625-573D0451E1AA}" presName="connTx" presStyleLbl="parChTrans1D3" presStyleIdx="5" presStyleCnt="12"/>
      <dgm:spPr/>
      <dgm:t>
        <a:bodyPr/>
        <a:lstStyle/>
        <a:p>
          <a:endParaRPr lang="en-US"/>
        </a:p>
      </dgm:t>
    </dgm:pt>
    <dgm:pt modelId="{BF3F0BA3-7C94-4D26-87F8-537ED1F63A7C}" type="pres">
      <dgm:prSet presAssocID="{0570E3F9-C531-4539-B6D5-197AC17404DA}" presName="root2" presStyleCnt="0"/>
      <dgm:spPr/>
      <dgm:t>
        <a:bodyPr/>
        <a:lstStyle/>
        <a:p>
          <a:endParaRPr lang="en-US"/>
        </a:p>
      </dgm:t>
    </dgm:pt>
    <dgm:pt modelId="{E69A269E-E109-4D4A-B8B0-19CABC012C5B}" type="pres">
      <dgm:prSet presAssocID="{0570E3F9-C531-4539-B6D5-197AC17404DA}" presName="LevelTwoTextNode" presStyleLbl="node3" presStyleIdx="5" presStyleCnt="12" custScaleX="358908">
        <dgm:presLayoutVars>
          <dgm:chPref val="3"/>
        </dgm:presLayoutVars>
      </dgm:prSet>
      <dgm:spPr>
        <a:prstGeom prst="roundRect">
          <a:avLst>
            <a:gd name="adj" fmla="val 10000"/>
          </a:avLst>
        </a:prstGeom>
      </dgm:spPr>
      <dgm:t>
        <a:bodyPr/>
        <a:lstStyle/>
        <a:p>
          <a:endParaRPr lang="en-US"/>
        </a:p>
      </dgm:t>
    </dgm:pt>
    <dgm:pt modelId="{E414B574-54E6-4996-8000-AD3B56844FFB}" type="pres">
      <dgm:prSet presAssocID="{0570E3F9-C531-4539-B6D5-197AC17404DA}" presName="level3hierChild" presStyleCnt="0"/>
      <dgm:spPr/>
      <dgm:t>
        <a:bodyPr/>
        <a:lstStyle/>
        <a:p>
          <a:endParaRPr lang="en-US"/>
        </a:p>
      </dgm:t>
    </dgm:pt>
    <dgm:pt modelId="{9F96E5C6-1B70-4CF3-B212-9D6CE2E7D277}" type="pres">
      <dgm:prSet presAssocID="{188DADBB-5C4D-4C45-B928-DFEFD7673486}" presName="conn2-1" presStyleLbl="parChTrans1D2" presStyleIdx="2" presStyleCnt="4"/>
      <dgm:spPr>
        <a:custGeom>
          <a:avLst/>
          <a:gdLst/>
          <a:ahLst/>
          <a:cxnLst/>
          <a:rect l="0" t="0" r="0" b="0"/>
          <a:pathLst>
            <a:path>
              <a:moveTo>
                <a:pt x="0" y="6585"/>
              </a:moveTo>
              <a:lnTo>
                <a:pt x="762387" y="6585"/>
              </a:lnTo>
            </a:path>
          </a:pathLst>
        </a:custGeom>
      </dgm:spPr>
      <dgm:t>
        <a:bodyPr/>
        <a:lstStyle/>
        <a:p>
          <a:endParaRPr lang="en-US"/>
        </a:p>
      </dgm:t>
    </dgm:pt>
    <dgm:pt modelId="{5B7D2AA5-AA8A-4798-AE80-E36A2D3E81D3}" type="pres">
      <dgm:prSet presAssocID="{188DADBB-5C4D-4C45-B928-DFEFD7673486}" presName="connTx" presStyleLbl="parChTrans1D2" presStyleIdx="2" presStyleCnt="4"/>
      <dgm:spPr/>
      <dgm:t>
        <a:bodyPr/>
        <a:lstStyle/>
        <a:p>
          <a:endParaRPr lang="en-US"/>
        </a:p>
      </dgm:t>
    </dgm:pt>
    <dgm:pt modelId="{9D516D50-BD5C-428E-8A19-C2B6B3C906A2}" type="pres">
      <dgm:prSet presAssocID="{A8398DA4-7B41-4F6D-99C7-4C888E5FAEAA}" presName="root2" presStyleCnt="0"/>
      <dgm:spPr/>
      <dgm:t>
        <a:bodyPr/>
        <a:lstStyle/>
        <a:p>
          <a:endParaRPr lang="en-US"/>
        </a:p>
      </dgm:t>
    </dgm:pt>
    <dgm:pt modelId="{A4E83236-F995-4EFA-BB61-15BAD437EDDD}" type="pres">
      <dgm:prSet presAssocID="{A8398DA4-7B41-4F6D-99C7-4C888E5FAEAA}" presName="LevelTwoTextNode" presStyleLbl="node2" presStyleIdx="2" presStyleCnt="4" custScaleX="133356" custScaleY="166294">
        <dgm:presLayoutVars>
          <dgm:chPref val="3"/>
        </dgm:presLayoutVars>
      </dgm:prSet>
      <dgm:spPr>
        <a:prstGeom prst="roundRect">
          <a:avLst>
            <a:gd name="adj" fmla="val 10000"/>
          </a:avLst>
        </a:prstGeom>
      </dgm:spPr>
      <dgm:t>
        <a:bodyPr/>
        <a:lstStyle/>
        <a:p>
          <a:endParaRPr lang="en-US"/>
        </a:p>
      </dgm:t>
    </dgm:pt>
    <dgm:pt modelId="{1C1D910F-B2B7-44FE-8E07-B6F6D211C5A3}" type="pres">
      <dgm:prSet presAssocID="{A8398DA4-7B41-4F6D-99C7-4C888E5FAEAA}" presName="level3hierChild" presStyleCnt="0"/>
      <dgm:spPr/>
      <dgm:t>
        <a:bodyPr/>
        <a:lstStyle/>
        <a:p>
          <a:endParaRPr lang="en-US"/>
        </a:p>
      </dgm:t>
    </dgm:pt>
    <dgm:pt modelId="{2339E3F7-26B0-4399-A9FA-50D505DCFBB3}" type="pres">
      <dgm:prSet presAssocID="{3CDC391F-01A5-4CF3-8011-19F1EE57B850}" presName="conn2-1" presStyleLbl="parChTrans1D3" presStyleIdx="6" presStyleCnt="12"/>
      <dgm:spPr>
        <a:custGeom>
          <a:avLst/>
          <a:gdLst/>
          <a:ahLst/>
          <a:cxnLst/>
          <a:rect l="0" t="0" r="0" b="0"/>
          <a:pathLst>
            <a:path>
              <a:moveTo>
                <a:pt x="0" y="6585"/>
              </a:moveTo>
              <a:lnTo>
                <a:pt x="561679" y="6585"/>
              </a:lnTo>
            </a:path>
          </a:pathLst>
        </a:custGeom>
      </dgm:spPr>
      <dgm:t>
        <a:bodyPr/>
        <a:lstStyle/>
        <a:p>
          <a:endParaRPr lang="en-US"/>
        </a:p>
      </dgm:t>
    </dgm:pt>
    <dgm:pt modelId="{98A58599-9BB8-452E-90FF-1AEABD92346D}" type="pres">
      <dgm:prSet presAssocID="{3CDC391F-01A5-4CF3-8011-19F1EE57B850}" presName="connTx" presStyleLbl="parChTrans1D3" presStyleIdx="6" presStyleCnt="12"/>
      <dgm:spPr/>
      <dgm:t>
        <a:bodyPr/>
        <a:lstStyle/>
        <a:p>
          <a:endParaRPr lang="en-US"/>
        </a:p>
      </dgm:t>
    </dgm:pt>
    <dgm:pt modelId="{BEB8C326-C370-425A-803B-01FF7291E9A3}" type="pres">
      <dgm:prSet presAssocID="{BC3BB247-F050-40E3-BD1C-347B0ED61CA7}" presName="root2" presStyleCnt="0"/>
      <dgm:spPr/>
      <dgm:t>
        <a:bodyPr/>
        <a:lstStyle/>
        <a:p>
          <a:endParaRPr lang="en-US"/>
        </a:p>
      </dgm:t>
    </dgm:pt>
    <dgm:pt modelId="{731C4790-9809-476B-8353-91DBBA7A09A3}" type="pres">
      <dgm:prSet presAssocID="{BC3BB247-F050-40E3-BD1C-347B0ED61CA7}" presName="LevelTwoTextNode" presStyleLbl="node3" presStyleIdx="6" presStyleCnt="12" custScaleX="358908">
        <dgm:presLayoutVars>
          <dgm:chPref val="3"/>
        </dgm:presLayoutVars>
      </dgm:prSet>
      <dgm:spPr>
        <a:prstGeom prst="roundRect">
          <a:avLst>
            <a:gd name="adj" fmla="val 10000"/>
          </a:avLst>
        </a:prstGeom>
      </dgm:spPr>
      <dgm:t>
        <a:bodyPr/>
        <a:lstStyle/>
        <a:p>
          <a:endParaRPr lang="en-US"/>
        </a:p>
      </dgm:t>
    </dgm:pt>
    <dgm:pt modelId="{D94B5937-9E57-49F7-9FBC-73F93F92F765}" type="pres">
      <dgm:prSet presAssocID="{BC3BB247-F050-40E3-BD1C-347B0ED61CA7}" presName="level3hierChild" presStyleCnt="0"/>
      <dgm:spPr/>
      <dgm:t>
        <a:bodyPr/>
        <a:lstStyle/>
        <a:p>
          <a:endParaRPr lang="en-US"/>
        </a:p>
      </dgm:t>
    </dgm:pt>
    <dgm:pt modelId="{638972AD-331D-4597-9BEA-C130B2BDCF4B}" type="pres">
      <dgm:prSet presAssocID="{62BDFB77-7FE9-412F-8A3E-7FEAA303473C}" presName="conn2-1" presStyleLbl="parChTrans1D3" presStyleIdx="7" presStyleCnt="12"/>
      <dgm:spPr>
        <a:custGeom>
          <a:avLst/>
          <a:gdLst/>
          <a:ahLst/>
          <a:cxnLst/>
          <a:rect l="0" t="0" r="0" b="0"/>
          <a:pathLst>
            <a:path>
              <a:moveTo>
                <a:pt x="0" y="6585"/>
              </a:moveTo>
              <a:lnTo>
                <a:pt x="320755" y="6585"/>
              </a:lnTo>
            </a:path>
          </a:pathLst>
        </a:custGeom>
      </dgm:spPr>
      <dgm:t>
        <a:bodyPr/>
        <a:lstStyle/>
        <a:p>
          <a:endParaRPr lang="en-US"/>
        </a:p>
      </dgm:t>
    </dgm:pt>
    <dgm:pt modelId="{CE32653A-BE8A-4321-8FAF-6F444888FE15}" type="pres">
      <dgm:prSet presAssocID="{62BDFB77-7FE9-412F-8A3E-7FEAA303473C}" presName="connTx" presStyleLbl="parChTrans1D3" presStyleIdx="7" presStyleCnt="12"/>
      <dgm:spPr/>
      <dgm:t>
        <a:bodyPr/>
        <a:lstStyle/>
        <a:p>
          <a:endParaRPr lang="en-US"/>
        </a:p>
      </dgm:t>
    </dgm:pt>
    <dgm:pt modelId="{E1A7EA26-3976-41B4-8FB3-8E74431B111D}" type="pres">
      <dgm:prSet presAssocID="{9DAF9024-C648-483F-83C5-3FA676EAAC70}" presName="root2" presStyleCnt="0"/>
      <dgm:spPr/>
      <dgm:t>
        <a:bodyPr/>
        <a:lstStyle/>
        <a:p>
          <a:endParaRPr lang="en-US"/>
        </a:p>
      </dgm:t>
    </dgm:pt>
    <dgm:pt modelId="{8EE31E57-EF4D-4F48-B622-A51D55E475E3}" type="pres">
      <dgm:prSet presAssocID="{9DAF9024-C648-483F-83C5-3FA676EAAC70}" presName="LevelTwoTextNode" presStyleLbl="node3" presStyleIdx="7" presStyleCnt="12" custScaleX="358908">
        <dgm:presLayoutVars>
          <dgm:chPref val="3"/>
        </dgm:presLayoutVars>
      </dgm:prSet>
      <dgm:spPr>
        <a:prstGeom prst="roundRect">
          <a:avLst>
            <a:gd name="adj" fmla="val 10000"/>
          </a:avLst>
        </a:prstGeom>
      </dgm:spPr>
      <dgm:t>
        <a:bodyPr/>
        <a:lstStyle/>
        <a:p>
          <a:endParaRPr lang="en-US"/>
        </a:p>
      </dgm:t>
    </dgm:pt>
    <dgm:pt modelId="{B441D891-B598-4FD5-8924-63E5EFBAE038}" type="pres">
      <dgm:prSet presAssocID="{9DAF9024-C648-483F-83C5-3FA676EAAC70}" presName="level3hierChild" presStyleCnt="0"/>
      <dgm:spPr/>
      <dgm:t>
        <a:bodyPr/>
        <a:lstStyle/>
        <a:p>
          <a:endParaRPr lang="en-US"/>
        </a:p>
      </dgm:t>
    </dgm:pt>
    <dgm:pt modelId="{C17A1B27-45E9-4E05-B966-CDE3BA91F529}" type="pres">
      <dgm:prSet presAssocID="{8A797EC4-960B-4D02-884D-18ECDE795F35}" presName="conn2-1" presStyleLbl="parChTrans1D3" presStyleIdx="8" presStyleCnt="12"/>
      <dgm:spPr>
        <a:custGeom>
          <a:avLst/>
          <a:gdLst/>
          <a:ahLst/>
          <a:cxnLst/>
          <a:rect l="0" t="0" r="0" b="0"/>
          <a:pathLst>
            <a:path>
              <a:moveTo>
                <a:pt x="0" y="6585"/>
              </a:moveTo>
              <a:lnTo>
                <a:pt x="561679" y="6585"/>
              </a:lnTo>
            </a:path>
          </a:pathLst>
        </a:custGeom>
      </dgm:spPr>
      <dgm:t>
        <a:bodyPr/>
        <a:lstStyle/>
        <a:p>
          <a:endParaRPr lang="en-US"/>
        </a:p>
      </dgm:t>
    </dgm:pt>
    <dgm:pt modelId="{78D64870-45B1-4DAD-8D23-4026673238D7}" type="pres">
      <dgm:prSet presAssocID="{8A797EC4-960B-4D02-884D-18ECDE795F35}" presName="connTx" presStyleLbl="parChTrans1D3" presStyleIdx="8" presStyleCnt="12"/>
      <dgm:spPr/>
      <dgm:t>
        <a:bodyPr/>
        <a:lstStyle/>
        <a:p>
          <a:endParaRPr lang="en-US"/>
        </a:p>
      </dgm:t>
    </dgm:pt>
    <dgm:pt modelId="{7E3A602D-91DC-4745-A8C2-9C396D7102E4}" type="pres">
      <dgm:prSet presAssocID="{B1FB9312-FD76-432F-B51F-B9352B03E0E8}" presName="root2" presStyleCnt="0"/>
      <dgm:spPr/>
      <dgm:t>
        <a:bodyPr/>
        <a:lstStyle/>
        <a:p>
          <a:endParaRPr lang="en-US"/>
        </a:p>
      </dgm:t>
    </dgm:pt>
    <dgm:pt modelId="{D6F84A41-29A1-4EC1-B0F4-7FF168441F2A}" type="pres">
      <dgm:prSet presAssocID="{B1FB9312-FD76-432F-B51F-B9352B03E0E8}" presName="LevelTwoTextNode" presStyleLbl="node3" presStyleIdx="8" presStyleCnt="12" custScaleX="358908">
        <dgm:presLayoutVars>
          <dgm:chPref val="3"/>
        </dgm:presLayoutVars>
      </dgm:prSet>
      <dgm:spPr>
        <a:prstGeom prst="roundRect">
          <a:avLst>
            <a:gd name="adj" fmla="val 10000"/>
          </a:avLst>
        </a:prstGeom>
      </dgm:spPr>
      <dgm:t>
        <a:bodyPr/>
        <a:lstStyle/>
        <a:p>
          <a:endParaRPr lang="en-US"/>
        </a:p>
      </dgm:t>
    </dgm:pt>
    <dgm:pt modelId="{5CC20718-F88A-4FAA-925B-16199AF79C6E}" type="pres">
      <dgm:prSet presAssocID="{B1FB9312-FD76-432F-B51F-B9352B03E0E8}" presName="level3hierChild" presStyleCnt="0"/>
      <dgm:spPr/>
      <dgm:t>
        <a:bodyPr/>
        <a:lstStyle/>
        <a:p>
          <a:endParaRPr lang="en-US"/>
        </a:p>
      </dgm:t>
    </dgm:pt>
    <dgm:pt modelId="{D81C6FC8-9AD8-47C7-800D-A96578727AB0}" type="pres">
      <dgm:prSet presAssocID="{58A50F1D-6F60-4208-8214-29EB206E3A56}" presName="conn2-1" presStyleLbl="parChTrans1D2" presStyleIdx="3" presStyleCnt="4"/>
      <dgm:spPr>
        <a:custGeom>
          <a:avLst/>
          <a:gdLst/>
          <a:ahLst/>
          <a:cxnLst/>
          <a:rect l="0" t="0" r="0" b="0"/>
          <a:pathLst>
            <a:path>
              <a:moveTo>
                <a:pt x="0" y="6585"/>
              </a:moveTo>
              <a:lnTo>
                <a:pt x="2099532" y="6585"/>
              </a:lnTo>
            </a:path>
          </a:pathLst>
        </a:custGeom>
      </dgm:spPr>
      <dgm:t>
        <a:bodyPr/>
        <a:lstStyle/>
        <a:p>
          <a:endParaRPr lang="en-US"/>
        </a:p>
      </dgm:t>
    </dgm:pt>
    <dgm:pt modelId="{1860A0B2-8AB1-4500-9DB5-560A3C5441BF}" type="pres">
      <dgm:prSet presAssocID="{58A50F1D-6F60-4208-8214-29EB206E3A56}" presName="connTx" presStyleLbl="parChTrans1D2" presStyleIdx="3" presStyleCnt="4"/>
      <dgm:spPr/>
      <dgm:t>
        <a:bodyPr/>
        <a:lstStyle/>
        <a:p>
          <a:endParaRPr lang="en-US"/>
        </a:p>
      </dgm:t>
    </dgm:pt>
    <dgm:pt modelId="{6FB104FD-2504-4B83-91DC-3AA6A6E97DD6}" type="pres">
      <dgm:prSet presAssocID="{3DCF13E9-D3EE-4EC9-BAA2-D802CAB7191E}" presName="root2" presStyleCnt="0"/>
      <dgm:spPr/>
      <dgm:t>
        <a:bodyPr/>
        <a:lstStyle/>
        <a:p>
          <a:endParaRPr lang="en-US"/>
        </a:p>
      </dgm:t>
    </dgm:pt>
    <dgm:pt modelId="{EDDA1A5C-0659-4AE0-A4F1-30D0C81F22B7}" type="pres">
      <dgm:prSet presAssocID="{3DCF13E9-D3EE-4EC9-BAA2-D802CAB7191E}" presName="LevelTwoTextNode" presStyleLbl="node2" presStyleIdx="3" presStyleCnt="4" custScaleX="133356" custScaleY="161473">
        <dgm:presLayoutVars>
          <dgm:chPref val="3"/>
        </dgm:presLayoutVars>
      </dgm:prSet>
      <dgm:spPr>
        <a:prstGeom prst="roundRect">
          <a:avLst>
            <a:gd name="adj" fmla="val 10000"/>
          </a:avLst>
        </a:prstGeom>
      </dgm:spPr>
      <dgm:t>
        <a:bodyPr/>
        <a:lstStyle/>
        <a:p>
          <a:endParaRPr lang="en-US"/>
        </a:p>
      </dgm:t>
    </dgm:pt>
    <dgm:pt modelId="{C5877CD9-0451-48DC-89CC-1C147771457E}" type="pres">
      <dgm:prSet presAssocID="{3DCF13E9-D3EE-4EC9-BAA2-D802CAB7191E}" presName="level3hierChild" presStyleCnt="0"/>
      <dgm:spPr/>
      <dgm:t>
        <a:bodyPr/>
        <a:lstStyle/>
        <a:p>
          <a:endParaRPr lang="en-US"/>
        </a:p>
      </dgm:t>
    </dgm:pt>
    <dgm:pt modelId="{1DDD95AA-E920-4A11-BE3C-7920A032C337}" type="pres">
      <dgm:prSet presAssocID="{0B443AE9-0EA3-4602-AADA-77E7E38790B9}" presName="conn2-1" presStyleLbl="parChTrans1D3" presStyleIdx="9" presStyleCnt="12"/>
      <dgm:spPr>
        <a:custGeom>
          <a:avLst/>
          <a:gdLst/>
          <a:ahLst/>
          <a:cxnLst/>
          <a:rect l="0" t="0" r="0" b="0"/>
          <a:pathLst>
            <a:path>
              <a:moveTo>
                <a:pt x="0" y="6585"/>
              </a:moveTo>
              <a:lnTo>
                <a:pt x="561679" y="6585"/>
              </a:lnTo>
            </a:path>
          </a:pathLst>
        </a:custGeom>
      </dgm:spPr>
      <dgm:t>
        <a:bodyPr/>
        <a:lstStyle/>
        <a:p>
          <a:endParaRPr lang="en-US"/>
        </a:p>
      </dgm:t>
    </dgm:pt>
    <dgm:pt modelId="{199B1435-8A07-4872-AB23-B18F7454825F}" type="pres">
      <dgm:prSet presAssocID="{0B443AE9-0EA3-4602-AADA-77E7E38790B9}" presName="connTx" presStyleLbl="parChTrans1D3" presStyleIdx="9" presStyleCnt="12"/>
      <dgm:spPr/>
      <dgm:t>
        <a:bodyPr/>
        <a:lstStyle/>
        <a:p>
          <a:endParaRPr lang="en-US"/>
        </a:p>
      </dgm:t>
    </dgm:pt>
    <dgm:pt modelId="{33AFE6AB-9965-44BC-8517-353AC905F822}" type="pres">
      <dgm:prSet presAssocID="{836EA24E-B8B7-43E4-A71A-A2A3C89E5B50}" presName="root2" presStyleCnt="0"/>
      <dgm:spPr/>
      <dgm:t>
        <a:bodyPr/>
        <a:lstStyle/>
        <a:p>
          <a:endParaRPr lang="en-US"/>
        </a:p>
      </dgm:t>
    </dgm:pt>
    <dgm:pt modelId="{EF61A228-037A-47D9-BC67-9ED723381528}" type="pres">
      <dgm:prSet presAssocID="{836EA24E-B8B7-43E4-A71A-A2A3C89E5B50}" presName="LevelTwoTextNode" presStyleLbl="node3" presStyleIdx="9" presStyleCnt="12" custScaleX="358908">
        <dgm:presLayoutVars>
          <dgm:chPref val="3"/>
        </dgm:presLayoutVars>
      </dgm:prSet>
      <dgm:spPr>
        <a:prstGeom prst="roundRect">
          <a:avLst>
            <a:gd name="adj" fmla="val 10000"/>
          </a:avLst>
        </a:prstGeom>
      </dgm:spPr>
      <dgm:t>
        <a:bodyPr/>
        <a:lstStyle/>
        <a:p>
          <a:endParaRPr lang="en-US"/>
        </a:p>
      </dgm:t>
    </dgm:pt>
    <dgm:pt modelId="{8E9DA670-356B-43CB-909B-BF412DBD61EF}" type="pres">
      <dgm:prSet presAssocID="{836EA24E-B8B7-43E4-A71A-A2A3C89E5B50}" presName="level3hierChild" presStyleCnt="0"/>
      <dgm:spPr/>
      <dgm:t>
        <a:bodyPr/>
        <a:lstStyle/>
        <a:p>
          <a:endParaRPr lang="en-US"/>
        </a:p>
      </dgm:t>
    </dgm:pt>
    <dgm:pt modelId="{215F7D19-1A0A-43C0-97DF-3A1E7265D50B}" type="pres">
      <dgm:prSet presAssocID="{A64C4086-286D-4BB2-BB1C-D391AF14E1D9}" presName="conn2-1" presStyleLbl="parChTrans1D3" presStyleIdx="10" presStyleCnt="12"/>
      <dgm:spPr>
        <a:custGeom>
          <a:avLst/>
          <a:gdLst/>
          <a:ahLst/>
          <a:cxnLst/>
          <a:rect l="0" t="0" r="0" b="0"/>
          <a:pathLst>
            <a:path>
              <a:moveTo>
                <a:pt x="0" y="6585"/>
              </a:moveTo>
              <a:lnTo>
                <a:pt x="320755" y="6585"/>
              </a:lnTo>
            </a:path>
          </a:pathLst>
        </a:custGeom>
      </dgm:spPr>
      <dgm:t>
        <a:bodyPr/>
        <a:lstStyle/>
        <a:p>
          <a:endParaRPr lang="en-US"/>
        </a:p>
      </dgm:t>
    </dgm:pt>
    <dgm:pt modelId="{A88BD630-7D0A-465F-9081-C52A857E22FA}" type="pres">
      <dgm:prSet presAssocID="{A64C4086-286D-4BB2-BB1C-D391AF14E1D9}" presName="connTx" presStyleLbl="parChTrans1D3" presStyleIdx="10" presStyleCnt="12"/>
      <dgm:spPr/>
      <dgm:t>
        <a:bodyPr/>
        <a:lstStyle/>
        <a:p>
          <a:endParaRPr lang="en-US"/>
        </a:p>
      </dgm:t>
    </dgm:pt>
    <dgm:pt modelId="{ABF63BF0-7B64-48B4-9081-C455E068DAF1}" type="pres">
      <dgm:prSet presAssocID="{54978093-B79D-4B10-BB68-27F3D45AB46A}" presName="root2" presStyleCnt="0"/>
      <dgm:spPr/>
      <dgm:t>
        <a:bodyPr/>
        <a:lstStyle/>
        <a:p>
          <a:endParaRPr lang="en-US"/>
        </a:p>
      </dgm:t>
    </dgm:pt>
    <dgm:pt modelId="{6133BFBB-7DBB-46C1-802F-A8DBB61D4855}" type="pres">
      <dgm:prSet presAssocID="{54978093-B79D-4B10-BB68-27F3D45AB46A}" presName="LevelTwoTextNode" presStyleLbl="node3" presStyleIdx="10" presStyleCnt="12" custScaleX="358908">
        <dgm:presLayoutVars>
          <dgm:chPref val="3"/>
        </dgm:presLayoutVars>
      </dgm:prSet>
      <dgm:spPr>
        <a:prstGeom prst="roundRect">
          <a:avLst>
            <a:gd name="adj" fmla="val 10000"/>
          </a:avLst>
        </a:prstGeom>
      </dgm:spPr>
      <dgm:t>
        <a:bodyPr/>
        <a:lstStyle/>
        <a:p>
          <a:endParaRPr lang="en-US"/>
        </a:p>
      </dgm:t>
    </dgm:pt>
    <dgm:pt modelId="{48E4D851-CF53-48EB-B8F6-C894D4CFFD85}" type="pres">
      <dgm:prSet presAssocID="{54978093-B79D-4B10-BB68-27F3D45AB46A}" presName="level3hierChild" presStyleCnt="0"/>
      <dgm:spPr/>
      <dgm:t>
        <a:bodyPr/>
        <a:lstStyle/>
        <a:p>
          <a:endParaRPr lang="en-US"/>
        </a:p>
      </dgm:t>
    </dgm:pt>
    <dgm:pt modelId="{A789BF3A-ECB3-41FC-9BD7-D5E1C23D1678}" type="pres">
      <dgm:prSet presAssocID="{91D167B3-4021-4A9D-99DB-DA6AB5AA9F75}" presName="conn2-1" presStyleLbl="parChTrans1D3" presStyleIdx="11" presStyleCnt="12"/>
      <dgm:spPr>
        <a:custGeom>
          <a:avLst/>
          <a:gdLst/>
          <a:ahLst/>
          <a:cxnLst/>
          <a:rect l="0" t="0" r="0" b="0"/>
          <a:pathLst>
            <a:path>
              <a:moveTo>
                <a:pt x="0" y="6585"/>
              </a:moveTo>
              <a:lnTo>
                <a:pt x="561679" y="6585"/>
              </a:lnTo>
            </a:path>
          </a:pathLst>
        </a:custGeom>
      </dgm:spPr>
      <dgm:t>
        <a:bodyPr/>
        <a:lstStyle/>
        <a:p>
          <a:endParaRPr lang="en-US"/>
        </a:p>
      </dgm:t>
    </dgm:pt>
    <dgm:pt modelId="{99A1E883-F709-4BFB-83CA-F39F26E2A45C}" type="pres">
      <dgm:prSet presAssocID="{91D167B3-4021-4A9D-99DB-DA6AB5AA9F75}" presName="connTx" presStyleLbl="parChTrans1D3" presStyleIdx="11" presStyleCnt="12"/>
      <dgm:spPr/>
      <dgm:t>
        <a:bodyPr/>
        <a:lstStyle/>
        <a:p>
          <a:endParaRPr lang="en-US"/>
        </a:p>
      </dgm:t>
    </dgm:pt>
    <dgm:pt modelId="{FC33E5BA-E2E4-43B3-B071-FA8341CCBDE0}" type="pres">
      <dgm:prSet presAssocID="{DB2EB5AE-92A5-4B08-900B-686BA356A49F}" presName="root2" presStyleCnt="0"/>
      <dgm:spPr/>
      <dgm:t>
        <a:bodyPr/>
        <a:lstStyle/>
        <a:p>
          <a:endParaRPr lang="en-US"/>
        </a:p>
      </dgm:t>
    </dgm:pt>
    <dgm:pt modelId="{43E54C3B-BA7B-46A0-B2B0-B3C407AEE1A9}" type="pres">
      <dgm:prSet presAssocID="{DB2EB5AE-92A5-4B08-900B-686BA356A49F}" presName="LevelTwoTextNode" presStyleLbl="node3" presStyleIdx="11" presStyleCnt="12" custScaleX="358908">
        <dgm:presLayoutVars>
          <dgm:chPref val="3"/>
        </dgm:presLayoutVars>
      </dgm:prSet>
      <dgm:spPr>
        <a:prstGeom prst="roundRect">
          <a:avLst>
            <a:gd name="adj" fmla="val 10000"/>
          </a:avLst>
        </a:prstGeom>
      </dgm:spPr>
      <dgm:t>
        <a:bodyPr/>
        <a:lstStyle/>
        <a:p>
          <a:endParaRPr lang="en-US"/>
        </a:p>
      </dgm:t>
    </dgm:pt>
    <dgm:pt modelId="{8880F2B6-82CC-4D1B-9421-8A90C7F52351}" type="pres">
      <dgm:prSet presAssocID="{DB2EB5AE-92A5-4B08-900B-686BA356A49F}" presName="level3hierChild" presStyleCnt="0"/>
      <dgm:spPr/>
      <dgm:t>
        <a:bodyPr/>
        <a:lstStyle/>
        <a:p>
          <a:endParaRPr lang="en-US"/>
        </a:p>
      </dgm:t>
    </dgm:pt>
  </dgm:ptLst>
  <dgm:cxnLst>
    <dgm:cxn modelId="{7612802A-F469-48A1-A0EA-FCC1BB2F6E98}" type="presOf" srcId="{5988D4D9-80B7-40F7-A039-E4336803005A}" destId="{FF95CBF5-5BEF-4AC7-B946-CB09CC4C7FE6}" srcOrd="1" destOrd="0" presId="urn:microsoft.com/office/officeart/2005/8/layout/hierarchy2"/>
    <dgm:cxn modelId="{9EC1CD19-7F41-4386-842B-8A7206C615A9}" srcId="{D0C6D90B-B056-45E6-A294-CCD93E928DE5}" destId="{A8398DA4-7B41-4F6D-99C7-4C888E5FAEAA}" srcOrd="2" destOrd="0" parTransId="{188DADBB-5C4D-4C45-B928-DFEFD7673486}" sibTransId="{83E76F9E-EE2F-40B8-85E7-3646256B7EE0}"/>
    <dgm:cxn modelId="{3CC18066-4E8F-45CB-BAE1-11555B67D2EC}" type="presOf" srcId="{4BD1CBCA-485F-4AF6-B0B2-F13DF6D04F18}" destId="{2F52D90D-7274-4BE2-B9DC-C9AC176A85E3}" srcOrd="0" destOrd="0" presId="urn:microsoft.com/office/officeart/2005/8/layout/hierarchy2"/>
    <dgm:cxn modelId="{874E9811-D4DE-446E-9195-5621B7B3CC8D}" type="presOf" srcId="{0B443AE9-0EA3-4602-AADA-77E7E38790B9}" destId="{1DDD95AA-E920-4A11-BE3C-7920A032C337}" srcOrd="0" destOrd="0" presId="urn:microsoft.com/office/officeart/2005/8/layout/hierarchy2"/>
    <dgm:cxn modelId="{C4BFA96B-9EED-4365-866D-9C35984B3509}" type="presOf" srcId="{A64C4086-286D-4BB2-BB1C-D391AF14E1D9}" destId="{A88BD630-7D0A-465F-9081-C52A857E22FA}" srcOrd="1" destOrd="0" presId="urn:microsoft.com/office/officeart/2005/8/layout/hierarchy2"/>
    <dgm:cxn modelId="{2D340ABA-C6FD-4A7C-B310-4AA623F5B783}" type="presOf" srcId="{DE1949B7-EC38-43D9-9625-573D0451E1AA}" destId="{96964DA0-CBE2-410C-AB0F-2D606161AA67}" srcOrd="0" destOrd="0" presId="urn:microsoft.com/office/officeart/2005/8/layout/hierarchy2"/>
    <dgm:cxn modelId="{67651CE8-04D2-4FCA-9E65-947AA54EFE70}" type="presOf" srcId="{836EA24E-B8B7-43E4-A71A-A2A3C89E5B50}" destId="{EF61A228-037A-47D9-BC67-9ED723381528}" srcOrd="0" destOrd="0" presId="urn:microsoft.com/office/officeart/2005/8/layout/hierarchy2"/>
    <dgm:cxn modelId="{6C50F3E5-EB59-4A41-A8E0-D46E203211B1}" srcId="{3DCF13E9-D3EE-4EC9-BAA2-D802CAB7191E}" destId="{DB2EB5AE-92A5-4B08-900B-686BA356A49F}" srcOrd="2" destOrd="0" parTransId="{91D167B3-4021-4A9D-99DB-DA6AB5AA9F75}" sibTransId="{A9D519CC-706B-46CC-B4C1-07204D46BDC2}"/>
    <dgm:cxn modelId="{880AD7A8-7B81-4999-BF56-44A8C6F19F64}" type="presOf" srcId="{9DAF9024-C648-483F-83C5-3FA676EAAC70}" destId="{8EE31E57-EF4D-4F48-B622-A51D55E475E3}" srcOrd="0" destOrd="0" presId="urn:microsoft.com/office/officeart/2005/8/layout/hierarchy2"/>
    <dgm:cxn modelId="{D61B6680-1FAF-434F-AC9E-478E7FD8C6FF}" type="presOf" srcId="{EE726109-C825-4AEA-96A0-6526C44D3892}" destId="{9554715E-DA9D-4793-9F8B-3498CF7F6BC0}" srcOrd="1" destOrd="0" presId="urn:microsoft.com/office/officeart/2005/8/layout/hierarchy2"/>
    <dgm:cxn modelId="{6038DE2C-74AC-457F-9A4F-D3166AA00A23}" type="presOf" srcId="{A64C4086-286D-4BB2-BB1C-D391AF14E1D9}" destId="{215F7D19-1A0A-43C0-97DF-3A1E7265D50B}" srcOrd="0" destOrd="0" presId="urn:microsoft.com/office/officeart/2005/8/layout/hierarchy2"/>
    <dgm:cxn modelId="{AD2DF313-BFA7-4CCC-B990-7358E5319B93}" type="presOf" srcId="{D0C6D90B-B056-45E6-A294-CCD93E928DE5}" destId="{7E0D8332-A0B9-4B5D-BC6D-23588B95D6C5}" srcOrd="0" destOrd="0" presId="urn:microsoft.com/office/officeart/2005/8/layout/hierarchy2"/>
    <dgm:cxn modelId="{EE232E2E-AEFA-4DAF-88D6-C2EC0C09DDDC}" type="presOf" srcId="{24D227A0-BBDF-4B56-9BF9-F480F43FD490}" destId="{7211CBD2-C4EB-426D-88B3-454AD30DC970}" srcOrd="0" destOrd="0" presId="urn:microsoft.com/office/officeart/2005/8/layout/hierarchy2"/>
    <dgm:cxn modelId="{972D6117-CBBE-48AA-8B43-E9FF160C8E86}" type="presOf" srcId="{8AD261F5-E90A-47DC-8A7C-058B7D429DD9}" destId="{2C42B795-91E5-4CF0-9D7C-FBDCF21BEB98}" srcOrd="1" destOrd="0" presId="urn:microsoft.com/office/officeart/2005/8/layout/hierarchy2"/>
    <dgm:cxn modelId="{C6B9D970-1DD6-472F-894B-B87E444B01F3}" srcId="{A8398DA4-7B41-4F6D-99C7-4C888E5FAEAA}" destId="{9DAF9024-C648-483F-83C5-3FA676EAAC70}" srcOrd="1" destOrd="0" parTransId="{62BDFB77-7FE9-412F-8A3E-7FEAA303473C}" sibTransId="{E1C46108-FE99-4A16-A638-07EAD828EC59}"/>
    <dgm:cxn modelId="{F1F8B66C-1EFB-49E4-BE7F-4B2841FD1CC6}" type="presOf" srcId="{8A797EC4-960B-4D02-884D-18ECDE795F35}" destId="{78D64870-45B1-4DAD-8D23-4026673238D7}" srcOrd="1" destOrd="0" presId="urn:microsoft.com/office/officeart/2005/8/layout/hierarchy2"/>
    <dgm:cxn modelId="{809760FD-745E-428B-940B-1645884F8B78}" srcId="{24D227A0-BBDF-4B56-9BF9-F480F43FD490}" destId="{39DC7898-CFFA-4F10-B9B5-64F5C5A3B7E3}" srcOrd="2" destOrd="0" parTransId="{5988D4D9-80B7-40F7-A039-E4336803005A}" sibTransId="{3830031E-B7FD-4146-85FC-7AC1899D21FC}"/>
    <dgm:cxn modelId="{04729D9F-C822-4E7F-B037-CFE4A9965234}" type="presOf" srcId="{91D167B3-4021-4A9D-99DB-DA6AB5AA9F75}" destId="{99A1E883-F709-4BFB-83CA-F39F26E2A45C}" srcOrd="1" destOrd="0" presId="urn:microsoft.com/office/officeart/2005/8/layout/hierarchy2"/>
    <dgm:cxn modelId="{68AE4AAB-D76F-4902-9824-CC5CF2A3AA08}" srcId="{24D227A0-BBDF-4B56-9BF9-F480F43FD490}" destId="{EBA07376-F956-45D6-8542-DF361617A73D}" srcOrd="0" destOrd="0" parTransId="{EE726109-C825-4AEA-96A0-6526C44D3892}" sibTransId="{441204E5-1D41-4A56-9771-8BCC30CE2D60}"/>
    <dgm:cxn modelId="{1F40E6E1-6960-453F-9CA8-3B837D92EBCB}" type="presOf" srcId="{A8398DA4-7B41-4F6D-99C7-4C888E5FAEAA}" destId="{A4E83236-F995-4EFA-BB61-15BAD437EDDD}" srcOrd="0" destOrd="0" presId="urn:microsoft.com/office/officeart/2005/8/layout/hierarchy2"/>
    <dgm:cxn modelId="{B9BA35DD-C4D1-476A-B9D4-D8E80CBB44D4}" type="presOf" srcId="{80337E32-5775-4FB2-A68B-A570F129FC95}" destId="{E80849EF-A0A7-4770-A5EF-E3C7C00797CF}" srcOrd="0" destOrd="0" presId="urn:microsoft.com/office/officeart/2005/8/layout/hierarchy2"/>
    <dgm:cxn modelId="{033B2ED9-BAE4-42FE-A7EE-98D9B1F7A3D5}" type="presOf" srcId="{65EC3851-A3DD-407B-A2FF-135A6189B8E0}" destId="{8BE55CDF-F424-42EA-9A3F-7B9D7FA537D9}" srcOrd="0" destOrd="0" presId="urn:microsoft.com/office/officeart/2005/8/layout/hierarchy2"/>
    <dgm:cxn modelId="{EF5EF74A-22A7-44D9-B0DC-9038C5C6D91A}" type="presOf" srcId="{3CDC391F-01A5-4CF3-8011-19F1EE57B850}" destId="{2339E3F7-26B0-4399-A9FA-50D505DCFBB3}" srcOrd="0" destOrd="0" presId="urn:microsoft.com/office/officeart/2005/8/layout/hierarchy2"/>
    <dgm:cxn modelId="{75157142-0C96-40D8-83B8-0A47D44DBC17}" type="presOf" srcId="{5988D4D9-80B7-40F7-A039-E4336803005A}" destId="{E43837BF-F777-449E-873D-CB47F6494200}" srcOrd="0" destOrd="0" presId="urn:microsoft.com/office/officeart/2005/8/layout/hierarchy2"/>
    <dgm:cxn modelId="{D6843DFF-14AD-494B-8B14-5DF3488A4685}" type="presOf" srcId="{3CDC391F-01A5-4CF3-8011-19F1EE57B850}" destId="{98A58599-9BB8-452E-90FF-1AEABD92346D}" srcOrd="1" destOrd="0" presId="urn:microsoft.com/office/officeart/2005/8/layout/hierarchy2"/>
    <dgm:cxn modelId="{4527EC73-8BDE-44EF-8F53-D1494A263AB1}" type="presOf" srcId="{BB1F1621-8D8A-47C5-9CF3-6182F934FDE2}" destId="{AB45EA8E-FFA7-4E65-A5E8-FA6B2480F5DD}" srcOrd="0" destOrd="0" presId="urn:microsoft.com/office/officeart/2005/8/layout/hierarchy2"/>
    <dgm:cxn modelId="{8A536A53-9811-45B2-84E6-828E32C034E2}" type="presOf" srcId="{58A50F1D-6F60-4208-8214-29EB206E3A56}" destId="{D81C6FC8-9AD8-47C7-800D-A96578727AB0}" srcOrd="0" destOrd="0" presId="urn:microsoft.com/office/officeart/2005/8/layout/hierarchy2"/>
    <dgm:cxn modelId="{88677EEB-F557-4AED-ADFC-E494890D2512}" type="presOf" srcId="{3DCF13E9-D3EE-4EC9-BAA2-D802CAB7191E}" destId="{EDDA1A5C-0659-4AE0-A4F1-30D0C81F22B7}" srcOrd="0" destOrd="0" presId="urn:microsoft.com/office/officeart/2005/8/layout/hierarchy2"/>
    <dgm:cxn modelId="{AE7A45CD-5C5C-44BD-9A0C-CA11412D4F6C}" type="presOf" srcId="{39DC7898-CFFA-4F10-B9B5-64F5C5A3B7E3}" destId="{571CE0B5-BB52-4CB6-944E-9ADDE3F57363}" srcOrd="0" destOrd="0" presId="urn:microsoft.com/office/officeart/2005/8/layout/hierarchy2"/>
    <dgm:cxn modelId="{91C300EF-1EEA-42FE-9FEA-90A89F781496}" type="presOf" srcId="{B1FB9312-FD76-432F-B51F-B9352B03E0E8}" destId="{D6F84A41-29A1-4EC1-B0F4-7FF168441F2A}" srcOrd="0" destOrd="0" presId="urn:microsoft.com/office/officeart/2005/8/layout/hierarchy2"/>
    <dgm:cxn modelId="{1A1A6B9A-9AE2-475C-B6E7-DA8395EE8F27}" type="presOf" srcId="{EE726109-C825-4AEA-96A0-6526C44D3892}" destId="{1A0410EF-E02C-4964-90D5-22B4915D2DE6}" srcOrd="0" destOrd="0" presId="urn:microsoft.com/office/officeart/2005/8/layout/hierarchy2"/>
    <dgm:cxn modelId="{68E01D61-5993-4D0B-8AF0-24A225760986}" srcId="{3DCF13E9-D3EE-4EC9-BAA2-D802CAB7191E}" destId="{836EA24E-B8B7-43E4-A71A-A2A3C89E5B50}" srcOrd="0" destOrd="0" parTransId="{0B443AE9-0EA3-4602-AADA-77E7E38790B9}" sibTransId="{BF6FA69C-491F-4138-94F5-26A6E6DCD244}"/>
    <dgm:cxn modelId="{DA32E607-70DC-4AAA-B286-6C900FDF4F83}" type="presOf" srcId="{54978093-B79D-4B10-BB68-27F3D45AB46A}" destId="{6133BFBB-7DBB-46C1-802F-A8DBB61D4855}" srcOrd="0" destOrd="0" presId="urn:microsoft.com/office/officeart/2005/8/layout/hierarchy2"/>
    <dgm:cxn modelId="{98B49C31-30D1-4C0B-ACCF-0A61D580B382}" type="presOf" srcId="{8A797EC4-960B-4D02-884D-18ECDE795F35}" destId="{C17A1B27-45E9-4E05-B966-CDE3BA91F529}" srcOrd="0" destOrd="0" presId="urn:microsoft.com/office/officeart/2005/8/layout/hierarchy2"/>
    <dgm:cxn modelId="{65A618CD-A2AD-4133-AD9C-279A143E6F94}" srcId="{D0C6D90B-B056-45E6-A294-CCD93E928DE5}" destId="{24D227A0-BBDF-4B56-9BF9-F480F43FD490}" srcOrd="0" destOrd="0" parTransId="{CC95CEDE-8678-4BB5-AC3B-D35B549F32EA}" sibTransId="{C048C5E3-FF0E-47E9-AB6A-E03848FDFA6F}"/>
    <dgm:cxn modelId="{E576DAFD-D01C-4072-B941-5CD7A0D8879C}" srcId="{65EC3851-A3DD-407B-A2FF-135A6189B8E0}" destId="{0570E3F9-C531-4539-B6D5-197AC17404DA}" srcOrd="2" destOrd="0" parTransId="{DE1949B7-EC38-43D9-9625-573D0451E1AA}" sibTransId="{3050937C-F679-458B-9838-FBB00B131726}"/>
    <dgm:cxn modelId="{49DA3CDD-80FF-4B6C-BE61-5B0DC48A0082}" type="presOf" srcId="{91D167B3-4021-4A9D-99DB-DA6AB5AA9F75}" destId="{A789BF3A-ECB3-41FC-9BD7-D5E1C23D1678}" srcOrd="0" destOrd="0" presId="urn:microsoft.com/office/officeart/2005/8/layout/hierarchy2"/>
    <dgm:cxn modelId="{EE752EFE-E0E4-42EA-921B-E39C9D702D4B}" srcId="{D0C6D90B-B056-45E6-A294-CCD93E928DE5}" destId="{65EC3851-A3DD-407B-A2FF-135A6189B8E0}" srcOrd="1" destOrd="0" parTransId="{448755EE-2FCF-473D-BE4A-8ECCFFF5E3FC}" sibTransId="{0E9CB437-508B-4AF7-BC12-E996787B6376}"/>
    <dgm:cxn modelId="{FC837C15-9350-4C49-954B-7AE208C96819}" type="presOf" srcId="{82FC6AD7-5C77-41C6-833E-B09953D2E826}" destId="{B0B4D5C6-6768-444F-8492-FB3B7821A157}" srcOrd="0" destOrd="0" presId="urn:microsoft.com/office/officeart/2005/8/layout/hierarchy2"/>
    <dgm:cxn modelId="{C3D044ED-6594-46EA-B2B3-A9EEAEBC2A43}" type="presOf" srcId="{CC95CEDE-8678-4BB5-AC3B-D35B549F32EA}" destId="{8D2D23BC-8699-4206-B290-E97344DB2ECD}" srcOrd="1" destOrd="0" presId="urn:microsoft.com/office/officeart/2005/8/layout/hierarchy2"/>
    <dgm:cxn modelId="{3B6DD855-684D-4BBD-AC0F-1B6C22B58B47}" type="presOf" srcId="{58A50F1D-6F60-4208-8214-29EB206E3A56}" destId="{1860A0B2-8AB1-4500-9DB5-560A3C5441BF}" srcOrd="1" destOrd="0" presId="urn:microsoft.com/office/officeart/2005/8/layout/hierarchy2"/>
    <dgm:cxn modelId="{4EF7102C-BD7A-43FB-852D-B73E7B792710}" type="presOf" srcId="{B181078E-0E7D-45E3-A257-C12EEE358439}" destId="{CE059485-3BF8-412F-B01F-B6EB47A67C4F}" srcOrd="1" destOrd="0" presId="urn:microsoft.com/office/officeart/2005/8/layout/hierarchy2"/>
    <dgm:cxn modelId="{981A972A-C7F1-4F77-B402-B497A43F23C6}" srcId="{A8398DA4-7B41-4F6D-99C7-4C888E5FAEAA}" destId="{BC3BB247-F050-40E3-BD1C-347B0ED61CA7}" srcOrd="0" destOrd="0" parTransId="{3CDC391F-01A5-4CF3-8011-19F1EE57B850}" sibTransId="{53A33294-EDBF-449C-831C-08F7E1C3DF5D}"/>
    <dgm:cxn modelId="{243A7E50-4E5B-4361-A06E-BA38F9C1035E}" srcId="{3DCF13E9-D3EE-4EC9-BAA2-D802CAB7191E}" destId="{54978093-B79D-4B10-BB68-27F3D45AB46A}" srcOrd="1" destOrd="0" parTransId="{A64C4086-286D-4BB2-BB1C-D391AF14E1D9}" sibTransId="{AEDB0EB7-B0A2-4E13-89F2-252FDD7DA20D}"/>
    <dgm:cxn modelId="{FCBE5785-E4F0-40B5-A901-DAC5F54F3E96}" srcId="{A8398DA4-7B41-4F6D-99C7-4C888E5FAEAA}" destId="{B1FB9312-FD76-432F-B51F-B9352B03E0E8}" srcOrd="2" destOrd="0" parTransId="{8A797EC4-960B-4D02-884D-18ECDE795F35}" sibTransId="{396D34DB-6428-440B-B48B-DB37747AE3B9}"/>
    <dgm:cxn modelId="{9481495E-EB8A-4511-A9E7-D7AAEAAD4244}" type="presOf" srcId="{448755EE-2FCF-473D-BE4A-8ECCFFF5E3FC}" destId="{BB35ABFD-FB61-40A1-8347-EBB961158710}" srcOrd="1" destOrd="0" presId="urn:microsoft.com/office/officeart/2005/8/layout/hierarchy2"/>
    <dgm:cxn modelId="{E34CD2CF-CC21-4146-9B97-7A6E21B7FAA8}" type="presOf" srcId="{0570E3F9-C531-4539-B6D5-197AC17404DA}" destId="{E69A269E-E109-4D4A-B8B0-19CABC012C5B}" srcOrd="0" destOrd="0" presId="urn:microsoft.com/office/officeart/2005/8/layout/hierarchy2"/>
    <dgm:cxn modelId="{C59011DD-C6BF-44B0-BFC9-820DB7EA1608}" type="presOf" srcId="{9F49B35D-9ABA-4DCE-AD45-2E6F840BC2B0}" destId="{5FD7016A-3F18-4F11-B445-C5ACADAD90A6}" srcOrd="0" destOrd="0" presId="urn:microsoft.com/office/officeart/2005/8/layout/hierarchy2"/>
    <dgm:cxn modelId="{00413E25-5C90-4892-A1AC-E80C8A54478D}" type="presOf" srcId="{B181078E-0E7D-45E3-A257-C12EEE358439}" destId="{0FD13133-7A94-469D-ABB9-FD028A5AD315}" srcOrd="0" destOrd="0" presId="urn:microsoft.com/office/officeart/2005/8/layout/hierarchy2"/>
    <dgm:cxn modelId="{171FFD61-87A1-4ACA-A5D1-A3D689F09A16}" type="presOf" srcId="{BB1F1621-8D8A-47C5-9CF3-6182F934FDE2}" destId="{A75DB3D9-6B26-4A91-85D3-32C4D3985631}" srcOrd="1" destOrd="0" presId="urn:microsoft.com/office/officeart/2005/8/layout/hierarchy2"/>
    <dgm:cxn modelId="{3975AEDD-9399-409D-8CF3-EE8C6B3CA361}" type="presOf" srcId="{62BDFB77-7FE9-412F-8A3E-7FEAA303473C}" destId="{CE32653A-BE8A-4321-8FAF-6F444888FE15}" srcOrd="1" destOrd="0" presId="urn:microsoft.com/office/officeart/2005/8/layout/hierarchy2"/>
    <dgm:cxn modelId="{BF3A797B-93DD-41FD-BBE2-2D5468DB049D}" type="presOf" srcId="{EBA07376-F956-45D6-8542-DF361617A73D}" destId="{5FA7F37C-CB02-4248-8012-16873AF52195}" srcOrd="0" destOrd="0" presId="urn:microsoft.com/office/officeart/2005/8/layout/hierarchy2"/>
    <dgm:cxn modelId="{88C00925-AD0A-4EBB-80A7-F646E26D0173}" type="presOf" srcId="{CC95CEDE-8678-4BB5-AC3B-D35B549F32EA}" destId="{738F478C-CD3F-40B9-BAA5-3F24061974F2}" srcOrd="0" destOrd="0" presId="urn:microsoft.com/office/officeart/2005/8/layout/hierarchy2"/>
    <dgm:cxn modelId="{7025934A-62F2-4FD9-A78F-68ACBE0B5DE0}" srcId="{D0C6D90B-B056-45E6-A294-CCD93E928DE5}" destId="{3DCF13E9-D3EE-4EC9-BAA2-D802CAB7191E}" srcOrd="3" destOrd="0" parTransId="{58A50F1D-6F60-4208-8214-29EB206E3A56}" sibTransId="{E9B373D7-7C95-4FF5-BBDB-83B7B7357C19}"/>
    <dgm:cxn modelId="{49768BCB-DF06-47CB-80DF-706FF7B6EEEC}" type="presOf" srcId="{DB2EB5AE-92A5-4B08-900B-686BA356A49F}" destId="{43E54C3B-BA7B-46A0-B2B0-B3C407AEE1A9}" srcOrd="0" destOrd="0" presId="urn:microsoft.com/office/officeart/2005/8/layout/hierarchy2"/>
    <dgm:cxn modelId="{D619CE96-4E5E-4F45-89FF-07EDE960DCD9}" type="presOf" srcId="{448755EE-2FCF-473D-BE4A-8ECCFFF5E3FC}" destId="{1E33EF9F-5127-4D70-982A-F33D5926CBFC}" srcOrd="0" destOrd="0" presId="urn:microsoft.com/office/officeart/2005/8/layout/hierarchy2"/>
    <dgm:cxn modelId="{D3CE7A94-3831-4A77-88F6-D3346070BD50}" type="presOf" srcId="{0B443AE9-0EA3-4602-AADA-77E7E38790B9}" destId="{199B1435-8A07-4872-AB23-B18F7454825F}" srcOrd="1" destOrd="0" presId="urn:microsoft.com/office/officeart/2005/8/layout/hierarchy2"/>
    <dgm:cxn modelId="{46235D75-E51E-4B45-A59A-42FA7AB476A3}" srcId="{65EC3851-A3DD-407B-A2FF-135A6189B8E0}" destId="{4BD1CBCA-485F-4AF6-B0B2-F13DF6D04F18}" srcOrd="1" destOrd="0" parTransId="{B181078E-0E7D-45E3-A257-C12EEE358439}" sibTransId="{7EECE5DE-958A-4B5C-91B9-87D0236B69AE}"/>
    <dgm:cxn modelId="{14AA8A38-52B1-4290-BF26-D1DBDAD86267}" type="presOf" srcId="{188DADBB-5C4D-4C45-B928-DFEFD7673486}" destId="{5B7D2AA5-AA8A-4798-AE80-E36A2D3E81D3}" srcOrd="1" destOrd="0" presId="urn:microsoft.com/office/officeart/2005/8/layout/hierarchy2"/>
    <dgm:cxn modelId="{FE839EF1-74DC-4006-8229-18A4471E8906}" srcId="{80337E32-5775-4FB2-A68B-A570F129FC95}" destId="{D0C6D90B-B056-45E6-A294-CCD93E928DE5}" srcOrd="0" destOrd="0" parTransId="{9C43393A-4525-42D3-B4D7-948901F16A64}" sibTransId="{64844C4D-567D-45C3-99B4-4637BD0AEBA0}"/>
    <dgm:cxn modelId="{5FC3F331-DE87-483B-9D08-3A9E1E7B9E63}" type="presOf" srcId="{8AD261F5-E90A-47DC-8A7C-058B7D429DD9}" destId="{6EC3F392-7120-43F2-80F3-B00AAC7C5B95}" srcOrd="0" destOrd="0" presId="urn:microsoft.com/office/officeart/2005/8/layout/hierarchy2"/>
    <dgm:cxn modelId="{DF4414C9-9F73-44C1-A98F-2710E6447AD0}" type="presOf" srcId="{BC3BB247-F050-40E3-BD1C-347B0ED61CA7}" destId="{731C4790-9809-476B-8353-91DBBA7A09A3}" srcOrd="0" destOrd="0" presId="urn:microsoft.com/office/officeart/2005/8/layout/hierarchy2"/>
    <dgm:cxn modelId="{EFD019EA-6A9E-40C3-BBF4-586F173B99E1}" type="presOf" srcId="{62BDFB77-7FE9-412F-8A3E-7FEAA303473C}" destId="{638972AD-331D-4597-9BEA-C130B2BDCF4B}" srcOrd="0" destOrd="0" presId="urn:microsoft.com/office/officeart/2005/8/layout/hierarchy2"/>
    <dgm:cxn modelId="{B490B8EF-97A9-402C-8A8A-24B62D35C659}" type="presOf" srcId="{DE1949B7-EC38-43D9-9625-573D0451E1AA}" destId="{07D4EFA4-C92D-418A-A6C3-7D8715127369}" srcOrd="1" destOrd="0" presId="urn:microsoft.com/office/officeart/2005/8/layout/hierarchy2"/>
    <dgm:cxn modelId="{6E5E5047-F1E1-43A3-8778-CD0D0869C304}" srcId="{24D227A0-BBDF-4B56-9BF9-F480F43FD490}" destId="{82FC6AD7-5C77-41C6-833E-B09953D2E826}" srcOrd="1" destOrd="0" parTransId="{BB1F1621-8D8A-47C5-9CF3-6182F934FDE2}" sibTransId="{96A9D009-8181-4673-98AD-396458DB28E0}"/>
    <dgm:cxn modelId="{53710A03-32E5-4266-9800-987431BC32D9}" type="presOf" srcId="{188DADBB-5C4D-4C45-B928-DFEFD7673486}" destId="{9F96E5C6-1B70-4CF3-B212-9D6CE2E7D277}" srcOrd="0" destOrd="0" presId="urn:microsoft.com/office/officeart/2005/8/layout/hierarchy2"/>
    <dgm:cxn modelId="{AFC33B46-22E5-497C-BFD8-97DACCCF4838}" srcId="{65EC3851-A3DD-407B-A2FF-135A6189B8E0}" destId="{9F49B35D-9ABA-4DCE-AD45-2E6F840BC2B0}" srcOrd="0" destOrd="0" parTransId="{8AD261F5-E90A-47DC-8A7C-058B7D429DD9}" sibTransId="{F8FD9046-9606-4527-85D9-7229AEAA4DD9}"/>
    <dgm:cxn modelId="{E1CE55E8-C044-4E9A-A678-8CD4CDE21801}" type="presParOf" srcId="{E80849EF-A0A7-4770-A5EF-E3C7C00797CF}" destId="{EF07ED4F-0FF9-43ED-9773-5E4EA06D60C4}" srcOrd="0" destOrd="0" presId="urn:microsoft.com/office/officeart/2005/8/layout/hierarchy2"/>
    <dgm:cxn modelId="{EAB862C2-3FEE-4AA7-8076-669A7BCEB75B}" type="presParOf" srcId="{EF07ED4F-0FF9-43ED-9773-5E4EA06D60C4}" destId="{7E0D8332-A0B9-4B5D-BC6D-23588B95D6C5}" srcOrd="0" destOrd="0" presId="urn:microsoft.com/office/officeart/2005/8/layout/hierarchy2"/>
    <dgm:cxn modelId="{01DC25E2-9A04-4544-9D0F-A470B9CEA44C}" type="presParOf" srcId="{EF07ED4F-0FF9-43ED-9773-5E4EA06D60C4}" destId="{A258E581-1FA6-4450-B3B1-F1B752067817}" srcOrd="1" destOrd="0" presId="urn:microsoft.com/office/officeart/2005/8/layout/hierarchy2"/>
    <dgm:cxn modelId="{268E9A8D-8E4B-4C88-8767-E1CCF34F76CC}" type="presParOf" srcId="{A258E581-1FA6-4450-B3B1-F1B752067817}" destId="{738F478C-CD3F-40B9-BAA5-3F24061974F2}" srcOrd="0" destOrd="0" presId="urn:microsoft.com/office/officeart/2005/8/layout/hierarchy2"/>
    <dgm:cxn modelId="{49D38873-CD3B-46CA-8A10-EE35F102262D}" type="presParOf" srcId="{738F478C-CD3F-40B9-BAA5-3F24061974F2}" destId="{8D2D23BC-8699-4206-B290-E97344DB2ECD}" srcOrd="0" destOrd="0" presId="urn:microsoft.com/office/officeart/2005/8/layout/hierarchy2"/>
    <dgm:cxn modelId="{6C2174BF-E050-40B7-81AE-928059F1D2C0}" type="presParOf" srcId="{A258E581-1FA6-4450-B3B1-F1B752067817}" destId="{5E94DE16-EB0B-4599-9299-B2FE0BB48D92}" srcOrd="1" destOrd="0" presId="urn:microsoft.com/office/officeart/2005/8/layout/hierarchy2"/>
    <dgm:cxn modelId="{26057FA0-DDBB-4870-A95B-AA153354E256}" type="presParOf" srcId="{5E94DE16-EB0B-4599-9299-B2FE0BB48D92}" destId="{7211CBD2-C4EB-426D-88B3-454AD30DC970}" srcOrd="0" destOrd="0" presId="urn:microsoft.com/office/officeart/2005/8/layout/hierarchy2"/>
    <dgm:cxn modelId="{323D2200-B2FF-4460-A56F-BCD3510EF751}" type="presParOf" srcId="{5E94DE16-EB0B-4599-9299-B2FE0BB48D92}" destId="{77D33AFD-F343-44C5-831A-04BBCA5BA158}" srcOrd="1" destOrd="0" presId="urn:microsoft.com/office/officeart/2005/8/layout/hierarchy2"/>
    <dgm:cxn modelId="{2DC803FB-4FD0-4A47-8E03-2F2E6E0CE899}" type="presParOf" srcId="{77D33AFD-F343-44C5-831A-04BBCA5BA158}" destId="{1A0410EF-E02C-4964-90D5-22B4915D2DE6}" srcOrd="0" destOrd="0" presId="urn:microsoft.com/office/officeart/2005/8/layout/hierarchy2"/>
    <dgm:cxn modelId="{3D9300CE-8E76-4A26-B6C5-7D20E06663DF}" type="presParOf" srcId="{1A0410EF-E02C-4964-90D5-22B4915D2DE6}" destId="{9554715E-DA9D-4793-9F8B-3498CF7F6BC0}" srcOrd="0" destOrd="0" presId="urn:microsoft.com/office/officeart/2005/8/layout/hierarchy2"/>
    <dgm:cxn modelId="{0862EE55-77BD-4BF8-B938-0E1CB0C03507}" type="presParOf" srcId="{77D33AFD-F343-44C5-831A-04BBCA5BA158}" destId="{4552BB8C-6132-4B5D-A388-AFB475EFBCF7}" srcOrd="1" destOrd="0" presId="urn:microsoft.com/office/officeart/2005/8/layout/hierarchy2"/>
    <dgm:cxn modelId="{FE32423A-863F-428B-8BE9-664AE6B0C198}" type="presParOf" srcId="{4552BB8C-6132-4B5D-A388-AFB475EFBCF7}" destId="{5FA7F37C-CB02-4248-8012-16873AF52195}" srcOrd="0" destOrd="0" presId="urn:microsoft.com/office/officeart/2005/8/layout/hierarchy2"/>
    <dgm:cxn modelId="{01B70455-231E-4AF1-A2EF-6BAD354D1FFD}" type="presParOf" srcId="{4552BB8C-6132-4B5D-A388-AFB475EFBCF7}" destId="{98FD3334-D937-4D18-AF26-9B93AA49C058}" srcOrd="1" destOrd="0" presId="urn:microsoft.com/office/officeart/2005/8/layout/hierarchy2"/>
    <dgm:cxn modelId="{4D8CDD53-1140-4560-81DA-92CAD7974A77}" type="presParOf" srcId="{77D33AFD-F343-44C5-831A-04BBCA5BA158}" destId="{AB45EA8E-FFA7-4E65-A5E8-FA6B2480F5DD}" srcOrd="2" destOrd="0" presId="urn:microsoft.com/office/officeart/2005/8/layout/hierarchy2"/>
    <dgm:cxn modelId="{7DDD0B1E-2FAC-4A78-9468-CF3E3956FF35}" type="presParOf" srcId="{AB45EA8E-FFA7-4E65-A5E8-FA6B2480F5DD}" destId="{A75DB3D9-6B26-4A91-85D3-32C4D3985631}" srcOrd="0" destOrd="0" presId="urn:microsoft.com/office/officeart/2005/8/layout/hierarchy2"/>
    <dgm:cxn modelId="{7D68EE5E-69D2-4F1B-9B38-639F273461EF}" type="presParOf" srcId="{77D33AFD-F343-44C5-831A-04BBCA5BA158}" destId="{D2CF16EB-C641-4777-92FF-DDFC33068949}" srcOrd="3" destOrd="0" presId="urn:microsoft.com/office/officeart/2005/8/layout/hierarchy2"/>
    <dgm:cxn modelId="{201EE0F0-D79D-496A-9A7F-DD56F1DD49E7}" type="presParOf" srcId="{D2CF16EB-C641-4777-92FF-DDFC33068949}" destId="{B0B4D5C6-6768-444F-8492-FB3B7821A157}" srcOrd="0" destOrd="0" presId="urn:microsoft.com/office/officeart/2005/8/layout/hierarchy2"/>
    <dgm:cxn modelId="{B3E7F333-B6D4-4F55-8454-8B09DF6EFD29}" type="presParOf" srcId="{D2CF16EB-C641-4777-92FF-DDFC33068949}" destId="{AB5E388F-ACE1-41BF-9165-FC182311FDBD}" srcOrd="1" destOrd="0" presId="urn:microsoft.com/office/officeart/2005/8/layout/hierarchy2"/>
    <dgm:cxn modelId="{9CC6D9D9-58AB-4CB0-BB3F-216FEFDE9A85}" type="presParOf" srcId="{77D33AFD-F343-44C5-831A-04BBCA5BA158}" destId="{E43837BF-F777-449E-873D-CB47F6494200}" srcOrd="4" destOrd="0" presId="urn:microsoft.com/office/officeart/2005/8/layout/hierarchy2"/>
    <dgm:cxn modelId="{E5B6E32B-CAA3-4DD0-822A-8223CA7C93E1}" type="presParOf" srcId="{E43837BF-F777-449E-873D-CB47F6494200}" destId="{FF95CBF5-5BEF-4AC7-B946-CB09CC4C7FE6}" srcOrd="0" destOrd="0" presId="urn:microsoft.com/office/officeart/2005/8/layout/hierarchy2"/>
    <dgm:cxn modelId="{1B5AB767-CD33-4513-B622-2F40F1F8686A}" type="presParOf" srcId="{77D33AFD-F343-44C5-831A-04BBCA5BA158}" destId="{5802C344-2676-4213-8DB4-C1E51CC1F499}" srcOrd="5" destOrd="0" presId="urn:microsoft.com/office/officeart/2005/8/layout/hierarchy2"/>
    <dgm:cxn modelId="{079CAB46-082C-4816-A1D4-5CE6A4274623}" type="presParOf" srcId="{5802C344-2676-4213-8DB4-C1E51CC1F499}" destId="{571CE0B5-BB52-4CB6-944E-9ADDE3F57363}" srcOrd="0" destOrd="0" presId="urn:microsoft.com/office/officeart/2005/8/layout/hierarchy2"/>
    <dgm:cxn modelId="{DDB4C45E-0BE6-4F51-A60B-F6AAC8DEA2DE}" type="presParOf" srcId="{5802C344-2676-4213-8DB4-C1E51CC1F499}" destId="{B3B1B0A5-8EBC-4326-B7D6-EBC3846B7105}" srcOrd="1" destOrd="0" presId="urn:microsoft.com/office/officeart/2005/8/layout/hierarchy2"/>
    <dgm:cxn modelId="{5258464B-3129-4BD9-8D30-645C701D92A9}" type="presParOf" srcId="{A258E581-1FA6-4450-B3B1-F1B752067817}" destId="{1E33EF9F-5127-4D70-982A-F33D5926CBFC}" srcOrd="2" destOrd="0" presId="urn:microsoft.com/office/officeart/2005/8/layout/hierarchy2"/>
    <dgm:cxn modelId="{C33C1F3C-914A-436B-A586-243D2CA82A58}" type="presParOf" srcId="{1E33EF9F-5127-4D70-982A-F33D5926CBFC}" destId="{BB35ABFD-FB61-40A1-8347-EBB961158710}" srcOrd="0" destOrd="0" presId="urn:microsoft.com/office/officeart/2005/8/layout/hierarchy2"/>
    <dgm:cxn modelId="{D1E24085-F52B-450C-BAE1-C74A2DAFAA47}" type="presParOf" srcId="{A258E581-1FA6-4450-B3B1-F1B752067817}" destId="{418EFC2A-63D5-4BC0-8C31-80DE7A5A16BD}" srcOrd="3" destOrd="0" presId="urn:microsoft.com/office/officeart/2005/8/layout/hierarchy2"/>
    <dgm:cxn modelId="{E136AD8C-4004-42D2-BD97-AE15F19C39D9}" type="presParOf" srcId="{418EFC2A-63D5-4BC0-8C31-80DE7A5A16BD}" destId="{8BE55CDF-F424-42EA-9A3F-7B9D7FA537D9}" srcOrd="0" destOrd="0" presId="urn:microsoft.com/office/officeart/2005/8/layout/hierarchy2"/>
    <dgm:cxn modelId="{3E4D8002-E188-4238-9B74-418CBF99D722}" type="presParOf" srcId="{418EFC2A-63D5-4BC0-8C31-80DE7A5A16BD}" destId="{89620B01-E992-430E-B9D6-DF680BB2AB27}" srcOrd="1" destOrd="0" presId="urn:microsoft.com/office/officeart/2005/8/layout/hierarchy2"/>
    <dgm:cxn modelId="{1FA16CCF-EDAA-4C3D-B819-087B7319F2A2}" type="presParOf" srcId="{89620B01-E992-430E-B9D6-DF680BB2AB27}" destId="{6EC3F392-7120-43F2-80F3-B00AAC7C5B95}" srcOrd="0" destOrd="0" presId="urn:microsoft.com/office/officeart/2005/8/layout/hierarchy2"/>
    <dgm:cxn modelId="{31924F3A-85C8-46D2-8143-F0FE36D1B9EC}" type="presParOf" srcId="{6EC3F392-7120-43F2-80F3-B00AAC7C5B95}" destId="{2C42B795-91E5-4CF0-9D7C-FBDCF21BEB98}" srcOrd="0" destOrd="0" presId="urn:microsoft.com/office/officeart/2005/8/layout/hierarchy2"/>
    <dgm:cxn modelId="{B0710377-F29D-45E7-926E-1F0C40A7F6B7}" type="presParOf" srcId="{89620B01-E992-430E-B9D6-DF680BB2AB27}" destId="{FCFBF2E9-736C-4AB3-8883-316A06BDBE26}" srcOrd="1" destOrd="0" presId="urn:microsoft.com/office/officeart/2005/8/layout/hierarchy2"/>
    <dgm:cxn modelId="{A77E32AF-BBCC-4C92-B4D9-EAC35AFD2C71}" type="presParOf" srcId="{FCFBF2E9-736C-4AB3-8883-316A06BDBE26}" destId="{5FD7016A-3F18-4F11-B445-C5ACADAD90A6}" srcOrd="0" destOrd="0" presId="urn:microsoft.com/office/officeart/2005/8/layout/hierarchy2"/>
    <dgm:cxn modelId="{F38B6026-6E5B-4C04-8554-C49844DD7DDE}" type="presParOf" srcId="{FCFBF2E9-736C-4AB3-8883-316A06BDBE26}" destId="{6841C8B9-4D66-4EB0-A962-8036138C23CA}" srcOrd="1" destOrd="0" presId="urn:microsoft.com/office/officeart/2005/8/layout/hierarchy2"/>
    <dgm:cxn modelId="{E41F8838-3631-4C03-99B3-888459BB3994}" type="presParOf" srcId="{89620B01-E992-430E-B9D6-DF680BB2AB27}" destId="{0FD13133-7A94-469D-ABB9-FD028A5AD315}" srcOrd="2" destOrd="0" presId="urn:microsoft.com/office/officeart/2005/8/layout/hierarchy2"/>
    <dgm:cxn modelId="{5AF25523-3A29-43AD-9F37-12E10E6A77F3}" type="presParOf" srcId="{0FD13133-7A94-469D-ABB9-FD028A5AD315}" destId="{CE059485-3BF8-412F-B01F-B6EB47A67C4F}" srcOrd="0" destOrd="0" presId="urn:microsoft.com/office/officeart/2005/8/layout/hierarchy2"/>
    <dgm:cxn modelId="{08C02B26-8120-4521-889A-FC2F64D98804}" type="presParOf" srcId="{89620B01-E992-430E-B9D6-DF680BB2AB27}" destId="{A19158E9-990A-4634-B1B2-952F30800AE3}" srcOrd="3" destOrd="0" presId="urn:microsoft.com/office/officeart/2005/8/layout/hierarchy2"/>
    <dgm:cxn modelId="{BB600573-BD33-4DAE-9886-08BA56070C81}" type="presParOf" srcId="{A19158E9-990A-4634-B1B2-952F30800AE3}" destId="{2F52D90D-7274-4BE2-B9DC-C9AC176A85E3}" srcOrd="0" destOrd="0" presId="urn:microsoft.com/office/officeart/2005/8/layout/hierarchy2"/>
    <dgm:cxn modelId="{0BDBAF1C-10C2-4020-A91D-F1707B6AE16D}" type="presParOf" srcId="{A19158E9-990A-4634-B1B2-952F30800AE3}" destId="{46D0474A-B022-465C-BD64-22CB4F4A0808}" srcOrd="1" destOrd="0" presId="urn:microsoft.com/office/officeart/2005/8/layout/hierarchy2"/>
    <dgm:cxn modelId="{8F3046E9-B401-442D-940D-CA2515212783}" type="presParOf" srcId="{89620B01-E992-430E-B9D6-DF680BB2AB27}" destId="{96964DA0-CBE2-410C-AB0F-2D606161AA67}" srcOrd="4" destOrd="0" presId="urn:microsoft.com/office/officeart/2005/8/layout/hierarchy2"/>
    <dgm:cxn modelId="{A69E2F3A-1781-47B2-B6AE-745FB889B660}" type="presParOf" srcId="{96964DA0-CBE2-410C-AB0F-2D606161AA67}" destId="{07D4EFA4-C92D-418A-A6C3-7D8715127369}" srcOrd="0" destOrd="0" presId="urn:microsoft.com/office/officeart/2005/8/layout/hierarchy2"/>
    <dgm:cxn modelId="{43358955-DE7A-4B8E-9305-F21794B14947}" type="presParOf" srcId="{89620B01-E992-430E-B9D6-DF680BB2AB27}" destId="{BF3F0BA3-7C94-4D26-87F8-537ED1F63A7C}" srcOrd="5" destOrd="0" presId="urn:microsoft.com/office/officeart/2005/8/layout/hierarchy2"/>
    <dgm:cxn modelId="{2610497D-29A2-495B-A977-86D57B6FFFAF}" type="presParOf" srcId="{BF3F0BA3-7C94-4D26-87F8-537ED1F63A7C}" destId="{E69A269E-E109-4D4A-B8B0-19CABC012C5B}" srcOrd="0" destOrd="0" presId="urn:microsoft.com/office/officeart/2005/8/layout/hierarchy2"/>
    <dgm:cxn modelId="{66BEB568-39C0-4220-983E-BAFDD70BFB94}" type="presParOf" srcId="{BF3F0BA3-7C94-4D26-87F8-537ED1F63A7C}" destId="{E414B574-54E6-4996-8000-AD3B56844FFB}" srcOrd="1" destOrd="0" presId="urn:microsoft.com/office/officeart/2005/8/layout/hierarchy2"/>
    <dgm:cxn modelId="{FE109CC2-EAA9-4F9F-84DA-96CA5E4A5DD8}" type="presParOf" srcId="{A258E581-1FA6-4450-B3B1-F1B752067817}" destId="{9F96E5C6-1B70-4CF3-B212-9D6CE2E7D277}" srcOrd="4" destOrd="0" presId="urn:microsoft.com/office/officeart/2005/8/layout/hierarchy2"/>
    <dgm:cxn modelId="{28715100-3CF9-40E1-9C12-C4C2F18F25B6}" type="presParOf" srcId="{9F96E5C6-1B70-4CF3-B212-9D6CE2E7D277}" destId="{5B7D2AA5-AA8A-4798-AE80-E36A2D3E81D3}" srcOrd="0" destOrd="0" presId="urn:microsoft.com/office/officeart/2005/8/layout/hierarchy2"/>
    <dgm:cxn modelId="{83FCF9A6-8F7A-4972-A526-A3234F749451}" type="presParOf" srcId="{A258E581-1FA6-4450-B3B1-F1B752067817}" destId="{9D516D50-BD5C-428E-8A19-C2B6B3C906A2}" srcOrd="5" destOrd="0" presId="urn:microsoft.com/office/officeart/2005/8/layout/hierarchy2"/>
    <dgm:cxn modelId="{B7E5E3DC-BC24-4142-B447-AB1423885A7B}" type="presParOf" srcId="{9D516D50-BD5C-428E-8A19-C2B6B3C906A2}" destId="{A4E83236-F995-4EFA-BB61-15BAD437EDDD}" srcOrd="0" destOrd="0" presId="urn:microsoft.com/office/officeart/2005/8/layout/hierarchy2"/>
    <dgm:cxn modelId="{97FF5F56-5F09-4304-B24D-D7332494EB88}" type="presParOf" srcId="{9D516D50-BD5C-428E-8A19-C2B6B3C906A2}" destId="{1C1D910F-B2B7-44FE-8E07-B6F6D211C5A3}" srcOrd="1" destOrd="0" presId="urn:microsoft.com/office/officeart/2005/8/layout/hierarchy2"/>
    <dgm:cxn modelId="{9FB2D564-3345-4A48-BEA6-8AB4F046F3FB}" type="presParOf" srcId="{1C1D910F-B2B7-44FE-8E07-B6F6D211C5A3}" destId="{2339E3F7-26B0-4399-A9FA-50D505DCFBB3}" srcOrd="0" destOrd="0" presId="urn:microsoft.com/office/officeart/2005/8/layout/hierarchy2"/>
    <dgm:cxn modelId="{4569F9F5-CCAD-434C-82ED-9248A619730D}" type="presParOf" srcId="{2339E3F7-26B0-4399-A9FA-50D505DCFBB3}" destId="{98A58599-9BB8-452E-90FF-1AEABD92346D}" srcOrd="0" destOrd="0" presId="urn:microsoft.com/office/officeart/2005/8/layout/hierarchy2"/>
    <dgm:cxn modelId="{59B0D828-6D25-463A-86EE-E04310596DBC}" type="presParOf" srcId="{1C1D910F-B2B7-44FE-8E07-B6F6D211C5A3}" destId="{BEB8C326-C370-425A-803B-01FF7291E9A3}" srcOrd="1" destOrd="0" presId="urn:microsoft.com/office/officeart/2005/8/layout/hierarchy2"/>
    <dgm:cxn modelId="{1D8D0876-510A-4DF3-9919-CED30E0DDF8A}" type="presParOf" srcId="{BEB8C326-C370-425A-803B-01FF7291E9A3}" destId="{731C4790-9809-476B-8353-91DBBA7A09A3}" srcOrd="0" destOrd="0" presId="urn:microsoft.com/office/officeart/2005/8/layout/hierarchy2"/>
    <dgm:cxn modelId="{E7575934-B7D7-4891-A065-C2348ACD1A29}" type="presParOf" srcId="{BEB8C326-C370-425A-803B-01FF7291E9A3}" destId="{D94B5937-9E57-49F7-9FBC-73F93F92F765}" srcOrd="1" destOrd="0" presId="urn:microsoft.com/office/officeart/2005/8/layout/hierarchy2"/>
    <dgm:cxn modelId="{F21C923C-08BD-426B-87DE-92CF4FABB00B}" type="presParOf" srcId="{1C1D910F-B2B7-44FE-8E07-B6F6D211C5A3}" destId="{638972AD-331D-4597-9BEA-C130B2BDCF4B}" srcOrd="2" destOrd="0" presId="urn:microsoft.com/office/officeart/2005/8/layout/hierarchy2"/>
    <dgm:cxn modelId="{7AD08D3F-9C2E-4E15-94C7-6F93C6CD55AE}" type="presParOf" srcId="{638972AD-331D-4597-9BEA-C130B2BDCF4B}" destId="{CE32653A-BE8A-4321-8FAF-6F444888FE15}" srcOrd="0" destOrd="0" presId="urn:microsoft.com/office/officeart/2005/8/layout/hierarchy2"/>
    <dgm:cxn modelId="{809AF2F5-162D-429A-A5B5-36C8C93D8AF5}" type="presParOf" srcId="{1C1D910F-B2B7-44FE-8E07-B6F6D211C5A3}" destId="{E1A7EA26-3976-41B4-8FB3-8E74431B111D}" srcOrd="3" destOrd="0" presId="urn:microsoft.com/office/officeart/2005/8/layout/hierarchy2"/>
    <dgm:cxn modelId="{4B0E0DA3-3162-4133-A8A4-2C6ABCB5A2C6}" type="presParOf" srcId="{E1A7EA26-3976-41B4-8FB3-8E74431B111D}" destId="{8EE31E57-EF4D-4F48-B622-A51D55E475E3}" srcOrd="0" destOrd="0" presId="urn:microsoft.com/office/officeart/2005/8/layout/hierarchy2"/>
    <dgm:cxn modelId="{6BC70C22-33E6-4158-B531-9A5B077826C8}" type="presParOf" srcId="{E1A7EA26-3976-41B4-8FB3-8E74431B111D}" destId="{B441D891-B598-4FD5-8924-63E5EFBAE038}" srcOrd="1" destOrd="0" presId="urn:microsoft.com/office/officeart/2005/8/layout/hierarchy2"/>
    <dgm:cxn modelId="{49DBABBF-6D55-4DD8-AD9D-A2329AF7AFD8}" type="presParOf" srcId="{1C1D910F-B2B7-44FE-8E07-B6F6D211C5A3}" destId="{C17A1B27-45E9-4E05-B966-CDE3BA91F529}" srcOrd="4" destOrd="0" presId="urn:microsoft.com/office/officeart/2005/8/layout/hierarchy2"/>
    <dgm:cxn modelId="{BDB1DC5E-71F3-4D5E-8650-A626432A44F6}" type="presParOf" srcId="{C17A1B27-45E9-4E05-B966-CDE3BA91F529}" destId="{78D64870-45B1-4DAD-8D23-4026673238D7}" srcOrd="0" destOrd="0" presId="urn:microsoft.com/office/officeart/2005/8/layout/hierarchy2"/>
    <dgm:cxn modelId="{18E35D0D-8CC2-4E44-AFB9-D912C2B9022C}" type="presParOf" srcId="{1C1D910F-B2B7-44FE-8E07-B6F6D211C5A3}" destId="{7E3A602D-91DC-4745-A8C2-9C396D7102E4}" srcOrd="5" destOrd="0" presId="urn:microsoft.com/office/officeart/2005/8/layout/hierarchy2"/>
    <dgm:cxn modelId="{A8E22BAA-830F-4209-8F73-3AA1D4DF2663}" type="presParOf" srcId="{7E3A602D-91DC-4745-A8C2-9C396D7102E4}" destId="{D6F84A41-29A1-4EC1-B0F4-7FF168441F2A}" srcOrd="0" destOrd="0" presId="urn:microsoft.com/office/officeart/2005/8/layout/hierarchy2"/>
    <dgm:cxn modelId="{B586C233-D5A6-47F4-924E-7AB6B0DB96F0}" type="presParOf" srcId="{7E3A602D-91DC-4745-A8C2-9C396D7102E4}" destId="{5CC20718-F88A-4FAA-925B-16199AF79C6E}" srcOrd="1" destOrd="0" presId="urn:microsoft.com/office/officeart/2005/8/layout/hierarchy2"/>
    <dgm:cxn modelId="{2CD29247-A09E-4F7F-B5DE-83D424F2C55F}" type="presParOf" srcId="{A258E581-1FA6-4450-B3B1-F1B752067817}" destId="{D81C6FC8-9AD8-47C7-800D-A96578727AB0}" srcOrd="6" destOrd="0" presId="urn:microsoft.com/office/officeart/2005/8/layout/hierarchy2"/>
    <dgm:cxn modelId="{F175701D-C423-478F-820C-04F06C5F5C09}" type="presParOf" srcId="{D81C6FC8-9AD8-47C7-800D-A96578727AB0}" destId="{1860A0B2-8AB1-4500-9DB5-560A3C5441BF}" srcOrd="0" destOrd="0" presId="urn:microsoft.com/office/officeart/2005/8/layout/hierarchy2"/>
    <dgm:cxn modelId="{6D01F429-2272-4251-92B4-93F99A071E94}" type="presParOf" srcId="{A258E581-1FA6-4450-B3B1-F1B752067817}" destId="{6FB104FD-2504-4B83-91DC-3AA6A6E97DD6}" srcOrd="7" destOrd="0" presId="urn:microsoft.com/office/officeart/2005/8/layout/hierarchy2"/>
    <dgm:cxn modelId="{DCC1BD83-91C7-4784-9D57-42AC9C928A28}" type="presParOf" srcId="{6FB104FD-2504-4B83-91DC-3AA6A6E97DD6}" destId="{EDDA1A5C-0659-4AE0-A4F1-30D0C81F22B7}" srcOrd="0" destOrd="0" presId="urn:microsoft.com/office/officeart/2005/8/layout/hierarchy2"/>
    <dgm:cxn modelId="{82C55E33-EC42-4D5D-916A-8621BA5D5B8F}" type="presParOf" srcId="{6FB104FD-2504-4B83-91DC-3AA6A6E97DD6}" destId="{C5877CD9-0451-48DC-89CC-1C147771457E}" srcOrd="1" destOrd="0" presId="urn:microsoft.com/office/officeart/2005/8/layout/hierarchy2"/>
    <dgm:cxn modelId="{F725435A-F36B-4669-83CE-BFD0C295F777}" type="presParOf" srcId="{C5877CD9-0451-48DC-89CC-1C147771457E}" destId="{1DDD95AA-E920-4A11-BE3C-7920A032C337}" srcOrd="0" destOrd="0" presId="urn:microsoft.com/office/officeart/2005/8/layout/hierarchy2"/>
    <dgm:cxn modelId="{494B8564-3FEE-4BCE-834C-1B44192626D4}" type="presParOf" srcId="{1DDD95AA-E920-4A11-BE3C-7920A032C337}" destId="{199B1435-8A07-4872-AB23-B18F7454825F}" srcOrd="0" destOrd="0" presId="urn:microsoft.com/office/officeart/2005/8/layout/hierarchy2"/>
    <dgm:cxn modelId="{ACC949DD-2DDC-4BE6-A06F-536BE33310E9}" type="presParOf" srcId="{C5877CD9-0451-48DC-89CC-1C147771457E}" destId="{33AFE6AB-9965-44BC-8517-353AC905F822}" srcOrd="1" destOrd="0" presId="urn:microsoft.com/office/officeart/2005/8/layout/hierarchy2"/>
    <dgm:cxn modelId="{BB0E2D4F-3A5B-4FA4-A71E-CA8FE189D21B}" type="presParOf" srcId="{33AFE6AB-9965-44BC-8517-353AC905F822}" destId="{EF61A228-037A-47D9-BC67-9ED723381528}" srcOrd="0" destOrd="0" presId="urn:microsoft.com/office/officeart/2005/8/layout/hierarchy2"/>
    <dgm:cxn modelId="{1D7BB1C2-A600-4818-AE19-EABF1D7B4AEE}" type="presParOf" srcId="{33AFE6AB-9965-44BC-8517-353AC905F822}" destId="{8E9DA670-356B-43CB-909B-BF412DBD61EF}" srcOrd="1" destOrd="0" presId="urn:microsoft.com/office/officeart/2005/8/layout/hierarchy2"/>
    <dgm:cxn modelId="{3C2DCE2B-11ED-4601-A423-1B2CFC4467ED}" type="presParOf" srcId="{C5877CD9-0451-48DC-89CC-1C147771457E}" destId="{215F7D19-1A0A-43C0-97DF-3A1E7265D50B}" srcOrd="2" destOrd="0" presId="urn:microsoft.com/office/officeart/2005/8/layout/hierarchy2"/>
    <dgm:cxn modelId="{7717C9F5-FC90-4399-A714-8A264BF1215B}" type="presParOf" srcId="{215F7D19-1A0A-43C0-97DF-3A1E7265D50B}" destId="{A88BD630-7D0A-465F-9081-C52A857E22FA}" srcOrd="0" destOrd="0" presId="urn:microsoft.com/office/officeart/2005/8/layout/hierarchy2"/>
    <dgm:cxn modelId="{C79F5FDC-0977-41E6-A6BC-86EF24F09F96}" type="presParOf" srcId="{C5877CD9-0451-48DC-89CC-1C147771457E}" destId="{ABF63BF0-7B64-48B4-9081-C455E068DAF1}" srcOrd="3" destOrd="0" presId="urn:microsoft.com/office/officeart/2005/8/layout/hierarchy2"/>
    <dgm:cxn modelId="{9DA67DFC-9473-4431-8456-C3EA3E18234A}" type="presParOf" srcId="{ABF63BF0-7B64-48B4-9081-C455E068DAF1}" destId="{6133BFBB-7DBB-46C1-802F-A8DBB61D4855}" srcOrd="0" destOrd="0" presId="urn:microsoft.com/office/officeart/2005/8/layout/hierarchy2"/>
    <dgm:cxn modelId="{A5308F81-3F75-4AB4-B57E-62FF215418FC}" type="presParOf" srcId="{ABF63BF0-7B64-48B4-9081-C455E068DAF1}" destId="{48E4D851-CF53-48EB-B8F6-C894D4CFFD85}" srcOrd="1" destOrd="0" presId="urn:microsoft.com/office/officeart/2005/8/layout/hierarchy2"/>
    <dgm:cxn modelId="{74C6E144-B4D0-4EDA-8D7A-C84FE89D672D}" type="presParOf" srcId="{C5877CD9-0451-48DC-89CC-1C147771457E}" destId="{A789BF3A-ECB3-41FC-9BD7-D5E1C23D1678}" srcOrd="4" destOrd="0" presId="urn:microsoft.com/office/officeart/2005/8/layout/hierarchy2"/>
    <dgm:cxn modelId="{B9C57631-AC1A-4612-8122-0FF1D421A069}" type="presParOf" srcId="{A789BF3A-ECB3-41FC-9BD7-D5E1C23D1678}" destId="{99A1E883-F709-4BFB-83CA-F39F26E2A45C}" srcOrd="0" destOrd="0" presId="urn:microsoft.com/office/officeart/2005/8/layout/hierarchy2"/>
    <dgm:cxn modelId="{97E3219C-36BF-4C18-B959-8C38348942B0}" type="presParOf" srcId="{C5877CD9-0451-48DC-89CC-1C147771457E}" destId="{FC33E5BA-E2E4-43B3-B071-FA8341CCBDE0}" srcOrd="5" destOrd="0" presId="urn:microsoft.com/office/officeart/2005/8/layout/hierarchy2"/>
    <dgm:cxn modelId="{C983A42C-992E-431A-B82A-497088B6BEC1}" type="presParOf" srcId="{FC33E5BA-E2E4-43B3-B071-FA8341CCBDE0}" destId="{43E54C3B-BA7B-46A0-B2B0-B3C407AEE1A9}" srcOrd="0" destOrd="0" presId="urn:microsoft.com/office/officeart/2005/8/layout/hierarchy2"/>
    <dgm:cxn modelId="{3F76006C-3DA5-4B55-93FC-172216C6BAD1}" type="presParOf" srcId="{FC33E5BA-E2E4-43B3-B071-FA8341CCBDE0}" destId="{8880F2B6-82CC-4D1B-9421-8A90C7F52351}"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7F5FD0-6A01-40DF-ABBB-055B88DF9E9C}" type="doc">
      <dgm:prSet loTypeId="urn:microsoft.com/office/officeart/2005/8/layout/chevron1" loCatId="process" qsTypeId="urn:microsoft.com/office/officeart/2005/8/quickstyle/simple3" qsCatId="simple" csTypeId="urn:microsoft.com/office/officeart/2005/8/colors/accent1_2" csCatId="accent1" phldr="1"/>
      <dgm:spPr/>
    </dgm:pt>
    <dgm:pt modelId="{DAF70D9B-3D98-4AE1-8C7A-DA89BF1B3B84}">
      <dgm:prSet phldrT="[Metin]" custT="1"/>
      <dgm:spPr>
        <a:xfrm>
          <a:off x="1348" y="0"/>
          <a:ext cx="1642344"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Girdiler	</a:t>
          </a:r>
        </a:p>
      </dgm:t>
    </dgm:pt>
    <dgm:pt modelId="{917E257D-001A-45EF-BD87-DA23C01B4966}" type="parTrans" cxnId="{A38FF1B3-BE4F-402D-A3C6-898DA2FFEE5E}">
      <dgm:prSet/>
      <dgm:spPr/>
      <dgm:t>
        <a:bodyPr/>
        <a:lstStyle/>
        <a:p>
          <a:endParaRPr lang="tr-TR"/>
        </a:p>
      </dgm:t>
    </dgm:pt>
    <dgm:pt modelId="{B3766226-F3EB-43C9-8043-CEA7BD6B8655}" type="sibTrans" cxnId="{A38FF1B3-BE4F-402D-A3C6-898DA2FFEE5E}">
      <dgm:prSet/>
      <dgm:spPr/>
      <dgm:t>
        <a:bodyPr/>
        <a:lstStyle/>
        <a:p>
          <a:endParaRPr lang="tr-TR"/>
        </a:p>
      </dgm:t>
    </dgm:pt>
    <dgm:pt modelId="{EA1345C8-6A51-453F-B488-5183F64725C9}">
      <dgm:prSet phldrT="[Metin]" custT="1"/>
      <dgm:spPr>
        <a:xfrm>
          <a:off x="1479458" y="0"/>
          <a:ext cx="1642344"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Süreç </a:t>
          </a:r>
        </a:p>
      </dgm:t>
    </dgm:pt>
    <dgm:pt modelId="{DF4A52EF-7A91-46F7-BE79-1D5AB84DCC73}" type="parTrans" cxnId="{5D71E9A0-D979-499C-8693-365830928309}">
      <dgm:prSet/>
      <dgm:spPr/>
      <dgm:t>
        <a:bodyPr/>
        <a:lstStyle/>
        <a:p>
          <a:endParaRPr lang="tr-TR"/>
        </a:p>
      </dgm:t>
    </dgm:pt>
    <dgm:pt modelId="{EF31B27D-DE00-44DD-A0E3-27F83199401D}" type="sibTrans" cxnId="{5D71E9A0-D979-499C-8693-365830928309}">
      <dgm:prSet/>
      <dgm:spPr/>
      <dgm:t>
        <a:bodyPr/>
        <a:lstStyle/>
        <a:p>
          <a:endParaRPr lang="tr-TR"/>
        </a:p>
      </dgm:t>
    </dgm:pt>
    <dgm:pt modelId="{CEBE87B7-628D-4596-815A-C0E049F7F08E}">
      <dgm:prSet phldrT="[Metin]" custT="1"/>
      <dgm:spPr>
        <a:xfrm>
          <a:off x="2957568" y="0"/>
          <a:ext cx="1642344"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Çıktılar</a:t>
          </a:r>
        </a:p>
      </dgm:t>
    </dgm:pt>
    <dgm:pt modelId="{71AC6857-9D8E-4136-ACE9-C2253AAE7B83}" type="parTrans" cxnId="{3DCF05D5-2998-4F1C-A0FC-92DB2E54A1A7}">
      <dgm:prSet/>
      <dgm:spPr/>
      <dgm:t>
        <a:bodyPr/>
        <a:lstStyle/>
        <a:p>
          <a:endParaRPr lang="tr-TR"/>
        </a:p>
      </dgm:t>
    </dgm:pt>
    <dgm:pt modelId="{77380DFA-7920-4B60-936A-6A3C26DEBCC6}" type="sibTrans" cxnId="{3DCF05D5-2998-4F1C-A0FC-92DB2E54A1A7}">
      <dgm:prSet/>
      <dgm:spPr/>
      <dgm:t>
        <a:bodyPr/>
        <a:lstStyle/>
        <a:p>
          <a:endParaRPr lang="tr-TR"/>
        </a:p>
      </dgm:t>
    </dgm:pt>
    <dgm:pt modelId="{55DD5541-5924-4DFA-BA61-DDC7A1BF02DD}" type="pres">
      <dgm:prSet presAssocID="{B57F5FD0-6A01-40DF-ABBB-055B88DF9E9C}" presName="Name0" presStyleCnt="0">
        <dgm:presLayoutVars>
          <dgm:dir/>
          <dgm:animLvl val="lvl"/>
          <dgm:resizeHandles val="exact"/>
        </dgm:presLayoutVars>
      </dgm:prSet>
      <dgm:spPr/>
    </dgm:pt>
    <dgm:pt modelId="{8F0B55F5-4AEB-4B57-AF01-A79386634B48}" type="pres">
      <dgm:prSet presAssocID="{DAF70D9B-3D98-4AE1-8C7A-DA89BF1B3B84}" presName="parTxOnly" presStyleLbl="node1" presStyleIdx="0" presStyleCnt="3">
        <dgm:presLayoutVars>
          <dgm:chMax val="0"/>
          <dgm:chPref val="0"/>
          <dgm:bulletEnabled val="1"/>
        </dgm:presLayoutVars>
      </dgm:prSet>
      <dgm:spPr>
        <a:prstGeom prst="chevron">
          <a:avLst/>
        </a:prstGeom>
      </dgm:spPr>
      <dgm:t>
        <a:bodyPr/>
        <a:lstStyle/>
        <a:p>
          <a:endParaRPr lang="tr-TR"/>
        </a:p>
      </dgm:t>
    </dgm:pt>
    <dgm:pt modelId="{5950BE50-EF40-4F1D-AC4E-7E69DA05ED38}" type="pres">
      <dgm:prSet presAssocID="{B3766226-F3EB-43C9-8043-CEA7BD6B8655}" presName="parTxOnlySpace" presStyleCnt="0"/>
      <dgm:spPr/>
    </dgm:pt>
    <dgm:pt modelId="{94781D31-25B2-4016-9F2A-E07FCD8BD821}" type="pres">
      <dgm:prSet presAssocID="{EA1345C8-6A51-453F-B488-5183F64725C9}" presName="parTxOnly" presStyleLbl="node1" presStyleIdx="1" presStyleCnt="3">
        <dgm:presLayoutVars>
          <dgm:chMax val="0"/>
          <dgm:chPref val="0"/>
          <dgm:bulletEnabled val="1"/>
        </dgm:presLayoutVars>
      </dgm:prSet>
      <dgm:spPr>
        <a:prstGeom prst="chevron">
          <a:avLst/>
        </a:prstGeom>
      </dgm:spPr>
      <dgm:t>
        <a:bodyPr/>
        <a:lstStyle/>
        <a:p>
          <a:endParaRPr lang="tr-TR"/>
        </a:p>
      </dgm:t>
    </dgm:pt>
    <dgm:pt modelId="{C829497C-91BE-4590-8D59-136616A3579A}" type="pres">
      <dgm:prSet presAssocID="{EF31B27D-DE00-44DD-A0E3-27F83199401D}" presName="parTxOnlySpace" presStyleCnt="0"/>
      <dgm:spPr/>
    </dgm:pt>
    <dgm:pt modelId="{3189F89B-B995-4ADE-9F92-5F0C2D6701D1}" type="pres">
      <dgm:prSet presAssocID="{CEBE87B7-628D-4596-815A-C0E049F7F08E}" presName="parTxOnly" presStyleLbl="node1" presStyleIdx="2" presStyleCnt="3">
        <dgm:presLayoutVars>
          <dgm:chMax val="0"/>
          <dgm:chPref val="0"/>
          <dgm:bulletEnabled val="1"/>
        </dgm:presLayoutVars>
      </dgm:prSet>
      <dgm:spPr>
        <a:prstGeom prst="chevron">
          <a:avLst/>
        </a:prstGeom>
      </dgm:spPr>
      <dgm:t>
        <a:bodyPr/>
        <a:lstStyle/>
        <a:p>
          <a:endParaRPr lang="tr-TR"/>
        </a:p>
      </dgm:t>
    </dgm:pt>
  </dgm:ptLst>
  <dgm:cxnLst>
    <dgm:cxn modelId="{3DCF05D5-2998-4F1C-A0FC-92DB2E54A1A7}" srcId="{B57F5FD0-6A01-40DF-ABBB-055B88DF9E9C}" destId="{CEBE87B7-628D-4596-815A-C0E049F7F08E}" srcOrd="2" destOrd="0" parTransId="{71AC6857-9D8E-4136-ACE9-C2253AAE7B83}" sibTransId="{77380DFA-7920-4B60-936A-6A3C26DEBCC6}"/>
    <dgm:cxn modelId="{7C76FFE4-A330-41DD-8A1C-F5FF9D8640EC}" type="presOf" srcId="{B57F5FD0-6A01-40DF-ABBB-055B88DF9E9C}" destId="{55DD5541-5924-4DFA-BA61-DDC7A1BF02DD}" srcOrd="0" destOrd="0" presId="urn:microsoft.com/office/officeart/2005/8/layout/chevron1"/>
    <dgm:cxn modelId="{A38FF1B3-BE4F-402D-A3C6-898DA2FFEE5E}" srcId="{B57F5FD0-6A01-40DF-ABBB-055B88DF9E9C}" destId="{DAF70D9B-3D98-4AE1-8C7A-DA89BF1B3B84}" srcOrd="0" destOrd="0" parTransId="{917E257D-001A-45EF-BD87-DA23C01B4966}" sibTransId="{B3766226-F3EB-43C9-8043-CEA7BD6B8655}"/>
    <dgm:cxn modelId="{A2569FAB-8614-4A71-BDC9-662030ABEA9F}" type="presOf" srcId="{EA1345C8-6A51-453F-B488-5183F64725C9}" destId="{94781D31-25B2-4016-9F2A-E07FCD8BD821}" srcOrd="0" destOrd="0" presId="urn:microsoft.com/office/officeart/2005/8/layout/chevron1"/>
    <dgm:cxn modelId="{A3A0DC1D-2538-4BA3-9F7E-FB159AE713D9}" type="presOf" srcId="{DAF70D9B-3D98-4AE1-8C7A-DA89BF1B3B84}" destId="{8F0B55F5-4AEB-4B57-AF01-A79386634B48}" srcOrd="0" destOrd="0" presId="urn:microsoft.com/office/officeart/2005/8/layout/chevron1"/>
    <dgm:cxn modelId="{006BDCD0-A84A-4405-ADA6-C453586275FF}" type="presOf" srcId="{CEBE87B7-628D-4596-815A-C0E049F7F08E}" destId="{3189F89B-B995-4ADE-9F92-5F0C2D6701D1}" srcOrd="0" destOrd="0" presId="urn:microsoft.com/office/officeart/2005/8/layout/chevron1"/>
    <dgm:cxn modelId="{5D71E9A0-D979-499C-8693-365830928309}" srcId="{B57F5FD0-6A01-40DF-ABBB-055B88DF9E9C}" destId="{EA1345C8-6A51-453F-B488-5183F64725C9}" srcOrd="1" destOrd="0" parTransId="{DF4A52EF-7A91-46F7-BE79-1D5AB84DCC73}" sibTransId="{EF31B27D-DE00-44DD-A0E3-27F83199401D}"/>
    <dgm:cxn modelId="{6368FCE1-0D7B-44D0-B606-7C50C8784F01}" type="presParOf" srcId="{55DD5541-5924-4DFA-BA61-DDC7A1BF02DD}" destId="{8F0B55F5-4AEB-4B57-AF01-A79386634B48}" srcOrd="0" destOrd="0" presId="urn:microsoft.com/office/officeart/2005/8/layout/chevron1"/>
    <dgm:cxn modelId="{78D4A581-9998-4CE2-98CD-2299A39D044B}" type="presParOf" srcId="{55DD5541-5924-4DFA-BA61-DDC7A1BF02DD}" destId="{5950BE50-EF40-4F1D-AC4E-7E69DA05ED38}" srcOrd="1" destOrd="0" presId="urn:microsoft.com/office/officeart/2005/8/layout/chevron1"/>
    <dgm:cxn modelId="{8E6D41CA-A12B-474C-93A1-779513F9BB5F}" type="presParOf" srcId="{55DD5541-5924-4DFA-BA61-DDC7A1BF02DD}" destId="{94781D31-25B2-4016-9F2A-E07FCD8BD821}" srcOrd="2" destOrd="0" presId="urn:microsoft.com/office/officeart/2005/8/layout/chevron1"/>
    <dgm:cxn modelId="{3B75C12E-7181-4805-80D2-B9C012B1EF4B}" type="presParOf" srcId="{55DD5541-5924-4DFA-BA61-DDC7A1BF02DD}" destId="{C829497C-91BE-4590-8D59-136616A3579A}" srcOrd="3" destOrd="0" presId="urn:microsoft.com/office/officeart/2005/8/layout/chevron1"/>
    <dgm:cxn modelId="{690245EC-2CBC-494E-9035-701EB42A24A2}" type="presParOf" srcId="{55DD5541-5924-4DFA-BA61-DDC7A1BF02DD}" destId="{3189F89B-B995-4ADE-9F92-5F0C2D6701D1}"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7F5FD0-6A01-40DF-ABBB-055B88DF9E9C}" type="doc">
      <dgm:prSet loTypeId="urn:microsoft.com/office/officeart/2005/8/layout/chevron1" loCatId="process" qsTypeId="urn:microsoft.com/office/officeart/2005/8/quickstyle/simple3" qsCatId="simple" csTypeId="urn:microsoft.com/office/officeart/2005/8/colors/accent1_2" csCatId="accent1" phldr="1"/>
      <dgm:spPr/>
    </dgm:pt>
    <dgm:pt modelId="{DAF70D9B-3D98-4AE1-8C7A-DA89BF1B3B84}">
      <dgm:prSet phldrT="[Metin]" custT="1"/>
      <dgm:spPr>
        <a:xfrm>
          <a:off x="1365" y="0"/>
          <a:ext cx="1663232" cy="29992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Girdiler	</a:t>
          </a:r>
        </a:p>
      </dgm:t>
    </dgm:pt>
    <dgm:pt modelId="{917E257D-001A-45EF-BD87-DA23C01B4966}" type="parTrans" cxnId="{A38FF1B3-BE4F-402D-A3C6-898DA2FFEE5E}">
      <dgm:prSet/>
      <dgm:spPr/>
      <dgm:t>
        <a:bodyPr/>
        <a:lstStyle/>
        <a:p>
          <a:endParaRPr lang="tr-TR"/>
        </a:p>
      </dgm:t>
    </dgm:pt>
    <dgm:pt modelId="{B3766226-F3EB-43C9-8043-CEA7BD6B8655}" type="sibTrans" cxnId="{A38FF1B3-BE4F-402D-A3C6-898DA2FFEE5E}">
      <dgm:prSet/>
      <dgm:spPr/>
      <dgm:t>
        <a:bodyPr/>
        <a:lstStyle/>
        <a:p>
          <a:endParaRPr lang="tr-TR"/>
        </a:p>
      </dgm:t>
    </dgm:pt>
    <dgm:pt modelId="{EA1345C8-6A51-453F-B488-5183F64725C9}">
      <dgm:prSet phldrT="[Metin]" custT="1"/>
      <dgm:spPr>
        <a:xfrm>
          <a:off x="1498274" y="0"/>
          <a:ext cx="1663232" cy="29992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Süreç </a:t>
          </a:r>
        </a:p>
      </dgm:t>
    </dgm:pt>
    <dgm:pt modelId="{DF4A52EF-7A91-46F7-BE79-1D5AB84DCC73}" type="parTrans" cxnId="{5D71E9A0-D979-499C-8693-365830928309}">
      <dgm:prSet/>
      <dgm:spPr/>
      <dgm:t>
        <a:bodyPr/>
        <a:lstStyle/>
        <a:p>
          <a:endParaRPr lang="tr-TR"/>
        </a:p>
      </dgm:t>
    </dgm:pt>
    <dgm:pt modelId="{EF31B27D-DE00-44DD-A0E3-27F83199401D}" type="sibTrans" cxnId="{5D71E9A0-D979-499C-8693-365830928309}">
      <dgm:prSet/>
      <dgm:spPr/>
      <dgm:t>
        <a:bodyPr/>
        <a:lstStyle/>
        <a:p>
          <a:endParaRPr lang="tr-TR"/>
        </a:p>
      </dgm:t>
    </dgm:pt>
    <dgm:pt modelId="{CEBE87B7-628D-4596-815A-C0E049F7F08E}">
      <dgm:prSet phldrT="[Metin]" custT="1"/>
      <dgm:spPr>
        <a:xfrm>
          <a:off x="2995184" y="0"/>
          <a:ext cx="1663232" cy="29992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Çıktılar</a:t>
          </a:r>
        </a:p>
      </dgm:t>
    </dgm:pt>
    <dgm:pt modelId="{71AC6857-9D8E-4136-ACE9-C2253AAE7B83}" type="parTrans" cxnId="{3DCF05D5-2998-4F1C-A0FC-92DB2E54A1A7}">
      <dgm:prSet/>
      <dgm:spPr/>
      <dgm:t>
        <a:bodyPr/>
        <a:lstStyle/>
        <a:p>
          <a:endParaRPr lang="tr-TR"/>
        </a:p>
      </dgm:t>
    </dgm:pt>
    <dgm:pt modelId="{77380DFA-7920-4B60-936A-6A3C26DEBCC6}" type="sibTrans" cxnId="{3DCF05D5-2998-4F1C-A0FC-92DB2E54A1A7}">
      <dgm:prSet/>
      <dgm:spPr/>
      <dgm:t>
        <a:bodyPr/>
        <a:lstStyle/>
        <a:p>
          <a:endParaRPr lang="tr-TR"/>
        </a:p>
      </dgm:t>
    </dgm:pt>
    <dgm:pt modelId="{55DD5541-5924-4DFA-BA61-DDC7A1BF02DD}" type="pres">
      <dgm:prSet presAssocID="{B57F5FD0-6A01-40DF-ABBB-055B88DF9E9C}" presName="Name0" presStyleCnt="0">
        <dgm:presLayoutVars>
          <dgm:dir/>
          <dgm:animLvl val="lvl"/>
          <dgm:resizeHandles val="exact"/>
        </dgm:presLayoutVars>
      </dgm:prSet>
      <dgm:spPr/>
    </dgm:pt>
    <dgm:pt modelId="{8F0B55F5-4AEB-4B57-AF01-A79386634B48}" type="pres">
      <dgm:prSet presAssocID="{DAF70D9B-3D98-4AE1-8C7A-DA89BF1B3B84}" presName="parTxOnly" presStyleLbl="node1" presStyleIdx="0" presStyleCnt="3">
        <dgm:presLayoutVars>
          <dgm:chMax val="0"/>
          <dgm:chPref val="0"/>
          <dgm:bulletEnabled val="1"/>
        </dgm:presLayoutVars>
      </dgm:prSet>
      <dgm:spPr>
        <a:prstGeom prst="chevron">
          <a:avLst/>
        </a:prstGeom>
      </dgm:spPr>
      <dgm:t>
        <a:bodyPr/>
        <a:lstStyle/>
        <a:p>
          <a:endParaRPr lang="tr-TR"/>
        </a:p>
      </dgm:t>
    </dgm:pt>
    <dgm:pt modelId="{5950BE50-EF40-4F1D-AC4E-7E69DA05ED38}" type="pres">
      <dgm:prSet presAssocID="{B3766226-F3EB-43C9-8043-CEA7BD6B8655}" presName="parTxOnlySpace" presStyleCnt="0"/>
      <dgm:spPr/>
    </dgm:pt>
    <dgm:pt modelId="{94781D31-25B2-4016-9F2A-E07FCD8BD821}" type="pres">
      <dgm:prSet presAssocID="{EA1345C8-6A51-453F-B488-5183F64725C9}" presName="parTxOnly" presStyleLbl="node1" presStyleIdx="1" presStyleCnt="3">
        <dgm:presLayoutVars>
          <dgm:chMax val="0"/>
          <dgm:chPref val="0"/>
          <dgm:bulletEnabled val="1"/>
        </dgm:presLayoutVars>
      </dgm:prSet>
      <dgm:spPr>
        <a:prstGeom prst="chevron">
          <a:avLst/>
        </a:prstGeom>
      </dgm:spPr>
      <dgm:t>
        <a:bodyPr/>
        <a:lstStyle/>
        <a:p>
          <a:endParaRPr lang="tr-TR"/>
        </a:p>
      </dgm:t>
    </dgm:pt>
    <dgm:pt modelId="{C829497C-91BE-4590-8D59-136616A3579A}" type="pres">
      <dgm:prSet presAssocID="{EF31B27D-DE00-44DD-A0E3-27F83199401D}" presName="parTxOnlySpace" presStyleCnt="0"/>
      <dgm:spPr/>
    </dgm:pt>
    <dgm:pt modelId="{3189F89B-B995-4ADE-9F92-5F0C2D6701D1}" type="pres">
      <dgm:prSet presAssocID="{CEBE87B7-628D-4596-815A-C0E049F7F08E}" presName="parTxOnly" presStyleLbl="node1" presStyleIdx="2" presStyleCnt="3">
        <dgm:presLayoutVars>
          <dgm:chMax val="0"/>
          <dgm:chPref val="0"/>
          <dgm:bulletEnabled val="1"/>
        </dgm:presLayoutVars>
      </dgm:prSet>
      <dgm:spPr>
        <a:prstGeom prst="chevron">
          <a:avLst/>
        </a:prstGeom>
      </dgm:spPr>
      <dgm:t>
        <a:bodyPr/>
        <a:lstStyle/>
        <a:p>
          <a:endParaRPr lang="tr-TR"/>
        </a:p>
      </dgm:t>
    </dgm:pt>
  </dgm:ptLst>
  <dgm:cxnLst>
    <dgm:cxn modelId="{C6747575-CA6B-4870-885E-F13AC9952337}" type="presOf" srcId="{DAF70D9B-3D98-4AE1-8C7A-DA89BF1B3B84}" destId="{8F0B55F5-4AEB-4B57-AF01-A79386634B48}" srcOrd="0" destOrd="0" presId="urn:microsoft.com/office/officeart/2005/8/layout/chevron1"/>
    <dgm:cxn modelId="{3DCF05D5-2998-4F1C-A0FC-92DB2E54A1A7}" srcId="{B57F5FD0-6A01-40DF-ABBB-055B88DF9E9C}" destId="{CEBE87B7-628D-4596-815A-C0E049F7F08E}" srcOrd="2" destOrd="0" parTransId="{71AC6857-9D8E-4136-ACE9-C2253AAE7B83}" sibTransId="{77380DFA-7920-4B60-936A-6A3C26DEBCC6}"/>
    <dgm:cxn modelId="{A38FF1B3-BE4F-402D-A3C6-898DA2FFEE5E}" srcId="{B57F5FD0-6A01-40DF-ABBB-055B88DF9E9C}" destId="{DAF70D9B-3D98-4AE1-8C7A-DA89BF1B3B84}" srcOrd="0" destOrd="0" parTransId="{917E257D-001A-45EF-BD87-DA23C01B4966}" sibTransId="{B3766226-F3EB-43C9-8043-CEA7BD6B8655}"/>
    <dgm:cxn modelId="{5D71E9A0-D979-499C-8693-365830928309}" srcId="{B57F5FD0-6A01-40DF-ABBB-055B88DF9E9C}" destId="{EA1345C8-6A51-453F-B488-5183F64725C9}" srcOrd="1" destOrd="0" parTransId="{DF4A52EF-7A91-46F7-BE79-1D5AB84DCC73}" sibTransId="{EF31B27D-DE00-44DD-A0E3-27F83199401D}"/>
    <dgm:cxn modelId="{B7653119-7466-4016-B9AD-C91996517FC0}" type="presOf" srcId="{B57F5FD0-6A01-40DF-ABBB-055B88DF9E9C}" destId="{55DD5541-5924-4DFA-BA61-DDC7A1BF02DD}" srcOrd="0" destOrd="0" presId="urn:microsoft.com/office/officeart/2005/8/layout/chevron1"/>
    <dgm:cxn modelId="{65233E5A-4AC8-4679-B40C-5B8B523DD486}" type="presOf" srcId="{CEBE87B7-628D-4596-815A-C0E049F7F08E}" destId="{3189F89B-B995-4ADE-9F92-5F0C2D6701D1}" srcOrd="0" destOrd="0" presId="urn:microsoft.com/office/officeart/2005/8/layout/chevron1"/>
    <dgm:cxn modelId="{4232388D-9369-4263-B71F-0DA2A7C720DA}" type="presOf" srcId="{EA1345C8-6A51-453F-B488-5183F64725C9}" destId="{94781D31-25B2-4016-9F2A-E07FCD8BD821}" srcOrd="0" destOrd="0" presId="urn:microsoft.com/office/officeart/2005/8/layout/chevron1"/>
    <dgm:cxn modelId="{4047AA67-4E49-49AF-8425-2FE0022E268F}" type="presParOf" srcId="{55DD5541-5924-4DFA-BA61-DDC7A1BF02DD}" destId="{8F0B55F5-4AEB-4B57-AF01-A79386634B48}" srcOrd="0" destOrd="0" presId="urn:microsoft.com/office/officeart/2005/8/layout/chevron1"/>
    <dgm:cxn modelId="{B6BCA4E2-6DE4-4514-B29F-A947BD769466}" type="presParOf" srcId="{55DD5541-5924-4DFA-BA61-DDC7A1BF02DD}" destId="{5950BE50-EF40-4F1D-AC4E-7E69DA05ED38}" srcOrd="1" destOrd="0" presId="urn:microsoft.com/office/officeart/2005/8/layout/chevron1"/>
    <dgm:cxn modelId="{95CCAC45-AA83-4AF0-B772-9DFC59BB64C1}" type="presParOf" srcId="{55DD5541-5924-4DFA-BA61-DDC7A1BF02DD}" destId="{94781D31-25B2-4016-9F2A-E07FCD8BD821}" srcOrd="2" destOrd="0" presId="urn:microsoft.com/office/officeart/2005/8/layout/chevron1"/>
    <dgm:cxn modelId="{C1FB7C72-534C-4CB2-B71D-7E9F24539166}" type="presParOf" srcId="{55DD5541-5924-4DFA-BA61-DDC7A1BF02DD}" destId="{C829497C-91BE-4590-8D59-136616A3579A}" srcOrd="3" destOrd="0" presId="urn:microsoft.com/office/officeart/2005/8/layout/chevron1"/>
    <dgm:cxn modelId="{7B171277-E310-4DA0-8A32-5982D6F2C264}" type="presParOf" srcId="{55DD5541-5924-4DFA-BA61-DDC7A1BF02DD}" destId="{3189F89B-B995-4ADE-9F92-5F0C2D6701D1}"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7F5FD0-6A01-40DF-ABBB-055B88DF9E9C}" type="doc">
      <dgm:prSet loTypeId="urn:microsoft.com/office/officeart/2005/8/layout/chevron1" loCatId="process" qsTypeId="urn:microsoft.com/office/officeart/2005/8/quickstyle/simple3" qsCatId="simple" csTypeId="urn:microsoft.com/office/officeart/2005/8/colors/accent1_2" csCatId="accent1" phldr="1"/>
      <dgm:spPr/>
    </dgm:pt>
    <dgm:pt modelId="{DAF70D9B-3D98-4AE1-8C7A-DA89BF1B3B84}">
      <dgm:prSet phldrT="[Metin]" custT="1"/>
      <dgm:spPr>
        <a:xfrm>
          <a:off x="1313" y="0"/>
          <a:ext cx="1600568"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Girdiler	</a:t>
          </a:r>
        </a:p>
      </dgm:t>
    </dgm:pt>
    <dgm:pt modelId="{917E257D-001A-45EF-BD87-DA23C01B4966}" type="parTrans" cxnId="{A38FF1B3-BE4F-402D-A3C6-898DA2FFEE5E}">
      <dgm:prSet/>
      <dgm:spPr/>
      <dgm:t>
        <a:bodyPr/>
        <a:lstStyle/>
        <a:p>
          <a:endParaRPr lang="tr-TR"/>
        </a:p>
      </dgm:t>
    </dgm:pt>
    <dgm:pt modelId="{B3766226-F3EB-43C9-8043-CEA7BD6B8655}" type="sibTrans" cxnId="{A38FF1B3-BE4F-402D-A3C6-898DA2FFEE5E}">
      <dgm:prSet/>
      <dgm:spPr/>
      <dgm:t>
        <a:bodyPr/>
        <a:lstStyle/>
        <a:p>
          <a:endParaRPr lang="tr-TR"/>
        </a:p>
      </dgm:t>
    </dgm:pt>
    <dgm:pt modelId="{EA1345C8-6A51-453F-B488-5183F64725C9}">
      <dgm:prSet phldrT="[Metin]" custT="1"/>
      <dgm:spPr>
        <a:xfrm>
          <a:off x="1441824" y="0"/>
          <a:ext cx="1600568"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Süreç </a:t>
          </a:r>
        </a:p>
      </dgm:t>
    </dgm:pt>
    <dgm:pt modelId="{DF4A52EF-7A91-46F7-BE79-1D5AB84DCC73}" type="parTrans" cxnId="{5D71E9A0-D979-499C-8693-365830928309}">
      <dgm:prSet/>
      <dgm:spPr/>
      <dgm:t>
        <a:bodyPr/>
        <a:lstStyle/>
        <a:p>
          <a:endParaRPr lang="tr-TR"/>
        </a:p>
      </dgm:t>
    </dgm:pt>
    <dgm:pt modelId="{EF31B27D-DE00-44DD-A0E3-27F83199401D}" type="sibTrans" cxnId="{5D71E9A0-D979-499C-8693-365830928309}">
      <dgm:prSet/>
      <dgm:spPr/>
      <dgm:t>
        <a:bodyPr/>
        <a:lstStyle/>
        <a:p>
          <a:endParaRPr lang="tr-TR"/>
        </a:p>
      </dgm:t>
    </dgm:pt>
    <dgm:pt modelId="{CEBE87B7-628D-4596-815A-C0E049F7F08E}">
      <dgm:prSet phldrT="[Metin]" custT="1"/>
      <dgm:spPr>
        <a:xfrm>
          <a:off x="2882336" y="0"/>
          <a:ext cx="1600568" cy="3877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000">
              <a:solidFill>
                <a:sysClr val="windowText" lastClr="000000"/>
              </a:solidFill>
              <a:latin typeface="Times New Roman"/>
              <a:ea typeface="+mn-ea"/>
              <a:cs typeface="+mn-cs"/>
            </a:rPr>
            <a:t>Çıktılar</a:t>
          </a:r>
        </a:p>
      </dgm:t>
    </dgm:pt>
    <dgm:pt modelId="{71AC6857-9D8E-4136-ACE9-C2253AAE7B83}" type="parTrans" cxnId="{3DCF05D5-2998-4F1C-A0FC-92DB2E54A1A7}">
      <dgm:prSet/>
      <dgm:spPr/>
      <dgm:t>
        <a:bodyPr/>
        <a:lstStyle/>
        <a:p>
          <a:endParaRPr lang="tr-TR"/>
        </a:p>
      </dgm:t>
    </dgm:pt>
    <dgm:pt modelId="{77380DFA-7920-4B60-936A-6A3C26DEBCC6}" type="sibTrans" cxnId="{3DCF05D5-2998-4F1C-A0FC-92DB2E54A1A7}">
      <dgm:prSet/>
      <dgm:spPr/>
      <dgm:t>
        <a:bodyPr/>
        <a:lstStyle/>
        <a:p>
          <a:endParaRPr lang="tr-TR"/>
        </a:p>
      </dgm:t>
    </dgm:pt>
    <dgm:pt modelId="{55DD5541-5924-4DFA-BA61-DDC7A1BF02DD}" type="pres">
      <dgm:prSet presAssocID="{B57F5FD0-6A01-40DF-ABBB-055B88DF9E9C}" presName="Name0" presStyleCnt="0">
        <dgm:presLayoutVars>
          <dgm:dir/>
          <dgm:animLvl val="lvl"/>
          <dgm:resizeHandles val="exact"/>
        </dgm:presLayoutVars>
      </dgm:prSet>
      <dgm:spPr/>
    </dgm:pt>
    <dgm:pt modelId="{8F0B55F5-4AEB-4B57-AF01-A79386634B48}" type="pres">
      <dgm:prSet presAssocID="{DAF70D9B-3D98-4AE1-8C7A-DA89BF1B3B84}" presName="parTxOnly" presStyleLbl="node1" presStyleIdx="0" presStyleCnt="3">
        <dgm:presLayoutVars>
          <dgm:chMax val="0"/>
          <dgm:chPref val="0"/>
          <dgm:bulletEnabled val="1"/>
        </dgm:presLayoutVars>
      </dgm:prSet>
      <dgm:spPr>
        <a:prstGeom prst="chevron">
          <a:avLst/>
        </a:prstGeom>
      </dgm:spPr>
      <dgm:t>
        <a:bodyPr/>
        <a:lstStyle/>
        <a:p>
          <a:endParaRPr lang="tr-TR"/>
        </a:p>
      </dgm:t>
    </dgm:pt>
    <dgm:pt modelId="{5950BE50-EF40-4F1D-AC4E-7E69DA05ED38}" type="pres">
      <dgm:prSet presAssocID="{B3766226-F3EB-43C9-8043-CEA7BD6B8655}" presName="parTxOnlySpace" presStyleCnt="0"/>
      <dgm:spPr/>
    </dgm:pt>
    <dgm:pt modelId="{94781D31-25B2-4016-9F2A-E07FCD8BD821}" type="pres">
      <dgm:prSet presAssocID="{EA1345C8-6A51-453F-B488-5183F64725C9}" presName="parTxOnly" presStyleLbl="node1" presStyleIdx="1" presStyleCnt="3">
        <dgm:presLayoutVars>
          <dgm:chMax val="0"/>
          <dgm:chPref val="0"/>
          <dgm:bulletEnabled val="1"/>
        </dgm:presLayoutVars>
      </dgm:prSet>
      <dgm:spPr>
        <a:prstGeom prst="chevron">
          <a:avLst/>
        </a:prstGeom>
      </dgm:spPr>
      <dgm:t>
        <a:bodyPr/>
        <a:lstStyle/>
        <a:p>
          <a:endParaRPr lang="tr-TR"/>
        </a:p>
      </dgm:t>
    </dgm:pt>
    <dgm:pt modelId="{C829497C-91BE-4590-8D59-136616A3579A}" type="pres">
      <dgm:prSet presAssocID="{EF31B27D-DE00-44DD-A0E3-27F83199401D}" presName="parTxOnlySpace" presStyleCnt="0"/>
      <dgm:spPr/>
    </dgm:pt>
    <dgm:pt modelId="{3189F89B-B995-4ADE-9F92-5F0C2D6701D1}" type="pres">
      <dgm:prSet presAssocID="{CEBE87B7-628D-4596-815A-C0E049F7F08E}" presName="parTxOnly" presStyleLbl="node1" presStyleIdx="2" presStyleCnt="3">
        <dgm:presLayoutVars>
          <dgm:chMax val="0"/>
          <dgm:chPref val="0"/>
          <dgm:bulletEnabled val="1"/>
        </dgm:presLayoutVars>
      </dgm:prSet>
      <dgm:spPr>
        <a:prstGeom prst="chevron">
          <a:avLst/>
        </a:prstGeom>
      </dgm:spPr>
      <dgm:t>
        <a:bodyPr/>
        <a:lstStyle/>
        <a:p>
          <a:endParaRPr lang="tr-TR"/>
        </a:p>
      </dgm:t>
    </dgm:pt>
  </dgm:ptLst>
  <dgm:cxnLst>
    <dgm:cxn modelId="{3DCF05D5-2998-4F1C-A0FC-92DB2E54A1A7}" srcId="{B57F5FD0-6A01-40DF-ABBB-055B88DF9E9C}" destId="{CEBE87B7-628D-4596-815A-C0E049F7F08E}" srcOrd="2" destOrd="0" parTransId="{71AC6857-9D8E-4136-ACE9-C2253AAE7B83}" sibTransId="{77380DFA-7920-4B60-936A-6A3C26DEBCC6}"/>
    <dgm:cxn modelId="{A38FF1B3-BE4F-402D-A3C6-898DA2FFEE5E}" srcId="{B57F5FD0-6A01-40DF-ABBB-055B88DF9E9C}" destId="{DAF70D9B-3D98-4AE1-8C7A-DA89BF1B3B84}" srcOrd="0" destOrd="0" parTransId="{917E257D-001A-45EF-BD87-DA23C01B4966}" sibTransId="{B3766226-F3EB-43C9-8043-CEA7BD6B8655}"/>
    <dgm:cxn modelId="{627D5EF2-5CBC-453F-B83A-1722D66ACB7E}" type="presOf" srcId="{EA1345C8-6A51-453F-B488-5183F64725C9}" destId="{94781D31-25B2-4016-9F2A-E07FCD8BD821}" srcOrd="0" destOrd="0" presId="urn:microsoft.com/office/officeart/2005/8/layout/chevron1"/>
    <dgm:cxn modelId="{B05C1239-5F2D-4708-926A-2CF71A2AFF63}" type="presOf" srcId="{DAF70D9B-3D98-4AE1-8C7A-DA89BF1B3B84}" destId="{8F0B55F5-4AEB-4B57-AF01-A79386634B48}" srcOrd="0" destOrd="0" presId="urn:microsoft.com/office/officeart/2005/8/layout/chevron1"/>
    <dgm:cxn modelId="{19150835-58E5-4772-9914-5CADED6ABCB3}" type="presOf" srcId="{CEBE87B7-628D-4596-815A-C0E049F7F08E}" destId="{3189F89B-B995-4ADE-9F92-5F0C2D6701D1}" srcOrd="0" destOrd="0" presId="urn:microsoft.com/office/officeart/2005/8/layout/chevron1"/>
    <dgm:cxn modelId="{38B7C083-F2AB-4D14-9E00-227E63C46BD8}" type="presOf" srcId="{B57F5FD0-6A01-40DF-ABBB-055B88DF9E9C}" destId="{55DD5541-5924-4DFA-BA61-DDC7A1BF02DD}" srcOrd="0" destOrd="0" presId="urn:microsoft.com/office/officeart/2005/8/layout/chevron1"/>
    <dgm:cxn modelId="{5D71E9A0-D979-499C-8693-365830928309}" srcId="{B57F5FD0-6A01-40DF-ABBB-055B88DF9E9C}" destId="{EA1345C8-6A51-453F-B488-5183F64725C9}" srcOrd="1" destOrd="0" parTransId="{DF4A52EF-7A91-46F7-BE79-1D5AB84DCC73}" sibTransId="{EF31B27D-DE00-44DD-A0E3-27F83199401D}"/>
    <dgm:cxn modelId="{9852EE4D-8F2D-4E94-A6B3-62086D4F5D79}" type="presParOf" srcId="{55DD5541-5924-4DFA-BA61-DDC7A1BF02DD}" destId="{8F0B55F5-4AEB-4B57-AF01-A79386634B48}" srcOrd="0" destOrd="0" presId="urn:microsoft.com/office/officeart/2005/8/layout/chevron1"/>
    <dgm:cxn modelId="{AF53F198-FB54-4DCC-9A14-00710E605A8D}" type="presParOf" srcId="{55DD5541-5924-4DFA-BA61-DDC7A1BF02DD}" destId="{5950BE50-EF40-4F1D-AC4E-7E69DA05ED38}" srcOrd="1" destOrd="0" presId="urn:microsoft.com/office/officeart/2005/8/layout/chevron1"/>
    <dgm:cxn modelId="{D6D12485-24F0-41A0-9FF9-51613815B2F0}" type="presParOf" srcId="{55DD5541-5924-4DFA-BA61-DDC7A1BF02DD}" destId="{94781D31-25B2-4016-9F2A-E07FCD8BD821}" srcOrd="2" destOrd="0" presId="urn:microsoft.com/office/officeart/2005/8/layout/chevron1"/>
    <dgm:cxn modelId="{B93813ED-2770-45A4-821D-5610B7E1B7CA}" type="presParOf" srcId="{55DD5541-5924-4DFA-BA61-DDC7A1BF02DD}" destId="{C829497C-91BE-4590-8D59-136616A3579A}" srcOrd="3" destOrd="0" presId="urn:microsoft.com/office/officeart/2005/8/layout/chevron1"/>
    <dgm:cxn modelId="{3DC81DC9-49DA-4278-A364-8116C7365292}" type="presParOf" srcId="{55DD5541-5924-4DFA-BA61-DDC7A1BF02DD}" destId="{3189F89B-B995-4ADE-9F92-5F0C2D6701D1}" srcOrd="4"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0D8332-A0B9-4B5D-BC6D-23588B95D6C5}">
      <dsp:nvSpPr>
        <dsp:cNvPr id="0" name=""/>
        <dsp:cNvSpPr/>
      </dsp:nvSpPr>
      <dsp:spPr>
        <a:xfrm>
          <a:off x="2946" y="1960295"/>
          <a:ext cx="772285" cy="103911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YÖNETİŞİM SÜREÇLERİ </a:t>
          </a:r>
        </a:p>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Değerlendir, Yönlendir ve İzle (EDM)</a:t>
          </a:r>
          <a:endParaRPr lang="en-US" sz="800" kern="1200">
            <a:solidFill>
              <a:sysClr val="windowText" lastClr="000000">
                <a:hueOff val="0"/>
                <a:satOff val="0"/>
                <a:lumOff val="0"/>
                <a:alphaOff val="0"/>
              </a:sysClr>
            </a:solidFill>
            <a:latin typeface="Times New Roman"/>
            <a:ea typeface="+mn-ea"/>
            <a:cs typeface="+mn-cs"/>
          </a:endParaRPr>
        </a:p>
      </dsp:txBody>
      <dsp:txXfrm>
        <a:off x="25565" y="1982914"/>
        <a:ext cx="727047" cy="993877"/>
      </dsp:txXfrm>
    </dsp:sp>
    <dsp:sp modelId="{738F478C-CD3F-40B9-BAA5-3F24061974F2}">
      <dsp:nvSpPr>
        <dsp:cNvPr id="0" name=""/>
        <dsp:cNvSpPr/>
      </dsp:nvSpPr>
      <dsp:spPr>
        <a:xfrm rot="16727265">
          <a:off x="15840" y="1587835"/>
          <a:ext cx="1792655" cy="12424"/>
        </a:xfrm>
        <a:custGeom>
          <a:avLst/>
          <a:gdLst/>
          <a:ahLst/>
          <a:cxnLst/>
          <a:rect l="0" t="0" r="0" b="0"/>
          <a:pathLst>
            <a:path>
              <a:moveTo>
                <a:pt x="0" y="6585"/>
              </a:moveTo>
              <a:lnTo>
                <a:pt x="2099532" y="658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Times New Roman"/>
            <a:ea typeface="+mn-ea"/>
            <a:cs typeface="+mn-cs"/>
          </a:endParaRPr>
        </a:p>
      </dsp:txBody>
      <dsp:txXfrm>
        <a:off x="867351" y="1549230"/>
        <a:ext cx="89632" cy="89632"/>
      </dsp:txXfrm>
    </dsp:sp>
    <dsp:sp modelId="{7211CBD2-C4EB-426D-88B3-454AD30DC970}">
      <dsp:nvSpPr>
        <dsp:cNvPr id="0" name=""/>
        <dsp:cNvSpPr/>
      </dsp:nvSpPr>
      <dsp:spPr>
        <a:xfrm>
          <a:off x="1049103" y="431848"/>
          <a:ext cx="913062" cy="55278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Yönetişim çerçevesi kur ve sürdür (EDM01)</a:t>
          </a:r>
          <a:endParaRPr lang="en-US" sz="800" kern="1200">
            <a:solidFill>
              <a:sysClr val="windowText" lastClr="000000">
                <a:hueOff val="0"/>
                <a:satOff val="0"/>
                <a:lumOff val="0"/>
                <a:alphaOff val="0"/>
              </a:sysClr>
            </a:solidFill>
            <a:latin typeface="Times New Roman"/>
            <a:ea typeface="+mn-ea"/>
            <a:cs typeface="+mn-cs"/>
          </a:endParaRPr>
        </a:p>
      </dsp:txBody>
      <dsp:txXfrm>
        <a:off x="1065294" y="448039"/>
        <a:ext cx="880680" cy="520405"/>
      </dsp:txXfrm>
    </dsp:sp>
    <dsp:sp modelId="{1A0410EF-E02C-4964-90D5-22B4915D2DE6}">
      <dsp:nvSpPr>
        <dsp:cNvPr id="0" name=""/>
        <dsp:cNvSpPr/>
      </dsp:nvSpPr>
      <dsp:spPr>
        <a:xfrm rot="18289469">
          <a:off x="1859311" y="505183"/>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499406"/>
        <a:ext cx="23979" cy="23979"/>
      </dsp:txXfrm>
    </dsp:sp>
    <dsp:sp modelId="{5FA7F37C-CB02-4248-8012-16873AF52195}">
      <dsp:nvSpPr>
        <dsp:cNvPr id="0" name=""/>
        <dsp:cNvSpPr/>
      </dsp:nvSpPr>
      <dsp:spPr>
        <a:xfrm>
          <a:off x="2236039" y="143380"/>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Yönetişim sistemini değerlendir (EDM01.01)</a:t>
          </a:r>
          <a:endParaRPr lang="en-US" sz="800" kern="1200">
            <a:solidFill>
              <a:sysClr val="windowText" lastClr="000000">
                <a:hueOff val="0"/>
                <a:satOff val="0"/>
                <a:lumOff val="0"/>
                <a:alphaOff val="0"/>
              </a:sysClr>
            </a:solidFill>
            <a:latin typeface="Times New Roman"/>
            <a:ea typeface="+mn-ea"/>
            <a:cs typeface="+mn-cs"/>
          </a:endParaRPr>
        </a:p>
      </dsp:txBody>
      <dsp:txXfrm>
        <a:off x="2246066" y="153407"/>
        <a:ext cx="2437319" cy="322286"/>
      </dsp:txXfrm>
    </dsp:sp>
    <dsp:sp modelId="{AB45EA8E-FFA7-4E65-A5E8-FA6B2480F5DD}">
      <dsp:nvSpPr>
        <dsp:cNvPr id="0" name=""/>
        <dsp:cNvSpPr/>
      </dsp:nvSpPr>
      <dsp:spPr>
        <a:xfrm>
          <a:off x="1962166" y="702029"/>
          <a:ext cx="273872" cy="12424"/>
        </a:xfrm>
        <a:custGeom>
          <a:avLst/>
          <a:gdLst/>
          <a:ahLst/>
          <a:cxnLst/>
          <a:rect l="0" t="0" r="0" b="0"/>
          <a:pathLst>
            <a:path>
              <a:moveTo>
                <a:pt x="0" y="6585"/>
              </a:moveTo>
              <a:lnTo>
                <a:pt x="320755"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92256" y="701394"/>
        <a:ext cx="13693" cy="13693"/>
      </dsp:txXfrm>
    </dsp:sp>
    <dsp:sp modelId="{B0B4D5C6-6768-444F-8492-FB3B7821A157}">
      <dsp:nvSpPr>
        <dsp:cNvPr id="0" name=""/>
        <dsp:cNvSpPr/>
      </dsp:nvSpPr>
      <dsp:spPr>
        <a:xfrm>
          <a:off x="2236039" y="537071"/>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Yönetişim sistemini yönlendir, Liderleri bilgilendir ve destek, ortaklık ve bağlılıklarını sağla (EDM01.02)</a:t>
          </a:r>
          <a:endParaRPr lang="en-US" sz="800" kern="1200">
            <a:solidFill>
              <a:sysClr val="windowText" lastClr="000000">
                <a:hueOff val="0"/>
                <a:satOff val="0"/>
                <a:lumOff val="0"/>
                <a:alphaOff val="0"/>
              </a:sysClr>
            </a:solidFill>
            <a:latin typeface="Times New Roman"/>
            <a:ea typeface="+mn-ea"/>
            <a:cs typeface="+mn-cs"/>
          </a:endParaRPr>
        </a:p>
      </dsp:txBody>
      <dsp:txXfrm>
        <a:off x="2246066" y="547098"/>
        <a:ext cx="2437319" cy="322286"/>
      </dsp:txXfrm>
    </dsp:sp>
    <dsp:sp modelId="{E43837BF-F777-449E-873D-CB47F6494200}">
      <dsp:nvSpPr>
        <dsp:cNvPr id="0" name=""/>
        <dsp:cNvSpPr/>
      </dsp:nvSpPr>
      <dsp:spPr>
        <a:xfrm rot="3310531">
          <a:off x="1859311" y="898875"/>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893097"/>
        <a:ext cx="23979" cy="23979"/>
      </dsp:txXfrm>
    </dsp:sp>
    <dsp:sp modelId="{571CE0B5-BB52-4CB6-944E-9ADDE3F57363}">
      <dsp:nvSpPr>
        <dsp:cNvPr id="0" name=""/>
        <dsp:cNvSpPr/>
      </dsp:nvSpPr>
      <dsp:spPr>
        <a:xfrm>
          <a:off x="2236039" y="930762"/>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Yönetişim sistemini izle,  kalkınma ajansının BT yönetişim etkinliği ve performansını izle (EDM01.03)</a:t>
          </a:r>
          <a:endParaRPr lang="en-US" sz="800" kern="1200">
            <a:solidFill>
              <a:sysClr val="windowText" lastClr="000000">
                <a:hueOff val="0"/>
                <a:satOff val="0"/>
                <a:lumOff val="0"/>
                <a:alphaOff val="0"/>
              </a:sysClr>
            </a:solidFill>
            <a:latin typeface="Times New Roman"/>
            <a:ea typeface="+mn-ea"/>
            <a:cs typeface="+mn-cs"/>
          </a:endParaRPr>
        </a:p>
      </dsp:txBody>
      <dsp:txXfrm>
        <a:off x="2246066" y="940789"/>
        <a:ext cx="2437319" cy="322286"/>
      </dsp:txXfrm>
    </dsp:sp>
    <dsp:sp modelId="{1E33EF9F-5127-4D70-982A-F33D5926CBFC}">
      <dsp:nvSpPr>
        <dsp:cNvPr id="0" name=""/>
        <dsp:cNvSpPr/>
      </dsp:nvSpPr>
      <dsp:spPr>
        <a:xfrm rot="17692822">
          <a:off x="586691" y="2178372"/>
          <a:ext cx="650953" cy="12424"/>
        </a:xfrm>
        <a:custGeom>
          <a:avLst/>
          <a:gdLst/>
          <a:ahLst/>
          <a:cxnLst/>
          <a:rect l="0" t="0" r="0" b="0"/>
          <a:pathLst>
            <a:path>
              <a:moveTo>
                <a:pt x="0" y="6585"/>
              </a:moveTo>
              <a:lnTo>
                <a:pt x="762387" y="658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895894" y="2168310"/>
        <a:ext cx="32547" cy="32547"/>
      </dsp:txXfrm>
    </dsp:sp>
    <dsp:sp modelId="{8BE55CDF-F424-42EA-9A3F-7B9D7FA537D9}">
      <dsp:nvSpPr>
        <dsp:cNvPr id="0" name=""/>
        <dsp:cNvSpPr/>
      </dsp:nvSpPr>
      <dsp:spPr>
        <a:xfrm>
          <a:off x="1049103" y="1612922"/>
          <a:ext cx="913062" cy="55278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Fayda oluşturulmasını sağla (EDM02)</a:t>
          </a:r>
          <a:endParaRPr lang="en-US" sz="800" kern="1200">
            <a:solidFill>
              <a:sysClr val="windowText" lastClr="000000">
                <a:hueOff val="0"/>
                <a:satOff val="0"/>
                <a:lumOff val="0"/>
                <a:alphaOff val="0"/>
              </a:sysClr>
            </a:solidFill>
            <a:latin typeface="Times New Roman"/>
            <a:ea typeface="+mn-ea"/>
            <a:cs typeface="+mn-cs"/>
          </a:endParaRPr>
        </a:p>
      </dsp:txBody>
      <dsp:txXfrm>
        <a:off x="1065294" y="1629113"/>
        <a:ext cx="880680" cy="520405"/>
      </dsp:txXfrm>
    </dsp:sp>
    <dsp:sp modelId="{6EC3F392-7120-43F2-80F3-B00AAC7C5B95}">
      <dsp:nvSpPr>
        <dsp:cNvPr id="0" name=""/>
        <dsp:cNvSpPr/>
      </dsp:nvSpPr>
      <dsp:spPr>
        <a:xfrm rot="18288417">
          <a:off x="1858098" y="1684010"/>
          <a:ext cx="484954" cy="12424"/>
        </a:xfrm>
        <a:custGeom>
          <a:avLst/>
          <a:gdLst/>
          <a:ahLst/>
          <a:cxnLst/>
          <a:rect l="0" t="0" r="0" b="0"/>
          <a:pathLst>
            <a:path>
              <a:moveTo>
                <a:pt x="0" y="6585"/>
              </a:moveTo>
              <a:lnTo>
                <a:pt x="568882"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8452" y="1678098"/>
        <a:ext cx="24247" cy="24247"/>
      </dsp:txXfrm>
    </dsp:sp>
    <dsp:sp modelId="{5FD7016A-3F18-4F11-B445-C5ACADAD90A6}">
      <dsp:nvSpPr>
        <dsp:cNvPr id="0" name=""/>
        <dsp:cNvSpPr/>
      </dsp:nvSpPr>
      <dsp:spPr>
        <a:xfrm>
          <a:off x="2238985" y="1319959"/>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Değer optimizasyonunu değerlendir (EDM02.01)</a:t>
          </a:r>
          <a:endParaRPr lang="en-US" sz="800" kern="1200">
            <a:solidFill>
              <a:sysClr val="windowText" lastClr="000000">
                <a:hueOff val="0"/>
                <a:satOff val="0"/>
                <a:lumOff val="0"/>
                <a:alphaOff val="0"/>
              </a:sysClr>
            </a:solidFill>
            <a:latin typeface="Times New Roman"/>
            <a:ea typeface="+mn-ea"/>
            <a:cs typeface="+mn-cs"/>
          </a:endParaRPr>
        </a:p>
      </dsp:txBody>
      <dsp:txXfrm>
        <a:off x="2249012" y="1329986"/>
        <a:ext cx="2437319" cy="322286"/>
      </dsp:txXfrm>
    </dsp:sp>
    <dsp:sp modelId="{0FD13133-7A94-469D-ABB9-FD028A5AD315}">
      <dsp:nvSpPr>
        <dsp:cNvPr id="0" name=""/>
        <dsp:cNvSpPr/>
      </dsp:nvSpPr>
      <dsp:spPr>
        <a:xfrm>
          <a:off x="1962166" y="1883103"/>
          <a:ext cx="273872" cy="12424"/>
        </a:xfrm>
        <a:custGeom>
          <a:avLst/>
          <a:gdLst/>
          <a:ahLst/>
          <a:cxnLst/>
          <a:rect l="0" t="0" r="0" b="0"/>
          <a:pathLst>
            <a:path>
              <a:moveTo>
                <a:pt x="0" y="6585"/>
              </a:moveTo>
              <a:lnTo>
                <a:pt x="320755"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92256" y="1882469"/>
        <a:ext cx="13693" cy="13693"/>
      </dsp:txXfrm>
    </dsp:sp>
    <dsp:sp modelId="{2F52D90D-7274-4BE2-B9DC-C9AC176A85E3}">
      <dsp:nvSpPr>
        <dsp:cNvPr id="0" name=""/>
        <dsp:cNvSpPr/>
      </dsp:nvSpPr>
      <dsp:spPr>
        <a:xfrm>
          <a:off x="2236039" y="1718145"/>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Değer optimizasyonunu yönlendir (EDM02.02)</a:t>
          </a:r>
          <a:endParaRPr lang="en-US" sz="800" kern="1200">
            <a:solidFill>
              <a:sysClr val="windowText" lastClr="000000">
                <a:hueOff val="0"/>
                <a:satOff val="0"/>
                <a:lumOff val="0"/>
                <a:alphaOff val="0"/>
              </a:sysClr>
            </a:solidFill>
            <a:latin typeface="Times New Roman"/>
            <a:ea typeface="+mn-ea"/>
            <a:cs typeface="+mn-cs"/>
          </a:endParaRPr>
        </a:p>
      </dsp:txBody>
      <dsp:txXfrm>
        <a:off x="2246066" y="1728172"/>
        <a:ext cx="2437319" cy="322286"/>
      </dsp:txXfrm>
    </dsp:sp>
    <dsp:sp modelId="{96964DA0-CBE2-410C-AB0F-2D606161AA67}">
      <dsp:nvSpPr>
        <dsp:cNvPr id="0" name=""/>
        <dsp:cNvSpPr/>
      </dsp:nvSpPr>
      <dsp:spPr>
        <a:xfrm rot="3310531">
          <a:off x="1859311" y="2079949"/>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2074172"/>
        <a:ext cx="23979" cy="23979"/>
      </dsp:txXfrm>
    </dsp:sp>
    <dsp:sp modelId="{E69A269E-E109-4D4A-B8B0-19CABC012C5B}">
      <dsp:nvSpPr>
        <dsp:cNvPr id="0" name=""/>
        <dsp:cNvSpPr/>
      </dsp:nvSpPr>
      <dsp:spPr>
        <a:xfrm>
          <a:off x="2236039" y="2111837"/>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Değer optimizasyonunu izle (EDM02.03)</a:t>
          </a:r>
          <a:endParaRPr lang="en-US" sz="800" kern="1200">
            <a:solidFill>
              <a:sysClr val="windowText" lastClr="000000">
                <a:hueOff val="0"/>
                <a:satOff val="0"/>
                <a:lumOff val="0"/>
                <a:alphaOff val="0"/>
              </a:sysClr>
            </a:solidFill>
            <a:latin typeface="Times New Roman"/>
            <a:ea typeface="+mn-ea"/>
            <a:cs typeface="+mn-cs"/>
          </a:endParaRPr>
        </a:p>
      </dsp:txBody>
      <dsp:txXfrm>
        <a:off x="2246066" y="2121864"/>
        <a:ext cx="2437319" cy="322286"/>
      </dsp:txXfrm>
    </dsp:sp>
    <dsp:sp modelId="{9F96E5C6-1B70-4CF3-B212-9D6CE2E7D277}">
      <dsp:nvSpPr>
        <dsp:cNvPr id="0" name=""/>
        <dsp:cNvSpPr/>
      </dsp:nvSpPr>
      <dsp:spPr>
        <a:xfrm rot="3907178">
          <a:off x="586691" y="2768909"/>
          <a:ext cx="650953" cy="12424"/>
        </a:xfrm>
        <a:custGeom>
          <a:avLst/>
          <a:gdLst/>
          <a:ahLst/>
          <a:cxnLst/>
          <a:rect l="0" t="0" r="0" b="0"/>
          <a:pathLst>
            <a:path>
              <a:moveTo>
                <a:pt x="0" y="6585"/>
              </a:moveTo>
              <a:lnTo>
                <a:pt x="762387" y="658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895894" y="2758847"/>
        <a:ext cx="32547" cy="32547"/>
      </dsp:txXfrm>
    </dsp:sp>
    <dsp:sp modelId="{A4E83236-F995-4EFA-BB61-15BAD437EDDD}">
      <dsp:nvSpPr>
        <dsp:cNvPr id="0" name=""/>
        <dsp:cNvSpPr/>
      </dsp:nvSpPr>
      <dsp:spPr>
        <a:xfrm>
          <a:off x="1049103" y="2785744"/>
          <a:ext cx="913062" cy="569291"/>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Risk optimizasyonunu sağla (EDM03)</a:t>
          </a:r>
          <a:endParaRPr lang="en-US" sz="800" kern="1200">
            <a:solidFill>
              <a:sysClr val="windowText" lastClr="000000">
                <a:hueOff val="0"/>
                <a:satOff val="0"/>
                <a:lumOff val="0"/>
                <a:alphaOff val="0"/>
              </a:sysClr>
            </a:solidFill>
            <a:latin typeface="Times New Roman"/>
            <a:ea typeface="+mn-ea"/>
            <a:cs typeface="+mn-cs"/>
          </a:endParaRPr>
        </a:p>
      </dsp:txBody>
      <dsp:txXfrm>
        <a:off x="1065777" y="2802418"/>
        <a:ext cx="879714" cy="535943"/>
      </dsp:txXfrm>
    </dsp:sp>
    <dsp:sp modelId="{2339E3F7-26B0-4399-A9FA-50D505DCFBB3}">
      <dsp:nvSpPr>
        <dsp:cNvPr id="0" name=""/>
        <dsp:cNvSpPr/>
      </dsp:nvSpPr>
      <dsp:spPr>
        <a:xfrm rot="18289469">
          <a:off x="1859311" y="2867332"/>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2861554"/>
        <a:ext cx="23979" cy="23979"/>
      </dsp:txXfrm>
    </dsp:sp>
    <dsp:sp modelId="{731C4790-9809-476B-8353-91DBBA7A09A3}">
      <dsp:nvSpPr>
        <dsp:cNvPr id="0" name=""/>
        <dsp:cNvSpPr/>
      </dsp:nvSpPr>
      <dsp:spPr>
        <a:xfrm>
          <a:off x="2236039" y="2505528"/>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Risk yönetimini değerlendir (EDM03.01)</a:t>
          </a:r>
          <a:endParaRPr lang="en-US" sz="800" kern="1200">
            <a:solidFill>
              <a:sysClr val="windowText" lastClr="000000">
                <a:hueOff val="0"/>
                <a:satOff val="0"/>
                <a:lumOff val="0"/>
                <a:alphaOff val="0"/>
              </a:sysClr>
            </a:solidFill>
            <a:latin typeface="Times New Roman"/>
            <a:ea typeface="+mn-ea"/>
            <a:cs typeface="+mn-cs"/>
          </a:endParaRPr>
        </a:p>
      </dsp:txBody>
      <dsp:txXfrm>
        <a:off x="2246066" y="2515555"/>
        <a:ext cx="2437319" cy="322286"/>
      </dsp:txXfrm>
    </dsp:sp>
    <dsp:sp modelId="{638972AD-331D-4597-9BEA-C130B2BDCF4B}">
      <dsp:nvSpPr>
        <dsp:cNvPr id="0" name=""/>
        <dsp:cNvSpPr/>
      </dsp:nvSpPr>
      <dsp:spPr>
        <a:xfrm>
          <a:off x="1962166" y="3064177"/>
          <a:ext cx="273872" cy="12424"/>
        </a:xfrm>
        <a:custGeom>
          <a:avLst/>
          <a:gdLst/>
          <a:ahLst/>
          <a:cxnLst/>
          <a:rect l="0" t="0" r="0" b="0"/>
          <a:pathLst>
            <a:path>
              <a:moveTo>
                <a:pt x="0" y="6585"/>
              </a:moveTo>
              <a:lnTo>
                <a:pt x="320755"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92256" y="3063543"/>
        <a:ext cx="13693" cy="13693"/>
      </dsp:txXfrm>
    </dsp:sp>
    <dsp:sp modelId="{8EE31E57-EF4D-4F48-B622-A51D55E475E3}">
      <dsp:nvSpPr>
        <dsp:cNvPr id="0" name=""/>
        <dsp:cNvSpPr/>
      </dsp:nvSpPr>
      <dsp:spPr>
        <a:xfrm>
          <a:off x="2236039" y="2899219"/>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Risk yönetimini yönlendir (EDM03.02)</a:t>
          </a:r>
          <a:endParaRPr lang="en-US" sz="800" kern="1200">
            <a:solidFill>
              <a:sysClr val="windowText" lastClr="000000">
                <a:hueOff val="0"/>
                <a:satOff val="0"/>
                <a:lumOff val="0"/>
                <a:alphaOff val="0"/>
              </a:sysClr>
            </a:solidFill>
            <a:latin typeface="Times New Roman"/>
            <a:ea typeface="+mn-ea"/>
            <a:cs typeface="+mn-cs"/>
          </a:endParaRPr>
        </a:p>
      </dsp:txBody>
      <dsp:txXfrm>
        <a:off x="2246066" y="2909246"/>
        <a:ext cx="2437319" cy="322286"/>
      </dsp:txXfrm>
    </dsp:sp>
    <dsp:sp modelId="{C17A1B27-45E9-4E05-B966-CDE3BA91F529}">
      <dsp:nvSpPr>
        <dsp:cNvPr id="0" name=""/>
        <dsp:cNvSpPr/>
      </dsp:nvSpPr>
      <dsp:spPr>
        <a:xfrm rot="3310531">
          <a:off x="1859311" y="3261023"/>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3255246"/>
        <a:ext cx="23979" cy="23979"/>
      </dsp:txXfrm>
    </dsp:sp>
    <dsp:sp modelId="{D6F84A41-29A1-4EC1-B0F4-7FF168441F2A}">
      <dsp:nvSpPr>
        <dsp:cNvPr id="0" name=""/>
        <dsp:cNvSpPr/>
      </dsp:nvSpPr>
      <dsp:spPr>
        <a:xfrm>
          <a:off x="2236039" y="3292911"/>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Risk yönetimini izle (EDM03.03)</a:t>
          </a:r>
          <a:endParaRPr lang="en-US" sz="800" kern="1200">
            <a:solidFill>
              <a:sysClr val="windowText" lastClr="000000">
                <a:hueOff val="0"/>
                <a:satOff val="0"/>
                <a:lumOff val="0"/>
                <a:alphaOff val="0"/>
              </a:sysClr>
            </a:solidFill>
            <a:latin typeface="Times New Roman"/>
            <a:ea typeface="+mn-ea"/>
            <a:cs typeface="+mn-cs"/>
          </a:endParaRPr>
        </a:p>
      </dsp:txBody>
      <dsp:txXfrm>
        <a:off x="2246066" y="3302938"/>
        <a:ext cx="2437319" cy="322286"/>
      </dsp:txXfrm>
    </dsp:sp>
    <dsp:sp modelId="{D81C6FC8-9AD8-47C7-800D-A96578727AB0}">
      <dsp:nvSpPr>
        <dsp:cNvPr id="0" name=""/>
        <dsp:cNvSpPr/>
      </dsp:nvSpPr>
      <dsp:spPr>
        <a:xfrm rot="4872735">
          <a:off x="15840" y="3359446"/>
          <a:ext cx="1792655" cy="12424"/>
        </a:xfrm>
        <a:custGeom>
          <a:avLst/>
          <a:gdLst/>
          <a:ahLst/>
          <a:cxnLst/>
          <a:rect l="0" t="0" r="0" b="0"/>
          <a:pathLst>
            <a:path>
              <a:moveTo>
                <a:pt x="0" y="6585"/>
              </a:moveTo>
              <a:lnTo>
                <a:pt x="2099532" y="658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Times New Roman"/>
            <a:ea typeface="+mn-ea"/>
            <a:cs typeface="+mn-cs"/>
          </a:endParaRPr>
        </a:p>
      </dsp:txBody>
      <dsp:txXfrm>
        <a:off x="867351" y="3320842"/>
        <a:ext cx="89632" cy="89632"/>
      </dsp:txXfrm>
    </dsp:sp>
    <dsp:sp modelId="{EDDA1A5C-0659-4AE0-A4F1-30D0C81F22B7}">
      <dsp:nvSpPr>
        <dsp:cNvPr id="0" name=""/>
        <dsp:cNvSpPr/>
      </dsp:nvSpPr>
      <dsp:spPr>
        <a:xfrm>
          <a:off x="1049103" y="3975070"/>
          <a:ext cx="913062" cy="55278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Kaynak Optimizasyonu Sağla (EDM04)</a:t>
          </a:r>
          <a:endParaRPr lang="en-US" sz="800" kern="1200">
            <a:solidFill>
              <a:sysClr val="windowText" lastClr="000000">
                <a:hueOff val="0"/>
                <a:satOff val="0"/>
                <a:lumOff val="0"/>
                <a:alphaOff val="0"/>
              </a:sysClr>
            </a:solidFill>
            <a:latin typeface="Times New Roman"/>
            <a:ea typeface="+mn-ea"/>
            <a:cs typeface="+mn-cs"/>
          </a:endParaRPr>
        </a:p>
      </dsp:txBody>
      <dsp:txXfrm>
        <a:off x="1065294" y="3991261"/>
        <a:ext cx="880680" cy="520405"/>
      </dsp:txXfrm>
    </dsp:sp>
    <dsp:sp modelId="{1DDD95AA-E920-4A11-BE3C-7920A032C337}">
      <dsp:nvSpPr>
        <dsp:cNvPr id="0" name=""/>
        <dsp:cNvSpPr/>
      </dsp:nvSpPr>
      <dsp:spPr>
        <a:xfrm rot="18289469">
          <a:off x="1859311" y="4048406"/>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4042629"/>
        <a:ext cx="23979" cy="23979"/>
      </dsp:txXfrm>
    </dsp:sp>
    <dsp:sp modelId="{EF61A228-037A-47D9-BC67-9ED723381528}">
      <dsp:nvSpPr>
        <dsp:cNvPr id="0" name=""/>
        <dsp:cNvSpPr/>
      </dsp:nvSpPr>
      <dsp:spPr>
        <a:xfrm>
          <a:off x="2236039" y="3686602"/>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Kaynak yönetimini değerlendir (EDM04.01)</a:t>
          </a:r>
          <a:endParaRPr lang="en-US" sz="800" kern="1200">
            <a:solidFill>
              <a:sysClr val="windowText" lastClr="000000">
                <a:hueOff val="0"/>
                <a:satOff val="0"/>
                <a:lumOff val="0"/>
                <a:alphaOff val="0"/>
              </a:sysClr>
            </a:solidFill>
            <a:latin typeface="Times New Roman"/>
            <a:ea typeface="+mn-ea"/>
            <a:cs typeface="+mn-cs"/>
          </a:endParaRPr>
        </a:p>
      </dsp:txBody>
      <dsp:txXfrm>
        <a:off x="2246066" y="3696629"/>
        <a:ext cx="2437319" cy="322286"/>
      </dsp:txXfrm>
    </dsp:sp>
    <dsp:sp modelId="{215F7D19-1A0A-43C0-97DF-3A1E7265D50B}">
      <dsp:nvSpPr>
        <dsp:cNvPr id="0" name=""/>
        <dsp:cNvSpPr/>
      </dsp:nvSpPr>
      <dsp:spPr>
        <a:xfrm>
          <a:off x="1962166" y="4245252"/>
          <a:ext cx="273872" cy="12424"/>
        </a:xfrm>
        <a:custGeom>
          <a:avLst/>
          <a:gdLst/>
          <a:ahLst/>
          <a:cxnLst/>
          <a:rect l="0" t="0" r="0" b="0"/>
          <a:pathLst>
            <a:path>
              <a:moveTo>
                <a:pt x="0" y="6585"/>
              </a:moveTo>
              <a:lnTo>
                <a:pt x="320755"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92256" y="4244617"/>
        <a:ext cx="13693" cy="13693"/>
      </dsp:txXfrm>
    </dsp:sp>
    <dsp:sp modelId="{6133BFBB-7DBB-46C1-802F-A8DBB61D4855}">
      <dsp:nvSpPr>
        <dsp:cNvPr id="0" name=""/>
        <dsp:cNvSpPr/>
      </dsp:nvSpPr>
      <dsp:spPr>
        <a:xfrm>
          <a:off x="2236039" y="4080294"/>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Kaynak yönetimini yönlendir (EDM04.02)</a:t>
          </a:r>
          <a:endParaRPr lang="en-US" sz="800" kern="1200">
            <a:solidFill>
              <a:sysClr val="windowText" lastClr="000000">
                <a:hueOff val="0"/>
                <a:satOff val="0"/>
                <a:lumOff val="0"/>
                <a:alphaOff val="0"/>
              </a:sysClr>
            </a:solidFill>
            <a:latin typeface="Times New Roman"/>
            <a:ea typeface="+mn-ea"/>
            <a:cs typeface="+mn-cs"/>
          </a:endParaRPr>
        </a:p>
      </dsp:txBody>
      <dsp:txXfrm>
        <a:off x="2246066" y="4090321"/>
        <a:ext cx="2437319" cy="322286"/>
      </dsp:txXfrm>
    </dsp:sp>
    <dsp:sp modelId="{A789BF3A-ECB3-41FC-9BD7-D5E1C23D1678}">
      <dsp:nvSpPr>
        <dsp:cNvPr id="0" name=""/>
        <dsp:cNvSpPr/>
      </dsp:nvSpPr>
      <dsp:spPr>
        <a:xfrm rot="3310531">
          <a:off x="1859311" y="4442097"/>
          <a:ext cx="479582" cy="12424"/>
        </a:xfrm>
        <a:custGeom>
          <a:avLst/>
          <a:gdLst/>
          <a:ahLst/>
          <a:cxnLst/>
          <a:rect l="0" t="0" r="0" b="0"/>
          <a:pathLst>
            <a:path>
              <a:moveTo>
                <a:pt x="0" y="6585"/>
              </a:moveTo>
              <a:lnTo>
                <a:pt x="561679" y="6585"/>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a:ea typeface="+mn-ea"/>
            <a:cs typeface="+mn-cs"/>
          </a:endParaRPr>
        </a:p>
      </dsp:txBody>
      <dsp:txXfrm>
        <a:off x="2087113" y="4436320"/>
        <a:ext cx="23979" cy="23979"/>
      </dsp:txXfrm>
    </dsp:sp>
    <dsp:sp modelId="{43E54C3B-BA7B-46A0-B2B0-B3C407AEE1A9}">
      <dsp:nvSpPr>
        <dsp:cNvPr id="0" name=""/>
        <dsp:cNvSpPr/>
      </dsp:nvSpPr>
      <dsp:spPr>
        <a:xfrm>
          <a:off x="2236039" y="4473985"/>
          <a:ext cx="2457373" cy="342340"/>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Times New Roman"/>
              <a:ea typeface="+mn-ea"/>
              <a:cs typeface="+mn-cs"/>
            </a:rPr>
            <a:t>Kaynak yönetimini izle (EDM04.03)</a:t>
          </a:r>
          <a:endParaRPr lang="en-US" sz="800" kern="1200">
            <a:solidFill>
              <a:sysClr val="windowText" lastClr="000000">
                <a:hueOff val="0"/>
                <a:satOff val="0"/>
                <a:lumOff val="0"/>
                <a:alphaOff val="0"/>
              </a:sysClr>
            </a:solidFill>
            <a:latin typeface="Times New Roman"/>
            <a:ea typeface="+mn-ea"/>
            <a:cs typeface="+mn-cs"/>
          </a:endParaRPr>
        </a:p>
      </dsp:txBody>
      <dsp:txXfrm>
        <a:off x="2246066" y="4484012"/>
        <a:ext cx="2437319" cy="322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B55F5-4AEB-4B57-AF01-A79386634B48}">
      <dsp:nvSpPr>
        <dsp:cNvPr id="0" name=""/>
        <dsp:cNvSpPr/>
      </dsp:nvSpPr>
      <dsp:spPr>
        <a:xfrm>
          <a:off x="1348" y="0"/>
          <a:ext cx="1642344"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Girdiler	</a:t>
          </a:r>
        </a:p>
      </dsp:txBody>
      <dsp:txXfrm>
        <a:off x="195201" y="0"/>
        <a:ext cx="1254638" cy="387706"/>
      </dsp:txXfrm>
    </dsp:sp>
    <dsp:sp modelId="{94781D31-25B2-4016-9F2A-E07FCD8BD821}">
      <dsp:nvSpPr>
        <dsp:cNvPr id="0" name=""/>
        <dsp:cNvSpPr/>
      </dsp:nvSpPr>
      <dsp:spPr>
        <a:xfrm>
          <a:off x="1479458" y="0"/>
          <a:ext cx="1642344"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Süreç </a:t>
          </a:r>
        </a:p>
      </dsp:txBody>
      <dsp:txXfrm>
        <a:off x="1673311" y="0"/>
        <a:ext cx="1254638" cy="387706"/>
      </dsp:txXfrm>
    </dsp:sp>
    <dsp:sp modelId="{3189F89B-B995-4ADE-9F92-5F0C2D6701D1}">
      <dsp:nvSpPr>
        <dsp:cNvPr id="0" name=""/>
        <dsp:cNvSpPr/>
      </dsp:nvSpPr>
      <dsp:spPr>
        <a:xfrm>
          <a:off x="2957568" y="0"/>
          <a:ext cx="1642344"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Çıktılar</a:t>
          </a:r>
        </a:p>
      </dsp:txBody>
      <dsp:txXfrm>
        <a:off x="3151421" y="0"/>
        <a:ext cx="1254638" cy="3877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B55F5-4AEB-4B57-AF01-A79386634B48}">
      <dsp:nvSpPr>
        <dsp:cNvPr id="0" name=""/>
        <dsp:cNvSpPr/>
      </dsp:nvSpPr>
      <dsp:spPr>
        <a:xfrm>
          <a:off x="1365" y="0"/>
          <a:ext cx="1663232" cy="299923"/>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Girdiler	</a:t>
          </a:r>
        </a:p>
      </dsp:txBody>
      <dsp:txXfrm>
        <a:off x="151327" y="0"/>
        <a:ext cx="1363309" cy="299923"/>
      </dsp:txXfrm>
    </dsp:sp>
    <dsp:sp modelId="{94781D31-25B2-4016-9F2A-E07FCD8BD821}">
      <dsp:nvSpPr>
        <dsp:cNvPr id="0" name=""/>
        <dsp:cNvSpPr/>
      </dsp:nvSpPr>
      <dsp:spPr>
        <a:xfrm>
          <a:off x="1498274" y="0"/>
          <a:ext cx="1663232" cy="299923"/>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Süreç </a:t>
          </a:r>
        </a:p>
      </dsp:txBody>
      <dsp:txXfrm>
        <a:off x="1648236" y="0"/>
        <a:ext cx="1363309" cy="299923"/>
      </dsp:txXfrm>
    </dsp:sp>
    <dsp:sp modelId="{3189F89B-B995-4ADE-9F92-5F0C2D6701D1}">
      <dsp:nvSpPr>
        <dsp:cNvPr id="0" name=""/>
        <dsp:cNvSpPr/>
      </dsp:nvSpPr>
      <dsp:spPr>
        <a:xfrm>
          <a:off x="2995184" y="0"/>
          <a:ext cx="1663232" cy="299923"/>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Çıktılar</a:t>
          </a:r>
        </a:p>
      </dsp:txBody>
      <dsp:txXfrm>
        <a:off x="3145146" y="0"/>
        <a:ext cx="1363309" cy="2999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B55F5-4AEB-4B57-AF01-A79386634B48}">
      <dsp:nvSpPr>
        <dsp:cNvPr id="0" name=""/>
        <dsp:cNvSpPr/>
      </dsp:nvSpPr>
      <dsp:spPr>
        <a:xfrm>
          <a:off x="1313" y="0"/>
          <a:ext cx="1600568"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Girdiler	</a:t>
          </a:r>
        </a:p>
      </dsp:txBody>
      <dsp:txXfrm>
        <a:off x="195166" y="0"/>
        <a:ext cx="1212862" cy="387706"/>
      </dsp:txXfrm>
    </dsp:sp>
    <dsp:sp modelId="{94781D31-25B2-4016-9F2A-E07FCD8BD821}">
      <dsp:nvSpPr>
        <dsp:cNvPr id="0" name=""/>
        <dsp:cNvSpPr/>
      </dsp:nvSpPr>
      <dsp:spPr>
        <a:xfrm>
          <a:off x="1441824" y="0"/>
          <a:ext cx="1600568"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Süreç </a:t>
          </a:r>
        </a:p>
      </dsp:txBody>
      <dsp:txXfrm>
        <a:off x="1635677" y="0"/>
        <a:ext cx="1212862" cy="387706"/>
      </dsp:txXfrm>
    </dsp:sp>
    <dsp:sp modelId="{3189F89B-B995-4ADE-9F92-5F0C2D6701D1}">
      <dsp:nvSpPr>
        <dsp:cNvPr id="0" name=""/>
        <dsp:cNvSpPr/>
      </dsp:nvSpPr>
      <dsp:spPr>
        <a:xfrm>
          <a:off x="2882336" y="0"/>
          <a:ext cx="1600568" cy="38770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a:ea typeface="+mn-ea"/>
              <a:cs typeface="+mn-cs"/>
            </a:rPr>
            <a:t>Çıktılar</a:t>
          </a:r>
        </a:p>
      </dsp:txBody>
      <dsp:txXfrm>
        <a:off x="3076189" y="0"/>
        <a:ext cx="1212862" cy="3877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Nat15</b:Tag>
    <b:SourceType>InternetSite</b:SourceType>
    <b:Guid>{6E5D1793-D9E5-4390-85DF-8F42D8C50DF3}</b:Guid>
    <b:Title>National Geographic Education</b:Title>
    <b:ProductionCompany>National Geographic</b:ProductionCompany>
    <b:URL>http://education.nationalgeographic.com/education/encyclopedia/geographic-information-system-gis/?ar_a=1</b:URL>
    <b:LCID>en-US</b:LCID>
    <b:RefOrder>3</b:RefOrder>
  </b:Source>
  <b:Source>
    <b:Tag>Bra</b:Tag>
    <b:SourceType>InternetSite</b:SourceType>
    <b:Guid>{62F1A3B9-6042-4344-B4E8-CD67F57BECDB}</b:Guid>
    <b:LCID>en-US</b:LCID>
    <b:Title>Brandies University Lib Guides: GIS : Geographic Information System</b:Title>
    <b:ProductionCompany>Brandies University</b:ProductionCompany>
    <b:URL>http://brandeis.libguides.com/gis</b:URL>
    <b:RefOrder>4</b:RefOrder>
  </b:Source>
  <b:Source>
    <b:Tag>UCS</b:Tag>
    <b:SourceType>DocumentFromInternetSite</b:SourceType>
    <b:Guid>{BCAF2FEF-C129-4BAA-9507-E84C95573D8C}</b:Guid>
    <b:Title>UC San Diego Geographic Information System (GIS) Specialized Certificate</b:Title>
    <b:URL>http://extension.ucsd.edu/programs/pdf/200_Certificate_Overview.pdf?25-Apr-15</b:URL>
    <b:LCID>en-US</b:LCID>
    <b:RefOrder>5</b:RefOrder>
  </b:Source>
  <b:Source>
    <b:Tag>Don03</b:Tag>
    <b:SourceType>Book</b:SourceType>
    <b:Guid>{AED86EA0-36F9-4409-AA99-8FAF3DAA04BD}</b:Guid>
    <b:Title>Introductory Readings In Geographic Information Systems</b:Title>
    <b:Year>2003</b:Year>
    <b:LCID>en-US</b:LCID>
    <b:Author>
      <b:Author>
        <b:NameList>
          <b:Person>
            <b:Last>Peuquet</b:Last>
            <b:Middle>J.</b:Middle>
            <b:First>Donna</b:First>
          </b:Person>
          <b:Person>
            <b:Last>Marble</b:Last>
            <b:Middle>F.</b:Middle>
            <b:First>Duane</b:First>
          </b:Person>
        </b:NameList>
      </b:Author>
    </b:Author>
    <b:Publisher>CRC Press</b:Publisher>
    <b:RefOrder>6</b:RefOrder>
  </b:Source>
  <b:Source>
    <b:Tag>JCo91</b:Tag>
    <b:SourceType>Report</b:SourceType>
    <b:Guid>{02016F2F-8780-4D58-A80C-89E8F033C8B4}</b:Guid>
    <b:Title>“The History of GIS”, Geographic Information Systems,</b:Title>
    <b:Year>1991</b:Year>
    <b:LCID>en-US</b:LCID>
    <b:Author>
      <b:Author>
        <b:NameList>
          <b:Person>
            <b:Last>Coppock</b:Last>
            <b:First>J.</b:First>
          </b:Person>
          <b:Person>
            <b:Last>Rhind</b:Last>
            <b:Middle>W.</b:Middle>
            <b:First>D.</b:First>
          </b:Person>
        </b:NameList>
      </b:Author>
    </b:Author>
    <b:Publisher>First Edition</b:Publisher>
    <b:RefOrder>7</b:RefOrder>
  </b:Source>
  <b:Source>
    <b:Tag>GOO15</b:Tag>
    <b:SourceType>InternetSite</b:SourceType>
    <b:Guid>{30D8E6AD-A975-4ADF-83FD-5B643903CC2F}</b:Guid>
    <b:Title>Google Maps Overview</b:Title>
    <b:Year>2015</b:Year>
    <b:LCID>en-US</b:LCID>
    <b:Author>
      <b:Author>
        <b:NameList>
          <b:Person>
            <b:Last>GOOGLE</b:Last>
          </b:Person>
        </b:NameList>
      </b:Author>
    </b:Author>
    <b:ProductionCompany>Google Maps</b:ProductionCompany>
    <b:URL>https://support.google.com/maps/answer/144349?hl=en </b:URL>
    <b:RefOrder>8</b:RefOrder>
  </b:Source>
  <b:Source>
    <b:Tag>GOO151</b:Tag>
    <b:SourceType>InternetSite</b:SourceType>
    <b:Guid>{EAB87368-2D7B-457F-B536-1CC45FA04712}</b:Guid>
    <b:LCID>en-US</b:LCID>
    <b:Author>
      <b:Author>
        <b:NameList>
          <b:Person>
            <b:Last>GOOGLE</b:Last>
          </b:Person>
        </b:NameList>
      </b:Author>
    </b:Author>
    <b:Title>My Maps Help</b:Title>
    <b:ProductionCompany>GOOGLE</b:ProductionCompany>
    <b:Year>2015</b:Year>
    <b:URL>https://support.google.com/mymaps/answer/3024933?hl=en</b:URL>
    <b:RefOrder>9</b:RefOrder>
  </b:Source>
  <b:Source>
    <b:Tag>GOO152</b:Tag>
    <b:SourceType>InternetSite</b:SourceType>
    <b:Guid>{BDC1F58C-6A6D-4C72-98DF-E1FAB3783094}</b:Guid>
    <b:LCID>en-US</b:LCID>
    <b:Author>
      <b:Author>
        <b:NameList>
          <b:Person>
            <b:Last>GOOGLE</b:Last>
          </b:Person>
        </b:NameList>
      </b:Author>
    </b:Author>
    <b:Title>Google Maps Java Script API</b:Title>
    <b:ProductionCompany>GOOGLE</b:ProductionCompany>
    <b:Year>2015</b:Year>
    <b:URL>https://developers.google.com/maps/documentation/javascript/layers</b:URL>
    <b:RefOrder>10</b:RefOrder>
  </b:Source>
  <b:Source>
    <b:Tag>Hsu14</b:Tag>
    <b:SourceType>Report</b:SourceType>
    <b:Guid>{97B496AB-3BB5-430E-B412-F5016A7C8388}</b:Guid>
    <b:Title>Emerging Methods in Predictive Analytics: Risk Management and Decision-Making</b:Title>
    <b:Year>2014</b:Year>
    <b:Publisher>IGI Global</b:Publisher>
    <b:Author>
      <b:Author>
        <b:NameList>
          <b:Person>
            <b:Last>Hsu</b:Last>
            <b:Middle>H.</b:Middle>
            <b:First>William</b:First>
          </b:Person>
        </b:NameList>
      </b:Author>
    </b:Author>
    <b:LCID>en-US</b:LCID>
    <b:RefOrder>11</b:RefOrder>
  </b:Source>
  <b:Source>
    <b:Tag>Sug11</b:Tag>
    <b:SourceType>Book</b:SourceType>
    <b:Guid>{85AE0099-8DBA-4AAF-A050-41CEE2CF1440}</b:Guid>
    <b:Title>Spatial Decision Support Systems, Principles and Practices</b:Title>
    <b:Year>2011</b:Year>
    <b:Publisher>CRC Press</b:Publisher>
    <b:Author>
      <b:Author>
        <b:NameList>
          <b:Person>
            <b:Last>Sugumaran</b:Last>
            <b:First>R.</b:First>
          </b:Person>
          <b:Person>
            <b:Last>DeGroote</b:Last>
            <b:First>J.</b:First>
          </b:Person>
        </b:NameList>
      </b:Author>
    </b:Author>
    <b:LCID>en-US</b:LCID>
    <b:RefOrder>12</b:RefOrder>
  </b:Source>
  <b:Source>
    <b:Tag>Wik15</b:Tag>
    <b:SourceType>InternetSite</b:SourceType>
    <b:Guid>{4224E344-B6EF-461D-AE8F-530894D9EFEB}</b:Guid>
    <b:LCID>en-US</b:LCID>
    <b:Author>
      <b:Author>
        <b:NameList>
          <b:Person>
            <b:Last>Wikipedia</b:Last>
          </b:Person>
        </b:NameList>
      </b:Author>
    </b:Author>
    <b:Title>Digital Humanities</b:Title>
    <b:ProductionCompany>Wikipedia</b:ProductionCompany>
    <b:Year>2015</b:Year>
    <b:URL>http://en.wikipedia.org/wiki/Digital_humanities#cite_note-1</b:URL>
    <b:RefOrder>13</b:RefOrder>
  </b:Source>
  <b:Source>
    <b:Tag>Pre14</b:Tag>
    <b:SourceType>Book</b:SourceType>
    <b:Guid>{D400DA15-F23F-4751-A5CA-1472DB138C29}</b:Guid>
    <b:Title>HyperCities: Thick Mapping in the Digital Humanities</b:Title>
    <b:Year>2014</b:Year>
    <b:Publisher>metaLabprojects, Harvard University Press</b:Publisher>
    <b:Author>
      <b:Author>
        <b:NameList>
          <b:Person>
            <b:Last>Presner</b:Last>
            <b:First>Todd</b:First>
          </b:Person>
          <b:Person>
            <b:Last>Shepard</b:Last>
            <b:First>David</b:First>
          </b:Person>
          <b:Person>
            <b:Last>Kawano</b:Last>
            <b:First>Yoh</b:First>
          </b:Person>
        </b:NameList>
      </b:Author>
    </b:Author>
    <b:RefOrder>14</b:RefOrder>
  </b:Source>
  <b:Source>
    <b:Tag>AlG07</b:Tag>
    <b:SourceType>ConferenceProceedings</b:SourceType>
    <b:Guid>{67CC49DD-6CB7-499F-823E-FA5C4D711423}</b:Guid>
    <b:Title>The Digital Earth: Understanding Our Planet in the 21st Century</b:Title>
    <b:Year>2007</b:Year>
    <b:LCID>en-US</b:LCID>
    <b:Author>
      <b:Author>
        <b:NameList>
          <b:Person>
            <b:Last>Gore</b:Last>
            <b:First>Al</b:First>
          </b:Person>
        </b:NameList>
      </b:Author>
    </b:Author>
    <b:ConferenceName>The Fifth International Symposium on Digital Earth</b:ConferenceName>
    <b:City>San Francisco</b:City>
    <b:RefOrder>15</b:RefOrder>
  </b:Source>
  <b:Source>
    <b:Tag>SGS14</b:Tag>
    <b:SourceType>ElectronicSource</b:SourceType>
    <b:Guid>{BC93E2AD-BCE6-4A76-8E54-F2D0707238A5}</b:Guid>
    <b:Title>Best Practice Urban Renewal</b:Title>
    <b:Year>2014</b:Year>
    <b:City>Sydney</b:City>
    <b:LCID>en-US</b:LCID>
    <b:Month>November</b:Month>
    <b:CountryRegion>United States of America</b:CountryRegion>
    <b:Author>
      <b:Author>
        <b:Corporate>SGS Economics and Planning Pty Ltd</b:Corporate>
      </b:Author>
    </b:Author>
    <b:RefOrder>16</b:RefOrder>
  </b:Source>
  <b:Source>
    <b:Tag>Vis12</b:Tag>
    <b:SourceType>ConferenceProceedings</b:SourceType>
    <b:Guid>{2F8B9BA5-71AE-4386-804A-FE9E1EC1479D}</b:Guid>
    <b:Title>Perception and reality: exploring urban planners' vision on GIS tasks for multi-touch displays</b:Title>
    <b:City>New York</b:City>
    <b:Year>2012</b:Year>
    <b:LCID>en-US</b:LCID>
    <b:JournalName>ACM international conference on Interactive tabletops and surfaces</b:JournalName>
    <b:Pages>265-270</b:Pages>
    <b:Author>
      <b:Author>
        <b:NameList>
          <b:Person>
            <b:Last>Vishkaie</b:Last>
            <b:Middle>S.</b:Middle>
            <b:First>Rojin</b:First>
          </b:Person>
          <b:Person>
            <b:Last>Levy</b:Last>
            <b:First>Richard</b:First>
          </b:Person>
        </b:NameList>
      </b:Author>
    </b:Author>
    <b:ConferenceName>ACM International Conference on Interactive Tabletops And Surfaces</b:ConferenceName>
    <b:RefOrder>17</b:RefOrder>
  </b:Source>
  <b:Source>
    <b:Tag>ESR12</b:Tag>
    <b:SourceType>Book</b:SourceType>
    <b:Guid>{B37BA220-34D8-4ED5-A2C3-F2BC25176EC7}</b:Guid>
    <b:Title>What is GIS</b:Title>
    <b:Year>2012</b:Year>
    <b:LCID>en-US</b:LCID>
    <b:Author>
      <b:Author>
        <b:Corporate>ESRI</b:Corporate>
      </b:Author>
    </b:Author>
    <b:RefOrder>18</b:RefOrder>
  </b:Source>
  <b:Source>
    <b:Tag>WuH10</b:Tag>
    <b:SourceType>JournalArticle</b:SourceType>
    <b:Guid>{6ED78801-04F9-432C-B0B9-AAA5BF815FEF}</b:Guid>
    <b:Title>A Virtual Globe-Based 3D Visualization and Interactive Framework for Public Participation in Urban Planning Processes</b:Title>
    <b:Year>2010</b:Year>
    <b:JournalName>Computers, Environment and Urban Systems</b:JournalName>
    <b:Volume>34</b:Volume>
    <b:Author>
      <b:Author>
        <b:NameList>
          <b:Person>
            <b:Last>Wu</b:Last>
            <b:First>Huayi</b:First>
          </b:Person>
          <b:Person>
            <b:Last>He</b:Last>
            <b:First> Zhengwei</b:First>
          </b:Person>
          <b:Person>
            <b:Last>Gong</b:Last>
            <b:First>Jianya</b:First>
          </b:Person>
        </b:NameList>
      </b:Author>
    </b:Author>
    <b:LCID>en-US</b:LCID>
    <b:RefOrder>19</b:RefOrder>
  </b:Source>
  <b:Source>
    <b:Tag>Maq07</b:Tag>
    <b:SourceType>ConferenceProceedings</b:SourceType>
    <b:Guid>{51FF4A0D-D048-4506-AF74-7D61C3CCE741}</b:Guid>
    <b:Title>Expressive Interactions – Supporting Collaboration in</b:Title>
    <b:Year>2007</b:Year>
    <b:Author>
      <b:Author>
        <b:NameList>
          <b:Person>
            <b:Last>Maquil</b:Last>
            <b:First>Valérie</b:First>
          </b:Person>
          <b:Person>
            <b:Last>Psik</b:Last>
            <b:First>Thomas</b:First>
          </b:Person>
          <b:Person>
            <b:Last>Wagner</b:Last>
            <b:First>Ina</b:First>
          </b:Person>
          <b:Person>
            <b:Last>Wagner</b:Last>
            <b:First>Mira</b:First>
          </b:Person>
        </b:NameList>
      </b:Author>
    </b:Author>
    <b:City>New York</b:City>
    <b:LCID>en-US</b:LCID>
    <b:ConferenceName>ACM International Conference on Supporting Group Work</b:ConferenceName>
    <b:RefOrder>20</b:RefOrder>
  </b:Source>
  <b:Source>
    <b:Tag>Işı10</b:Tag>
    <b:SourceType>BookSection</b:SourceType>
    <b:Guid>{77C2A839-01F4-47A7-A565-014D5E46B7D0}</b:Guid>
    <b:Title>Interactive Modelling of Buildings in Google Earth: A 3D Tool for Urban Planning</b:Title>
    <b:Year>2010</b:Year>
    <b:BookTitle>Developments in 3D Geo-Information Sciences</b:BookTitle>
    <b:Pages>52-70</b:Pages>
    <b:Publisher>Springer</b:Publisher>
    <b:Author>
      <b:Author>
        <b:NameList>
          <b:Person>
            <b:Last>Işıkdağ</b:Last>
            <b:First>Umut</b:First>
          </b:Person>
          <b:Person>
            <b:Last>Zlatanova</b:Last>
            <b:First>Sisi</b:First>
          </b:Person>
        </b:NameList>
      </b:Author>
    </b:Author>
    <b:LCID>en-US</b:LCID>
    <b:RefOrder>21</b:RefOrder>
  </b:Source>
  <b:Source>
    <b:Tag>EMu09</b:Tag>
    <b:SourceType>Book</b:SourceType>
    <b:Guid>{201755C4-20BA-4F28-9C19-6C129A0839E8}</b:Guid>
    <b:Title>Criteria for a Good Urban Renewal Project: the Case of Kadifekale Urban Renewal Project</b:Title>
    <b:Year>2009</b:Year>
    <b:LCID>en-US</b:LCID>
    <b:Author>
      <b:Author>
        <b:NameList>
          <b:Person>
            <b:Last>Mutlu</b:Last>
            <b:First>E.</b:First>
          </b:Person>
        </b:NameList>
      </b:Author>
    </b:Author>
    <b:City>Izmir</b:City>
    <b:Publisher>Izmir Institute of Technology</b:Publisher>
    <b:RefOrder>22</b:RefOrder>
  </b:Source>
  <b:Source>
    <b:Tag>MTh97</b:Tag>
    <b:SourceType>BookSection</b:SourceType>
    <b:Guid>{EC96D4A7-8BED-4873-B94F-C4F2B1274F4C}</b:Guid>
    <b:Title>Discordant Dwellings: Australian Houses and the Vietnamese Diaspora</b:Title>
    <b:Year>1997</b:Year>
    <b:LCID>en-US</b:LCID>
    <b:Author>
      <b:Author>
        <b:NameList>
          <b:Person>
            <b:Last>Thomas</b:Last>
            <b:First>M.</b:First>
          </b:Person>
        </b:NameList>
      </b:Author>
    </b:Author>
    <b:Pages>95-113</b:Pages>
    <b:RefOrder>23</b:RefOrder>
  </b:Source>
  <b:Source>
    <b:Tag>Erca</b:Tag>
    <b:SourceType>BookSection</b:SourceType>
    <b:Guid>{ACB6BFF9-58FD-4F5D-ABB7-0ECDB0C04FB1}</b:Guid>
    <b:Author>
      <b:Author>
        <b:NameList>
          <b:Person>
            <b:Last>Ercan</b:Last>
            <b:First>M</b:First>
          </b:Person>
        </b:NameList>
      </b:Author>
    </b:Author>
    <b:Title>How to Shape Up Conservation-Led Regeneration Initiatives Regarding Community Needs</b:Title>
    <b:Pages>201-221</b:Pages>
    <b:Publisher>METU JFA</b:Publisher>
    <b:LCID>en-US</b:LCID>
    <b:RefOrder>24</b:RefOrder>
  </b:Source>
  <b:Source>
    <b:Tag>Sav10</b:Tag>
    <b:SourceType>BookSection</b:SourceType>
    <b:Guid>{B5D0B2E4-89B7-40D1-9BC8-48D9042D0554}</b:Guid>
    <b:Title>the Collective Turkish Home in Vienna: Aesthetic Narratives of Migration and Belonging in Home Cultures</b:Title>
    <b:Year>2010</b:Year>
    <b:Pages>313-340</b:Pages>
    <b:Author>
      <b:Author>
        <b:NameList>
          <b:Person>
            <b:Last>Savaş</b:Last>
            <b:First>Ö</b:First>
          </b:Person>
        </b:NameList>
      </b:Author>
    </b:Author>
    <b:RefOrder>25</b:RefOrder>
  </b:Source>
  <b:Source>
    <b:Tag>Geo2</b:Tag>
    <b:SourceType>DocumentFromInternetSite</b:SourceType>
    <b:Guid>{D9F900E7-0ED9-40A7-8AFF-7E011A374E7F}</b:Guid>
    <b:Title>Geospatial World</b:Title>
    <b:LCID>en-US</b:LCID>
    <b:URL>http://geospatialworld.net/images/magazines/GW_sept10_18-28CoverStory.pdf.</b:URL>
    <b:RefOrder>26</b:RefOrder>
  </b:Source>
  <b:Source>
    <b:Tag>May05h</b:Tag>
    <b:SourceType>BookSection</b:SourceType>
    <b:Guid>{312D8D88-44D5-4669-95B1-6077A3A063DC}</b:Guid>
    <b:Title>Collaborative Decisionmaking for Sustainable Urban Renewal in Environment and Planning B: Planning and Design</b:Title>
    <b:Year>2005</b:Year>
    <b:Author>
      <b:Author>
        <b:NameList>
          <b:Person>
            <b:Last>Mayerô</b:Last>
            <b:First>I</b:First>
            <b:Middle>s</b:Middle>
          </b:Person>
          <b:Person>
            <b:Last>Van Bueren</b:Last>
            <b:First>E.</b:First>
            <b:Middle>M.</b:Middle>
          </b:Person>
          <b:Person>
            <b:Last>Van der Voort</b:Last>
            <b:First>H</b:First>
          </b:Person>
        </b:NameList>
      </b:Author>
    </b:Author>
    <b:Pages>403-423</b:Pages>
    <b:RefOrder>27</b:RefOrder>
  </b:Source>
  <b:Source>
    <b:Tag>Şen79</b:Tag>
    <b:SourceType>Book</b:SourceType>
    <b:Guid>{C5FE9EDE-E0B8-4080-B611-0E0ACFF9E6CB}</b:Guid>
    <b:Title>1940-1950 Yılları Arasında Türkiye'de Kentleşme, Konut ve Yapı Uretimine Ilişkin Görüşler</b:Title>
    <b:Year>1979</b:Year>
    <b:City>Ankara</b:City>
    <b:Publisher>ODTU</b:Publisher>
    <b:Author>
      <b:Author>
        <b:NameList>
          <b:Person>
            <b:Last>Şentek</b:Last>
            <b:First>A</b:First>
          </b:Person>
        </b:NameList>
      </b:Author>
    </b:Author>
    <b:RefOrder>1</b:RefOrder>
  </b:Source>
  <b:Source>
    <b:Tag>Kah09</b:Tag>
    <b:SourceType>BookSection</b:SourceType>
    <b:Guid>{4942470F-85C8-4DBB-9709-90A134B5BEB8}</b:Guid>
    <b:Title>Dosya: Toplu Konut Mimarlığı: Deneyimler, Olanaklar, Olasılıklar</b:Title>
    <b:Year>2009</b:Year>
    <b:Publisher>Mimarlık,345</b:Publisher>
    <b:Author>
      <b:Author>
        <b:NameList>
          <b:Person>
            <b:Last>Kahvecioğlu</b:Last>
            <b:First>H</b:First>
          </b:Person>
        </b:NameList>
      </b:Author>
    </b:Author>
    <b:LCID>en-US</b:LCID>
    <b:Pages>25-27</b:Pages>
    <b:RefOrder>2</b:RefOrder>
  </b:Source>
  <b:Source>
    <b:Tag>Dev14</b:Tag>
    <b:SourceType>Report</b:SourceType>
    <b:Guid>{D94D54B2-C2DE-4BC8-B2DF-2F4127498F42}</b:Guid>
    <b:Title>Kalkınma Ajansları İnceleme ve Araştırma Raporu  (Hizmete Özel)</b:Title>
    <b:Year>2014</b:Year>
    <b:City>Ankara</b:City>
    <b:Publisher>Cumhurbaşkanlığı Devlet Denetleme Kurulu, http://www.tccb.gov.tr/faaliyetler/ddkraporlari/</b:Publisher>
    <b:Author>
      <b:Author>
        <b:NameList>
          <b:Person>
            <b:Last>DDK</b:Last>
          </b:Person>
          <b:Person>
            <b:Last>Aykın</b:Last>
            <b:First>Hasan</b:First>
          </b:Person>
          <b:Person>
            <b:Last>Arslanbaş</b:Last>
            <b:First>Metin</b:First>
          </b:Person>
          <b:Person>
            <b:Last>Dere</b:Last>
            <b:First>Abdülkadir</b:First>
          </b:Person>
          <b:Person>
            <b:Last>Özçelİk</b:Last>
            <b:First>Abdurrahman</b:First>
          </b:Person>
          <b:Person>
            <b:Last>Boyali</b:Last>
            <b:First>Cemal</b:First>
          </b:Person>
          <b:Person>
            <b:Last>Cecelİ</b:Last>
            <b:First>Faik</b:First>
          </b:Person>
          <b:Person>
            <b:Last>İlhan</b:Last>
            <b:First>Mehmet</b:First>
          </b:Person>
          <b:Person>
            <b:Last>Özkilinç</b:Last>
            <b:First>Mehmet</b:First>
            <b:Middle>Ali</b:Middle>
          </b:Person>
        </b:NameList>
      </b:Author>
    </b:Author>
    <b:LCID>tr-TR</b:LCID>
    <b:RefOrder>1</b:RefOrder>
  </b:Source>
  <b:Source>
    <b:Tag>KBB14</b:Tag>
    <b:SourceType>Report</b:SourceType>
    <b:Guid>{65DB1F6E-F0C8-43B5-823E-A2DBF2005FA1}</b:Guid>
    <b:Title>Devlet Denetleme Kurulu Kalkinma Ajanslari Araştirma ve İnceleme Raporu Kapsaminda Alinacak Tedbİrler</b:Title>
    <b:Year>2014</b:Year>
    <b:Author>
      <b:Author>
        <b:NameList>
          <b:Person>
            <b:Last>KB-BGYUGM</b:Last>
          </b:Person>
        </b:NameList>
      </b:Author>
    </b:Author>
    <b:Publisher>Kalkınma Bakanlığı (hizmete özel)</b:Publisher>
    <b:City>Ankara</b:City>
    <b:RefOrder>2</b:RefOrder>
  </b:Source>
  <b:Source>
    <b:Tag>ISA2a</b:Tag>
    <b:SourceType>Book</b:SourceType>
    <b:Guid>{6D8AD32D-FF02-4A28-AC3B-8275850F53DC}</b:Guid>
    <b:Author>
      <b:Author>
        <b:NameList>
          <b:Person>
            <b:Last>ISACA.</b:Last>
          </b:Person>
        </b:NameList>
      </b:Author>
    </b:Author>
    <b:Title>COBIT 5 Implementation. </b:Title>
    <b:Year>2012a</b:Year>
    <b:City>Rolling Meadows, IL</b:City>
    <b:Publisher>ISACA</b:Publisher>
    <b:RefOrder>3</b:RefOrder>
  </b:Source>
  <b:Source>
    <b:Tag>Ban91</b:Tag>
    <b:SourceType>Report</b:SourceType>
    <b:Guid>{AD1E29F1-9EC8-4019-8DAF-F24642F868B5}</b:Guid>
    <b:Title>Managing Development:The Governance Dimension</b:Title>
    <b:Year>1991</b:Year>
    <b:City>Washington</b:City>
    <b:Publisher>World Bank</b:Publisher>
    <b:Author>
      <b:Author>
        <b:NameList>
          <b:Person>
            <b:Last>WorldBank</b:Last>
          </b:Person>
        </b:NameList>
      </b:Author>
    </b:Author>
    <b:Comments>http://www-wds.worldbank.org/external/default/WDSContentServer/WDSP/IB/2006/03/07/000090341_20060307104630/Rendered/PDF/34899.pdf</b:Comments>
    <b:RefOrder>4</b:RefOrder>
  </b:Source>
  <b:Source>
    <b:Tag>Jer</b:Tag>
    <b:SourceType>DocumentFromInternetSite</b:SourceType>
    <b:Guid>{CDD005D0-B9D4-4F93-B935-085F23A15C66}</b:Guid>
    <b:Title>Governance Working Group : Governance Terms of Reference</b:Title>
    <b:Author>
      <b:Author>
        <b:NameList>
          <b:Person>
            <b:Last>Hyman</b:Last>
            <b:First>Jerry</b:First>
          </b:Person>
          <b:Person>
            <b:Last>Ericson</b:Last>
            <b:First>Dale</b:First>
          </b:Person>
          <b:Person>
            <b:Last>Baranic</b:Last>
            <b:First>Michale</b:First>
          </b:Person>
        </b:NameList>
      </b:Author>
    </b:Author>
    <b:InternetSiteTitle>publicintelligence.net</b:InternetSiteTitle>
    <b:URL>http://info.publicintelligence.net/ISAFgovernance.pdf</b:URL>
    <b:Year>2014</b:Year>
    <b:RefOrder>5</b:RefOrder>
  </b:Source>
  <b:Source>
    <b:Tag>COM12</b:Tag>
    <b:SourceType>Book</b:SourceType>
    <b:Guid>{49E70C86-D21A-4EC9-8F0B-D9606268C330}</b:Guid>
    <b:Author>
      <b:Author>
        <b:NameList>
          <b:Person>
            <b:Last>COMCEC</b:Last>
          </b:Person>
        </b:NameList>
      </b:Author>
    </b:Author>
    <b:Title>COMCEC Strategy for Building an Interdependent Islamic World</b:Title>
    <b:Year>2012</b:Year>
    <b:City>Makkah Al-Mukarramah</b:City>
    <b:Publisher>Comcec Coordination Office</b:Publisher>
    <b:RefOrder>6</b:RefOrder>
  </b:Source>
  <b:Source>
    <b:Tag>IDK11</b:Tag>
    <b:SourceType>DocumentFromInternetSite</b:SourceType>
    <b:Guid>{CA66198E-A893-48CF-9A2C-87E4F97192FB}</b:Guid>
    <b:Title>Kamu İç Denetim Standartları</b:Title>
    <b:Year>2011</b:Year>
    <b:Author>
      <b:Author>
        <b:NameList>
          <b:Person>
            <b:Last>IDKK</b:Last>
          </b:Person>
        </b:NameList>
      </b:Author>
    </b:Author>
    <b:InternetSiteTitle>Resmi gazete</b:InternetSiteTitle>
    <b:Month>08</b:Month>
    <b:Day>16</b:Day>
    <b:URL>http://www.resmigazete.gov.tr/eskiler/2011/08/20110816-18.htm</b:URL>
    <b:RefOrder>7</b:RefOrder>
  </b:Source>
  <b:Source>
    <b:Tag>Son04</b:Tag>
    <b:SourceType>Book</b:SourceType>
    <b:Guid>{B6F9AE1D-2B89-4E63-8BE7-C4B980B8EA5B}</b:Guid>
    <b:Title>Yönetişim ve Demokrasi İlişkisinde Sİyasal İktidar Sorunu: Türkiye'de Bağımsız Düzenleyici Kurumlar</b:Title>
    <b:Year>2004</b:Year>
    <b:Author>
      <b:Author>
        <b:NameList>
          <b:Person>
            <b:Last>Bayramoğlu</b:Last>
            <b:First>Sonay</b:First>
          </b:Person>
        </b:NameList>
      </b:Author>
    </b:Author>
    <b:City>Ankara</b:City>
    <b:Publisher>Ankara Üniversitesi Siyasal Bilgiler Fakültesi Doktora Tezi</b:Publisher>
    <b:RefOrder>8</b:RefOrder>
  </b:Source>
  <b:Source>
    <b:Tag>Ali03</b:Tag>
    <b:SourceType>DocumentFromInternetSite</b:SourceType>
    <b:Guid>{34024387-720F-4F26-AD8B-1125FBAC2C36}</b:Guid>
    <b:Author>
      <b:Author>
        <b:NameList>
          <b:Person>
            <b:Last>TEKİN</b:Last>
            <b:First>Ali</b:First>
            <b:Middle>Güner</b:Middle>
          </b:Person>
        </b:NameList>
      </b:Author>
    </b:Author>
    <b:Title>Kurumsal Yönetİşİm Hakkinda</b:Title>
    <b:InternetSiteTitle>angelfire</b:InternetSiteTitle>
    <b:Year>2003</b:Year>
    <b:Month>5</b:Month>
    <b:URL>http://www.angelfire.com/ok4/aligunertekin/200304CGHk.pdf</b:URL>
    <b:RefOrder>9</b:RefOrder>
  </b:Source>
  <b:Source>
    <b:Tag>Suz14</b:Tag>
    <b:SourceType>JournalArticle</b:SourceType>
    <b:Guid>{B3155E6C-F307-49D8-8DBB-0298766AF9E7}</b:Guid>
    <b:Title>Corporate Social Responsibility and Corporate Governance: Role of Context in International Settings</b:Title>
    <b:Year>2014</b:Year>
    <b:Author>
      <b:Author>
        <b:NameList>
          <b:Person>
            <b:Last>Young</b:Last>
            <b:First>Suzanne</b:First>
          </b:Person>
          <b:Person>
            <b:Last>Thyil</b:Last>
            <b:First>Vijaya</b:First>
          </b:Person>
        </b:NameList>
      </b:Author>
    </b:Author>
    <b:JournalName>Journal of Business Ethics, June</b:JournalName>
    <b:Pages>1-24</b:Pages>
    <b:RefOrder>10</b:RefOrder>
  </b:Source>
  <b:Source>
    <b:Tag>TBM03</b:Tag>
    <b:SourceType>DocumentFromInternetSite</b:SourceType>
    <b:Guid>{CF62EAA6-192C-45D6-B977-9C85100DFE09}</b:Guid>
    <b:Author>
      <b:Author>
        <b:NameList>
          <b:Person>
            <b:Last>TBMM</b:Last>
          </b:Person>
        </b:NameList>
      </b:Author>
    </b:Author>
    <b:Title>Kamu Mali Yönetimi ve Kontrol Yasası</b:Title>
    <b:InternetSiteTitle>www.mevzuat.gov.tr</b:InternetSiteTitle>
    <b:Year>2003</b:Year>
    <b:URL>http://www.mevzuat.gov.tr/Metin1.Aspx?MevzuatKod=1.5.5018&amp;MevzuatIliski=0&amp;sourceXmlSearch=kontrol&amp;Tur=1&amp;Tertip=5&amp;No=5018</b:URL>
    <b:RefOrder>11</b:RefOrder>
  </b:Source>
  <b:Source>
    <b:Tag>Ahm09</b:Tag>
    <b:SourceType>ConferenceProceedings</b:SourceType>
    <b:Guid>{B4DC2077-8795-42C0-8940-67D6FD4D4DBA}</b:Guid>
    <b:Title>An eGovernment Information System Framework:Turkish National Agency Software Project</b:Title>
    <b:Year>2009</b:Year>
    <b:Pages>110-125</b:Pages>
    <b:Author>
      <b:Author>
        <b:NameList>
          <b:Person>
            <b:Last>Efe</b:Last>
            <b:First>Ahmet</b:First>
          </b:Person>
          <b:Person>
            <b:Last>Uzunay</b:Last>
            <b:First>yusuf</b:First>
          </b:Person>
          <b:Person>
            <b:Last>Taşcıoğlu</b:Last>
            <b:First>güverhan</b:First>
          </b:Person>
        </b:NameList>
      </b:Author>
    </b:Author>
    <b:ConferenceName>eTransformation in Public Administaration: From eGovernment to eGovernance</b:ConferenceName>
    <b:City>ANTALYA</b:City>
    <b:Publisher>TODAİE, SESRIC, UNDP</b:Publisher>
    <b:RefOrder>12</b:RefOrder>
  </b:Source>
  <b:Source>
    <b:Tag>ROB13</b:Tag>
    <b:SourceType>Book</b:SourceType>
    <b:Guid>{DDF88785-DCEA-4966-A7FD-62F52D73A5E0}</b:Guid>
    <b:Title>Executive’s Guide to IT Governance</b:Title>
    <b:Year>2013</b:Year>
    <b:Publisher>John Wiley &amp; Sons, Inc.</b:Publisher>
    <b:City>New Jersey</b:City>
    <b:Author>
      <b:Author>
        <b:NameList>
          <b:Person>
            <b:Last>Moeller</b:Last>
            <b:First>ROBERT</b:First>
            <b:Middle>R.</b:Middle>
          </b:Person>
        </b:NameList>
      </b:Author>
    </b:Author>
    <b:RefOrder>13</b:RefOrder>
  </b:Source>
  <b:Source>
    <b:Tag>Ste13</b:Tag>
    <b:SourceType>JournalArticle</b:SourceType>
    <b:Guid>{684BD424-A300-47AD-94A3-1C8F71BFA46F}</b:Guid>
    <b:LCID>en-US</b:LCID>
    <b:Title>COBIT 5 and Enterprise Governance of Information Technology: Building Blocks and Research Opportunities</b:Title>
    <b:JournalName>JOURNAL OF INFORMATION SYSTEMS</b:JournalName>
    <b:Year>2013</b:Year>
    <b:Month>Spring</b:Month>
    <b:Volume>27</b:Volume>
    <b:Issue>1</b:Issue>
    <b:Author>
      <b:Author>
        <b:NameList>
          <b:Person>
            <b:Last>Steven De Haes</b:Last>
            <b:First>Wim</b:First>
            <b:Middle>Van Grembergen</b:Middle>
          </b:Person>
          <b:Person>
            <b:Last>Roger</b:Last>
            <b:First>S.</b:First>
            <b:Middle>Debreceny</b:Middle>
          </b:Person>
        </b:NameList>
      </b:Author>
    </b:Author>
    <b:RefOrder>14</b:RefOrder>
  </b:Source>
  <b:Source>
    <b:Tag>ISA2b</b:Tag>
    <b:SourceType>Book</b:SourceType>
    <b:Guid>{CE1E35C6-8794-4801-9C56-186E0FD2FE60}</b:Guid>
    <b:Author>
      <b:Author>
        <b:NameList>
          <b:Person>
            <b:Last>ISACA</b:Last>
          </b:Person>
        </b:NameList>
      </b:Author>
    </b:Author>
    <b:Title>COBIT 5: A Business Framework for the Governance and Management of Enterprise IT.</b:Title>
    <b:Year>2012b</b:Year>
    <b:City>Rolling Meadows, IL</b:City>
    <b:Publisher>ISACA.</b:Publisher>
    <b:RefOrder>15</b:RefOrder>
  </b:Source>
  <b:Source>
    <b:Tag>ISA12</b:Tag>
    <b:SourceType>Book</b:SourceType>
    <b:Guid>{821CE249-F582-459C-922B-0AFB7C7D5A10}</b:Guid>
    <b:Author>
      <b:Author>
        <b:NameList>
          <b:Person>
            <b:Last>ISACA</b:Last>
          </b:Person>
        </b:NameList>
      </b:Author>
    </b:Author>
    <b:Title>Enabling Processes</b:Title>
    <b:Year>2012c</b:Year>
    <b:City>USA</b:City>
    <b:Publisher>ISACA</b:Publisher>
    <b:RefOrder>16</b:RefOrder>
  </b:Source>
  <b:Source>
    <b:Tag>YerTutucu1</b:Tag>
    <b:SourceType>Book</b:SourceType>
    <b:Guid>{39D66F42-657A-419A-8F12-6329C5126036}</b:Guid>
    <b:Author>
      <b:Author>
        <b:NameList>
          <b:Person>
            <b:Last>ISACA</b:Last>
          </b:Person>
        </b:NameList>
      </b:Author>
    </b:Author>
    <b:Title>COBIT 5: A Business Framework for the Governance and Management of Enterprise IT.</b:Title>
    <b:Year>2012</b:Year>
    <b:City>Rolling Meadows, IL</b:City>
    <b:Publisher>ISACA.</b:Publisher>
    <b:RefOrder>17</b:RefOrder>
  </b:Source>
  <b:Source>
    <b:Tag>Pau06</b:Tag>
    <b:SourceType>Report</b:SourceType>
    <b:Guid>{24F9A90A-F888-45AB-9D8A-4CD2F5F74D65}</b:Guid>
    <b:Author>
      <b:Author>
        <b:NameList>
          <b:Person>
            <b:Last>Love</b:Last>
            <b:First>Paul</b:First>
          </b:Person>
          <b:Person>
            <b:Last>Reinhard</b:Last>
            <b:First>James</b:First>
          </b:Person>
          <b:Person>
            <b:Last>Schwab</b:Last>
            <b:First>A.J.</b:First>
          </b:Person>
          <b:Person>
            <b:Last>Spafford</b:Last>
            <b:First>George</b:First>
          </b:Person>
        </b:NameList>
      </b:Author>
    </b:Author>
    <b:Title>GTAG Global Teknoloji Denetim Rehberi Bilgi Güvenliği Yönetişimi</b:Title>
    <b:Year>2006</b:Year>
    <b:Publisher>IIA-TİDE</b:Publisher>
    <b:City>ABD</b:City>
    <b:RefOrder>18</b:RefOrder>
  </b:Source>
  <b:Source>
    <b:Tag>Ahm164</b:Tag>
    <b:SourceType>JournalArticle</b:SourceType>
    <b:Guid>{BA722D12-7720-48C1-83B4-B760F0AA3FF8}</b:Guid>
    <b:Author>
      <b:Author>
        <b:NameList>
          <b:Person>
            <b:Last>Efe</b:Last>
            <b:First>Ahmet</b:First>
          </b:Person>
        </b:NameList>
      </b:Author>
    </b:Author>
    <b:Title>Türkiye’deki Kamu Yönetiminde Tek Tipçi Kurumsal Yapılanma Sorununa Kalkınma Ajansları Üzerinden Hermeneutik Kritik Kuramla Teorik Ve Kavramsal Analiz Ve Çözümleme</b:Title>
    <b:JournalName>Anemon</b:JournalName>
    <b:Year>2016</b:Year>
    <b:Pages>13-30</b:Pages>
    <b:RefOrder>19</b:RefOrder>
  </b:Source>
  <b:Source>
    <b:Tag>Ahm6c</b:Tag>
    <b:SourceType>JournalArticle</b:SourceType>
    <b:Guid>{2BCA9CC6-2154-4BB8-93BB-53A7B0E2B171}</b:Guid>
    <b:Author>
      <b:Author>
        <b:NameList>
          <b:Person>
            <b:Last>Efe</b:Last>
            <b:First>Ahmet</b:First>
          </b:Person>
        </b:NameList>
      </b:Author>
    </b:Author>
    <b:Title>Türkiye ’de Kalkınma Ajansları Özelinde Kamu Yönetimi -Bürokrasi -İdare -Devlet Bağlamında Cobit-5 ile Çoklu Disipliner Bir Analiz</b:Title>
    <b:JournalName>TNB Hukuk Dergisi</b:JournalName>
    <b:Year>2016c</b:Year>
    <b:Pages>109-148</b:Pages>
    <b:RefOrder>20</b:RefOrder>
  </b:Source>
  <b:Source>
    <b:Tag>Ahm6b</b:Tag>
    <b:SourceType>JournalArticle</b:SourceType>
    <b:Guid>{F4405B80-DCCE-462A-8236-8B12C881D5E7}</b:Guid>
    <b:Author>
      <b:Author>
        <b:NameList>
          <b:Person>
            <b:Last>Efe</b:Last>
            <b:First>Ahmet</b:First>
          </b:Person>
        </b:NameList>
      </b:Author>
    </b:Author>
    <b:Title>Kamu Yönetiminde Bir Yönetişim Hedefi Olarak Kaynak Optimizasyonu: Kalkınma Ajanslarında COBIT-5 Çerçevesinde Bir Analiz</b:Title>
    <b:JournalName>Uluslararası Ekonomi ve Yenilik Dergisi</b:JournalName>
    <b:Year>2016b</b:Year>
    <b:Pages>43-65</b:Pages>
    <b:RefOrder>21</b:RefOrder>
  </b:Source>
  <b:Source>
    <b:Tag>ahm13</b:Tag>
    <b:SourceType>ConferenceProceedings</b:SourceType>
    <b:Guid>{3E3AEF7B-6774-4FA0-98CC-E6319FC22FFB}</b:Guid>
    <b:Author>
      <b:Author>
        <b:NameList>
          <b:Person>
            <b:Last>Efe</b:Last>
            <b:First>Ahmet</b:First>
          </b:Person>
        </b:NameList>
      </b:Author>
    </b:Author>
    <b:Title>Governance at the Regional Development Agencies in Turkey</b:Title>
    <b:Pages>59-69</b:Pages>
    <b:Year>2013</b:Year>
    <b:ConferenceName>SOSBIAD</b:ConferenceName>
    <b:City>İzmir</b:City>
    <b:Publisher>INTERNATIONAL JOURNALOF eBUSINESS AND eGOVERNMENT STUDIES Vol 5,No 2, 2013  ISSN: 2146‐0744 (Online)</b:Publisher>
    <b:RefOrder>22</b:RefOrder>
  </b:Source>
  <b:Source>
    <b:Tag>efe13</b:Tag>
    <b:SourceType>ConferenceProceedings</b:SourceType>
    <b:Guid>{83AD2C93-F401-4CBE-827B-3BCF12FD4F9B}</b:Guid>
    <b:Author>
      <b:Author>
        <b:NameList>
          <b:Person>
            <b:Last>Efe</b:Last>
            <b:First>Ahmet</b:First>
          </b:Person>
        </b:NameList>
      </b:Author>
    </b:Author>
    <b:Title>Cobit-5 Framework as a Model for the Regional Development Agencies in Turkey</b:Title>
    <b:JournalName>ICEBEG SOSBIAD</b:JournalName>
    <b:Year>2013</b:Year>
    <b:ConferenceName>ICEBEG</b:ConferenceName>
    <b:City>İzmir</b:City>
    <b:Publisher>INTERNATIONAL JOURNAL OF eBUSINESS AND eGOVERNMENT STUDIES</b:Publisher>
    <b:Pages>33-42</b:Pages>
    <b:RefOrder>23</b:RefOrder>
  </b:Source>
</b:Sources>
</file>

<file path=customXml/itemProps1.xml><?xml version="1.0" encoding="utf-8"?>
<ds:datastoreItem xmlns:ds="http://schemas.openxmlformats.org/officeDocument/2006/customXml" ds:itemID="{43AC2F97-E85F-4B61-819D-9A775A034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9458</Words>
  <Characters>53916</Characters>
  <Application>Microsoft Office Word</Application>
  <DocSecurity>0</DocSecurity>
  <Lines>449</Lines>
  <Paragraphs>126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gozde</dc:creator>
  <cp:lastModifiedBy>can aydin</cp:lastModifiedBy>
  <cp:revision>4</cp:revision>
  <cp:lastPrinted>2016-11-08T14:16:00Z</cp:lastPrinted>
  <dcterms:created xsi:type="dcterms:W3CDTF">2017-08-01T11:29:00Z</dcterms:created>
  <dcterms:modified xsi:type="dcterms:W3CDTF">2017-08-01T12:39:00Z</dcterms:modified>
</cp:coreProperties>
</file>