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BE" w:rsidRPr="00400461" w:rsidRDefault="00E439CA" w:rsidP="007D0208">
      <w:pPr>
        <w:tabs>
          <w:tab w:val="left" w:pos="6096"/>
        </w:tabs>
        <w:spacing w:before="240" w:after="240" w:line="240" w:lineRule="auto"/>
        <w:jc w:val="center"/>
        <w:rPr>
          <w:b/>
          <w:bCs/>
          <w:sz w:val="28"/>
          <w:szCs w:val="28"/>
        </w:rPr>
      </w:pPr>
      <w:r w:rsidRPr="00400461">
        <w:rPr>
          <w:b/>
          <w:bCs/>
          <w:sz w:val="28"/>
          <w:szCs w:val="28"/>
        </w:rPr>
        <w:t>AİHM</w:t>
      </w:r>
      <w:r w:rsidR="00114825" w:rsidRPr="00400461">
        <w:rPr>
          <w:b/>
          <w:bCs/>
          <w:sz w:val="28"/>
          <w:szCs w:val="28"/>
        </w:rPr>
        <w:t xml:space="preserve"> KARAR</w:t>
      </w:r>
      <w:bookmarkStart w:id="0" w:name="_GoBack"/>
      <w:bookmarkEnd w:id="0"/>
      <w:r w:rsidR="00114825" w:rsidRPr="00400461">
        <w:rPr>
          <w:b/>
          <w:bCs/>
          <w:sz w:val="28"/>
          <w:szCs w:val="28"/>
        </w:rPr>
        <w:t xml:space="preserve">LARI </w:t>
      </w:r>
      <w:r w:rsidRPr="00400461">
        <w:rPr>
          <w:b/>
          <w:bCs/>
          <w:sz w:val="28"/>
          <w:szCs w:val="28"/>
        </w:rPr>
        <w:t xml:space="preserve">ÇERÇEVESİNDE KİTLELERİN İSTİHBARAT MAKSATLI </w:t>
      </w:r>
      <w:r w:rsidR="006113C8" w:rsidRPr="00400461">
        <w:rPr>
          <w:b/>
          <w:bCs/>
          <w:sz w:val="28"/>
          <w:szCs w:val="28"/>
        </w:rPr>
        <w:t>GÖZETİMİ</w:t>
      </w:r>
      <w:r w:rsidR="00BF382F">
        <w:rPr>
          <w:rStyle w:val="DipnotBavurusu"/>
          <w:b/>
          <w:bCs/>
          <w:sz w:val="28"/>
          <w:szCs w:val="28"/>
        </w:rPr>
        <w:footnoteReference w:customMarkFollows="1" w:id="1"/>
        <w:t>*</w:t>
      </w:r>
    </w:p>
    <w:p w:rsidR="001430D6" w:rsidRPr="005A59D8" w:rsidRDefault="001430D6" w:rsidP="001742FD">
      <w:pPr>
        <w:spacing w:before="240" w:after="240" w:line="240" w:lineRule="auto"/>
        <w:jc w:val="center"/>
        <w:rPr>
          <w:bCs/>
          <w:sz w:val="24"/>
          <w:szCs w:val="24"/>
        </w:rPr>
      </w:pPr>
      <w:r w:rsidRPr="005A59D8">
        <w:rPr>
          <w:bCs/>
          <w:sz w:val="24"/>
          <w:szCs w:val="24"/>
        </w:rPr>
        <w:t>Emre GÜZEY</w:t>
      </w:r>
      <w:r w:rsidR="00BF382F">
        <w:rPr>
          <w:rStyle w:val="DipnotBavurusu"/>
          <w:bCs/>
          <w:sz w:val="24"/>
          <w:szCs w:val="24"/>
        </w:rPr>
        <w:footnoteReference w:id="2"/>
      </w:r>
    </w:p>
    <w:p w:rsidR="004152DD" w:rsidRPr="005F583B" w:rsidRDefault="004152DD" w:rsidP="001742FD">
      <w:pPr>
        <w:spacing w:before="240" w:after="240" w:line="240" w:lineRule="auto"/>
        <w:jc w:val="center"/>
        <w:rPr>
          <w:b/>
          <w:bCs/>
          <w:sz w:val="24"/>
          <w:szCs w:val="24"/>
        </w:rPr>
      </w:pPr>
      <w:r w:rsidRPr="005F583B">
        <w:rPr>
          <w:b/>
          <w:bCs/>
          <w:sz w:val="24"/>
          <w:szCs w:val="24"/>
        </w:rPr>
        <w:t>Ö</w:t>
      </w:r>
      <w:r w:rsidR="00400461">
        <w:rPr>
          <w:b/>
          <w:bCs/>
          <w:sz w:val="24"/>
          <w:szCs w:val="24"/>
        </w:rPr>
        <w:t>z</w:t>
      </w:r>
    </w:p>
    <w:p w:rsidR="00C13720" w:rsidRPr="00B077CC" w:rsidRDefault="00D75F30" w:rsidP="001742FD">
      <w:pPr>
        <w:spacing w:before="240" w:after="240" w:line="240" w:lineRule="auto"/>
        <w:ind w:firstLine="708"/>
        <w:jc w:val="both"/>
        <w:rPr>
          <w:i/>
          <w:iCs/>
          <w:sz w:val="18"/>
          <w:szCs w:val="18"/>
        </w:rPr>
      </w:pPr>
      <w:r w:rsidRPr="00B077CC">
        <w:rPr>
          <w:i/>
          <w:iCs/>
          <w:sz w:val="18"/>
          <w:szCs w:val="18"/>
        </w:rPr>
        <w:t>İnternet</w:t>
      </w:r>
      <w:r w:rsidR="00114825" w:rsidRPr="00B077CC">
        <w:rPr>
          <w:i/>
          <w:iCs/>
          <w:sz w:val="18"/>
          <w:szCs w:val="18"/>
        </w:rPr>
        <w:t>in</w:t>
      </w:r>
      <w:r w:rsidRPr="00B077CC">
        <w:rPr>
          <w:i/>
          <w:iCs/>
          <w:sz w:val="18"/>
          <w:szCs w:val="18"/>
        </w:rPr>
        <w:t xml:space="preserve"> ve mobil teknolojilerin </w:t>
      </w:r>
      <w:r w:rsidR="00C13720" w:rsidRPr="00B077CC">
        <w:rPr>
          <w:i/>
          <w:iCs/>
          <w:sz w:val="18"/>
          <w:szCs w:val="18"/>
        </w:rPr>
        <w:t>yaygınlaşması, kitle gözetim kavramını ve hukuki niteliğini</w:t>
      </w:r>
      <w:r w:rsidR="00D57140">
        <w:rPr>
          <w:i/>
          <w:iCs/>
          <w:sz w:val="18"/>
          <w:szCs w:val="18"/>
        </w:rPr>
        <w:t>,</w:t>
      </w:r>
      <w:r w:rsidR="00C13720" w:rsidRPr="00B077CC">
        <w:rPr>
          <w:i/>
          <w:iCs/>
          <w:sz w:val="18"/>
          <w:szCs w:val="18"/>
        </w:rPr>
        <w:t xml:space="preserve"> </w:t>
      </w:r>
      <w:r w:rsidR="00D57140" w:rsidRPr="00B077CC">
        <w:rPr>
          <w:i/>
          <w:iCs/>
          <w:sz w:val="18"/>
          <w:szCs w:val="18"/>
        </w:rPr>
        <w:t xml:space="preserve">pek çok disiplinden araştırmacı için </w:t>
      </w:r>
      <w:r w:rsidR="00C13720" w:rsidRPr="00B077CC">
        <w:rPr>
          <w:i/>
          <w:iCs/>
          <w:sz w:val="18"/>
          <w:szCs w:val="18"/>
        </w:rPr>
        <w:t>daha ilgi çekici bir konu haline getirmiştir</w:t>
      </w:r>
      <w:r w:rsidR="00F91035" w:rsidRPr="00B077CC">
        <w:rPr>
          <w:i/>
          <w:iCs/>
          <w:sz w:val="18"/>
          <w:szCs w:val="18"/>
        </w:rPr>
        <w:t>.</w:t>
      </w:r>
      <w:r w:rsidR="00E30FB7" w:rsidRPr="00B077CC">
        <w:rPr>
          <w:i/>
          <w:iCs/>
          <w:sz w:val="18"/>
          <w:szCs w:val="18"/>
        </w:rPr>
        <w:t xml:space="preserve"> Ulusal ve uluslararası güvenliğin sağlanabilmesi maksadıyla teknolojik vasıtaları kullanan istihbarat örgütleri, bu yöntemler ile özel hayatın en mahrem yerlerine kadar girebilmektedirler. </w:t>
      </w:r>
      <w:bookmarkStart w:id="1" w:name="_Hlk57364252"/>
      <w:r w:rsidR="00E30FB7" w:rsidRPr="00B077CC">
        <w:rPr>
          <w:i/>
          <w:iCs/>
          <w:sz w:val="18"/>
          <w:szCs w:val="18"/>
        </w:rPr>
        <w:t xml:space="preserve">Özellikle internet ağının </w:t>
      </w:r>
      <w:r w:rsidR="00483107" w:rsidRPr="00B077CC">
        <w:rPr>
          <w:i/>
          <w:iCs/>
          <w:sz w:val="18"/>
          <w:szCs w:val="18"/>
        </w:rPr>
        <w:t>topyekûn</w:t>
      </w:r>
      <w:r w:rsidR="00E30FB7" w:rsidRPr="00B077CC">
        <w:rPr>
          <w:i/>
          <w:iCs/>
          <w:sz w:val="18"/>
          <w:szCs w:val="18"/>
        </w:rPr>
        <w:t xml:space="preserve"> izlenmesine </w:t>
      </w:r>
      <w:r w:rsidR="00483107" w:rsidRPr="00B077CC">
        <w:rPr>
          <w:i/>
          <w:iCs/>
          <w:sz w:val="18"/>
          <w:szCs w:val="18"/>
        </w:rPr>
        <w:t>imkân</w:t>
      </w:r>
      <w:r w:rsidR="00E30FB7" w:rsidRPr="00B077CC">
        <w:rPr>
          <w:i/>
          <w:iCs/>
          <w:sz w:val="18"/>
          <w:szCs w:val="18"/>
        </w:rPr>
        <w:t xml:space="preserve"> veren toplu gözetim metotları, kişilerin özel hayatlarına </w:t>
      </w:r>
      <w:r w:rsidR="00E660A7">
        <w:rPr>
          <w:i/>
          <w:iCs/>
          <w:sz w:val="18"/>
          <w:szCs w:val="18"/>
        </w:rPr>
        <w:t xml:space="preserve">dair </w:t>
      </w:r>
      <w:r w:rsidR="00E30FB7" w:rsidRPr="00B077CC">
        <w:rPr>
          <w:i/>
          <w:iCs/>
          <w:sz w:val="18"/>
          <w:szCs w:val="18"/>
        </w:rPr>
        <w:t>her türlü bilgiye ulaşma i</w:t>
      </w:r>
      <w:r w:rsidR="004D1E58">
        <w:rPr>
          <w:i/>
          <w:iCs/>
          <w:sz w:val="18"/>
          <w:szCs w:val="18"/>
        </w:rPr>
        <w:t>mkâ</w:t>
      </w:r>
      <w:r w:rsidR="00E30FB7" w:rsidRPr="00B077CC">
        <w:rPr>
          <w:i/>
          <w:iCs/>
          <w:sz w:val="18"/>
          <w:szCs w:val="18"/>
        </w:rPr>
        <w:t>n</w:t>
      </w:r>
      <w:r w:rsidR="00114825" w:rsidRPr="00B077CC">
        <w:rPr>
          <w:i/>
          <w:iCs/>
          <w:sz w:val="18"/>
          <w:szCs w:val="18"/>
        </w:rPr>
        <w:t>ına</w:t>
      </w:r>
      <w:r w:rsidR="00E30FB7" w:rsidRPr="00B077CC">
        <w:rPr>
          <w:i/>
          <w:iCs/>
          <w:sz w:val="18"/>
          <w:szCs w:val="18"/>
        </w:rPr>
        <w:t xml:space="preserve"> sahiptir. </w:t>
      </w:r>
      <w:r w:rsidR="00F91035" w:rsidRPr="00B077CC">
        <w:rPr>
          <w:i/>
          <w:iCs/>
          <w:sz w:val="18"/>
          <w:szCs w:val="18"/>
        </w:rPr>
        <w:t>Bu makale</w:t>
      </w:r>
      <w:r w:rsidR="00483107" w:rsidRPr="00B077CC">
        <w:rPr>
          <w:i/>
          <w:iCs/>
          <w:sz w:val="18"/>
          <w:szCs w:val="18"/>
        </w:rPr>
        <w:t>nin amacı</w:t>
      </w:r>
      <w:r w:rsidR="00D57140">
        <w:rPr>
          <w:i/>
          <w:iCs/>
          <w:sz w:val="18"/>
          <w:szCs w:val="18"/>
        </w:rPr>
        <w:t>,</w:t>
      </w:r>
      <w:r w:rsidR="00483107" w:rsidRPr="00B077CC">
        <w:rPr>
          <w:i/>
          <w:iCs/>
          <w:sz w:val="18"/>
          <w:szCs w:val="18"/>
        </w:rPr>
        <w:t xml:space="preserve"> </w:t>
      </w:r>
      <w:r w:rsidR="00C13720" w:rsidRPr="00B077CC">
        <w:rPr>
          <w:i/>
          <w:iCs/>
          <w:sz w:val="18"/>
          <w:szCs w:val="18"/>
        </w:rPr>
        <w:t>incelenecek mahkeme kararları kapsamında hukuka uygun bir kitle gözetim sistemin özelliklerini ortaya çıkarma</w:t>
      </w:r>
      <w:r w:rsidR="00F91035" w:rsidRPr="00B077CC">
        <w:rPr>
          <w:i/>
          <w:iCs/>
          <w:sz w:val="18"/>
          <w:szCs w:val="18"/>
        </w:rPr>
        <w:t xml:space="preserve">k </w:t>
      </w:r>
      <w:r w:rsidR="00483107" w:rsidRPr="00B077CC">
        <w:rPr>
          <w:i/>
          <w:iCs/>
          <w:sz w:val="18"/>
          <w:szCs w:val="18"/>
        </w:rPr>
        <w:t>olarak ifade edilebilir</w:t>
      </w:r>
      <w:r w:rsidR="00C13720" w:rsidRPr="00B077CC">
        <w:rPr>
          <w:i/>
          <w:iCs/>
          <w:sz w:val="18"/>
          <w:szCs w:val="18"/>
        </w:rPr>
        <w:t>. Bu kapsamda çalışmada</w:t>
      </w:r>
      <w:r w:rsidR="00483107" w:rsidRPr="00B077CC">
        <w:rPr>
          <w:i/>
          <w:iCs/>
          <w:sz w:val="18"/>
          <w:szCs w:val="18"/>
        </w:rPr>
        <w:t xml:space="preserve"> öncelikle</w:t>
      </w:r>
      <w:r w:rsidR="00C13720" w:rsidRPr="00B077CC">
        <w:rPr>
          <w:i/>
          <w:iCs/>
          <w:sz w:val="18"/>
          <w:szCs w:val="18"/>
        </w:rPr>
        <w:t>, özel hayatın gizliliğine saygı hakkı, kitle gözetim, gizli gözetim tedbirleri, sinyal istihbaratı gibi kavramlar incelen</w:t>
      </w:r>
      <w:r w:rsidR="00F91035" w:rsidRPr="00B077CC">
        <w:rPr>
          <w:i/>
          <w:iCs/>
          <w:sz w:val="18"/>
          <w:szCs w:val="18"/>
        </w:rPr>
        <w:t>miş</w:t>
      </w:r>
      <w:r w:rsidR="00C13720" w:rsidRPr="00B077CC">
        <w:rPr>
          <w:i/>
          <w:iCs/>
          <w:sz w:val="18"/>
          <w:szCs w:val="18"/>
        </w:rPr>
        <w:t>,</w:t>
      </w:r>
      <w:r w:rsidR="00CF2936" w:rsidRPr="00B077CC">
        <w:rPr>
          <w:i/>
          <w:iCs/>
          <w:sz w:val="18"/>
          <w:szCs w:val="18"/>
        </w:rPr>
        <w:t xml:space="preserve"> özellikle gizli gözetim tedbirleri içerisinde değerlendirilen kitle gözetimi farklı kılan noktalar belirtilmeye çalışıl</w:t>
      </w:r>
      <w:r w:rsidR="00F91035" w:rsidRPr="00B077CC">
        <w:rPr>
          <w:i/>
          <w:iCs/>
          <w:sz w:val="18"/>
          <w:szCs w:val="18"/>
        </w:rPr>
        <w:t>mıştır</w:t>
      </w:r>
      <w:r w:rsidR="00CF2936" w:rsidRPr="00B077CC">
        <w:rPr>
          <w:i/>
          <w:iCs/>
          <w:sz w:val="18"/>
          <w:szCs w:val="18"/>
        </w:rPr>
        <w:t>.</w:t>
      </w:r>
      <w:r w:rsidR="00C13720" w:rsidRPr="00B077CC">
        <w:rPr>
          <w:i/>
          <w:iCs/>
          <w:sz w:val="18"/>
          <w:szCs w:val="18"/>
        </w:rPr>
        <w:t xml:space="preserve"> </w:t>
      </w:r>
      <w:bookmarkEnd w:id="1"/>
      <w:r w:rsidR="00F91035" w:rsidRPr="00B077CC">
        <w:rPr>
          <w:i/>
          <w:iCs/>
          <w:sz w:val="18"/>
          <w:szCs w:val="18"/>
        </w:rPr>
        <w:t xml:space="preserve">Müteakiben </w:t>
      </w:r>
      <w:r w:rsidR="001C456A" w:rsidRPr="00B077CC">
        <w:rPr>
          <w:i/>
          <w:iCs/>
          <w:sz w:val="18"/>
          <w:szCs w:val="18"/>
        </w:rPr>
        <w:t>g</w:t>
      </w:r>
      <w:r w:rsidR="00C13720" w:rsidRPr="00B077CC">
        <w:rPr>
          <w:i/>
          <w:iCs/>
          <w:sz w:val="18"/>
          <w:szCs w:val="18"/>
        </w:rPr>
        <w:t>izli gözet</w:t>
      </w:r>
      <w:r w:rsidR="001C456A" w:rsidRPr="00B077CC">
        <w:rPr>
          <w:i/>
          <w:iCs/>
          <w:sz w:val="18"/>
          <w:szCs w:val="18"/>
        </w:rPr>
        <w:t>im</w:t>
      </w:r>
      <w:r w:rsidR="00C13720" w:rsidRPr="00B077CC">
        <w:rPr>
          <w:i/>
          <w:iCs/>
          <w:sz w:val="18"/>
          <w:szCs w:val="18"/>
        </w:rPr>
        <w:t xml:space="preserve"> yöntemlerine ilişkin AİHM </w:t>
      </w:r>
      <w:r w:rsidR="00CF2936" w:rsidRPr="00B077CC">
        <w:rPr>
          <w:i/>
          <w:iCs/>
          <w:sz w:val="18"/>
          <w:szCs w:val="18"/>
        </w:rPr>
        <w:t>kararlar</w:t>
      </w:r>
      <w:r w:rsidR="001C456A" w:rsidRPr="00B077CC">
        <w:rPr>
          <w:i/>
          <w:iCs/>
          <w:sz w:val="18"/>
          <w:szCs w:val="18"/>
        </w:rPr>
        <w:t>ı</w:t>
      </w:r>
      <w:r w:rsidR="00CF2936" w:rsidRPr="00B077CC">
        <w:rPr>
          <w:i/>
          <w:iCs/>
          <w:sz w:val="18"/>
          <w:szCs w:val="18"/>
        </w:rPr>
        <w:t xml:space="preserve"> incelenerek ortak noktalar ve içtihat oluşum süreci gözlemlenmeye çalış</w:t>
      </w:r>
      <w:r w:rsidR="00F91035" w:rsidRPr="00B077CC">
        <w:rPr>
          <w:i/>
          <w:iCs/>
          <w:sz w:val="18"/>
          <w:szCs w:val="18"/>
        </w:rPr>
        <w:t>ılmıştır</w:t>
      </w:r>
      <w:r w:rsidR="00CF2936" w:rsidRPr="00B077CC">
        <w:rPr>
          <w:i/>
          <w:iCs/>
          <w:sz w:val="18"/>
          <w:szCs w:val="18"/>
        </w:rPr>
        <w:t xml:space="preserve">. </w:t>
      </w:r>
      <w:r w:rsidR="00C13720" w:rsidRPr="00B077CC">
        <w:rPr>
          <w:i/>
          <w:iCs/>
          <w:sz w:val="18"/>
          <w:szCs w:val="18"/>
        </w:rPr>
        <w:t xml:space="preserve">Son olarak </w:t>
      </w:r>
      <w:r w:rsidR="00323484" w:rsidRPr="00B077CC">
        <w:rPr>
          <w:i/>
          <w:iCs/>
          <w:sz w:val="18"/>
          <w:szCs w:val="18"/>
        </w:rPr>
        <w:t>“</w:t>
      </w:r>
      <w:r w:rsidR="004D1E58">
        <w:rPr>
          <w:i/>
          <w:iCs/>
          <w:sz w:val="18"/>
          <w:szCs w:val="18"/>
        </w:rPr>
        <w:t>Snowden O</w:t>
      </w:r>
      <w:r w:rsidR="00C13720" w:rsidRPr="00B077CC">
        <w:rPr>
          <w:i/>
          <w:iCs/>
          <w:sz w:val="18"/>
          <w:szCs w:val="18"/>
        </w:rPr>
        <w:t>layı</w:t>
      </w:r>
      <w:r w:rsidR="00323484" w:rsidRPr="00B077CC">
        <w:rPr>
          <w:i/>
          <w:iCs/>
          <w:sz w:val="18"/>
          <w:szCs w:val="18"/>
        </w:rPr>
        <w:t>”</w:t>
      </w:r>
      <w:r w:rsidR="00C13720" w:rsidRPr="00B077CC">
        <w:rPr>
          <w:i/>
          <w:iCs/>
          <w:sz w:val="18"/>
          <w:szCs w:val="18"/>
        </w:rPr>
        <w:t xml:space="preserve"> ve olayı konu edinen, </w:t>
      </w:r>
      <w:r w:rsidR="00323484" w:rsidRPr="00B077CC">
        <w:rPr>
          <w:i/>
          <w:iCs/>
          <w:sz w:val="18"/>
          <w:szCs w:val="18"/>
        </w:rPr>
        <w:t>“B</w:t>
      </w:r>
      <w:r w:rsidR="00C13720" w:rsidRPr="00B077CC">
        <w:rPr>
          <w:i/>
          <w:iCs/>
          <w:sz w:val="18"/>
          <w:szCs w:val="18"/>
        </w:rPr>
        <w:t>ig Brother Watch ve Diğerleri/Birleşik Krallık</w:t>
      </w:r>
      <w:r w:rsidR="00323484" w:rsidRPr="00B077CC">
        <w:rPr>
          <w:i/>
          <w:iCs/>
          <w:sz w:val="18"/>
          <w:szCs w:val="18"/>
        </w:rPr>
        <w:t>”</w:t>
      </w:r>
      <w:r w:rsidR="00C13720" w:rsidRPr="00B077CC">
        <w:rPr>
          <w:i/>
          <w:iCs/>
          <w:sz w:val="18"/>
          <w:szCs w:val="18"/>
        </w:rPr>
        <w:t xml:space="preserve"> </w:t>
      </w:r>
      <w:r w:rsidR="00114825" w:rsidRPr="00B077CC">
        <w:rPr>
          <w:i/>
          <w:iCs/>
          <w:sz w:val="18"/>
          <w:szCs w:val="18"/>
        </w:rPr>
        <w:t>AİHM</w:t>
      </w:r>
      <w:r w:rsidR="00CF2936" w:rsidRPr="00B077CC">
        <w:rPr>
          <w:i/>
          <w:iCs/>
          <w:sz w:val="18"/>
          <w:szCs w:val="18"/>
        </w:rPr>
        <w:t xml:space="preserve"> </w:t>
      </w:r>
      <w:r w:rsidR="00114825" w:rsidRPr="00B077CC">
        <w:rPr>
          <w:i/>
          <w:iCs/>
          <w:sz w:val="18"/>
          <w:szCs w:val="18"/>
        </w:rPr>
        <w:t>k</w:t>
      </w:r>
      <w:r w:rsidR="00C13720" w:rsidRPr="00B077CC">
        <w:rPr>
          <w:i/>
          <w:iCs/>
          <w:sz w:val="18"/>
          <w:szCs w:val="18"/>
        </w:rPr>
        <w:t>ararı özetlen</w:t>
      </w:r>
      <w:r w:rsidR="00F91035" w:rsidRPr="00B077CC">
        <w:rPr>
          <w:i/>
          <w:iCs/>
          <w:sz w:val="18"/>
          <w:szCs w:val="18"/>
        </w:rPr>
        <w:t>miş</w:t>
      </w:r>
      <w:r w:rsidR="00C13720" w:rsidRPr="00B077CC">
        <w:rPr>
          <w:i/>
          <w:iCs/>
          <w:sz w:val="18"/>
          <w:szCs w:val="18"/>
        </w:rPr>
        <w:t xml:space="preserve"> ve konu bu bağlamda tartışıl</w:t>
      </w:r>
      <w:r w:rsidR="00F91035" w:rsidRPr="00B077CC">
        <w:rPr>
          <w:i/>
          <w:iCs/>
          <w:sz w:val="18"/>
          <w:szCs w:val="18"/>
        </w:rPr>
        <w:t>mıştır.</w:t>
      </w:r>
    </w:p>
    <w:p w:rsidR="006D7FA7" w:rsidRPr="00B077CC" w:rsidRDefault="006D7FA7" w:rsidP="0045427E">
      <w:pPr>
        <w:spacing w:before="120" w:after="120" w:line="240" w:lineRule="auto"/>
        <w:jc w:val="both"/>
        <w:rPr>
          <w:i/>
          <w:iCs/>
          <w:sz w:val="18"/>
          <w:szCs w:val="18"/>
        </w:rPr>
      </w:pPr>
      <w:r w:rsidRPr="00B077CC">
        <w:rPr>
          <w:b/>
          <w:bCs/>
          <w:i/>
          <w:iCs/>
          <w:sz w:val="18"/>
          <w:szCs w:val="18"/>
        </w:rPr>
        <w:t>Makalenin Türü:</w:t>
      </w:r>
      <w:r w:rsidRPr="00B077CC">
        <w:rPr>
          <w:i/>
          <w:iCs/>
          <w:sz w:val="18"/>
          <w:szCs w:val="18"/>
        </w:rPr>
        <w:t xml:space="preserve"> Araştırma Makalesi</w:t>
      </w:r>
    </w:p>
    <w:p w:rsidR="006D7FA7" w:rsidRPr="00B077CC" w:rsidRDefault="006D7FA7" w:rsidP="0045427E">
      <w:pPr>
        <w:spacing w:before="120" w:after="120" w:line="240" w:lineRule="auto"/>
        <w:jc w:val="both"/>
        <w:rPr>
          <w:i/>
          <w:iCs/>
          <w:sz w:val="18"/>
          <w:szCs w:val="18"/>
        </w:rPr>
      </w:pPr>
      <w:r w:rsidRPr="00B077CC">
        <w:rPr>
          <w:b/>
          <w:bCs/>
          <w:i/>
          <w:iCs/>
          <w:sz w:val="18"/>
          <w:szCs w:val="18"/>
        </w:rPr>
        <w:t xml:space="preserve">Anahtar Kelimeler: </w:t>
      </w:r>
      <w:r w:rsidRPr="00B077CC">
        <w:rPr>
          <w:i/>
          <w:iCs/>
          <w:sz w:val="18"/>
          <w:szCs w:val="18"/>
        </w:rPr>
        <w:t xml:space="preserve">AİHM, Özel Hayatın Gizliliği, Big Brother Watch ve Diğerleri /Birleşik Krallık, Kitle Gözetim, Gizli Gözetim </w:t>
      </w:r>
    </w:p>
    <w:p w:rsidR="00984C5F" w:rsidRPr="00B077CC" w:rsidRDefault="006D7FA7" w:rsidP="0045427E">
      <w:pPr>
        <w:spacing w:before="120" w:after="120" w:line="240" w:lineRule="auto"/>
        <w:jc w:val="both"/>
        <w:rPr>
          <w:i/>
          <w:iCs/>
          <w:sz w:val="18"/>
          <w:szCs w:val="18"/>
        </w:rPr>
      </w:pPr>
      <w:r w:rsidRPr="00B077CC">
        <w:rPr>
          <w:b/>
          <w:bCs/>
          <w:i/>
          <w:iCs/>
          <w:sz w:val="18"/>
          <w:szCs w:val="18"/>
        </w:rPr>
        <w:t>JEL Kodları</w:t>
      </w:r>
      <w:r w:rsidRPr="00B077CC">
        <w:rPr>
          <w:i/>
          <w:iCs/>
          <w:sz w:val="18"/>
          <w:szCs w:val="18"/>
        </w:rPr>
        <w:t xml:space="preserve">: </w:t>
      </w:r>
      <w:r w:rsidR="00DE3289" w:rsidRPr="00B077CC">
        <w:rPr>
          <w:i/>
          <w:iCs/>
          <w:sz w:val="18"/>
          <w:szCs w:val="18"/>
        </w:rPr>
        <w:t>K10</w:t>
      </w:r>
      <w:r w:rsidRPr="00B077CC">
        <w:rPr>
          <w:i/>
          <w:iCs/>
          <w:sz w:val="18"/>
          <w:szCs w:val="18"/>
        </w:rPr>
        <w:t xml:space="preserve">,F52 </w:t>
      </w:r>
    </w:p>
    <w:p w:rsidR="008B7299" w:rsidRPr="006611BE" w:rsidRDefault="006D7FA7" w:rsidP="0045427E">
      <w:pPr>
        <w:pStyle w:val="Gvde"/>
        <w:spacing w:before="120" w:after="120" w:line="240" w:lineRule="auto"/>
        <w:jc w:val="both"/>
        <w:rPr>
          <w:rFonts w:cs="Times New Roman"/>
          <w:i/>
          <w:iCs/>
          <w:sz w:val="18"/>
          <w:szCs w:val="18"/>
        </w:rPr>
      </w:pPr>
      <w:r w:rsidRPr="00B077CC">
        <w:rPr>
          <w:b/>
          <w:bCs/>
          <w:i/>
          <w:iCs/>
          <w:sz w:val="18"/>
          <w:szCs w:val="18"/>
        </w:rPr>
        <w:t>Yazarın Notu:</w:t>
      </w:r>
      <w:r w:rsidRPr="00B077CC">
        <w:rPr>
          <w:i/>
          <w:iCs/>
          <w:sz w:val="18"/>
          <w:szCs w:val="18"/>
        </w:rPr>
        <w:t xml:space="preserve"> Bu çalışma bilimsel araştırma ve etik kurallarına uygun olarak hazırlanmıştır. Bu çalışmada etik kurul izni veya yasal/özel izin gerektirecek bir içerik bulunmamaktadır. Çalışma ile ilgili herhangi bir çıkar çatışmasının bulunmadığı </w:t>
      </w:r>
      <w:r w:rsidR="008B7299">
        <w:rPr>
          <w:rFonts w:cs="Times New Roman"/>
          <w:i/>
          <w:iCs/>
          <w:sz w:val="18"/>
          <w:szCs w:val="18"/>
        </w:rPr>
        <w:t>SAVSAD Savunma ve Savaş Araştırmaları Dergisine yazar imzası ile beyan edilmiştir.</w:t>
      </w:r>
      <w:r w:rsidR="008B7299" w:rsidRPr="00CE7FF0">
        <w:rPr>
          <w:i/>
          <w:iCs/>
          <w:sz w:val="18"/>
          <w:szCs w:val="18"/>
        </w:rPr>
        <w:t xml:space="preserve"> </w:t>
      </w:r>
    </w:p>
    <w:p w:rsidR="00CA5A10" w:rsidRPr="00CA5A10" w:rsidRDefault="0045427E" w:rsidP="0045427E">
      <w:pPr>
        <w:spacing w:before="240" w:after="240" w:line="240" w:lineRule="auto"/>
        <w:jc w:val="center"/>
        <w:rPr>
          <w:b/>
          <w:bCs/>
          <w:sz w:val="24"/>
          <w:szCs w:val="24"/>
        </w:rPr>
      </w:pPr>
      <w:bookmarkStart w:id="2" w:name="_Hlk56251381"/>
      <w:r w:rsidRPr="00CA5A10">
        <w:rPr>
          <w:b/>
          <w:bCs/>
          <w:sz w:val="24"/>
          <w:szCs w:val="24"/>
        </w:rPr>
        <w:t>Mass Surve</w:t>
      </w:r>
      <w:r>
        <w:rPr>
          <w:b/>
          <w:bCs/>
          <w:sz w:val="24"/>
          <w:szCs w:val="24"/>
        </w:rPr>
        <w:t>i</w:t>
      </w:r>
      <w:r w:rsidRPr="00CA5A10">
        <w:rPr>
          <w:b/>
          <w:bCs/>
          <w:sz w:val="24"/>
          <w:szCs w:val="24"/>
        </w:rPr>
        <w:t xml:space="preserve">llance </w:t>
      </w:r>
      <w:r>
        <w:rPr>
          <w:b/>
          <w:bCs/>
          <w:sz w:val="24"/>
          <w:szCs w:val="24"/>
        </w:rPr>
        <w:t>i</w:t>
      </w:r>
      <w:r w:rsidRPr="00CA5A10">
        <w:rPr>
          <w:b/>
          <w:bCs/>
          <w:sz w:val="24"/>
          <w:szCs w:val="24"/>
        </w:rPr>
        <w:t xml:space="preserve">n </w:t>
      </w:r>
      <w:r>
        <w:rPr>
          <w:b/>
          <w:bCs/>
          <w:sz w:val="24"/>
          <w:szCs w:val="24"/>
        </w:rPr>
        <w:t>t</w:t>
      </w:r>
      <w:r w:rsidRPr="00CA5A10">
        <w:rPr>
          <w:b/>
          <w:bCs/>
          <w:sz w:val="24"/>
          <w:szCs w:val="24"/>
        </w:rPr>
        <w:t xml:space="preserve">he Framework </w:t>
      </w:r>
      <w:r>
        <w:rPr>
          <w:b/>
          <w:bCs/>
          <w:sz w:val="24"/>
          <w:szCs w:val="24"/>
        </w:rPr>
        <w:t>o</w:t>
      </w:r>
      <w:r w:rsidR="00D57140">
        <w:rPr>
          <w:b/>
          <w:bCs/>
          <w:sz w:val="24"/>
          <w:szCs w:val="24"/>
        </w:rPr>
        <w:t>f t</w:t>
      </w:r>
      <w:r w:rsidRPr="00CA5A10">
        <w:rPr>
          <w:b/>
          <w:bCs/>
          <w:sz w:val="24"/>
          <w:szCs w:val="24"/>
        </w:rPr>
        <w:t>he ECHR Judg</w:t>
      </w:r>
      <w:r>
        <w:rPr>
          <w:b/>
          <w:bCs/>
          <w:sz w:val="24"/>
          <w:szCs w:val="24"/>
        </w:rPr>
        <w:t>e</w:t>
      </w:r>
      <w:r w:rsidRPr="00CA5A10">
        <w:rPr>
          <w:b/>
          <w:bCs/>
          <w:sz w:val="24"/>
          <w:szCs w:val="24"/>
        </w:rPr>
        <w:t>ments</w:t>
      </w:r>
    </w:p>
    <w:bookmarkEnd w:id="2"/>
    <w:p w:rsidR="004152DD" w:rsidRPr="005F583B" w:rsidRDefault="0045427E" w:rsidP="0045427E">
      <w:pPr>
        <w:spacing w:before="240" w:after="240" w:line="240" w:lineRule="auto"/>
        <w:jc w:val="center"/>
        <w:rPr>
          <w:b/>
          <w:bCs/>
          <w:sz w:val="24"/>
          <w:szCs w:val="24"/>
        </w:rPr>
      </w:pPr>
      <w:r w:rsidRPr="005F583B">
        <w:rPr>
          <w:b/>
          <w:bCs/>
          <w:sz w:val="24"/>
          <w:szCs w:val="24"/>
        </w:rPr>
        <w:t>Abstract</w:t>
      </w:r>
    </w:p>
    <w:p w:rsidR="001648E4" w:rsidRPr="00D479A0" w:rsidRDefault="001648E4" w:rsidP="0045427E">
      <w:pPr>
        <w:spacing w:before="240" w:after="240" w:line="240" w:lineRule="auto"/>
        <w:ind w:firstLine="708"/>
        <w:jc w:val="both"/>
        <w:rPr>
          <w:i/>
          <w:iCs/>
          <w:sz w:val="18"/>
          <w:szCs w:val="18"/>
          <w:lang w:val="en-US"/>
        </w:rPr>
      </w:pPr>
      <w:r w:rsidRPr="00D479A0">
        <w:rPr>
          <w:i/>
          <w:iCs/>
          <w:sz w:val="18"/>
          <w:szCs w:val="18"/>
          <w:lang w:val="en-US"/>
        </w:rPr>
        <w:t xml:space="preserve">The spread of internet access and mobile technologies has made the concept of mass surveillance and its legal nature </w:t>
      </w:r>
      <w:r w:rsidR="00F01193" w:rsidRPr="00D479A0">
        <w:rPr>
          <w:i/>
          <w:iCs/>
          <w:sz w:val="18"/>
          <w:szCs w:val="18"/>
          <w:lang w:val="en-US"/>
        </w:rPr>
        <w:t>an</w:t>
      </w:r>
      <w:r w:rsidRPr="00D479A0">
        <w:rPr>
          <w:i/>
          <w:iCs/>
          <w:sz w:val="18"/>
          <w:szCs w:val="18"/>
          <w:lang w:val="en-US"/>
        </w:rPr>
        <w:t xml:space="preserve"> interesting </w:t>
      </w:r>
      <w:r w:rsidR="00F01193" w:rsidRPr="00D479A0">
        <w:rPr>
          <w:i/>
          <w:iCs/>
          <w:sz w:val="18"/>
          <w:szCs w:val="18"/>
          <w:lang w:val="en-US"/>
        </w:rPr>
        <w:t xml:space="preserve">subject </w:t>
      </w:r>
      <w:r w:rsidRPr="00D479A0">
        <w:rPr>
          <w:i/>
          <w:iCs/>
          <w:sz w:val="18"/>
          <w:szCs w:val="18"/>
          <w:lang w:val="en-US"/>
        </w:rPr>
        <w:t>for researchers from many disciplines.</w:t>
      </w:r>
      <w:r w:rsidR="00483107" w:rsidRPr="00D479A0">
        <w:rPr>
          <w:i/>
          <w:iCs/>
          <w:sz w:val="18"/>
          <w:szCs w:val="18"/>
          <w:lang w:val="en-US"/>
        </w:rPr>
        <w:t xml:space="preserve"> Intelligence </w:t>
      </w:r>
      <w:r w:rsidR="00114825" w:rsidRPr="00D479A0">
        <w:rPr>
          <w:i/>
          <w:iCs/>
          <w:sz w:val="18"/>
          <w:szCs w:val="18"/>
          <w:lang w:val="en-US"/>
        </w:rPr>
        <w:t>agencies</w:t>
      </w:r>
      <w:r w:rsidR="00483107" w:rsidRPr="00D479A0">
        <w:rPr>
          <w:i/>
          <w:iCs/>
          <w:sz w:val="18"/>
          <w:szCs w:val="18"/>
          <w:lang w:val="en-US"/>
        </w:rPr>
        <w:t xml:space="preserve"> that use technological means to ensure national and international security </w:t>
      </w:r>
      <w:r w:rsidR="00114825" w:rsidRPr="00D479A0">
        <w:rPr>
          <w:i/>
          <w:iCs/>
          <w:sz w:val="18"/>
          <w:szCs w:val="18"/>
          <w:lang w:val="en-US"/>
        </w:rPr>
        <w:t>could</w:t>
      </w:r>
      <w:r w:rsidR="00483107" w:rsidRPr="00D479A0">
        <w:rPr>
          <w:i/>
          <w:iCs/>
          <w:sz w:val="18"/>
          <w:szCs w:val="18"/>
          <w:lang w:val="en-US"/>
        </w:rPr>
        <w:t xml:space="preserve"> </w:t>
      </w:r>
      <w:r w:rsidR="00114825" w:rsidRPr="00D479A0">
        <w:rPr>
          <w:i/>
          <w:iCs/>
          <w:sz w:val="18"/>
          <w:szCs w:val="18"/>
          <w:lang w:val="en-US"/>
        </w:rPr>
        <w:t>touch</w:t>
      </w:r>
      <w:r w:rsidR="00483107" w:rsidRPr="00D479A0">
        <w:rPr>
          <w:i/>
          <w:iCs/>
          <w:sz w:val="18"/>
          <w:szCs w:val="18"/>
          <w:lang w:val="en-US"/>
        </w:rPr>
        <w:t xml:space="preserve"> the most intimate places of private life with these </w:t>
      </w:r>
      <w:r w:rsidR="00F01193" w:rsidRPr="00D479A0">
        <w:rPr>
          <w:i/>
          <w:iCs/>
          <w:sz w:val="18"/>
          <w:szCs w:val="18"/>
          <w:lang w:val="en-US"/>
        </w:rPr>
        <w:t>means</w:t>
      </w:r>
      <w:r w:rsidR="00483107" w:rsidRPr="00D479A0">
        <w:rPr>
          <w:i/>
          <w:iCs/>
          <w:sz w:val="18"/>
          <w:szCs w:val="18"/>
          <w:lang w:val="en-US"/>
        </w:rPr>
        <w:t>.</w:t>
      </w:r>
      <w:r w:rsidRPr="00D479A0">
        <w:rPr>
          <w:i/>
          <w:iCs/>
          <w:sz w:val="18"/>
          <w:szCs w:val="18"/>
          <w:lang w:val="en-US"/>
        </w:rPr>
        <w:t xml:space="preserve"> In this article, it is aimed to reveal the features of a legal mass surveillance system in accordance with the court decisions examined. In this context, concepts such as the right to respect for privacy, mass surveillance, secret </w:t>
      </w:r>
      <w:r w:rsidRPr="00D479A0">
        <w:rPr>
          <w:i/>
          <w:iCs/>
          <w:sz w:val="18"/>
          <w:szCs w:val="18"/>
          <w:lang w:val="en-US"/>
        </w:rPr>
        <w:lastRenderedPageBreak/>
        <w:t>surveillance measures, and signal intelligence are examined, and the points that</w:t>
      </w:r>
      <w:r w:rsidRPr="00D479A0">
        <w:rPr>
          <w:i/>
          <w:iCs/>
          <w:sz w:val="24"/>
          <w:szCs w:val="24"/>
          <w:lang w:val="en-US"/>
        </w:rPr>
        <w:t xml:space="preserve"> </w:t>
      </w:r>
      <w:r w:rsidRPr="00D479A0">
        <w:rPr>
          <w:i/>
          <w:iCs/>
          <w:sz w:val="18"/>
          <w:szCs w:val="18"/>
          <w:lang w:val="en-US"/>
        </w:rPr>
        <w:t>differentiate mass</w:t>
      </w:r>
      <w:r w:rsidRPr="00D479A0">
        <w:rPr>
          <w:i/>
          <w:iCs/>
          <w:sz w:val="24"/>
          <w:szCs w:val="24"/>
          <w:lang w:val="en-US"/>
        </w:rPr>
        <w:t xml:space="preserve"> </w:t>
      </w:r>
      <w:r w:rsidRPr="00D479A0">
        <w:rPr>
          <w:i/>
          <w:iCs/>
          <w:sz w:val="18"/>
          <w:szCs w:val="18"/>
          <w:lang w:val="en-US"/>
        </w:rPr>
        <w:t>surveillance amongst the secret surveillance measures are tried to be identified</w:t>
      </w:r>
      <w:r w:rsidR="00F01193" w:rsidRPr="00D479A0">
        <w:rPr>
          <w:i/>
          <w:iCs/>
          <w:sz w:val="18"/>
          <w:szCs w:val="18"/>
          <w:lang w:val="en-US"/>
        </w:rPr>
        <w:t xml:space="preserve"> in this study</w:t>
      </w:r>
      <w:r w:rsidRPr="00D479A0">
        <w:rPr>
          <w:i/>
          <w:iCs/>
          <w:sz w:val="18"/>
          <w:szCs w:val="18"/>
          <w:lang w:val="en-US"/>
        </w:rPr>
        <w:t>. Subsequently, the ECHR judgments regarding the methods of covert surveillance are examined and an attempt is made to observe the common points and the case-</w:t>
      </w:r>
      <w:r w:rsidR="00FF6930" w:rsidRPr="00D479A0">
        <w:rPr>
          <w:i/>
          <w:iCs/>
          <w:sz w:val="18"/>
          <w:szCs w:val="18"/>
          <w:lang w:val="en-US"/>
        </w:rPr>
        <w:t xml:space="preserve">law formation process. Finally, </w:t>
      </w:r>
      <w:r w:rsidRPr="00D479A0">
        <w:rPr>
          <w:i/>
          <w:iCs/>
          <w:sz w:val="18"/>
          <w:szCs w:val="18"/>
          <w:lang w:val="en-US"/>
        </w:rPr>
        <w:t>Snowden revelation and t</w:t>
      </w:r>
      <w:r w:rsidR="0018626D" w:rsidRPr="00D479A0">
        <w:rPr>
          <w:i/>
          <w:iCs/>
          <w:sz w:val="18"/>
          <w:szCs w:val="18"/>
          <w:lang w:val="en-US"/>
        </w:rPr>
        <w:t xml:space="preserve">he </w:t>
      </w:r>
      <w:r w:rsidR="00F01193" w:rsidRPr="00D479A0">
        <w:rPr>
          <w:i/>
          <w:iCs/>
          <w:sz w:val="18"/>
          <w:szCs w:val="18"/>
          <w:lang w:val="en-US"/>
        </w:rPr>
        <w:t>European Court of Human Rights Decision on “</w:t>
      </w:r>
      <w:r w:rsidR="0018626D" w:rsidRPr="00D479A0">
        <w:rPr>
          <w:i/>
          <w:iCs/>
          <w:sz w:val="18"/>
          <w:szCs w:val="18"/>
          <w:lang w:val="en-US"/>
        </w:rPr>
        <w:t>Big Brother Watch and Others</w:t>
      </w:r>
      <w:r w:rsidR="00F01193" w:rsidRPr="00D479A0">
        <w:rPr>
          <w:i/>
          <w:iCs/>
          <w:sz w:val="18"/>
          <w:szCs w:val="18"/>
          <w:lang w:val="en-US"/>
        </w:rPr>
        <w:t>”</w:t>
      </w:r>
      <w:r w:rsidRPr="00D479A0">
        <w:rPr>
          <w:i/>
          <w:iCs/>
          <w:sz w:val="18"/>
          <w:szCs w:val="18"/>
          <w:lang w:val="en-US"/>
        </w:rPr>
        <w:t xml:space="preserve"> are summarized and discussed in this context.</w:t>
      </w:r>
    </w:p>
    <w:p w:rsidR="00CA5A10" w:rsidRPr="00FF6930" w:rsidRDefault="00CA5A10" w:rsidP="00CA5A10">
      <w:pPr>
        <w:spacing w:after="120" w:line="240" w:lineRule="auto"/>
        <w:jc w:val="both"/>
        <w:rPr>
          <w:i/>
          <w:iCs/>
          <w:sz w:val="18"/>
          <w:szCs w:val="18"/>
          <w:lang w:val="en-GB"/>
        </w:rPr>
      </w:pPr>
      <w:r w:rsidRPr="00FF6930">
        <w:rPr>
          <w:b/>
          <w:bCs/>
          <w:i/>
          <w:iCs/>
          <w:sz w:val="18"/>
          <w:szCs w:val="18"/>
          <w:lang w:val="en-GB"/>
        </w:rPr>
        <w:t>Article Type:</w:t>
      </w:r>
      <w:r w:rsidRPr="00FF6930">
        <w:rPr>
          <w:i/>
          <w:iCs/>
          <w:sz w:val="18"/>
          <w:szCs w:val="18"/>
          <w:lang w:val="en-GB"/>
        </w:rPr>
        <w:t xml:space="preserve"> Research article</w:t>
      </w:r>
    </w:p>
    <w:p w:rsidR="00CA5A10" w:rsidRPr="00FF6930" w:rsidRDefault="00CA5A10" w:rsidP="00CA5A10">
      <w:pPr>
        <w:spacing w:after="120" w:line="240" w:lineRule="auto"/>
        <w:jc w:val="both"/>
        <w:rPr>
          <w:i/>
          <w:iCs/>
          <w:sz w:val="18"/>
          <w:szCs w:val="18"/>
          <w:lang w:val="en-GB"/>
        </w:rPr>
      </w:pPr>
      <w:r w:rsidRPr="00FF6930">
        <w:rPr>
          <w:b/>
          <w:bCs/>
          <w:i/>
          <w:iCs/>
          <w:sz w:val="18"/>
          <w:szCs w:val="18"/>
          <w:lang w:val="en-GB"/>
        </w:rPr>
        <w:t>Keywords:</w:t>
      </w:r>
      <w:r w:rsidRPr="00FF6930">
        <w:rPr>
          <w:i/>
          <w:iCs/>
          <w:sz w:val="18"/>
          <w:szCs w:val="18"/>
          <w:lang w:val="en-GB"/>
        </w:rPr>
        <w:t xml:space="preserve"> ECHR, Privacy of Special Life, Big Brother Watch and </w:t>
      </w:r>
      <w:proofErr w:type="gramStart"/>
      <w:r w:rsidRPr="00FF6930">
        <w:rPr>
          <w:i/>
          <w:iCs/>
          <w:sz w:val="18"/>
          <w:szCs w:val="18"/>
          <w:lang w:val="en-GB"/>
        </w:rPr>
        <w:t>The</w:t>
      </w:r>
      <w:proofErr w:type="gramEnd"/>
      <w:r w:rsidRPr="00FF6930">
        <w:rPr>
          <w:i/>
          <w:iCs/>
          <w:sz w:val="18"/>
          <w:szCs w:val="18"/>
          <w:lang w:val="en-GB"/>
        </w:rPr>
        <w:t xml:space="preserve"> Others/United Kingdom, Mass Surveillance, Secret Surveillance</w:t>
      </w:r>
    </w:p>
    <w:p w:rsidR="00CA5A10" w:rsidRPr="00FF6930" w:rsidRDefault="00CA5A10" w:rsidP="009D5E1A">
      <w:pPr>
        <w:spacing w:before="120" w:after="120" w:line="240" w:lineRule="auto"/>
        <w:jc w:val="both"/>
        <w:rPr>
          <w:i/>
          <w:iCs/>
          <w:sz w:val="18"/>
          <w:szCs w:val="18"/>
          <w:lang w:val="en-GB"/>
        </w:rPr>
      </w:pPr>
      <w:r w:rsidRPr="00FF6930">
        <w:rPr>
          <w:b/>
          <w:bCs/>
          <w:i/>
          <w:iCs/>
          <w:sz w:val="18"/>
          <w:szCs w:val="18"/>
          <w:lang w:val="en-GB"/>
        </w:rPr>
        <w:t>JEL Codes:</w:t>
      </w:r>
      <w:r w:rsidRPr="00FF6930">
        <w:rPr>
          <w:i/>
          <w:iCs/>
          <w:sz w:val="18"/>
          <w:szCs w:val="18"/>
          <w:lang w:val="en-GB"/>
        </w:rPr>
        <w:t xml:space="preserve"> K10,</w:t>
      </w:r>
      <w:r w:rsidR="002518C9">
        <w:rPr>
          <w:i/>
          <w:iCs/>
          <w:sz w:val="18"/>
          <w:szCs w:val="18"/>
          <w:lang w:val="en-GB"/>
        </w:rPr>
        <w:t xml:space="preserve"> </w:t>
      </w:r>
      <w:r w:rsidRPr="00FF6930">
        <w:rPr>
          <w:i/>
          <w:iCs/>
          <w:sz w:val="18"/>
          <w:szCs w:val="18"/>
          <w:lang w:val="en-GB"/>
        </w:rPr>
        <w:t>F52</w:t>
      </w:r>
    </w:p>
    <w:p w:rsidR="00CA5A10" w:rsidRPr="00FF6930" w:rsidRDefault="00CA5A10" w:rsidP="009D5E1A">
      <w:pPr>
        <w:spacing w:before="120" w:after="120" w:line="240" w:lineRule="auto"/>
        <w:jc w:val="both"/>
        <w:rPr>
          <w:i/>
          <w:iCs/>
          <w:sz w:val="18"/>
          <w:szCs w:val="18"/>
          <w:lang w:val="en-GB"/>
        </w:rPr>
      </w:pPr>
      <w:r w:rsidRPr="00FF6930">
        <w:rPr>
          <w:b/>
          <w:bCs/>
          <w:i/>
          <w:iCs/>
          <w:sz w:val="18"/>
          <w:szCs w:val="18"/>
          <w:lang w:val="en-GB"/>
        </w:rPr>
        <w:t>Author’s Note:</w:t>
      </w:r>
      <w:r w:rsidRPr="00FF6930">
        <w:rPr>
          <w:i/>
          <w:iCs/>
          <w:sz w:val="18"/>
          <w:szCs w:val="18"/>
          <w:lang w:val="en-GB"/>
        </w:rPr>
        <w:t xml:space="preserve"> This study was prepared in compliance with the scientific search and publication ethics. There is no content necessitating any permission from Ethical Board or any legal/special permission in this study. I, as the author of the article, signed my declaration certifying that there was no conflict of interest within the article preparation process.</w:t>
      </w:r>
    </w:p>
    <w:p w:rsidR="004152DD" w:rsidRPr="005F583B" w:rsidRDefault="00B87786" w:rsidP="009D5E1A">
      <w:pPr>
        <w:spacing w:before="240" w:after="240" w:line="240" w:lineRule="auto"/>
        <w:ind w:firstLine="708"/>
        <w:jc w:val="center"/>
        <w:rPr>
          <w:b/>
          <w:bCs/>
          <w:sz w:val="24"/>
          <w:szCs w:val="24"/>
        </w:rPr>
      </w:pPr>
      <w:r w:rsidRPr="005F583B">
        <w:rPr>
          <w:b/>
          <w:bCs/>
          <w:sz w:val="24"/>
          <w:szCs w:val="24"/>
        </w:rPr>
        <w:t>GİRİŞ</w:t>
      </w:r>
    </w:p>
    <w:p w:rsidR="002768FD" w:rsidRDefault="002768FD" w:rsidP="00400461">
      <w:pPr>
        <w:spacing w:after="120" w:line="240" w:lineRule="auto"/>
        <w:ind w:firstLine="708"/>
        <w:jc w:val="both"/>
        <w:rPr>
          <w:sz w:val="24"/>
          <w:szCs w:val="24"/>
        </w:rPr>
      </w:pPr>
      <w:r w:rsidRPr="005F583B">
        <w:rPr>
          <w:sz w:val="24"/>
          <w:szCs w:val="24"/>
        </w:rPr>
        <w:t>Bilgi teknolojilerindeki gelişme, sosyal medyanın insan hayatında kapsamlı bir yer elde etmeye başlaması ve mobil cihazların imkân ve kabiliyetinin artması istihbarat örgütlerine, internet ağın</w:t>
      </w:r>
      <w:r w:rsidR="00323484" w:rsidRPr="005F583B">
        <w:rPr>
          <w:sz w:val="24"/>
          <w:szCs w:val="24"/>
        </w:rPr>
        <w:t>ı</w:t>
      </w:r>
      <w:r w:rsidRPr="005F583B">
        <w:rPr>
          <w:sz w:val="24"/>
          <w:szCs w:val="24"/>
        </w:rPr>
        <w:t xml:space="preserve"> izlemesi yoluyla birtakım temel hak ve hürriyetlere kolayca müdahale edebilme </w:t>
      </w:r>
      <w:r w:rsidR="00D75F30" w:rsidRPr="005F583B">
        <w:rPr>
          <w:sz w:val="24"/>
          <w:szCs w:val="24"/>
        </w:rPr>
        <w:t>imkânı</w:t>
      </w:r>
      <w:r w:rsidRPr="005F583B">
        <w:rPr>
          <w:sz w:val="24"/>
          <w:szCs w:val="24"/>
        </w:rPr>
        <w:t xml:space="preserve"> sağlamıştır. Bu bağlamda yapılan müdahalelerin hukuki niteliği insan hakları hukuku, ceza hukuku gibi disiplinlerin yanında </w:t>
      </w:r>
      <w:r w:rsidR="001A4478" w:rsidRPr="005F583B">
        <w:rPr>
          <w:sz w:val="24"/>
          <w:szCs w:val="24"/>
        </w:rPr>
        <w:t>g</w:t>
      </w:r>
      <w:r w:rsidRPr="005F583B">
        <w:rPr>
          <w:sz w:val="24"/>
          <w:szCs w:val="24"/>
        </w:rPr>
        <w:t xml:space="preserve">üvenlik, </w:t>
      </w:r>
      <w:r w:rsidR="001A4478" w:rsidRPr="005F583B">
        <w:rPr>
          <w:sz w:val="24"/>
          <w:szCs w:val="24"/>
        </w:rPr>
        <w:t>i</w:t>
      </w:r>
      <w:r w:rsidRPr="005F583B">
        <w:rPr>
          <w:sz w:val="24"/>
          <w:szCs w:val="24"/>
        </w:rPr>
        <w:t xml:space="preserve">stihbarat </w:t>
      </w:r>
      <w:r w:rsidR="001A4478" w:rsidRPr="005F583B">
        <w:rPr>
          <w:sz w:val="24"/>
          <w:szCs w:val="24"/>
        </w:rPr>
        <w:t>ç</w:t>
      </w:r>
      <w:r w:rsidRPr="005F583B">
        <w:rPr>
          <w:sz w:val="24"/>
          <w:szCs w:val="24"/>
        </w:rPr>
        <w:t>alışmaları gibi alanlarda yapılan araştırmalara da gün geçtikçe daha fazla konu olmaktadır. Avrupa İnsan Hakları Mahkemesi</w:t>
      </w:r>
      <w:r w:rsidR="00190384">
        <w:rPr>
          <w:sz w:val="24"/>
          <w:szCs w:val="24"/>
        </w:rPr>
        <w:t>nin</w:t>
      </w:r>
      <w:r w:rsidRPr="005F583B">
        <w:rPr>
          <w:sz w:val="24"/>
          <w:szCs w:val="24"/>
        </w:rPr>
        <w:t xml:space="preserve"> (AİHM) </w:t>
      </w:r>
      <w:r w:rsidR="00DE7421" w:rsidRPr="005F583B">
        <w:rPr>
          <w:sz w:val="24"/>
          <w:szCs w:val="24"/>
        </w:rPr>
        <w:t>4</w:t>
      </w:r>
      <w:r w:rsidRPr="005F583B">
        <w:rPr>
          <w:sz w:val="24"/>
          <w:szCs w:val="24"/>
        </w:rPr>
        <w:t xml:space="preserve"> </w:t>
      </w:r>
      <w:r w:rsidR="00DE7421" w:rsidRPr="005F583B">
        <w:rPr>
          <w:sz w:val="24"/>
          <w:szCs w:val="24"/>
        </w:rPr>
        <w:t xml:space="preserve">Şubat </w:t>
      </w:r>
      <w:r w:rsidRPr="005F583B">
        <w:rPr>
          <w:sz w:val="24"/>
          <w:szCs w:val="24"/>
        </w:rPr>
        <w:t>201</w:t>
      </w:r>
      <w:r w:rsidR="00DE7421" w:rsidRPr="005F583B">
        <w:rPr>
          <w:sz w:val="24"/>
          <w:szCs w:val="24"/>
        </w:rPr>
        <w:t>9</w:t>
      </w:r>
      <w:r w:rsidRPr="005F583B">
        <w:rPr>
          <w:sz w:val="24"/>
          <w:szCs w:val="24"/>
        </w:rPr>
        <w:t xml:space="preserve"> tarihinde vermiş olduğu Big Brother</w:t>
      </w:r>
      <w:r w:rsidR="00941301" w:rsidRPr="005F583B">
        <w:rPr>
          <w:sz w:val="24"/>
          <w:szCs w:val="24"/>
        </w:rPr>
        <w:t xml:space="preserve"> </w:t>
      </w:r>
      <w:r w:rsidRPr="005F583B">
        <w:rPr>
          <w:sz w:val="24"/>
          <w:szCs w:val="24"/>
        </w:rPr>
        <w:t>Watch ve Diğerleri/Birleşik Krallık</w:t>
      </w:r>
      <w:r w:rsidR="00FE0595">
        <w:rPr>
          <w:sz w:val="24"/>
          <w:szCs w:val="24"/>
        </w:rPr>
        <w:t xml:space="preserve"> (AİHM, 2019)</w:t>
      </w:r>
      <w:r w:rsidR="007A3E3D" w:rsidRPr="005F583B">
        <w:rPr>
          <w:sz w:val="24"/>
          <w:szCs w:val="24"/>
        </w:rPr>
        <w:t xml:space="preserve"> kararı</w:t>
      </w:r>
      <w:r w:rsidRPr="005F583B">
        <w:rPr>
          <w:sz w:val="24"/>
          <w:szCs w:val="24"/>
        </w:rPr>
        <w:t xml:space="preserve"> </w:t>
      </w:r>
      <w:r w:rsidR="00DE7421" w:rsidRPr="005F583B">
        <w:rPr>
          <w:sz w:val="24"/>
          <w:szCs w:val="24"/>
        </w:rPr>
        <w:t xml:space="preserve">da güncel niteliği </w:t>
      </w:r>
      <w:r w:rsidR="007A3E3D" w:rsidRPr="005F583B">
        <w:rPr>
          <w:sz w:val="24"/>
          <w:szCs w:val="24"/>
        </w:rPr>
        <w:t xml:space="preserve">ve istihbarat birimleri tarafından uygulanan </w:t>
      </w:r>
      <w:r w:rsidR="00DE7421" w:rsidRPr="005F583B">
        <w:rPr>
          <w:sz w:val="24"/>
          <w:szCs w:val="24"/>
        </w:rPr>
        <w:t xml:space="preserve">kitle gözetime ilişkin </w:t>
      </w:r>
      <w:r w:rsidR="007A3E3D" w:rsidRPr="005F583B">
        <w:rPr>
          <w:sz w:val="24"/>
          <w:szCs w:val="24"/>
        </w:rPr>
        <w:t xml:space="preserve">önemli kriterleri öne çıkarması </w:t>
      </w:r>
      <w:r w:rsidR="00941301" w:rsidRPr="005F583B">
        <w:rPr>
          <w:sz w:val="24"/>
          <w:szCs w:val="24"/>
        </w:rPr>
        <w:t>bakımından dikkat</w:t>
      </w:r>
      <w:r w:rsidR="007A3E3D" w:rsidRPr="005F583B">
        <w:rPr>
          <w:sz w:val="24"/>
          <w:szCs w:val="24"/>
        </w:rPr>
        <w:t xml:space="preserve"> çekici bir karar olarak </w:t>
      </w:r>
      <w:r w:rsidR="001C456A" w:rsidRPr="005F583B">
        <w:rPr>
          <w:sz w:val="24"/>
          <w:szCs w:val="24"/>
        </w:rPr>
        <w:t>değerlendirilebilir</w:t>
      </w:r>
      <w:r w:rsidR="007A3E3D" w:rsidRPr="005F583B">
        <w:rPr>
          <w:sz w:val="24"/>
          <w:szCs w:val="24"/>
        </w:rPr>
        <w:t>.</w:t>
      </w:r>
    </w:p>
    <w:p w:rsidR="0010233E" w:rsidRDefault="0010233E" w:rsidP="009D5E1A">
      <w:pPr>
        <w:spacing w:before="240" w:after="240" w:line="240" w:lineRule="auto"/>
        <w:ind w:firstLine="709"/>
        <w:jc w:val="both"/>
        <w:rPr>
          <w:b/>
          <w:bCs/>
          <w:sz w:val="24"/>
          <w:szCs w:val="24"/>
        </w:rPr>
      </w:pPr>
      <w:r>
        <w:rPr>
          <w:sz w:val="24"/>
          <w:szCs w:val="24"/>
        </w:rPr>
        <w:t xml:space="preserve">Çalışmada, AİHM’nin 1970’li yıllardan itibaren istihbarat faaliyetleri ve gizli gözetim yöntemlerine ilişkin vermiş olduğu kararlar takip edilerek, çalışmanın esas konusunu teşkil eden </w:t>
      </w:r>
      <w:r w:rsidR="00E006F5">
        <w:rPr>
          <w:sz w:val="24"/>
          <w:szCs w:val="24"/>
        </w:rPr>
        <w:t xml:space="preserve">internet ağının </w:t>
      </w:r>
      <w:r w:rsidR="006E352A">
        <w:rPr>
          <w:sz w:val="24"/>
          <w:szCs w:val="24"/>
        </w:rPr>
        <w:t>topyekûn</w:t>
      </w:r>
      <w:r w:rsidR="00E006F5">
        <w:rPr>
          <w:sz w:val="24"/>
          <w:szCs w:val="24"/>
        </w:rPr>
        <w:t xml:space="preserve"> izlenmesinin hukukiliğine ilişkin tespitlere ulaşmak amaçlanmaktadır. </w:t>
      </w:r>
      <w:r w:rsidR="00786472">
        <w:rPr>
          <w:sz w:val="24"/>
          <w:szCs w:val="24"/>
        </w:rPr>
        <w:t>Temel olarak, mahkemenin gizli gözetim</w:t>
      </w:r>
      <w:r w:rsidR="000768EB">
        <w:rPr>
          <w:sz w:val="24"/>
          <w:szCs w:val="24"/>
        </w:rPr>
        <w:t xml:space="preserve"> ve</w:t>
      </w:r>
      <w:r w:rsidR="00786472">
        <w:rPr>
          <w:sz w:val="24"/>
          <w:szCs w:val="24"/>
        </w:rPr>
        <w:t xml:space="preserve"> teknik araçlar vasıtasıyla istihbarat toplanmasına ilişkin vermiş olduğu kararlardaki birtakım tespitlerin toplu gözetimi konu alan uyuşmazlıklar için geçerli olabileceği varsayılmaktadır. </w:t>
      </w:r>
      <w:r w:rsidR="00E006F5">
        <w:rPr>
          <w:sz w:val="24"/>
          <w:szCs w:val="24"/>
        </w:rPr>
        <w:t>Kavramsal çerçeve içerisinde söz konusu faaliyetlerin temas ettiği özel hayatın gizl</w:t>
      </w:r>
      <w:r w:rsidR="00980DC1">
        <w:rPr>
          <w:sz w:val="24"/>
          <w:szCs w:val="24"/>
        </w:rPr>
        <w:t>iliği ve korunmasına değinilmeyi</w:t>
      </w:r>
      <w:r w:rsidR="00E006F5">
        <w:rPr>
          <w:sz w:val="24"/>
          <w:szCs w:val="24"/>
        </w:rPr>
        <w:t xml:space="preserve"> müteakip, </w:t>
      </w:r>
      <w:r w:rsidR="006E352A">
        <w:rPr>
          <w:sz w:val="24"/>
          <w:szCs w:val="24"/>
        </w:rPr>
        <w:t>toplu</w:t>
      </w:r>
      <w:r w:rsidR="00E006F5">
        <w:rPr>
          <w:sz w:val="24"/>
          <w:szCs w:val="24"/>
        </w:rPr>
        <w:t xml:space="preserve"> gözetim kavramına </w:t>
      </w:r>
      <w:r w:rsidR="00786472">
        <w:rPr>
          <w:sz w:val="24"/>
          <w:szCs w:val="24"/>
        </w:rPr>
        <w:t>odaklanılmış</w:t>
      </w:r>
      <w:r w:rsidR="00E006F5">
        <w:rPr>
          <w:sz w:val="24"/>
          <w:szCs w:val="24"/>
        </w:rPr>
        <w:t xml:space="preserve">, özellikle bu faaliyetin diğer gizli gözetim faaliyetlerinden ayrılan özelliklerine dikkat çekilmeye çalışılmıştır. Son olarak gizli gözetim faaliyetine ilişkin mahkemenin vermiş olduğu </w:t>
      </w:r>
      <w:r w:rsidR="00E006F5" w:rsidRPr="005F583B">
        <w:rPr>
          <w:sz w:val="24"/>
          <w:szCs w:val="24"/>
        </w:rPr>
        <w:t>Big Brother Watch ve Diğerleri/Birleşik Krallık</w:t>
      </w:r>
      <w:r w:rsidR="00E006F5">
        <w:rPr>
          <w:sz w:val="24"/>
          <w:szCs w:val="24"/>
        </w:rPr>
        <w:t xml:space="preserve"> kararı incelenerek, </w:t>
      </w:r>
      <w:r w:rsidR="00E006F5">
        <w:rPr>
          <w:sz w:val="24"/>
          <w:szCs w:val="24"/>
        </w:rPr>
        <w:lastRenderedPageBreak/>
        <w:t>mahkemenin konuya ilişkin bakış açısı ortaya konmaya gayret edilecektir. Son 10 yılda sosyal medyanın</w:t>
      </w:r>
      <w:r w:rsidR="006E352A">
        <w:rPr>
          <w:sz w:val="24"/>
          <w:szCs w:val="24"/>
        </w:rPr>
        <w:t xml:space="preserve"> kullanımının</w:t>
      </w:r>
      <w:r w:rsidR="00E006F5">
        <w:rPr>
          <w:sz w:val="24"/>
          <w:szCs w:val="24"/>
        </w:rPr>
        <w:t xml:space="preserve"> yaygınlaşması, </w:t>
      </w:r>
      <w:r w:rsidR="006E352A">
        <w:rPr>
          <w:sz w:val="24"/>
          <w:szCs w:val="24"/>
        </w:rPr>
        <w:t xml:space="preserve">mobil teknolojilerinin hayatımızın her anına temas etmesinin yanında, kişisel verilerin ve özel hayatın mahremiyetinin korunmasına ilişkin hassasiyetin artması birlikte değerlendirildiğinde, kitle gözetime ilişkin istihbarat faaliyetlerinin ulusal ve yerel mahkemelerde çok daha sık bir şekilde uyuşmazlık konusu olacağı tahmin edilmektedir. </w:t>
      </w:r>
    </w:p>
    <w:p w:rsidR="00B2785F" w:rsidRPr="00B2785F" w:rsidRDefault="00B2785F" w:rsidP="009D5E1A">
      <w:pPr>
        <w:spacing w:before="240" w:after="240" w:line="240" w:lineRule="auto"/>
        <w:ind w:firstLine="709"/>
        <w:jc w:val="center"/>
        <w:rPr>
          <w:b/>
          <w:bCs/>
          <w:sz w:val="24"/>
          <w:szCs w:val="24"/>
        </w:rPr>
      </w:pPr>
      <w:r w:rsidRPr="00B2785F">
        <w:rPr>
          <w:b/>
          <w:bCs/>
          <w:sz w:val="24"/>
          <w:szCs w:val="24"/>
        </w:rPr>
        <w:t>K</w:t>
      </w:r>
      <w:r w:rsidR="00E660A7">
        <w:rPr>
          <w:b/>
          <w:bCs/>
          <w:sz w:val="24"/>
          <w:szCs w:val="24"/>
        </w:rPr>
        <w:t>av</w:t>
      </w:r>
      <w:r w:rsidRPr="00B2785F">
        <w:rPr>
          <w:b/>
          <w:bCs/>
          <w:sz w:val="24"/>
          <w:szCs w:val="24"/>
        </w:rPr>
        <w:t>ramsal Çerçeve</w:t>
      </w:r>
    </w:p>
    <w:p w:rsidR="007A3E3D" w:rsidRPr="005F583B" w:rsidRDefault="007A3E3D" w:rsidP="00400461">
      <w:pPr>
        <w:spacing w:after="120" w:line="240" w:lineRule="auto"/>
        <w:ind w:firstLine="708"/>
        <w:jc w:val="both"/>
        <w:rPr>
          <w:sz w:val="24"/>
          <w:szCs w:val="24"/>
        </w:rPr>
      </w:pPr>
      <w:r w:rsidRPr="005F583B">
        <w:rPr>
          <w:sz w:val="24"/>
          <w:szCs w:val="24"/>
        </w:rPr>
        <w:t>İnternet ağının izlenmesinin hukukiliği söz konusu olduğunda kuşkusuz akla ilk gelen kavra</w:t>
      </w:r>
      <w:r w:rsidR="000E13F7" w:rsidRPr="005F583B">
        <w:rPr>
          <w:sz w:val="24"/>
          <w:szCs w:val="24"/>
        </w:rPr>
        <w:t>mlar</w:t>
      </w:r>
      <w:r w:rsidRPr="005F583B">
        <w:rPr>
          <w:sz w:val="24"/>
          <w:szCs w:val="24"/>
        </w:rPr>
        <w:t xml:space="preserve"> özel hayatın gizliliği ve</w:t>
      </w:r>
      <w:r w:rsidR="000E13F7" w:rsidRPr="005F583B">
        <w:rPr>
          <w:sz w:val="24"/>
          <w:szCs w:val="24"/>
        </w:rPr>
        <w:t xml:space="preserve"> haberleşme hürriyeti olmaktadır. Öncelikle bu kavramlara odaklanmak verilen mahkeme kararlarını ve sistematiğini kavramakta büyük oranda yardımcı olacaktır. Literatürde uzlaşı olmamakla </w:t>
      </w:r>
      <w:r w:rsidR="00941301" w:rsidRPr="005F583B">
        <w:rPr>
          <w:sz w:val="24"/>
          <w:szCs w:val="24"/>
        </w:rPr>
        <w:t>beraber özel</w:t>
      </w:r>
      <w:r w:rsidR="000E13F7" w:rsidRPr="005F583B">
        <w:rPr>
          <w:sz w:val="24"/>
          <w:szCs w:val="24"/>
        </w:rPr>
        <w:t xml:space="preserve"> hayat kavramı</w:t>
      </w:r>
      <w:r w:rsidR="00323484" w:rsidRPr="00B35F98">
        <w:rPr>
          <w:sz w:val="24"/>
          <w:szCs w:val="24"/>
        </w:rPr>
        <w:t>:</w:t>
      </w:r>
      <w:r w:rsidR="000E13F7" w:rsidRPr="00B35F98">
        <w:rPr>
          <w:sz w:val="24"/>
          <w:szCs w:val="24"/>
        </w:rPr>
        <w:t xml:space="preserve"> </w:t>
      </w:r>
      <w:r w:rsidR="00323484" w:rsidRPr="00B35F98">
        <w:rPr>
          <w:sz w:val="24"/>
          <w:szCs w:val="24"/>
        </w:rPr>
        <w:t>“B</w:t>
      </w:r>
      <w:r w:rsidR="000E13F7" w:rsidRPr="00B35F98">
        <w:rPr>
          <w:sz w:val="24"/>
          <w:szCs w:val="24"/>
        </w:rPr>
        <w:t>ir kimsenin özel ve mesleki hayatı ile ilgili olup da yabancı gözlerden uzak kalmasını arzuladığı hususlar”</w:t>
      </w:r>
      <w:r w:rsidR="00CD1D42">
        <w:rPr>
          <w:sz w:val="24"/>
          <w:szCs w:val="24"/>
        </w:rPr>
        <w:t xml:space="preserve"> </w:t>
      </w:r>
      <w:r w:rsidR="00743A9D">
        <w:rPr>
          <w:sz w:val="24"/>
          <w:szCs w:val="24"/>
        </w:rPr>
        <w:t>(Akipek,</w:t>
      </w:r>
      <w:r w:rsidR="003F500E">
        <w:rPr>
          <w:sz w:val="24"/>
          <w:szCs w:val="24"/>
        </w:rPr>
        <w:t xml:space="preserve"> Akıntürk, Ateş,</w:t>
      </w:r>
      <w:r w:rsidR="00743A9D">
        <w:rPr>
          <w:sz w:val="24"/>
          <w:szCs w:val="24"/>
        </w:rPr>
        <w:t xml:space="preserve"> 2010:</w:t>
      </w:r>
      <w:r w:rsidR="001954D6">
        <w:rPr>
          <w:sz w:val="24"/>
          <w:szCs w:val="24"/>
        </w:rPr>
        <w:t xml:space="preserve"> </w:t>
      </w:r>
      <w:r w:rsidR="00743A9D">
        <w:rPr>
          <w:sz w:val="24"/>
          <w:szCs w:val="24"/>
        </w:rPr>
        <w:t>390)</w:t>
      </w:r>
      <w:r w:rsidR="000E13F7" w:rsidRPr="00B35F98">
        <w:rPr>
          <w:sz w:val="24"/>
          <w:szCs w:val="24"/>
        </w:rPr>
        <w:t>, “kişinin gizli hayatına d</w:t>
      </w:r>
      <w:r w:rsidR="00CD1D42">
        <w:rPr>
          <w:sz w:val="24"/>
          <w:szCs w:val="24"/>
        </w:rPr>
        <w:t>â</w:t>
      </w:r>
      <w:r w:rsidR="000E13F7" w:rsidRPr="00B35F98">
        <w:rPr>
          <w:sz w:val="24"/>
          <w:szCs w:val="24"/>
        </w:rPr>
        <w:t>hil olmayan fakat ailesi, yakınları ve arkadaşları gibi sıkı ilişkiler içinde bulunduğu sınırlı sayıdaki kişilerle paylaşmak istediği olaylar”</w:t>
      </w:r>
      <w:r w:rsidR="00743A9D">
        <w:rPr>
          <w:sz w:val="24"/>
          <w:szCs w:val="24"/>
        </w:rPr>
        <w:t xml:space="preserve"> (Helvacı, 2012:</w:t>
      </w:r>
      <w:r w:rsidR="001954D6">
        <w:rPr>
          <w:sz w:val="24"/>
          <w:szCs w:val="24"/>
        </w:rPr>
        <w:t xml:space="preserve"> </w:t>
      </w:r>
      <w:r w:rsidR="00743A9D">
        <w:rPr>
          <w:sz w:val="24"/>
          <w:szCs w:val="24"/>
        </w:rPr>
        <w:t>115)</w:t>
      </w:r>
      <w:r w:rsidR="000E13F7" w:rsidRPr="00B35F98">
        <w:rPr>
          <w:sz w:val="24"/>
          <w:szCs w:val="24"/>
        </w:rPr>
        <w:t>, “başkalarınca öğrenilmesi</w:t>
      </w:r>
      <w:r w:rsidR="000E13F7" w:rsidRPr="005F583B">
        <w:rPr>
          <w:i/>
          <w:iCs/>
          <w:sz w:val="24"/>
          <w:szCs w:val="24"/>
        </w:rPr>
        <w:t xml:space="preserve"> </w:t>
      </w:r>
      <w:r w:rsidR="000E13F7" w:rsidRPr="00B35F98">
        <w:rPr>
          <w:sz w:val="24"/>
          <w:szCs w:val="24"/>
        </w:rPr>
        <w:t>istenilmeyen kişiye ait hususlar”</w:t>
      </w:r>
      <w:r w:rsidR="00743A9D">
        <w:rPr>
          <w:sz w:val="24"/>
          <w:szCs w:val="24"/>
        </w:rPr>
        <w:t xml:space="preserve"> (Şen, 1996:</w:t>
      </w:r>
      <w:r w:rsidR="001954D6">
        <w:rPr>
          <w:sz w:val="24"/>
          <w:szCs w:val="24"/>
        </w:rPr>
        <w:t xml:space="preserve"> </w:t>
      </w:r>
      <w:r w:rsidR="00743A9D">
        <w:rPr>
          <w:sz w:val="24"/>
          <w:szCs w:val="24"/>
        </w:rPr>
        <w:t>5-6)</w:t>
      </w:r>
      <w:r w:rsidR="000E13F7" w:rsidRPr="00B35F98">
        <w:rPr>
          <w:sz w:val="24"/>
          <w:szCs w:val="24"/>
        </w:rPr>
        <w:t>,“Kişinin yalnız ve rahat bırakılma hakkına sahip olduğu kendine özgü alanı”</w:t>
      </w:r>
      <w:r w:rsidR="001954D6">
        <w:rPr>
          <w:sz w:val="24"/>
          <w:szCs w:val="24"/>
        </w:rPr>
        <w:t xml:space="preserve"> (Kaboğlu, 2002: </w:t>
      </w:r>
      <w:r w:rsidR="00743A9D">
        <w:rPr>
          <w:sz w:val="24"/>
          <w:szCs w:val="24"/>
        </w:rPr>
        <w:t>291)</w:t>
      </w:r>
      <w:r w:rsidR="00941301" w:rsidRPr="005F583B">
        <w:rPr>
          <w:sz w:val="24"/>
          <w:szCs w:val="24"/>
        </w:rPr>
        <w:t xml:space="preserve"> </w:t>
      </w:r>
      <w:r w:rsidR="00B80DF4" w:rsidRPr="005F583B">
        <w:rPr>
          <w:sz w:val="24"/>
          <w:szCs w:val="24"/>
        </w:rPr>
        <w:t>şeklinde</w:t>
      </w:r>
      <w:r w:rsidR="00941301" w:rsidRPr="005F583B">
        <w:rPr>
          <w:sz w:val="24"/>
          <w:szCs w:val="24"/>
        </w:rPr>
        <w:t xml:space="preserve"> tanımlanmaya çalışılmıştır.</w:t>
      </w:r>
    </w:p>
    <w:p w:rsidR="002768FD" w:rsidRPr="005F583B" w:rsidRDefault="000E4635" w:rsidP="00400461">
      <w:pPr>
        <w:spacing w:after="120" w:line="240" w:lineRule="auto"/>
        <w:ind w:firstLine="708"/>
        <w:jc w:val="both"/>
        <w:rPr>
          <w:sz w:val="24"/>
          <w:szCs w:val="24"/>
        </w:rPr>
      </w:pPr>
      <w:r w:rsidRPr="005F583B">
        <w:rPr>
          <w:sz w:val="24"/>
          <w:szCs w:val="24"/>
        </w:rPr>
        <w:t>Dini metinlerde hatta ilkel kavimlerin uygulamalarında dahi özel hayat kavramının üstü kapalı olarak tanımlandığı ve bu ihtiyacı karşılamak adına uygulamalara yer verildiği görülmektedir. Bununla beraber özel hayata saygı olgusunun bir temel hak olarak ele alınması ve uluslararası hukuk metinlerinde yer alması göreceli olarak daha yenidir</w:t>
      </w:r>
      <w:r w:rsidR="000119DE">
        <w:rPr>
          <w:sz w:val="24"/>
          <w:szCs w:val="24"/>
        </w:rPr>
        <w:t xml:space="preserve"> (</w:t>
      </w:r>
      <w:r w:rsidR="000119DE" w:rsidRPr="000119DE">
        <w:rPr>
          <w:sz w:val="24"/>
          <w:szCs w:val="24"/>
        </w:rPr>
        <w:t>Salihpaşaoğlu</w:t>
      </w:r>
      <w:r w:rsidR="000119DE">
        <w:rPr>
          <w:sz w:val="24"/>
          <w:szCs w:val="24"/>
        </w:rPr>
        <w:t>, 2013</w:t>
      </w:r>
      <w:r w:rsidR="003B23B6">
        <w:rPr>
          <w:sz w:val="24"/>
          <w:szCs w:val="24"/>
        </w:rPr>
        <w:t>: 228-229</w:t>
      </w:r>
      <w:r w:rsidR="000119DE">
        <w:rPr>
          <w:sz w:val="24"/>
          <w:szCs w:val="24"/>
        </w:rPr>
        <w:t xml:space="preserve">). </w:t>
      </w:r>
      <w:r w:rsidR="007F5F57" w:rsidRPr="005F583B">
        <w:rPr>
          <w:sz w:val="24"/>
          <w:szCs w:val="24"/>
        </w:rPr>
        <w:t>İlk ortaya çıktığı süreçte ağırlıklı olarak kişiler arasındaki ihlallerle gündeme gelen kavram</w:t>
      </w:r>
      <w:r w:rsidR="00E660A7">
        <w:rPr>
          <w:sz w:val="24"/>
          <w:szCs w:val="24"/>
        </w:rPr>
        <w:t>,</w:t>
      </w:r>
      <w:r w:rsidR="007F5F57" w:rsidRPr="005F583B">
        <w:rPr>
          <w:sz w:val="24"/>
          <w:szCs w:val="24"/>
        </w:rPr>
        <w:t xml:space="preserve"> özellikle İkinci Dünya Savaşı sonrasında kişilerin özel hayatlarına yapılan devlet müdahalelerine daha fazla odaklanmıştır</w:t>
      </w:r>
      <w:r w:rsidR="000119DE">
        <w:rPr>
          <w:sz w:val="24"/>
          <w:szCs w:val="24"/>
        </w:rPr>
        <w:t xml:space="preserve"> (</w:t>
      </w:r>
      <w:r w:rsidR="000119DE" w:rsidRPr="000119DE">
        <w:rPr>
          <w:sz w:val="24"/>
          <w:szCs w:val="24"/>
        </w:rPr>
        <w:t>Akyürek</w:t>
      </w:r>
      <w:r w:rsidR="00CD1D42">
        <w:rPr>
          <w:sz w:val="24"/>
          <w:szCs w:val="24"/>
        </w:rPr>
        <w:t xml:space="preserve">, </w:t>
      </w:r>
      <w:r w:rsidR="000119DE">
        <w:rPr>
          <w:sz w:val="24"/>
          <w:szCs w:val="24"/>
        </w:rPr>
        <w:t>2013</w:t>
      </w:r>
      <w:r w:rsidR="003B23B6">
        <w:rPr>
          <w:sz w:val="24"/>
          <w:szCs w:val="24"/>
        </w:rPr>
        <w:t>:</w:t>
      </w:r>
      <w:r w:rsidR="000F49CB">
        <w:rPr>
          <w:sz w:val="24"/>
          <w:szCs w:val="24"/>
        </w:rPr>
        <w:t xml:space="preserve"> </w:t>
      </w:r>
      <w:r w:rsidR="003B23B6">
        <w:rPr>
          <w:sz w:val="24"/>
          <w:szCs w:val="24"/>
        </w:rPr>
        <w:t>104-105</w:t>
      </w:r>
      <w:r w:rsidR="000119DE">
        <w:rPr>
          <w:sz w:val="24"/>
          <w:szCs w:val="24"/>
        </w:rPr>
        <w:t>)</w:t>
      </w:r>
      <w:r w:rsidR="007F5F57" w:rsidRPr="005F583B">
        <w:rPr>
          <w:sz w:val="24"/>
          <w:szCs w:val="24"/>
        </w:rPr>
        <w:t>.</w:t>
      </w:r>
      <w:r w:rsidR="00743A9D">
        <w:rPr>
          <w:sz w:val="24"/>
          <w:szCs w:val="24"/>
        </w:rPr>
        <w:t xml:space="preserve"> </w:t>
      </w:r>
      <w:r w:rsidR="000018E3" w:rsidRPr="005F583B">
        <w:rPr>
          <w:sz w:val="24"/>
          <w:szCs w:val="24"/>
        </w:rPr>
        <w:t xml:space="preserve">Bu bağlamda değerlendirdiğimizde, günümüzde sosyal medyanın hayatımıza girmesi, uydu sistemleri ve mobil sistemler </w:t>
      </w:r>
      <w:r w:rsidR="00B80DF4" w:rsidRPr="005F583B">
        <w:rPr>
          <w:sz w:val="24"/>
          <w:szCs w:val="24"/>
        </w:rPr>
        <w:t>vasıtasıyla</w:t>
      </w:r>
      <w:r w:rsidR="000018E3" w:rsidRPr="005F583B">
        <w:rPr>
          <w:sz w:val="24"/>
          <w:szCs w:val="24"/>
        </w:rPr>
        <w:t xml:space="preserve"> bulunduğumuz konumun hızlıca kayıt altına alınabilmesi, ses ve görüntü kayıt sistemlerinin geçmişe oranla çok daha faal bir şekilde kullanılabiliyor olması</w:t>
      </w:r>
      <w:r w:rsidR="008B430D">
        <w:rPr>
          <w:sz w:val="24"/>
          <w:szCs w:val="24"/>
        </w:rPr>
        <w:t>yla</w:t>
      </w:r>
      <w:r w:rsidR="000018E3" w:rsidRPr="005F583B">
        <w:rPr>
          <w:sz w:val="24"/>
          <w:szCs w:val="24"/>
        </w:rPr>
        <w:t>, bireylerin özel hayatlarının</w:t>
      </w:r>
      <w:r w:rsidR="005D1C01">
        <w:rPr>
          <w:sz w:val="24"/>
          <w:szCs w:val="24"/>
        </w:rPr>
        <w:t xml:space="preserve"> da</w:t>
      </w:r>
      <w:r w:rsidR="000018E3" w:rsidRPr="005F583B">
        <w:rPr>
          <w:sz w:val="24"/>
          <w:szCs w:val="24"/>
        </w:rPr>
        <w:t xml:space="preserve"> kolayca müdahale edilebilir hale geldiğini söylemek mümkündür.</w:t>
      </w:r>
    </w:p>
    <w:p w:rsidR="00713F1B" w:rsidRPr="005F583B" w:rsidRDefault="00713F1B" w:rsidP="00400461">
      <w:pPr>
        <w:spacing w:after="120" w:line="240" w:lineRule="auto"/>
        <w:ind w:firstLine="708"/>
        <w:jc w:val="both"/>
        <w:rPr>
          <w:sz w:val="24"/>
          <w:szCs w:val="24"/>
        </w:rPr>
      </w:pPr>
      <w:r w:rsidRPr="005F583B">
        <w:rPr>
          <w:sz w:val="24"/>
          <w:szCs w:val="24"/>
        </w:rPr>
        <w:t xml:space="preserve">Özel hayat kavramının fikri temellerinin yüzyıllar öncesine dayanmasına ve literatürde özel hayatın kavram ve kapsamı üzerine sıkça çalışmalar yapılmış olmasına rağmen, uluslararası metinlerde ve </w:t>
      </w:r>
      <w:r w:rsidR="00BA4C04" w:rsidRPr="005F583B">
        <w:rPr>
          <w:sz w:val="24"/>
          <w:szCs w:val="24"/>
        </w:rPr>
        <w:t>iç</w:t>
      </w:r>
      <w:r w:rsidRPr="005F583B">
        <w:rPr>
          <w:sz w:val="24"/>
          <w:szCs w:val="24"/>
        </w:rPr>
        <w:t xml:space="preserve"> </w:t>
      </w:r>
      <w:r w:rsidRPr="005F583B">
        <w:rPr>
          <w:sz w:val="24"/>
          <w:szCs w:val="24"/>
        </w:rPr>
        <w:lastRenderedPageBreak/>
        <w:t xml:space="preserve">mevzuatta özel hayatın tanımlanmasından kaçınılmıştır. </w:t>
      </w:r>
      <w:r w:rsidR="00B80DF4" w:rsidRPr="005F583B">
        <w:rPr>
          <w:sz w:val="24"/>
          <w:szCs w:val="24"/>
        </w:rPr>
        <w:t>Buna sebep olarak</w:t>
      </w:r>
      <w:r w:rsidRPr="005F583B">
        <w:rPr>
          <w:sz w:val="24"/>
          <w:szCs w:val="24"/>
        </w:rPr>
        <w:t xml:space="preserve"> zamanın</w:t>
      </w:r>
      <w:r w:rsidR="008D175D" w:rsidRPr="005F583B">
        <w:rPr>
          <w:sz w:val="24"/>
          <w:szCs w:val="24"/>
        </w:rPr>
        <w:t xml:space="preserve"> </w:t>
      </w:r>
      <w:r w:rsidRPr="005F583B">
        <w:rPr>
          <w:sz w:val="24"/>
          <w:szCs w:val="24"/>
        </w:rPr>
        <w:t xml:space="preserve">ve oluşan maddi olayın şartlarının </w:t>
      </w:r>
      <w:r w:rsidR="008D175D" w:rsidRPr="005F583B">
        <w:rPr>
          <w:sz w:val="24"/>
          <w:szCs w:val="24"/>
        </w:rPr>
        <w:t>göz önüne alınarak yorumlanmasını kolaylaştırmak olduğu söylenebilir</w:t>
      </w:r>
      <w:r w:rsidR="000119DE">
        <w:rPr>
          <w:sz w:val="24"/>
          <w:szCs w:val="24"/>
        </w:rPr>
        <w:t xml:space="preserve"> </w:t>
      </w:r>
      <w:bookmarkStart w:id="3" w:name="_Hlk56256278"/>
      <w:r w:rsidR="000119DE">
        <w:rPr>
          <w:sz w:val="24"/>
          <w:szCs w:val="24"/>
        </w:rPr>
        <w:t>(</w:t>
      </w:r>
      <w:bookmarkStart w:id="4" w:name="_Hlk56255296"/>
      <w:r w:rsidR="000119DE" w:rsidRPr="000119DE">
        <w:rPr>
          <w:sz w:val="24"/>
          <w:szCs w:val="24"/>
        </w:rPr>
        <w:t>Gözübüyük</w:t>
      </w:r>
      <w:r w:rsidR="000119DE">
        <w:rPr>
          <w:sz w:val="24"/>
          <w:szCs w:val="24"/>
        </w:rPr>
        <w:t xml:space="preserve"> </w:t>
      </w:r>
      <w:r w:rsidR="000119DE" w:rsidRPr="000119DE">
        <w:rPr>
          <w:sz w:val="24"/>
          <w:szCs w:val="24"/>
        </w:rPr>
        <w:t>ve Gölcüklü</w:t>
      </w:r>
      <w:r w:rsidR="000119DE">
        <w:rPr>
          <w:sz w:val="24"/>
          <w:szCs w:val="24"/>
        </w:rPr>
        <w:t>, 2011</w:t>
      </w:r>
      <w:bookmarkEnd w:id="4"/>
      <w:r w:rsidR="003B23B6">
        <w:rPr>
          <w:sz w:val="24"/>
          <w:szCs w:val="24"/>
        </w:rPr>
        <w:t>: 330-331</w:t>
      </w:r>
      <w:r w:rsidR="000119DE">
        <w:rPr>
          <w:sz w:val="24"/>
          <w:szCs w:val="24"/>
        </w:rPr>
        <w:t>)</w:t>
      </w:r>
      <w:bookmarkEnd w:id="3"/>
      <w:r w:rsidR="008D175D" w:rsidRPr="005F583B">
        <w:rPr>
          <w:sz w:val="24"/>
          <w:szCs w:val="24"/>
        </w:rPr>
        <w:t>. Özellikle iletişim sektöründeki hızlı değişim ve gelişimin kişilerin haberleşmelerini müdahaleye açık hale getirmesi özel hayat kavramının zamanın koşullarına göre yorumlanmasını zorunlu hale getirmektedir</w:t>
      </w:r>
      <w:r w:rsidR="000119DE">
        <w:rPr>
          <w:sz w:val="24"/>
          <w:szCs w:val="24"/>
        </w:rPr>
        <w:t xml:space="preserve"> (</w:t>
      </w:r>
      <w:r w:rsidR="000119DE" w:rsidRPr="000119DE">
        <w:rPr>
          <w:sz w:val="24"/>
          <w:szCs w:val="24"/>
        </w:rPr>
        <w:t>Gemalmaz</w:t>
      </w:r>
      <w:r w:rsidR="000119DE">
        <w:rPr>
          <w:sz w:val="24"/>
          <w:szCs w:val="24"/>
        </w:rPr>
        <w:t>, 2012</w:t>
      </w:r>
      <w:r w:rsidR="003B23B6">
        <w:rPr>
          <w:sz w:val="24"/>
          <w:szCs w:val="24"/>
        </w:rPr>
        <w:t>: 483</w:t>
      </w:r>
      <w:r w:rsidR="00B35F98">
        <w:rPr>
          <w:sz w:val="24"/>
          <w:szCs w:val="24"/>
        </w:rPr>
        <w:t>;</w:t>
      </w:r>
      <w:r w:rsidR="003B23B6">
        <w:rPr>
          <w:sz w:val="24"/>
          <w:szCs w:val="24"/>
        </w:rPr>
        <w:t xml:space="preserve"> Sözüer, 1997: 72</w:t>
      </w:r>
      <w:r w:rsidR="000119DE">
        <w:rPr>
          <w:sz w:val="24"/>
          <w:szCs w:val="24"/>
        </w:rPr>
        <w:t>)</w:t>
      </w:r>
      <w:r w:rsidR="008D175D" w:rsidRPr="005F583B">
        <w:rPr>
          <w:sz w:val="24"/>
          <w:szCs w:val="24"/>
        </w:rPr>
        <w:t>.</w:t>
      </w:r>
    </w:p>
    <w:p w:rsidR="00EF0016" w:rsidRPr="005F583B" w:rsidRDefault="001505B1" w:rsidP="00400461">
      <w:pPr>
        <w:spacing w:after="120" w:line="240" w:lineRule="auto"/>
        <w:ind w:firstLine="708"/>
        <w:jc w:val="both"/>
        <w:rPr>
          <w:sz w:val="24"/>
          <w:szCs w:val="24"/>
        </w:rPr>
      </w:pPr>
      <w:r w:rsidRPr="005F583B">
        <w:rPr>
          <w:sz w:val="24"/>
          <w:szCs w:val="24"/>
        </w:rPr>
        <w:t xml:space="preserve">Genellikle </w:t>
      </w:r>
      <w:r w:rsidR="005330D3" w:rsidRPr="005F583B">
        <w:rPr>
          <w:sz w:val="24"/>
          <w:szCs w:val="24"/>
        </w:rPr>
        <w:t>Avrupa İnsan Hakları Sözleşmesi olara</w:t>
      </w:r>
      <w:r w:rsidRPr="005F583B">
        <w:rPr>
          <w:sz w:val="24"/>
          <w:szCs w:val="24"/>
        </w:rPr>
        <w:t>k bilinen “İnsan Haklarının ve Temel Özgürlüklerin Korunmasına İlişkin Avrupa Sözleşmesi</w:t>
      </w:r>
      <w:r w:rsidR="00E660A7">
        <w:rPr>
          <w:sz w:val="24"/>
          <w:szCs w:val="24"/>
        </w:rPr>
        <w:t>nin</w:t>
      </w:r>
      <w:r w:rsidRPr="005F583B">
        <w:rPr>
          <w:sz w:val="24"/>
          <w:szCs w:val="24"/>
        </w:rPr>
        <w:t xml:space="preserve"> (</w:t>
      </w:r>
      <w:bookmarkStart w:id="5" w:name="_Hlk32256206"/>
      <w:r w:rsidRPr="005F583B">
        <w:rPr>
          <w:sz w:val="24"/>
          <w:szCs w:val="24"/>
        </w:rPr>
        <w:t>Convention for the Protection of Human Rights and Fundamental Freedoms</w:t>
      </w:r>
      <w:bookmarkEnd w:id="5"/>
      <w:r w:rsidR="00953A32" w:rsidRPr="005F583B">
        <w:rPr>
          <w:sz w:val="24"/>
          <w:szCs w:val="24"/>
        </w:rPr>
        <w:t>)</w:t>
      </w:r>
      <w:r w:rsidR="00EF0016" w:rsidRPr="005F583B">
        <w:rPr>
          <w:sz w:val="24"/>
          <w:szCs w:val="24"/>
        </w:rPr>
        <w:t xml:space="preserve"> 8’inci maddesi özel hayat kavramını ve sınırlama rejimini düzenlemektedir. 8’inci maddeye göre;</w:t>
      </w:r>
    </w:p>
    <w:p w:rsidR="00EF0016" w:rsidRPr="000119DE" w:rsidRDefault="00EF0016" w:rsidP="008B430D">
      <w:pPr>
        <w:spacing w:after="120" w:line="240" w:lineRule="auto"/>
        <w:ind w:left="1134" w:right="-1"/>
        <w:jc w:val="both"/>
        <w:rPr>
          <w:sz w:val="24"/>
          <w:szCs w:val="24"/>
        </w:rPr>
      </w:pPr>
      <w:r w:rsidRPr="000119DE">
        <w:rPr>
          <w:sz w:val="24"/>
          <w:szCs w:val="24"/>
        </w:rPr>
        <w:t>“1.Herkes özel ve aile hayatına, konutuna ve haberleşmesine saygı gösterilmesi hakkına sahiptir.</w:t>
      </w:r>
    </w:p>
    <w:p w:rsidR="00EF0016" w:rsidRPr="000119DE" w:rsidRDefault="00EF0016" w:rsidP="008B430D">
      <w:pPr>
        <w:spacing w:after="120" w:line="240" w:lineRule="auto"/>
        <w:ind w:left="1134" w:right="-1"/>
        <w:jc w:val="both"/>
        <w:rPr>
          <w:sz w:val="24"/>
          <w:szCs w:val="24"/>
        </w:rPr>
      </w:pPr>
      <w:r w:rsidRPr="000119DE">
        <w:rPr>
          <w:sz w:val="24"/>
          <w:szCs w:val="24"/>
        </w:rPr>
        <w:t xml:space="preserve"> 2.Bu hakkın kullanılmasına b</w:t>
      </w:r>
      <w:r w:rsidR="00CD1D42">
        <w:rPr>
          <w:sz w:val="24"/>
          <w:szCs w:val="24"/>
        </w:rPr>
        <w:t>ir kamu otoritesinin müdahalesi</w:t>
      </w:r>
      <w:r w:rsidRPr="000119DE">
        <w:rPr>
          <w:sz w:val="24"/>
          <w:szCs w:val="24"/>
        </w:rPr>
        <w:t xml:space="preserve"> ancak </w:t>
      </w:r>
      <w:bookmarkStart w:id="6" w:name="_Hlk32269443"/>
      <w:r w:rsidRPr="000119DE">
        <w:rPr>
          <w:sz w:val="24"/>
          <w:szCs w:val="24"/>
        </w:rPr>
        <w:t>ulusal güvenlik, kamu emniyeti, ülkenin ekonomik refahı, dirlik ve düzenin korunması, suç işlenmesinin önlenmesi, sağlığın veya ahlakın veya başkalarının hak ve özgürlüklerinin korunması</w:t>
      </w:r>
      <w:bookmarkEnd w:id="6"/>
      <w:r w:rsidRPr="000119DE">
        <w:rPr>
          <w:sz w:val="24"/>
          <w:szCs w:val="24"/>
        </w:rPr>
        <w:t xml:space="preserve"> için, demokratik bir toplumda, zorunlu olan ölçüde ve yasayla öngörülmüş olmak koşuluyla söz konusu olabilir.”</w:t>
      </w:r>
      <w:r w:rsidR="000119DE" w:rsidRPr="000119DE">
        <w:t xml:space="preserve"> (</w:t>
      </w:r>
      <w:r w:rsidR="00CD1D42">
        <w:rPr>
          <w:sz w:val="24"/>
          <w:szCs w:val="24"/>
        </w:rPr>
        <w:t xml:space="preserve">Gözübüyük ve </w:t>
      </w:r>
      <w:r w:rsidR="000119DE" w:rsidRPr="000119DE">
        <w:rPr>
          <w:sz w:val="24"/>
          <w:szCs w:val="24"/>
        </w:rPr>
        <w:t>Gölcüklü, 2011:451)</w:t>
      </w:r>
      <w:r w:rsidR="00E07180">
        <w:rPr>
          <w:sz w:val="24"/>
          <w:szCs w:val="24"/>
        </w:rPr>
        <w:t>.</w:t>
      </w:r>
    </w:p>
    <w:p w:rsidR="00EF0016" w:rsidRPr="005F583B" w:rsidRDefault="00EF0016" w:rsidP="00400461">
      <w:pPr>
        <w:spacing w:after="120" w:line="240" w:lineRule="auto"/>
        <w:ind w:firstLine="567"/>
        <w:jc w:val="both"/>
        <w:rPr>
          <w:sz w:val="24"/>
          <w:szCs w:val="24"/>
        </w:rPr>
      </w:pPr>
      <w:r w:rsidRPr="005F583B">
        <w:rPr>
          <w:sz w:val="24"/>
          <w:szCs w:val="24"/>
        </w:rPr>
        <w:t>Sözleşmenin ilgili maddesi uyarınca kişinin haberleşmesi, konutu ve özel hayatına ilişkin unsurların özel ve aile hayatına saygı hakkı kapsamında güvence altına alındığı söylenebilir.</w:t>
      </w:r>
      <w:r w:rsidR="000A1BED" w:rsidRPr="005F583B">
        <w:rPr>
          <w:sz w:val="24"/>
          <w:szCs w:val="24"/>
        </w:rPr>
        <w:t xml:space="preserve"> </w:t>
      </w:r>
      <w:r w:rsidR="00670884" w:rsidRPr="005F583B">
        <w:rPr>
          <w:sz w:val="24"/>
          <w:szCs w:val="24"/>
        </w:rPr>
        <w:t xml:space="preserve">Ancak bu unsurları özel hayatın birbirinden ayrı bileşenleri olarak görmekten ziyade özel hayatın birbiri içine geçmiş farklı görünüş </w:t>
      </w:r>
      <w:r w:rsidR="00CC3431" w:rsidRPr="005F583B">
        <w:rPr>
          <w:sz w:val="24"/>
          <w:szCs w:val="24"/>
        </w:rPr>
        <w:t>şekilleri olarak</w:t>
      </w:r>
      <w:r w:rsidR="00670884" w:rsidRPr="005F583B">
        <w:rPr>
          <w:sz w:val="24"/>
          <w:szCs w:val="24"/>
        </w:rPr>
        <w:t xml:space="preserve"> değerlendirmek daha isabetli olacaktır</w:t>
      </w:r>
      <w:r w:rsidR="000119DE">
        <w:rPr>
          <w:sz w:val="24"/>
          <w:szCs w:val="24"/>
        </w:rPr>
        <w:t xml:space="preserve"> (Atak, 2007</w:t>
      </w:r>
      <w:r w:rsidR="00D51CE0">
        <w:rPr>
          <w:sz w:val="24"/>
          <w:szCs w:val="24"/>
        </w:rPr>
        <w:t>: 179; Bozlak, 2013: 41;</w:t>
      </w:r>
      <w:r w:rsidR="003B23B6">
        <w:rPr>
          <w:sz w:val="24"/>
          <w:szCs w:val="24"/>
        </w:rPr>
        <w:t xml:space="preserve"> Gemalmaz, 2015: 116-119</w:t>
      </w:r>
      <w:r w:rsidR="000119DE">
        <w:rPr>
          <w:sz w:val="24"/>
          <w:szCs w:val="24"/>
        </w:rPr>
        <w:t>)</w:t>
      </w:r>
      <w:r w:rsidR="00670884" w:rsidRPr="005F583B">
        <w:rPr>
          <w:sz w:val="24"/>
          <w:szCs w:val="24"/>
        </w:rPr>
        <w:t>.</w:t>
      </w:r>
      <w:r w:rsidR="000119DE">
        <w:rPr>
          <w:sz w:val="24"/>
          <w:szCs w:val="24"/>
        </w:rPr>
        <w:t xml:space="preserve"> </w:t>
      </w:r>
      <w:r w:rsidR="00713F1B" w:rsidRPr="005F583B">
        <w:rPr>
          <w:sz w:val="24"/>
          <w:szCs w:val="24"/>
        </w:rPr>
        <w:t>Bununla beraber</w:t>
      </w:r>
      <w:r w:rsidR="00CC3431" w:rsidRPr="005F583B">
        <w:rPr>
          <w:sz w:val="24"/>
          <w:szCs w:val="24"/>
        </w:rPr>
        <w:t xml:space="preserve"> belirtmek gerekir ki AİHM,</w:t>
      </w:r>
      <w:r w:rsidR="00D81D28" w:rsidRPr="005F583B">
        <w:rPr>
          <w:sz w:val="24"/>
          <w:szCs w:val="24"/>
        </w:rPr>
        <w:t xml:space="preserve"> </w:t>
      </w:r>
      <w:r w:rsidR="00CC3431" w:rsidRPr="005F583B">
        <w:rPr>
          <w:sz w:val="24"/>
          <w:szCs w:val="24"/>
        </w:rPr>
        <w:t xml:space="preserve">sözleşmenin 8’inci maddesindeki ifadeden ve özel hayat kavramının muğlak yapısından faydalanarak olabildiğince geniş yorumlama eğilimindedir, örneğin </w:t>
      </w:r>
      <w:r w:rsidR="00713F1B" w:rsidRPr="005F583B">
        <w:rPr>
          <w:sz w:val="24"/>
          <w:szCs w:val="24"/>
        </w:rPr>
        <w:t>açıkça zikredilmemekle beraber kişisel veriler</w:t>
      </w:r>
      <w:r w:rsidR="00670884" w:rsidRPr="005F583B">
        <w:rPr>
          <w:sz w:val="24"/>
          <w:szCs w:val="24"/>
        </w:rPr>
        <w:t xml:space="preserve"> </w:t>
      </w:r>
      <w:r w:rsidR="00713F1B" w:rsidRPr="005F583B">
        <w:rPr>
          <w:sz w:val="24"/>
          <w:szCs w:val="24"/>
        </w:rPr>
        <w:t>de sözleşmenin 8’inci maddesi kapsamında değerlendirilmektedir</w:t>
      </w:r>
      <w:r w:rsidR="000119DE">
        <w:rPr>
          <w:sz w:val="24"/>
          <w:szCs w:val="24"/>
        </w:rPr>
        <w:t xml:space="preserve"> (Yıldırım, 2004</w:t>
      </w:r>
      <w:r w:rsidR="003B23B6">
        <w:rPr>
          <w:sz w:val="24"/>
          <w:szCs w:val="24"/>
        </w:rPr>
        <w:t>: 390</w:t>
      </w:r>
      <w:r w:rsidR="000119DE">
        <w:rPr>
          <w:sz w:val="24"/>
          <w:szCs w:val="24"/>
        </w:rPr>
        <w:t>)</w:t>
      </w:r>
      <w:r w:rsidR="00713F1B" w:rsidRPr="005F583B">
        <w:rPr>
          <w:sz w:val="24"/>
          <w:szCs w:val="24"/>
        </w:rPr>
        <w:t>.</w:t>
      </w:r>
    </w:p>
    <w:p w:rsidR="00F81658" w:rsidRPr="005F583B" w:rsidRDefault="00D81D28" w:rsidP="00400461">
      <w:pPr>
        <w:spacing w:after="120" w:line="240" w:lineRule="auto"/>
        <w:ind w:firstLine="851"/>
        <w:jc w:val="both"/>
        <w:rPr>
          <w:sz w:val="24"/>
          <w:szCs w:val="24"/>
        </w:rPr>
      </w:pPr>
      <w:r w:rsidRPr="005F583B">
        <w:rPr>
          <w:sz w:val="24"/>
          <w:szCs w:val="24"/>
        </w:rPr>
        <w:t>Bununla b</w:t>
      </w:r>
      <w:r w:rsidR="00B80DF4" w:rsidRPr="005F583B">
        <w:rPr>
          <w:sz w:val="24"/>
          <w:szCs w:val="24"/>
        </w:rPr>
        <w:t>irlikte</w:t>
      </w:r>
      <w:r w:rsidRPr="005F583B">
        <w:rPr>
          <w:sz w:val="24"/>
          <w:szCs w:val="24"/>
        </w:rPr>
        <w:t xml:space="preserve"> sözleşmenin aynı maddesi özel hayata saygı hakkını düzenlemey</w:t>
      </w:r>
      <w:r w:rsidR="005D1C01">
        <w:rPr>
          <w:sz w:val="24"/>
          <w:szCs w:val="24"/>
        </w:rPr>
        <w:t>i</w:t>
      </w:r>
      <w:r w:rsidRPr="005F583B">
        <w:rPr>
          <w:sz w:val="24"/>
          <w:szCs w:val="24"/>
        </w:rPr>
        <w:t xml:space="preserve"> müteakip sınırlama sebeplerini sıralamıştır. Sözleşmeye göre özel hayata saygı hakkı sınırsız kullanılabilecek bir hak niteliğinde değildir</w:t>
      </w:r>
      <w:r w:rsidR="00582382" w:rsidRPr="005F583B">
        <w:rPr>
          <w:sz w:val="24"/>
          <w:szCs w:val="24"/>
        </w:rPr>
        <w:t xml:space="preserve"> ve sözleşme kısıtlanma sebeplerini ayrıca belirtmektedir</w:t>
      </w:r>
      <w:r w:rsidR="000119DE">
        <w:rPr>
          <w:sz w:val="24"/>
          <w:szCs w:val="24"/>
        </w:rPr>
        <w:t xml:space="preserve"> (Kilkely, </w:t>
      </w:r>
      <w:r w:rsidR="00A4269A">
        <w:rPr>
          <w:sz w:val="24"/>
          <w:szCs w:val="24"/>
        </w:rPr>
        <w:t>2003</w:t>
      </w:r>
      <w:r w:rsidR="003B23B6">
        <w:rPr>
          <w:sz w:val="24"/>
          <w:szCs w:val="24"/>
        </w:rPr>
        <w:t>: 9</w:t>
      </w:r>
      <w:r w:rsidR="00A4269A">
        <w:rPr>
          <w:sz w:val="24"/>
          <w:szCs w:val="24"/>
        </w:rPr>
        <w:t>)</w:t>
      </w:r>
      <w:r w:rsidR="00582382" w:rsidRPr="005F583B">
        <w:rPr>
          <w:sz w:val="24"/>
          <w:szCs w:val="24"/>
        </w:rPr>
        <w:t>.</w:t>
      </w:r>
      <w:r w:rsidR="002361C8" w:rsidRPr="005F583B">
        <w:rPr>
          <w:sz w:val="24"/>
          <w:szCs w:val="24"/>
        </w:rPr>
        <w:t xml:space="preserve"> </w:t>
      </w:r>
      <w:r w:rsidR="002361C8" w:rsidRPr="00B3129F">
        <w:rPr>
          <w:sz w:val="24"/>
          <w:szCs w:val="24"/>
        </w:rPr>
        <w:t xml:space="preserve">Sözleşmeye </w:t>
      </w:r>
      <w:r w:rsidR="00B3129F">
        <w:rPr>
          <w:sz w:val="24"/>
          <w:szCs w:val="24"/>
        </w:rPr>
        <w:t>göre</w:t>
      </w:r>
      <w:r w:rsidR="00DD122B" w:rsidRPr="00B3129F">
        <w:rPr>
          <w:sz w:val="24"/>
          <w:szCs w:val="24"/>
        </w:rPr>
        <w:t xml:space="preserve"> </w:t>
      </w:r>
      <w:r w:rsidR="002361C8" w:rsidRPr="00B3129F">
        <w:rPr>
          <w:sz w:val="24"/>
          <w:szCs w:val="24"/>
        </w:rPr>
        <w:t xml:space="preserve">özel hayata yapılacak bir müdahalenin hukuka uygun olarak nitelendirilebilmesi için gerekli olan ilk </w:t>
      </w:r>
      <w:r w:rsidR="005D1C01">
        <w:rPr>
          <w:sz w:val="24"/>
          <w:szCs w:val="24"/>
        </w:rPr>
        <w:t>ölçüt</w:t>
      </w:r>
      <w:r w:rsidR="008B430D">
        <w:rPr>
          <w:sz w:val="24"/>
          <w:szCs w:val="24"/>
        </w:rPr>
        <w:t>,</w:t>
      </w:r>
      <w:r w:rsidR="00E07180">
        <w:rPr>
          <w:sz w:val="24"/>
          <w:szCs w:val="24"/>
        </w:rPr>
        <w:t xml:space="preserve"> meşru bir amacı</w:t>
      </w:r>
      <w:r w:rsidR="002361C8" w:rsidRPr="00B3129F">
        <w:rPr>
          <w:sz w:val="24"/>
          <w:szCs w:val="24"/>
        </w:rPr>
        <w:t xml:space="preserve"> haiz olmasıdır.</w:t>
      </w:r>
      <w:r w:rsidR="002361C8" w:rsidRPr="005F583B">
        <w:rPr>
          <w:sz w:val="24"/>
          <w:szCs w:val="24"/>
        </w:rPr>
        <w:t xml:space="preserve"> Sözleşmenin 8’inci maddesinin 2’nci fıkrasında </w:t>
      </w:r>
      <w:r w:rsidR="002361C8" w:rsidRPr="005F583B">
        <w:rPr>
          <w:sz w:val="24"/>
          <w:szCs w:val="24"/>
        </w:rPr>
        <w:lastRenderedPageBreak/>
        <w:t xml:space="preserve">sayılan </w:t>
      </w:r>
      <w:r w:rsidR="002361C8" w:rsidRPr="00743A9D">
        <w:rPr>
          <w:sz w:val="24"/>
          <w:szCs w:val="24"/>
        </w:rPr>
        <w:t xml:space="preserve">“ulusal güvenlik, kamu emniyeti, ülkenin ekonomik refahı, dirlik ve düzenin korunması, suç işlenmesinin önlenmesi, sağlığın veya ahlakın veya başkalarının hak ve özgürlüklerinin </w:t>
      </w:r>
      <w:r w:rsidR="004666DE" w:rsidRPr="00743A9D">
        <w:rPr>
          <w:sz w:val="24"/>
          <w:szCs w:val="24"/>
        </w:rPr>
        <w:t xml:space="preserve">korunması” </w:t>
      </w:r>
      <w:r w:rsidR="004666DE" w:rsidRPr="005F583B">
        <w:rPr>
          <w:sz w:val="24"/>
          <w:szCs w:val="24"/>
        </w:rPr>
        <w:t>meşru</w:t>
      </w:r>
      <w:r w:rsidR="002361C8" w:rsidRPr="005F583B">
        <w:rPr>
          <w:sz w:val="24"/>
          <w:szCs w:val="24"/>
        </w:rPr>
        <w:t xml:space="preserve"> amaç </w:t>
      </w:r>
      <w:r w:rsidR="004666DE" w:rsidRPr="005F583B">
        <w:rPr>
          <w:sz w:val="24"/>
          <w:szCs w:val="24"/>
        </w:rPr>
        <w:t>olarak düzenlenmiştir</w:t>
      </w:r>
      <w:r w:rsidR="00A4269A">
        <w:rPr>
          <w:sz w:val="24"/>
          <w:szCs w:val="24"/>
        </w:rPr>
        <w:t xml:space="preserve"> </w:t>
      </w:r>
      <w:bookmarkStart w:id="7" w:name="_Hlk56255608"/>
      <w:r w:rsidR="00A4269A">
        <w:rPr>
          <w:sz w:val="24"/>
          <w:szCs w:val="24"/>
        </w:rPr>
        <w:t>(Üzeltürk, 2004</w:t>
      </w:r>
      <w:r w:rsidR="003B23B6">
        <w:rPr>
          <w:sz w:val="24"/>
          <w:szCs w:val="24"/>
        </w:rPr>
        <w:t>: 336</w:t>
      </w:r>
      <w:r w:rsidR="00A4269A">
        <w:rPr>
          <w:sz w:val="24"/>
          <w:szCs w:val="24"/>
        </w:rPr>
        <w:t>)</w:t>
      </w:r>
      <w:r w:rsidR="004666DE" w:rsidRPr="005F583B">
        <w:rPr>
          <w:sz w:val="24"/>
          <w:szCs w:val="24"/>
        </w:rPr>
        <w:t>.</w:t>
      </w:r>
      <w:r w:rsidR="00A4269A">
        <w:rPr>
          <w:sz w:val="24"/>
          <w:szCs w:val="24"/>
        </w:rPr>
        <w:t xml:space="preserve"> </w:t>
      </w:r>
      <w:bookmarkEnd w:id="7"/>
      <w:r w:rsidR="004666DE" w:rsidRPr="005F583B">
        <w:rPr>
          <w:sz w:val="24"/>
          <w:szCs w:val="24"/>
        </w:rPr>
        <w:t xml:space="preserve">Görüldüğü üzere kısıtlama yapılabilmesine </w:t>
      </w:r>
      <w:r w:rsidR="00D148C3" w:rsidRPr="005F583B">
        <w:rPr>
          <w:sz w:val="24"/>
          <w:szCs w:val="24"/>
        </w:rPr>
        <w:t>imkân</w:t>
      </w:r>
      <w:r w:rsidR="004666DE" w:rsidRPr="005F583B">
        <w:rPr>
          <w:sz w:val="24"/>
          <w:szCs w:val="24"/>
        </w:rPr>
        <w:t xml:space="preserve"> veren meşru amaçlar</w:t>
      </w:r>
      <w:r w:rsidR="00F81658" w:rsidRPr="005F583B">
        <w:rPr>
          <w:sz w:val="24"/>
          <w:szCs w:val="24"/>
        </w:rPr>
        <w:t xml:space="preserve">ın </w:t>
      </w:r>
      <w:r w:rsidR="004666DE" w:rsidRPr="005F583B">
        <w:rPr>
          <w:sz w:val="24"/>
          <w:szCs w:val="24"/>
        </w:rPr>
        <w:t>oldukça geniş kapsamlı olması sebebiyle mahkeme kararlarında meşru amaç kriterinin mevcut olduğu değerlendirilerek</w:t>
      </w:r>
      <w:r w:rsidR="00F81658" w:rsidRPr="005F583B">
        <w:rPr>
          <w:sz w:val="24"/>
          <w:szCs w:val="24"/>
        </w:rPr>
        <w:t xml:space="preserve"> ağırlıklı olarak</w:t>
      </w:r>
      <w:r w:rsidR="004666DE" w:rsidRPr="005F583B">
        <w:rPr>
          <w:sz w:val="24"/>
          <w:szCs w:val="24"/>
        </w:rPr>
        <w:t xml:space="preserve"> diğer iki </w:t>
      </w:r>
      <w:r w:rsidR="005D1C01">
        <w:rPr>
          <w:sz w:val="24"/>
          <w:szCs w:val="24"/>
        </w:rPr>
        <w:t>ölçüte</w:t>
      </w:r>
      <w:r w:rsidR="004666DE" w:rsidRPr="005F583B">
        <w:rPr>
          <w:sz w:val="24"/>
          <w:szCs w:val="24"/>
        </w:rPr>
        <w:t xml:space="preserve"> odaklanmaktadır</w:t>
      </w:r>
      <w:r w:rsidR="00A4269A">
        <w:rPr>
          <w:sz w:val="24"/>
          <w:szCs w:val="24"/>
        </w:rPr>
        <w:t xml:space="preserve"> </w:t>
      </w:r>
      <w:bookmarkStart w:id="8" w:name="_Hlk56255639"/>
      <w:r w:rsidR="00A4269A">
        <w:rPr>
          <w:sz w:val="24"/>
          <w:szCs w:val="24"/>
        </w:rPr>
        <w:t>(Tezcan</w:t>
      </w:r>
      <w:r w:rsidR="003F500E">
        <w:rPr>
          <w:sz w:val="24"/>
          <w:szCs w:val="24"/>
        </w:rPr>
        <w:t>, Erdem, Sancakdar, Önok</w:t>
      </w:r>
      <w:r w:rsidR="00A4269A">
        <w:rPr>
          <w:sz w:val="24"/>
          <w:szCs w:val="24"/>
        </w:rPr>
        <w:t>, 2016</w:t>
      </w:r>
      <w:r w:rsidR="003B23B6">
        <w:rPr>
          <w:sz w:val="24"/>
          <w:szCs w:val="24"/>
        </w:rPr>
        <w:t>: 366</w:t>
      </w:r>
      <w:r w:rsidR="00A4269A">
        <w:rPr>
          <w:sz w:val="24"/>
          <w:szCs w:val="24"/>
        </w:rPr>
        <w:t>)</w:t>
      </w:r>
      <w:r w:rsidR="004666DE" w:rsidRPr="005F583B">
        <w:rPr>
          <w:sz w:val="24"/>
          <w:szCs w:val="24"/>
        </w:rPr>
        <w:t>.</w:t>
      </w:r>
    </w:p>
    <w:bookmarkEnd w:id="8"/>
    <w:p w:rsidR="00D81D28" w:rsidRPr="005F583B" w:rsidRDefault="00F81658" w:rsidP="00A4269A">
      <w:pPr>
        <w:spacing w:after="120" w:line="240" w:lineRule="auto"/>
        <w:ind w:firstLine="851"/>
        <w:jc w:val="both"/>
        <w:rPr>
          <w:sz w:val="24"/>
          <w:szCs w:val="24"/>
        </w:rPr>
      </w:pPr>
      <w:r w:rsidRPr="005F583B">
        <w:rPr>
          <w:sz w:val="24"/>
          <w:szCs w:val="24"/>
        </w:rPr>
        <w:t xml:space="preserve">Özel hayatın hukuka uygun olarak kısıtlanabilmesi için yapılan müdahalenin sahip olması gereken </w:t>
      </w:r>
      <w:r w:rsidR="00ED3042" w:rsidRPr="005F583B">
        <w:rPr>
          <w:sz w:val="24"/>
          <w:szCs w:val="24"/>
        </w:rPr>
        <w:t xml:space="preserve">diğer </w:t>
      </w:r>
      <w:r w:rsidRPr="005F583B">
        <w:rPr>
          <w:sz w:val="24"/>
          <w:szCs w:val="24"/>
        </w:rPr>
        <w:t>husus</w:t>
      </w:r>
      <w:r w:rsidR="00B80DF4" w:rsidRPr="005F583B">
        <w:rPr>
          <w:sz w:val="24"/>
          <w:szCs w:val="24"/>
        </w:rPr>
        <w:t xml:space="preserve"> da</w:t>
      </w:r>
      <w:r w:rsidRPr="005F583B">
        <w:rPr>
          <w:sz w:val="24"/>
          <w:szCs w:val="24"/>
        </w:rPr>
        <w:t xml:space="preserve"> müdahalenin demokratik bir toplumda elzem </w:t>
      </w:r>
      <w:r w:rsidR="00ED3042" w:rsidRPr="005F583B">
        <w:rPr>
          <w:sz w:val="24"/>
          <w:szCs w:val="24"/>
        </w:rPr>
        <w:t>ve orantılı olmasıdır. Sözleşme esaslarına göre yargılama yapan AİHM, yapılan müdahaleyi incelerken</w:t>
      </w:r>
      <w:r w:rsidR="005D1C01">
        <w:rPr>
          <w:sz w:val="24"/>
          <w:szCs w:val="24"/>
        </w:rPr>
        <w:t xml:space="preserve"> </w:t>
      </w:r>
      <w:r w:rsidR="00ED3042" w:rsidRPr="005F583B">
        <w:rPr>
          <w:sz w:val="24"/>
          <w:szCs w:val="24"/>
        </w:rPr>
        <w:t>müdahalenin demokratik bir toplum için kaçınılmaz nitelikte olup olmadığını incelemektedir. Ayrıca yapılan müdahale kişinin hakları ile kamunun yararı arasındaki dengeyi gözetmelidir. Aksi halde müdahalenin ölçülülüğünden söz edilemez</w:t>
      </w:r>
      <w:r w:rsidR="00A4269A">
        <w:rPr>
          <w:sz w:val="24"/>
          <w:szCs w:val="24"/>
        </w:rPr>
        <w:t xml:space="preserve"> (Üzeltürk, 2004</w:t>
      </w:r>
      <w:r w:rsidR="003B23B6">
        <w:rPr>
          <w:sz w:val="24"/>
          <w:szCs w:val="24"/>
        </w:rPr>
        <w:t>: 340</w:t>
      </w:r>
      <w:r w:rsidR="00A4269A">
        <w:rPr>
          <w:sz w:val="24"/>
          <w:szCs w:val="24"/>
        </w:rPr>
        <w:t>)</w:t>
      </w:r>
      <w:r w:rsidR="00A4269A" w:rsidRPr="005F583B">
        <w:rPr>
          <w:sz w:val="24"/>
          <w:szCs w:val="24"/>
        </w:rPr>
        <w:t>.</w:t>
      </w:r>
      <w:r w:rsidR="00A4269A">
        <w:rPr>
          <w:sz w:val="24"/>
          <w:szCs w:val="24"/>
        </w:rPr>
        <w:t xml:space="preserve"> </w:t>
      </w:r>
      <w:r w:rsidR="00D40BBD" w:rsidRPr="005F583B">
        <w:rPr>
          <w:sz w:val="24"/>
          <w:szCs w:val="24"/>
        </w:rPr>
        <w:t xml:space="preserve">Diğer bir ifade ile özel hayata yapılan </w:t>
      </w:r>
      <w:r w:rsidR="001D6420" w:rsidRPr="005F583B">
        <w:rPr>
          <w:sz w:val="24"/>
          <w:szCs w:val="24"/>
        </w:rPr>
        <w:t>müdahalenin hukuka</w:t>
      </w:r>
      <w:r w:rsidR="00D40BBD" w:rsidRPr="005F583B">
        <w:rPr>
          <w:sz w:val="24"/>
          <w:szCs w:val="24"/>
        </w:rPr>
        <w:t xml:space="preserve"> uygun olarak değerlendirilmesi için</w:t>
      </w:r>
      <w:r w:rsidR="00B80DF4" w:rsidRPr="005F583B">
        <w:rPr>
          <w:sz w:val="24"/>
          <w:szCs w:val="24"/>
        </w:rPr>
        <w:t xml:space="preserve"> uygulanan tedbir</w:t>
      </w:r>
      <w:r w:rsidR="009D19B9" w:rsidRPr="005F583B">
        <w:rPr>
          <w:sz w:val="24"/>
          <w:szCs w:val="24"/>
        </w:rPr>
        <w:t>in</w:t>
      </w:r>
      <w:r w:rsidR="00B80DF4" w:rsidRPr="005F583B">
        <w:rPr>
          <w:sz w:val="24"/>
          <w:szCs w:val="24"/>
        </w:rPr>
        <w:t>,</w:t>
      </w:r>
      <w:r w:rsidR="00D40BBD" w:rsidRPr="005F583B">
        <w:rPr>
          <w:sz w:val="24"/>
          <w:szCs w:val="24"/>
        </w:rPr>
        <w:t xml:space="preserve"> demokratik toplum gerekleri</w:t>
      </w:r>
      <w:r w:rsidR="00B80DF4" w:rsidRPr="005F583B">
        <w:rPr>
          <w:sz w:val="24"/>
          <w:szCs w:val="24"/>
        </w:rPr>
        <w:t xml:space="preserve"> ile uyum içerisinde</w:t>
      </w:r>
      <w:r w:rsidR="009D19B9" w:rsidRPr="005F583B">
        <w:rPr>
          <w:sz w:val="24"/>
          <w:szCs w:val="24"/>
        </w:rPr>
        <w:t xml:space="preserve"> olması </w:t>
      </w:r>
      <w:r w:rsidR="00B80DF4" w:rsidRPr="005F583B">
        <w:rPr>
          <w:sz w:val="24"/>
          <w:szCs w:val="24"/>
        </w:rPr>
        <w:t xml:space="preserve">ve </w:t>
      </w:r>
      <w:r w:rsidR="009D19B9" w:rsidRPr="005F583B">
        <w:rPr>
          <w:sz w:val="24"/>
          <w:szCs w:val="24"/>
        </w:rPr>
        <w:t>özgürlük-güvenlik arasındaki dengeyi gözetmesi elzemdir</w:t>
      </w:r>
      <w:r w:rsidR="001D6420" w:rsidRPr="005F583B">
        <w:rPr>
          <w:sz w:val="24"/>
          <w:szCs w:val="24"/>
        </w:rPr>
        <w:t>. Aynı zamanda ölçülülük prensibine aykırı olmaması için müdahalenin oluşması istenen meşru amacı gerçekleştirecek en hafif tedbir olmalıdır</w:t>
      </w:r>
      <w:r w:rsidR="00A4269A" w:rsidRPr="00A4269A">
        <w:t xml:space="preserve"> </w:t>
      </w:r>
      <w:r w:rsidR="00A4269A" w:rsidRPr="00A4269A">
        <w:rPr>
          <w:sz w:val="24"/>
          <w:szCs w:val="24"/>
        </w:rPr>
        <w:t>(Tezcan v</w:t>
      </w:r>
      <w:r w:rsidR="003F500E">
        <w:rPr>
          <w:sz w:val="24"/>
          <w:szCs w:val="24"/>
        </w:rPr>
        <w:t>d.</w:t>
      </w:r>
      <w:r w:rsidR="00A4269A" w:rsidRPr="00A4269A">
        <w:rPr>
          <w:sz w:val="24"/>
          <w:szCs w:val="24"/>
        </w:rPr>
        <w:t>, 2016</w:t>
      </w:r>
      <w:r w:rsidR="003B23B6">
        <w:rPr>
          <w:sz w:val="24"/>
          <w:szCs w:val="24"/>
        </w:rPr>
        <w:t>: 367</w:t>
      </w:r>
      <w:r w:rsidR="00A4269A" w:rsidRPr="00A4269A">
        <w:rPr>
          <w:sz w:val="24"/>
          <w:szCs w:val="24"/>
        </w:rPr>
        <w:t>).</w:t>
      </w:r>
      <w:r w:rsidR="00A4269A">
        <w:rPr>
          <w:sz w:val="24"/>
          <w:szCs w:val="24"/>
        </w:rPr>
        <w:t xml:space="preserve"> </w:t>
      </w:r>
      <w:r w:rsidR="001D6420" w:rsidRPr="005F583B">
        <w:rPr>
          <w:sz w:val="24"/>
          <w:szCs w:val="24"/>
        </w:rPr>
        <w:t xml:space="preserve">Bununla </w:t>
      </w:r>
      <w:r w:rsidR="001D6420" w:rsidRPr="00743A9D">
        <w:rPr>
          <w:sz w:val="24"/>
          <w:szCs w:val="24"/>
        </w:rPr>
        <w:t>beraber “demokratik toplumun gerekleri”</w:t>
      </w:r>
      <w:r w:rsidR="001D6420" w:rsidRPr="005F583B">
        <w:rPr>
          <w:sz w:val="24"/>
          <w:szCs w:val="24"/>
        </w:rPr>
        <w:t xml:space="preserve"> kavramı sözleşme veya başkaca bir hukuki metinde sınırları kesin olarak belirlenmiş bir kavram olmadığı için bu noktada yargılamayı yapan mahkemeye geniş takdir yetkisi bırakmaktadır. Bu sebeple mahkemeler yapılan müdahalenin demokratik toplumun gereklerine uygun olup olmadığı noktasında maddi olayın nitelikleri ve korunan hukuki değeri de göz önünde bulundurarak takdir yetkilerini kullanmaktadırlar</w:t>
      </w:r>
      <w:r w:rsidR="00A4269A">
        <w:rPr>
          <w:sz w:val="24"/>
          <w:szCs w:val="24"/>
        </w:rPr>
        <w:t xml:space="preserve"> (Tezcan v</w:t>
      </w:r>
      <w:r w:rsidR="003F500E">
        <w:rPr>
          <w:sz w:val="24"/>
          <w:szCs w:val="24"/>
        </w:rPr>
        <w:t>d.</w:t>
      </w:r>
      <w:r w:rsidR="00A4269A">
        <w:rPr>
          <w:sz w:val="24"/>
          <w:szCs w:val="24"/>
        </w:rPr>
        <w:t>, 2016</w:t>
      </w:r>
      <w:r w:rsidR="003B23B6">
        <w:rPr>
          <w:sz w:val="24"/>
          <w:szCs w:val="24"/>
        </w:rPr>
        <w:t>: 732</w:t>
      </w:r>
      <w:r w:rsidR="00A4269A">
        <w:rPr>
          <w:sz w:val="24"/>
          <w:szCs w:val="24"/>
        </w:rPr>
        <w:t>)</w:t>
      </w:r>
      <w:r w:rsidR="001D6420" w:rsidRPr="005F583B">
        <w:rPr>
          <w:sz w:val="24"/>
          <w:szCs w:val="24"/>
        </w:rPr>
        <w:t>.</w:t>
      </w:r>
    </w:p>
    <w:p w:rsidR="001D6420" w:rsidRPr="005F583B" w:rsidRDefault="001A4478" w:rsidP="00400461">
      <w:pPr>
        <w:spacing w:after="120" w:line="240" w:lineRule="auto"/>
        <w:ind w:firstLine="851"/>
        <w:jc w:val="both"/>
        <w:rPr>
          <w:sz w:val="24"/>
          <w:szCs w:val="24"/>
        </w:rPr>
      </w:pPr>
      <w:r w:rsidRPr="005F583B">
        <w:rPr>
          <w:sz w:val="24"/>
          <w:szCs w:val="24"/>
        </w:rPr>
        <w:t>Sözleşmenin</w:t>
      </w:r>
      <w:r w:rsidR="001D6420" w:rsidRPr="005F583B">
        <w:rPr>
          <w:sz w:val="24"/>
          <w:szCs w:val="24"/>
        </w:rPr>
        <w:t xml:space="preserve"> </w:t>
      </w:r>
      <w:r w:rsidRPr="005F583B">
        <w:rPr>
          <w:sz w:val="24"/>
          <w:szCs w:val="24"/>
        </w:rPr>
        <w:t>dikkat çektiği</w:t>
      </w:r>
      <w:r w:rsidR="001D6420" w:rsidRPr="005F583B">
        <w:rPr>
          <w:sz w:val="24"/>
          <w:szCs w:val="24"/>
        </w:rPr>
        <w:t xml:space="preserve"> son </w:t>
      </w:r>
      <w:r w:rsidR="005D1C01">
        <w:rPr>
          <w:sz w:val="24"/>
          <w:szCs w:val="24"/>
        </w:rPr>
        <w:t>ölçüt</w:t>
      </w:r>
      <w:r w:rsidR="001D6420" w:rsidRPr="005F583B">
        <w:rPr>
          <w:sz w:val="24"/>
          <w:szCs w:val="24"/>
        </w:rPr>
        <w:t xml:space="preserve"> </w:t>
      </w:r>
      <w:r w:rsidRPr="00743A9D">
        <w:rPr>
          <w:sz w:val="24"/>
          <w:szCs w:val="24"/>
        </w:rPr>
        <w:t>“</w:t>
      </w:r>
      <w:r w:rsidR="001D6420" w:rsidRPr="00743A9D">
        <w:rPr>
          <w:sz w:val="24"/>
          <w:szCs w:val="24"/>
        </w:rPr>
        <w:t>kanunilik kriteri</w:t>
      </w:r>
      <w:r w:rsidRPr="00743A9D">
        <w:rPr>
          <w:sz w:val="24"/>
          <w:szCs w:val="24"/>
        </w:rPr>
        <w:t>”</w:t>
      </w:r>
      <w:r w:rsidR="001D6420" w:rsidRPr="005F583B">
        <w:rPr>
          <w:sz w:val="24"/>
          <w:szCs w:val="24"/>
        </w:rPr>
        <w:t xml:space="preserve"> olarak adlandırılabilir. Sözleşmeye göre kişilerin özel hayatlarına yapılacak meşru bir müdahale mutlak surette yasayla düzenlenmelidir. Ayrıca </w:t>
      </w:r>
      <w:r w:rsidR="008E255C" w:rsidRPr="005F583B">
        <w:rPr>
          <w:sz w:val="24"/>
          <w:szCs w:val="24"/>
        </w:rPr>
        <w:t>yapılacak herhangi bir müdahaleyi düzenleyen hukuki metinlerin sadece varlıkları kanunilik kriterini sağlamak için yeterli olmayacaktır. İç hukukta yapılacak müdahaleyi meşru kılan düzenlemeler kişiler için ulaşılabilir ve bilinebilir olmalıdır. Bununla beraber yapılan düzenlemeler idareye keyfiyet bırakmayacak şekilde, kişilerin haksız uygulamalara maruz kalmasını engelleyecek tedbirlere de sahip olmalıdır</w:t>
      </w:r>
      <w:r w:rsidR="00A4269A">
        <w:rPr>
          <w:sz w:val="24"/>
          <w:szCs w:val="24"/>
        </w:rPr>
        <w:t xml:space="preserve"> </w:t>
      </w:r>
      <w:bookmarkStart w:id="9" w:name="_Hlk56255739"/>
      <w:r w:rsidR="00A4269A">
        <w:rPr>
          <w:sz w:val="24"/>
          <w:szCs w:val="24"/>
        </w:rPr>
        <w:t>(Arslan Öncü, 2011</w:t>
      </w:r>
      <w:r w:rsidR="00920523">
        <w:rPr>
          <w:sz w:val="24"/>
          <w:szCs w:val="24"/>
        </w:rPr>
        <w:t>: 366-368</w:t>
      </w:r>
      <w:r w:rsidR="00A4269A">
        <w:rPr>
          <w:sz w:val="24"/>
          <w:szCs w:val="24"/>
        </w:rPr>
        <w:t>)</w:t>
      </w:r>
      <w:r w:rsidR="008E255C" w:rsidRPr="005F583B">
        <w:rPr>
          <w:sz w:val="24"/>
          <w:szCs w:val="24"/>
        </w:rPr>
        <w:t xml:space="preserve">. </w:t>
      </w:r>
      <w:bookmarkEnd w:id="9"/>
    </w:p>
    <w:p w:rsidR="008E255C" w:rsidRDefault="008E255C" w:rsidP="00400461">
      <w:pPr>
        <w:spacing w:after="120" w:line="240" w:lineRule="auto"/>
        <w:ind w:firstLine="851"/>
        <w:jc w:val="both"/>
        <w:rPr>
          <w:sz w:val="24"/>
          <w:szCs w:val="24"/>
        </w:rPr>
      </w:pPr>
      <w:r w:rsidRPr="005F583B">
        <w:rPr>
          <w:sz w:val="24"/>
          <w:szCs w:val="24"/>
        </w:rPr>
        <w:t>Sözleşme kapsamın</w:t>
      </w:r>
      <w:r w:rsidR="00E1241F" w:rsidRPr="005F583B">
        <w:rPr>
          <w:sz w:val="24"/>
          <w:szCs w:val="24"/>
        </w:rPr>
        <w:t xml:space="preserve">da bir müdahalenin meşru kabul edilmesi için gerekli olan kriterleri sıraladıktan sonra belirtmek gerekmektedir ki özel hayatın gizliliğine saygı hakkı kapsamında hukuki anlaşmazlıkların çözümü </w:t>
      </w:r>
      <w:r w:rsidR="00E1241F" w:rsidRPr="005F583B">
        <w:rPr>
          <w:sz w:val="24"/>
          <w:szCs w:val="24"/>
        </w:rPr>
        <w:lastRenderedPageBreak/>
        <w:t>konusunda sözleşme hükümleri yanında AİHM’</w:t>
      </w:r>
      <w:r w:rsidR="00D037A6">
        <w:rPr>
          <w:sz w:val="24"/>
          <w:szCs w:val="24"/>
        </w:rPr>
        <w:t>n</w:t>
      </w:r>
      <w:r w:rsidR="00E1241F" w:rsidRPr="005F583B">
        <w:rPr>
          <w:sz w:val="24"/>
          <w:szCs w:val="24"/>
        </w:rPr>
        <w:t>in bu konuda geliştirmiş olduğu içtihat büyük önem arz etmektedir. Konuya ilişkin genel esaslar ve özellikle sözleşmeye taraf devletlerin uygulaması gereken temel prensipler mahkeme kararlarının incelenmesi ile ancak ayrıntılı bir şekilde tespit edilebilmektedir</w:t>
      </w:r>
      <w:r w:rsidR="00A4269A">
        <w:rPr>
          <w:sz w:val="24"/>
          <w:szCs w:val="24"/>
        </w:rPr>
        <w:t xml:space="preserve"> (Arslan Öncü, 2011</w:t>
      </w:r>
      <w:r w:rsidR="00920523">
        <w:rPr>
          <w:sz w:val="24"/>
          <w:szCs w:val="24"/>
        </w:rPr>
        <w:t>: 366</w:t>
      </w:r>
      <w:r w:rsidR="00B35F98">
        <w:rPr>
          <w:sz w:val="24"/>
          <w:szCs w:val="24"/>
        </w:rPr>
        <w:t>;</w:t>
      </w:r>
      <w:r w:rsidR="00920523">
        <w:rPr>
          <w:sz w:val="24"/>
          <w:szCs w:val="24"/>
        </w:rPr>
        <w:t xml:space="preserve"> Gözler, 2000: 25</w:t>
      </w:r>
      <w:r w:rsidR="00A4269A">
        <w:rPr>
          <w:sz w:val="24"/>
          <w:szCs w:val="24"/>
        </w:rPr>
        <w:t>)</w:t>
      </w:r>
      <w:r w:rsidR="00A4269A" w:rsidRPr="005F583B">
        <w:rPr>
          <w:sz w:val="24"/>
          <w:szCs w:val="24"/>
        </w:rPr>
        <w:t xml:space="preserve">. </w:t>
      </w:r>
    </w:p>
    <w:p w:rsidR="006F6578" w:rsidRPr="005F583B" w:rsidRDefault="006F6578" w:rsidP="00400461">
      <w:pPr>
        <w:spacing w:after="120" w:line="240" w:lineRule="auto"/>
        <w:ind w:firstLine="851"/>
        <w:jc w:val="both"/>
        <w:rPr>
          <w:sz w:val="24"/>
          <w:szCs w:val="24"/>
        </w:rPr>
      </w:pPr>
      <w:r>
        <w:rPr>
          <w:sz w:val="24"/>
          <w:szCs w:val="24"/>
        </w:rPr>
        <w:t xml:space="preserve">Bu kapsamda özel hayat kavramının temel hak ve özgürlükler içerisinde kritik öneme haiz olduğu, dinamik yapısı sebebiyle kapsamının günün ihtiyaçları uyarınca genişlemesinin doktrin ve mahkeme kararlarında makul karşılandığı bununla beraber yukarıda kısaca bahsedilen </w:t>
      </w:r>
      <w:r w:rsidR="00793234">
        <w:rPr>
          <w:sz w:val="24"/>
          <w:szCs w:val="24"/>
        </w:rPr>
        <w:t>birtakım</w:t>
      </w:r>
      <w:r>
        <w:rPr>
          <w:sz w:val="24"/>
          <w:szCs w:val="24"/>
        </w:rPr>
        <w:t xml:space="preserve"> ölçütler çerçevesinde sınırlanmasının mevzuatta düzenlenmiş olduğu ifade edilebilir.</w:t>
      </w:r>
    </w:p>
    <w:p w:rsidR="00794CFE" w:rsidRPr="00920523" w:rsidRDefault="00F760F6" w:rsidP="00400461">
      <w:pPr>
        <w:spacing w:after="120" w:line="240" w:lineRule="auto"/>
        <w:ind w:firstLine="851"/>
        <w:jc w:val="both"/>
        <w:rPr>
          <w:sz w:val="24"/>
          <w:szCs w:val="24"/>
        </w:rPr>
      </w:pPr>
      <w:r w:rsidRPr="005F583B">
        <w:rPr>
          <w:sz w:val="24"/>
          <w:szCs w:val="24"/>
        </w:rPr>
        <w:t xml:space="preserve">Dava konusunun daha </w:t>
      </w:r>
      <w:r w:rsidR="005D1C01">
        <w:rPr>
          <w:sz w:val="24"/>
          <w:szCs w:val="24"/>
        </w:rPr>
        <w:t xml:space="preserve">iyi </w:t>
      </w:r>
      <w:r w:rsidRPr="005F583B">
        <w:rPr>
          <w:sz w:val="24"/>
          <w:szCs w:val="24"/>
        </w:rPr>
        <w:t>anlaşılabilmesi adına öncelikle sinyal istihbaratı, kitle gözetim gibi kavramlar ile davaya konu olayın arka planının kısaca özet</w:t>
      </w:r>
      <w:r w:rsidR="009C7745" w:rsidRPr="005F583B">
        <w:rPr>
          <w:sz w:val="24"/>
          <w:szCs w:val="24"/>
        </w:rPr>
        <w:t>lenmesi faydalı olacaktır.</w:t>
      </w:r>
      <w:r w:rsidR="00E4773E" w:rsidRPr="005F583B">
        <w:rPr>
          <w:sz w:val="24"/>
          <w:szCs w:val="24"/>
        </w:rPr>
        <w:t xml:space="preserve"> İstihbarat, her ne </w:t>
      </w:r>
      <w:r w:rsidR="00803F9E" w:rsidRPr="005F583B">
        <w:rPr>
          <w:sz w:val="24"/>
          <w:szCs w:val="24"/>
        </w:rPr>
        <w:t>kadar yeni</w:t>
      </w:r>
      <w:r w:rsidR="00E4773E" w:rsidRPr="005F583B">
        <w:rPr>
          <w:sz w:val="24"/>
          <w:szCs w:val="24"/>
        </w:rPr>
        <w:t xml:space="preserve"> bir akademik çalışma alanı olarak görülse de özellikle devlet fonksiyonu olarak istihbaratın geçmişi çok eskilere dayanmaktadır. Farklı disiplinlerden ve saha uygulayıcıları tarafından farklı şekillerden tanımlanmaya çalış</w:t>
      </w:r>
      <w:r w:rsidR="00B80DF4" w:rsidRPr="005F583B">
        <w:rPr>
          <w:sz w:val="24"/>
          <w:szCs w:val="24"/>
        </w:rPr>
        <w:t>ıl</w:t>
      </w:r>
      <w:r w:rsidR="00E4773E" w:rsidRPr="005F583B">
        <w:rPr>
          <w:sz w:val="24"/>
          <w:szCs w:val="24"/>
        </w:rPr>
        <w:t xml:space="preserve">an </w:t>
      </w:r>
      <w:r w:rsidR="004D099C" w:rsidRPr="005F583B">
        <w:rPr>
          <w:sz w:val="24"/>
          <w:szCs w:val="24"/>
        </w:rPr>
        <w:t>istihbaratı; Yenisey</w:t>
      </w:r>
      <w:r w:rsidR="00A4269A">
        <w:rPr>
          <w:sz w:val="24"/>
          <w:szCs w:val="24"/>
        </w:rPr>
        <w:t xml:space="preserve"> (20</w:t>
      </w:r>
      <w:r w:rsidR="00EB16D4">
        <w:rPr>
          <w:sz w:val="24"/>
          <w:szCs w:val="24"/>
        </w:rPr>
        <w:t>15</w:t>
      </w:r>
      <w:r w:rsidR="00920523">
        <w:rPr>
          <w:sz w:val="24"/>
          <w:szCs w:val="24"/>
        </w:rPr>
        <w:t>: 241</w:t>
      </w:r>
      <w:r w:rsidR="00A4269A">
        <w:rPr>
          <w:sz w:val="24"/>
          <w:szCs w:val="24"/>
        </w:rPr>
        <w:t>)</w:t>
      </w:r>
      <w:r w:rsidR="004D099C" w:rsidRPr="005F583B">
        <w:rPr>
          <w:sz w:val="24"/>
          <w:szCs w:val="24"/>
        </w:rPr>
        <w:t xml:space="preserve">, </w:t>
      </w:r>
      <w:r w:rsidR="001A4478" w:rsidRPr="00920523">
        <w:rPr>
          <w:sz w:val="24"/>
          <w:szCs w:val="24"/>
        </w:rPr>
        <w:t>“</w:t>
      </w:r>
      <w:r w:rsidR="00B06A61">
        <w:rPr>
          <w:sz w:val="24"/>
          <w:szCs w:val="24"/>
        </w:rPr>
        <w:t>k</w:t>
      </w:r>
      <w:r w:rsidR="004D099C" w:rsidRPr="00920523">
        <w:rPr>
          <w:sz w:val="24"/>
          <w:szCs w:val="24"/>
        </w:rPr>
        <w:t xml:space="preserve">amuya yönelik cari veya potansiyel tehditlerin engellenmesi maksadıyla çeşitli yöntemlerle </w:t>
      </w:r>
      <w:r w:rsidR="009E3D34" w:rsidRPr="00920523">
        <w:rPr>
          <w:sz w:val="24"/>
          <w:szCs w:val="24"/>
        </w:rPr>
        <w:t>bilginin</w:t>
      </w:r>
      <w:r w:rsidR="004D099C" w:rsidRPr="00920523">
        <w:rPr>
          <w:sz w:val="24"/>
          <w:szCs w:val="24"/>
        </w:rPr>
        <w:t xml:space="preserve"> toplanması, analiz edilmesi ve kolluk tarafından tedbirlerin alınması</w:t>
      </w:r>
      <w:r w:rsidR="001A4478" w:rsidRPr="00920523">
        <w:rPr>
          <w:sz w:val="24"/>
          <w:szCs w:val="24"/>
        </w:rPr>
        <w:t>”</w:t>
      </w:r>
      <w:r w:rsidR="004D099C" w:rsidRPr="00920523">
        <w:rPr>
          <w:sz w:val="24"/>
          <w:szCs w:val="24"/>
        </w:rPr>
        <w:t xml:space="preserve">, </w:t>
      </w:r>
      <w:r w:rsidR="00C618F5" w:rsidRPr="00920523">
        <w:rPr>
          <w:sz w:val="24"/>
          <w:szCs w:val="24"/>
        </w:rPr>
        <w:t>Keithly</w:t>
      </w:r>
      <w:r w:rsidR="00A4269A" w:rsidRPr="00920523">
        <w:rPr>
          <w:sz w:val="24"/>
          <w:szCs w:val="24"/>
        </w:rPr>
        <w:t xml:space="preserve"> (2010</w:t>
      </w:r>
      <w:r w:rsidR="00920523" w:rsidRPr="00920523">
        <w:rPr>
          <w:sz w:val="24"/>
          <w:szCs w:val="24"/>
        </w:rPr>
        <w:t>: 43</w:t>
      </w:r>
      <w:r w:rsidR="00A4269A" w:rsidRPr="00920523">
        <w:rPr>
          <w:sz w:val="24"/>
          <w:szCs w:val="24"/>
        </w:rPr>
        <w:t>)</w:t>
      </w:r>
      <w:r w:rsidR="004D099C" w:rsidRPr="00920523">
        <w:rPr>
          <w:sz w:val="24"/>
          <w:szCs w:val="24"/>
        </w:rPr>
        <w:t xml:space="preserve">, </w:t>
      </w:r>
      <w:r w:rsidR="001A4478" w:rsidRPr="00920523">
        <w:rPr>
          <w:sz w:val="24"/>
          <w:szCs w:val="24"/>
        </w:rPr>
        <w:t>“</w:t>
      </w:r>
      <w:r w:rsidR="004D099C" w:rsidRPr="00920523">
        <w:rPr>
          <w:sz w:val="24"/>
          <w:szCs w:val="24"/>
        </w:rPr>
        <w:t>hasım hakkında sistematik bir biçimde farklı boyutlardaki bilginin, toplanıp tasnif edilip yorumlanması</w:t>
      </w:r>
      <w:r w:rsidR="001A4478" w:rsidRPr="00920523">
        <w:rPr>
          <w:sz w:val="24"/>
          <w:szCs w:val="24"/>
        </w:rPr>
        <w:t>”</w:t>
      </w:r>
      <w:r w:rsidR="004D099C" w:rsidRPr="00920523">
        <w:rPr>
          <w:sz w:val="24"/>
          <w:szCs w:val="24"/>
        </w:rPr>
        <w:t>, Turner</w:t>
      </w:r>
      <w:r w:rsidR="00A4269A" w:rsidRPr="00920523">
        <w:rPr>
          <w:sz w:val="24"/>
          <w:szCs w:val="24"/>
        </w:rPr>
        <w:t xml:space="preserve"> (2006</w:t>
      </w:r>
      <w:r w:rsidR="00920523" w:rsidRPr="00920523">
        <w:rPr>
          <w:sz w:val="24"/>
          <w:szCs w:val="24"/>
        </w:rPr>
        <w:t>: xxxxvii</w:t>
      </w:r>
      <w:r w:rsidR="00A4269A" w:rsidRPr="00920523">
        <w:rPr>
          <w:sz w:val="24"/>
          <w:szCs w:val="24"/>
        </w:rPr>
        <w:t>)</w:t>
      </w:r>
      <w:r w:rsidR="004D099C" w:rsidRPr="00920523">
        <w:rPr>
          <w:sz w:val="24"/>
          <w:szCs w:val="24"/>
        </w:rPr>
        <w:t xml:space="preserve">, </w:t>
      </w:r>
      <w:r w:rsidR="001A4478" w:rsidRPr="00920523">
        <w:rPr>
          <w:sz w:val="24"/>
          <w:szCs w:val="24"/>
        </w:rPr>
        <w:t>“</w:t>
      </w:r>
      <w:r w:rsidR="004D099C" w:rsidRPr="00920523">
        <w:rPr>
          <w:sz w:val="24"/>
          <w:szCs w:val="24"/>
        </w:rPr>
        <w:t xml:space="preserve">karar alıcıların </w:t>
      </w:r>
      <w:r w:rsidR="00C618F5" w:rsidRPr="00920523">
        <w:rPr>
          <w:sz w:val="24"/>
          <w:szCs w:val="24"/>
        </w:rPr>
        <w:t>ihtiyaçları</w:t>
      </w:r>
      <w:r w:rsidR="004D099C" w:rsidRPr="00920523">
        <w:rPr>
          <w:sz w:val="24"/>
          <w:szCs w:val="24"/>
        </w:rPr>
        <w:t xml:space="preserve"> doğrultusunda bilginin elde </w:t>
      </w:r>
      <w:r w:rsidR="00E30FB7" w:rsidRPr="00920523">
        <w:rPr>
          <w:sz w:val="24"/>
          <w:szCs w:val="24"/>
        </w:rPr>
        <w:t>e</w:t>
      </w:r>
      <w:r w:rsidR="004D099C" w:rsidRPr="00920523">
        <w:rPr>
          <w:sz w:val="24"/>
          <w:szCs w:val="24"/>
        </w:rPr>
        <w:t>dilmesi, tasnif edilmesi ve yorumlanması</w:t>
      </w:r>
      <w:r w:rsidR="001A4478" w:rsidRPr="00920523">
        <w:rPr>
          <w:sz w:val="24"/>
          <w:szCs w:val="24"/>
        </w:rPr>
        <w:t>”</w:t>
      </w:r>
      <w:r w:rsidR="004D099C" w:rsidRPr="00920523">
        <w:rPr>
          <w:sz w:val="24"/>
          <w:szCs w:val="24"/>
        </w:rPr>
        <w:t xml:space="preserve">, </w:t>
      </w:r>
      <w:r w:rsidR="00C618F5" w:rsidRPr="00920523">
        <w:rPr>
          <w:sz w:val="24"/>
          <w:szCs w:val="24"/>
        </w:rPr>
        <w:t>Warner</w:t>
      </w:r>
      <w:r w:rsidR="00A4269A" w:rsidRPr="00920523">
        <w:rPr>
          <w:sz w:val="24"/>
          <w:szCs w:val="24"/>
        </w:rPr>
        <w:t xml:space="preserve"> (2002</w:t>
      </w:r>
      <w:r w:rsidR="00920523" w:rsidRPr="00920523">
        <w:rPr>
          <w:sz w:val="24"/>
          <w:szCs w:val="24"/>
        </w:rPr>
        <w:t>: 21</w:t>
      </w:r>
      <w:r w:rsidR="00A4269A" w:rsidRPr="00920523">
        <w:rPr>
          <w:sz w:val="24"/>
          <w:szCs w:val="24"/>
        </w:rPr>
        <w:t>)</w:t>
      </w:r>
      <w:r w:rsidR="00C618F5" w:rsidRPr="00920523">
        <w:rPr>
          <w:sz w:val="24"/>
          <w:szCs w:val="24"/>
        </w:rPr>
        <w:t xml:space="preserve"> ise </w:t>
      </w:r>
      <w:r w:rsidR="001A4478" w:rsidRPr="00920523">
        <w:rPr>
          <w:sz w:val="24"/>
          <w:szCs w:val="24"/>
        </w:rPr>
        <w:t>“</w:t>
      </w:r>
      <w:r w:rsidR="009E3D34" w:rsidRPr="00920523">
        <w:rPr>
          <w:sz w:val="24"/>
          <w:szCs w:val="24"/>
        </w:rPr>
        <w:t>sistematik</w:t>
      </w:r>
      <w:r w:rsidR="00C618F5" w:rsidRPr="00920523">
        <w:rPr>
          <w:sz w:val="24"/>
          <w:szCs w:val="24"/>
        </w:rPr>
        <w:t xml:space="preserve"> yöntemleri kullanarak devlet tarafından yürütülen </w:t>
      </w:r>
      <w:r w:rsidR="009E3D34" w:rsidRPr="00920523">
        <w:rPr>
          <w:sz w:val="24"/>
          <w:szCs w:val="24"/>
        </w:rPr>
        <w:t>kişiler, gruplar</w:t>
      </w:r>
      <w:r w:rsidR="00C618F5" w:rsidRPr="00920523">
        <w:rPr>
          <w:sz w:val="24"/>
          <w:szCs w:val="24"/>
        </w:rPr>
        <w:t xml:space="preserve"> veya devletlere yoğunlaşarak bilgi toplanması ve yorumlanması</w:t>
      </w:r>
      <w:r w:rsidR="001A4478" w:rsidRPr="00920523">
        <w:rPr>
          <w:sz w:val="24"/>
          <w:szCs w:val="24"/>
        </w:rPr>
        <w:t>”</w:t>
      </w:r>
      <w:r w:rsidR="00C618F5" w:rsidRPr="00920523">
        <w:rPr>
          <w:sz w:val="24"/>
          <w:szCs w:val="24"/>
        </w:rPr>
        <w:t xml:space="preserve"> olarak tanımlamıştır.</w:t>
      </w:r>
    </w:p>
    <w:p w:rsidR="006E0383" w:rsidRPr="005F583B" w:rsidRDefault="00E30FB7" w:rsidP="00400461">
      <w:pPr>
        <w:spacing w:after="120" w:line="240" w:lineRule="auto"/>
        <w:jc w:val="both"/>
        <w:rPr>
          <w:sz w:val="24"/>
          <w:szCs w:val="24"/>
        </w:rPr>
      </w:pPr>
      <w:r w:rsidRPr="005F583B">
        <w:rPr>
          <w:sz w:val="24"/>
          <w:szCs w:val="24"/>
        </w:rPr>
        <w:tab/>
      </w:r>
      <w:r w:rsidR="006E0383" w:rsidRPr="005F583B">
        <w:rPr>
          <w:sz w:val="24"/>
          <w:szCs w:val="24"/>
        </w:rPr>
        <w:t>İstihbarat ilgili olduğu alanla ilgili riskleri ve fırsatları ortaya çıkarmaya, karar alma süreçlerine destek olmaya ve hasmın bilgi toplama faaliyetlerini sekteye uğratma gayreti içerisindedir</w:t>
      </w:r>
      <w:r w:rsidR="004558AA">
        <w:rPr>
          <w:sz w:val="24"/>
          <w:szCs w:val="24"/>
        </w:rPr>
        <w:t xml:space="preserve"> </w:t>
      </w:r>
      <w:r w:rsidR="00920523">
        <w:rPr>
          <w:sz w:val="24"/>
          <w:szCs w:val="24"/>
        </w:rPr>
        <w:t>(Ataç, 2019)</w:t>
      </w:r>
      <w:r w:rsidR="004558AA">
        <w:rPr>
          <w:sz w:val="24"/>
          <w:szCs w:val="24"/>
        </w:rPr>
        <w:t xml:space="preserve">. </w:t>
      </w:r>
      <w:r w:rsidR="006E0383" w:rsidRPr="005F583B">
        <w:rPr>
          <w:sz w:val="24"/>
          <w:szCs w:val="24"/>
        </w:rPr>
        <w:t>Bu kapsamda çeşitli teknikler vasıtasıyla elde edilen bilgin</w:t>
      </w:r>
      <w:r w:rsidR="00416168">
        <w:rPr>
          <w:sz w:val="24"/>
          <w:szCs w:val="24"/>
        </w:rPr>
        <w:t>in belirli aşamalardan geçmesini</w:t>
      </w:r>
      <w:r w:rsidR="006E0383" w:rsidRPr="005F583B">
        <w:rPr>
          <w:sz w:val="24"/>
          <w:szCs w:val="24"/>
        </w:rPr>
        <w:t xml:space="preserve"> müteakip anlamlı ve işlevsel bir ürünün ortaya çıkarıldığı aşama analiz aşaması olarak </w:t>
      </w:r>
      <w:r w:rsidR="007E72A0" w:rsidRPr="005F583B">
        <w:rPr>
          <w:sz w:val="24"/>
          <w:szCs w:val="24"/>
        </w:rPr>
        <w:t>ifade edilebilir.</w:t>
      </w:r>
      <w:r w:rsidR="003C4964" w:rsidRPr="005F583B">
        <w:rPr>
          <w:sz w:val="24"/>
          <w:szCs w:val="24"/>
        </w:rPr>
        <w:t xml:space="preserve"> </w:t>
      </w:r>
      <w:r w:rsidR="007E72A0" w:rsidRPr="005F583B">
        <w:rPr>
          <w:sz w:val="24"/>
          <w:szCs w:val="24"/>
        </w:rPr>
        <w:t>Amerik</w:t>
      </w:r>
      <w:r w:rsidR="00D037A6">
        <w:rPr>
          <w:sz w:val="24"/>
          <w:szCs w:val="24"/>
        </w:rPr>
        <w:t>an Merkezi Haber Alma Teşkilatı</w:t>
      </w:r>
      <w:r w:rsidR="007E72A0" w:rsidRPr="005F583B">
        <w:rPr>
          <w:sz w:val="24"/>
          <w:szCs w:val="24"/>
        </w:rPr>
        <w:t>nın (CIA</w:t>
      </w:r>
      <w:r w:rsidR="00920523">
        <w:rPr>
          <w:sz w:val="24"/>
          <w:szCs w:val="24"/>
        </w:rPr>
        <w:t>, 2020</w:t>
      </w:r>
      <w:r w:rsidR="007E72A0" w:rsidRPr="005F583B">
        <w:rPr>
          <w:sz w:val="24"/>
          <w:szCs w:val="24"/>
        </w:rPr>
        <w:t xml:space="preserve">) </w:t>
      </w:r>
      <w:r w:rsidR="00416168">
        <w:rPr>
          <w:sz w:val="24"/>
          <w:szCs w:val="24"/>
        </w:rPr>
        <w:t>“İstihbaratın B</w:t>
      </w:r>
      <w:r w:rsidR="007E72A0" w:rsidRPr="00920523">
        <w:rPr>
          <w:sz w:val="24"/>
          <w:szCs w:val="24"/>
        </w:rPr>
        <w:t>abası”</w:t>
      </w:r>
      <w:r w:rsidR="009A46DF" w:rsidRPr="005F583B">
        <w:rPr>
          <w:sz w:val="24"/>
          <w:szCs w:val="24"/>
        </w:rPr>
        <w:t xml:space="preserve"> olarak tanımladığı </w:t>
      </w:r>
      <w:r w:rsidR="007E72A0" w:rsidRPr="005F583B">
        <w:rPr>
          <w:sz w:val="24"/>
          <w:szCs w:val="24"/>
        </w:rPr>
        <w:t>Sherman Kent’e göre</w:t>
      </w:r>
      <w:r w:rsidR="00972517">
        <w:rPr>
          <w:sz w:val="24"/>
          <w:szCs w:val="24"/>
        </w:rPr>
        <w:t xml:space="preserve"> (2003</w:t>
      </w:r>
      <w:r w:rsidR="00920523">
        <w:rPr>
          <w:sz w:val="24"/>
          <w:szCs w:val="24"/>
        </w:rPr>
        <w:t>: 175-176</w:t>
      </w:r>
      <w:r w:rsidR="00972517">
        <w:rPr>
          <w:sz w:val="24"/>
          <w:szCs w:val="24"/>
        </w:rPr>
        <w:t>)</w:t>
      </w:r>
      <w:r w:rsidR="007E72A0" w:rsidRPr="005F583B">
        <w:rPr>
          <w:sz w:val="24"/>
          <w:szCs w:val="24"/>
        </w:rPr>
        <w:t xml:space="preserve"> analiz aşaması mutlak surette düşünce sistematiği </w:t>
      </w:r>
      <w:r w:rsidR="00B35F98" w:rsidRPr="005F583B">
        <w:rPr>
          <w:sz w:val="24"/>
          <w:szCs w:val="24"/>
        </w:rPr>
        <w:t>içerisinde bir</w:t>
      </w:r>
      <w:r w:rsidR="007E72A0" w:rsidRPr="005F583B">
        <w:rPr>
          <w:sz w:val="24"/>
          <w:szCs w:val="24"/>
        </w:rPr>
        <w:t xml:space="preserve"> metot takip etmeli ve ciddi bir zihinsel çalışmanın ürünü olmalıdır.</w:t>
      </w:r>
    </w:p>
    <w:p w:rsidR="00165CB1" w:rsidRDefault="00953A32" w:rsidP="00400461">
      <w:pPr>
        <w:spacing w:after="120" w:line="240" w:lineRule="auto"/>
        <w:ind w:firstLine="708"/>
        <w:jc w:val="both"/>
        <w:rPr>
          <w:sz w:val="24"/>
          <w:szCs w:val="24"/>
        </w:rPr>
        <w:sectPr w:rsidR="00165CB1" w:rsidSect="004768ED">
          <w:headerReference w:type="even" r:id="rId9"/>
          <w:headerReference w:type="default" r:id="rId10"/>
          <w:headerReference w:type="first" r:id="rId11"/>
          <w:footnotePr>
            <w:numFmt w:val="chicago"/>
            <w:numStart w:val="5"/>
          </w:footnotePr>
          <w:endnotePr>
            <w:numFmt w:val="chicago"/>
          </w:endnotePr>
          <w:pgSz w:w="11906" w:h="16838"/>
          <w:pgMar w:top="2608" w:right="2268" w:bottom="2608" w:left="2268" w:header="709" w:footer="709" w:gutter="0"/>
          <w:pgNumType w:start="179"/>
          <w:cols w:space="708"/>
          <w:titlePg/>
          <w:docGrid w:linePitch="360"/>
        </w:sectPr>
      </w:pPr>
      <w:r w:rsidRPr="005F583B">
        <w:rPr>
          <w:sz w:val="24"/>
          <w:szCs w:val="24"/>
        </w:rPr>
        <w:t>İ</w:t>
      </w:r>
      <w:r w:rsidR="009E3D34" w:rsidRPr="005F583B">
        <w:rPr>
          <w:sz w:val="24"/>
          <w:szCs w:val="24"/>
        </w:rPr>
        <w:t xml:space="preserve">stihbarat faaliyeti tasnif edilmek istendiğinde ağırlıklı olarak kullanılan bilgi toplama yöntemine göre yapılan </w:t>
      </w:r>
      <w:r w:rsidR="005D1C01">
        <w:rPr>
          <w:sz w:val="24"/>
          <w:szCs w:val="24"/>
        </w:rPr>
        <w:t>sınıflandırm</w:t>
      </w:r>
      <w:r w:rsidR="00D037A6">
        <w:rPr>
          <w:sz w:val="24"/>
          <w:szCs w:val="24"/>
        </w:rPr>
        <w:t>a</w:t>
      </w:r>
      <w:r w:rsidR="005D1C01">
        <w:rPr>
          <w:sz w:val="24"/>
          <w:szCs w:val="24"/>
        </w:rPr>
        <w:t>lar</w:t>
      </w:r>
      <w:r w:rsidRPr="005F583B">
        <w:rPr>
          <w:sz w:val="24"/>
          <w:szCs w:val="24"/>
        </w:rPr>
        <w:t xml:space="preserve"> </w:t>
      </w:r>
      <w:r w:rsidR="009E3D34" w:rsidRPr="005F583B">
        <w:rPr>
          <w:sz w:val="24"/>
          <w:szCs w:val="24"/>
        </w:rPr>
        <w:t>öne çıkmaktadır. Çeşitli kaynaklarda farklı tasnif metotları üzerinde durulmuş olmakla beraber çalışmada yalnızca konuyla bağlantılı olan sinyal istihbaratı</w:t>
      </w:r>
    </w:p>
    <w:p w:rsidR="009E3D34" w:rsidRPr="005F583B" w:rsidRDefault="009E3D34" w:rsidP="00165CB1">
      <w:pPr>
        <w:spacing w:after="120" w:line="240" w:lineRule="auto"/>
        <w:jc w:val="both"/>
        <w:rPr>
          <w:sz w:val="24"/>
          <w:szCs w:val="24"/>
        </w:rPr>
      </w:pPr>
      <w:proofErr w:type="gramStart"/>
      <w:r w:rsidRPr="005F583B">
        <w:rPr>
          <w:sz w:val="24"/>
          <w:szCs w:val="24"/>
        </w:rPr>
        <w:lastRenderedPageBreak/>
        <w:t>ile</w:t>
      </w:r>
      <w:proofErr w:type="gramEnd"/>
      <w:r w:rsidRPr="005F583B">
        <w:rPr>
          <w:sz w:val="24"/>
          <w:szCs w:val="24"/>
        </w:rPr>
        <w:t xml:space="preserve"> ilgili bilgiler paylaşılacaktır. Sinyal istihbaratı</w:t>
      </w:r>
      <w:r w:rsidR="009D19B9" w:rsidRPr="005F583B">
        <w:rPr>
          <w:sz w:val="24"/>
          <w:szCs w:val="24"/>
        </w:rPr>
        <w:t>,</w:t>
      </w:r>
      <w:r w:rsidRPr="005F583B">
        <w:rPr>
          <w:sz w:val="24"/>
          <w:szCs w:val="24"/>
        </w:rPr>
        <w:t xml:space="preserve"> hedef örgüt, kişi veya</w:t>
      </w:r>
      <w:r w:rsidR="004B7C07" w:rsidRPr="005F583B">
        <w:rPr>
          <w:sz w:val="24"/>
          <w:szCs w:val="24"/>
        </w:rPr>
        <w:t xml:space="preserve"> devlet hakkında bilgi edinilmesi maksadıyla elektronik iletişim sistemlerinden kaynaklanan sinyallerin elde edilmesi ve anlamlandırılması olarak tanımlanabilir</w:t>
      </w:r>
      <w:r w:rsidR="00A4269A">
        <w:rPr>
          <w:sz w:val="24"/>
          <w:szCs w:val="24"/>
        </w:rPr>
        <w:t xml:space="preserve"> (</w:t>
      </w:r>
      <w:r w:rsidR="00A4269A" w:rsidRPr="00A4269A">
        <w:rPr>
          <w:sz w:val="24"/>
          <w:szCs w:val="24"/>
        </w:rPr>
        <w:t>Richelson</w:t>
      </w:r>
      <w:r w:rsidR="00A4269A">
        <w:rPr>
          <w:sz w:val="24"/>
          <w:szCs w:val="24"/>
        </w:rPr>
        <w:t>, 2012</w:t>
      </w:r>
      <w:r w:rsidR="00920523">
        <w:rPr>
          <w:sz w:val="24"/>
          <w:szCs w:val="24"/>
        </w:rPr>
        <w:t>: 4</w:t>
      </w:r>
      <w:r w:rsidR="00A4269A">
        <w:rPr>
          <w:sz w:val="24"/>
          <w:szCs w:val="24"/>
        </w:rPr>
        <w:t>)</w:t>
      </w:r>
      <w:r w:rsidR="004B7C07" w:rsidRPr="005F583B">
        <w:rPr>
          <w:sz w:val="24"/>
          <w:szCs w:val="24"/>
        </w:rPr>
        <w:t xml:space="preserve">. </w:t>
      </w:r>
      <w:r w:rsidRPr="005F583B">
        <w:rPr>
          <w:sz w:val="24"/>
          <w:szCs w:val="24"/>
        </w:rPr>
        <w:t xml:space="preserve"> </w:t>
      </w:r>
    </w:p>
    <w:p w:rsidR="00CE4FFE" w:rsidRPr="005F583B" w:rsidRDefault="004B7C07" w:rsidP="00400461">
      <w:pPr>
        <w:spacing w:after="120" w:line="240" w:lineRule="auto"/>
        <w:jc w:val="both"/>
        <w:rPr>
          <w:sz w:val="24"/>
          <w:szCs w:val="24"/>
        </w:rPr>
      </w:pPr>
      <w:r w:rsidRPr="005F583B">
        <w:rPr>
          <w:sz w:val="24"/>
          <w:szCs w:val="24"/>
        </w:rPr>
        <w:tab/>
        <w:t>SIGINT</w:t>
      </w:r>
      <w:r w:rsidR="00E91C22" w:rsidRPr="005F583B">
        <w:rPr>
          <w:sz w:val="24"/>
          <w:szCs w:val="24"/>
        </w:rPr>
        <w:t xml:space="preserve"> (Signal Intelligence)</w:t>
      </w:r>
      <w:r w:rsidRPr="005F583B">
        <w:rPr>
          <w:sz w:val="24"/>
          <w:szCs w:val="24"/>
        </w:rPr>
        <w:t xml:space="preserve"> olarak da adlandırılan sinyal istihbaratı, Venedik Komisyonu </w:t>
      </w:r>
      <w:r w:rsidR="00E91C22" w:rsidRPr="005F583B">
        <w:rPr>
          <w:sz w:val="24"/>
          <w:szCs w:val="24"/>
        </w:rPr>
        <w:t xml:space="preserve">ismiyle tanınan </w:t>
      </w:r>
      <w:r w:rsidRPr="005F583B">
        <w:rPr>
          <w:sz w:val="24"/>
          <w:szCs w:val="24"/>
        </w:rPr>
        <w:t>Avrupa Konseyi Hukuk Yoluyla Demokrasi Komisyonu</w:t>
      </w:r>
      <w:r w:rsidR="005D1C01">
        <w:rPr>
          <w:sz w:val="24"/>
          <w:szCs w:val="24"/>
        </w:rPr>
        <w:t>,</w:t>
      </w:r>
      <w:r w:rsidR="00C62ECA" w:rsidRPr="005F583B">
        <w:rPr>
          <w:sz w:val="24"/>
          <w:szCs w:val="24"/>
        </w:rPr>
        <w:t xml:space="preserve"> </w:t>
      </w:r>
      <w:r w:rsidR="00E91C22" w:rsidRPr="005F583B">
        <w:rPr>
          <w:sz w:val="24"/>
          <w:szCs w:val="24"/>
        </w:rPr>
        <w:t>“</w:t>
      </w:r>
      <w:r w:rsidR="00650854" w:rsidRPr="005F583B">
        <w:rPr>
          <w:sz w:val="24"/>
          <w:szCs w:val="24"/>
        </w:rPr>
        <w:t xml:space="preserve">Sinyal </w:t>
      </w:r>
      <w:r w:rsidR="009135A9" w:rsidRPr="005F583B">
        <w:rPr>
          <w:sz w:val="24"/>
          <w:szCs w:val="24"/>
        </w:rPr>
        <w:t>İstihbarat</w:t>
      </w:r>
      <w:r w:rsidR="00650854" w:rsidRPr="005F583B">
        <w:rPr>
          <w:sz w:val="24"/>
          <w:szCs w:val="24"/>
        </w:rPr>
        <w:t>ı</w:t>
      </w:r>
      <w:r w:rsidR="009135A9" w:rsidRPr="005F583B">
        <w:rPr>
          <w:sz w:val="24"/>
          <w:szCs w:val="24"/>
        </w:rPr>
        <w:t xml:space="preserve"> </w:t>
      </w:r>
      <w:r w:rsidR="00650854" w:rsidRPr="005F583B">
        <w:rPr>
          <w:sz w:val="24"/>
          <w:szCs w:val="24"/>
        </w:rPr>
        <w:t>Teşkilatlarının</w:t>
      </w:r>
      <w:r w:rsidR="009135A9" w:rsidRPr="005F583B">
        <w:rPr>
          <w:sz w:val="24"/>
          <w:szCs w:val="24"/>
        </w:rPr>
        <w:t xml:space="preserve"> </w:t>
      </w:r>
      <w:r w:rsidR="00650854" w:rsidRPr="005F583B">
        <w:rPr>
          <w:sz w:val="24"/>
          <w:szCs w:val="24"/>
        </w:rPr>
        <w:t>D</w:t>
      </w:r>
      <w:r w:rsidR="009135A9" w:rsidRPr="005F583B">
        <w:rPr>
          <w:sz w:val="24"/>
          <w:szCs w:val="24"/>
        </w:rPr>
        <w:t xml:space="preserve">emokratik </w:t>
      </w:r>
      <w:r w:rsidR="00C62ECA" w:rsidRPr="005F583B">
        <w:rPr>
          <w:sz w:val="24"/>
          <w:szCs w:val="24"/>
        </w:rPr>
        <w:t>G</w:t>
      </w:r>
      <w:r w:rsidR="009135A9" w:rsidRPr="005F583B">
        <w:rPr>
          <w:sz w:val="24"/>
          <w:szCs w:val="24"/>
        </w:rPr>
        <w:t>özetim</w:t>
      </w:r>
      <w:r w:rsidR="00E91C22" w:rsidRPr="005F583B">
        <w:rPr>
          <w:sz w:val="24"/>
          <w:szCs w:val="24"/>
        </w:rPr>
        <w:t>i”</w:t>
      </w:r>
      <w:r w:rsidR="009135A9" w:rsidRPr="005F583B">
        <w:rPr>
          <w:sz w:val="24"/>
          <w:szCs w:val="24"/>
        </w:rPr>
        <w:t xml:space="preserve"> raporunda</w:t>
      </w:r>
      <w:r w:rsidR="00920523">
        <w:rPr>
          <w:sz w:val="24"/>
          <w:szCs w:val="24"/>
        </w:rPr>
        <w:t xml:space="preserve"> (20</w:t>
      </w:r>
      <w:r w:rsidR="00555CE0">
        <w:rPr>
          <w:sz w:val="24"/>
          <w:szCs w:val="24"/>
        </w:rPr>
        <w:t>15</w:t>
      </w:r>
      <w:r w:rsidR="000F49CB">
        <w:rPr>
          <w:sz w:val="24"/>
          <w:szCs w:val="24"/>
        </w:rPr>
        <w:t>: 7</w:t>
      </w:r>
      <w:r w:rsidR="00920523" w:rsidRPr="00920523">
        <w:rPr>
          <w:sz w:val="24"/>
          <w:szCs w:val="24"/>
        </w:rPr>
        <w:t xml:space="preserve">) </w:t>
      </w:r>
      <w:r w:rsidR="00920523">
        <w:rPr>
          <w:sz w:val="24"/>
          <w:szCs w:val="24"/>
        </w:rPr>
        <w:t>“</w:t>
      </w:r>
      <w:r w:rsidR="00BF566F" w:rsidRPr="00920523">
        <w:rPr>
          <w:sz w:val="24"/>
          <w:szCs w:val="24"/>
        </w:rPr>
        <w:t>telsiz</w:t>
      </w:r>
      <w:r w:rsidR="00416168">
        <w:rPr>
          <w:sz w:val="24"/>
          <w:szCs w:val="24"/>
        </w:rPr>
        <w:t xml:space="preserve"> (uydu ve cep telefonu dâ</w:t>
      </w:r>
      <w:r w:rsidR="009135A9" w:rsidRPr="00920523">
        <w:rPr>
          <w:sz w:val="24"/>
          <w:szCs w:val="24"/>
        </w:rPr>
        <w:t xml:space="preserve">hil) ve kablolar </w:t>
      </w:r>
      <w:r w:rsidR="00BF566F" w:rsidRPr="00920523">
        <w:rPr>
          <w:sz w:val="24"/>
          <w:szCs w:val="24"/>
        </w:rPr>
        <w:t>vasıtasıyla taşınan</w:t>
      </w:r>
      <w:r w:rsidR="009135A9" w:rsidRPr="00920523">
        <w:rPr>
          <w:sz w:val="24"/>
          <w:szCs w:val="24"/>
        </w:rPr>
        <w:t xml:space="preserve"> iletişimin elde edilmesi ve analizi maksadıyla yapılan teknik işlemler</w:t>
      </w:r>
      <w:r w:rsidR="00CE4FFE" w:rsidRPr="00920523">
        <w:rPr>
          <w:sz w:val="24"/>
          <w:szCs w:val="24"/>
        </w:rPr>
        <w:t>”</w:t>
      </w:r>
      <w:r w:rsidR="009135A9" w:rsidRPr="005F583B">
        <w:rPr>
          <w:sz w:val="24"/>
          <w:szCs w:val="24"/>
        </w:rPr>
        <w:t xml:space="preserve"> olarak tanımlamaktadır.</w:t>
      </w:r>
    </w:p>
    <w:p w:rsidR="004B7C07" w:rsidRPr="005F583B" w:rsidRDefault="00BF566F" w:rsidP="00400461">
      <w:pPr>
        <w:spacing w:after="120" w:line="240" w:lineRule="auto"/>
        <w:ind w:firstLine="708"/>
        <w:jc w:val="both"/>
        <w:rPr>
          <w:sz w:val="24"/>
          <w:szCs w:val="24"/>
        </w:rPr>
      </w:pPr>
      <w:r w:rsidRPr="005F583B">
        <w:rPr>
          <w:sz w:val="24"/>
          <w:szCs w:val="24"/>
        </w:rPr>
        <w:t>Öncelikli olarak asker</w:t>
      </w:r>
      <w:r w:rsidR="00D037A6">
        <w:rPr>
          <w:sz w:val="24"/>
          <w:szCs w:val="24"/>
        </w:rPr>
        <w:t xml:space="preserve">î </w:t>
      </w:r>
      <w:r w:rsidRPr="005F583B">
        <w:rPr>
          <w:sz w:val="24"/>
          <w:szCs w:val="24"/>
        </w:rPr>
        <w:t xml:space="preserve">istihbaratın bir dalı olarak kullanılan ve düşman konumları ve haberleşmelerine yoğunlaşan sinyal istihbaratı imkân ve kabiliyetleri, güvenlik anlayışındaki değişim, terörizm, uyuşturucu ve insan kaçakçılığı gibi kapsam ve yetenekleri artan </w:t>
      </w:r>
      <w:r w:rsidR="00650854" w:rsidRPr="005F583B">
        <w:rPr>
          <w:sz w:val="24"/>
          <w:szCs w:val="24"/>
        </w:rPr>
        <w:t>birtakım</w:t>
      </w:r>
      <w:r w:rsidRPr="005F583B">
        <w:rPr>
          <w:sz w:val="24"/>
          <w:szCs w:val="24"/>
        </w:rPr>
        <w:t xml:space="preserve"> tehditler neticesinde iç güvenlik istihbaratında da etkili olarak kullanılmaya başlamıştır. Sinyal istihbaratının artık günümüzde kişilerin temel hak ve özgürlükleri üzerinde dikkate değer bir etkisi </w:t>
      </w:r>
      <w:r w:rsidRPr="00B3129F">
        <w:rPr>
          <w:sz w:val="24"/>
          <w:szCs w:val="24"/>
        </w:rPr>
        <w:t>bulunmaktadır</w:t>
      </w:r>
      <w:bookmarkStart w:id="10" w:name="_Hlk56326326"/>
      <w:r w:rsidR="00B3129F">
        <w:rPr>
          <w:sz w:val="24"/>
          <w:szCs w:val="24"/>
        </w:rPr>
        <w:t xml:space="preserve"> </w:t>
      </w:r>
      <w:r w:rsidR="00920523" w:rsidRPr="00B3129F">
        <w:rPr>
          <w:sz w:val="24"/>
          <w:szCs w:val="24"/>
        </w:rPr>
        <w:t>(</w:t>
      </w:r>
      <w:r w:rsidR="00E42451" w:rsidRPr="00B3129F">
        <w:rPr>
          <w:sz w:val="24"/>
          <w:szCs w:val="24"/>
        </w:rPr>
        <w:t>Venedik Komisyonu</w:t>
      </w:r>
      <w:r w:rsidR="00920523" w:rsidRPr="00B3129F">
        <w:rPr>
          <w:sz w:val="24"/>
          <w:szCs w:val="24"/>
        </w:rPr>
        <w:t>, 20</w:t>
      </w:r>
      <w:r w:rsidR="00555CE0" w:rsidRPr="00B3129F">
        <w:rPr>
          <w:sz w:val="24"/>
          <w:szCs w:val="24"/>
        </w:rPr>
        <w:t>15</w:t>
      </w:r>
      <w:r w:rsidR="00920523" w:rsidRPr="00B3129F">
        <w:rPr>
          <w:sz w:val="24"/>
          <w:szCs w:val="24"/>
        </w:rPr>
        <w:t>: 7</w:t>
      </w:r>
      <w:r w:rsidR="00920523">
        <w:rPr>
          <w:sz w:val="24"/>
          <w:szCs w:val="24"/>
        </w:rPr>
        <w:t>)</w:t>
      </w:r>
      <w:r w:rsidR="00B3129F">
        <w:rPr>
          <w:sz w:val="24"/>
          <w:szCs w:val="24"/>
        </w:rPr>
        <w:t>.</w:t>
      </w:r>
    </w:p>
    <w:bookmarkEnd w:id="10"/>
    <w:p w:rsidR="007B4FF0" w:rsidRDefault="00E91C22" w:rsidP="00400461">
      <w:pPr>
        <w:spacing w:after="120" w:line="240" w:lineRule="auto"/>
        <w:jc w:val="both"/>
        <w:rPr>
          <w:sz w:val="24"/>
          <w:szCs w:val="24"/>
        </w:rPr>
      </w:pPr>
      <w:r w:rsidRPr="005F583B">
        <w:rPr>
          <w:sz w:val="24"/>
          <w:szCs w:val="24"/>
        </w:rPr>
        <w:tab/>
        <w:t xml:space="preserve">Davaya konu olan faaliyetler ise kitle gözetim olarak adlandırılan ve bütün internet ağının çeşitli teknikler vasıtasıyla topyekûn izlenmesi faaliyetini </w:t>
      </w:r>
      <w:r w:rsidR="00D61004" w:rsidRPr="005F583B">
        <w:rPr>
          <w:sz w:val="24"/>
          <w:szCs w:val="24"/>
        </w:rPr>
        <w:t>içermektedir.</w:t>
      </w:r>
      <w:r w:rsidR="00773D93" w:rsidRPr="005F583B">
        <w:rPr>
          <w:sz w:val="24"/>
          <w:szCs w:val="24"/>
        </w:rPr>
        <w:t xml:space="preserve"> Bu kapsamda </w:t>
      </w:r>
      <w:r w:rsidR="00483107" w:rsidRPr="005F583B">
        <w:rPr>
          <w:sz w:val="24"/>
          <w:szCs w:val="24"/>
        </w:rPr>
        <w:t>k</w:t>
      </w:r>
      <w:r w:rsidR="00773D93" w:rsidRPr="005F583B">
        <w:rPr>
          <w:sz w:val="24"/>
          <w:szCs w:val="24"/>
        </w:rPr>
        <w:t>itle</w:t>
      </w:r>
      <w:r w:rsidRPr="005F583B">
        <w:rPr>
          <w:sz w:val="24"/>
          <w:szCs w:val="24"/>
        </w:rPr>
        <w:t xml:space="preserve"> </w:t>
      </w:r>
      <w:r w:rsidR="00483107" w:rsidRPr="005F583B">
        <w:rPr>
          <w:sz w:val="24"/>
          <w:szCs w:val="24"/>
        </w:rPr>
        <w:t>g</w:t>
      </w:r>
      <w:r w:rsidRPr="005F583B">
        <w:rPr>
          <w:sz w:val="24"/>
          <w:szCs w:val="24"/>
        </w:rPr>
        <w:t>özetim</w:t>
      </w:r>
      <w:r w:rsidR="00165CB1">
        <w:rPr>
          <w:rStyle w:val="DipnotBavurusu"/>
          <w:sz w:val="24"/>
          <w:szCs w:val="24"/>
        </w:rPr>
        <w:footnoteReference w:customMarkFollows="1" w:id="3"/>
        <w:t>1</w:t>
      </w:r>
      <w:r w:rsidR="00773D93" w:rsidRPr="005F583B">
        <w:rPr>
          <w:sz w:val="24"/>
          <w:szCs w:val="24"/>
        </w:rPr>
        <w:t xml:space="preserve"> </w:t>
      </w:r>
      <w:r w:rsidR="000C104A" w:rsidRPr="00E42451">
        <w:rPr>
          <w:sz w:val="24"/>
          <w:szCs w:val="24"/>
        </w:rPr>
        <w:t>“</w:t>
      </w:r>
      <w:r w:rsidR="00773D93" w:rsidRPr="00E42451">
        <w:rPr>
          <w:sz w:val="24"/>
          <w:szCs w:val="24"/>
        </w:rPr>
        <w:t>internet ağındaki bütün akışın izlenerek çeşitli teknik vasıt</w:t>
      </w:r>
      <w:r w:rsidR="00D037A6">
        <w:rPr>
          <w:sz w:val="24"/>
          <w:szCs w:val="24"/>
        </w:rPr>
        <w:t xml:space="preserve">alar kullanılmasıyla– </w:t>
      </w:r>
      <w:r w:rsidR="00773D93" w:rsidRPr="00E42451">
        <w:rPr>
          <w:sz w:val="24"/>
          <w:szCs w:val="24"/>
        </w:rPr>
        <w:t xml:space="preserve">veri madenciliği ve yapay </w:t>
      </w:r>
      <w:r w:rsidR="00F304BE" w:rsidRPr="00E42451">
        <w:rPr>
          <w:sz w:val="24"/>
          <w:szCs w:val="24"/>
        </w:rPr>
        <w:t>zekâ</w:t>
      </w:r>
      <w:r w:rsidR="00773D93" w:rsidRPr="00E42451">
        <w:rPr>
          <w:sz w:val="24"/>
          <w:szCs w:val="24"/>
        </w:rPr>
        <w:t xml:space="preserve"> teknolojileri gibi- ihtiyaç gösterilen bilginin kullanıcıların bilgisi olmaksızın toplanması</w:t>
      </w:r>
      <w:r w:rsidR="000C104A" w:rsidRPr="00E42451">
        <w:rPr>
          <w:sz w:val="24"/>
          <w:szCs w:val="24"/>
        </w:rPr>
        <w:t>”</w:t>
      </w:r>
      <w:r w:rsidR="00773D93" w:rsidRPr="005F583B">
        <w:rPr>
          <w:sz w:val="24"/>
          <w:szCs w:val="24"/>
        </w:rPr>
        <w:t xml:space="preserve"> olarak tanımlanabilir</w:t>
      </w:r>
      <w:r w:rsidR="007B4FF0">
        <w:rPr>
          <w:sz w:val="24"/>
          <w:szCs w:val="24"/>
        </w:rPr>
        <w:t xml:space="preserve"> (</w:t>
      </w:r>
      <w:r w:rsidR="007B4FF0" w:rsidRPr="007B4FF0">
        <w:rPr>
          <w:sz w:val="24"/>
          <w:szCs w:val="24"/>
        </w:rPr>
        <w:t>Inkster</w:t>
      </w:r>
      <w:r w:rsidR="007B4FF0">
        <w:rPr>
          <w:sz w:val="24"/>
          <w:szCs w:val="24"/>
        </w:rPr>
        <w:t>,</w:t>
      </w:r>
      <w:r w:rsidR="000F49CB">
        <w:rPr>
          <w:sz w:val="24"/>
          <w:szCs w:val="24"/>
        </w:rPr>
        <w:t xml:space="preserve"> </w:t>
      </w:r>
      <w:r w:rsidR="007B4FF0">
        <w:rPr>
          <w:sz w:val="24"/>
          <w:szCs w:val="24"/>
        </w:rPr>
        <w:t>2014:</w:t>
      </w:r>
      <w:r w:rsidR="00416168">
        <w:rPr>
          <w:sz w:val="24"/>
          <w:szCs w:val="24"/>
        </w:rPr>
        <w:t xml:space="preserve"> </w:t>
      </w:r>
      <w:r w:rsidR="007B4FF0">
        <w:rPr>
          <w:sz w:val="24"/>
          <w:szCs w:val="24"/>
        </w:rPr>
        <w:t>2</w:t>
      </w:r>
      <w:r w:rsidR="00756DEE">
        <w:rPr>
          <w:sz w:val="24"/>
          <w:szCs w:val="24"/>
        </w:rPr>
        <w:t>;</w:t>
      </w:r>
      <w:r w:rsidR="00E42451">
        <w:rPr>
          <w:sz w:val="24"/>
          <w:szCs w:val="24"/>
        </w:rPr>
        <w:t xml:space="preserve"> Shuster,</w:t>
      </w:r>
      <w:r w:rsidR="003F500E">
        <w:rPr>
          <w:sz w:val="24"/>
          <w:szCs w:val="24"/>
        </w:rPr>
        <w:t xml:space="preserve"> Van Der Berg, Larrucea, Slewe,</w:t>
      </w:r>
      <w:r w:rsidR="004558AA">
        <w:rPr>
          <w:sz w:val="24"/>
          <w:szCs w:val="24"/>
        </w:rPr>
        <w:t xml:space="preserve"> </w:t>
      </w:r>
      <w:r w:rsidR="003F500E">
        <w:rPr>
          <w:sz w:val="24"/>
          <w:szCs w:val="24"/>
        </w:rPr>
        <w:t>Ide-Peter,</w:t>
      </w:r>
      <w:r w:rsidR="00E42451">
        <w:rPr>
          <w:sz w:val="24"/>
          <w:szCs w:val="24"/>
        </w:rPr>
        <w:t xml:space="preserve"> 2017: 76</w:t>
      </w:r>
      <w:r w:rsidR="007B4FF0">
        <w:rPr>
          <w:sz w:val="24"/>
          <w:szCs w:val="24"/>
        </w:rPr>
        <w:t>).</w:t>
      </w:r>
      <w:r w:rsidR="007B4FF0" w:rsidRPr="007B4FF0">
        <w:rPr>
          <w:rStyle w:val="DipnotBavurusu"/>
          <w:sz w:val="24"/>
          <w:szCs w:val="24"/>
          <w:vertAlign w:val="baseline"/>
        </w:rPr>
        <w:t xml:space="preserve"> </w:t>
      </w:r>
    </w:p>
    <w:p w:rsidR="007F5946" w:rsidRPr="005F583B" w:rsidRDefault="007F5946" w:rsidP="00400461">
      <w:pPr>
        <w:spacing w:after="120" w:line="240" w:lineRule="auto"/>
        <w:jc w:val="both"/>
        <w:rPr>
          <w:sz w:val="24"/>
          <w:szCs w:val="24"/>
        </w:rPr>
      </w:pPr>
      <w:r w:rsidRPr="005F583B">
        <w:rPr>
          <w:sz w:val="24"/>
          <w:szCs w:val="24"/>
        </w:rPr>
        <w:tab/>
        <w:t xml:space="preserve">Bu </w:t>
      </w:r>
      <w:r w:rsidR="000C7505" w:rsidRPr="005F583B">
        <w:rPr>
          <w:sz w:val="24"/>
          <w:szCs w:val="24"/>
        </w:rPr>
        <w:t>noktada davaya</w:t>
      </w:r>
      <w:r w:rsidRPr="005F583B">
        <w:rPr>
          <w:sz w:val="24"/>
          <w:szCs w:val="24"/>
        </w:rPr>
        <w:t xml:space="preserve"> konu olayın hukuki tanımlamasını daha sıhhatli yapabilmek adına Venedik Komisyonunun raporunda belirtilmiş ve kitle gözetimin diğer iletişimin denetlenmesi/tespiti tedbirlerinden farklı olan </w:t>
      </w:r>
      <w:r w:rsidR="00B65022" w:rsidRPr="005F583B">
        <w:rPr>
          <w:sz w:val="24"/>
          <w:szCs w:val="24"/>
        </w:rPr>
        <w:t xml:space="preserve">bir hususa </w:t>
      </w:r>
      <w:r w:rsidRPr="005F583B">
        <w:rPr>
          <w:sz w:val="24"/>
          <w:szCs w:val="24"/>
        </w:rPr>
        <w:t>dikkat çekmek faydalı olacaktır.</w:t>
      </w:r>
      <w:r w:rsidR="000C7505" w:rsidRPr="005F583B">
        <w:rPr>
          <w:sz w:val="24"/>
          <w:szCs w:val="24"/>
        </w:rPr>
        <w:t xml:space="preserve"> Özellikle iç güvenliğe yönelik çalışan i</w:t>
      </w:r>
      <w:r w:rsidRPr="005F583B">
        <w:rPr>
          <w:sz w:val="24"/>
          <w:szCs w:val="24"/>
        </w:rPr>
        <w:t xml:space="preserve">stihbarat teşkilatları ve </w:t>
      </w:r>
      <w:r w:rsidR="000C7505" w:rsidRPr="005F583B">
        <w:rPr>
          <w:sz w:val="24"/>
          <w:szCs w:val="24"/>
        </w:rPr>
        <w:t>kolluk güçleri tarafından icra edilen istihbarat faaliyetleri kişilerin bir suçu işlediği, hazırlandığı veya planladığı hipotezi ile başlamaktadır ve açık şekilde AİHS’nin 8’inci maddesine kapsamında bir müdahale niteliği taşırlar. Böyle bir tedbirin başlatılması için araştırmacıların elinde suç işlendiği veya işleneceğine dair bir emarenin bulunması şarttır</w:t>
      </w:r>
      <w:r w:rsidR="00E42451">
        <w:rPr>
          <w:sz w:val="24"/>
          <w:szCs w:val="24"/>
        </w:rPr>
        <w:t xml:space="preserve"> </w:t>
      </w:r>
      <w:r w:rsidR="00E42451" w:rsidRPr="00E42451">
        <w:rPr>
          <w:sz w:val="24"/>
          <w:szCs w:val="24"/>
        </w:rPr>
        <w:t>(Venedik Komisyonu, 20</w:t>
      </w:r>
      <w:r w:rsidR="00555CE0">
        <w:rPr>
          <w:sz w:val="24"/>
          <w:szCs w:val="24"/>
        </w:rPr>
        <w:t>15</w:t>
      </w:r>
      <w:r w:rsidR="00E42451" w:rsidRPr="00E42451">
        <w:rPr>
          <w:sz w:val="24"/>
          <w:szCs w:val="24"/>
        </w:rPr>
        <w:t xml:space="preserve">: </w:t>
      </w:r>
      <w:r w:rsidR="00E42451">
        <w:rPr>
          <w:sz w:val="24"/>
          <w:szCs w:val="24"/>
        </w:rPr>
        <w:t>9</w:t>
      </w:r>
      <w:r w:rsidR="00E42451" w:rsidRPr="00E42451">
        <w:rPr>
          <w:sz w:val="24"/>
          <w:szCs w:val="24"/>
        </w:rPr>
        <w:t>)</w:t>
      </w:r>
      <w:r w:rsidR="000C7505" w:rsidRPr="005F583B">
        <w:rPr>
          <w:sz w:val="24"/>
          <w:szCs w:val="24"/>
        </w:rPr>
        <w:t>.</w:t>
      </w:r>
    </w:p>
    <w:p w:rsidR="00DE53AA" w:rsidRDefault="00B65022" w:rsidP="009D5E1A">
      <w:pPr>
        <w:spacing w:before="240" w:after="240" w:line="240" w:lineRule="auto"/>
        <w:ind w:firstLine="708"/>
        <w:jc w:val="both"/>
        <w:rPr>
          <w:sz w:val="24"/>
          <w:szCs w:val="24"/>
        </w:rPr>
      </w:pPr>
      <w:r w:rsidRPr="005F583B">
        <w:rPr>
          <w:sz w:val="24"/>
          <w:szCs w:val="24"/>
        </w:rPr>
        <w:lastRenderedPageBreak/>
        <w:t xml:space="preserve">Ancak </w:t>
      </w:r>
      <w:r w:rsidR="00325355" w:rsidRPr="005F583B">
        <w:rPr>
          <w:sz w:val="24"/>
          <w:szCs w:val="24"/>
        </w:rPr>
        <w:t>k</w:t>
      </w:r>
      <w:r w:rsidRPr="005F583B">
        <w:rPr>
          <w:sz w:val="24"/>
          <w:szCs w:val="24"/>
        </w:rPr>
        <w:t xml:space="preserve">lasik anlamda kullanılan </w:t>
      </w:r>
      <w:r w:rsidRPr="00B35F98">
        <w:rPr>
          <w:sz w:val="24"/>
          <w:szCs w:val="24"/>
        </w:rPr>
        <w:t>“hedefli”</w:t>
      </w:r>
      <w:r w:rsidRPr="005F583B">
        <w:rPr>
          <w:sz w:val="24"/>
          <w:szCs w:val="24"/>
        </w:rPr>
        <w:t xml:space="preserve"> yöntemin aksine kitle gözetim faaliyetinin icrasının başlaması için makul şüpheye veya suç işlendiği emaresine ihtiyaç bulunmamaktadır. Herhangi bir istihbarat ihtiyacı için çalışmaya başlayan sistem bütün internet ve telefon ağından geçmekte olan </w:t>
      </w:r>
      <w:r w:rsidR="008C1C4B" w:rsidRPr="005F583B">
        <w:rPr>
          <w:sz w:val="24"/>
          <w:szCs w:val="24"/>
        </w:rPr>
        <w:t>veriyi tarayarak</w:t>
      </w:r>
      <w:r w:rsidRPr="005F583B">
        <w:rPr>
          <w:sz w:val="24"/>
          <w:szCs w:val="24"/>
        </w:rPr>
        <w:t xml:space="preserve"> kendi belirlediği bazı parametreler, kelimeler, konum</w:t>
      </w:r>
      <w:r w:rsidR="008C1C4B" w:rsidRPr="005F583B">
        <w:rPr>
          <w:sz w:val="24"/>
          <w:szCs w:val="24"/>
        </w:rPr>
        <w:t>lar</w:t>
      </w:r>
      <w:r w:rsidRPr="005F583B">
        <w:rPr>
          <w:sz w:val="24"/>
          <w:szCs w:val="24"/>
        </w:rPr>
        <w:t xml:space="preserve"> veya kişilerle alakalı bütün veri</w:t>
      </w:r>
      <w:r w:rsidR="00953A32" w:rsidRPr="005F583B">
        <w:rPr>
          <w:sz w:val="24"/>
          <w:szCs w:val="24"/>
        </w:rPr>
        <w:t>yi</w:t>
      </w:r>
      <w:r w:rsidRPr="005F583B">
        <w:rPr>
          <w:sz w:val="24"/>
          <w:szCs w:val="24"/>
        </w:rPr>
        <w:t xml:space="preserve"> toplar.</w:t>
      </w:r>
      <w:r w:rsidR="008C1C4B" w:rsidRPr="005F583B">
        <w:rPr>
          <w:sz w:val="24"/>
          <w:szCs w:val="24"/>
        </w:rPr>
        <w:t xml:space="preserve"> Veri madenciliği vb. birçok tekniği kullanarak, ihtiyacı olan bilgiyi süzerek analistlerin zaman ve boyut olarak inceleyebileceği hale getirir. Dolayısıyla tahmin edilen bir tehdidi araştırmak yerine bir tehlike bulmayı veya tanımlamayı amaçlayan proaktif bir tutum izlemektedir. Kuşkusuz bu uygulamanın istihbarat ve güvenlik güçlerine sağladığı kolaylık ve durum üstünlüğü sağlamasının yanında temel hak ve özgürlükler üzerinde oluşturabileceği büyük riskler </w:t>
      </w:r>
      <w:r w:rsidR="008C1C4B" w:rsidRPr="00B3129F">
        <w:rPr>
          <w:sz w:val="24"/>
          <w:szCs w:val="24"/>
        </w:rPr>
        <w:t>bulunmaktadır</w:t>
      </w:r>
      <w:r w:rsidR="00B3129F">
        <w:rPr>
          <w:sz w:val="24"/>
          <w:szCs w:val="24"/>
        </w:rPr>
        <w:t xml:space="preserve"> </w:t>
      </w:r>
      <w:r w:rsidR="00E42451" w:rsidRPr="00B3129F">
        <w:rPr>
          <w:sz w:val="24"/>
          <w:szCs w:val="24"/>
        </w:rPr>
        <w:t>(Venedik Komisyonu, 20</w:t>
      </w:r>
      <w:r w:rsidR="00555CE0" w:rsidRPr="00B3129F">
        <w:rPr>
          <w:sz w:val="24"/>
          <w:szCs w:val="24"/>
        </w:rPr>
        <w:t>15</w:t>
      </w:r>
      <w:r w:rsidR="00E42451" w:rsidRPr="00B3129F">
        <w:rPr>
          <w:sz w:val="24"/>
          <w:szCs w:val="24"/>
        </w:rPr>
        <w:t>: 9-10).</w:t>
      </w:r>
    </w:p>
    <w:p w:rsidR="00192065" w:rsidRPr="00DE53AA" w:rsidRDefault="00827129" w:rsidP="009D5E1A">
      <w:pPr>
        <w:spacing w:before="240" w:after="240" w:line="240" w:lineRule="auto"/>
        <w:jc w:val="center"/>
        <w:rPr>
          <w:sz w:val="24"/>
          <w:szCs w:val="24"/>
        </w:rPr>
      </w:pPr>
      <w:r w:rsidRPr="00DE53AA">
        <w:rPr>
          <w:b/>
          <w:bCs/>
          <w:sz w:val="24"/>
          <w:szCs w:val="24"/>
        </w:rPr>
        <w:t xml:space="preserve">Gizli Gözetim Tedbirlerine </w:t>
      </w:r>
      <w:r w:rsidR="00323484" w:rsidRPr="00DE53AA">
        <w:rPr>
          <w:b/>
          <w:bCs/>
          <w:sz w:val="24"/>
          <w:szCs w:val="24"/>
        </w:rPr>
        <w:t>İlişkin</w:t>
      </w:r>
      <w:r w:rsidR="005D1C01">
        <w:rPr>
          <w:b/>
          <w:bCs/>
          <w:sz w:val="24"/>
          <w:szCs w:val="24"/>
        </w:rPr>
        <w:t xml:space="preserve"> AİHM</w:t>
      </w:r>
      <w:r w:rsidR="00323484" w:rsidRPr="00DE53AA">
        <w:rPr>
          <w:b/>
          <w:bCs/>
          <w:sz w:val="24"/>
          <w:szCs w:val="24"/>
        </w:rPr>
        <w:t xml:space="preserve"> İçtihadın</w:t>
      </w:r>
      <w:r w:rsidR="005D1C01">
        <w:rPr>
          <w:b/>
          <w:bCs/>
          <w:sz w:val="24"/>
          <w:szCs w:val="24"/>
        </w:rPr>
        <w:t>ın</w:t>
      </w:r>
      <w:r w:rsidR="00323484" w:rsidRPr="00DE53AA">
        <w:rPr>
          <w:b/>
          <w:bCs/>
          <w:sz w:val="24"/>
          <w:szCs w:val="24"/>
        </w:rPr>
        <w:t xml:space="preserve"> İncelenmesi</w:t>
      </w:r>
    </w:p>
    <w:p w:rsidR="00B639BF" w:rsidRPr="005F583B" w:rsidRDefault="009077D0" w:rsidP="009D5E1A">
      <w:pPr>
        <w:spacing w:before="120" w:after="120" w:line="240" w:lineRule="auto"/>
        <w:ind w:firstLine="708"/>
        <w:jc w:val="both"/>
        <w:rPr>
          <w:sz w:val="24"/>
          <w:szCs w:val="24"/>
        </w:rPr>
      </w:pPr>
      <w:r w:rsidRPr="005F583B">
        <w:rPr>
          <w:sz w:val="24"/>
          <w:szCs w:val="24"/>
        </w:rPr>
        <w:t xml:space="preserve">Toplu Gözetimi kapsayan bir kavram olarak değerlendirilen gizli gözetime ilişkin </w:t>
      </w:r>
      <w:r w:rsidR="000041A4" w:rsidRPr="005F583B">
        <w:rPr>
          <w:sz w:val="24"/>
          <w:szCs w:val="24"/>
        </w:rPr>
        <w:t>AİH</w:t>
      </w:r>
      <w:r w:rsidR="00CF0C3C" w:rsidRPr="005F583B">
        <w:rPr>
          <w:sz w:val="24"/>
          <w:szCs w:val="24"/>
        </w:rPr>
        <w:t>M’</w:t>
      </w:r>
      <w:r w:rsidR="005D1C01">
        <w:rPr>
          <w:sz w:val="24"/>
          <w:szCs w:val="24"/>
        </w:rPr>
        <w:t>n</w:t>
      </w:r>
      <w:r w:rsidR="004558AA">
        <w:rPr>
          <w:sz w:val="24"/>
          <w:szCs w:val="24"/>
        </w:rPr>
        <w:t>in</w:t>
      </w:r>
      <w:r w:rsidRPr="005F583B">
        <w:rPr>
          <w:sz w:val="24"/>
          <w:szCs w:val="24"/>
        </w:rPr>
        <w:t xml:space="preserve"> oldukça </w:t>
      </w:r>
      <w:r w:rsidR="00B35F98" w:rsidRPr="005F583B">
        <w:rPr>
          <w:sz w:val="24"/>
          <w:szCs w:val="24"/>
        </w:rPr>
        <w:t>zengin bir</w:t>
      </w:r>
      <w:r w:rsidRPr="005F583B">
        <w:rPr>
          <w:sz w:val="24"/>
          <w:szCs w:val="24"/>
        </w:rPr>
        <w:t xml:space="preserve"> içtihadı </w:t>
      </w:r>
      <w:r w:rsidR="004558AA">
        <w:rPr>
          <w:sz w:val="24"/>
          <w:szCs w:val="24"/>
        </w:rPr>
        <w:t>bulunduğunu</w:t>
      </w:r>
      <w:r w:rsidRPr="005F583B">
        <w:rPr>
          <w:sz w:val="24"/>
          <w:szCs w:val="24"/>
        </w:rPr>
        <w:t xml:space="preserve"> söylemek mümkündür</w:t>
      </w:r>
      <w:r w:rsidR="00E42451">
        <w:rPr>
          <w:sz w:val="24"/>
          <w:szCs w:val="24"/>
        </w:rPr>
        <w:t xml:space="preserve"> (Venedik Komisyonu, 20</w:t>
      </w:r>
      <w:r w:rsidR="00555CE0">
        <w:rPr>
          <w:sz w:val="24"/>
          <w:szCs w:val="24"/>
        </w:rPr>
        <w:t>15</w:t>
      </w:r>
      <w:r w:rsidR="00E42451">
        <w:rPr>
          <w:sz w:val="24"/>
          <w:szCs w:val="24"/>
        </w:rPr>
        <w:t>: 5</w:t>
      </w:r>
      <w:r w:rsidR="00B35F98">
        <w:rPr>
          <w:sz w:val="24"/>
          <w:szCs w:val="24"/>
        </w:rPr>
        <w:t>;</w:t>
      </w:r>
      <w:r w:rsidR="00E42451">
        <w:rPr>
          <w:sz w:val="24"/>
          <w:szCs w:val="24"/>
        </w:rPr>
        <w:t xml:space="preserve"> AİHM,</w:t>
      </w:r>
      <w:r w:rsidR="004558AA">
        <w:rPr>
          <w:sz w:val="24"/>
          <w:szCs w:val="24"/>
        </w:rPr>
        <w:t xml:space="preserve"> </w:t>
      </w:r>
      <w:r w:rsidR="003F500E">
        <w:rPr>
          <w:sz w:val="24"/>
          <w:szCs w:val="24"/>
        </w:rPr>
        <w:t>2019</w:t>
      </w:r>
      <w:r w:rsidR="00E42451">
        <w:rPr>
          <w:sz w:val="24"/>
          <w:szCs w:val="24"/>
        </w:rPr>
        <w:t>,</w:t>
      </w:r>
      <w:r w:rsidR="003F500E">
        <w:rPr>
          <w:sz w:val="24"/>
          <w:szCs w:val="24"/>
        </w:rPr>
        <w:t xml:space="preserve"> </w:t>
      </w:r>
      <w:r w:rsidR="00E42451">
        <w:rPr>
          <w:sz w:val="24"/>
          <w:szCs w:val="24"/>
        </w:rPr>
        <w:t>para.</w:t>
      </w:r>
      <w:r w:rsidR="00416168">
        <w:rPr>
          <w:sz w:val="24"/>
          <w:szCs w:val="24"/>
        </w:rPr>
        <w:t xml:space="preserve"> </w:t>
      </w:r>
      <w:r w:rsidR="00E42451">
        <w:rPr>
          <w:sz w:val="24"/>
          <w:szCs w:val="24"/>
        </w:rPr>
        <w:t>303).</w:t>
      </w:r>
      <w:r w:rsidR="00B639BF" w:rsidRPr="005F583B">
        <w:rPr>
          <w:sz w:val="24"/>
          <w:szCs w:val="24"/>
        </w:rPr>
        <w:t xml:space="preserve"> Tahmin edileceği üzere istihbarat ve kolluk </w:t>
      </w:r>
      <w:r w:rsidR="00223F19" w:rsidRPr="005F583B">
        <w:rPr>
          <w:sz w:val="24"/>
          <w:szCs w:val="24"/>
        </w:rPr>
        <w:t>birimleri</w:t>
      </w:r>
      <w:r w:rsidR="00B639BF" w:rsidRPr="005F583B">
        <w:rPr>
          <w:sz w:val="24"/>
          <w:szCs w:val="24"/>
        </w:rPr>
        <w:t xml:space="preserve"> tarafından yapılan </w:t>
      </w:r>
      <w:r w:rsidR="00CA1ADB" w:rsidRPr="005F583B">
        <w:rPr>
          <w:sz w:val="24"/>
          <w:szCs w:val="24"/>
        </w:rPr>
        <w:t>gizli gözetim tedbirleri</w:t>
      </w:r>
      <w:r w:rsidR="00B639BF" w:rsidRPr="005F583B">
        <w:rPr>
          <w:sz w:val="24"/>
          <w:szCs w:val="24"/>
        </w:rPr>
        <w:t>, iletişimin tespitinden</w:t>
      </w:r>
      <w:r w:rsidR="00FE0595">
        <w:rPr>
          <w:sz w:val="24"/>
          <w:szCs w:val="24"/>
        </w:rPr>
        <w:t xml:space="preserve"> (AİHM, 1984)</w:t>
      </w:r>
      <w:r w:rsidR="00B639BF" w:rsidRPr="005F583B">
        <w:rPr>
          <w:sz w:val="24"/>
          <w:szCs w:val="24"/>
        </w:rPr>
        <w:t>, kişisel verilerin elde edilmesine</w:t>
      </w:r>
      <w:r w:rsidR="00FE0595">
        <w:rPr>
          <w:sz w:val="24"/>
          <w:szCs w:val="24"/>
        </w:rPr>
        <w:t xml:space="preserve"> (AİHM, 1987)</w:t>
      </w:r>
      <w:r w:rsidR="00B639BF" w:rsidRPr="005F583B">
        <w:rPr>
          <w:sz w:val="24"/>
          <w:szCs w:val="24"/>
        </w:rPr>
        <w:t>,</w:t>
      </w:r>
      <w:r w:rsidR="009D19B9" w:rsidRPr="005F583B">
        <w:rPr>
          <w:sz w:val="24"/>
          <w:szCs w:val="24"/>
        </w:rPr>
        <w:t xml:space="preserve"> </w:t>
      </w:r>
      <w:r w:rsidR="004558AA">
        <w:rPr>
          <w:sz w:val="24"/>
          <w:szCs w:val="24"/>
        </w:rPr>
        <w:t>k</w:t>
      </w:r>
      <w:r w:rsidR="009D19B9" w:rsidRPr="005F583B">
        <w:rPr>
          <w:sz w:val="24"/>
          <w:szCs w:val="24"/>
        </w:rPr>
        <w:t>üresel konumlama sistemi/</w:t>
      </w:r>
      <w:r w:rsidR="00B639BF" w:rsidRPr="005F583B">
        <w:rPr>
          <w:sz w:val="24"/>
          <w:szCs w:val="24"/>
        </w:rPr>
        <w:t>GPS</w:t>
      </w:r>
      <w:r w:rsidR="00FE0595">
        <w:rPr>
          <w:sz w:val="24"/>
          <w:szCs w:val="24"/>
        </w:rPr>
        <w:t xml:space="preserve"> </w:t>
      </w:r>
      <w:bookmarkStart w:id="11" w:name="_Hlk56419454"/>
      <w:r w:rsidR="00FE0595">
        <w:rPr>
          <w:sz w:val="24"/>
          <w:szCs w:val="24"/>
        </w:rPr>
        <w:t>(AİHM, 2000c)</w:t>
      </w:r>
      <w:bookmarkEnd w:id="11"/>
      <w:r w:rsidR="00B639BF" w:rsidRPr="005F583B">
        <w:rPr>
          <w:sz w:val="24"/>
          <w:szCs w:val="24"/>
        </w:rPr>
        <w:t xml:space="preserve"> </w:t>
      </w:r>
      <w:r w:rsidR="00CA1ADB" w:rsidRPr="005F583B">
        <w:rPr>
          <w:sz w:val="24"/>
          <w:szCs w:val="24"/>
        </w:rPr>
        <w:t xml:space="preserve">vasıtasıyla </w:t>
      </w:r>
      <w:r w:rsidR="00B639BF" w:rsidRPr="005F583B">
        <w:rPr>
          <w:sz w:val="24"/>
          <w:szCs w:val="24"/>
        </w:rPr>
        <w:t xml:space="preserve">konum takibinden, haberleşmenin kayda </w:t>
      </w:r>
      <w:r w:rsidR="00CA1ADB" w:rsidRPr="005F583B">
        <w:rPr>
          <w:sz w:val="24"/>
          <w:szCs w:val="24"/>
        </w:rPr>
        <w:t>alınmasına</w:t>
      </w:r>
      <w:r w:rsidR="00FE0595">
        <w:rPr>
          <w:sz w:val="24"/>
          <w:szCs w:val="24"/>
        </w:rPr>
        <w:t xml:space="preserve"> (AİHM, 1978)</w:t>
      </w:r>
      <w:r w:rsidR="00B639BF" w:rsidRPr="005F583B">
        <w:rPr>
          <w:sz w:val="24"/>
          <w:szCs w:val="24"/>
        </w:rPr>
        <w:t xml:space="preserve"> kadar geniş bir yelpazede seyretmektedir</w:t>
      </w:r>
      <w:r w:rsidR="002402B1">
        <w:rPr>
          <w:sz w:val="24"/>
          <w:szCs w:val="24"/>
        </w:rPr>
        <w:t xml:space="preserve"> (AİHM, 2019: para. 303)</w:t>
      </w:r>
      <w:r w:rsidR="00B639BF" w:rsidRPr="005F583B">
        <w:rPr>
          <w:sz w:val="24"/>
          <w:szCs w:val="24"/>
        </w:rPr>
        <w:t xml:space="preserve">. </w:t>
      </w:r>
      <w:r w:rsidRPr="005F583B">
        <w:rPr>
          <w:sz w:val="24"/>
          <w:szCs w:val="24"/>
        </w:rPr>
        <w:t>19</w:t>
      </w:r>
      <w:r w:rsidR="0062076E" w:rsidRPr="005F583B">
        <w:rPr>
          <w:sz w:val="24"/>
          <w:szCs w:val="24"/>
        </w:rPr>
        <w:t>7</w:t>
      </w:r>
      <w:r w:rsidRPr="005F583B">
        <w:rPr>
          <w:sz w:val="24"/>
          <w:szCs w:val="24"/>
        </w:rPr>
        <w:t>0’li yılların başından itibaren mahkeme</w:t>
      </w:r>
      <w:r w:rsidR="009D19B9" w:rsidRPr="005F583B">
        <w:rPr>
          <w:sz w:val="24"/>
          <w:szCs w:val="24"/>
        </w:rPr>
        <w:t>,</w:t>
      </w:r>
      <w:r w:rsidRPr="005F583B">
        <w:rPr>
          <w:sz w:val="24"/>
          <w:szCs w:val="24"/>
        </w:rPr>
        <w:t xml:space="preserve"> gizli gözetime ilişkin pek çok hüküm vermiştir. Bu kararlardan istifade etmek suretiyle </w:t>
      </w:r>
      <w:r w:rsidR="00654515" w:rsidRPr="005F583B">
        <w:rPr>
          <w:sz w:val="24"/>
          <w:szCs w:val="24"/>
        </w:rPr>
        <w:t>kitle gözetim</w:t>
      </w:r>
      <w:r w:rsidRPr="005F583B">
        <w:rPr>
          <w:sz w:val="24"/>
          <w:szCs w:val="24"/>
        </w:rPr>
        <w:t>in hukuki niteliğine</w:t>
      </w:r>
      <w:r w:rsidR="00654515" w:rsidRPr="005F583B">
        <w:rPr>
          <w:sz w:val="24"/>
          <w:szCs w:val="24"/>
        </w:rPr>
        <w:t xml:space="preserve"> ilişkin </w:t>
      </w:r>
      <w:r w:rsidR="00CA1ADB" w:rsidRPr="005F583B">
        <w:rPr>
          <w:sz w:val="24"/>
          <w:szCs w:val="24"/>
        </w:rPr>
        <w:t>birtakım</w:t>
      </w:r>
      <w:r w:rsidR="00654515" w:rsidRPr="005F583B">
        <w:rPr>
          <w:sz w:val="24"/>
          <w:szCs w:val="24"/>
        </w:rPr>
        <w:t xml:space="preserve"> tespitler yapılabilir.</w:t>
      </w:r>
    </w:p>
    <w:p w:rsidR="00654515" w:rsidRPr="005F583B" w:rsidRDefault="00654515" w:rsidP="009D5E1A">
      <w:pPr>
        <w:tabs>
          <w:tab w:val="left" w:pos="8647"/>
        </w:tabs>
        <w:spacing w:before="120" w:after="120" w:line="240" w:lineRule="auto"/>
        <w:ind w:firstLine="705"/>
        <w:jc w:val="both"/>
        <w:rPr>
          <w:sz w:val="24"/>
          <w:szCs w:val="24"/>
        </w:rPr>
      </w:pPr>
      <w:r w:rsidRPr="005F583B">
        <w:rPr>
          <w:sz w:val="24"/>
          <w:szCs w:val="24"/>
        </w:rPr>
        <w:t>Öncelikle belirtmek gerek</w:t>
      </w:r>
      <w:r w:rsidR="00223F19" w:rsidRPr="005F583B">
        <w:rPr>
          <w:sz w:val="24"/>
          <w:szCs w:val="24"/>
        </w:rPr>
        <w:t xml:space="preserve">mektedir ki </w:t>
      </w:r>
      <w:r w:rsidRPr="005F583B">
        <w:rPr>
          <w:sz w:val="24"/>
          <w:szCs w:val="24"/>
        </w:rPr>
        <w:t xml:space="preserve">sözleşme hükümlerinde de açık olarak zikredildiği üzere </w:t>
      </w:r>
      <w:r w:rsidR="00223F19" w:rsidRPr="005F583B">
        <w:rPr>
          <w:sz w:val="24"/>
          <w:szCs w:val="24"/>
        </w:rPr>
        <w:t>sözleşmenin</w:t>
      </w:r>
      <w:r w:rsidRPr="005F583B">
        <w:rPr>
          <w:sz w:val="24"/>
          <w:szCs w:val="24"/>
        </w:rPr>
        <w:t xml:space="preserve"> 8</w:t>
      </w:r>
      <w:r w:rsidR="00223F19" w:rsidRPr="005F583B">
        <w:rPr>
          <w:sz w:val="24"/>
          <w:szCs w:val="24"/>
        </w:rPr>
        <w:t>’i</w:t>
      </w:r>
      <w:r w:rsidRPr="005F583B">
        <w:rPr>
          <w:sz w:val="24"/>
          <w:szCs w:val="24"/>
        </w:rPr>
        <w:t xml:space="preserve">nci maddesi uyarınca özel hayat kapsamındaki herhangi bir husus ancak ve ancak kanunla düzenlenmesi, meşru bir amaç taşıması ve demokratik toplumun gereklerine </w:t>
      </w:r>
      <w:r w:rsidR="00223F19" w:rsidRPr="005F583B">
        <w:rPr>
          <w:sz w:val="24"/>
          <w:szCs w:val="24"/>
        </w:rPr>
        <w:t>orantılılık</w:t>
      </w:r>
      <w:r w:rsidRPr="005F583B">
        <w:rPr>
          <w:sz w:val="24"/>
          <w:szCs w:val="24"/>
        </w:rPr>
        <w:t xml:space="preserve"> prensibi uyarınca uyumlu olduğu müddetçe müdahaleye konu olabilir</w:t>
      </w:r>
      <w:r w:rsidR="002402B1">
        <w:rPr>
          <w:sz w:val="24"/>
          <w:szCs w:val="24"/>
        </w:rPr>
        <w:t xml:space="preserve"> (AİHM, 2016: para. 54)</w:t>
      </w:r>
      <w:r w:rsidR="00743A9D">
        <w:rPr>
          <w:sz w:val="24"/>
          <w:szCs w:val="24"/>
        </w:rPr>
        <w:t>.</w:t>
      </w:r>
    </w:p>
    <w:p w:rsidR="00654515" w:rsidRPr="005F583B" w:rsidRDefault="00654515" w:rsidP="00400461">
      <w:pPr>
        <w:tabs>
          <w:tab w:val="left" w:pos="8647"/>
        </w:tabs>
        <w:spacing w:after="120" w:line="240" w:lineRule="auto"/>
        <w:ind w:firstLine="705"/>
        <w:jc w:val="both"/>
        <w:rPr>
          <w:sz w:val="24"/>
          <w:szCs w:val="24"/>
        </w:rPr>
      </w:pPr>
      <w:r w:rsidRPr="005F583B">
        <w:rPr>
          <w:sz w:val="24"/>
          <w:szCs w:val="24"/>
        </w:rPr>
        <w:t xml:space="preserve">Mahkemenin </w:t>
      </w:r>
      <w:r w:rsidR="00223F19" w:rsidRPr="005F583B">
        <w:rPr>
          <w:sz w:val="24"/>
          <w:szCs w:val="24"/>
        </w:rPr>
        <w:t>istikrar</w:t>
      </w:r>
      <w:r w:rsidRPr="005F583B">
        <w:rPr>
          <w:sz w:val="24"/>
          <w:szCs w:val="24"/>
        </w:rPr>
        <w:t xml:space="preserve"> kazanmış durumda bulunan </w:t>
      </w:r>
      <w:r w:rsidR="00223F19" w:rsidRPr="005F583B">
        <w:rPr>
          <w:sz w:val="24"/>
          <w:szCs w:val="24"/>
        </w:rPr>
        <w:t>içtiha</w:t>
      </w:r>
      <w:r w:rsidR="007A2901" w:rsidRPr="005F583B">
        <w:rPr>
          <w:sz w:val="24"/>
          <w:szCs w:val="24"/>
        </w:rPr>
        <w:t>d</w:t>
      </w:r>
      <w:r w:rsidR="00223F19" w:rsidRPr="005F583B">
        <w:rPr>
          <w:sz w:val="24"/>
          <w:szCs w:val="24"/>
        </w:rPr>
        <w:t>ı</w:t>
      </w:r>
      <w:r w:rsidRPr="005F583B">
        <w:rPr>
          <w:sz w:val="24"/>
          <w:szCs w:val="24"/>
        </w:rPr>
        <w:t xml:space="preserve"> uyarınca uygulanan tedbir</w:t>
      </w:r>
      <w:r w:rsidR="007C2D49" w:rsidRPr="005F583B">
        <w:rPr>
          <w:sz w:val="24"/>
          <w:szCs w:val="24"/>
        </w:rPr>
        <w:t>in</w:t>
      </w:r>
      <w:r w:rsidRPr="005F583B">
        <w:rPr>
          <w:sz w:val="24"/>
          <w:szCs w:val="24"/>
        </w:rPr>
        <w:t xml:space="preserve"> yalnızca yasada </w:t>
      </w:r>
      <w:r w:rsidR="00223F19" w:rsidRPr="005F583B">
        <w:rPr>
          <w:sz w:val="24"/>
          <w:szCs w:val="24"/>
        </w:rPr>
        <w:t>düzenlenmiş</w:t>
      </w:r>
      <w:r w:rsidRPr="005F583B">
        <w:rPr>
          <w:sz w:val="24"/>
          <w:szCs w:val="24"/>
        </w:rPr>
        <w:t xml:space="preserve"> olması</w:t>
      </w:r>
      <w:r w:rsidR="009D19B9" w:rsidRPr="005F583B">
        <w:rPr>
          <w:sz w:val="24"/>
          <w:szCs w:val="24"/>
        </w:rPr>
        <w:t>,</w:t>
      </w:r>
      <w:r w:rsidRPr="005F583B">
        <w:rPr>
          <w:sz w:val="24"/>
          <w:szCs w:val="24"/>
        </w:rPr>
        <w:t xml:space="preserve"> söz konusu hakk</w:t>
      </w:r>
      <w:r w:rsidR="007C2D49" w:rsidRPr="005F583B">
        <w:rPr>
          <w:sz w:val="24"/>
          <w:szCs w:val="24"/>
        </w:rPr>
        <w:t>a</w:t>
      </w:r>
      <w:r w:rsidRPr="005F583B">
        <w:rPr>
          <w:sz w:val="24"/>
          <w:szCs w:val="24"/>
        </w:rPr>
        <w:t xml:space="preserve"> yapılan müdahaleyi meşru kılmayacaktır. Kanunilik </w:t>
      </w:r>
      <w:r w:rsidR="005D1C01">
        <w:rPr>
          <w:sz w:val="24"/>
          <w:szCs w:val="24"/>
        </w:rPr>
        <w:t>ölçütünün</w:t>
      </w:r>
      <w:r w:rsidRPr="005F583B">
        <w:rPr>
          <w:sz w:val="24"/>
          <w:szCs w:val="24"/>
        </w:rPr>
        <w:t xml:space="preserve"> sağlanabilmesi </w:t>
      </w:r>
      <w:r w:rsidR="00743A9D" w:rsidRPr="005F583B">
        <w:rPr>
          <w:sz w:val="24"/>
          <w:szCs w:val="24"/>
        </w:rPr>
        <w:t>için söz</w:t>
      </w:r>
      <w:r w:rsidRPr="005F583B">
        <w:rPr>
          <w:sz w:val="24"/>
          <w:szCs w:val="24"/>
        </w:rPr>
        <w:t xml:space="preserve"> konusu </w:t>
      </w:r>
      <w:r w:rsidR="00743A9D" w:rsidRPr="005F583B">
        <w:rPr>
          <w:sz w:val="24"/>
          <w:szCs w:val="24"/>
        </w:rPr>
        <w:t>düzenlemeler ilgili</w:t>
      </w:r>
      <w:r w:rsidRPr="005F583B">
        <w:rPr>
          <w:sz w:val="24"/>
          <w:szCs w:val="24"/>
        </w:rPr>
        <w:t xml:space="preserve"> kişi tarafından erişilebilir ve</w:t>
      </w:r>
      <w:r w:rsidR="00E50578">
        <w:rPr>
          <w:sz w:val="24"/>
          <w:szCs w:val="24"/>
        </w:rPr>
        <w:t xml:space="preserve"> </w:t>
      </w:r>
      <w:r w:rsidRPr="005F583B">
        <w:rPr>
          <w:sz w:val="24"/>
          <w:szCs w:val="24"/>
        </w:rPr>
        <w:t>öngörülebilir olmalıdır</w:t>
      </w:r>
      <w:r w:rsidR="002402B1">
        <w:rPr>
          <w:sz w:val="24"/>
          <w:szCs w:val="24"/>
        </w:rPr>
        <w:t xml:space="preserve"> (AİHM, 2000a: para. 50;</w:t>
      </w:r>
      <w:r w:rsidR="00743A9D">
        <w:rPr>
          <w:sz w:val="24"/>
          <w:szCs w:val="24"/>
        </w:rPr>
        <w:t xml:space="preserve"> </w:t>
      </w:r>
      <w:r w:rsidR="00517A0C">
        <w:rPr>
          <w:sz w:val="24"/>
          <w:szCs w:val="24"/>
        </w:rPr>
        <w:t>2000b: para. 52</w:t>
      </w:r>
      <w:r w:rsidR="002402B1">
        <w:rPr>
          <w:sz w:val="24"/>
          <w:szCs w:val="24"/>
        </w:rPr>
        <w:t>)</w:t>
      </w:r>
      <w:r w:rsidRPr="005F583B">
        <w:rPr>
          <w:sz w:val="24"/>
          <w:szCs w:val="24"/>
        </w:rPr>
        <w:t xml:space="preserve">. Mahkeme birçok kararında idare tarafından alınan tedbirlerin yasal dayanağı olmasına rağmen, </w:t>
      </w:r>
      <w:r w:rsidR="00223F19" w:rsidRPr="005F583B">
        <w:rPr>
          <w:sz w:val="24"/>
          <w:szCs w:val="24"/>
        </w:rPr>
        <w:t>söz k</w:t>
      </w:r>
      <w:r w:rsidRPr="005F583B">
        <w:rPr>
          <w:sz w:val="24"/>
          <w:szCs w:val="24"/>
        </w:rPr>
        <w:t>onu</w:t>
      </w:r>
      <w:r w:rsidR="00223F19" w:rsidRPr="005F583B">
        <w:rPr>
          <w:sz w:val="24"/>
          <w:szCs w:val="24"/>
        </w:rPr>
        <w:t>s</w:t>
      </w:r>
      <w:r w:rsidRPr="005F583B">
        <w:rPr>
          <w:sz w:val="24"/>
          <w:szCs w:val="24"/>
        </w:rPr>
        <w:t>u tedbirlerin gizlilik d</w:t>
      </w:r>
      <w:r w:rsidR="00223F19" w:rsidRPr="005F583B">
        <w:rPr>
          <w:sz w:val="24"/>
          <w:szCs w:val="24"/>
        </w:rPr>
        <w:t>e</w:t>
      </w:r>
      <w:r w:rsidRPr="005F583B">
        <w:rPr>
          <w:sz w:val="24"/>
          <w:szCs w:val="24"/>
        </w:rPr>
        <w:t xml:space="preserve">receli ve kişilerin </w:t>
      </w:r>
      <w:r w:rsidR="00223F19" w:rsidRPr="005F583B">
        <w:rPr>
          <w:sz w:val="24"/>
          <w:szCs w:val="24"/>
        </w:rPr>
        <w:lastRenderedPageBreak/>
        <w:t>ulaşmasının</w:t>
      </w:r>
      <w:r w:rsidRPr="005F583B">
        <w:rPr>
          <w:sz w:val="24"/>
          <w:szCs w:val="24"/>
        </w:rPr>
        <w:t xml:space="preserve"> mümkün olmadığı niteliğine dikka</w:t>
      </w:r>
      <w:r w:rsidR="00223F19" w:rsidRPr="005F583B">
        <w:rPr>
          <w:sz w:val="24"/>
          <w:szCs w:val="24"/>
        </w:rPr>
        <w:t>t</w:t>
      </w:r>
      <w:r w:rsidRPr="005F583B">
        <w:rPr>
          <w:sz w:val="24"/>
          <w:szCs w:val="24"/>
        </w:rPr>
        <w:t xml:space="preserve"> </w:t>
      </w:r>
      <w:r w:rsidR="00223F19" w:rsidRPr="005F583B">
        <w:rPr>
          <w:sz w:val="24"/>
          <w:szCs w:val="24"/>
        </w:rPr>
        <w:t>çekerek</w:t>
      </w:r>
      <w:r w:rsidRPr="005F583B">
        <w:rPr>
          <w:sz w:val="24"/>
          <w:szCs w:val="24"/>
        </w:rPr>
        <w:t xml:space="preserve"> yapılan müdahalelerin hak ihlali kapsamında bulunduğuna hükmetmiştir</w:t>
      </w:r>
      <w:r w:rsidR="00517A0C">
        <w:rPr>
          <w:sz w:val="24"/>
          <w:szCs w:val="24"/>
        </w:rPr>
        <w:t xml:space="preserve"> (AİHM, 2015: para.77-80)</w:t>
      </w:r>
      <w:r w:rsidRPr="005F583B">
        <w:rPr>
          <w:sz w:val="24"/>
          <w:szCs w:val="24"/>
        </w:rPr>
        <w:t>.</w:t>
      </w:r>
      <w:r w:rsidR="00223F19" w:rsidRPr="005F583B">
        <w:rPr>
          <w:sz w:val="24"/>
          <w:szCs w:val="24"/>
        </w:rPr>
        <w:t xml:space="preserve"> </w:t>
      </w:r>
      <w:r w:rsidR="00291392" w:rsidRPr="005F583B">
        <w:rPr>
          <w:sz w:val="24"/>
          <w:szCs w:val="24"/>
        </w:rPr>
        <w:t xml:space="preserve">Ancak mahkeme bununla beraber bir kısım kararında öngörülebilirlik </w:t>
      </w:r>
      <w:r w:rsidR="005D1C01">
        <w:rPr>
          <w:sz w:val="24"/>
          <w:szCs w:val="24"/>
        </w:rPr>
        <w:t>ölçütünün</w:t>
      </w:r>
      <w:r w:rsidR="00291392" w:rsidRPr="005F583B">
        <w:rPr>
          <w:sz w:val="24"/>
          <w:szCs w:val="24"/>
        </w:rPr>
        <w:t xml:space="preserve"> gizli gözetim ile ilgili </w:t>
      </w:r>
      <w:r w:rsidR="00E77A61" w:rsidRPr="005F583B">
        <w:rPr>
          <w:sz w:val="24"/>
          <w:szCs w:val="24"/>
        </w:rPr>
        <w:t>olarak</w:t>
      </w:r>
      <w:r w:rsidR="00291392" w:rsidRPr="005F583B">
        <w:rPr>
          <w:sz w:val="24"/>
          <w:szCs w:val="24"/>
        </w:rPr>
        <w:t xml:space="preserve"> </w:t>
      </w:r>
      <w:r w:rsidR="00E77A61" w:rsidRPr="005F583B">
        <w:rPr>
          <w:sz w:val="24"/>
          <w:szCs w:val="24"/>
        </w:rPr>
        <w:t>diğer alanlarla</w:t>
      </w:r>
      <w:r w:rsidR="00291392" w:rsidRPr="005F583B">
        <w:rPr>
          <w:sz w:val="24"/>
          <w:szCs w:val="24"/>
        </w:rPr>
        <w:t xml:space="preserve"> aynı olamayacağını da kabul etmektedir</w:t>
      </w:r>
      <w:r w:rsidR="00517A0C">
        <w:rPr>
          <w:sz w:val="24"/>
          <w:szCs w:val="24"/>
        </w:rPr>
        <w:t xml:space="preserve"> (AİHM, 2006: para.</w:t>
      </w:r>
      <w:r w:rsidR="00416168">
        <w:rPr>
          <w:sz w:val="24"/>
          <w:szCs w:val="24"/>
        </w:rPr>
        <w:t xml:space="preserve"> </w:t>
      </w:r>
      <w:r w:rsidR="00517A0C">
        <w:rPr>
          <w:sz w:val="24"/>
          <w:szCs w:val="24"/>
        </w:rPr>
        <w:t>93)</w:t>
      </w:r>
      <w:r w:rsidR="00291392" w:rsidRPr="005F583B">
        <w:rPr>
          <w:sz w:val="24"/>
          <w:szCs w:val="24"/>
        </w:rPr>
        <w:t xml:space="preserve">. Gizli gözetim kapsamında uygulanan tedbirlere ilişkin öngörülebilirlik </w:t>
      </w:r>
      <w:r w:rsidR="005D1C01">
        <w:rPr>
          <w:sz w:val="24"/>
          <w:szCs w:val="24"/>
        </w:rPr>
        <w:t>ölçütü</w:t>
      </w:r>
      <w:r w:rsidR="00E77A61" w:rsidRPr="005F583B">
        <w:rPr>
          <w:sz w:val="24"/>
          <w:szCs w:val="24"/>
        </w:rPr>
        <w:t>,</w:t>
      </w:r>
      <w:r w:rsidR="00291392" w:rsidRPr="005F583B">
        <w:rPr>
          <w:sz w:val="24"/>
          <w:szCs w:val="24"/>
        </w:rPr>
        <w:t xml:space="preserve"> tedbir uygulanacak kişilerin bu tedbirlerin kendilerine ne zaman ve ne</w:t>
      </w:r>
      <w:r w:rsidR="00077F5D" w:rsidRPr="005F583B">
        <w:rPr>
          <w:sz w:val="24"/>
          <w:szCs w:val="24"/>
        </w:rPr>
        <w:t xml:space="preserve"> ş</w:t>
      </w:r>
      <w:r w:rsidR="00291392" w:rsidRPr="005F583B">
        <w:rPr>
          <w:sz w:val="24"/>
          <w:szCs w:val="24"/>
        </w:rPr>
        <w:t>ekilde uygulanacağını bilmesi anlamına gelmemektedir. Böyle bir tedbir gizli gözetimin doğasına</w:t>
      </w:r>
      <w:r w:rsidR="00E50578">
        <w:rPr>
          <w:sz w:val="24"/>
          <w:szCs w:val="24"/>
        </w:rPr>
        <w:t>,</w:t>
      </w:r>
      <w:r w:rsidR="00291392" w:rsidRPr="005F583B">
        <w:rPr>
          <w:sz w:val="24"/>
          <w:szCs w:val="24"/>
        </w:rPr>
        <w:t xml:space="preserve"> tahmin edilebileceği üzere</w:t>
      </w:r>
      <w:r w:rsidR="00E50578">
        <w:rPr>
          <w:sz w:val="24"/>
          <w:szCs w:val="24"/>
        </w:rPr>
        <w:t>,</w:t>
      </w:r>
      <w:r w:rsidR="00291392" w:rsidRPr="005F583B">
        <w:rPr>
          <w:sz w:val="24"/>
          <w:szCs w:val="24"/>
        </w:rPr>
        <w:t xml:space="preserve"> ay</w:t>
      </w:r>
      <w:r w:rsidR="00E77A61" w:rsidRPr="005F583B">
        <w:rPr>
          <w:sz w:val="24"/>
          <w:szCs w:val="24"/>
        </w:rPr>
        <w:t>kı</w:t>
      </w:r>
      <w:r w:rsidR="00291392" w:rsidRPr="005F583B">
        <w:rPr>
          <w:sz w:val="24"/>
          <w:szCs w:val="24"/>
        </w:rPr>
        <w:t>rıdır. Bu noktada öngörülebilirlik kişilerin hangi suçlar karşısında hangi kapsam ve sürede tedbirlerin uygulanabileceğini öngörmesi anlamına gelmektedir. Ayrıca müdahaleye uğrayan veya maruz kaldığını düşünen kişiler için etkili başvuru yolları öngörülmelidir</w:t>
      </w:r>
      <w:r w:rsidR="00517A0C">
        <w:rPr>
          <w:sz w:val="24"/>
          <w:szCs w:val="24"/>
        </w:rPr>
        <w:t xml:space="preserve"> (AİHM, 2015: para. 229)</w:t>
      </w:r>
      <w:r w:rsidR="008720EE" w:rsidRPr="005F583B">
        <w:rPr>
          <w:sz w:val="24"/>
          <w:szCs w:val="24"/>
        </w:rPr>
        <w:t>.</w:t>
      </w:r>
    </w:p>
    <w:p w:rsidR="00291392" w:rsidRPr="005F583B" w:rsidRDefault="00A444D7" w:rsidP="00400461">
      <w:pPr>
        <w:tabs>
          <w:tab w:val="left" w:pos="8364"/>
        </w:tabs>
        <w:spacing w:after="120" w:line="240" w:lineRule="auto"/>
        <w:ind w:firstLine="705"/>
        <w:jc w:val="both"/>
        <w:rPr>
          <w:sz w:val="24"/>
          <w:szCs w:val="24"/>
        </w:rPr>
      </w:pPr>
      <w:r w:rsidRPr="005F583B">
        <w:rPr>
          <w:sz w:val="24"/>
          <w:szCs w:val="24"/>
        </w:rPr>
        <w:t>Bununla</w:t>
      </w:r>
      <w:r w:rsidR="00291392" w:rsidRPr="005F583B">
        <w:rPr>
          <w:sz w:val="24"/>
          <w:szCs w:val="24"/>
        </w:rPr>
        <w:t xml:space="preserve"> </w:t>
      </w:r>
      <w:r w:rsidRPr="005F583B">
        <w:rPr>
          <w:sz w:val="24"/>
          <w:szCs w:val="24"/>
        </w:rPr>
        <w:t>beraber</w:t>
      </w:r>
      <w:r w:rsidR="00291392" w:rsidRPr="005F583B">
        <w:rPr>
          <w:sz w:val="24"/>
          <w:szCs w:val="24"/>
        </w:rPr>
        <w:t xml:space="preserve"> böyle tedbirlerin kamu güçlerine </w:t>
      </w:r>
      <w:r w:rsidRPr="005F583B">
        <w:rPr>
          <w:sz w:val="24"/>
          <w:szCs w:val="24"/>
        </w:rPr>
        <w:t>terörizm</w:t>
      </w:r>
      <w:r w:rsidR="00291392" w:rsidRPr="005F583B">
        <w:rPr>
          <w:sz w:val="24"/>
          <w:szCs w:val="24"/>
        </w:rPr>
        <w:t xml:space="preserve"> ve suçla </w:t>
      </w:r>
      <w:r w:rsidR="0091745E" w:rsidRPr="005F583B">
        <w:rPr>
          <w:sz w:val="24"/>
          <w:szCs w:val="24"/>
        </w:rPr>
        <w:t>mücadele konularında</w:t>
      </w:r>
      <w:r w:rsidR="00291392" w:rsidRPr="005F583B">
        <w:rPr>
          <w:sz w:val="24"/>
          <w:szCs w:val="24"/>
        </w:rPr>
        <w:t xml:space="preserve"> sağlayacağı avantajla beraber </w:t>
      </w:r>
      <w:r w:rsidRPr="005F583B">
        <w:rPr>
          <w:sz w:val="24"/>
          <w:szCs w:val="24"/>
        </w:rPr>
        <w:t>temel</w:t>
      </w:r>
      <w:r w:rsidR="00291392" w:rsidRPr="005F583B">
        <w:rPr>
          <w:sz w:val="24"/>
          <w:szCs w:val="24"/>
        </w:rPr>
        <w:t xml:space="preserve"> hak ve özgürlükler </w:t>
      </w:r>
      <w:r w:rsidRPr="005F583B">
        <w:rPr>
          <w:sz w:val="24"/>
          <w:szCs w:val="24"/>
        </w:rPr>
        <w:t>konusunda</w:t>
      </w:r>
      <w:r w:rsidR="00291392" w:rsidRPr="005F583B">
        <w:rPr>
          <w:sz w:val="24"/>
          <w:szCs w:val="24"/>
        </w:rPr>
        <w:t xml:space="preserve"> </w:t>
      </w:r>
      <w:r w:rsidR="007D1DE5">
        <w:rPr>
          <w:sz w:val="24"/>
          <w:szCs w:val="24"/>
        </w:rPr>
        <w:t>suistima</w:t>
      </w:r>
      <w:r w:rsidR="0091745E" w:rsidRPr="005F583B">
        <w:rPr>
          <w:sz w:val="24"/>
          <w:szCs w:val="24"/>
        </w:rPr>
        <w:t>le</w:t>
      </w:r>
      <w:r w:rsidR="00291392" w:rsidRPr="005F583B">
        <w:rPr>
          <w:sz w:val="24"/>
          <w:szCs w:val="24"/>
        </w:rPr>
        <w:t xml:space="preserve"> açık bir alan yaratacağı d</w:t>
      </w:r>
      <w:r w:rsidR="00E77A61" w:rsidRPr="005F583B">
        <w:rPr>
          <w:sz w:val="24"/>
          <w:szCs w:val="24"/>
        </w:rPr>
        <w:t>a</w:t>
      </w:r>
      <w:r w:rsidR="00291392" w:rsidRPr="005F583B">
        <w:rPr>
          <w:sz w:val="24"/>
          <w:szCs w:val="24"/>
        </w:rPr>
        <w:t xml:space="preserve"> açıktır. Bu </w:t>
      </w:r>
      <w:r w:rsidRPr="005F583B">
        <w:rPr>
          <w:sz w:val="24"/>
          <w:szCs w:val="24"/>
        </w:rPr>
        <w:t>sebeple gizli</w:t>
      </w:r>
      <w:r w:rsidR="00291392" w:rsidRPr="005F583B">
        <w:rPr>
          <w:sz w:val="24"/>
          <w:szCs w:val="24"/>
        </w:rPr>
        <w:t xml:space="preserve"> gözetim tedbirlerine </w:t>
      </w:r>
      <w:r w:rsidR="0091745E" w:rsidRPr="005F583B">
        <w:rPr>
          <w:sz w:val="24"/>
          <w:szCs w:val="24"/>
        </w:rPr>
        <w:t>ilişkin açık</w:t>
      </w:r>
      <w:r w:rsidR="00291392" w:rsidRPr="005F583B">
        <w:rPr>
          <w:sz w:val="24"/>
          <w:szCs w:val="24"/>
        </w:rPr>
        <w:t xml:space="preserve"> ve</w:t>
      </w:r>
      <w:r w:rsidR="0091745E" w:rsidRPr="005F583B">
        <w:rPr>
          <w:sz w:val="24"/>
          <w:szCs w:val="24"/>
        </w:rPr>
        <w:t xml:space="preserve"> </w:t>
      </w:r>
      <w:r w:rsidR="00291392" w:rsidRPr="005F583B">
        <w:rPr>
          <w:sz w:val="24"/>
          <w:szCs w:val="24"/>
        </w:rPr>
        <w:t xml:space="preserve">son derece ayrıntılı </w:t>
      </w:r>
      <w:r w:rsidR="00490F06" w:rsidRPr="005F583B">
        <w:rPr>
          <w:sz w:val="24"/>
          <w:szCs w:val="24"/>
        </w:rPr>
        <w:t>kurallarla bu</w:t>
      </w:r>
      <w:r w:rsidR="00291392" w:rsidRPr="005F583B">
        <w:rPr>
          <w:sz w:val="24"/>
          <w:szCs w:val="24"/>
        </w:rPr>
        <w:t xml:space="preserve"> sistemi </w:t>
      </w:r>
      <w:r w:rsidR="005D1C01">
        <w:rPr>
          <w:sz w:val="24"/>
          <w:szCs w:val="24"/>
        </w:rPr>
        <w:t xml:space="preserve">düzenlemek </w:t>
      </w:r>
      <w:r w:rsidR="00291392" w:rsidRPr="005F583B">
        <w:rPr>
          <w:sz w:val="24"/>
          <w:szCs w:val="24"/>
        </w:rPr>
        <w:t xml:space="preserve">esastır, çünkü kullanılan teknoloji sürekli </w:t>
      </w:r>
      <w:r w:rsidR="00827129" w:rsidRPr="005F583B">
        <w:rPr>
          <w:sz w:val="24"/>
          <w:szCs w:val="24"/>
        </w:rPr>
        <w:t>gelişerek daha</w:t>
      </w:r>
      <w:r w:rsidR="00291392" w:rsidRPr="005F583B">
        <w:rPr>
          <w:sz w:val="24"/>
          <w:szCs w:val="24"/>
        </w:rPr>
        <w:t xml:space="preserve"> karmaşık hale</w:t>
      </w:r>
      <w:r w:rsidR="00E77A61" w:rsidRPr="005F583B">
        <w:rPr>
          <w:sz w:val="24"/>
          <w:szCs w:val="24"/>
        </w:rPr>
        <w:t xml:space="preserve"> gelmekte</w:t>
      </w:r>
      <w:r w:rsidR="00291392" w:rsidRPr="005F583B">
        <w:rPr>
          <w:sz w:val="24"/>
          <w:szCs w:val="24"/>
        </w:rPr>
        <w:t xml:space="preserve"> ve nüfuz edebileceği mahrem </w:t>
      </w:r>
      <w:r w:rsidR="00362067" w:rsidRPr="005F583B">
        <w:rPr>
          <w:sz w:val="24"/>
          <w:szCs w:val="24"/>
        </w:rPr>
        <w:t>alan genişlemektedir</w:t>
      </w:r>
      <w:r w:rsidR="00517A0C">
        <w:rPr>
          <w:sz w:val="24"/>
          <w:szCs w:val="24"/>
        </w:rPr>
        <w:t xml:space="preserve"> (AİHM, 2016: para. 52-56)</w:t>
      </w:r>
      <w:r w:rsidR="00291392" w:rsidRPr="005F583B">
        <w:rPr>
          <w:sz w:val="24"/>
          <w:szCs w:val="24"/>
        </w:rPr>
        <w:t>.</w:t>
      </w:r>
      <w:r w:rsidR="00517A0C">
        <w:rPr>
          <w:sz w:val="24"/>
          <w:szCs w:val="24"/>
        </w:rPr>
        <w:t xml:space="preserve"> </w:t>
      </w:r>
      <w:r w:rsidR="006113C8" w:rsidRPr="005F583B">
        <w:rPr>
          <w:sz w:val="24"/>
          <w:szCs w:val="24"/>
        </w:rPr>
        <w:t xml:space="preserve">Konuya ilişkin akademik çalışmalar da bu fikri </w:t>
      </w:r>
      <w:r w:rsidR="009D7331" w:rsidRPr="005F583B">
        <w:rPr>
          <w:sz w:val="24"/>
          <w:szCs w:val="24"/>
        </w:rPr>
        <w:t>desteklemektedir.</w:t>
      </w:r>
      <w:r w:rsidR="006113C8" w:rsidRPr="005F583B">
        <w:rPr>
          <w:sz w:val="24"/>
          <w:szCs w:val="24"/>
        </w:rPr>
        <w:t xml:space="preserve"> Gizli gözetim teknikleri kullanmak suretiyle kişilerin özel hayatlarına ve özellikle haberleşmelerine yapılan müdahaleler, kullanılan yöntemlerin </w:t>
      </w:r>
      <w:r w:rsidR="009D7331" w:rsidRPr="005F583B">
        <w:rPr>
          <w:sz w:val="24"/>
          <w:szCs w:val="24"/>
        </w:rPr>
        <w:t xml:space="preserve">doğası </w:t>
      </w:r>
      <w:r w:rsidR="006113C8" w:rsidRPr="005F583B">
        <w:rPr>
          <w:sz w:val="24"/>
          <w:szCs w:val="24"/>
        </w:rPr>
        <w:t>uyarınca takip edilen kişiler farkına varmaksızın icra edilmekte</w:t>
      </w:r>
      <w:r w:rsidR="009D7331" w:rsidRPr="005F583B">
        <w:rPr>
          <w:sz w:val="24"/>
          <w:szCs w:val="24"/>
        </w:rPr>
        <w:t xml:space="preserve">, </w:t>
      </w:r>
      <w:r w:rsidR="006113C8" w:rsidRPr="005F583B">
        <w:rPr>
          <w:sz w:val="24"/>
          <w:szCs w:val="24"/>
        </w:rPr>
        <w:t xml:space="preserve">böylece </w:t>
      </w:r>
      <w:r w:rsidR="009D7331" w:rsidRPr="005F583B">
        <w:rPr>
          <w:sz w:val="24"/>
          <w:szCs w:val="24"/>
        </w:rPr>
        <w:t xml:space="preserve">kişilerin yapılan </w:t>
      </w:r>
      <w:r w:rsidR="006113C8" w:rsidRPr="005F583B">
        <w:rPr>
          <w:sz w:val="24"/>
          <w:szCs w:val="24"/>
        </w:rPr>
        <w:t>takipten</w:t>
      </w:r>
      <w:r w:rsidR="009D7331" w:rsidRPr="005F583B">
        <w:rPr>
          <w:sz w:val="24"/>
          <w:szCs w:val="24"/>
        </w:rPr>
        <w:t xml:space="preserve"> haberi dahi olmamaktadır. </w:t>
      </w:r>
      <w:r w:rsidR="006113C8" w:rsidRPr="005F583B">
        <w:rPr>
          <w:sz w:val="24"/>
          <w:szCs w:val="24"/>
        </w:rPr>
        <w:t xml:space="preserve">Dolayısıyla kişilerin özel hayatlarına yapılan böyle müdahalelerin hukuka uygun kabul edilebilmesi için </w:t>
      </w:r>
      <w:r w:rsidR="007A2901" w:rsidRPr="005F583B">
        <w:rPr>
          <w:sz w:val="24"/>
          <w:szCs w:val="24"/>
        </w:rPr>
        <w:t>gizli gözetim tedbirlerin</w:t>
      </w:r>
      <w:r w:rsidR="006113C8" w:rsidRPr="005F583B">
        <w:rPr>
          <w:sz w:val="24"/>
          <w:szCs w:val="24"/>
        </w:rPr>
        <w:t xml:space="preserve"> mutlak surette yasayla öngörülmüş olması yanında </w:t>
      </w:r>
      <w:r w:rsidR="007A2901" w:rsidRPr="005F583B">
        <w:rPr>
          <w:sz w:val="24"/>
          <w:szCs w:val="24"/>
        </w:rPr>
        <w:t xml:space="preserve">söz konusu düzenlemelerin idarenin keyfiliğini önleyecek </w:t>
      </w:r>
      <w:r w:rsidR="009D7331" w:rsidRPr="005F583B">
        <w:rPr>
          <w:sz w:val="24"/>
          <w:szCs w:val="24"/>
        </w:rPr>
        <w:t>sıkı şekil şartlarına tabi olmaları gerek</w:t>
      </w:r>
      <w:r w:rsidR="007A2901" w:rsidRPr="005F583B">
        <w:rPr>
          <w:sz w:val="24"/>
          <w:szCs w:val="24"/>
        </w:rPr>
        <w:t>mektedir</w:t>
      </w:r>
      <w:r w:rsidR="00517A0C">
        <w:rPr>
          <w:sz w:val="24"/>
          <w:szCs w:val="24"/>
        </w:rPr>
        <w:t xml:space="preserve"> (Tezcan </w:t>
      </w:r>
      <w:r w:rsidR="003F500E">
        <w:rPr>
          <w:sz w:val="24"/>
          <w:szCs w:val="24"/>
        </w:rPr>
        <w:t>vd.</w:t>
      </w:r>
      <w:r w:rsidR="00517A0C">
        <w:rPr>
          <w:sz w:val="24"/>
          <w:szCs w:val="24"/>
        </w:rPr>
        <w:t>, 2016: 406; Kılınç, 2012: 5; Yokuş Sevük, 2007: 100)</w:t>
      </w:r>
      <w:r w:rsidR="009D7331" w:rsidRPr="005F583B">
        <w:rPr>
          <w:sz w:val="24"/>
          <w:szCs w:val="24"/>
        </w:rPr>
        <w:t>.</w:t>
      </w:r>
    </w:p>
    <w:p w:rsidR="00291392" w:rsidRPr="005F583B" w:rsidRDefault="00F663E5" w:rsidP="00400461">
      <w:pPr>
        <w:tabs>
          <w:tab w:val="left" w:pos="8364"/>
        </w:tabs>
        <w:spacing w:after="120" w:line="240" w:lineRule="auto"/>
        <w:ind w:firstLine="705"/>
        <w:jc w:val="both"/>
        <w:rPr>
          <w:sz w:val="24"/>
          <w:szCs w:val="24"/>
        </w:rPr>
      </w:pPr>
      <w:r w:rsidRPr="005F583B">
        <w:rPr>
          <w:sz w:val="24"/>
          <w:szCs w:val="24"/>
        </w:rPr>
        <w:t>Mahkemeye göre kanunilik ilkesinin gereği olarak öngörmüş olduğu bir diğer husus</w:t>
      </w:r>
      <w:r w:rsidR="009D19B9" w:rsidRPr="005F583B">
        <w:rPr>
          <w:sz w:val="24"/>
          <w:szCs w:val="24"/>
        </w:rPr>
        <w:t>,</w:t>
      </w:r>
      <w:r w:rsidRPr="005F583B">
        <w:rPr>
          <w:sz w:val="24"/>
          <w:szCs w:val="24"/>
        </w:rPr>
        <w:t xml:space="preserve"> uygulanacak hukuksuz </w:t>
      </w:r>
      <w:r w:rsidR="001E5DF2" w:rsidRPr="005F583B">
        <w:rPr>
          <w:sz w:val="24"/>
          <w:szCs w:val="24"/>
        </w:rPr>
        <w:t>gözetim tedbirlere</w:t>
      </w:r>
      <w:r w:rsidRPr="005F583B">
        <w:rPr>
          <w:sz w:val="24"/>
          <w:szCs w:val="24"/>
        </w:rPr>
        <w:t xml:space="preserve"> karşı kişilere hukuki itiraz yollarını öngörmüş olmasıdır.  </w:t>
      </w:r>
      <w:r w:rsidR="009D7331" w:rsidRPr="005F583B">
        <w:rPr>
          <w:sz w:val="24"/>
          <w:szCs w:val="24"/>
        </w:rPr>
        <w:t>Özellikle AİHM</w:t>
      </w:r>
      <w:r w:rsidR="005D1C01">
        <w:rPr>
          <w:sz w:val="24"/>
          <w:szCs w:val="24"/>
        </w:rPr>
        <w:t>’nin</w:t>
      </w:r>
      <w:r w:rsidR="009D7331" w:rsidRPr="005F583B">
        <w:rPr>
          <w:sz w:val="24"/>
          <w:szCs w:val="24"/>
        </w:rPr>
        <w:t xml:space="preserve"> bu konuya ilişkin çok sayıda kararı bulunmaktadır. Yapılan müdahalenin ağırlığı karşısında taraf devletler ayrıntılı düzenlemeler ile izleme faaliyetlerin muhataplarına gerekli güvenceleri sağlamalıdırlar. Yapılan düzenlemelerin maksadı</w:t>
      </w:r>
      <w:r w:rsidR="00E50578">
        <w:rPr>
          <w:sz w:val="24"/>
          <w:szCs w:val="24"/>
        </w:rPr>
        <w:t>,</w:t>
      </w:r>
      <w:r w:rsidR="009D7331" w:rsidRPr="005F583B">
        <w:rPr>
          <w:sz w:val="24"/>
          <w:szCs w:val="24"/>
        </w:rPr>
        <w:t xml:space="preserve"> idarenin organları tarafından yapılacak izleme faaliyetinin </w:t>
      </w:r>
      <w:r w:rsidR="00416168">
        <w:rPr>
          <w:sz w:val="24"/>
          <w:szCs w:val="24"/>
        </w:rPr>
        <w:t>keyfi bir şekilde yapılmasına ma</w:t>
      </w:r>
      <w:r w:rsidR="009D7331" w:rsidRPr="005F583B">
        <w:rPr>
          <w:sz w:val="24"/>
          <w:szCs w:val="24"/>
        </w:rPr>
        <w:t>ni olmak ve orantılılık prensibine riayet edebilmektir</w:t>
      </w:r>
      <w:r w:rsidR="007B4FF0">
        <w:rPr>
          <w:sz w:val="24"/>
          <w:szCs w:val="24"/>
        </w:rPr>
        <w:t xml:space="preserve"> (</w:t>
      </w:r>
      <w:r w:rsidR="007B4FF0" w:rsidRPr="000119DE">
        <w:rPr>
          <w:sz w:val="24"/>
          <w:szCs w:val="24"/>
        </w:rPr>
        <w:t>Gözübüyük</w:t>
      </w:r>
      <w:r w:rsidR="007B4FF0">
        <w:rPr>
          <w:sz w:val="24"/>
          <w:szCs w:val="24"/>
        </w:rPr>
        <w:t xml:space="preserve"> </w:t>
      </w:r>
      <w:r w:rsidR="007B4FF0" w:rsidRPr="000119DE">
        <w:rPr>
          <w:sz w:val="24"/>
          <w:szCs w:val="24"/>
        </w:rPr>
        <w:t>ve Gölcüklü</w:t>
      </w:r>
      <w:r w:rsidR="007B4FF0">
        <w:rPr>
          <w:sz w:val="24"/>
          <w:szCs w:val="24"/>
        </w:rPr>
        <w:t>, 2011</w:t>
      </w:r>
      <w:r w:rsidR="00394F5E">
        <w:rPr>
          <w:sz w:val="24"/>
          <w:szCs w:val="24"/>
        </w:rPr>
        <w:t>: 373</w:t>
      </w:r>
      <w:r w:rsidR="00B35F98">
        <w:rPr>
          <w:sz w:val="24"/>
          <w:szCs w:val="24"/>
        </w:rPr>
        <w:t>;</w:t>
      </w:r>
      <w:r w:rsidR="00394F5E">
        <w:rPr>
          <w:sz w:val="24"/>
          <w:szCs w:val="24"/>
        </w:rPr>
        <w:t xml:space="preserve"> AİHM, </w:t>
      </w:r>
      <w:r w:rsidR="00743A9D">
        <w:rPr>
          <w:sz w:val="24"/>
          <w:szCs w:val="24"/>
        </w:rPr>
        <w:t>1998:</w:t>
      </w:r>
      <w:r w:rsidR="00394F5E">
        <w:rPr>
          <w:sz w:val="24"/>
          <w:szCs w:val="24"/>
        </w:rPr>
        <w:t xml:space="preserve"> para.</w:t>
      </w:r>
      <w:r w:rsidR="00743A9D">
        <w:rPr>
          <w:sz w:val="24"/>
          <w:szCs w:val="24"/>
        </w:rPr>
        <w:t xml:space="preserve"> </w:t>
      </w:r>
      <w:r w:rsidR="00394F5E">
        <w:rPr>
          <w:sz w:val="24"/>
          <w:szCs w:val="24"/>
        </w:rPr>
        <w:t>46</w:t>
      </w:r>
      <w:r w:rsidR="00B35F98">
        <w:rPr>
          <w:sz w:val="24"/>
          <w:szCs w:val="24"/>
        </w:rPr>
        <w:t>;</w:t>
      </w:r>
      <w:r w:rsidR="003F500E">
        <w:rPr>
          <w:sz w:val="24"/>
          <w:szCs w:val="24"/>
        </w:rPr>
        <w:t xml:space="preserve"> </w:t>
      </w:r>
      <w:r w:rsidR="00743A9D">
        <w:rPr>
          <w:sz w:val="24"/>
          <w:szCs w:val="24"/>
        </w:rPr>
        <w:t>1984:</w:t>
      </w:r>
      <w:r w:rsidR="00394F5E">
        <w:rPr>
          <w:sz w:val="24"/>
          <w:szCs w:val="24"/>
        </w:rPr>
        <w:t xml:space="preserve"> </w:t>
      </w:r>
      <w:r w:rsidR="00B35F98">
        <w:rPr>
          <w:sz w:val="24"/>
          <w:szCs w:val="24"/>
        </w:rPr>
        <w:t xml:space="preserve">para. </w:t>
      </w:r>
      <w:r w:rsidR="00394F5E">
        <w:rPr>
          <w:sz w:val="24"/>
          <w:szCs w:val="24"/>
        </w:rPr>
        <w:t>67-68</w:t>
      </w:r>
      <w:r w:rsidR="00B35F98">
        <w:rPr>
          <w:sz w:val="24"/>
          <w:szCs w:val="24"/>
        </w:rPr>
        <w:t>;</w:t>
      </w:r>
      <w:r w:rsidR="003F500E">
        <w:rPr>
          <w:sz w:val="24"/>
          <w:szCs w:val="24"/>
        </w:rPr>
        <w:t xml:space="preserve"> </w:t>
      </w:r>
      <w:r w:rsidR="00743A9D">
        <w:rPr>
          <w:sz w:val="24"/>
          <w:szCs w:val="24"/>
        </w:rPr>
        <w:t>2000a:</w:t>
      </w:r>
      <w:r w:rsidR="00394F5E">
        <w:rPr>
          <w:sz w:val="24"/>
          <w:szCs w:val="24"/>
        </w:rPr>
        <w:t xml:space="preserve"> </w:t>
      </w:r>
      <w:r w:rsidR="00B35F98">
        <w:rPr>
          <w:sz w:val="24"/>
          <w:szCs w:val="24"/>
        </w:rPr>
        <w:t>para. 56;</w:t>
      </w:r>
      <w:r w:rsidR="003F500E">
        <w:rPr>
          <w:sz w:val="24"/>
          <w:szCs w:val="24"/>
        </w:rPr>
        <w:t xml:space="preserve"> </w:t>
      </w:r>
      <w:r w:rsidR="00743A9D">
        <w:rPr>
          <w:sz w:val="24"/>
          <w:szCs w:val="24"/>
        </w:rPr>
        <w:t>2006</w:t>
      </w:r>
      <w:r w:rsidR="00394F5E">
        <w:rPr>
          <w:sz w:val="24"/>
          <w:szCs w:val="24"/>
        </w:rPr>
        <w:t>,</w:t>
      </w:r>
      <w:r w:rsidR="00743A9D">
        <w:rPr>
          <w:sz w:val="24"/>
          <w:szCs w:val="24"/>
        </w:rPr>
        <w:t xml:space="preserve"> para. </w:t>
      </w:r>
      <w:r w:rsidR="00394F5E">
        <w:rPr>
          <w:sz w:val="24"/>
          <w:szCs w:val="24"/>
        </w:rPr>
        <w:t>93</w:t>
      </w:r>
      <w:r w:rsidR="007B4FF0">
        <w:rPr>
          <w:sz w:val="24"/>
          <w:szCs w:val="24"/>
        </w:rPr>
        <w:t>)</w:t>
      </w:r>
      <w:r w:rsidR="008720EE" w:rsidRPr="005F583B">
        <w:rPr>
          <w:sz w:val="24"/>
          <w:szCs w:val="24"/>
        </w:rPr>
        <w:t>.</w:t>
      </w:r>
    </w:p>
    <w:p w:rsidR="001E5DF2" w:rsidRPr="005F583B" w:rsidRDefault="001E5DF2" w:rsidP="00400461">
      <w:pPr>
        <w:tabs>
          <w:tab w:val="left" w:pos="8364"/>
        </w:tabs>
        <w:spacing w:after="120" w:line="240" w:lineRule="auto"/>
        <w:ind w:firstLine="705"/>
        <w:jc w:val="both"/>
        <w:rPr>
          <w:sz w:val="24"/>
          <w:szCs w:val="24"/>
        </w:rPr>
      </w:pPr>
      <w:r w:rsidRPr="005F583B">
        <w:rPr>
          <w:sz w:val="24"/>
          <w:szCs w:val="24"/>
        </w:rPr>
        <w:lastRenderedPageBreak/>
        <w:t xml:space="preserve">Mahkemenin kanunilik kriteri üzerinde titizlikle durmasına ve hukuksuz müdahalelerin sona ermesine </w:t>
      </w:r>
      <w:r w:rsidR="005339B9" w:rsidRPr="005F583B">
        <w:rPr>
          <w:sz w:val="24"/>
          <w:szCs w:val="24"/>
        </w:rPr>
        <w:t>imkân</w:t>
      </w:r>
      <w:r w:rsidRPr="005F583B">
        <w:rPr>
          <w:sz w:val="24"/>
          <w:szCs w:val="24"/>
        </w:rPr>
        <w:t xml:space="preserve"> verecek hukuki başvuru </w:t>
      </w:r>
      <w:r w:rsidR="00C0401B" w:rsidRPr="005F583B">
        <w:rPr>
          <w:sz w:val="24"/>
          <w:szCs w:val="24"/>
        </w:rPr>
        <w:t>yollarına önem</w:t>
      </w:r>
      <w:r w:rsidRPr="005F583B">
        <w:rPr>
          <w:sz w:val="24"/>
          <w:szCs w:val="24"/>
        </w:rPr>
        <w:t xml:space="preserve"> vermekle beraber özellikle terörizm ve suçla mücadele konusunda taraf devletlere önemli miktarda hareket alanı bırakmaktadır. Mahkeme, örneğin gizli gözetim tedbirinin bir mahkeme kararına dayanmasını </w:t>
      </w:r>
      <w:r w:rsidR="000041A4" w:rsidRPr="005F583B">
        <w:rPr>
          <w:sz w:val="24"/>
          <w:szCs w:val="24"/>
        </w:rPr>
        <w:t xml:space="preserve">olmazsa olmaz bir </w:t>
      </w:r>
      <w:r w:rsidRPr="005F583B">
        <w:rPr>
          <w:sz w:val="24"/>
          <w:szCs w:val="24"/>
        </w:rPr>
        <w:t xml:space="preserve">koşul olarak </w:t>
      </w:r>
      <w:r w:rsidR="00517A0C" w:rsidRPr="005F583B">
        <w:rPr>
          <w:sz w:val="24"/>
          <w:szCs w:val="24"/>
        </w:rPr>
        <w:t>değerlendirmemiştir</w:t>
      </w:r>
      <w:r w:rsidR="0018626D">
        <w:rPr>
          <w:sz w:val="24"/>
          <w:szCs w:val="24"/>
        </w:rPr>
        <w:t xml:space="preserve"> </w:t>
      </w:r>
      <w:r w:rsidR="00517A0C">
        <w:rPr>
          <w:sz w:val="24"/>
          <w:szCs w:val="24"/>
        </w:rPr>
        <w:t>(AİHM, 1978: para. 55-59)</w:t>
      </w:r>
      <w:r w:rsidR="00C0401B" w:rsidRPr="005F583B">
        <w:rPr>
          <w:sz w:val="24"/>
          <w:szCs w:val="24"/>
        </w:rPr>
        <w:t>.</w:t>
      </w:r>
    </w:p>
    <w:p w:rsidR="00467C91" w:rsidRPr="005F583B" w:rsidRDefault="00467C91" w:rsidP="00400461">
      <w:pPr>
        <w:tabs>
          <w:tab w:val="left" w:pos="8364"/>
        </w:tabs>
        <w:spacing w:after="120" w:line="240" w:lineRule="auto"/>
        <w:ind w:firstLine="705"/>
        <w:jc w:val="both"/>
        <w:rPr>
          <w:sz w:val="24"/>
          <w:szCs w:val="24"/>
        </w:rPr>
      </w:pPr>
      <w:r w:rsidRPr="005F583B">
        <w:rPr>
          <w:sz w:val="24"/>
          <w:szCs w:val="24"/>
        </w:rPr>
        <w:t>Bir gizli gözetim tedbirinin sözleşmenin 8’inci maddesinin 2’nci fıkrası uyarınca “demokratik toplumda gerekli ve orantılı” olması hususunda mahkeme, böyle bir müdahalenin ulusal güvenlik gibi kamu yararının yüksek olduğu alanlarda, toplumun ve kişilerin çıkarlarının dengelendiği müddetçe makul kabul edilebileceğini</w:t>
      </w:r>
      <w:r w:rsidR="008720EE" w:rsidRPr="005F583B">
        <w:rPr>
          <w:sz w:val="24"/>
          <w:szCs w:val="24"/>
        </w:rPr>
        <w:t>;</w:t>
      </w:r>
      <w:r w:rsidRPr="005F583B">
        <w:rPr>
          <w:sz w:val="24"/>
          <w:szCs w:val="24"/>
        </w:rPr>
        <w:t xml:space="preserve"> idarenin bu konuda belirli bir miktar takdir yetkisinin olduğunu kabul etmektedir</w:t>
      </w:r>
      <w:r w:rsidR="00517A0C">
        <w:rPr>
          <w:sz w:val="24"/>
          <w:szCs w:val="24"/>
        </w:rPr>
        <w:t xml:space="preserve"> </w:t>
      </w:r>
      <w:bookmarkStart w:id="12" w:name="_Hlk56420185"/>
      <w:r w:rsidR="00517A0C">
        <w:rPr>
          <w:sz w:val="24"/>
          <w:szCs w:val="24"/>
        </w:rPr>
        <w:t>(AİHM, 2016: para. 54-55)</w:t>
      </w:r>
      <w:bookmarkEnd w:id="12"/>
      <w:r w:rsidRPr="005F583B">
        <w:rPr>
          <w:sz w:val="24"/>
          <w:szCs w:val="24"/>
        </w:rPr>
        <w:t>. Ancak bu takdir yetkisi</w:t>
      </w:r>
      <w:r w:rsidR="00E50578">
        <w:rPr>
          <w:sz w:val="24"/>
          <w:szCs w:val="24"/>
        </w:rPr>
        <w:t>nin</w:t>
      </w:r>
      <w:r w:rsidRPr="005F583B">
        <w:rPr>
          <w:sz w:val="24"/>
          <w:szCs w:val="24"/>
        </w:rPr>
        <w:t xml:space="preserve"> herhangi bir yargısal denetime tabi olmaksızın kullanılması mümkün değildir. Mill</w:t>
      </w:r>
      <w:r w:rsidR="007D1DE5">
        <w:rPr>
          <w:sz w:val="24"/>
          <w:szCs w:val="24"/>
        </w:rPr>
        <w:t xml:space="preserve">î </w:t>
      </w:r>
      <w:r w:rsidRPr="005F583B">
        <w:rPr>
          <w:sz w:val="24"/>
          <w:szCs w:val="24"/>
        </w:rPr>
        <w:t>güvenliği korumak görevini yerine getirebilmek için yetkilendirilmiş bir gizli gözetim teşkilatı bu faaliyetini yerine getirirken, idarenin diğer organları gibi yargısal denetime tabi olmalı</w:t>
      </w:r>
      <w:r w:rsidR="00D41669">
        <w:rPr>
          <w:sz w:val="24"/>
          <w:szCs w:val="24"/>
        </w:rPr>
        <w:t>dır. Bu teşkilat,</w:t>
      </w:r>
      <w:r w:rsidRPr="005F583B">
        <w:rPr>
          <w:sz w:val="24"/>
          <w:szCs w:val="24"/>
        </w:rPr>
        <w:t xml:space="preserve"> temas ettiği hassas temel hak ve hürriyetler de hesaba katıldığında, olası suistimalleri ve yetki aşımlarına </w:t>
      </w:r>
      <w:r w:rsidR="00EF7BB4" w:rsidRPr="005F583B">
        <w:rPr>
          <w:sz w:val="24"/>
          <w:szCs w:val="24"/>
        </w:rPr>
        <w:t>mâni</w:t>
      </w:r>
      <w:r w:rsidRPr="005F583B">
        <w:rPr>
          <w:sz w:val="24"/>
          <w:szCs w:val="24"/>
        </w:rPr>
        <w:t xml:space="preserve"> olabilmek adına yetkileri ve faaliyetleri sıkı şekil şartlarına bağlı olarak </w:t>
      </w:r>
      <w:r w:rsidR="00EF7BB4" w:rsidRPr="005F583B">
        <w:rPr>
          <w:sz w:val="24"/>
          <w:szCs w:val="24"/>
        </w:rPr>
        <w:t>düzenlenmelidir.</w:t>
      </w:r>
      <w:r w:rsidR="006B4747" w:rsidRPr="005F583B">
        <w:rPr>
          <w:sz w:val="24"/>
          <w:szCs w:val="24"/>
        </w:rPr>
        <w:t xml:space="preserve"> Gizli gözetimle yetkilendirilen teşkilatların yetkilerini kötüye kullanarak demokrasiyi ve hukuk devleti düzenine zarar verebileceği hatta onu tamamen yok edebileceği unutulmamalıdır</w:t>
      </w:r>
      <w:r w:rsidR="00517A0C">
        <w:rPr>
          <w:sz w:val="24"/>
          <w:szCs w:val="24"/>
        </w:rPr>
        <w:t xml:space="preserve"> (AİHM, 1978: para. 49,50,59)</w:t>
      </w:r>
      <w:r w:rsidR="006B4747" w:rsidRPr="005F583B">
        <w:rPr>
          <w:sz w:val="24"/>
          <w:szCs w:val="24"/>
        </w:rPr>
        <w:t>.</w:t>
      </w:r>
    </w:p>
    <w:p w:rsidR="00B639BF" w:rsidRPr="005F583B" w:rsidRDefault="003165AF" w:rsidP="00400461">
      <w:pPr>
        <w:tabs>
          <w:tab w:val="left" w:pos="8364"/>
        </w:tabs>
        <w:spacing w:after="120" w:line="240" w:lineRule="auto"/>
        <w:ind w:firstLine="705"/>
        <w:jc w:val="both"/>
        <w:rPr>
          <w:sz w:val="24"/>
          <w:szCs w:val="24"/>
        </w:rPr>
      </w:pPr>
      <w:r w:rsidRPr="005F583B">
        <w:rPr>
          <w:sz w:val="24"/>
          <w:szCs w:val="24"/>
        </w:rPr>
        <w:t xml:space="preserve">Teorik olarak bakıldığında bir gizli gözetim tedbirinin idare veya yargısal takip ve kontrolü 3 aşamada gerçekleştirilebilir; tedbir öncesi, tedbir </w:t>
      </w:r>
      <w:r w:rsidR="009D19B9" w:rsidRPr="005F583B">
        <w:rPr>
          <w:sz w:val="24"/>
          <w:szCs w:val="24"/>
        </w:rPr>
        <w:t>esnasında</w:t>
      </w:r>
      <w:r w:rsidRPr="005F583B">
        <w:rPr>
          <w:sz w:val="24"/>
          <w:szCs w:val="24"/>
        </w:rPr>
        <w:t xml:space="preserve"> ve tedbir sonrasında. Ancak gizli gözetim tedbirlerinin doğası gereği tedbir öncesinde veya esnasında kişilerin yapılan müdahaleden haberinin olması mümkün değildir. Bu sebeple özellikle ilk iki aşamada kişilerin haksız müdahalelerden olabildiğince korunabilmesi </w:t>
      </w:r>
      <w:r w:rsidR="00E447BD" w:rsidRPr="005F583B">
        <w:rPr>
          <w:sz w:val="24"/>
          <w:szCs w:val="24"/>
        </w:rPr>
        <w:t>adına müdahalelerin</w:t>
      </w:r>
      <w:r w:rsidRPr="005F583B">
        <w:rPr>
          <w:sz w:val="24"/>
          <w:szCs w:val="24"/>
        </w:rPr>
        <w:t xml:space="preserve"> suistimali önleyici bir gözden geçirme ve kontrol sistemine tabi olması şarttır.</w:t>
      </w:r>
      <w:r w:rsidR="00E447BD" w:rsidRPr="005F583B">
        <w:rPr>
          <w:sz w:val="24"/>
          <w:szCs w:val="24"/>
        </w:rPr>
        <w:t xml:space="preserve"> Mahkeme bu kontrol ve gözden geçirme sisteminin bağımsız mahkemeler yoluyla işletilmesinin en makul çözüm yolu olduğunu sıklıkla </w:t>
      </w:r>
      <w:r w:rsidR="00517A0C" w:rsidRPr="005F583B">
        <w:rPr>
          <w:sz w:val="24"/>
          <w:szCs w:val="24"/>
        </w:rPr>
        <w:t>belirtmektedir</w:t>
      </w:r>
      <w:r w:rsidR="00517A0C">
        <w:rPr>
          <w:sz w:val="24"/>
          <w:szCs w:val="24"/>
        </w:rPr>
        <w:t xml:space="preserve"> (AİHM, 1978: para. 55;</w:t>
      </w:r>
      <w:r w:rsidR="00743A9D">
        <w:rPr>
          <w:sz w:val="24"/>
          <w:szCs w:val="24"/>
        </w:rPr>
        <w:t xml:space="preserve"> </w:t>
      </w:r>
      <w:r w:rsidR="00517A0C">
        <w:rPr>
          <w:sz w:val="24"/>
          <w:szCs w:val="24"/>
        </w:rPr>
        <w:t>2015: para. 233)</w:t>
      </w:r>
      <w:r w:rsidR="00E447BD" w:rsidRPr="005F583B">
        <w:rPr>
          <w:sz w:val="24"/>
          <w:szCs w:val="24"/>
        </w:rPr>
        <w:t>.</w:t>
      </w:r>
      <w:r w:rsidR="00517A0C">
        <w:rPr>
          <w:sz w:val="24"/>
          <w:szCs w:val="24"/>
        </w:rPr>
        <w:t xml:space="preserve"> </w:t>
      </w:r>
    </w:p>
    <w:p w:rsidR="00595D6C" w:rsidRPr="005F583B" w:rsidRDefault="00595D6C" w:rsidP="00400461">
      <w:pPr>
        <w:tabs>
          <w:tab w:val="left" w:pos="8364"/>
        </w:tabs>
        <w:spacing w:after="120" w:line="240" w:lineRule="auto"/>
        <w:ind w:firstLine="705"/>
        <w:jc w:val="both"/>
        <w:rPr>
          <w:sz w:val="24"/>
          <w:szCs w:val="24"/>
        </w:rPr>
      </w:pPr>
      <w:r w:rsidRPr="005F583B">
        <w:rPr>
          <w:sz w:val="24"/>
          <w:szCs w:val="24"/>
        </w:rPr>
        <w:t xml:space="preserve">Bununla birlikte, gizli gözetim bittikten sonra dahi tedbire maruz kalan kişilerin bilgilendirilmemesi yapılan müdahalelerin “demokratik toplum düzenine aykırı ve ölçüsüz” olduğu anlamına gelmeyecektir. Bu şekilde yapılacak bildirimler yapılan gözetim faaliyetinden sağlanacak bütün faydayı yok edebilir. Ancak belirtilen </w:t>
      </w:r>
      <w:r w:rsidR="00323484" w:rsidRPr="005F583B">
        <w:rPr>
          <w:sz w:val="24"/>
          <w:szCs w:val="24"/>
        </w:rPr>
        <w:t>sakıncayı taşımayan</w:t>
      </w:r>
      <w:r w:rsidRPr="005F583B">
        <w:rPr>
          <w:sz w:val="24"/>
          <w:szCs w:val="24"/>
        </w:rPr>
        <w:t xml:space="preserve"> tedbirler </w:t>
      </w:r>
      <w:r w:rsidRPr="005F583B">
        <w:rPr>
          <w:sz w:val="24"/>
          <w:szCs w:val="24"/>
        </w:rPr>
        <w:lastRenderedPageBreak/>
        <w:t xml:space="preserve">neticesinde kişilere bildirimler vakit kaybetmeksizin </w:t>
      </w:r>
      <w:r w:rsidR="00C65EF4" w:rsidRPr="005F583B">
        <w:rPr>
          <w:sz w:val="24"/>
          <w:szCs w:val="24"/>
        </w:rPr>
        <w:t>yapılmalıdır</w:t>
      </w:r>
      <w:r w:rsidR="00C65EF4">
        <w:rPr>
          <w:sz w:val="24"/>
          <w:szCs w:val="24"/>
        </w:rPr>
        <w:t xml:space="preserve"> (</w:t>
      </w:r>
      <w:r w:rsidR="00517A0C">
        <w:rPr>
          <w:sz w:val="24"/>
          <w:szCs w:val="24"/>
        </w:rPr>
        <w:t>AİHM, 20</w:t>
      </w:r>
      <w:r w:rsidR="00C65EF4">
        <w:rPr>
          <w:sz w:val="24"/>
          <w:szCs w:val="24"/>
        </w:rPr>
        <w:t>0</w:t>
      </w:r>
      <w:r w:rsidR="00517A0C">
        <w:rPr>
          <w:sz w:val="24"/>
          <w:szCs w:val="24"/>
        </w:rPr>
        <w:t xml:space="preserve">6: para. </w:t>
      </w:r>
      <w:r w:rsidR="00C65EF4">
        <w:rPr>
          <w:sz w:val="24"/>
          <w:szCs w:val="24"/>
        </w:rPr>
        <w:t>93</w:t>
      </w:r>
      <w:r w:rsidR="00517A0C">
        <w:rPr>
          <w:sz w:val="24"/>
          <w:szCs w:val="24"/>
        </w:rPr>
        <w:t>)</w:t>
      </w:r>
      <w:r w:rsidRPr="005F583B">
        <w:rPr>
          <w:sz w:val="24"/>
          <w:szCs w:val="24"/>
        </w:rPr>
        <w:t>.</w:t>
      </w:r>
    </w:p>
    <w:p w:rsidR="009077D0" w:rsidRPr="005F583B" w:rsidRDefault="000041A4" w:rsidP="00400461">
      <w:pPr>
        <w:tabs>
          <w:tab w:val="left" w:pos="8364"/>
        </w:tabs>
        <w:spacing w:after="120" w:line="240" w:lineRule="auto"/>
        <w:ind w:firstLine="705"/>
        <w:jc w:val="both"/>
        <w:rPr>
          <w:sz w:val="24"/>
          <w:szCs w:val="24"/>
        </w:rPr>
      </w:pPr>
      <w:r w:rsidRPr="005F583B">
        <w:rPr>
          <w:sz w:val="24"/>
          <w:szCs w:val="24"/>
        </w:rPr>
        <w:t>AİHM’</w:t>
      </w:r>
      <w:r w:rsidR="00DF69FC">
        <w:rPr>
          <w:sz w:val="24"/>
          <w:szCs w:val="24"/>
        </w:rPr>
        <w:t>n</w:t>
      </w:r>
      <w:r w:rsidRPr="005F583B">
        <w:rPr>
          <w:sz w:val="24"/>
          <w:szCs w:val="24"/>
        </w:rPr>
        <w:t>in</w:t>
      </w:r>
      <w:r w:rsidR="0062076E" w:rsidRPr="005F583B">
        <w:rPr>
          <w:sz w:val="24"/>
          <w:szCs w:val="24"/>
        </w:rPr>
        <w:t xml:space="preserve"> </w:t>
      </w:r>
      <w:r w:rsidR="004E44F1" w:rsidRPr="005F583B">
        <w:rPr>
          <w:sz w:val="24"/>
          <w:szCs w:val="24"/>
        </w:rPr>
        <w:t xml:space="preserve">1990 yılında vermiş olduğu Huvig/Fransa kararıyla beraber gizli gözetime ilişkin yetkilerin kötüye kullanılmasını engellemek maksadıyla 6 koşul belirlediğini ve bu </w:t>
      </w:r>
      <w:r w:rsidR="0090016F" w:rsidRPr="005F583B">
        <w:rPr>
          <w:sz w:val="24"/>
          <w:szCs w:val="24"/>
        </w:rPr>
        <w:t xml:space="preserve">6 </w:t>
      </w:r>
      <w:r w:rsidR="004E44F1" w:rsidRPr="005F583B">
        <w:rPr>
          <w:sz w:val="24"/>
          <w:szCs w:val="24"/>
        </w:rPr>
        <w:t>koşulun taraf devletin gizli gözetim tedbirlerini</w:t>
      </w:r>
      <w:r w:rsidR="00CD6BBE" w:rsidRPr="005F583B">
        <w:rPr>
          <w:sz w:val="24"/>
          <w:szCs w:val="24"/>
        </w:rPr>
        <w:t xml:space="preserve"> düzenleyen yasalarında </w:t>
      </w:r>
      <w:r w:rsidR="004E44F1" w:rsidRPr="005F583B">
        <w:rPr>
          <w:sz w:val="24"/>
          <w:szCs w:val="24"/>
        </w:rPr>
        <w:t xml:space="preserve">bulunması </w:t>
      </w:r>
      <w:r w:rsidR="006F73DD" w:rsidRPr="005F583B">
        <w:rPr>
          <w:sz w:val="24"/>
          <w:szCs w:val="24"/>
        </w:rPr>
        <w:t xml:space="preserve">asgari güvenceler </w:t>
      </w:r>
      <w:r w:rsidR="004E44F1" w:rsidRPr="005F583B">
        <w:rPr>
          <w:sz w:val="24"/>
          <w:szCs w:val="24"/>
        </w:rPr>
        <w:t xml:space="preserve">olarak </w:t>
      </w:r>
      <w:r w:rsidR="006F73DD" w:rsidRPr="005F583B">
        <w:rPr>
          <w:sz w:val="24"/>
          <w:szCs w:val="24"/>
        </w:rPr>
        <w:t>tanımlandığı</w:t>
      </w:r>
      <w:r w:rsidR="004E44F1" w:rsidRPr="005F583B">
        <w:rPr>
          <w:sz w:val="24"/>
          <w:szCs w:val="24"/>
        </w:rPr>
        <w:t xml:space="preserve"> söylenebilir.</w:t>
      </w:r>
      <w:r w:rsidR="0062076E" w:rsidRPr="005F583B">
        <w:rPr>
          <w:sz w:val="24"/>
          <w:szCs w:val="24"/>
        </w:rPr>
        <w:t xml:space="preserve"> </w:t>
      </w:r>
      <w:r w:rsidR="004E44F1" w:rsidRPr="005F583B">
        <w:rPr>
          <w:sz w:val="24"/>
          <w:szCs w:val="24"/>
        </w:rPr>
        <w:t xml:space="preserve">Bu temel 6 </w:t>
      </w:r>
      <w:r w:rsidR="00743A9D" w:rsidRPr="005F583B">
        <w:rPr>
          <w:sz w:val="24"/>
          <w:szCs w:val="24"/>
        </w:rPr>
        <w:t>husus</w:t>
      </w:r>
      <w:r w:rsidR="00CD6BBE" w:rsidRPr="005F583B">
        <w:rPr>
          <w:sz w:val="24"/>
          <w:szCs w:val="24"/>
        </w:rPr>
        <w:t>;</w:t>
      </w:r>
    </w:p>
    <w:p w:rsidR="00CD6BBE" w:rsidRPr="005308E1" w:rsidRDefault="005308E1" w:rsidP="00263BF5">
      <w:pPr>
        <w:tabs>
          <w:tab w:val="left" w:pos="8647"/>
        </w:tabs>
        <w:spacing w:after="120" w:line="240" w:lineRule="auto"/>
        <w:ind w:left="1134" w:right="-1"/>
        <w:jc w:val="both"/>
        <w:rPr>
          <w:sz w:val="24"/>
          <w:szCs w:val="24"/>
        </w:rPr>
      </w:pPr>
      <w:r w:rsidRPr="005308E1">
        <w:rPr>
          <w:sz w:val="24"/>
          <w:szCs w:val="24"/>
        </w:rPr>
        <w:t>“</w:t>
      </w:r>
      <w:r w:rsidR="00CD6BBE" w:rsidRPr="005308E1">
        <w:rPr>
          <w:sz w:val="24"/>
          <w:szCs w:val="24"/>
        </w:rPr>
        <w:t xml:space="preserve">1. </w:t>
      </w:r>
      <w:r w:rsidR="00AE7D70" w:rsidRPr="005308E1">
        <w:rPr>
          <w:sz w:val="24"/>
          <w:szCs w:val="24"/>
        </w:rPr>
        <w:t>Gizli</w:t>
      </w:r>
      <w:r w:rsidR="00DF69FC">
        <w:rPr>
          <w:sz w:val="24"/>
          <w:szCs w:val="24"/>
        </w:rPr>
        <w:t xml:space="preserve"> </w:t>
      </w:r>
      <w:r w:rsidR="00AE7D70" w:rsidRPr="005308E1">
        <w:rPr>
          <w:sz w:val="24"/>
          <w:szCs w:val="24"/>
        </w:rPr>
        <w:t>özetimin hangi</w:t>
      </w:r>
      <w:r w:rsidR="00CD6BBE" w:rsidRPr="005308E1">
        <w:rPr>
          <w:sz w:val="24"/>
          <w:szCs w:val="24"/>
        </w:rPr>
        <w:t xml:space="preserve"> suçlar</w:t>
      </w:r>
      <w:r w:rsidR="0090016F" w:rsidRPr="005308E1">
        <w:rPr>
          <w:sz w:val="24"/>
          <w:szCs w:val="24"/>
        </w:rPr>
        <w:t xml:space="preserve">la mücadele </w:t>
      </w:r>
      <w:r w:rsidR="00CD6BBE" w:rsidRPr="005308E1">
        <w:rPr>
          <w:sz w:val="24"/>
          <w:szCs w:val="24"/>
        </w:rPr>
        <w:t xml:space="preserve">için </w:t>
      </w:r>
      <w:r w:rsidR="00AE7D70" w:rsidRPr="005308E1">
        <w:rPr>
          <w:sz w:val="24"/>
          <w:szCs w:val="24"/>
        </w:rPr>
        <w:t>öngörüldüğünün düzenlemede</w:t>
      </w:r>
      <w:r w:rsidR="00CD6BBE" w:rsidRPr="005308E1">
        <w:rPr>
          <w:sz w:val="24"/>
          <w:szCs w:val="24"/>
        </w:rPr>
        <w:t xml:space="preserve"> açıkça gösterilmesi</w:t>
      </w:r>
    </w:p>
    <w:p w:rsidR="00CD6BBE" w:rsidRPr="005308E1" w:rsidRDefault="00CD6BBE" w:rsidP="00263BF5">
      <w:pPr>
        <w:tabs>
          <w:tab w:val="left" w:pos="8647"/>
        </w:tabs>
        <w:spacing w:after="120" w:line="240" w:lineRule="auto"/>
        <w:ind w:left="1134" w:right="-1"/>
        <w:jc w:val="both"/>
        <w:rPr>
          <w:sz w:val="24"/>
          <w:szCs w:val="24"/>
        </w:rPr>
      </w:pPr>
      <w:r w:rsidRPr="005308E1">
        <w:rPr>
          <w:sz w:val="24"/>
          <w:szCs w:val="24"/>
        </w:rPr>
        <w:t>2.</w:t>
      </w:r>
      <w:r w:rsidR="005308E1" w:rsidRPr="005308E1">
        <w:rPr>
          <w:sz w:val="24"/>
          <w:szCs w:val="24"/>
        </w:rPr>
        <w:t xml:space="preserve"> </w:t>
      </w:r>
      <w:r w:rsidR="006F73DD" w:rsidRPr="005308E1">
        <w:rPr>
          <w:sz w:val="24"/>
          <w:szCs w:val="24"/>
        </w:rPr>
        <w:t xml:space="preserve">Gizli gözetim tedbirlerini uygulamakla yetkilendirilebilecek kişilerin açıkça düzenlenmesi </w:t>
      </w:r>
    </w:p>
    <w:p w:rsidR="00CD6BBE" w:rsidRPr="005308E1" w:rsidRDefault="00CD6BBE" w:rsidP="00263BF5">
      <w:pPr>
        <w:tabs>
          <w:tab w:val="left" w:pos="8647"/>
        </w:tabs>
        <w:spacing w:after="120" w:line="240" w:lineRule="auto"/>
        <w:ind w:left="1134" w:right="-1"/>
        <w:jc w:val="both"/>
        <w:rPr>
          <w:sz w:val="24"/>
          <w:szCs w:val="24"/>
        </w:rPr>
      </w:pPr>
      <w:r w:rsidRPr="005308E1">
        <w:rPr>
          <w:sz w:val="24"/>
          <w:szCs w:val="24"/>
        </w:rPr>
        <w:t xml:space="preserve">3. İzleme tedbirinin uygulama süresinin kanunda </w:t>
      </w:r>
      <w:r w:rsidR="006F73DD" w:rsidRPr="005308E1">
        <w:rPr>
          <w:sz w:val="24"/>
          <w:szCs w:val="24"/>
        </w:rPr>
        <w:t>belirtilmesi,</w:t>
      </w:r>
    </w:p>
    <w:p w:rsidR="00CD6BBE" w:rsidRPr="005308E1" w:rsidRDefault="00CD6BBE" w:rsidP="00263BF5">
      <w:pPr>
        <w:tabs>
          <w:tab w:val="left" w:pos="8647"/>
        </w:tabs>
        <w:spacing w:after="120" w:line="240" w:lineRule="auto"/>
        <w:ind w:left="1134" w:right="-1"/>
        <w:jc w:val="both"/>
        <w:rPr>
          <w:sz w:val="24"/>
          <w:szCs w:val="24"/>
        </w:rPr>
      </w:pPr>
      <w:r w:rsidRPr="005308E1">
        <w:rPr>
          <w:sz w:val="24"/>
          <w:szCs w:val="24"/>
        </w:rPr>
        <w:t>4. Elde edilen verilerin incelenmesi ve kayıt altına alınması</w:t>
      </w:r>
      <w:r w:rsidR="00AE7D70" w:rsidRPr="005308E1">
        <w:rPr>
          <w:sz w:val="24"/>
          <w:szCs w:val="24"/>
        </w:rPr>
        <w:t xml:space="preserve"> ve saklanmasına dair </w:t>
      </w:r>
      <w:r w:rsidRPr="005308E1">
        <w:rPr>
          <w:sz w:val="24"/>
          <w:szCs w:val="24"/>
        </w:rPr>
        <w:t xml:space="preserve">usullerin </w:t>
      </w:r>
      <w:r w:rsidR="00AE7D70" w:rsidRPr="005308E1">
        <w:rPr>
          <w:sz w:val="24"/>
          <w:szCs w:val="24"/>
        </w:rPr>
        <w:t>ve esasların düzenlenmesi</w:t>
      </w:r>
      <w:r w:rsidRPr="005308E1">
        <w:rPr>
          <w:sz w:val="24"/>
          <w:szCs w:val="24"/>
        </w:rPr>
        <w:t>,</w:t>
      </w:r>
    </w:p>
    <w:p w:rsidR="00CD6BBE" w:rsidRPr="005308E1" w:rsidRDefault="00CD6BBE" w:rsidP="00263BF5">
      <w:pPr>
        <w:tabs>
          <w:tab w:val="left" w:pos="8647"/>
        </w:tabs>
        <w:spacing w:after="120" w:line="240" w:lineRule="auto"/>
        <w:ind w:left="1134" w:right="-1"/>
        <w:jc w:val="both"/>
        <w:rPr>
          <w:sz w:val="24"/>
          <w:szCs w:val="24"/>
        </w:rPr>
      </w:pPr>
      <w:r w:rsidRPr="005308E1">
        <w:rPr>
          <w:sz w:val="24"/>
          <w:szCs w:val="24"/>
        </w:rPr>
        <w:t>5. Elde edilen verilerin</w:t>
      </w:r>
      <w:r w:rsidR="00AE7D70" w:rsidRPr="005308E1">
        <w:rPr>
          <w:sz w:val="24"/>
          <w:szCs w:val="24"/>
        </w:rPr>
        <w:t xml:space="preserve"> diğer teşkilatlarla paylaşılması</w:t>
      </w:r>
      <w:r w:rsidRPr="005308E1">
        <w:rPr>
          <w:sz w:val="24"/>
          <w:szCs w:val="24"/>
        </w:rPr>
        <w:t xml:space="preserve"> </w:t>
      </w:r>
      <w:r w:rsidR="00AE7D70" w:rsidRPr="005308E1">
        <w:rPr>
          <w:sz w:val="24"/>
          <w:szCs w:val="24"/>
        </w:rPr>
        <w:t>hususu ile prosedürün ayrıntılı olar</w:t>
      </w:r>
      <w:r w:rsidR="006F73DD" w:rsidRPr="005308E1">
        <w:rPr>
          <w:sz w:val="24"/>
          <w:szCs w:val="24"/>
        </w:rPr>
        <w:t xml:space="preserve">ak gösterilmesi </w:t>
      </w:r>
    </w:p>
    <w:p w:rsidR="00CD6BBE" w:rsidRPr="005308E1" w:rsidRDefault="00CD6BBE" w:rsidP="00263BF5">
      <w:pPr>
        <w:tabs>
          <w:tab w:val="left" w:pos="8647"/>
        </w:tabs>
        <w:spacing w:after="120" w:line="240" w:lineRule="auto"/>
        <w:ind w:left="1134" w:right="-1"/>
        <w:jc w:val="both"/>
        <w:rPr>
          <w:sz w:val="24"/>
          <w:szCs w:val="24"/>
        </w:rPr>
      </w:pPr>
      <w:r w:rsidRPr="005308E1">
        <w:rPr>
          <w:sz w:val="24"/>
          <w:szCs w:val="24"/>
        </w:rPr>
        <w:t xml:space="preserve">6. Elde edilen verilerin </w:t>
      </w:r>
      <w:r w:rsidR="006F73DD" w:rsidRPr="005308E1">
        <w:rPr>
          <w:sz w:val="24"/>
          <w:szCs w:val="24"/>
        </w:rPr>
        <w:t>yok edilmesine ilişkin</w:t>
      </w:r>
      <w:r w:rsidRPr="005308E1">
        <w:rPr>
          <w:sz w:val="24"/>
          <w:szCs w:val="24"/>
        </w:rPr>
        <w:t xml:space="preserve"> koşul ve esaslarının </w:t>
      </w:r>
      <w:r w:rsidR="00AE7D70" w:rsidRPr="005308E1">
        <w:rPr>
          <w:sz w:val="24"/>
          <w:szCs w:val="24"/>
        </w:rPr>
        <w:t>belirtilmesi</w:t>
      </w:r>
      <w:r w:rsidR="005308E1">
        <w:rPr>
          <w:sz w:val="24"/>
          <w:szCs w:val="24"/>
        </w:rPr>
        <w:t>”</w:t>
      </w:r>
      <w:r w:rsidR="00263BF5" w:rsidRPr="00263BF5">
        <w:rPr>
          <w:sz w:val="24"/>
          <w:szCs w:val="24"/>
        </w:rPr>
        <w:t xml:space="preserve"> </w:t>
      </w:r>
      <w:r w:rsidR="00263BF5">
        <w:rPr>
          <w:sz w:val="24"/>
          <w:szCs w:val="24"/>
        </w:rPr>
        <w:t>(AİHM, 1990: para. 34; 1998: para. 46; 2015: para. 231; 2003: para. 30; 2008: para.76)</w:t>
      </w:r>
      <w:r w:rsidR="00DF69FC">
        <w:rPr>
          <w:sz w:val="24"/>
          <w:szCs w:val="24"/>
        </w:rPr>
        <w:t>.</w:t>
      </w:r>
    </w:p>
    <w:p w:rsidR="00B94DFB" w:rsidRPr="005F583B" w:rsidRDefault="00215F0D" w:rsidP="00400461">
      <w:pPr>
        <w:tabs>
          <w:tab w:val="left" w:pos="8647"/>
        </w:tabs>
        <w:spacing w:after="120" w:line="240" w:lineRule="auto"/>
        <w:jc w:val="both"/>
        <w:rPr>
          <w:sz w:val="24"/>
          <w:szCs w:val="24"/>
        </w:rPr>
      </w:pPr>
      <w:r w:rsidRPr="005F583B">
        <w:rPr>
          <w:sz w:val="24"/>
          <w:szCs w:val="24"/>
        </w:rPr>
        <w:t>o</w:t>
      </w:r>
      <w:r w:rsidR="00DF69FC">
        <w:rPr>
          <w:sz w:val="24"/>
          <w:szCs w:val="24"/>
        </w:rPr>
        <w:t xml:space="preserve">larak </w:t>
      </w:r>
      <w:r w:rsidR="00E77A61" w:rsidRPr="005F583B">
        <w:rPr>
          <w:sz w:val="24"/>
          <w:szCs w:val="24"/>
        </w:rPr>
        <w:t>özetlenebilir</w:t>
      </w:r>
      <w:r w:rsidR="00B94DFB" w:rsidRPr="005F583B">
        <w:rPr>
          <w:sz w:val="24"/>
          <w:szCs w:val="24"/>
        </w:rPr>
        <w:t xml:space="preserve">. Sayılan </w:t>
      </w:r>
      <w:r w:rsidR="00AE7D70" w:rsidRPr="005F583B">
        <w:rPr>
          <w:sz w:val="24"/>
          <w:szCs w:val="24"/>
        </w:rPr>
        <w:t>bu 6 koşul</w:t>
      </w:r>
      <w:r w:rsidR="00B94DFB" w:rsidRPr="005F583B">
        <w:rPr>
          <w:sz w:val="24"/>
          <w:szCs w:val="24"/>
        </w:rPr>
        <w:t xml:space="preserve"> özellikle </w:t>
      </w:r>
      <w:r w:rsidR="00AE7D70" w:rsidRPr="005F583B">
        <w:rPr>
          <w:sz w:val="24"/>
          <w:szCs w:val="24"/>
        </w:rPr>
        <w:t>kanunilik</w:t>
      </w:r>
      <w:r w:rsidR="00B94DFB" w:rsidRPr="005F583B">
        <w:rPr>
          <w:sz w:val="24"/>
          <w:szCs w:val="24"/>
        </w:rPr>
        <w:t xml:space="preserve"> ilkesi kapsamın</w:t>
      </w:r>
      <w:r w:rsidR="00E50578">
        <w:rPr>
          <w:sz w:val="24"/>
          <w:szCs w:val="24"/>
        </w:rPr>
        <w:t>da</w:t>
      </w:r>
      <w:r w:rsidR="008720EE" w:rsidRPr="005F583B">
        <w:rPr>
          <w:sz w:val="24"/>
          <w:szCs w:val="24"/>
        </w:rPr>
        <w:t>,</w:t>
      </w:r>
      <w:r w:rsidR="00B94DFB" w:rsidRPr="005F583B">
        <w:rPr>
          <w:sz w:val="24"/>
          <w:szCs w:val="24"/>
        </w:rPr>
        <w:t xml:space="preserve"> taraf devlet yasalarının yeterli güvenceyi sağlayıp sağlamadığı</w:t>
      </w:r>
      <w:r w:rsidR="00E50578">
        <w:rPr>
          <w:sz w:val="24"/>
          <w:szCs w:val="24"/>
        </w:rPr>
        <w:t>nın</w:t>
      </w:r>
      <w:r w:rsidR="00B94DFB" w:rsidRPr="005F583B">
        <w:rPr>
          <w:sz w:val="24"/>
          <w:szCs w:val="24"/>
        </w:rPr>
        <w:t xml:space="preserve"> </w:t>
      </w:r>
      <w:r w:rsidR="00E50578">
        <w:rPr>
          <w:sz w:val="24"/>
          <w:szCs w:val="24"/>
        </w:rPr>
        <w:t>belirlenmesinde</w:t>
      </w:r>
      <w:r w:rsidR="00B94DFB" w:rsidRPr="005F583B">
        <w:rPr>
          <w:sz w:val="24"/>
          <w:szCs w:val="24"/>
        </w:rPr>
        <w:t xml:space="preserve"> kritik öneme haizdir.</w:t>
      </w:r>
      <w:r w:rsidR="002D34E9" w:rsidRPr="005F583B">
        <w:rPr>
          <w:sz w:val="24"/>
          <w:szCs w:val="24"/>
        </w:rPr>
        <w:t xml:space="preserve"> Söz konusu 6 koşul toplu gözetimle ilgili verilmiş olan Weber ve Saravia/Almanya</w:t>
      </w:r>
      <w:r w:rsidR="00743A9D">
        <w:rPr>
          <w:sz w:val="24"/>
          <w:szCs w:val="24"/>
        </w:rPr>
        <w:t xml:space="preserve"> (AİHM, 2006: para. 95)</w:t>
      </w:r>
      <w:r w:rsidR="009D7207" w:rsidRPr="005F583B">
        <w:rPr>
          <w:sz w:val="24"/>
          <w:szCs w:val="24"/>
        </w:rPr>
        <w:t>,</w:t>
      </w:r>
      <w:r w:rsidR="002D34E9" w:rsidRPr="005F583B">
        <w:rPr>
          <w:sz w:val="24"/>
          <w:szCs w:val="24"/>
        </w:rPr>
        <w:t xml:space="preserve"> Kennedy/Birleşik Krallık</w:t>
      </w:r>
      <w:r w:rsidR="00743A9D">
        <w:rPr>
          <w:sz w:val="24"/>
          <w:szCs w:val="24"/>
        </w:rPr>
        <w:t xml:space="preserve"> (AİHM, </w:t>
      </w:r>
      <w:r w:rsidR="00555CE0">
        <w:rPr>
          <w:sz w:val="24"/>
          <w:szCs w:val="24"/>
        </w:rPr>
        <w:t>2010</w:t>
      </w:r>
      <w:r w:rsidR="00743A9D">
        <w:rPr>
          <w:sz w:val="24"/>
          <w:szCs w:val="24"/>
        </w:rPr>
        <w:t xml:space="preserve">: para. </w:t>
      </w:r>
      <w:r w:rsidR="00555CE0">
        <w:rPr>
          <w:sz w:val="24"/>
          <w:szCs w:val="24"/>
        </w:rPr>
        <w:t>135</w:t>
      </w:r>
      <w:r w:rsidR="00743A9D">
        <w:rPr>
          <w:sz w:val="24"/>
          <w:szCs w:val="24"/>
        </w:rPr>
        <w:t>)</w:t>
      </w:r>
      <w:r w:rsidR="001204EC" w:rsidRPr="005F583B">
        <w:rPr>
          <w:sz w:val="24"/>
          <w:szCs w:val="24"/>
        </w:rPr>
        <w:t>,</w:t>
      </w:r>
      <w:r w:rsidR="009D7207" w:rsidRPr="005F583B">
        <w:rPr>
          <w:sz w:val="24"/>
          <w:szCs w:val="24"/>
        </w:rPr>
        <w:t xml:space="preserve"> Szabó ve Vissy/Macaristan</w:t>
      </w:r>
      <w:r w:rsidR="00555CE0">
        <w:rPr>
          <w:sz w:val="24"/>
          <w:szCs w:val="24"/>
        </w:rPr>
        <w:t xml:space="preserve"> (AİHM, 2016: para. 56)</w:t>
      </w:r>
      <w:r w:rsidR="001204EC" w:rsidRPr="005F583B">
        <w:rPr>
          <w:sz w:val="24"/>
          <w:szCs w:val="24"/>
        </w:rPr>
        <w:t xml:space="preserve"> ve Centrum För Rättvısa/İsveç</w:t>
      </w:r>
      <w:r w:rsidR="00555CE0">
        <w:rPr>
          <w:sz w:val="24"/>
          <w:szCs w:val="24"/>
        </w:rPr>
        <w:t xml:space="preserve"> (AİHM, 2018</w:t>
      </w:r>
      <w:r w:rsidR="00EC580F">
        <w:rPr>
          <w:sz w:val="24"/>
          <w:szCs w:val="24"/>
        </w:rPr>
        <w:t>a</w:t>
      </w:r>
      <w:r w:rsidR="00555CE0">
        <w:rPr>
          <w:sz w:val="24"/>
          <w:szCs w:val="24"/>
        </w:rPr>
        <w:t xml:space="preserve">: para. 109) </w:t>
      </w:r>
      <w:r w:rsidR="002D34E9" w:rsidRPr="005F583B">
        <w:rPr>
          <w:sz w:val="24"/>
          <w:szCs w:val="24"/>
        </w:rPr>
        <w:t xml:space="preserve">davalarında da gündeme gelmiş, mahkemeler bu </w:t>
      </w:r>
      <w:r w:rsidR="009D7207" w:rsidRPr="005F583B">
        <w:rPr>
          <w:sz w:val="24"/>
          <w:szCs w:val="24"/>
        </w:rPr>
        <w:t>içtihadını</w:t>
      </w:r>
      <w:r w:rsidR="002D34E9" w:rsidRPr="005F583B">
        <w:rPr>
          <w:sz w:val="24"/>
          <w:szCs w:val="24"/>
        </w:rPr>
        <w:t xml:space="preserve"> bu kararlarda da </w:t>
      </w:r>
      <w:r w:rsidR="009D7207" w:rsidRPr="005F583B">
        <w:rPr>
          <w:sz w:val="24"/>
          <w:szCs w:val="24"/>
        </w:rPr>
        <w:t>dikkate almışlardır</w:t>
      </w:r>
      <w:r w:rsidR="002D34E9" w:rsidRPr="005F583B">
        <w:rPr>
          <w:sz w:val="24"/>
          <w:szCs w:val="24"/>
        </w:rPr>
        <w:t>.</w:t>
      </w:r>
      <w:r w:rsidR="004E69A3" w:rsidRPr="005F583B">
        <w:rPr>
          <w:sz w:val="24"/>
          <w:szCs w:val="24"/>
        </w:rPr>
        <w:t xml:space="preserve">  Hatta mahkeme Szabó ve Vissy/Macaristan </w:t>
      </w:r>
      <w:r w:rsidR="001204EC" w:rsidRPr="005F583B">
        <w:rPr>
          <w:sz w:val="24"/>
          <w:szCs w:val="24"/>
        </w:rPr>
        <w:t xml:space="preserve">kararında </w:t>
      </w:r>
      <w:r w:rsidR="004E69A3" w:rsidRPr="005F583B">
        <w:rPr>
          <w:sz w:val="24"/>
          <w:szCs w:val="24"/>
        </w:rPr>
        <w:t>açıklanan 6 koşul</w:t>
      </w:r>
      <w:r w:rsidR="001204EC" w:rsidRPr="005F583B">
        <w:rPr>
          <w:sz w:val="24"/>
          <w:szCs w:val="24"/>
        </w:rPr>
        <w:t xml:space="preserve">a ek </w:t>
      </w:r>
      <w:r w:rsidR="00BA4C04" w:rsidRPr="005F583B">
        <w:rPr>
          <w:sz w:val="24"/>
          <w:szCs w:val="24"/>
        </w:rPr>
        <w:t>birtakım</w:t>
      </w:r>
      <w:r w:rsidR="004E69A3" w:rsidRPr="005F583B">
        <w:rPr>
          <w:sz w:val="24"/>
          <w:szCs w:val="24"/>
        </w:rPr>
        <w:t xml:space="preserve"> </w:t>
      </w:r>
      <w:r w:rsidR="001204EC" w:rsidRPr="005F583B">
        <w:rPr>
          <w:sz w:val="24"/>
          <w:szCs w:val="24"/>
        </w:rPr>
        <w:t>güvencelerin de</w:t>
      </w:r>
      <w:r w:rsidR="004E69A3" w:rsidRPr="005F583B">
        <w:rPr>
          <w:sz w:val="24"/>
          <w:szCs w:val="24"/>
        </w:rPr>
        <w:t xml:space="preserve"> düzenlenmesini tavsiye etmektedir.</w:t>
      </w:r>
    </w:p>
    <w:p w:rsidR="007B392D" w:rsidRPr="005F583B" w:rsidRDefault="00B94DFB" w:rsidP="00400461">
      <w:pPr>
        <w:tabs>
          <w:tab w:val="left" w:pos="8647"/>
        </w:tabs>
        <w:spacing w:after="120" w:line="240" w:lineRule="auto"/>
        <w:ind w:firstLine="421"/>
        <w:jc w:val="both"/>
        <w:rPr>
          <w:sz w:val="24"/>
          <w:szCs w:val="24"/>
        </w:rPr>
      </w:pPr>
      <w:r w:rsidRPr="005F583B">
        <w:rPr>
          <w:sz w:val="24"/>
          <w:szCs w:val="24"/>
        </w:rPr>
        <w:t xml:space="preserve">Çalışmada daha önce de belirtildiği üzere AİHM’nin toplu gözetim hakkında kapsamlı bir </w:t>
      </w:r>
      <w:r w:rsidR="00AE7D70" w:rsidRPr="005F583B">
        <w:rPr>
          <w:sz w:val="24"/>
          <w:szCs w:val="24"/>
        </w:rPr>
        <w:t>içtihadının</w:t>
      </w:r>
      <w:r w:rsidRPr="005F583B">
        <w:rPr>
          <w:sz w:val="24"/>
          <w:szCs w:val="24"/>
        </w:rPr>
        <w:t xml:space="preserve"> bulunduğunu söylemek güçtür. Ancak mahkemenin gizli gözetim tedbirleri hakkındaki kararları ışığında gizli gözetim hakkında </w:t>
      </w:r>
      <w:r w:rsidR="00AE7D70" w:rsidRPr="005F583B">
        <w:rPr>
          <w:sz w:val="24"/>
          <w:szCs w:val="24"/>
        </w:rPr>
        <w:t>birtakım</w:t>
      </w:r>
      <w:r w:rsidRPr="005F583B">
        <w:rPr>
          <w:sz w:val="24"/>
          <w:szCs w:val="24"/>
        </w:rPr>
        <w:t xml:space="preserve"> tespitler yapılabilmektedir. Bununla birlikte </w:t>
      </w:r>
      <w:r w:rsidRPr="00416168">
        <w:rPr>
          <w:sz w:val="24"/>
          <w:szCs w:val="24"/>
        </w:rPr>
        <w:t>AİHS hükümlerini kararlarında esas alan yerel yargı organlarının kitle gözetim hakkında yapmış olduğu tespitler de konunun derinleşmesine</w:t>
      </w:r>
      <w:r w:rsidRPr="005F583B">
        <w:rPr>
          <w:sz w:val="24"/>
          <w:szCs w:val="24"/>
        </w:rPr>
        <w:t xml:space="preserve"> katkı sağl</w:t>
      </w:r>
      <w:r w:rsidR="00DF69FC">
        <w:rPr>
          <w:sz w:val="24"/>
          <w:szCs w:val="24"/>
        </w:rPr>
        <w:t>ayacaktır. Bu kapsamda Venedik K</w:t>
      </w:r>
      <w:r w:rsidRPr="005F583B">
        <w:rPr>
          <w:sz w:val="24"/>
          <w:szCs w:val="24"/>
        </w:rPr>
        <w:t>omisyonunu</w:t>
      </w:r>
      <w:r w:rsidR="00D41669">
        <w:rPr>
          <w:sz w:val="24"/>
          <w:szCs w:val="24"/>
        </w:rPr>
        <w:t>n</w:t>
      </w:r>
      <w:r w:rsidRPr="005F583B">
        <w:rPr>
          <w:sz w:val="24"/>
          <w:szCs w:val="24"/>
        </w:rPr>
        <w:t xml:space="preserve"> </w:t>
      </w:r>
      <w:r w:rsidR="00FE442E" w:rsidRPr="005F583B">
        <w:rPr>
          <w:sz w:val="24"/>
          <w:szCs w:val="24"/>
        </w:rPr>
        <w:t xml:space="preserve">15 Aralık 2015 </w:t>
      </w:r>
      <w:r w:rsidR="00AE7D70" w:rsidRPr="005F583B">
        <w:rPr>
          <w:sz w:val="24"/>
          <w:szCs w:val="24"/>
        </w:rPr>
        <w:t xml:space="preserve">tarihli </w:t>
      </w:r>
      <w:r w:rsidR="00FE442E" w:rsidRPr="00555CE0">
        <w:rPr>
          <w:sz w:val="24"/>
          <w:szCs w:val="24"/>
        </w:rPr>
        <w:t>“</w:t>
      </w:r>
      <w:r w:rsidR="00AE7D70" w:rsidRPr="00555CE0">
        <w:rPr>
          <w:sz w:val="24"/>
          <w:szCs w:val="24"/>
        </w:rPr>
        <w:t>Sinyal</w:t>
      </w:r>
      <w:r w:rsidR="00DF69FC">
        <w:rPr>
          <w:sz w:val="24"/>
          <w:szCs w:val="24"/>
        </w:rPr>
        <w:t xml:space="preserve"> İstihbaratı T</w:t>
      </w:r>
      <w:r w:rsidRPr="00555CE0">
        <w:rPr>
          <w:sz w:val="24"/>
          <w:szCs w:val="24"/>
        </w:rPr>
        <w:t>eşkilat</w:t>
      </w:r>
      <w:r w:rsidR="00FE442E" w:rsidRPr="00555CE0">
        <w:rPr>
          <w:sz w:val="24"/>
          <w:szCs w:val="24"/>
        </w:rPr>
        <w:t>larının</w:t>
      </w:r>
      <w:r w:rsidRPr="00555CE0">
        <w:rPr>
          <w:sz w:val="24"/>
          <w:szCs w:val="24"/>
        </w:rPr>
        <w:t xml:space="preserve"> </w:t>
      </w:r>
      <w:r w:rsidR="00FE442E" w:rsidRPr="00555CE0">
        <w:rPr>
          <w:sz w:val="24"/>
          <w:szCs w:val="24"/>
        </w:rPr>
        <w:t>D</w:t>
      </w:r>
      <w:r w:rsidRPr="00555CE0">
        <w:rPr>
          <w:sz w:val="24"/>
          <w:szCs w:val="24"/>
        </w:rPr>
        <w:t>emok</w:t>
      </w:r>
      <w:r w:rsidR="00FE442E" w:rsidRPr="00555CE0">
        <w:rPr>
          <w:sz w:val="24"/>
          <w:szCs w:val="24"/>
        </w:rPr>
        <w:t>ratik</w:t>
      </w:r>
      <w:r w:rsidRPr="00555CE0">
        <w:rPr>
          <w:sz w:val="24"/>
          <w:szCs w:val="24"/>
        </w:rPr>
        <w:t xml:space="preserve"> </w:t>
      </w:r>
      <w:r w:rsidR="0014352F" w:rsidRPr="00555CE0">
        <w:rPr>
          <w:sz w:val="24"/>
          <w:szCs w:val="24"/>
        </w:rPr>
        <w:t>Denetimi”</w:t>
      </w:r>
      <w:r w:rsidR="0014352F" w:rsidRPr="005F583B">
        <w:rPr>
          <w:sz w:val="24"/>
          <w:szCs w:val="24"/>
        </w:rPr>
        <w:t xml:space="preserve"> </w:t>
      </w:r>
      <w:r w:rsidR="0014352F">
        <w:rPr>
          <w:sz w:val="24"/>
          <w:szCs w:val="24"/>
        </w:rPr>
        <w:t>(</w:t>
      </w:r>
      <w:r w:rsidR="00555CE0">
        <w:rPr>
          <w:sz w:val="24"/>
          <w:szCs w:val="24"/>
        </w:rPr>
        <w:t xml:space="preserve">2015) </w:t>
      </w:r>
      <w:r w:rsidRPr="005F583B">
        <w:rPr>
          <w:sz w:val="24"/>
          <w:szCs w:val="24"/>
        </w:rPr>
        <w:t xml:space="preserve">isimli raporuna göre </w:t>
      </w:r>
      <w:r w:rsidR="007B392D" w:rsidRPr="005F583B">
        <w:rPr>
          <w:sz w:val="24"/>
          <w:szCs w:val="24"/>
        </w:rPr>
        <w:t xml:space="preserve">Hollanda </w:t>
      </w:r>
      <w:r w:rsidR="007C050F" w:rsidRPr="005F583B">
        <w:rPr>
          <w:sz w:val="24"/>
          <w:szCs w:val="24"/>
        </w:rPr>
        <w:t xml:space="preserve">İstihbarat ve Güvenlik Hizmetleri İnceleme </w:t>
      </w:r>
      <w:r w:rsidR="007C050F" w:rsidRPr="005F583B">
        <w:rPr>
          <w:sz w:val="24"/>
          <w:szCs w:val="24"/>
        </w:rPr>
        <w:lastRenderedPageBreak/>
        <w:t>Komitesi (CTIVD</w:t>
      </w:r>
      <w:r w:rsidR="007C050F" w:rsidRPr="005F583B">
        <w:rPr>
          <w:rStyle w:val="DipnotBavurusu"/>
          <w:sz w:val="24"/>
          <w:szCs w:val="24"/>
        </w:rPr>
        <w:footnoteReference w:id="4"/>
      </w:r>
      <w:r w:rsidR="007C050F" w:rsidRPr="005F583B">
        <w:rPr>
          <w:sz w:val="24"/>
          <w:szCs w:val="24"/>
        </w:rPr>
        <w:t>)</w:t>
      </w:r>
      <w:r w:rsidR="009D19B9" w:rsidRPr="005F583B">
        <w:rPr>
          <w:sz w:val="24"/>
          <w:szCs w:val="24"/>
        </w:rPr>
        <w:t xml:space="preserve"> </w:t>
      </w:r>
      <w:r w:rsidR="007C050F" w:rsidRPr="005F583B">
        <w:rPr>
          <w:sz w:val="24"/>
          <w:szCs w:val="24"/>
        </w:rPr>
        <w:t>ve</w:t>
      </w:r>
      <w:r w:rsidR="002A6990" w:rsidRPr="005F583B">
        <w:rPr>
          <w:sz w:val="24"/>
          <w:szCs w:val="24"/>
        </w:rPr>
        <w:t xml:space="preserve"> Birleşik Krallık </w:t>
      </w:r>
      <w:r w:rsidR="00D41669">
        <w:rPr>
          <w:sz w:val="24"/>
          <w:szCs w:val="24"/>
        </w:rPr>
        <w:t>Soruşturma Yetkileri Mahkemesi</w:t>
      </w:r>
      <w:r w:rsidR="00D41669" w:rsidRPr="005F583B">
        <w:rPr>
          <w:sz w:val="24"/>
          <w:szCs w:val="24"/>
        </w:rPr>
        <w:t xml:space="preserve">nin </w:t>
      </w:r>
      <w:r w:rsidR="005802FF" w:rsidRPr="005F583B">
        <w:rPr>
          <w:sz w:val="24"/>
          <w:szCs w:val="24"/>
        </w:rPr>
        <w:t>(</w:t>
      </w:r>
      <w:r w:rsidR="000041A4" w:rsidRPr="005F583B">
        <w:rPr>
          <w:sz w:val="24"/>
          <w:szCs w:val="24"/>
        </w:rPr>
        <w:t>The Investigatory Powers Tribunal-</w:t>
      </w:r>
      <w:r w:rsidR="005802FF" w:rsidRPr="005F583B">
        <w:rPr>
          <w:sz w:val="24"/>
          <w:szCs w:val="24"/>
        </w:rPr>
        <w:t>IPT</w:t>
      </w:r>
      <w:r w:rsidR="005802FF" w:rsidRPr="005F583B">
        <w:rPr>
          <w:rStyle w:val="DipnotBavurusu"/>
          <w:sz w:val="24"/>
          <w:szCs w:val="24"/>
        </w:rPr>
        <w:footnoteReference w:id="5"/>
      </w:r>
      <w:r w:rsidR="00DF69FC">
        <w:rPr>
          <w:sz w:val="24"/>
          <w:szCs w:val="24"/>
        </w:rPr>
        <w:t xml:space="preserve">) </w:t>
      </w:r>
      <w:r w:rsidR="005802FF" w:rsidRPr="005F583B">
        <w:rPr>
          <w:sz w:val="24"/>
          <w:szCs w:val="24"/>
        </w:rPr>
        <w:t xml:space="preserve">vermiş </w:t>
      </w:r>
      <w:r w:rsidR="007B392D" w:rsidRPr="005F583B">
        <w:rPr>
          <w:sz w:val="24"/>
          <w:szCs w:val="24"/>
        </w:rPr>
        <w:t xml:space="preserve">olduğu kararlar </w:t>
      </w:r>
      <w:r w:rsidR="005802FF" w:rsidRPr="005F583B">
        <w:rPr>
          <w:sz w:val="24"/>
          <w:szCs w:val="24"/>
        </w:rPr>
        <w:t xml:space="preserve">kapsamında </w:t>
      </w:r>
      <w:r w:rsidR="007B392D" w:rsidRPr="005F583B">
        <w:rPr>
          <w:sz w:val="24"/>
          <w:szCs w:val="24"/>
        </w:rPr>
        <w:t>kitle gözetim</w:t>
      </w:r>
      <w:r w:rsidR="005802FF" w:rsidRPr="005F583B">
        <w:rPr>
          <w:sz w:val="24"/>
          <w:szCs w:val="24"/>
        </w:rPr>
        <w:t xml:space="preserve">in </w:t>
      </w:r>
      <w:r w:rsidR="0069696A" w:rsidRPr="005F583B">
        <w:rPr>
          <w:sz w:val="24"/>
          <w:szCs w:val="24"/>
        </w:rPr>
        <w:t xml:space="preserve">faaliyetlerinin hukuki denetimine ilişkin ortaya koymuş olduğu </w:t>
      </w:r>
      <w:r w:rsidR="00ED04B5" w:rsidRPr="005F583B">
        <w:rPr>
          <w:sz w:val="24"/>
          <w:szCs w:val="24"/>
        </w:rPr>
        <w:t xml:space="preserve">tespitler </w:t>
      </w:r>
      <w:r w:rsidR="0069696A" w:rsidRPr="005F583B">
        <w:rPr>
          <w:sz w:val="24"/>
          <w:szCs w:val="24"/>
        </w:rPr>
        <w:t>şu</w:t>
      </w:r>
      <w:r w:rsidR="00DF69FC">
        <w:rPr>
          <w:sz w:val="24"/>
          <w:szCs w:val="24"/>
        </w:rPr>
        <w:t xml:space="preserve"> şekilde özetlenebilir:</w:t>
      </w:r>
    </w:p>
    <w:p w:rsidR="00EF7368" w:rsidRPr="005F583B" w:rsidRDefault="00EF7368" w:rsidP="00400461">
      <w:pPr>
        <w:tabs>
          <w:tab w:val="left" w:pos="8647"/>
        </w:tabs>
        <w:spacing w:after="120" w:line="240" w:lineRule="auto"/>
        <w:ind w:firstLine="421"/>
        <w:jc w:val="both"/>
        <w:rPr>
          <w:sz w:val="24"/>
          <w:szCs w:val="24"/>
        </w:rPr>
      </w:pPr>
      <w:r w:rsidRPr="005F583B">
        <w:rPr>
          <w:sz w:val="24"/>
          <w:szCs w:val="24"/>
        </w:rPr>
        <w:t xml:space="preserve">Toplu gözetim tedbirleri ağırlıklı olarak sözleşmenin 8, 10 ve 13’üncü maddelerinde güvence altına alınan haklara yönelik bir tehdit niteliğindedir. Bununla beraber mahkeme istihbarat teşkilatlarının böyle bir yetkiye sahip olmasının özellikle gazeteciler ve uluslararası sivil toplum örgütü üyeleri üzerine bir caydırıcı etki </w:t>
      </w:r>
      <w:r w:rsidR="00E50578">
        <w:rPr>
          <w:sz w:val="24"/>
          <w:szCs w:val="24"/>
        </w:rPr>
        <w:t>-</w:t>
      </w:r>
      <w:r w:rsidRPr="00555CE0">
        <w:rPr>
          <w:sz w:val="24"/>
          <w:szCs w:val="24"/>
        </w:rPr>
        <w:t>chilling effect</w:t>
      </w:r>
      <w:r w:rsidRPr="00555CE0">
        <w:rPr>
          <w:sz w:val="24"/>
          <w:szCs w:val="24"/>
          <w:vertAlign w:val="superscript"/>
        </w:rPr>
        <w:footnoteReference w:id="6"/>
      </w:r>
      <w:r w:rsidR="00E50578">
        <w:rPr>
          <w:sz w:val="24"/>
          <w:szCs w:val="24"/>
        </w:rPr>
        <w:t xml:space="preserve">- </w:t>
      </w:r>
      <w:r w:rsidRPr="005F583B">
        <w:rPr>
          <w:sz w:val="24"/>
          <w:szCs w:val="24"/>
        </w:rPr>
        <w:t xml:space="preserve">yaratacağı bununda </w:t>
      </w:r>
      <w:r w:rsidR="008907F7" w:rsidRPr="005F583B">
        <w:rPr>
          <w:sz w:val="24"/>
          <w:szCs w:val="24"/>
        </w:rPr>
        <w:t xml:space="preserve">özellikle </w:t>
      </w:r>
      <w:r w:rsidRPr="005F583B">
        <w:rPr>
          <w:sz w:val="24"/>
          <w:szCs w:val="24"/>
        </w:rPr>
        <w:t>basın ve ifade özgürlüğü üzerinde bir baskı yaratacağı açıktır. Söz konusu caydırıcı etki pek çok mahkemenin kararına yansımıştır</w:t>
      </w:r>
      <w:r w:rsidR="00555CE0">
        <w:rPr>
          <w:sz w:val="24"/>
          <w:szCs w:val="24"/>
        </w:rPr>
        <w:t xml:space="preserve"> (AİHM, 2012; </w:t>
      </w:r>
      <w:r w:rsidR="00D63EC4">
        <w:rPr>
          <w:sz w:val="24"/>
          <w:szCs w:val="24"/>
        </w:rPr>
        <w:t xml:space="preserve">Avrupa Adalet Divanı, </w:t>
      </w:r>
      <w:r w:rsidR="00555CE0">
        <w:rPr>
          <w:sz w:val="24"/>
          <w:szCs w:val="24"/>
        </w:rPr>
        <w:t>2004).</w:t>
      </w:r>
    </w:p>
    <w:p w:rsidR="00351010" w:rsidRPr="005F583B" w:rsidRDefault="005627D8" w:rsidP="003F64FD">
      <w:pPr>
        <w:spacing w:after="120" w:line="240" w:lineRule="auto"/>
        <w:ind w:firstLine="708"/>
        <w:jc w:val="both"/>
        <w:rPr>
          <w:sz w:val="24"/>
          <w:szCs w:val="24"/>
        </w:rPr>
      </w:pPr>
      <w:r w:rsidRPr="005F583B">
        <w:rPr>
          <w:sz w:val="24"/>
          <w:szCs w:val="24"/>
        </w:rPr>
        <w:t xml:space="preserve">Ulusal güvenlik dışında birtakım hususlar da kitle gözetim faaliyetlerinin icrası için öngörülen meşru sebep olarak değerlendirilebilir. Ulusal güvenlik dışında, ülkenin ekonomik refahının idamesi, suçla mücadele gibi hususlar da toplu gözetim faaliyetleri için meşru sebep olarak nitelendirilebilir. Özel hayata ve haberleşmeye ilişkin bir müdahalenin internet ağı, uydu teknolojileri ve klasik yöntemlerle yapılmasının vakanın hukuki niteliği üzerinde bir değişiklik </w:t>
      </w:r>
      <w:r w:rsidR="00ED04B5" w:rsidRPr="005F583B">
        <w:rPr>
          <w:sz w:val="24"/>
          <w:szCs w:val="24"/>
        </w:rPr>
        <w:t>yaratmayacaktır</w:t>
      </w:r>
      <w:r w:rsidR="003F64FD">
        <w:rPr>
          <w:sz w:val="24"/>
          <w:szCs w:val="24"/>
        </w:rPr>
        <w:t xml:space="preserve"> (Venedik Komisyonu, 2015: para 93)</w:t>
      </w:r>
      <w:r w:rsidR="00ED04B5" w:rsidRPr="005F583B">
        <w:rPr>
          <w:sz w:val="24"/>
          <w:szCs w:val="24"/>
        </w:rPr>
        <w:t>.</w:t>
      </w:r>
    </w:p>
    <w:p w:rsidR="006B0FCB" w:rsidRPr="005F583B" w:rsidRDefault="006B0FCB" w:rsidP="009D5E1A">
      <w:pPr>
        <w:spacing w:before="240" w:after="240" w:line="240" w:lineRule="auto"/>
        <w:ind w:firstLine="708"/>
        <w:jc w:val="both"/>
        <w:rPr>
          <w:sz w:val="24"/>
          <w:szCs w:val="24"/>
        </w:rPr>
      </w:pPr>
      <w:r w:rsidRPr="005F583B">
        <w:rPr>
          <w:sz w:val="24"/>
          <w:szCs w:val="24"/>
        </w:rPr>
        <w:t>Toplu gözetim faaliyeti incelendiğinde</w:t>
      </w:r>
      <w:r w:rsidR="00104279">
        <w:rPr>
          <w:sz w:val="24"/>
          <w:szCs w:val="24"/>
        </w:rPr>
        <w:t>, faaliyetin</w:t>
      </w:r>
      <w:r w:rsidRPr="005F583B">
        <w:rPr>
          <w:sz w:val="24"/>
          <w:szCs w:val="24"/>
        </w:rPr>
        <w:t xml:space="preserve"> kişilerin özel hayatına üç aşamada müdahalede bulunduğu değerlendirilmektedir. Bu üç </w:t>
      </w:r>
      <w:r w:rsidR="00812A57" w:rsidRPr="005F583B">
        <w:rPr>
          <w:sz w:val="24"/>
          <w:szCs w:val="24"/>
        </w:rPr>
        <w:t>aşama kişiye</w:t>
      </w:r>
      <w:r w:rsidRPr="005F583B">
        <w:rPr>
          <w:sz w:val="24"/>
          <w:szCs w:val="24"/>
        </w:rPr>
        <w:t xml:space="preserve"> ait verilerin telefon veya internet ağından toplanması, elde </w:t>
      </w:r>
      <w:r w:rsidR="00812A57" w:rsidRPr="005F583B">
        <w:rPr>
          <w:sz w:val="24"/>
          <w:szCs w:val="24"/>
        </w:rPr>
        <w:t>edilen</w:t>
      </w:r>
      <w:r w:rsidRPr="005F583B">
        <w:rPr>
          <w:sz w:val="24"/>
          <w:szCs w:val="24"/>
        </w:rPr>
        <w:t xml:space="preserve"> verilen çeşitli görevliler tarafından tasnif ve analiz edilmesi</w:t>
      </w:r>
      <w:r w:rsidR="00104279">
        <w:rPr>
          <w:sz w:val="24"/>
          <w:szCs w:val="24"/>
        </w:rPr>
        <w:t xml:space="preserve"> ve</w:t>
      </w:r>
      <w:r w:rsidRPr="005F583B">
        <w:rPr>
          <w:sz w:val="24"/>
          <w:szCs w:val="24"/>
        </w:rPr>
        <w:t xml:space="preserve"> </w:t>
      </w:r>
      <w:r w:rsidRPr="005F583B">
        <w:rPr>
          <w:sz w:val="24"/>
          <w:szCs w:val="24"/>
        </w:rPr>
        <w:lastRenderedPageBreak/>
        <w:t xml:space="preserve">bilginin diğer istihbarat </w:t>
      </w:r>
      <w:r w:rsidR="00812A57" w:rsidRPr="005F583B">
        <w:rPr>
          <w:sz w:val="24"/>
          <w:szCs w:val="24"/>
        </w:rPr>
        <w:t>biri</w:t>
      </w:r>
      <w:r w:rsidR="00104279">
        <w:rPr>
          <w:sz w:val="24"/>
          <w:szCs w:val="24"/>
        </w:rPr>
        <w:t>ml</w:t>
      </w:r>
      <w:r w:rsidR="00812A57" w:rsidRPr="005F583B">
        <w:rPr>
          <w:sz w:val="24"/>
          <w:szCs w:val="24"/>
        </w:rPr>
        <w:t>eriyle</w:t>
      </w:r>
      <w:r w:rsidRPr="005F583B">
        <w:rPr>
          <w:sz w:val="24"/>
          <w:szCs w:val="24"/>
        </w:rPr>
        <w:t xml:space="preserve"> paylaşılması olarak özetlenebilir. Her üç aşamaya ilişkin kötüye kullanımı önleyecek prosedürlerin </w:t>
      </w:r>
      <w:r w:rsidR="00812A57" w:rsidRPr="005F583B">
        <w:rPr>
          <w:sz w:val="24"/>
          <w:szCs w:val="24"/>
        </w:rPr>
        <w:t>düzenlenmesi özel</w:t>
      </w:r>
      <w:r w:rsidRPr="005F583B">
        <w:rPr>
          <w:sz w:val="24"/>
          <w:szCs w:val="24"/>
        </w:rPr>
        <w:t xml:space="preserve"> hayata yönelik haksız müdahalelerin önlenmesi açısından son derece kritiktir</w:t>
      </w:r>
      <w:r w:rsidR="003F64FD">
        <w:rPr>
          <w:sz w:val="24"/>
          <w:szCs w:val="24"/>
        </w:rPr>
        <w:t xml:space="preserve"> (Venedik Komisyonu, 2015: para. 94-96).</w:t>
      </w:r>
    </w:p>
    <w:p w:rsidR="00812A57" w:rsidRPr="005F583B" w:rsidRDefault="00812A57" w:rsidP="009D5E1A">
      <w:pPr>
        <w:tabs>
          <w:tab w:val="left" w:pos="8647"/>
        </w:tabs>
        <w:spacing w:before="240" w:after="240" w:line="240" w:lineRule="auto"/>
        <w:jc w:val="center"/>
        <w:rPr>
          <w:b/>
          <w:bCs/>
          <w:sz w:val="24"/>
          <w:szCs w:val="24"/>
        </w:rPr>
      </w:pPr>
      <w:r w:rsidRPr="005F583B">
        <w:rPr>
          <w:b/>
          <w:bCs/>
          <w:sz w:val="24"/>
          <w:szCs w:val="24"/>
        </w:rPr>
        <w:t>Big Brother Watch</w:t>
      </w:r>
      <w:r w:rsidR="00D1176D" w:rsidRPr="005F583B">
        <w:rPr>
          <w:sz w:val="24"/>
          <w:szCs w:val="24"/>
        </w:rPr>
        <w:t xml:space="preserve"> </w:t>
      </w:r>
      <w:r w:rsidR="00323484" w:rsidRPr="005F583B">
        <w:rPr>
          <w:b/>
          <w:bCs/>
          <w:sz w:val="24"/>
          <w:szCs w:val="24"/>
        </w:rPr>
        <w:t xml:space="preserve">ve </w:t>
      </w:r>
      <w:r w:rsidR="00D1176D" w:rsidRPr="005F583B">
        <w:rPr>
          <w:b/>
          <w:bCs/>
          <w:sz w:val="24"/>
          <w:szCs w:val="24"/>
        </w:rPr>
        <w:t xml:space="preserve">Diğerleri </w:t>
      </w:r>
      <w:r w:rsidR="00323484" w:rsidRPr="005F583B">
        <w:rPr>
          <w:b/>
          <w:bCs/>
          <w:sz w:val="24"/>
          <w:szCs w:val="24"/>
        </w:rPr>
        <w:t>/</w:t>
      </w:r>
      <w:r w:rsidRPr="005F583B">
        <w:rPr>
          <w:b/>
          <w:bCs/>
          <w:sz w:val="24"/>
          <w:szCs w:val="24"/>
        </w:rPr>
        <w:t xml:space="preserve">Birleşik Krallık Kararının </w:t>
      </w:r>
      <w:r w:rsidR="00323484" w:rsidRPr="005F583B">
        <w:rPr>
          <w:b/>
          <w:bCs/>
          <w:sz w:val="24"/>
          <w:szCs w:val="24"/>
        </w:rPr>
        <w:t xml:space="preserve">Arka Planı, Önemi </w:t>
      </w:r>
      <w:r w:rsidR="005B3004" w:rsidRPr="005F583B">
        <w:rPr>
          <w:b/>
          <w:bCs/>
          <w:sz w:val="24"/>
          <w:szCs w:val="24"/>
        </w:rPr>
        <w:t>v</w:t>
      </w:r>
      <w:r w:rsidR="00323484" w:rsidRPr="005F583B">
        <w:rPr>
          <w:b/>
          <w:bCs/>
          <w:sz w:val="24"/>
          <w:szCs w:val="24"/>
        </w:rPr>
        <w:t>e Kararın İncelenmesi</w:t>
      </w:r>
    </w:p>
    <w:p w:rsidR="00A1784F" w:rsidRPr="00B87786" w:rsidRDefault="0009650B" w:rsidP="009D5E1A">
      <w:pPr>
        <w:tabs>
          <w:tab w:val="left" w:pos="8647"/>
        </w:tabs>
        <w:spacing w:before="240" w:after="240" w:line="240" w:lineRule="auto"/>
        <w:jc w:val="both"/>
        <w:rPr>
          <w:b/>
          <w:bCs/>
          <w:sz w:val="24"/>
          <w:szCs w:val="24"/>
        </w:rPr>
      </w:pPr>
      <w:r>
        <w:rPr>
          <w:b/>
          <w:bCs/>
          <w:sz w:val="24"/>
          <w:szCs w:val="24"/>
        </w:rPr>
        <w:t>Davanın Arka Planı ve Ö</w:t>
      </w:r>
      <w:r w:rsidR="00A1784F" w:rsidRPr="00B87786">
        <w:rPr>
          <w:b/>
          <w:bCs/>
          <w:sz w:val="24"/>
          <w:szCs w:val="24"/>
        </w:rPr>
        <w:t xml:space="preserve">nemi </w:t>
      </w:r>
    </w:p>
    <w:p w:rsidR="00812A57" w:rsidRPr="005F583B" w:rsidRDefault="00192F98" w:rsidP="009D5E1A">
      <w:pPr>
        <w:tabs>
          <w:tab w:val="left" w:pos="8647"/>
        </w:tabs>
        <w:spacing w:before="120" w:after="120" w:line="240" w:lineRule="auto"/>
        <w:ind w:firstLine="420"/>
        <w:jc w:val="both"/>
        <w:rPr>
          <w:sz w:val="24"/>
          <w:szCs w:val="24"/>
        </w:rPr>
      </w:pPr>
      <w:r w:rsidRPr="005F583B">
        <w:rPr>
          <w:sz w:val="24"/>
          <w:szCs w:val="24"/>
        </w:rPr>
        <w:t>Çalışma</w:t>
      </w:r>
      <w:r w:rsidR="00EF0A0D" w:rsidRPr="005F583B">
        <w:rPr>
          <w:sz w:val="24"/>
          <w:szCs w:val="24"/>
        </w:rPr>
        <w:t xml:space="preserve">da incelenecek </w:t>
      </w:r>
      <w:r w:rsidR="0014352F" w:rsidRPr="005F583B">
        <w:rPr>
          <w:sz w:val="24"/>
          <w:szCs w:val="24"/>
        </w:rPr>
        <w:t>olan Big</w:t>
      </w:r>
      <w:r w:rsidRPr="005F583B">
        <w:rPr>
          <w:sz w:val="24"/>
          <w:szCs w:val="24"/>
        </w:rPr>
        <w:t xml:space="preserve"> Brother Watch</w:t>
      </w:r>
      <w:r w:rsidR="00D1176D" w:rsidRPr="005F583B">
        <w:rPr>
          <w:sz w:val="24"/>
          <w:szCs w:val="24"/>
        </w:rPr>
        <w:t xml:space="preserve"> ve Diğerleri </w:t>
      </w:r>
      <w:r w:rsidRPr="005F583B">
        <w:rPr>
          <w:sz w:val="24"/>
          <w:szCs w:val="24"/>
        </w:rPr>
        <w:t>/Birleşik Krallık davasının</w:t>
      </w:r>
      <w:r w:rsidR="00EF0A0D" w:rsidRPr="005F583B">
        <w:rPr>
          <w:sz w:val="24"/>
          <w:szCs w:val="24"/>
        </w:rPr>
        <w:t xml:space="preserve"> konusunu teşkil eden </w:t>
      </w:r>
      <w:r w:rsidR="00EF0A0D" w:rsidRPr="003F64FD">
        <w:rPr>
          <w:sz w:val="24"/>
          <w:szCs w:val="24"/>
        </w:rPr>
        <w:t>“Snowden ifşaatları”</w:t>
      </w:r>
      <w:r w:rsidR="00EF0A0D" w:rsidRPr="005F583B">
        <w:rPr>
          <w:i/>
          <w:iCs/>
          <w:sz w:val="24"/>
          <w:szCs w:val="24"/>
        </w:rPr>
        <w:t xml:space="preserve"> </w:t>
      </w:r>
      <w:r w:rsidR="00EF0A0D" w:rsidRPr="005F583B">
        <w:rPr>
          <w:sz w:val="24"/>
          <w:szCs w:val="24"/>
        </w:rPr>
        <w:t>hem hukuki hem de siyasi anlamda Amerika Birleşik Devletleri</w:t>
      </w:r>
      <w:r w:rsidR="000041A4" w:rsidRPr="005F583B">
        <w:rPr>
          <w:sz w:val="24"/>
          <w:szCs w:val="24"/>
        </w:rPr>
        <w:t xml:space="preserve"> (ABD)</w:t>
      </w:r>
      <w:r w:rsidR="00EF0A0D" w:rsidRPr="005F583B">
        <w:rPr>
          <w:sz w:val="24"/>
          <w:szCs w:val="24"/>
        </w:rPr>
        <w:t xml:space="preserve"> ve Birleşik Krallık</w:t>
      </w:r>
      <w:r w:rsidR="000041A4" w:rsidRPr="005F583B">
        <w:rPr>
          <w:sz w:val="24"/>
          <w:szCs w:val="24"/>
        </w:rPr>
        <w:t>’</w:t>
      </w:r>
      <w:r w:rsidR="00EF0A0D" w:rsidRPr="005F583B">
        <w:rPr>
          <w:sz w:val="24"/>
          <w:szCs w:val="24"/>
        </w:rPr>
        <w:t>ta bir dön</w:t>
      </w:r>
      <w:r w:rsidR="005B3004" w:rsidRPr="005F583B">
        <w:rPr>
          <w:sz w:val="24"/>
          <w:szCs w:val="24"/>
        </w:rPr>
        <w:t>üm</w:t>
      </w:r>
      <w:r w:rsidR="00EF0A0D" w:rsidRPr="005F583B">
        <w:rPr>
          <w:sz w:val="24"/>
          <w:szCs w:val="24"/>
        </w:rPr>
        <w:t xml:space="preserve"> noktası teşkil etmiş ve gizli gözetim, güvenlik-özgürlük dengesi gibi konuların daha yüksek sesle tartışılmasına yol </w:t>
      </w:r>
      <w:r w:rsidR="00EF0A0D" w:rsidRPr="00B3129F">
        <w:rPr>
          <w:sz w:val="24"/>
          <w:szCs w:val="24"/>
        </w:rPr>
        <w:t>açmıştır</w:t>
      </w:r>
      <w:r w:rsidR="00B3129F" w:rsidRPr="00B3129F">
        <w:rPr>
          <w:sz w:val="24"/>
          <w:szCs w:val="24"/>
        </w:rPr>
        <w:t xml:space="preserve"> </w:t>
      </w:r>
      <w:r w:rsidR="007B4FF0" w:rsidRPr="00B3129F">
        <w:rPr>
          <w:sz w:val="24"/>
          <w:szCs w:val="24"/>
        </w:rPr>
        <w:t>(Landau,</w:t>
      </w:r>
      <w:r w:rsidR="007B4FF0">
        <w:rPr>
          <w:sz w:val="24"/>
          <w:szCs w:val="24"/>
        </w:rPr>
        <w:t xml:space="preserve"> 2013</w:t>
      </w:r>
      <w:r w:rsidR="00394F5E">
        <w:rPr>
          <w:sz w:val="24"/>
          <w:szCs w:val="24"/>
        </w:rPr>
        <w:t>: 61</w:t>
      </w:r>
      <w:r w:rsidR="007B4FF0">
        <w:rPr>
          <w:sz w:val="24"/>
          <w:szCs w:val="24"/>
        </w:rPr>
        <w:t>).</w:t>
      </w:r>
    </w:p>
    <w:p w:rsidR="00551A18" w:rsidRPr="005F583B" w:rsidRDefault="00551A18" w:rsidP="009D5E1A">
      <w:pPr>
        <w:tabs>
          <w:tab w:val="left" w:pos="8647"/>
        </w:tabs>
        <w:spacing w:before="120" w:after="120" w:line="240" w:lineRule="auto"/>
        <w:ind w:firstLine="420"/>
        <w:jc w:val="both"/>
        <w:rPr>
          <w:sz w:val="24"/>
          <w:szCs w:val="24"/>
        </w:rPr>
      </w:pPr>
      <w:r w:rsidRPr="005F583B">
        <w:rPr>
          <w:sz w:val="24"/>
          <w:szCs w:val="24"/>
        </w:rPr>
        <w:t>Snowden ifşaatları olarak bilinen olay, Amerikan Ulusal Güvenlik Ajansı (</w:t>
      </w:r>
      <w:r w:rsidR="000041A4" w:rsidRPr="005F583B">
        <w:rPr>
          <w:sz w:val="24"/>
          <w:szCs w:val="24"/>
        </w:rPr>
        <w:t>National Security Agency-</w:t>
      </w:r>
      <w:r w:rsidRPr="005F583B">
        <w:rPr>
          <w:sz w:val="24"/>
          <w:szCs w:val="24"/>
        </w:rPr>
        <w:t xml:space="preserve">NSA) çalışanı olan Edward Snowden’ın 5 Haziran 2013’te başlayan süreçte 1,5 milyona yakın istihbarat </w:t>
      </w:r>
      <w:r w:rsidR="00BB5B11" w:rsidRPr="005F583B">
        <w:rPr>
          <w:sz w:val="24"/>
          <w:szCs w:val="24"/>
        </w:rPr>
        <w:t>dokümanı</w:t>
      </w:r>
      <w:r w:rsidR="008907F7" w:rsidRPr="005F583B">
        <w:rPr>
          <w:sz w:val="24"/>
          <w:szCs w:val="24"/>
        </w:rPr>
        <w:t>nı</w:t>
      </w:r>
      <w:r w:rsidRPr="005F583B">
        <w:rPr>
          <w:sz w:val="24"/>
          <w:szCs w:val="24"/>
        </w:rPr>
        <w:t xml:space="preserve"> İngiliz The Guardian </w:t>
      </w:r>
      <w:r w:rsidR="008907F7" w:rsidRPr="005F583B">
        <w:rPr>
          <w:sz w:val="24"/>
          <w:szCs w:val="24"/>
        </w:rPr>
        <w:t>G</w:t>
      </w:r>
      <w:r w:rsidRPr="005F583B">
        <w:rPr>
          <w:sz w:val="24"/>
          <w:szCs w:val="24"/>
        </w:rPr>
        <w:t xml:space="preserve">azetesi muhabirleriyle paylaşmasıyla başladı. </w:t>
      </w:r>
      <w:r w:rsidR="00BB5B11" w:rsidRPr="005F583B">
        <w:rPr>
          <w:sz w:val="24"/>
          <w:szCs w:val="24"/>
        </w:rPr>
        <w:t>Elde edilen belgelere göre NSA toplu gözetim yöntemlerini kullanarak bütün Amerikan vatandaşlarının internet ve e-posta verilerini elde etmekteydi</w:t>
      </w:r>
      <w:r w:rsidR="003F64FD">
        <w:rPr>
          <w:sz w:val="24"/>
          <w:szCs w:val="24"/>
        </w:rPr>
        <w:t xml:space="preserve"> (</w:t>
      </w:r>
      <w:r w:rsidR="003F64FD" w:rsidRPr="003F64FD">
        <w:rPr>
          <w:sz w:val="24"/>
          <w:szCs w:val="24"/>
        </w:rPr>
        <w:t>Greenwald</w:t>
      </w:r>
      <w:r w:rsidR="003F64FD">
        <w:rPr>
          <w:sz w:val="24"/>
          <w:szCs w:val="24"/>
        </w:rPr>
        <w:t>, 2013</w:t>
      </w:r>
      <w:r w:rsidR="00EC580F">
        <w:rPr>
          <w:sz w:val="24"/>
          <w:szCs w:val="24"/>
        </w:rPr>
        <w:t>; Greenwald ve Ackerman, 2013</w:t>
      </w:r>
      <w:r w:rsidR="003F64FD">
        <w:rPr>
          <w:sz w:val="24"/>
          <w:szCs w:val="24"/>
        </w:rPr>
        <w:t>)</w:t>
      </w:r>
      <w:r w:rsidR="00BB5B11" w:rsidRPr="005F583B">
        <w:rPr>
          <w:sz w:val="24"/>
          <w:szCs w:val="24"/>
        </w:rPr>
        <w:t xml:space="preserve">. Elde edilen belgeler vasıtasıyla </w:t>
      </w:r>
      <w:r w:rsidR="00504737" w:rsidRPr="005F583B">
        <w:rPr>
          <w:sz w:val="24"/>
          <w:szCs w:val="24"/>
        </w:rPr>
        <w:t>İngil</w:t>
      </w:r>
      <w:r w:rsidR="00D41669">
        <w:rPr>
          <w:sz w:val="24"/>
          <w:szCs w:val="24"/>
        </w:rPr>
        <w:t>iz Sinyal İstihbaratı Teşkilatı</w:t>
      </w:r>
      <w:r w:rsidR="00D41669" w:rsidRPr="005F583B">
        <w:rPr>
          <w:sz w:val="24"/>
          <w:szCs w:val="24"/>
        </w:rPr>
        <w:t xml:space="preserve">nın </w:t>
      </w:r>
      <w:r w:rsidR="00504737" w:rsidRPr="005F583B">
        <w:rPr>
          <w:sz w:val="24"/>
          <w:szCs w:val="24"/>
        </w:rPr>
        <w:t>(Government Co</w:t>
      </w:r>
      <w:r w:rsidR="0020053F">
        <w:rPr>
          <w:sz w:val="24"/>
          <w:szCs w:val="24"/>
        </w:rPr>
        <w:t xml:space="preserve">mmunications Headquarters-GCHQ) </w:t>
      </w:r>
      <w:r w:rsidR="00504737" w:rsidRPr="005F583B">
        <w:rPr>
          <w:sz w:val="24"/>
          <w:szCs w:val="24"/>
        </w:rPr>
        <w:t>2009 yılında gerçekleştirilen G-20 zirvesi esnasında toplantılarına katılan devlet temsilcilerinin telefon görüşmelerini kayda almak ve e-posta mesajlarını, sosyal m</w:t>
      </w:r>
      <w:r w:rsidR="00F076D2">
        <w:rPr>
          <w:sz w:val="24"/>
          <w:szCs w:val="24"/>
        </w:rPr>
        <w:t xml:space="preserve">edya </w:t>
      </w:r>
      <w:r w:rsidR="00504737" w:rsidRPr="005F583B">
        <w:rPr>
          <w:sz w:val="24"/>
          <w:szCs w:val="24"/>
        </w:rPr>
        <w:t xml:space="preserve">paylaşımlarını ve </w:t>
      </w:r>
      <w:r w:rsidR="00F076D2">
        <w:rPr>
          <w:sz w:val="24"/>
          <w:szCs w:val="24"/>
        </w:rPr>
        <w:t>i</w:t>
      </w:r>
      <w:r w:rsidR="00504737" w:rsidRPr="005F583B">
        <w:rPr>
          <w:sz w:val="24"/>
          <w:szCs w:val="24"/>
        </w:rPr>
        <w:t>nternet aramalarını izlemek m</w:t>
      </w:r>
      <w:r w:rsidR="00F076D2">
        <w:rPr>
          <w:sz w:val="24"/>
          <w:szCs w:val="24"/>
        </w:rPr>
        <w:t xml:space="preserve">aksadıyla </w:t>
      </w:r>
      <w:r w:rsidR="00504737" w:rsidRPr="005F583B">
        <w:rPr>
          <w:sz w:val="24"/>
          <w:szCs w:val="24"/>
        </w:rPr>
        <w:t xml:space="preserve">fiber-optik kablolara kaçak bağlantı yaptığı </w:t>
      </w:r>
      <w:r w:rsidR="00F076D2">
        <w:rPr>
          <w:sz w:val="24"/>
          <w:szCs w:val="24"/>
        </w:rPr>
        <w:t xml:space="preserve">ve elde ettiği bu </w:t>
      </w:r>
      <w:r w:rsidR="00504737" w:rsidRPr="005F583B">
        <w:rPr>
          <w:sz w:val="24"/>
          <w:szCs w:val="24"/>
        </w:rPr>
        <w:t>bilgileri Am</w:t>
      </w:r>
      <w:r w:rsidR="0020053F">
        <w:rPr>
          <w:sz w:val="24"/>
          <w:szCs w:val="24"/>
        </w:rPr>
        <w:t xml:space="preserve">erikan istihbarat birimleriyle </w:t>
      </w:r>
      <w:r w:rsidR="00504737" w:rsidRPr="005F583B">
        <w:rPr>
          <w:sz w:val="24"/>
          <w:szCs w:val="24"/>
        </w:rPr>
        <w:t>paylaştığını ortaya çıkmıştı</w:t>
      </w:r>
      <w:r w:rsidR="003F64FD">
        <w:rPr>
          <w:sz w:val="24"/>
          <w:szCs w:val="24"/>
        </w:rPr>
        <w:t xml:space="preserve"> (MacAskill, 2013)</w:t>
      </w:r>
      <w:r w:rsidR="00504737" w:rsidRPr="005F583B">
        <w:rPr>
          <w:sz w:val="24"/>
          <w:szCs w:val="24"/>
        </w:rPr>
        <w:t>.</w:t>
      </w:r>
    </w:p>
    <w:p w:rsidR="008179C7" w:rsidRPr="005F583B" w:rsidRDefault="00C34F41" w:rsidP="00400461">
      <w:pPr>
        <w:tabs>
          <w:tab w:val="left" w:pos="8647"/>
        </w:tabs>
        <w:spacing w:after="120" w:line="240" w:lineRule="auto"/>
        <w:ind w:firstLine="421"/>
        <w:jc w:val="both"/>
        <w:rPr>
          <w:sz w:val="24"/>
          <w:szCs w:val="24"/>
        </w:rPr>
      </w:pPr>
      <w:r w:rsidRPr="005F583B">
        <w:rPr>
          <w:sz w:val="24"/>
          <w:szCs w:val="24"/>
        </w:rPr>
        <w:t xml:space="preserve">Snowden tarafından ifşa edilen belgeler incelendikçe yapılmış olan kitle gözetimin </w:t>
      </w:r>
      <w:r w:rsidR="007743AB" w:rsidRPr="005F583B">
        <w:rPr>
          <w:sz w:val="24"/>
          <w:szCs w:val="24"/>
        </w:rPr>
        <w:t>kapsamının endişe</w:t>
      </w:r>
      <w:r w:rsidRPr="005F583B">
        <w:rPr>
          <w:sz w:val="24"/>
          <w:szCs w:val="24"/>
        </w:rPr>
        <w:t xml:space="preserve"> verice seviyelere </w:t>
      </w:r>
      <w:r w:rsidR="007743AB" w:rsidRPr="005F583B">
        <w:rPr>
          <w:sz w:val="24"/>
          <w:szCs w:val="24"/>
        </w:rPr>
        <w:t>ulaştığı</w:t>
      </w:r>
      <w:r w:rsidRPr="005F583B">
        <w:rPr>
          <w:sz w:val="24"/>
          <w:szCs w:val="24"/>
        </w:rPr>
        <w:t xml:space="preserve"> ortaya çıkmıştır.  Snowden’</w:t>
      </w:r>
      <w:r w:rsidR="007743AB" w:rsidRPr="005F583B">
        <w:rPr>
          <w:sz w:val="24"/>
          <w:szCs w:val="24"/>
        </w:rPr>
        <w:t>ı</w:t>
      </w:r>
      <w:r w:rsidRPr="005F583B">
        <w:rPr>
          <w:sz w:val="24"/>
          <w:szCs w:val="24"/>
        </w:rPr>
        <w:t>n 9 Ocak 2013 tarihinde medyaya yansıyan belgelere göre NSA, Google ve Yahoo’nun ağlarından elde ettiği milyonlarca bilgiyi merkezinde depolamakta ve incelemeye a</w:t>
      </w:r>
      <w:r w:rsidR="00593592">
        <w:rPr>
          <w:sz w:val="24"/>
          <w:szCs w:val="24"/>
        </w:rPr>
        <w:t xml:space="preserve">lmaktadır. </w:t>
      </w:r>
      <w:r w:rsidRPr="005F583B">
        <w:rPr>
          <w:sz w:val="24"/>
          <w:szCs w:val="24"/>
        </w:rPr>
        <w:t xml:space="preserve">Yaklaşık bir aylık bir süreçte 181281455 yeni </w:t>
      </w:r>
      <w:r w:rsidR="007743AB" w:rsidRPr="005F583B">
        <w:rPr>
          <w:sz w:val="24"/>
          <w:szCs w:val="24"/>
        </w:rPr>
        <w:t xml:space="preserve">kaydın </w:t>
      </w:r>
      <w:r w:rsidR="00014791" w:rsidRPr="005F583B">
        <w:rPr>
          <w:sz w:val="24"/>
          <w:szCs w:val="24"/>
        </w:rPr>
        <w:t>NSA’nın merkezi</w:t>
      </w:r>
      <w:r w:rsidRPr="005F583B">
        <w:rPr>
          <w:sz w:val="24"/>
          <w:szCs w:val="24"/>
        </w:rPr>
        <w:t xml:space="preserve"> olan Fort </w:t>
      </w:r>
      <w:r w:rsidR="000041A4" w:rsidRPr="005F583B">
        <w:rPr>
          <w:sz w:val="24"/>
          <w:szCs w:val="24"/>
        </w:rPr>
        <w:t>Meade’de incelenmiş</w:t>
      </w:r>
      <w:r w:rsidRPr="005F583B">
        <w:rPr>
          <w:sz w:val="24"/>
          <w:szCs w:val="24"/>
        </w:rPr>
        <w:t xml:space="preserve"> olduğu bilgisi, toplu gözetim vasıtasıyla temas edilen verinin büyüklüğü hakkında bir fikir verebilir. Söz edilen kayıtların büyük oranda e-posta yazışmaları ile ses ve videolardan oluşması yapılan müdahalenin çok yönlü olduğu ve bu yöntemle ile internet ağında bulunan her türlü bilginin </w:t>
      </w:r>
      <w:r w:rsidRPr="005F583B">
        <w:rPr>
          <w:sz w:val="24"/>
          <w:szCs w:val="24"/>
        </w:rPr>
        <w:lastRenderedPageBreak/>
        <w:t xml:space="preserve">bahsedilen sistemler tarafından elde edilebileceğini </w:t>
      </w:r>
      <w:r w:rsidR="007743AB" w:rsidRPr="005F583B">
        <w:rPr>
          <w:sz w:val="24"/>
          <w:szCs w:val="24"/>
        </w:rPr>
        <w:t>göstermektir</w:t>
      </w:r>
      <w:r w:rsidR="007B4FF0">
        <w:rPr>
          <w:sz w:val="24"/>
          <w:szCs w:val="24"/>
        </w:rPr>
        <w:t xml:space="preserve"> (</w:t>
      </w:r>
      <w:r w:rsidR="007B4FF0" w:rsidRPr="007B4FF0">
        <w:rPr>
          <w:sz w:val="24"/>
          <w:szCs w:val="24"/>
        </w:rPr>
        <w:t>Sumner</w:t>
      </w:r>
      <w:r w:rsidR="007B4FF0">
        <w:rPr>
          <w:sz w:val="24"/>
          <w:szCs w:val="24"/>
        </w:rPr>
        <w:t>, 2016</w:t>
      </w:r>
      <w:r w:rsidR="00394F5E">
        <w:rPr>
          <w:sz w:val="24"/>
          <w:szCs w:val="24"/>
        </w:rPr>
        <w:t>: 21</w:t>
      </w:r>
      <w:r w:rsidR="007B4FF0">
        <w:rPr>
          <w:sz w:val="24"/>
          <w:szCs w:val="24"/>
        </w:rPr>
        <w:t>)</w:t>
      </w:r>
      <w:r w:rsidR="007743AB" w:rsidRPr="005F583B">
        <w:rPr>
          <w:sz w:val="24"/>
          <w:szCs w:val="24"/>
        </w:rPr>
        <w:t>.</w:t>
      </w:r>
    </w:p>
    <w:p w:rsidR="001B7FBF" w:rsidRPr="005F583B" w:rsidRDefault="001B7FBF" w:rsidP="00400461">
      <w:pPr>
        <w:tabs>
          <w:tab w:val="left" w:pos="8647"/>
        </w:tabs>
        <w:spacing w:after="120" w:line="240" w:lineRule="auto"/>
        <w:ind w:firstLine="421"/>
        <w:jc w:val="both"/>
        <w:rPr>
          <w:sz w:val="24"/>
          <w:szCs w:val="24"/>
        </w:rPr>
      </w:pPr>
      <w:r w:rsidRPr="005F583B">
        <w:rPr>
          <w:sz w:val="24"/>
          <w:szCs w:val="24"/>
        </w:rPr>
        <w:t xml:space="preserve">Snowden tarafından ortaya çıkarılan bu olay toplu gözetim-özel hayatın gizliliği tartışmalarında önemli bir dönüm noktasını teşkil etmiş, tüm dünyada konuya ilişkin güçlü bir tepkinin ortaya çıkmasına neden olmuştur. Özellikle ABD ve İngiltere’de istihbarat faaliyetlerinin </w:t>
      </w:r>
      <w:r w:rsidRPr="0009650B">
        <w:rPr>
          <w:sz w:val="24"/>
          <w:szCs w:val="24"/>
        </w:rPr>
        <w:t>demokratikleşmesine ve şeffaflaşmasına yönelik baskılara yol açmıştır</w:t>
      </w:r>
      <w:r w:rsidR="007B4FF0">
        <w:rPr>
          <w:sz w:val="24"/>
          <w:szCs w:val="24"/>
        </w:rPr>
        <w:t xml:space="preserve"> (Ünver, 2018)</w:t>
      </w:r>
      <w:r w:rsidRPr="005F583B">
        <w:rPr>
          <w:sz w:val="24"/>
          <w:szCs w:val="24"/>
        </w:rPr>
        <w:t>.</w:t>
      </w:r>
      <w:r w:rsidR="007B4FF0">
        <w:rPr>
          <w:sz w:val="24"/>
          <w:szCs w:val="24"/>
        </w:rPr>
        <w:t xml:space="preserve"> </w:t>
      </w:r>
      <w:r w:rsidRPr="005F583B">
        <w:rPr>
          <w:sz w:val="24"/>
          <w:szCs w:val="24"/>
        </w:rPr>
        <w:t>Çalışmada incelenecek karar</w:t>
      </w:r>
      <w:r w:rsidR="00104279">
        <w:rPr>
          <w:sz w:val="24"/>
          <w:szCs w:val="24"/>
        </w:rPr>
        <w:t xml:space="preserve"> </w:t>
      </w:r>
      <w:r w:rsidRPr="005F583B">
        <w:rPr>
          <w:sz w:val="24"/>
          <w:szCs w:val="24"/>
        </w:rPr>
        <w:t>bahsedilen toplumsal hassasiyetin netice</w:t>
      </w:r>
      <w:r w:rsidR="00104279">
        <w:rPr>
          <w:sz w:val="24"/>
          <w:szCs w:val="24"/>
        </w:rPr>
        <w:t>lerinden biri</w:t>
      </w:r>
      <w:r w:rsidRPr="005F583B">
        <w:rPr>
          <w:sz w:val="24"/>
          <w:szCs w:val="24"/>
        </w:rPr>
        <w:t xml:space="preserve"> olarak değerlendirilebilir.</w:t>
      </w:r>
    </w:p>
    <w:p w:rsidR="00ED3052" w:rsidRPr="005F583B" w:rsidRDefault="00ED3052" w:rsidP="00400461">
      <w:pPr>
        <w:tabs>
          <w:tab w:val="left" w:pos="8647"/>
        </w:tabs>
        <w:spacing w:after="120" w:line="240" w:lineRule="auto"/>
        <w:ind w:firstLine="421"/>
        <w:jc w:val="both"/>
        <w:rPr>
          <w:sz w:val="24"/>
          <w:szCs w:val="24"/>
        </w:rPr>
      </w:pPr>
      <w:r w:rsidRPr="005F583B">
        <w:rPr>
          <w:sz w:val="24"/>
          <w:szCs w:val="24"/>
        </w:rPr>
        <w:t>Özetlenen olayın</w:t>
      </w:r>
      <w:r w:rsidR="005D1C01">
        <w:rPr>
          <w:sz w:val="24"/>
          <w:szCs w:val="24"/>
        </w:rPr>
        <w:t xml:space="preserve"> </w:t>
      </w:r>
      <w:r w:rsidRPr="005F583B">
        <w:rPr>
          <w:sz w:val="24"/>
          <w:szCs w:val="24"/>
        </w:rPr>
        <w:t xml:space="preserve">ilgili devletlerin iç kamuoyunda yarattığı etkinin dışında ABD dış politikasında özellikle ABD-Rusya Federasyonu (RF) ilişkilerinde de hatırı sayılır bir etkisinden söz edilebilir. RF tarafından Snowden’ın sığınma talebinin kabul edilmesi ve </w:t>
      </w:r>
      <w:r w:rsidR="00512DB7" w:rsidRPr="005F583B">
        <w:rPr>
          <w:sz w:val="24"/>
          <w:szCs w:val="24"/>
        </w:rPr>
        <w:t>yapılan açı</w:t>
      </w:r>
      <w:r w:rsidR="005D1C01">
        <w:rPr>
          <w:sz w:val="24"/>
          <w:szCs w:val="24"/>
        </w:rPr>
        <w:t>kla</w:t>
      </w:r>
      <w:r w:rsidR="00512DB7" w:rsidRPr="005F583B">
        <w:rPr>
          <w:sz w:val="24"/>
          <w:szCs w:val="24"/>
        </w:rPr>
        <w:t xml:space="preserve">malar </w:t>
      </w:r>
      <w:r w:rsidR="00576FDE" w:rsidRPr="005F583B">
        <w:rPr>
          <w:sz w:val="24"/>
          <w:szCs w:val="24"/>
        </w:rPr>
        <w:t>vasıtasıyla Snowden</w:t>
      </w:r>
      <w:r w:rsidR="00512DB7" w:rsidRPr="005F583B">
        <w:rPr>
          <w:sz w:val="24"/>
          <w:szCs w:val="24"/>
        </w:rPr>
        <w:t xml:space="preserve"> olayının </w:t>
      </w:r>
      <w:r w:rsidRPr="005F583B">
        <w:rPr>
          <w:sz w:val="24"/>
          <w:szCs w:val="24"/>
        </w:rPr>
        <w:t>dünya kamuoyun</w:t>
      </w:r>
      <w:r w:rsidR="005D1C01">
        <w:rPr>
          <w:sz w:val="24"/>
          <w:szCs w:val="24"/>
        </w:rPr>
        <w:t>a</w:t>
      </w:r>
      <w:r w:rsidR="00512DB7" w:rsidRPr="005F583B">
        <w:rPr>
          <w:sz w:val="24"/>
          <w:szCs w:val="24"/>
        </w:rPr>
        <w:t xml:space="preserve"> ABD’yi küçük düşürecek </w:t>
      </w:r>
      <w:r w:rsidR="00402EA2" w:rsidRPr="005F583B">
        <w:rPr>
          <w:sz w:val="24"/>
          <w:szCs w:val="24"/>
        </w:rPr>
        <w:t xml:space="preserve">şekilde </w:t>
      </w:r>
      <w:r w:rsidR="005D1C01">
        <w:rPr>
          <w:sz w:val="24"/>
          <w:szCs w:val="24"/>
        </w:rPr>
        <w:t>aktarılması</w:t>
      </w:r>
      <w:r w:rsidR="00D41E6D" w:rsidRPr="005F583B">
        <w:rPr>
          <w:sz w:val="24"/>
          <w:szCs w:val="24"/>
        </w:rPr>
        <w:t xml:space="preserve"> iki ülke arasındaki rekabetin siber uzayda da devam ettiğini göstermektedir</w:t>
      </w:r>
      <w:r w:rsidR="007B4FF0">
        <w:rPr>
          <w:sz w:val="24"/>
          <w:szCs w:val="24"/>
        </w:rPr>
        <w:t xml:space="preserve"> (Darıcılı, 2018</w:t>
      </w:r>
      <w:r w:rsidR="00394F5E">
        <w:rPr>
          <w:sz w:val="24"/>
          <w:szCs w:val="24"/>
        </w:rPr>
        <w:t>: 24</w:t>
      </w:r>
      <w:r w:rsidR="007B4FF0">
        <w:rPr>
          <w:sz w:val="24"/>
          <w:szCs w:val="24"/>
        </w:rPr>
        <w:t>)</w:t>
      </w:r>
      <w:r w:rsidR="00D41E6D" w:rsidRPr="005F583B">
        <w:rPr>
          <w:sz w:val="24"/>
          <w:szCs w:val="24"/>
        </w:rPr>
        <w:t>.</w:t>
      </w:r>
    </w:p>
    <w:p w:rsidR="00ED7D86" w:rsidRDefault="00ED7D86" w:rsidP="00400461">
      <w:pPr>
        <w:tabs>
          <w:tab w:val="left" w:pos="8647"/>
        </w:tabs>
        <w:spacing w:after="120" w:line="240" w:lineRule="auto"/>
        <w:ind w:firstLine="421"/>
        <w:jc w:val="both"/>
        <w:rPr>
          <w:sz w:val="24"/>
          <w:szCs w:val="24"/>
        </w:rPr>
      </w:pPr>
      <w:r w:rsidRPr="005F583B">
        <w:rPr>
          <w:sz w:val="24"/>
          <w:szCs w:val="24"/>
        </w:rPr>
        <w:t xml:space="preserve">Çalışmaya konu davanın incelenmesine geçmeden evvel davanın önemine ilişkin </w:t>
      </w:r>
      <w:r w:rsidR="004C3F79" w:rsidRPr="005F583B">
        <w:rPr>
          <w:sz w:val="24"/>
          <w:szCs w:val="24"/>
        </w:rPr>
        <w:t>birtakım</w:t>
      </w:r>
      <w:r w:rsidRPr="005F583B">
        <w:rPr>
          <w:sz w:val="24"/>
          <w:szCs w:val="24"/>
        </w:rPr>
        <w:t xml:space="preserve"> tespitlerin paylaşılması konunun daha iyi anlaşılmasın</w:t>
      </w:r>
      <w:r w:rsidR="005B3004" w:rsidRPr="005F583B">
        <w:rPr>
          <w:sz w:val="24"/>
          <w:szCs w:val="24"/>
        </w:rPr>
        <w:t>ı sağlayacaktır</w:t>
      </w:r>
      <w:r w:rsidRPr="005F583B">
        <w:rPr>
          <w:sz w:val="24"/>
          <w:szCs w:val="24"/>
        </w:rPr>
        <w:t>. Öncelikle belirtmek gerekir ki AİHM, 1978 yılında vermiş olduğu Klaas/Almanya Kararından bu yana gizli gözetim tedbirlerinin hukukiliğine ilişkin pek çok karara imza atmıştır</w:t>
      </w:r>
      <w:r w:rsidR="003F64FD">
        <w:rPr>
          <w:sz w:val="24"/>
          <w:szCs w:val="24"/>
        </w:rPr>
        <w:t xml:space="preserve"> (AİHM, 2020)</w:t>
      </w:r>
      <w:r w:rsidRPr="005F583B">
        <w:rPr>
          <w:sz w:val="24"/>
          <w:szCs w:val="24"/>
        </w:rPr>
        <w:t>. Big Brother Watch</w:t>
      </w:r>
      <w:r w:rsidR="00D1176D" w:rsidRPr="005F583B">
        <w:rPr>
          <w:sz w:val="24"/>
          <w:szCs w:val="24"/>
        </w:rPr>
        <w:t xml:space="preserve"> ve Diğerleri</w:t>
      </w:r>
      <w:r w:rsidRPr="005F583B">
        <w:rPr>
          <w:sz w:val="24"/>
          <w:szCs w:val="24"/>
        </w:rPr>
        <w:t>/ Birleşik Krallık kararında ise daha önce</w:t>
      </w:r>
      <w:r w:rsidR="00104279">
        <w:rPr>
          <w:sz w:val="24"/>
          <w:szCs w:val="24"/>
        </w:rPr>
        <w:t xml:space="preserve"> </w:t>
      </w:r>
      <w:r w:rsidRPr="005F583B">
        <w:rPr>
          <w:sz w:val="24"/>
          <w:szCs w:val="24"/>
        </w:rPr>
        <w:t xml:space="preserve">çalışmada belirtildiği üzere gizli gözetim yöntemlerinden birisi </w:t>
      </w:r>
      <w:r w:rsidR="004C3F79" w:rsidRPr="005F583B">
        <w:rPr>
          <w:sz w:val="24"/>
          <w:szCs w:val="24"/>
        </w:rPr>
        <w:t>olan toplu</w:t>
      </w:r>
      <w:r w:rsidRPr="005F583B">
        <w:rPr>
          <w:sz w:val="24"/>
          <w:szCs w:val="24"/>
        </w:rPr>
        <w:t xml:space="preserve"> gözetimin hukukiliği üzerinde durulmaktadır.</w:t>
      </w:r>
      <w:r w:rsidR="00CB0E25" w:rsidRPr="005F583B">
        <w:rPr>
          <w:sz w:val="24"/>
          <w:szCs w:val="24"/>
        </w:rPr>
        <w:t xml:space="preserve"> Karar bu özelliği ile </w:t>
      </w:r>
      <w:r w:rsidR="00104279">
        <w:rPr>
          <w:sz w:val="24"/>
          <w:szCs w:val="24"/>
        </w:rPr>
        <w:t xml:space="preserve">mahkemenin </w:t>
      </w:r>
      <w:r w:rsidR="00CB0E25" w:rsidRPr="005F583B">
        <w:rPr>
          <w:sz w:val="24"/>
          <w:szCs w:val="24"/>
        </w:rPr>
        <w:t>diğer gizli gözetim yöntemleri ile ilişkili kararlarından ayrılmaktadır. Ayrıca</w:t>
      </w:r>
      <w:r w:rsidRPr="005F583B">
        <w:rPr>
          <w:sz w:val="24"/>
          <w:szCs w:val="24"/>
        </w:rPr>
        <w:t xml:space="preserve"> </w:t>
      </w:r>
      <w:r w:rsidR="00CB0E25" w:rsidRPr="005F583B">
        <w:rPr>
          <w:sz w:val="24"/>
          <w:szCs w:val="24"/>
        </w:rPr>
        <w:t>g</w:t>
      </w:r>
      <w:r w:rsidRPr="005F583B">
        <w:rPr>
          <w:sz w:val="24"/>
          <w:szCs w:val="24"/>
        </w:rPr>
        <w:t xml:space="preserve">erek konunun güncel niteliği gerekse davaya konu olayın kamuoyunda yaratmış olduğu etki davayı daha da ilgi çekici hale getirmektedir. </w:t>
      </w:r>
      <w:r w:rsidR="005B3004" w:rsidRPr="005F583B">
        <w:rPr>
          <w:sz w:val="24"/>
          <w:szCs w:val="24"/>
        </w:rPr>
        <w:t>M</w:t>
      </w:r>
      <w:r w:rsidR="004C3F79" w:rsidRPr="005F583B">
        <w:rPr>
          <w:sz w:val="24"/>
          <w:szCs w:val="24"/>
        </w:rPr>
        <w:t xml:space="preserve">ahkemenin bu konuda </w:t>
      </w:r>
      <w:r w:rsidRPr="005F583B">
        <w:rPr>
          <w:sz w:val="24"/>
          <w:szCs w:val="24"/>
        </w:rPr>
        <w:t xml:space="preserve">vermiş olduğu </w:t>
      </w:r>
      <w:r w:rsidR="004C3F79" w:rsidRPr="005F583B">
        <w:rPr>
          <w:sz w:val="24"/>
          <w:szCs w:val="24"/>
        </w:rPr>
        <w:t>karar</w:t>
      </w:r>
      <w:r w:rsidR="00104279">
        <w:rPr>
          <w:sz w:val="24"/>
          <w:szCs w:val="24"/>
        </w:rPr>
        <w:t>,</w:t>
      </w:r>
      <w:r w:rsidR="004C3F79" w:rsidRPr="005F583B">
        <w:rPr>
          <w:sz w:val="24"/>
          <w:szCs w:val="24"/>
        </w:rPr>
        <w:t xml:space="preserve"> hukuk alanında çalışan araştırmacıların yanında siyaset bilimi, güvenlik, istihbarat, iletişim vb. disiplinlerde yapılan çalışmalara önümüzdeki günlerde sık </w:t>
      </w:r>
      <w:r w:rsidR="00B92E6D" w:rsidRPr="005F583B">
        <w:rPr>
          <w:sz w:val="24"/>
          <w:szCs w:val="24"/>
        </w:rPr>
        <w:t xml:space="preserve">sık </w:t>
      </w:r>
      <w:r w:rsidR="004C3F79" w:rsidRPr="005F583B">
        <w:rPr>
          <w:sz w:val="24"/>
          <w:szCs w:val="24"/>
        </w:rPr>
        <w:t>konu olacaktır.</w:t>
      </w:r>
      <w:r w:rsidR="00C54F2A" w:rsidRPr="005F583B">
        <w:rPr>
          <w:sz w:val="24"/>
          <w:szCs w:val="24"/>
        </w:rPr>
        <w:t xml:space="preserve"> Çalışmaya konu olan davada mahkeme gizli gözetime ilişkin üç farklı uyuşmazlık hakkında karar vermiştir. Bu üç husus, internet trafiğinin topyekûn izlenmesi, elde edilen bilgilerin yabancı istihbarat teşkilatlarıyla paylaşılması, internet servis sağlayıcılarından iletişim bilgilerinin temin</w:t>
      </w:r>
      <w:r w:rsidR="00CB0E25" w:rsidRPr="005F583B">
        <w:rPr>
          <w:sz w:val="24"/>
          <w:szCs w:val="24"/>
        </w:rPr>
        <w:t xml:space="preserve"> </w:t>
      </w:r>
      <w:r w:rsidR="00C54F2A" w:rsidRPr="005F583B">
        <w:rPr>
          <w:sz w:val="24"/>
          <w:szCs w:val="24"/>
        </w:rPr>
        <w:t>edilmesi olarak özetlenebilir</w:t>
      </w:r>
      <w:r w:rsidR="003F64FD">
        <w:rPr>
          <w:sz w:val="24"/>
          <w:szCs w:val="24"/>
        </w:rPr>
        <w:t xml:space="preserve"> (AİHM, 2019: para. 269)</w:t>
      </w:r>
      <w:r w:rsidR="00C54F2A" w:rsidRPr="005F583B">
        <w:rPr>
          <w:sz w:val="24"/>
          <w:szCs w:val="24"/>
        </w:rPr>
        <w:t>.</w:t>
      </w:r>
      <w:r w:rsidR="006F1041" w:rsidRPr="005F583B">
        <w:rPr>
          <w:sz w:val="24"/>
          <w:szCs w:val="24"/>
        </w:rPr>
        <w:t xml:space="preserve"> </w:t>
      </w:r>
      <w:r w:rsidR="00C55745" w:rsidRPr="005F583B">
        <w:rPr>
          <w:sz w:val="24"/>
          <w:szCs w:val="24"/>
        </w:rPr>
        <w:t>Çalışma</w:t>
      </w:r>
      <w:r w:rsidR="006F1041" w:rsidRPr="005F583B">
        <w:rPr>
          <w:sz w:val="24"/>
          <w:szCs w:val="24"/>
        </w:rPr>
        <w:t xml:space="preserve"> esas olarak</w:t>
      </w:r>
      <w:r w:rsidR="00C55745" w:rsidRPr="005F583B">
        <w:rPr>
          <w:sz w:val="24"/>
          <w:szCs w:val="24"/>
        </w:rPr>
        <w:t xml:space="preserve"> </w:t>
      </w:r>
      <w:r w:rsidR="006F1041" w:rsidRPr="005F583B">
        <w:rPr>
          <w:sz w:val="24"/>
          <w:szCs w:val="24"/>
        </w:rPr>
        <w:t>kitle gözetim</w:t>
      </w:r>
      <w:r w:rsidR="005D1C01">
        <w:rPr>
          <w:sz w:val="24"/>
          <w:szCs w:val="24"/>
        </w:rPr>
        <w:t>ine</w:t>
      </w:r>
      <w:r w:rsidR="006F1041" w:rsidRPr="005F583B">
        <w:rPr>
          <w:sz w:val="24"/>
          <w:szCs w:val="24"/>
        </w:rPr>
        <w:t xml:space="preserve"> ilişkin hususları ortaya çıkarma gayreti içerisinde olduğundan ilk iki uyuşmazlık üzerine yoğunlaşacaktır. </w:t>
      </w:r>
      <w:r w:rsidR="00CB0E25" w:rsidRPr="005F583B">
        <w:rPr>
          <w:sz w:val="24"/>
          <w:szCs w:val="24"/>
        </w:rPr>
        <w:t>Özellikle yabancı istihbarat teşkilatları ile</w:t>
      </w:r>
      <w:r w:rsidR="001B34F4" w:rsidRPr="005F583B">
        <w:rPr>
          <w:sz w:val="24"/>
          <w:szCs w:val="24"/>
        </w:rPr>
        <w:t xml:space="preserve"> </w:t>
      </w:r>
      <w:r w:rsidR="00CB0E25" w:rsidRPr="005F583B">
        <w:rPr>
          <w:sz w:val="24"/>
          <w:szCs w:val="24"/>
        </w:rPr>
        <w:t xml:space="preserve">elde edilmiş istihbarat </w:t>
      </w:r>
      <w:r w:rsidR="002D5A2A" w:rsidRPr="005F583B">
        <w:rPr>
          <w:sz w:val="24"/>
          <w:szCs w:val="24"/>
        </w:rPr>
        <w:t>bilgilerinin paylaşımı</w:t>
      </w:r>
      <w:r w:rsidR="00CB0E25" w:rsidRPr="005F583B">
        <w:rPr>
          <w:sz w:val="24"/>
          <w:szCs w:val="24"/>
        </w:rPr>
        <w:t xml:space="preserve"> hususu bu dava ile ilk defa mahkemenin önüne gelmektedir</w:t>
      </w:r>
      <w:r w:rsidR="003F64FD">
        <w:rPr>
          <w:sz w:val="24"/>
          <w:szCs w:val="24"/>
        </w:rPr>
        <w:t xml:space="preserve"> (AİHM, 201</w:t>
      </w:r>
      <w:r w:rsidR="00EC580F">
        <w:rPr>
          <w:sz w:val="24"/>
          <w:szCs w:val="24"/>
        </w:rPr>
        <w:t>8b</w:t>
      </w:r>
      <w:r w:rsidR="003F64FD">
        <w:rPr>
          <w:sz w:val="24"/>
          <w:szCs w:val="24"/>
        </w:rPr>
        <w:t>)</w:t>
      </w:r>
      <w:r w:rsidR="00CB0E25" w:rsidRPr="005F583B">
        <w:rPr>
          <w:sz w:val="24"/>
          <w:szCs w:val="24"/>
        </w:rPr>
        <w:t>.</w:t>
      </w:r>
    </w:p>
    <w:p w:rsidR="009D5E1A" w:rsidRDefault="009D5E1A" w:rsidP="00400461">
      <w:pPr>
        <w:tabs>
          <w:tab w:val="left" w:pos="8647"/>
        </w:tabs>
        <w:spacing w:after="120" w:line="240" w:lineRule="auto"/>
        <w:ind w:firstLine="421"/>
        <w:jc w:val="both"/>
        <w:rPr>
          <w:sz w:val="24"/>
          <w:szCs w:val="24"/>
        </w:rPr>
      </w:pPr>
    </w:p>
    <w:p w:rsidR="00A1784F" w:rsidRPr="00B87786" w:rsidRDefault="00A1784F" w:rsidP="00B87786">
      <w:pPr>
        <w:tabs>
          <w:tab w:val="left" w:pos="8647"/>
        </w:tabs>
        <w:spacing w:after="240" w:line="240" w:lineRule="auto"/>
        <w:jc w:val="both"/>
        <w:rPr>
          <w:b/>
          <w:bCs/>
          <w:sz w:val="24"/>
          <w:szCs w:val="24"/>
        </w:rPr>
      </w:pPr>
      <w:r w:rsidRPr="00B87786">
        <w:rPr>
          <w:b/>
          <w:bCs/>
          <w:sz w:val="24"/>
          <w:szCs w:val="24"/>
        </w:rPr>
        <w:lastRenderedPageBreak/>
        <w:t xml:space="preserve">Davanın Özeti </w:t>
      </w:r>
    </w:p>
    <w:p w:rsidR="005004FE" w:rsidRPr="005F583B" w:rsidRDefault="005B3004" w:rsidP="00400461">
      <w:pPr>
        <w:tabs>
          <w:tab w:val="left" w:pos="8647"/>
        </w:tabs>
        <w:spacing w:after="120" w:line="240" w:lineRule="auto"/>
        <w:ind w:firstLine="421"/>
        <w:jc w:val="both"/>
        <w:rPr>
          <w:sz w:val="24"/>
          <w:szCs w:val="24"/>
        </w:rPr>
      </w:pPr>
      <w:r w:rsidRPr="005F583B">
        <w:rPr>
          <w:sz w:val="24"/>
          <w:szCs w:val="24"/>
        </w:rPr>
        <w:t>Yukarıda özetlenmiş</w:t>
      </w:r>
      <w:r w:rsidR="00A439AE" w:rsidRPr="005F583B">
        <w:rPr>
          <w:sz w:val="24"/>
          <w:szCs w:val="24"/>
        </w:rPr>
        <w:t xml:space="preserve"> olan Snowden olayından sonra </w:t>
      </w:r>
      <w:r w:rsidRPr="005F583B">
        <w:rPr>
          <w:sz w:val="24"/>
          <w:szCs w:val="24"/>
        </w:rPr>
        <w:t xml:space="preserve">içerisinde aktivistlerin ve sivil toplum örgütlerinin bulunduğu 16 kişi </w:t>
      </w:r>
      <w:r w:rsidR="00576FDE" w:rsidRPr="005F583B">
        <w:rPr>
          <w:sz w:val="24"/>
          <w:szCs w:val="24"/>
        </w:rPr>
        <w:t>tarafından 3</w:t>
      </w:r>
      <w:r w:rsidR="00A439AE" w:rsidRPr="005F583B">
        <w:rPr>
          <w:sz w:val="24"/>
          <w:szCs w:val="24"/>
        </w:rPr>
        <w:t xml:space="preserve"> farklı grup halinde</w:t>
      </w:r>
      <w:r w:rsidRPr="005F583B">
        <w:rPr>
          <w:sz w:val="24"/>
          <w:szCs w:val="24"/>
        </w:rPr>
        <w:t>,</w:t>
      </w:r>
      <w:r w:rsidR="00A439AE" w:rsidRPr="005F583B">
        <w:rPr>
          <w:sz w:val="24"/>
          <w:szCs w:val="24"/>
        </w:rPr>
        <w:t xml:space="preserve"> farklı tarihlerde yapılan toplu gözetim tedbirlerinin AİHS’nin 8’inci (Özel hayatın gizliliğinin korunması) ve 10’uncu (İfade özgürlüğü) ve 14’üncü (Ayrımcılık Yasağı) maddelerinin açıkça ihlal edildiği gerekçesiyle yaptıkları başvuru</w:t>
      </w:r>
      <w:r w:rsidR="00D1176D" w:rsidRPr="005F583B">
        <w:rPr>
          <w:sz w:val="24"/>
          <w:szCs w:val="24"/>
        </w:rPr>
        <w:t xml:space="preserve">lar Big Brother Watch </w:t>
      </w:r>
      <w:bookmarkStart w:id="15" w:name="_Hlk32794431"/>
      <w:r w:rsidR="00D1176D" w:rsidRPr="005F583B">
        <w:rPr>
          <w:sz w:val="24"/>
          <w:szCs w:val="24"/>
        </w:rPr>
        <w:t>ve Diğerleri</w:t>
      </w:r>
      <w:bookmarkEnd w:id="15"/>
      <w:r w:rsidR="00D1176D" w:rsidRPr="005F583B">
        <w:rPr>
          <w:sz w:val="24"/>
          <w:szCs w:val="24"/>
        </w:rPr>
        <w:t xml:space="preserve">/Birleşik Krallık davası adı altında </w:t>
      </w:r>
      <w:r w:rsidR="0014352F" w:rsidRPr="005F583B">
        <w:rPr>
          <w:sz w:val="24"/>
          <w:szCs w:val="24"/>
        </w:rPr>
        <w:t>birleştirilmiştir</w:t>
      </w:r>
      <w:r w:rsidR="0014352F">
        <w:rPr>
          <w:sz w:val="24"/>
          <w:szCs w:val="24"/>
        </w:rPr>
        <w:t xml:space="preserve"> (AİHM, 2019: para. 1)</w:t>
      </w:r>
      <w:r w:rsidR="00D1176D" w:rsidRPr="005F583B">
        <w:rPr>
          <w:sz w:val="24"/>
          <w:szCs w:val="24"/>
        </w:rPr>
        <w:t>.</w:t>
      </w:r>
      <w:r w:rsidR="003C7C33" w:rsidRPr="005F583B">
        <w:rPr>
          <w:sz w:val="24"/>
          <w:szCs w:val="24"/>
        </w:rPr>
        <w:t xml:space="preserve"> </w:t>
      </w:r>
    </w:p>
    <w:p w:rsidR="005004FE" w:rsidRPr="005F583B" w:rsidRDefault="005004FE" w:rsidP="00400461">
      <w:pPr>
        <w:tabs>
          <w:tab w:val="left" w:pos="8647"/>
        </w:tabs>
        <w:spacing w:after="120" w:line="240" w:lineRule="auto"/>
        <w:ind w:firstLine="421"/>
        <w:jc w:val="both"/>
        <w:rPr>
          <w:sz w:val="24"/>
          <w:szCs w:val="24"/>
        </w:rPr>
      </w:pPr>
      <w:r w:rsidRPr="005F583B">
        <w:rPr>
          <w:sz w:val="24"/>
          <w:szCs w:val="24"/>
        </w:rPr>
        <w:t>Mahkeme</w:t>
      </w:r>
      <w:r w:rsidR="00105E62">
        <w:rPr>
          <w:sz w:val="24"/>
          <w:szCs w:val="24"/>
        </w:rPr>
        <w:t xml:space="preserve">de </w:t>
      </w:r>
      <w:r w:rsidR="00646835">
        <w:rPr>
          <w:sz w:val="24"/>
          <w:szCs w:val="24"/>
        </w:rPr>
        <w:t>Birleşik Krallık hükû</w:t>
      </w:r>
      <w:r w:rsidRPr="005F583B">
        <w:rPr>
          <w:sz w:val="24"/>
          <w:szCs w:val="24"/>
        </w:rPr>
        <w:t>meti</w:t>
      </w:r>
      <w:r w:rsidR="00105E62">
        <w:rPr>
          <w:sz w:val="24"/>
          <w:szCs w:val="24"/>
        </w:rPr>
        <w:t xml:space="preserve"> öncelikle</w:t>
      </w:r>
      <w:r w:rsidRPr="005F583B">
        <w:rPr>
          <w:sz w:val="24"/>
          <w:szCs w:val="24"/>
        </w:rPr>
        <w:t xml:space="preserve">, </w:t>
      </w:r>
      <w:r w:rsidR="00A1784F" w:rsidRPr="005F583B">
        <w:rPr>
          <w:sz w:val="24"/>
          <w:szCs w:val="24"/>
        </w:rPr>
        <w:t xml:space="preserve">bir ve ikinci grup </w:t>
      </w:r>
      <w:r w:rsidRPr="005F583B">
        <w:rPr>
          <w:sz w:val="24"/>
          <w:szCs w:val="24"/>
        </w:rPr>
        <w:t>başvurucuların AİHS md.35 uyarınca öngörülen iç hukuk yollarını tüketmiş olma şartını</w:t>
      </w:r>
      <w:r w:rsidR="00105E62">
        <w:rPr>
          <w:sz w:val="24"/>
          <w:szCs w:val="24"/>
        </w:rPr>
        <w:t xml:space="preserve"> yerine getirmediğini</w:t>
      </w:r>
      <w:r w:rsidRPr="005F583B">
        <w:rPr>
          <w:sz w:val="24"/>
          <w:szCs w:val="24"/>
        </w:rPr>
        <w:t xml:space="preserve"> öne sürerek davanın esasına girilmeksizin kabul edilemezlik kararı verilmesini talep etmiştir. Hükümet yetkililerine</w:t>
      </w:r>
      <w:r w:rsidR="00105E62">
        <w:rPr>
          <w:sz w:val="24"/>
          <w:szCs w:val="24"/>
        </w:rPr>
        <w:t xml:space="preserve"> göre </w:t>
      </w:r>
      <w:r w:rsidR="00105E62" w:rsidRPr="005F583B">
        <w:rPr>
          <w:sz w:val="24"/>
          <w:szCs w:val="24"/>
        </w:rPr>
        <w:t>IPT</w:t>
      </w:r>
      <w:r w:rsidR="00CA4D03" w:rsidRPr="005F583B">
        <w:rPr>
          <w:sz w:val="24"/>
          <w:szCs w:val="24"/>
        </w:rPr>
        <w:t>, konuya ilişkin uyuşmazlıkları çözüme kavuşturan etkili yargı yetkisine sahip bir yargı organıdır ve “istihbarat konularında en kapsamlı yargı gözetim organları” arasındadır. Bu sebeple IPT’n</w:t>
      </w:r>
      <w:r w:rsidR="009D19B9" w:rsidRPr="005F583B">
        <w:rPr>
          <w:sz w:val="24"/>
          <w:szCs w:val="24"/>
        </w:rPr>
        <w:t>i</w:t>
      </w:r>
      <w:r w:rsidR="00CA4D03" w:rsidRPr="005F583B">
        <w:rPr>
          <w:sz w:val="24"/>
          <w:szCs w:val="24"/>
        </w:rPr>
        <w:t>n mutlak surette etkili bir iç hukuk yolu olarak değerlendirilerek, söz konusu davanın iç hukuk yollarının tüketilmemiş olması sebebiyle kabul edilemezlik kararıyla reddedilmesi gerekmektedir</w:t>
      </w:r>
      <w:r w:rsidR="0014352F">
        <w:rPr>
          <w:sz w:val="24"/>
          <w:szCs w:val="24"/>
        </w:rPr>
        <w:t xml:space="preserve"> (AİHM, 2019: para. 239)</w:t>
      </w:r>
      <w:r w:rsidR="00CA4D03" w:rsidRPr="005F583B">
        <w:rPr>
          <w:sz w:val="24"/>
          <w:szCs w:val="24"/>
        </w:rPr>
        <w:t>.</w:t>
      </w:r>
    </w:p>
    <w:p w:rsidR="00CA4D03" w:rsidRPr="005F583B" w:rsidRDefault="00CA4D03" w:rsidP="00400461">
      <w:pPr>
        <w:tabs>
          <w:tab w:val="left" w:pos="8647"/>
        </w:tabs>
        <w:spacing w:after="120" w:line="240" w:lineRule="auto"/>
        <w:ind w:firstLine="421"/>
        <w:jc w:val="both"/>
        <w:rPr>
          <w:sz w:val="24"/>
          <w:szCs w:val="24"/>
        </w:rPr>
      </w:pPr>
      <w:r w:rsidRPr="005F583B">
        <w:rPr>
          <w:sz w:val="24"/>
          <w:szCs w:val="24"/>
        </w:rPr>
        <w:t xml:space="preserve">Başvurucular ise </w:t>
      </w:r>
      <w:r w:rsidR="00734CF8" w:rsidRPr="005F583B">
        <w:rPr>
          <w:sz w:val="24"/>
          <w:szCs w:val="24"/>
        </w:rPr>
        <w:t xml:space="preserve">etkili iç hukuk yollarını </w:t>
      </w:r>
      <w:r w:rsidR="00554408" w:rsidRPr="005F583B">
        <w:rPr>
          <w:sz w:val="24"/>
          <w:szCs w:val="24"/>
        </w:rPr>
        <w:t>tüketmiş</w:t>
      </w:r>
      <w:r w:rsidR="00734CF8" w:rsidRPr="005F583B">
        <w:rPr>
          <w:sz w:val="24"/>
          <w:szCs w:val="24"/>
        </w:rPr>
        <w:t xml:space="preserve"> olduklarını IPT’nin etkili bir iç hukuk yolu niteliğinin bulunmadığını, bu durumun AİHM’nin kararlarına da </w:t>
      </w:r>
      <w:r w:rsidR="00554408" w:rsidRPr="005F583B">
        <w:rPr>
          <w:sz w:val="24"/>
          <w:szCs w:val="24"/>
        </w:rPr>
        <w:t>yansımış</w:t>
      </w:r>
      <w:r w:rsidR="00734CF8" w:rsidRPr="005F583B">
        <w:rPr>
          <w:sz w:val="24"/>
          <w:szCs w:val="24"/>
        </w:rPr>
        <w:t xml:space="preserve"> </w:t>
      </w:r>
      <w:r w:rsidR="00BA7A65" w:rsidRPr="005F583B">
        <w:rPr>
          <w:sz w:val="24"/>
          <w:szCs w:val="24"/>
        </w:rPr>
        <w:t>vaziyette olduğundan</w:t>
      </w:r>
      <w:r w:rsidR="00734CF8" w:rsidRPr="005F583B">
        <w:rPr>
          <w:sz w:val="24"/>
          <w:szCs w:val="24"/>
        </w:rPr>
        <w:t xml:space="preserve"> bahisle sözleşmenin 35’inci maddesi ile ilgili bir ihlale </w:t>
      </w:r>
      <w:r w:rsidR="008907F7" w:rsidRPr="005F583B">
        <w:rPr>
          <w:sz w:val="24"/>
          <w:szCs w:val="24"/>
        </w:rPr>
        <w:t>sebebiyet</w:t>
      </w:r>
      <w:r w:rsidR="00734CF8" w:rsidRPr="005F583B">
        <w:rPr>
          <w:sz w:val="24"/>
          <w:szCs w:val="24"/>
        </w:rPr>
        <w:t xml:space="preserve"> vermediklerini belirterek davaları hakkında kabul edilebilirlik kararı verilmesini talep etmişlerdir. Başvuruculara göre Kennedy/Birleşik Krallık davası AİHM’nin IPT’yi etkili bir iç hukuk yolu olarak görmediğinin en açık örneğini </w:t>
      </w:r>
      <w:r w:rsidR="00E32077" w:rsidRPr="005F583B">
        <w:rPr>
          <w:sz w:val="24"/>
          <w:szCs w:val="24"/>
        </w:rPr>
        <w:t>oluşturmaktadır</w:t>
      </w:r>
      <w:r w:rsidR="00E32077">
        <w:rPr>
          <w:sz w:val="24"/>
          <w:szCs w:val="24"/>
        </w:rPr>
        <w:t xml:space="preserve"> (AİHM, 2019: para. 241)</w:t>
      </w:r>
      <w:r w:rsidR="00734CF8" w:rsidRPr="005F583B">
        <w:rPr>
          <w:sz w:val="24"/>
          <w:szCs w:val="24"/>
        </w:rPr>
        <w:t xml:space="preserve">. </w:t>
      </w:r>
    </w:p>
    <w:p w:rsidR="00E7079B" w:rsidRPr="005F583B" w:rsidRDefault="00A322C1" w:rsidP="00400461">
      <w:pPr>
        <w:tabs>
          <w:tab w:val="left" w:pos="8647"/>
        </w:tabs>
        <w:spacing w:after="120" w:line="240" w:lineRule="auto"/>
        <w:ind w:firstLine="421"/>
        <w:jc w:val="both"/>
        <w:rPr>
          <w:sz w:val="24"/>
          <w:szCs w:val="24"/>
        </w:rPr>
      </w:pPr>
      <w:r w:rsidRPr="005F583B">
        <w:rPr>
          <w:sz w:val="24"/>
          <w:szCs w:val="24"/>
        </w:rPr>
        <w:t xml:space="preserve">AİHM ise karşılıklı iddialar </w:t>
      </w:r>
      <w:r w:rsidR="004830ED" w:rsidRPr="005F583B">
        <w:rPr>
          <w:sz w:val="24"/>
          <w:szCs w:val="24"/>
        </w:rPr>
        <w:t>karşısında öncelikle</w:t>
      </w:r>
      <w:r w:rsidRPr="005F583B">
        <w:rPr>
          <w:sz w:val="24"/>
          <w:szCs w:val="24"/>
        </w:rPr>
        <w:t xml:space="preserve"> IPT’nin günümüz itibariyle etkili bir hukuk yolu olup olmadığını incele</w:t>
      </w:r>
      <w:r w:rsidR="004830ED" w:rsidRPr="005F583B">
        <w:rPr>
          <w:sz w:val="24"/>
          <w:szCs w:val="24"/>
        </w:rPr>
        <w:t xml:space="preserve">miştir. Mahkemeye göre IPT’nin üyelerinin yüksek yargı üyeleri </w:t>
      </w:r>
      <w:r w:rsidR="00105E62">
        <w:rPr>
          <w:sz w:val="24"/>
          <w:szCs w:val="24"/>
        </w:rPr>
        <w:t>ile</w:t>
      </w:r>
      <w:r w:rsidR="004830ED" w:rsidRPr="005F583B">
        <w:rPr>
          <w:sz w:val="24"/>
          <w:szCs w:val="24"/>
        </w:rPr>
        <w:t xml:space="preserve"> en az 10 yıl görev yapmış avukatlar arasından seçilmesi ve Birleşik Krallık mevzuatında bağımsız ve tarafsız bir mahkeme olarak tanımlanması</w:t>
      </w:r>
      <w:r w:rsidR="008907F7" w:rsidRPr="005F583B">
        <w:rPr>
          <w:sz w:val="24"/>
          <w:szCs w:val="24"/>
        </w:rPr>
        <w:t>,</w:t>
      </w:r>
      <w:r w:rsidR="004830ED" w:rsidRPr="005F583B">
        <w:rPr>
          <w:sz w:val="24"/>
          <w:szCs w:val="24"/>
        </w:rPr>
        <w:t xml:space="preserve"> IPT’nin niteliğine olumlu yönde etki eden hususlar olarak ortaya çıkmaktadır</w:t>
      </w:r>
      <w:r w:rsidR="00E32077">
        <w:rPr>
          <w:sz w:val="24"/>
          <w:szCs w:val="24"/>
        </w:rPr>
        <w:t xml:space="preserve"> (AİHM, 2019: para. 250-251)</w:t>
      </w:r>
      <w:r w:rsidR="004830ED" w:rsidRPr="005F583B">
        <w:rPr>
          <w:sz w:val="24"/>
          <w:szCs w:val="24"/>
        </w:rPr>
        <w:t>.</w:t>
      </w:r>
      <w:r w:rsidR="00E32077">
        <w:rPr>
          <w:sz w:val="24"/>
          <w:szCs w:val="24"/>
        </w:rPr>
        <w:t xml:space="preserve"> </w:t>
      </w:r>
      <w:r w:rsidR="004830ED" w:rsidRPr="005F583B">
        <w:rPr>
          <w:sz w:val="24"/>
          <w:szCs w:val="24"/>
        </w:rPr>
        <w:t xml:space="preserve">Ayrıca </w:t>
      </w:r>
      <w:r w:rsidR="000D478C" w:rsidRPr="005F583B">
        <w:rPr>
          <w:sz w:val="24"/>
          <w:szCs w:val="24"/>
        </w:rPr>
        <w:t xml:space="preserve">IPT, </w:t>
      </w:r>
      <w:r w:rsidR="004830ED" w:rsidRPr="005F583B">
        <w:rPr>
          <w:sz w:val="24"/>
          <w:szCs w:val="24"/>
        </w:rPr>
        <w:t>yargılama esnasında açıklanması kamu güvenliğine zarar verebilecek gizlilik dereceli belgeleri inceleme yetkisine</w:t>
      </w:r>
      <w:r w:rsidR="000D478C" w:rsidRPr="005F583B">
        <w:rPr>
          <w:sz w:val="24"/>
          <w:szCs w:val="24"/>
        </w:rPr>
        <w:t xml:space="preserve"> ve </w:t>
      </w:r>
      <w:r w:rsidR="004830ED" w:rsidRPr="005F583B">
        <w:rPr>
          <w:sz w:val="24"/>
          <w:szCs w:val="24"/>
        </w:rPr>
        <w:t xml:space="preserve">istihbarat teşkilatlarının </w:t>
      </w:r>
      <w:r w:rsidR="00B92E6D" w:rsidRPr="005F583B">
        <w:rPr>
          <w:sz w:val="24"/>
          <w:szCs w:val="24"/>
        </w:rPr>
        <w:t>kamuya açıklanmayan</w:t>
      </w:r>
      <w:r w:rsidR="00646835">
        <w:rPr>
          <w:sz w:val="24"/>
          <w:szCs w:val="24"/>
        </w:rPr>
        <w:t xml:space="preserve"> yönetmelikleri dâ</w:t>
      </w:r>
      <w:r w:rsidR="004830ED" w:rsidRPr="005F583B">
        <w:rPr>
          <w:sz w:val="24"/>
          <w:szCs w:val="24"/>
        </w:rPr>
        <w:t xml:space="preserve">hil erişim yetkisine sahiptir. Bununla beraber mahkemenin 2010 yılında verdiği Kennedy/ Birleşik Krallık davasına ilişkin kararından itibaren 8 yıllık sürede vermiş olduğu kararlar incelendiğinde mahkemenin istikrarlı olarak AİHS ve yerel </w:t>
      </w:r>
      <w:r w:rsidR="004830ED" w:rsidRPr="005F583B">
        <w:rPr>
          <w:sz w:val="24"/>
          <w:szCs w:val="24"/>
        </w:rPr>
        <w:lastRenderedPageBreak/>
        <w:t>mevzuat hükümlerine bağlı kalarak titiz bir şekilde kararlarını vermiş olduğu gözlemlenmektedir. Ayrıca 2010 yılından bu</w:t>
      </w:r>
      <w:r w:rsidR="00B92E6D" w:rsidRPr="005F583B">
        <w:rPr>
          <w:sz w:val="24"/>
          <w:szCs w:val="24"/>
        </w:rPr>
        <w:t xml:space="preserve"> </w:t>
      </w:r>
      <w:r w:rsidR="004830ED" w:rsidRPr="005F583B">
        <w:rPr>
          <w:sz w:val="24"/>
          <w:szCs w:val="24"/>
        </w:rPr>
        <w:t>yan</w:t>
      </w:r>
      <w:r w:rsidR="00B92E6D" w:rsidRPr="005F583B">
        <w:rPr>
          <w:sz w:val="24"/>
          <w:szCs w:val="24"/>
        </w:rPr>
        <w:t>a</w:t>
      </w:r>
      <w:r w:rsidR="004830ED" w:rsidRPr="005F583B">
        <w:rPr>
          <w:sz w:val="24"/>
          <w:szCs w:val="24"/>
        </w:rPr>
        <w:t xml:space="preserve"> yapılan </w:t>
      </w:r>
      <w:r w:rsidR="00BA7A65" w:rsidRPr="005F583B">
        <w:rPr>
          <w:sz w:val="24"/>
          <w:szCs w:val="24"/>
        </w:rPr>
        <w:t>birtakım</w:t>
      </w:r>
      <w:r w:rsidR="004830ED" w:rsidRPr="005F583B">
        <w:rPr>
          <w:sz w:val="24"/>
          <w:szCs w:val="24"/>
        </w:rPr>
        <w:t xml:space="preserve"> değişiklikler </w:t>
      </w:r>
      <w:r w:rsidR="00BA7A65" w:rsidRPr="005F583B">
        <w:rPr>
          <w:sz w:val="24"/>
          <w:szCs w:val="24"/>
        </w:rPr>
        <w:t>mahkemenin etkili bir iç hukuk yolu olmasına büyük oranda katkı sağlamaktadır</w:t>
      </w:r>
      <w:r w:rsidR="00E32077">
        <w:rPr>
          <w:sz w:val="24"/>
          <w:szCs w:val="24"/>
        </w:rPr>
        <w:t xml:space="preserve"> (AİHM, 2019: para. 263-267).</w:t>
      </w:r>
    </w:p>
    <w:p w:rsidR="00BA7A65" w:rsidRPr="005F583B" w:rsidRDefault="00BA7A65" w:rsidP="00400461">
      <w:pPr>
        <w:tabs>
          <w:tab w:val="left" w:pos="8647"/>
        </w:tabs>
        <w:spacing w:after="120" w:line="240" w:lineRule="auto"/>
        <w:ind w:firstLine="421"/>
        <w:jc w:val="both"/>
        <w:rPr>
          <w:sz w:val="24"/>
          <w:szCs w:val="24"/>
        </w:rPr>
      </w:pPr>
      <w:r w:rsidRPr="005F583B">
        <w:rPr>
          <w:sz w:val="24"/>
          <w:szCs w:val="24"/>
        </w:rPr>
        <w:t xml:space="preserve">Ancak mahkeme inceleme esnasında </w:t>
      </w:r>
      <w:r w:rsidR="000D478C" w:rsidRPr="005F583B">
        <w:rPr>
          <w:sz w:val="24"/>
          <w:szCs w:val="24"/>
        </w:rPr>
        <w:t xml:space="preserve">öne sürdüğü </w:t>
      </w:r>
      <w:r w:rsidRPr="005F583B">
        <w:rPr>
          <w:sz w:val="24"/>
          <w:szCs w:val="24"/>
        </w:rPr>
        <w:t>tüm bu argümanlara ve IPT’nin artık etkili bir iç hukuk yolu olduğunu kabul etmesine rağmen, başvurucuların daha önce mahkemenin vermiş olduğu Kennedy/Birleşik Krallık kararında IPT’nin etkili bir başvuru yolu olmadığı tespitine güvenerek, bu iç hukuk yolunu tüketmemiş olmasını makul kabul etmiş ve başvurunun kabul edilebilir olduğuna hükmetmiştir. Mahkemeye göre kusurları bulunmaksızın mahkeme kararına güvenerek başvurucuların yapmış olduğu bu başvuru mazur görülebilir ve yapılan başvuru mahkemece incelenebilir</w:t>
      </w:r>
      <w:r w:rsidR="00E32077">
        <w:rPr>
          <w:sz w:val="24"/>
          <w:szCs w:val="24"/>
        </w:rPr>
        <w:t xml:space="preserve"> (AİHM, 2019: para. 268)</w:t>
      </w:r>
      <w:r w:rsidRPr="005F583B">
        <w:rPr>
          <w:sz w:val="24"/>
          <w:szCs w:val="24"/>
        </w:rPr>
        <w:t>.</w:t>
      </w:r>
    </w:p>
    <w:p w:rsidR="006F6630" w:rsidRPr="005F583B" w:rsidRDefault="006F6630" w:rsidP="00400461">
      <w:pPr>
        <w:tabs>
          <w:tab w:val="left" w:pos="8647"/>
        </w:tabs>
        <w:spacing w:after="120" w:line="240" w:lineRule="auto"/>
        <w:ind w:firstLine="421"/>
        <w:jc w:val="both"/>
        <w:rPr>
          <w:sz w:val="24"/>
          <w:szCs w:val="24"/>
        </w:rPr>
      </w:pPr>
      <w:r w:rsidRPr="005F583B">
        <w:rPr>
          <w:sz w:val="24"/>
          <w:szCs w:val="24"/>
        </w:rPr>
        <w:t xml:space="preserve">Kabul edilebilirlik incelemesinden sonra mahkemenin incelediği ikinci mesele </w:t>
      </w:r>
      <w:r w:rsidR="007816D3" w:rsidRPr="005F583B">
        <w:rPr>
          <w:sz w:val="24"/>
          <w:szCs w:val="24"/>
        </w:rPr>
        <w:t xml:space="preserve">internet trafiğinin topluca izlenmesi hususudur. </w:t>
      </w:r>
      <w:r w:rsidR="00324B16" w:rsidRPr="005F583B">
        <w:rPr>
          <w:sz w:val="24"/>
          <w:szCs w:val="24"/>
        </w:rPr>
        <w:t xml:space="preserve">Başvurucular, </w:t>
      </w:r>
      <w:r w:rsidR="000D478C" w:rsidRPr="005F583B">
        <w:rPr>
          <w:sz w:val="24"/>
          <w:szCs w:val="24"/>
        </w:rPr>
        <w:t>temel olarak</w:t>
      </w:r>
      <w:r w:rsidR="00324B16" w:rsidRPr="005F583B">
        <w:rPr>
          <w:sz w:val="24"/>
          <w:szCs w:val="24"/>
        </w:rPr>
        <w:t xml:space="preserve"> yapılan toplu gözetim tedbirin iç mevzuatta hukuki temelinin mevcut olduğunu kabul etmekle beraber mevzuatta yer alan</w:t>
      </w:r>
      <w:r w:rsidR="000D478C" w:rsidRPr="005F583B">
        <w:rPr>
          <w:sz w:val="24"/>
          <w:szCs w:val="24"/>
        </w:rPr>
        <w:t xml:space="preserve"> </w:t>
      </w:r>
      <w:r w:rsidR="00105E62" w:rsidRPr="005F583B">
        <w:rPr>
          <w:sz w:val="24"/>
          <w:szCs w:val="24"/>
        </w:rPr>
        <w:t>birçok</w:t>
      </w:r>
      <w:r w:rsidR="00324B16" w:rsidRPr="005F583B">
        <w:rPr>
          <w:sz w:val="24"/>
          <w:szCs w:val="24"/>
        </w:rPr>
        <w:t xml:space="preserve"> </w:t>
      </w:r>
      <w:r w:rsidR="000D478C" w:rsidRPr="005F583B">
        <w:rPr>
          <w:sz w:val="24"/>
          <w:szCs w:val="24"/>
        </w:rPr>
        <w:t>ifadenin muğlak</w:t>
      </w:r>
      <w:r w:rsidR="00324B16" w:rsidRPr="005F583B">
        <w:rPr>
          <w:sz w:val="24"/>
          <w:szCs w:val="24"/>
        </w:rPr>
        <w:t xml:space="preserve"> olduğunu ve idarenin yetkilerini kötüye kullanmasına engel olacak güvencelerin yetersiz olduğu iddia etmişlerdir. Başvuruculara göre yapılan toplu gözetim tedbiri sözleşmenin 8’inci maddesi ile güvence altına alınan haklara açık şekilde ihlal etmektedir</w:t>
      </w:r>
      <w:r w:rsidR="00E32077">
        <w:rPr>
          <w:sz w:val="24"/>
          <w:szCs w:val="24"/>
        </w:rPr>
        <w:t xml:space="preserve"> (AİHM, 2019: para. 269-271)</w:t>
      </w:r>
      <w:r w:rsidR="00324B16" w:rsidRPr="005F583B">
        <w:rPr>
          <w:sz w:val="24"/>
          <w:szCs w:val="24"/>
        </w:rPr>
        <w:t xml:space="preserve">. </w:t>
      </w:r>
    </w:p>
    <w:p w:rsidR="00FA5516" w:rsidRPr="005F583B" w:rsidRDefault="00324B16" w:rsidP="00400461">
      <w:pPr>
        <w:tabs>
          <w:tab w:val="left" w:pos="8647"/>
        </w:tabs>
        <w:spacing w:after="120" w:line="240" w:lineRule="auto"/>
        <w:ind w:firstLine="421"/>
        <w:jc w:val="both"/>
        <w:rPr>
          <w:sz w:val="24"/>
          <w:szCs w:val="24"/>
        </w:rPr>
      </w:pPr>
      <w:r w:rsidRPr="005F583B">
        <w:rPr>
          <w:sz w:val="24"/>
          <w:szCs w:val="24"/>
        </w:rPr>
        <w:t xml:space="preserve">Ayrıca başvurucular daha </w:t>
      </w:r>
      <w:r w:rsidR="00B35F98" w:rsidRPr="005F583B">
        <w:rPr>
          <w:sz w:val="24"/>
          <w:szCs w:val="24"/>
        </w:rPr>
        <w:t>önce</w:t>
      </w:r>
      <w:r w:rsidR="00105E62">
        <w:rPr>
          <w:sz w:val="24"/>
          <w:szCs w:val="24"/>
        </w:rPr>
        <w:t xml:space="preserve"> </w:t>
      </w:r>
      <w:r w:rsidRPr="005F583B">
        <w:rPr>
          <w:sz w:val="24"/>
          <w:szCs w:val="24"/>
        </w:rPr>
        <w:t xml:space="preserve">çalışmada yer verilen gizli gözetim tedbirlerinin hukuka uygun bir şekilde </w:t>
      </w:r>
      <w:r w:rsidR="000D478C" w:rsidRPr="005F583B">
        <w:rPr>
          <w:sz w:val="24"/>
          <w:szCs w:val="24"/>
        </w:rPr>
        <w:t>gerçekleştirilmesi</w:t>
      </w:r>
      <w:r w:rsidRPr="005F583B">
        <w:rPr>
          <w:sz w:val="24"/>
          <w:szCs w:val="24"/>
        </w:rPr>
        <w:t xml:space="preserve"> için iç mevzuatta yer verilmesi gereken 6 hususa dikkat çekerek, </w:t>
      </w:r>
      <w:r w:rsidR="00FA5516" w:rsidRPr="005F583B">
        <w:rPr>
          <w:sz w:val="24"/>
          <w:szCs w:val="24"/>
        </w:rPr>
        <w:t>bu hususların</w:t>
      </w:r>
      <w:r w:rsidRPr="005F583B">
        <w:rPr>
          <w:sz w:val="24"/>
          <w:szCs w:val="24"/>
        </w:rPr>
        <w:t xml:space="preserve"> yanında birtakım ek güvencelerin toplu gözetim tedbirleri için </w:t>
      </w:r>
      <w:r w:rsidR="00FA5516" w:rsidRPr="005F583B">
        <w:rPr>
          <w:sz w:val="24"/>
          <w:szCs w:val="24"/>
        </w:rPr>
        <w:t>uygulanması</w:t>
      </w:r>
      <w:r w:rsidRPr="005F583B">
        <w:rPr>
          <w:sz w:val="24"/>
          <w:szCs w:val="24"/>
        </w:rPr>
        <w:t xml:space="preserve"> gerektiğini belirtmişlerdir. Başvuruculara göre toplu gözetim tedbirleri etki ve ulaşabileceği mahremiyet </w:t>
      </w:r>
      <w:r w:rsidR="000D478C" w:rsidRPr="005F583B">
        <w:rPr>
          <w:sz w:val="24"/>
          <w:szCs w:val="24"/>
        </w:rPr>
        <w:t xml:space="preserve">ile </w:t>
      </w:r>
      <w:r w:rsidRPr="005F583B">
        <w:rPr>
          <w:sz w:val="24"/>
          <w:szCs w:val="24"/>
        </w:rPr>
        <w:t>diğer gizli gözetim tedbirlerinde ayrılmaktadır.</w:t>
      </w:r>
      <w:r w:rsidR="00AF4940" w:rsidRPr="005F583B">
        <w:rPr>
          <w:sz w:val="24"/>
          <w:szCs w:val="24"/>
        </w:rPr>
        <w:t xml:space="preserve"> Ayrıca günümüz teknolojileri dikkate alındığında bu tip gözetim metotları gerekli tedbirler alınmadığında çok ağır ihlallere yol açabilir.</w:t>
      </w:r>
      <w:r w:rsidRPr="005F583B">
        <w:rPr>
          <w:sz w:val="24"/>
          <w:szCs w:val="24"/>
        </w:rPr>
        <w:t xml:space="preserve"> </w:t>
      </w:r>
      <w:r w:rsidR="00FA5516" w:rsidRPr="005F583B">
        <w:rPr>
          <w:sz w:val="24"/>
          <w:szCs w:val="24"/>
        </w:rPr>
        <w:t>Bu sebeple toplu gözetim ancak daha önce atıf yapılan bu altı güvencenin yanında bir</w:t>
      </w:r>
      <w:r w:rsidR="00EC2932" w:rsidRPr="005F583B">
        <w:rPr>
          <w:sz w:val="24"/>
          <w:szCs w:val="24"/>
        </w:rPr>
        <w:t>takım ek</w:t>
      </w:r>
      <w:r w:rsidR="00FA5516" w:rsidRPr="005F583B">
        <w:rPr>
          <w:sz w:val="24"/>
          <w:szCs w:val="24"/>
        </w:rPr>
        <w:t xml:space="preserve"> güvencelerin bulunması ile hukuka uygun hale gelebilir.</w:t>
      </w:r>
      <w:r w:rsidR="00AF4940" w:rsidRPr="005F583B">
        <w:rPr>
          <w:sz w:val="24"/>
          <w:szCs w:val="24"/>
        </w:rPr>
        <w:t xml:space="preserve"> Özellikle toplu gözetimin tedbirinin yalnızca makul şüphe halinde kullanılmas</w:t>
      </w:r>
      <w:r w:rsidR="000D478C" w:rsidRPr="005F583B">
        <w:rPr>
          <w:sz w:val="24"/>
          <w:szCs w:val="24"/>
        </w:rPr>
        <w:t>ı, tedbir öncesinde yargısal bir onaydan geçirilmesi ve</w:t>
      </w:r>
      <w:r w:rsidR="00AF4940" w:rsidRPr="005F583B">
        <w:rPr>
          <w:sz w:val="24"/>
          <w:szCs w:val="24"/>
        </w:rPr>
        <w:t xml:space="preserve"> </w:t>
      </w:r>
      <w:r w:rsidR="008B6D04" w:rsidRPr="005F583B">
        <w:rPr>
          <w:sz w:val="24"/>
          <w:szCs w:val="24"/>
        </w:rPr>
        <w:t>tedbirin sona</w:t>
      </w:r>
      <w:r w:rsidR="00AF4940" w:rsidRPr="005F583B">
        <w:rPr>
          <w:sz w:val="24"/>
          <w:szCs w:val="24"/>
        </w:rPr>
        <w:t xml:space="preserve"> ermesine müteakip kişilere bildirim yapılması ek koşul olarak mevzuatta yer alabilir</w:t>
      </w:r>
      <w:r w:rsidR="00E32077">
        <w:rPr>
          <w:sz w:val="24"/>
          <w:szCs w:val="24"/>
        </w:rPr>
        <w:t xml:space="preserve"> (AİHM, 2019: para. 281)</w:t>
      </w:r>
      <w:r w:rsidR="00AF4940" w:rsidRPr="005F583B">
        <w:rPr>
          <w:sz w:val="24"/>
          <w:szCs w:val="24"/>
        </w:rPr>
        <w:t>.</w:t>
      </w:r>
    </w:p>
    <w:p w:rsidR="00FA5516" w:rsidRPr="005F583B" w:rsidRDefault="00646835" w:rsidP="00400461">
      <w:pPr>
        <w:tabs>
          <w:tab w:val="left" w:pos="8647"/>
        </w:tabs>
        <w:spacing w:after="120" w:line="240" w:lineRule="auto"/>
        <w:ind w:firstLine="421"/>
        <w:jc w:val="both"/>
        <w:rPr>
          <w:sz w:val="24"/>
          <w:szCs w:val="24"/>
        </w:rPr>
      </w:pPr>
      <w:r>
        <w:rPr>
          <w:sz w:val="24"/>
          <w:szCs w:val="24"/>
        </w:rPr>
        <w:t>Hükû</w:t>
      </w:r>
      <w:r w:rsidR="00FA5516" w:rsidRPr="005F583B">
        <w:rPr>
          <w:sz w:val="24"/>
          <w:szCs w:val="24"/>
        </w:rPr>
        <w:t xml:space="preserve">met yetkilileri ise </w:t>
      </w:r>
      <w:r w:rsidR="00EC2932" w:rsidRPr="005F583B">
        <w:rPr>
          <w:sz w:val="24"/>
          <w:szCs w:val="24"/>
        </w:rPr>
        <w:t xml:space="preserve">küresel bazda terörizm ve uluslararası suç örgütlerinin </w:t>
      </w:r>
      <w:r w:rsidR="000D478C" w:rsidRPr="005F583B">
        <w:rPr>
          <w:sz w:val="24"/>
          <w:szCs w:val="24"/>
        </w:rPr>
        <w:t>imkân</w:t>
      </w:r>
      <w:r w:rsidR="00EC2932" w:rsidRPr="005F583B">
        <w:rPr>
          <w:sz w:val="24"/>
          <w:szCs w:val="24"/>
        </w:rPr>
        <w:t xml:space="preserve"> ve kabiliyetlerinin her gün artması karşısında bu tür tehditlere karşı </w:t>
      </w:r>
      <w:r w:rsidR="00231573" w:rsidRPr="005F583B">
        <w:rPr>
          <w:sz w:val="24"/>
          <w:szCs w:val="24"/>
        </w:rPr>
        <w:t>koymanın ulus</w:t>
      </w:r>
      <w:r w:rsidR="000D478C" w:rsidRPr="005F583B">
        <w:rPr>
          <w:sz w:val="24"/>
          <w:szCs w:val="24"/>
        </w:rPr>
        <w:t>al</w:t>
      </w:r>
      <w:r w:rsidR="00EC2932" w:rsidRPr="005F583B">
        <w:rPr>
          <w:sz w:val="24"/>
          <w:szCs w:val="24"/>
        </w:rPr>
        <w:t xml:space="preserve"> güvenliğin </w:t>
      </w:r>
      <w:r w:rsidR="00231573" w:rsidRPr="005F583B">
        <w:rPr>
          <w:sz w:val="24"/>
          <w:szCs w:val="24"/>
        </w:rPr>
        <w:t>sağlanması için</w:t>
      </w:r>
      <w:r w:rsidR="00EC2932" w:rsidRPr="005F583B">
        <w:rPr>
          <w:sz w:val="24"/>
          <w:szCs w:val="24"/>
        </w:rPr>
        <w:t xml:space="preserve"> elzem olduğundan bahisle suç ve suçlularla mücadele maksadıyla gizli gözetim tedbirlerinin meşru şekilde kullanılması gerektiğini belirtmektedirler. </w:t>
      </w:r>
      <w:r w:rsidR="00231573" w:rsidRPr="005F583B">
        <w:rPr>
          <w:sz w:val="24"/>
          <w:szCs w:val="24"/>
        </w:rPr>
        <w:lastRenderedPageBreak/>
        <w:t>AİHM’nin içtihadı</w:t>
      </w:r>
      <w:r w:rsidR="00EC2932" w:rsidRPr="005F583B">
        <w:rPr>
          <w:sz w:val="24"/>
          <w:szCs w:val="24"/>
        </w:rPr>
        <w:t xml:space="preserve"> da gizli gözetim tedbirlerinin kullanılmasında devletlerin takdir hakkı bulunduğu yönündedir. Uluslararası suç örgütleri, teröristler ve ulusal güvenliği tehdit eden bütün unsurlar bilgi teknolojileri kaynaklarını sınırsız bir şekilde kullanırken özellikle toplu gözetim faaliyetinin bazı ek tedbirlerle kullanılması yapılan mücadeleye zarar verebilir. Bu sebeple gizli gözetim </w:t>
      </w:r>
      <w:r w:rsidR="00320946">
        <w:rPr>
          <w:sz w:val="24"/>
          <w:szCs w:val="24"/>
        </w:rPr>
        <w:t xml:space="preserve">faaliyetlerini düzenleyen mevzuatta </w:t>
      </w:r>
      <w:r w:rsidR="00EC2932" w:rsidRPr="005F583B">
        <w:rPr>
          <w:sz w:val="24"/>
          <w:szCs w:val="24"/>
        </w:rPr>
        <w:t>suistimalleri önlemeye yönelik tedbirler</w:t>
      </w:r>
      <w:r w:rsidR="00320946">
        <w:rPr>
          <w:sz w:val="24"/>
          <w:szCs w:val="24"/>
        </w:rPr>
        <w:t>in orantısız bir biçimde yer alması yapılan faaliyetlerin etkinliğine zarar verebilir</w:t>
      </w:r>
      <w:r w:rsidR="00E32077">
        <w:rPr>
          <w:sz w:val="24"/>
          <w:szCs w:val="24"/>
        </w:rPr>
        <w:t xml:space="preserve"> (AİHM, 2019: para. 282-283)</w:t>
      </w:r>
      <w:r w:rsidR="00EC2932" w:rsidRPr="005F583B">
        <w:rPr>
          <w:sz w:val="24"/>
          <w:szCs w:val="24"/>
        </w:rPr>
        <w:t>.</w:t>
      </w:r>
    </w:p>
    <w:p w:rsidR="00231573" w:rsidRPr="005F583B" w:rsidRDefault="00231573" w:rsidP="00400461">
      <w:pPr>
        <w:tabs>
          <w:tab w:val="left" w:pos="8647"/>
        </w:tabs>
        <w:spacing w:after="120" w:line="240" w:lineRule="auto"/>
        <w:ind w:firstLine="421"/>
        <w:jc w:val="both"/>
        <w:rPr>
          <w:sz w:val="24"/>
          <w:szCs w:val="24"/>
        </w:rPr>
      </w:pPr>
      <w:r w:rsidRPr="005F583B">
        <w:rPr>
          <w:sz w:val="24"/>
          <w:szCs w:val="24"/>
        </w:rPr>
        <w:t>Ayrıntılı iç mevzuat hükümleri vasıtasıyla olası suistimallerin önüne geçildiği</w:t>
      </w:r>
      <w:r w:rsidR="00320946">
        <w:rPr>
          <w:sz w:val="24"/>
          <w:szCs w:val="24"/>
        </w:rPr>
        <w:t>ni</w:t>
      </w:r>
      <w:r w:rsidR="00646835">
        <w:rPr>
          <w:sz w:val="24"/>
          <w:szCs w:val="24"/>
        </w:rPr>
        <w:t xml:space="preserve"> belirten hükû</w:t>
      </w:r>
      <w:r w:rsidRPr="005F583B">
        <w:rPr>
          <w:sz w:val="24"/>
          <w:szCs w:val="24"/>
        </w:rPr>
        <w:t xml:space="preserve">met </w:t>
      </w:r>
      <w:r w:rsidR="004E69A3" w:rsidRPr="005F583B">
        <w:rPr>
          <w:sz w:val="24"/>
          <w:szCs w:val="24"/>
        </w:rPr>
        <w:t>yetkilileri</w:t>
      </w:r>
      <w:r w:rsidRPr="005F583B">
        <w:rPr>
          <w:sz w:val="24"/>
          <w:szCs w:val="24"/>
        </w:rPr>
        <w:t>, gizli gözetim faaliyetlerinin doğası gereği tedbirler öncesi kişilere yapılacak ön b</w:t>
      </w:r>
      <w:r w:rsidR="00646835">
        <w:rPr>
          <w:sz w:val="24"/>
          <w:szCs w:val="24"/>
        </w:rPr>
        <w:t>ilgilendir</w:t>
      </w:r>
      <w:r w:rsidRPr="005F583B">
        <w:rPr>
          <w:sz w:val="24"/>
          <w:szCs w:val="24"/>
        </w:rPr>
        <w:t>menin makul olarak nitelenemeyeceğin</w:t>
      </w:r>
      <w:r w:rsidR="00320946">
        <w:rPr>
          <w:sz w:val="24"/>
          <w:szCs w:val="24"/>
        </w:rPr>
        <w:t>e</w:t>
      </w:r>
      <w:r w:rsidRPr="005F583B">
        <w:rPr>
          <w:sz w:val="24"/>
          <w:szCs w:val="24"/>
        </w:rPr>
        <w:t>, bu konuda ma</w:t>
      </w:r>
      <w:r w:rsidR="004E69A3" w:rsidRPr="005F583B">
        <w:rPr>
          <w:sz w:val="24"/>
          <w:szCs w:val="24"/>
        </w:rPr>
        <w:t>hkemenin</w:t>
      </w:r>
      <w:r w:rsidR="000D478C" w:rsidRPr="005F583B">
        <w:rPr>
          <w:sz w:val="24"/>
          <w:szCs w:val="24"/>
        </w:rPr>
        <w:t xml:space="preserve"> </w:t>
      </w:r>
      <w:r w:rsidR="00576FDE" w:rsidRPr="005F583B">
        <w:rPr>
          <w:sz w:val="24"/>
          <w:szCs w:val="24"/>
        </w:rPr>
        <w:t>de kararlarının</w:t>
      </w:r>
      <w:r w:rsidRPr="005F583B">
        <w:rPr>
          <w:sz w:val="24"/>
          <w:szCs w:val="24"/>
        </w:rPr>
        <w:t xml:space="preserve"> mevcut olduğu belirtirken, iç mevzuatta düzenlenen IPT gibi kurumların bu noktadaki eksikliği telafi ettiğin</w:t>
      </w:r>
      <w:r w:rsidR="00320946">
        <w:rPr>
          <w:sz w:val="24"/>
          <w:szCs w:val="24"/>
        </w:rPr>
        <w:t>e dikkat çekmektedir</w:t>
      </w:r>
      <w:r w:rsidR="00E32077">
        <w:rPr>
          <w:sz w:val="24"/>
          <w:szCs w:val="24"/>
        </w:rPr>
        <w:t xml:space="preserve"> (AİHM, 2019: para. 292-294)</w:t>
      </w:r>
      <w:r w:rsidRPr="005F583B">
        <w:rPr>
          <w:sz w:val="24"/>
          <w:szCs w:val="24"/>
        </w:rPr>
        <w:t>.</w:t>
      </w:r>
    </w:p>
    <w:p w:rsidR="00231573" w:rsidRPr="005F583B" w:rsidRDefault="004D4378" w:rsidP="00400461">
      <w:pPr>
        <w:tabs>
          <w:tab w:val="left" w:pos="8647"/>
        </w:tabs>
        <w:spacing w:after="120" w:line="240" w:lineRule="auto"/>
        <w:ind w:firstLine="421"/>
        <w:jc w:val="both"/>
        <w:rPr>
          <w:sz w:val="24"/>
          <w:szCs w:val="24"/>
        </w:rPr>
      </w:pPr>
      <w:r w:rsidRPr="005F583B">
        <w:rPr>
          <w:sz w:val="24"/>
          <w:szCs w:val="24"/>
        </w:rPr>
        <w:t>Mahkeme</w:t>
      </w:r>
      <w:r w:rsidR="005A59D8">
        <w:rPr>
          <w:sz w:val="24"/>
          <w:szCs w:val="24"/>
        </w:rPr>
        <w:t>nin</w:t>
      </w:r>
      <w:r w:rsidR="00470F4F" w:rsidRPr="005F583B">
        <w:rPr>
          <w:sz w:val="24"/>
          <w:szCs w:val="24"/>
        </w:rPr>
        <w:t xml:space="preserve"> daha önceki kararlarında</w:t>
      </w:r>
      <w:r w:rsidR="00320946">
        <w:rPr>
          <w:sz w:val="24"/>
          <w:szCs w:val="24"/>
        </w:rPr>
        <w:t xml:space="preserve"> </w:t>
      </w:r>
      <w:r w:rsidR="00470F4F" w:rsidRPr="005F583B">
        <w:rPr>
          <w:sz w:val="24"/>
          <w:szCs w:val="24"/>
        </w:rPr>
        <w:t>belirttiği üzere gizli gözetim tedbirlerinin kullanılması</w:t>
      </w:r>
      <w:r w:rsidR="00320946">
        <w:rPr>
          <w:sz w:val="24"/>
          <w:szCs w:val="24"/>
        </w:rPr>
        <w:t>,</w:t>
      </w:r>
      <w:r w:rsidR="00470F4F" w:rsidRPr="005F583B">
        <w:rPr>
          <w:sz w:val="24"/>
          <w:szCs w:val="24"/>
        </w:rPr>
        <w:t xml:space="preserve"> meşru amaca hizmet etmesi koşuluyla sözleşmeye taraf devletlerin takdir hakkı </w:t>
      </w:r>
      <w:r w:rsidR="00046CB3" w:rsidRPr="005F583B">
        <w:rPr>
          <w:sz w:val="24"/>
          <w:szCs w:val="24"/>
        </w:rPr>
        <w:t>içerisinde</w:t>
      </w:r>
      <w:r w:rsidR="00470F4F" w:rsidRPr="005F583B">
        <w:rPr>
          <w:sz w:val="24"/>
          <w:szCs w:val="24"/>
        </w:rPr>
        <w:t xml:space="preserve"> kabul </w:t>
      </w:r>
      <w:r w:rsidR="00046CB3" w:rsidRPr="005F583B">
        <w:rPr>
          <w:sz w:val="24"/>
          <w:szCs w:val="24"/>
        </w:rPr>
        <w:t xml:space="preserve">edilmektedir. </w:t>
      </w:r>
      <w:r w:rsidR="00AF4940" w:rsidRPr="005F583B">
        <w:rPr>
          <w:sz w:val="24"/>
          <w:szCs w:val="24"/>
        </w:rPr>
        <w:t>Dolayısıyla mahkeme</w:t>
      </w:r>
      <w:r w:rsidR="00320946">
        <w:rPr>
          <w:sz w:val="24"/>
          <w:szCs w:val="24"/>
        </w:rPr>
        <w:t>,</w:t>
      </w:r>
      <w:r w:rsidR="00AF4940" w:rsidRPr="005F583B">
        <w:rPr>
          <w:sz w:val="24"/>
          <w:szCs w:val="24"/>
        </w:rPr>
        <w:t xml:space="preserve"> belirli hukuki düzenlemelerin yapılmış olması şartıyla toplu gözetim tedbirinin sözleşmede güvence altına alınan hakları ihlal etmeyeceğini ifade etmiştir.</w:t>
      </w:r>
      <w:r w:rsidR="00727094" w:rsidRPr="005F583B">
        <w:rPr>
          <w:sz w:val="24"/>
          <w:szCs w:val="24"/>
        </w:rPr>
        <w:t xml:space="preserve"> </w:t>
      </w:r>
      <w:r w:rsidR="00046CB3" w:rsidRPr="005F583B">
        <w:rPr>
          <w:sz w:val="24"/>
          <w:szCs w:val="24"/>
        </w:rPr>
        <w:t>Ayrıca</w:t>
      </w:r>
      <w:r w:rsidR="00470F4F" w:rsidRPr="005F583B">
        <w:rPr>
          <w:sz w:val="24"/>
          <w:szCs w:val="24"/>
        </w:rPr>
        <w:t xml:space="preserve"> mahkeme bu kararında meşru amaçları örneklendirmiş, </w:t>
      </w:r>
      <w:r w:rsidR="00046CB3" w:rsidRPr="005F583B">
        <w:rPr>
          <w:sz w:val="24"/>
          <w:szCs w:val="24"/>
        </w:rPr>
        <w:t>terörizmin,</w:t>
      </w:r>
      <w:r w:rsidR="00470F4F" w:rsidRPr="005F583B">
        <w:rPr>
          <w:sz w:val="24"/>
          <w:szCs w:val="24"/>
        </w:rPr>
        <w:t xml:space="preserve"> uyuşturucu ve insan ticaretinin önlenmesi, çocukların cinsel istismarının önüne geçilmesi ve siber suçlarla mücadele</w:t>
      </w:r>
      <w:r w:rsidR="005A59D8">
        <w:rPr>
          <w:sz w:val="24"/>
          <w:szCs w:val="24"/>
        </w:rPr>
        <w:t xml:space="preserve"> için</w:t>
      </w:r>
      <w:r w:rsidR="00046CB3" w:rsidRPr="005F583B">
        <w:rPr>
          <w:sz w:val="24"/>
          <w:szCs w:val="24"/>
        </w:rPr>
        <w:t xml:space="preserve"> gizli gözetim tedbirlerinin uygulanması</w:t>
      </w:r>
      <w:r w:rsidR="005A59D8">
        <w:rPr>
          <w:sz w:val="24"/>
          <w:szCs w:val="24"/>
        </w:rPr>
        <w:t>nı</w:t>
      </w:r>
      <w:r w:rsidR="00046CB3" w:rsidRPr="005F583B">
        <w:rPr>
          <w:sz w:val="24"/>
          <w:szCs w:val="24"/>
        </w:rPr>
        <w:t xml:space="preserve"> meşru amaç olarak nitelendirmiştir. Bununla birlikte böyle bir yetkinin titizlikle düzenlenme</w:t>
      </w:r>
      <w:r w:rsidR="009D19B9" w:rsidRPr="005F583B">
        <w:rPr>
          <w:sz w:val="24"/>
          <w:szCs w:val="24"/>
        </w:rPr>
        <w:t>diği</w:t>
      </w:r>
      <w:r w:rsidR="00046CB3" w:rsidRPr="005F583B">
        <w:rPr>
          <w:sz w:val="24"/>
          <w:szCs w:val="24"/>
        </w:rPr>
        <w:t xml:space="preserve"> takdirde ortaya çıkarabileceği sakıncalar da açıktır.</w:t>
      </w:r>
      <w:r w:rsidR="00AF4940" w:rsidRPr="005F583B">
        <w:rPr>
          <w:sz w:val="24"/>
          <w:szCs w:val="24"/>
        </w:rPr>
        <w:t xml:space="preserve"> Bu nedenle </w:t>
      </w:r>
      <w:r w:rsidR="00320946">
        <w:rPr>
          <w:sz w:val="24"/>
          <w:szCs w:val="24"/>
        </w:rPr>
        <w:t>d</w:t>
      </w:r>
      <w:r w:rsidR="00AF4940" w:rsidRPr="005F583B">
        <w:rPr>
          <w:sz w:val="24"/>
          <w:szCs w:val="24"/>
        </w:rPr>
        <w:t xml:space="preserve">evletler, ulusal güvenliği korumak için ne tür bir müdahale rejimi gerektiğine karar vermede geniş bir takdir yetkisine sahip olsalar </w:t>
      </w:r>
      <w:r w:rsidR="008B6D04" w:rsidRPr="005F583B">
        <w:rPr>
          <w:sz w:val="24"/>
          <w:szCs w:val="24"/>
        </w:rPr>
        <w:t>da</w:t>
      </w:r>
      <w:r w:rsidR="00AF4940" w:rsidRPr="005F583B">
        <w:rPr>
          <w:sz w:val="24"/>
          <w:szCs w:val="24"/>
        </w:rPr>
        <w:t xml:space="preserve"> söz konusu tedbiri işleten idareye tanınan takdir yetkisi mutlaka daha dar olmalıdır</w:t>
      </w:r>
      <w:r w:rsidR="00E32077">
        <w:rPr>
          <w:sz w:val="24"/>
          <w:szCs w:val="24"/>
        </w:rPr>
        <w:t xml:space="preserve"> (AİHM, 2019: para. 314-315)</w:t>
      </w:r>
      <w:r w:rsidR="00AF4940" w:rsidRPr="005F583B">
        <w:rPr>
          <w:sz w:val="24"/>
          <w:szCs w:val="24"/>
        </w:rPr>
        <w:t>.</w:t>
      </w:r>
      <w:r w:rsidR="00046CB3" w:rsidRPr="005F583B">
        <w:rPr>
          <w:sz w:val="24"/>
          <w:szCs w:val="24"/>
        </w:rPr>
        <w:t xml:space="preserve"> </w:t>
      </w:r>
    </w:p>
    <w:p w:rsidR="00191648" w:rsidRPr="005F583B" w:rsidRDefault="00A66500" w:rsidP="00400461">
      <w:pPr>
        <w:tabs>
          <w:tab w:val="left" w:pos="8647"/>
        </w:tabs>
        <w:spacing w:after="120" w:line="240" w:lineRule="auto"/>
        <w:ind w:firstLine="421"/>
        <w:jc w:val="both"/>
        <w:rPr>
          <w:sz w:val="24"/>
          <w:szCs w:val="24"/>
        </w:rPr>
      </w:pPr>
      <w:r w:rsidRPr="005F583B">
        <w:rPr>
          <w:sz w:val="24"/>
          <w:szCs w:val="24"/>
        </w:rPr>
        <w:t xml:space="preserve">Daha önce gizli gözetim tedbirlerine ilişkin kararlarında yer alan kanunilik incelemesi </w:t>
      </w:r>
      <w:r w:rsidR="007B16A6" w:rsidRPr="005F583B">
        <w:rPr>
          <w:sz w:val="24"/>
          <w:szCs w:val="24"/>
        </w:rPr>
        <w:t xml:space="preserve">esnasında kullandığı 6 koşula değinen mahkeme, başvurucuların toplu gözetimin niteliği sebebiyle bahsedilen 6 koşula ek </w:t>
      </w:r>
      <w:r w:rsidR="00B9441A" w:rsidRPr="005F583B">
        <w:rPr>
          <w:sz w:val="24"/>
          <w:szCs w:val="24"/>
        </w:rPr>
        <w:t>birtakım</w:t>
      </w:r>
      <w:r w:rsidR="007B16A6" w:rsidRPr="005F583B">
        <w:rPr>
          <w:sz w:val="24"/>
          <w:szCs w:val="24"/>
        </w:rPr>
        <w:t xml:space="preserve"> kriterler getirilmesi görüşünü ise uygun görmemiştir. Mahkemeye göre her ne kadar bilgi sistemlerindeki gelişmeler ve toplu gözetimin kişilerin özel hayatlarını çok daha ayrıntılı bir şekilde temas etme potansiyeli </w:t>
      </w:r>
      <w:r w:rsidR="00B9441A" w:rsidRPr="005F583B">
        <w:rPr>
          <w:sz w:val="24"/>
          <w:szCs w:val="24"/>
        </w:rPr>
        <w:t>inkâr</w:t>
      </w:r>
      <w:r w:rsidR="007B16A6" w:rsidRPr="005F583B">
        <w:rPr>
          <w:sz w:val="24"/>
          <w:szCs w:val="24"/>
        </w:rPr>
        <w:t xml:space="preserve"> edilemese de teknolojideki gelişmelerin diğer gizli gözetim yöntemlerinin </w:t>
      </w:r>
      <w:r w:rsidR="00B9441A" w:rsidRPr="005F583B">
        <w:rPr>
          <w:sz w:val="24"/>
          <w:szCs w:val="24"/>
        </w:rPr>
        <w:t>imkân</w:t>
      </w:r>
      <w:r w:rsidR="007B16A6" w:rsidRPr="005F583B">
        <w:rPr>
          <w:sz w:val="24"/>
          <w:szCs w:val="24"/>
        </w:rPr>
        <w:t xml:space="preserve"> ve kabiliyetlerini de aynı şekilde geliştirdiği</w:t>
      </w:r>
      <w:r w:rsidR="00320946">
        <w:rPr>
          <w:sz w:val="24"/>
          <w:szCs w:val="24"/>
        </w:rPr>
        <w:t>,</w:t>
      </w:r>
      <w:r w:rsidR="007B16A6" w:rsidRPr="005F583B">
        <w:rPr>
          <w:sz w:val="24"/>
          <w:szCs w:val="24"/>
        </w:rPr>
        <w:t xml:space="preserve"> bu sebeple peşinen toplu gözetimin diğer gizli gözetim yöntemlerinden daha tehlikeli olduğu kabulü isabetli olmayacaktır</w:t>
      </w:r>
      <w:r w:rsidR="00E32077">
        <w:rPr>
          <w:sz w:val="24"/>
          <w:szCs w:val="24"/>
        </w:rPr>
        <w:t xml:space="preserve"> (AİHM, 2019: para. 316)</w:t>
      </w:r>
      <w:r w:rsidR="007B16A6" w:rsidRPr="005F583B">
        <w:rPr>
          <w:sz w:val="24"/>
          <w:szCs w:val="24"/>
        </w:rPr>
        <w:t>.</w:t>
      </w:r>
    </w:p>
    <w:p w:rsidR="00B740A1" w:rsidRPr="005F583B" w:rsidRDefault="00191648" w:rsidP="00400461">
      <w:pPr>
        <w:tabs>
          <w:tab w:val="left" w:pos="8647"/>
        </w:tabs>
        <w:spacing w:after="120" w:line="240" w:lineRule="auto"/>
        <w:ind w:firstLine="421"/>
        <w:jc w:val="both"/>
        <w:rPr>
          <w:sz w:val="24"/>
          <w:szCs w:val="24"/>
        </w:rPr>
      </w:pPr>
      <w:r w:rsidRPr="005F583B">
        <w:rPr>
          <w:sz w:val="24"/>
          <w:szCs w:val="24"/>
        </w:rPr>
        <w:lastRenderedPageBreak/>
        <w:t xml:space="preserve">Ayrıca mahkeme </w:t>
      </w:r>
      <w:r w:rsidR="00B9441A" w:rsidRPr="005F583B">
        <w:rPr>
          <w:sz w:val="24"/>
          <w:szCs w:val="24"/>
        </w:rPr>
        <w:t>başvurucuların toplu</w:t>
      </w:r>
      <w:r w:rsidR="00FF2CA8" w:rsidRPr="005F583B">
        <w:rPr>
          <w:sz w:val="24"/>
          <w:szCs w:val="24"/>
        </w:rPr>
        <w:t xml:space="preserve"> gözetim faaliyetinin bir mahkeme kararı ile başlamasının idare tarafından yapılabilecek potansiyel </w:t>
      </w:r>
      <w:r w:rsidRPr="005F583B">
        <w:rPr>
          <w:sz w:val="24"/>
          <w:szCs w:val="24"/>
        </w:rPr>
        <w:t>suistimallere</w:t>
      </w:r>
      <w:r w:rsidR="00FF2CA8" w:rsidRPr="005F583B">
        <w:rPr>
          <w:sz w:val="24"/>
          <w:szCs w:val="24"/>
        </w:rPr>
        <w:t xml:space="preserve"> karşı </w:t>
      </w:r>
      <w:r w:rsidR="00B740A1" w:rsidRPr="005F583B">
        <w:rPr>
          <w:sz w:val="24"/>
          <w:szCs w:val="24"/>
        </w:rPr>
        <w:t xml:space="preserve">tek </w:t>
      </w:r>
      <w:r w:rsidR="00FF2CA8" w:rsidRPr="005F583B">
        <w:rPr>
          <w:sz w:val="24"/>
          <w:szCs w:val="24"/>
        </w:rPr>
        <w:t>etkili bir güvence niteliğinde olduğu fikrine katıl</w:t>
      </w:r>
      <w:r w:rsidR="000D478C" w:rsidRPr="005F583B">
        <w:rPr>
          <w:sz w:val="24"/>
          <w:szCs w:val="24"/>
        </w:rPr>
        <w:t>ma</w:t>
      </w:r>
      <w:r w:rsidR="00FF2CA8" w:rsidRPr="005F583B">
        <w:rPr>
          <w:sz w:val="24"/>
          <w:szCs w:val="24"/>
        </w:rPr>
        <w:t>maktadır.</w:t>
      </w:r>
      <w:r w:rsidR="000D478C" w:rsidRPr="005F583B">
        <w:rPr>
          <w:sz w:val="24"/>
          <w:szCs w:val="24"/>
        </w:rPr>
        <w:t xml:space="preserve"> M</w:t>
      </w:r>
      <w:r w:rsidR="00FF2CA8" w:rsidRPr="005F583B">
        <w:rPr>
          <w:sz w:val="24"/>
          <w:szCs w:val="24"/>
        </w:rPr>
        <w:t xml:space="preserve">ahkemeye göre tedbir öncesi yapılacak yargı </w:t>
      </w:r>
      <w:r w:rsidRPr="005F583B">
        <w:rPr>
          <w:sz w:val="24"/>
          <w:szCs w:val="24"/>
        </w:rPr>
        <w:t>denetimi özel</w:t>
      </w:r>
      <w:r w:rsidR="00FF2CA8" w:rsidRPr="005F583B">
        <w:rPr>
          <w:sz w:val="24"/>
          <w:szCs w:val="24"/>
        </w:rPr>
        <w:t xml:space="preserve"> hayatın korunması için en iyi tedbirlerin başında gelebilir. Ancak mahkeme daha önce kararlarına dikkat çekerek yargı denetimin bütün problemleri çözemeyeceği gibi bu tip bir denetimin bulunmaması da kesin olarak tedbirler karşısında kişilerin tamamen korumasız kaldığı anlamına gelmemektedir.  Mahkemeye </w:t>
      </w:r>
      <w:r w:rsidRPr="005F583B">
        <w:rPr>
          <w:sz w:val="24"/>
          <w:szCs w:val="24"/>
        </w:rPr>
        <w:t xml:space="preserve">daha önce de tedbirler uygulanmadan önce yargısal denetim uygulanmayan bazı devletlerin toplu gözetim tedbirlerinin sözleşmede belirtilen koşulları sağladığını kabul </w:t>
      </w:r>
      <w:r w:rsidR="00BB3648" w:rsidRPr="005F583B">
        <w:rPr>
          <w:sz w:val="24"/>
          <w:szCs w:val="24"/>
        </w:rPr>
        <w:t>etmiştir</w:t>
      </w:r>
      <w:r w:rsidR="00BB3648">
        <w:rPr>
          <w:sz w:val="24"/>
          <w:szCs w:val="24"/>
        </w:rPr>
        <w:t xml:space="preserve"> (</w:t>
      </w:r>
      <w:r w:rsidR="00E32077">
        <w:rPr>
          <w:sz w:val="24"/>
          <w:szCs w:val="24"/>
        </w:rPr>
        <w:t>AİHM, 2019: para. 317-320)</w:t>
      </w:r>
      <w:r w:rsidRPr="005F583B">
        <w:rPr>
          <w:sz w:val="24"/>
          <w:szCs w:val="24"/>
        </w:rPr>
        <w:t>.</w:t>
      </w:r>
    </w:p>
    <w:p w:rsidR="00B740A1" w:rsidRPr="005F583B" w:rsidRDefault="00B740A1" w:rsidP="00400461">
      <w:pPr>
        <w:tabs>
          <w:tab w:val="left" w:pos="8647"/>
        </w:tabs>
        <w:spacing w:after="120" w:line="240" w:lineRule="auto"/>
        <w:ind w:firstLine="421"/>
        <w:jc w:val="both"/>
        <w:rPr>
          <w:sz w:val="24"/>
          <w:szCs w:val="24"/>
        </w:rPr>
      </w:pPr>
      <w:r w:rsidRPr="005F583B">
        <w:rPr>
          <w:sz w:val="24"/>
          <w:szCs w:val="24"/>
        </w:rPr>
        <w:t>Ancak mahkemenin bütün üyeleri bu görüşe</w:t>
      </w:r>
      <w:r w:rsidR="00B3129F">
        <w:rPr>
          <w:sz w:val="24"/>
          <w:szCs w:val="24"/>
        </w:rPr>
        <w:t xml:space="preserve"> katılmamaktadır</w:t>
      </w:r>
      <w:r w:rsidRPr="005F583B">
        <w:rPr>
          <w:sz w:val="24"/>
          <w:szCs w:val="24"/>
        </w:rPr>
        <w:t xml:space="preserve">.  Davanın yargıçlarından </w:t>
      </w:r>
      <w:r w:rsidR="000D478C" w:rsidRPr="005F583B">
        <w:rPr>
          <w:sz w:val="24"/>
          <w:szCs w:val="24"/>
        </w:rPr>
        <w:t>Koskelo ve</w:t>
      </w:r>
      <w:r w:rsidRPr="005F583B">
        <w:rPr>
          <w:sz w:val="24"/>
          <w:szCs w:val="24"/>
        </w:rPr>
        <w:t xml:space="preserve"> Turkov</w:t>
      </w:r>
      <w:r w:rsidR="00B9441A" w:rsidRPr="005F583B">
        <w:rPr>
          <w:sz w:val="24"/>
          <w:szCs w:val="24"/>
        </w:rPr>
        <w:t>i</w:t>
      </w:r>
      <w:r w:rsidRPr="005F583B">
        <w:rPr>
          <w:sz w:val="24"/>
          <w:szCs w:val="24"/>
        </w:rPr>
        <w:t xml:space="preserve">ć kaleme aldıkları karşı oy yazısında bilgi </w:t>
      </w:r>
      <w:r w:rsidR="00C71C2C" w:rsidRPr="005F583B">
        <w:rPr>
          <w:sz w:val="24"/>
          <w:szCs w:val="24"/>
        </w:rPr>
        <w:t>teknolojilerinin</w:t>
      </w:r>
      <w:r w:rsidRPr="005F583B">
        <w:rPr>
          <w:sz w:val="24"/>
          <w:szCs w:val="24"/>
        </w:rPr>
        <w:t xml:space="preserve"> insanlarının yaşam şeklini büyük oranda değiştirdiğini ve toplu gözetimle diğer gizli </w:t>
      </w:r>
      <w:r w:rsidR="00C71C2C" w:rsidRPr="005F583B">
        <w:rPr>
          <w:sz w:val="24"/>
          <w:szCs w:val="24"/>
        </w:rPr>
        <w:t>gözetim</w:t>
      </w:r>
      <w:r w:rsidRPr="005F583B">
        <w:rPr>
          <w:sz w:val="24"/>
          <w:szCs w:val="24"/>
        </w:rPr>
        <w:t xml:space="preserve"> tedbirleri arasındaki farkın elde edilen bilginin hacminden ziyade bu derinleşme </w:t>
      </w:r>
      <w:r w:rsidR="00C71C2C" w:rsidRPr="005F583B">
        <w:rPr>
          <w:sz w:val="24"/>
          <w:szCs w:val="24"/>
        </w:rPr>
        <w:t>sebebiyle</w:t>
      </w:r>
      <w:r w:rsidRPr="005F583B">
        <w:rPr>
          <w:sz w:val="24"/>
          <w:szCs w:val="24"/>
        </w:rPr>
        <w:t xml:space="preserve"> dikkate </w:t>
      </w:r>
      <w:r w:rsidR="00C71C2C" w:rsidRPr="005F583B">
        <w:rPr>
          <w:sz w:val="24"/>
          <w:szCs w:val="24"/>
        </w:rPr>
        <w:t>değer</w:t>
      </w:r>
      <w:r w:rsidRPr="005F583B">
        <w:rPr>
          <w:sz w:val="24"/>
          <w:szCs w:val="24"/>
        </w:rPr>
        <w:t xml:space="preserve"> olduğunu belirtmektedir. Bu kapsamda toplu gözetim </w:t>
      </w:r>
      <w:r w:rsidR="009368AE">
        <w:rPr>
          <w:sz w:val="24"/>
          <w:szCs w:val="24"/>
        </w:rPr>
        <w:t xml:space="preserve">esnasında </w:t>
      </w:r>
      <w:r w:rsidRPr="005F583B">
        <w:rPr>
          <w:sz w:val="24"/>
          <w:szCs w:val="24"/>
        </w:rPr>
        <w:t>gizli gözetim için kullanılan tedbirlerin ötesine geçilmeli ve tedbir öncesi yargısal denetim vazgeçilmez bir koşul olarak değerlendirilmelidir</w:t>
      </w:r>
      <w:r w:rsidR="00E32077">
        <w:rPr>
          <w:sz w:val="24"/>
          <w:szCs w:val="24"/>
        </w:rPr>
        <w:t xml:space="preserve"> (AİHM, 2019: 189-191)</w:t>
      </w:r>
      <w:r w:rsidRPr="005F583B">
        <w:rPr>
          <w:sz w:val="24"/>
          <w:szCs w:val="24"/>
        </w:rPr>
        <w:t>.</w:t>
      </w:r>
    </w:p>
    <w:p w:rsidR="00324B16" w:rsidRPr="005F583B" w:rsidRDefault="00191648" w:rsidP="00400461">
      <w:pPr>
        <w:tabs>
          <w:tab w:val="left" w:pos="8647"/>
        </w:tabs>
        <w:spacing w:after="120" w:line="240" w:lineRule="auto"/>
        <w:ind w:firstLine="421"/>
        <w:jc w:val="both"/>
        <w:rPr>
          <w:sz w:val="24"/>
          <w:szCs w:val="24"/>
        </w:rPr>
      </w:pPr>
      <w:r w:rsidRPr="005F583B">
        <w:rPr>
          <w:sz w:val="24"/>
          <w:szCs w:val="24"/>
        </w:rPr>
        <w:t xml:space="preserve"> Bu kapsamda kanunilik incelemesi için yeni bir koşul ortaya koymayan mahkeme daha önceden ortaya koyduğu 6 koşul üzerinden Birleşik Krallık </w:t>
      </w:r>
      <w:r w:rsidR="009368AE">
        <w:rPr>
          <w:sz w:val="24"/>
          <w:szCs w:val="24"/>
        </w:rPr>
        <w:t>t</w:t>
      </w:r>
      <w:r w:rsidRPr="005F583B">
        <w:rPr>
          <w:sz w:val="24"/>
          <w:szCs w:val="24"/>
        </w:rPr>
        <w:t xml:space="preserve">oplu </w:t>
      </w:r>
      <w:r w:rsidR="009368AE">
        <w:rPr>
          <w:sz w:val="24"/>
          <w:szCs w:val="24"/>
        </w:rPr>
        <w:t>g</w:t>
      </w:r>
      <w:r w:rsidRPr="005F583B">
        <w:rPr>
          <w:sz w:val="24"/>
          <w:szCs w:val="24"/>
        </w:rPr>
        <w:t>özetim mevzuatını incelemiştir</w:t>
      </w:r>
      <w:r w:rsidR="00FA019C">
        <w:rPr>
          <w:sz w:val="24"/>
          <w:szCs w:val="24"/>
        </w:rPr>
        <w:t xml:space="preserve"> (AİHM, 2019: para. 320)</w:t>
      </w:r>
      <w:r w:rsidRPr="005F583B">
        <w:rPr>
          <w:sz w:val="24"/>
          <w:szCs w:val="24"/>
        </w:rPr>
        <w:t>.</w:t>
      </w:r>
      <w:r w:rsidR="000D478C" w:rsidRPr="005F583B">
        <w:rPr>
          <w:sz w:val="24"/>
          <w:szCs w:val="24"/>
        </w:rPr>
        <w:t xml:space="preserve"> </w:t>
      </w:r>
      <w:r w:rsidR="002C6E9B" w:rsidRPr="005F583B">
        <w:rPr>
          <w:sz w:val="24"/>
          <w:szCs w:val="24"/>
        </w:rPr>
        <w:t xml:space="preserve">Bu noktada </w:t>
      </w:r>
      <w:r w:rsidR="005308E1" w:rsidRPr="005F583B">
        <w:rPr>
          <w:sz w:val="24"/>
          <w:szCs w:val="24"/>
        </w:rPr>
        <w:t>birtakım</w:t>
      </w:r>
      <w:r w:rsidR="002C6E9B" w:rsidRPr="005F583B">
        <w:rPr>
          <w:sz w:val="24"/>
          <w:szCs w:val="24"/>
        </w:rPr>
        <w:t xml:space="preserve"> eksiklikleri tespit eden mahkeme, Birleşik Krallık mevzuatındaki bu g</w:t>
      </w:r>
      <w:r w:rsidR="000D478C" w:rsidRPr="005F583B">
        <w:rPr>
          <w:sz w:val="24"/>
          <w:szCs w:val="24"/>
        </w:rPr>
        <w:t>ü</w:t>
      </w:r>
      <w:r w:rsidR="002C6E9B" w:rsidRPr="005F583B">
        <w:rPr>
          <w:sz w:val="24"/>
          <w:szCs w:val="24"/>
        </w:rPr>
        <w:t xml:space="preserve">vence eksikliklerini göstererek taraf devletin toplu gözetim prosedürünün </w:t>
      </w:r>
      <w:r w:rsidR="00BD7FC9" w:rsidRPr="005F583B">
        <w:rPr>
          <w:sz w:val="24"/>
          <w:szCs w:val="24"/>
        </w:rPr>
        <w:t>sözleşmenin 8’inci maddesinde güvence altına alınan hakları ihlal ettiğine hükmetmiştir</w:t>
      </w:r>
      <w:r w:rsidR="00FA019C">
        <w:rPr>
          <w:sz w:val="24"/>
          <w:szCs w:val="24"/>
        </w:rPr>
        <w:t xml:space="preserve"> (AİHM, 2019: para. 387-388)</w:t>
      </w:r>
      <w:r w:rsidR="00BD7FC9" w:rsidRPr="005F583B">
        <w:rPr>
          <w:sz w:val="24"/>
          <w:szCs w:val="24"/>
        </w:rPr>
        <w:t>.</w:t>
      </w:r>
    </w:p>
    <w:p w:rsidR="00BD7FC9" w:rsidRPr="005F583B" w:rsidRDefault="00BD7FC9" w:rsidP="00400461">
      <w:pPr>
        <w:tabs>
          <w:tab w:val="left" w:pos="8647"/>
        </w:tabs>
        <w:spacing w:after="120" w:line="240" w:lineRule="auto"/>
        <w:ind w:firstLine="421"/>
        <w:jc w:val="both"/>
        <w:rPr>
          <w:sz w:val="24"/>
          <w:szCs w:val="24"/>
        </w:rPr>
      </w:pPr>
      <w:r w:rsidRPr="008A079A">
        <w:rPr>
          <w:sz w:val="24"/>
          <w:szCs w:val="24"/>
        </w:rPr>
        <w:t xml:space="preserve">Birleşik Krallık mevzuatındaki eksiklikler </w:t>
      </w:r>
      <w:r w:rsidR="001358AF" w:rsidRPr="008A079A">
        <w:rPr>
          <w:sz w:val="24"/>
          <w:szCs w:val="24"/>
        </w:rPr>
        <w:t xml:space="preserve">şu şekilde </w:t>
      </w:r>
      <w:r w:rsidR="00EF37A3" w:rsidRPr="008A079A">
        <w:rPr>
          <w:sz w:val="24"/>
          <w:szCs w:val="24"/>
        </w:rPr>
        <w:t>özetlenebilir</w:t>
      </w:r>
      <w:r w:rsidR="005B3004" w:rsidRPr="008A079A">
        <w:rPr>
          <w:sz w:val="24"/>
          <w:szCs w:val="24"/>
        </w:rPr>
        <w:t>:</w:t>
      </w:r>
      <w:r w:rsidR="00EF37A3" w:rsidRPr="008A079A">
        <w:rPr>
          <w:sz w:val="24"/>
          <w:szCs w:val="24"/>
        </w:rPr>
        <w:t xml:space="preserve"> </w:t>
      </w:r>
      <w:r w:rsidR="006D0717" w:rsidRPr="008A079A">
        <w:rPr>
          <w:sz w:val="24"/>
          <w:szCs w:val="24"/>
        </w:rPr>
        <w:t>Kitle gözetim faaliyeti, verilerin internet ağından elde edilmesi, filtrelenmesi, arama yapılarak ilgili verilerin bir araya getirilmesi ve analist tarafından incelenmesi olarak 4 aşama olarak</w:t>
      </w:r>
      <w:r w:rsidR="008A079A">
        <w:rPr>
          <w:sz w:val="24"/>
          <w:szCs w:val="24"/>
        </w:rPr>
        <w:t xml:space="preserve"> değerlendirilebilir. Söz konusu 4 aşamanın da ayrı ayrı olarak sözleşmeyle güvence altına alınmış olan özel hayatın gizliliğine ve kişisel verilerin mahremiyetine açıkça temas ettiğinden şüphe bulunmamaktadır. Özellikle </w:t>
      </w:r>
      <w:r w:rsidR="006D0717" w:rsidRPr="008A079A">
        <w:rPr>
          <w:sz w:val="24"/>
          <w:szCs w:val="24"/>
        </w:rPr>
        <w:t xml:space="preserve">verinin filtrelenmesi ve aranmasına ilişkin kriterlerin keyfi bir şekilde belirlenmesine </w:t>
      </w:r>
      <w:r w:rsidR="00646835">
        <w:rPr>
          <w:sz w:val="24"/>
          <w:szCs w:val="24"/>
        </w:rPr>
        <w:t>ma</w:t>
      </w:r>
      <w:r w:rsidR="00EF37A3" w:rsidRPr="008A079A">
        <w:rPr>
          <w:sz w:val="24"/>
          <w:szCs w:val="24"/>
        </w:rPr>
        <w:t>ni</w:t>
      </w:r>
      <w:r w:rsidR="006D0717" w:rsidRPr="008A079A">
        <w:rPr>
          <w:sz w:val="24"/>
          <w:szCs w:val="24"/>
        </w:rPr>
        <w:t xml:space="preserve"> olacak bir mekanizmanın bulunmaması bu sebeple uygulamanın </w:t>
      </w:r>
      <w:r w:rsidR="00D31C6D" w:rsidRPr="008A079A">
        <w:rPr>
          <w:sz w:val="24"/>
          <w:szCs w:val="24"/>
        </w:rPr>
        <w:t>kanunilik ilkesiyle uyum içerisinde bulunmadığını</w:t>
      </w:r>
      <w:r w:rsidR="006D0717" w:rsidRPr="008A079A">
        <w:rPr>
          <w:sz w:val="24"/>
          <w:szCs w:val="24"/>
        </w:rPr>
        <w:t xml:space="preserve"> gözlemlenmiştir</w:t>
      </w:r>
      <w:r w:rsidR="00FA019C" w:rsidRPr="008A079A">
        <w:rPr>
          <w:sz w:val="24"/>
          <w:szCs w:val="24"/>
        </w:rPr>
        <w:t xml:space="preserve"> (AİHM, 2019: para. 329-336)</w:t>
      </w:r>
      <w:r w:rsidR="006D0717" w:rsidRPr="008A079A">
        <w:rPr>
          <w:sz w:val="24"/>
          <w:szCs w:val="24"/>
        </w:rPr>
        <w:t>.</w:t>
      </w:r>
      <w:r w:rsidR="008A079A">
        <w:rPr>
          <w:sz w:val="24"/>
          <w:szCs w:val="24"/>
        </w:rPr>
        <w:t xml:space="preserve"> Mahkemenin toplu gözetim faaliyetini bir bütün olarak görmekten ziyade içerisindeki bulunan aşamaların özel hayatın temel unsurlarına ayrı </w:t>
      </w:r>
      <w:r w:rsidR="008A079A">
        <w:rPr>
          <w:sz w:val="24"/>
          <w:szCs w:val="24"/>
        </w:rPr>
        <w:lastRenderedPageBreak/>
        <w:t>ayrı temas ettiği ve bu aşamalar için müstakil tedbirlerin düzenlenmesinin gerektiği tespiti, kararın önemli noktalarından birini oluşturmaktadır.</w:t>
      </w:r>
    </w:p>
    <w:p w:rsidR="006D0717" w:rsidRPr="005F583B" w:rsidRDefault="006D0717" w:rsidP="009368AE">
      <w:pPr>
        <w:tabs>
          <w:tab w:val="left" w:pos="8647"/>
        </w:tabs>
        <w:spacing w:after="120" w:line="240" w:lineRule="auto"/>
        <w:ind w:firstLine="421"/>
        <w:jc w:val="both"/>
        <w:rPr>
          <w:sz w:val="24"/>
          <w:szCs w:val="24"/>
        </w:rPr>
      </w:pPr>
      <w:r w:rsidRPr="005F583B">
        <w:rPr>
          <w:sz w:val="24"/>
          <w:szCs w:val="24"/>
        </w:rPr>
        <w:t>Ayrıca</w:t>
      </w:r>
      <w:r w:rsidR="00D31C6D" w:rsidRPr="005F583B">
        <w:rPr>
          <w:sz w:val="24"/>
          <w:szCs w:val="24"/>
        </w:rPr>
        <w:t xml:space="preserve"> toplu gözetim faaliyeti esnasında elde edilen haberleşme verilerin</w:t>
      </w:r>
      <w:r w:rsidR="009368AE">
        <w:rPr>
          <w:sz w:val="24"/>
          <w:szCs w:val="24"/>
        </w:rPr>
        <w:t>in</w:t>
      </w:r>
      <w:r w:rsidR="00D31C6D" w:rsidRPr="005F583B">
        <w:rPr>
          <w:sz w:val="24"/>
          <w:szCs w:val="24"/>
        </w:rPr>
        <w:t xml:space="preserve"> yanında bol miktarda dolaylı </w:t>
      </w:r>
      <w:r w:rsidR="001358AF" w:rsidRPr="005F583B">
        <w:rPr>
          <w:sz w:val="24"/>
          <w:szCs w:val="24"/>
        </w:rPr>
        <w:t>bilgi</w:t>
      </w:r>
      <w:r w:rsidR="009368AE">
        <w:rPr>
          <w:sz w:val="24"/>
          <w:szCs w:val="24"/>
        </w:rPr>
        <w:t>ye</w:t>
      </w:r>
      <w:r w:rsidR="001358AF" w:rsidRPr="005F583B">
        <w:rPr>
          <w:sz w:val="24"/>
          <w:szCs w:val="24"/>
        </w:rPr>
        <w:t xml:space="preserve"> (lokasyon</w:t>
      </w:r>
      <w:r w:rsidR="00D31C6D" w:rsidRPr="005F583B">
        <w:rPr>
          <w:sz w:val="24"/>
          <w:szCs w:val="24"/>
        </w:rPr>
        <w:t xml:space="preserve">, telefon numarası vb.)  </w:t>
      </w:r>
      <w:r w:rsidR="009368AE">
        <w:rPr>
          <w:sz w:val="24"/>
          <w:szCs w:val="24"/>
        </w:rPr>
        <w:t xml:space="preserve">temas edilmektedir. Söz konusu bilgiler tartışmasız şekilde </w:t>
      </w:r>
      <w:r w:rsidR="009368AE" w:rsidRPr="005F583B">
        <w:rPr>
          <w:sz w:val="24"/>
          <w:szCs w:val="24"/>
        </w:rPr>
        <w:t>kişisel</w:t>
      </w:r>
      <w:r w:rsidR="001358AF" w:rsidRPr="005F583B">
        <w:rPr>
          <w:sz w:val="24"/>
          <w:szCs w:val="24"/>
        </w:rPr>
        <w:t xml:space="preserve"> veri niteliğinde olup kontrolsüz ve hukuki dayanağı olmaksızın </w:t>
      </w:r>
      <w:r w:rsidR="009368AE">
        <w:rPr>
          <w:sz w:val="24"/>
          <w:szCs w:val="24"/>
        </w:rPr>
        <w:t xml:space="preserve">kullanılmasının veya saklanmasının </w:t>
      </w:r>
      <w:r w:rsidR="001358AF" w:rsidRPr="005F583B">
        <w:rPr>
          <w:sz w:val="24"/>
          <w:szCs w:val="24"/>
        </w:rPr>
        <w:t>hak ihlaline yol açacağını ifade e</w:t>
      </w:r>
      <w:r w:rsidR="009368AE">
        <w:rPr>
          <w:sz w:val="24"/>
          <w:szCs w:val="24"/>
        </w:rPr>
        <w:t xml:space="preserve">dilmektedir. </w:t>
      </w:r>
      <w:r w:rsidR="001358AF" w:rsidRPr="005F583B">
        <w:rPr>
          <w:sz w:val="24"/>
          <w:szCs w:val="24"/>
        </w:rPr>
        <w:t>Bu durum da açık şekilde incelen mevzuat</w:t>
      </w:r>
      <w:r w:rsidR="00373092" w:rsidRPr="005F583B">
        <w:rPr>
          <w:sz w:val="24"/>
          <w:szCs w:val="24"/>
        </w:rPr>
        <w:t>ın</w:t>
      </w:r>
      <w:r w:rsidR="001358AF" w:rsidRPr="005F583B">
        <w:rPr>
          <w:sz w:val="24"/>
          <w:szCs w:val="24"/>
        </w:rPr>
        <w:t xml:space="preserve"> kötü</w:t>
      </w:r>
      <w:r w:rsidR="009368AE">
        <w:rPr>
          <w:sz w:val="24"/>
          <w:szCs w:val="24"/>
        </w:rPr>
        <w:t xml:space="preserve">ye </w:t>
      </w:r>
      <w:r w:rsidR="001358AF" w:rsidRPr="005F583B">
        <w:rPr>
          <w:sz w:val="24"/>
          <w:szCs w:val="24"/>
        </w:rPr>
        <w:t>kullanımı önleyecek güvenceden yoksun olduğun</w:t>
      </w:r>
      <w:r w:rsidR="00373092" w:rsidRPr="005F583B">
        <w:rPr>
          <w:sz w:val="24"/>
          <w:szCs w:val="24"/>
        </w:rPr>
        <w:t>a</w:t>
      </w:r>
      <w:r w:rsidR="001358AF" w:rsidRPr="005F583B">
        <w:rPr>
          <w:sz w:val="24"/>
          <w:szCs w:val="24"/>
        </w:rPr>
        <w:t xml:space="preserve"> işaret etmektedir</w:t>
      </w:r>
      <w:r w:rsidR="00FA019C">
        <w:rPr>
          <w:sz w:val="24"/>
          <w:szCs w:val="24"/>
        </w:rPr>
        <w:t xml:space="preserve"> (AİHM, 2019: para. 351-357)</w:t>
      </w:r>
      <w:r w:rsidR="001358AF" w:rsidRPr="005F583B">
        <w:rPr>
          <w:sz w:val="24"/>
          <w:szCs w:val="24"/>
        </w:rPr>
        <w:t>.</w:t>
      </w:r>
    </w:p>
    <w:p w:rsidR="00EF37A3" w:rsidRPr="005F583B" w:rsidRDefault="00EF37A3" w:rsidP="00400461">
      <w:pPr>
        <w:tabs>
          <w:tab w:val="left" w:pos="8647"/>
        </w:tabs>
        <w:spacing w:after="120" w:line="240" w:lineRule="auto"/>
        <w:ind w:firstLine="421"/>
        <w:jc w:val="both"/>
        <w:rPr>
          <w:sz w:val="24"/>
          <w:szCs w:val="24"/>
        </w:rPr>
      </w:pPr>
      <w:r w:rsidRPr="005F583B">
        <w:rPr>
          <w:sz w:val="24"/>
          <w:szCs w:val="24"/>
        </w:rPr>
        <w:t>Mahkemenin ikinci olarak incelediği husus</w:t>
      </w:r>
      <w:r w:rsidR="009368AE">
        <w:rPr>
          <w:sz w:val="24"/>
          <w:szCs w:val="24"/>
        </w:rPr>
        <w:t>,</w:t>
      </w:r>
      <w:r w:rsidRPr="005F583B">
        <w:rPr>
          <w:sz w:val="24"/>
          <w:szCs w:val="24"/>
        </w:rPr>
        <w:t xml:space="preserve"> Birleşik Krallığın yabancı istihbarat örgütleriyle istihbarat paylaşım rejimidir. Başvurucular Birleşik Krallık istihbarat teşkilatlarının N</w:t>
      </w:r>
      <w:r w:rsidR="00646835">
        <w:rPr>
          <w:sz w:val="24"/>
          <w:szCs w:val="24"/>
        </w:rPr>
        <w:t>SA’da</w:t>
      </w:r>
      <w:r w:rsidRPr="005F583B">
        <w:rPr>
          <w:sz w:val="24"/>
          <w:szCs w:val="24"/>
        </w:rPr>
        <w:t xml:space="preserve">n </w:t>
      </w:r>
      <w:r w:rsidR="004D2142" w:rsidRPr="005F583B">
        <w:rPr>
          <w:sz w:val="24"/>
          <w:szCs w:val="24"/>
        </w:rPr>
        <w:t>yasal dayanağı olmaksızın istihbarat elde etmesinin sözleşmenin 8’inci maddesinde düzenlenen hak ve özgürlüklere aykırı olduğunu savunmaktadırlar.</w:t>
      </w:r>
      <w:r w:rsidR="00373092" w:rsidRPr="005F583B">
        <w:rPr>
          <w:sz w:val="24"/>
          <w:szCs w:val="24"/>
        </w:rPr>
        <w:t xml:space="preserve"> </w:t>
      </w:r>
      <w:r w:rsidR="004D2142" w:rsidRPr="005F583B">
        <w:rPr>
          <w:sz w:val="24"/>
          <w:szCs w:val="24"/>
        </w:rPr>
        <w:t xml:space="preserve">Başvuruculara göre kişilerin özel hayatına ilişkin bir bilginin gizli gözetim yöntemleriyle veya diğer bir ülkenin istihbarat örgütünden alınması arasında bir fark bulunmadığını, bu sebeple bu yolla elde edilen bilgilerin de sözleşme ve ilgili içtihatta izah </w:t>
      </w:r>
      <w:r w:rsidR="005B3004" w:rsidRPr="005F583B">
        <w:rPr>
          <w:sz w:val="24"/>
          <w:szCs w:val="24"/>
        </w:rPr>
        <w:t>edilen prosedürlere</w:t>
      </w:r>
      <w:r w:rsidR="004D2142" w:rsidRPr="005F583B">
        <w:rPr>
          <w:sz w:val="24"/>
          <w:szCs w:val="24"/>
        </w:rPr>
        <w:t xml:space="preserve"> tabi olması gerektiğini ifade etmektedir</w:t>
      </w:r>
      <w:r w:rsidR="00FA019C">
        <w:rPr>
          <w:sz w:val="24"/>
          <w:szCs w:val="24"/>
        </w:rPr>
        <w:t xml:space="preserve"> (AİHM, 2019: para. 398-400)</w:t>
      </w:r>
      <w:r w:rsidR="004D2142" w:rsidRPr="005F583B">
        <w:rPr>
          <w:sz w:val="24"/>
          <w:szCs w:val="24"/>
        </w:rPr>
        <w:t>.</w:t>
      </w:r>
    </w:p>
    <w:p w:rsidR="004D2142" w:rsidRPr="005F583B" w:rsidRDefault="004D2142" w:rsidP="00400461">
      <w:pPr>
        <w:tabs>
          <w:tab w:val="left" w:pos="8647"/>
        </w:tabs>
        <w:spacing w:after="120" w:line="240" w:lineRule="auto"/>
        <w:ind w:firstLine="421"/>
        <w:jc w:val="both"/>
        <w:rPr>
          <w:sz w:val="24"/>
          <w:szCs w:val="24"/>
        </w:rPr>
      </w:pPr>
      <w:r w:rsidRPr="005F583B">
        <w:rPr>
          <w:sz w:val="24"/>
          <w:szCs w:val="24"/>
        </w:rPr>
        <w:t>Birleşik Krallık yetkilileri ise yapmış oldukları savunmada, istihbarat teşkilatlarının istihbarat paylaşımının yasal dayanağı bulunduğunu ve bu yasanın ulaşılabilir nitelikte olduğunu belirtmiş</w:t>
      </w:r>
      <w:r w:rsidR="00AF33BA" w:rsidRPr="005F583B">
        <w:rPr>
          <w:sz w:val="24"/>
          <w:szCs w:val="24"/>
        </w:rPr>
        <w:t>tir. Ayrıca istihbarat paylaşımının sadece toplu gözetime yönelik olarak yapılmadığını çoğu zaman bilgiyi alan taraf</w:t>
      </w:r>
      <w:r w:rsidR="00646835">
        <w:rPr>
          <w:sz w:val="24"/>
          <w:szCs w:val="24"/>
        </w:rPr>
        <w:t>ın bilginin kaynağını bilme imkâ</w:t>
      </w:r>
      <w:r w:rsidR="00AF33BA" w:rsidRPr="005F583B">
        <w:rPr>
          <w:sz w:val="24"/>
          <w:szCs w:val="24"/>
        </w:rPr>
        <w:t>nının bulunmadığını da savun</w:t>
      </w:r>
      <w:r w:rsidR="00B84F33">
        <w:rPr>
          <w:sz w:val="24"/>
          <w:szCs w:val="24"/>
        </w:rPr>
        <w:t>malarında belirtmişlerdir.  Hükû</w:t>
      </w:r>
      <w:r w:rsidR="00AF33BA" w:rsidRPr="005F583B">
        <w:rPr>
          <w:sz w:val="24"/>
          <w:szCs w:val="24"/>
        </w:rPr>
        <w:t>met yetkilileri ayrıca bu yasanın mahkeme içtihatları ve koymuş olduğu kıstaslarla uyum içerisinde olduğunu belirterek bu hususta herhangi bir hak ihlali bulunmadığını iddia etmişlerdir</w:t>
      </w:r>
      <w:r w:rsidR="00FA019C">
        <w:rPr>
          <w:sz w:val="24"/>
          <w:szCs w:val="24"/>
        </w:rPr>
        <w:t xml:space="preserve"> (AİHM, 2019: para. 401-403)</w:t>
      </w:r>
      <w:r w:rsidR="00AF33BA" w:rsidRPr="005F583B">
        <w:rPr>
          <w:sz w:val="24"/>
          <w:szCs w:val="24"/>
        </w:rPr>
        <w:t>.</w:t>
      </w:r>
    </w:p>
    <w:p w:rsidR="00AF33BA" w:rsidRDefault="00AF33BA" w:rsidP="009D5E1A">
      <w:pPr>
        <w:tabs>
          <w:tab w:val="left" w:pos="8647"/>
        </w:tabs>
        <w:spacing w:before="240" w:after="240" w:line="240" w:lineRule="auto"/>
        <w:ind w:firstLine="421"/>
        <w:jc w:val="both"/>
        <w:rPr>
          <w:sz w:val="24"/>
          <w:szCs w:val="24"/>
        </w:rPr>
      </w:pPr>
      <w:r w:rsidRPr="005F583B">
        <w:rPr>
          <w:sz w:val="24"/>
          <w:szCs w:val="24"/>
        </w:rPr>
        <w:t xml:space="preserve">Mahkeme ise öncelikle ilk </w:t>
      </w:r>
      <w:r w:rsidR="004A2280" w:rsidRPr="005F583B">
        <w:rPr>
          <w:sz w:val="24"/>
          <w:szCs w:val="24"/>
        </w:rPr>
        <w:t>kez bir</w:t>
      </w:r>
      <w:r w:rsidRPr="005F583B">
        <w:rPr>
          <w:sz w:val="24"/>
          <w:szCs w:val="24"/>
        </w:rPr>
        <w:t xml:space="preserve"> istihbarat paylaşım rejiminin dava konusu </w:t>
      </w:r>
      <w:r w:rsidR="004A2280" w:rsidRPr="005F583B">
        <w:rPr>
          <w:sz w:val="24"/>
          <w:szCs w:val="24"/>
        </w:rPr>
        <w:t>edildiğini</w:t>
      </w:r>
      <w:r w:rsidRPr="005F583B">
        <w:rPr>
          <w:sz w:val="24"/>
          <w:szCs w:val="24"/>
        </w:rPr>
        <w:t xml:space="preserve"> ifade ettikten sonra öncelikle istihbarat paylaşım rejimin hukuki statüsü konusunda yapılacak nitelemenin yargılamayı kolaylaştıracağını ifade etmektedir</w:t>
      </w:r>
      <w:r w:rsidR="00FA019C">
        <w:rPr>
          <w:sz w:val="24"/>
          <w:szCs w:val="24"/>
        </w:rPr>
        <w:t xml:space="preserve"> (AİHM, 2019: para. 416-419)</w:t>
      </w:r>
      <w:r w:rsidRPr="005F583B">
        <w:rPr>
          <w:sz w:val="24"/>
          <w:szCs w:val="24"/>
        </w:rPr>
        <w:t xml:space="preserve">. </w:t>
      </w:r>
      <w:r w:rsidR="004A2280" w:rsidRPr="005F583B">
        <w:rPr>
          <w:sz w:val="24"/>
          <w:szCs w:val="24"/>
        </w:rPr>
        <w:t xml:space="preserve">Mahkemeye göre bir bilginin paylaşım sonucu elde edilmiş olması sözleşmeye taraf devletin sözleşme kapsamındaki sorumluluklarını ortadan kaldırmayacaktır. Bu sebeple elde edilen bilgi ne şekilde elde edilmiş </w:t>
      </w:r>
      <w:r w:rsidR="005A59D8">
        <w:rPr>
          <w:sz w:val="24"/>
          <w:szCs w:val="24"/>
        </w:rPr>
        <w:t xml:space="preserve">olursa </w:t>
      </w:r>
      <w:r w:rsidR="004A2280" w:rsidRPr="005F583B">
        <w:rPr>
          <w:sz w:val="24"/>
          <w:szCs w:val="24"/>
        </w:rPr>
        <w:t>olsun</w:t>
      </w:r>
      <w:r w:rsidR="005A59D8">
        <w:rPr>
          <w:sz w:val="24"/>
          <w:szCs w:val="24"/>
        </w:rPr>
        <w:t>,</w:t>
      </w:r>
      <w:r w:rsidR="004A2280" w:rsidRPr="005F583B">
        <w:rPr>
          <w:sz w:val="24"/>
          <w:szCs w:val="24"/>
        </w:rPr>
        <w:t xml:space="preserve"> </w:t>
      </w:r>
      <w:r w:rsidR="005A59D8">
        <w:rPr>
          <w:sz w:val="24"/>
          <w:szCs w:val="24"/>
        </w:rPr>
        <w:t>süreç</w:t>
      </w:r>
      <w:r w:rsidR="004A2280" w:rsidRPr="005F583B">
        <w:rPr>
          <w:sz w:val="24"/>
          <w:szCs w:val="24"/>
        </w:rPr>
        <w:t xml:space="preserve"> meşru amaca</w:t>
      </w:r>
      <w:r w:rsidR="005A59D8">
        <w:rPr>
          <w:sz w:val="24"/>
          <w:szCs w:val="24"/>
        </w:rPr>
        <w:t xml:space="preserve"> ve</w:t>
      </w:r>
      <w:r w:rsidR="004A2280" w:rsidRPr="005F583B">
        <w:rPr>
          <w:sz w:val="24"/>
          <w:szCs w:val="24"/>
        </w:rPr>
        <w:t xml:space="preserve"> hukuki dayanağa haiz, demokratik toplum düzenine uyumlu ve ölçülü olmak mecburiyetindedir. Bu kapsamda mahkeme diğer giz</w:t>
      </w:r>
      <w:r w:rsidR="00373092" w:rsidRPr="005F583B">
        <w:rPr>
          <w:sz w:val="24"/>
          <w:szCs w:val="24"/>
        </w:rPr>
        <w:t>l</w:t>
      </w:r>
      <w:r w:rsidR="004A2280" w:rsidRPr="005F583B">
        <w:rPr>
          <w:sz w:val="24"/>
          <w:szCs w:val="24"/>
        </w:rPr>
        <w:t xml:space="preserve">i gözetim yöntemlerine ilişkin yargılamalarda kullandığı kıstasları istihbaratın paylaşılması ile ilgili mevzuatı incelerken de </w:t>
      </w:r>
      <w:r w:rsidR="004A2280" w:rsidRPr="005F583B">
        <w:rPr>
          <w:sz w:val="24"/>
          <w:szCs w:val="24"/>
        </w:rPr>
        <w:lastRenderedPageBreak/>
        <w:t>kullanacaktır</w:t>
      </w:r>
      <w:r w:rsidR="00FA019C">
        <w:rPr>
          <w:sz w:val="24"/>
          <w:szCs w:val="24"/>
        </w:rPr>
        <w:t xml:space="preserve"> (AİHM, 2019: para. 420-423)</w:t>
      </w:r>
      <w:r w:rsidR="004A2280" w:rsidRPr="005F583B">
        <w:rPr>
          <w:sz w:val="24"/>
          <w:szCs w:val="24"/>
        </w:rPr>
        <w:t>.</w:t>
      </w:r>
      <w:r w:rsidR="00FA019C" w:rsidRPr="005F583B">
        <w:rPr>
          <w:sz w:val="24"/>
          <w:szCs w:val="24"/>
        </w:rPr>
        <w:t xml:space="preserve"> </w:t>
      </w:r>
      <w:r w:rsidR="004A2280" w:rsidRPr="005F583B">
        <w:rPr>
          <w:sz w:val="24"/>
          <w:szCs w:val="24"/>
        </w:rPr>
        <w:t xml:space="preserve">Mahkeme bu esaslarla yapmış olduğu inceleme neticesinde son süreçte yapılmış olan değişikliklerle beraber yabancı istihbarat teşkilatlarından </w:t>
      </w:r>
      <w:r w:rsidR="00AC69B6" w:rsidRPr="005F583B">
        <w:rPr>
          <w:sz w:val="24"/>
          <w:szCs w:val="24"/>
        </w:rPr>
        <w:t>istihbarat paylaşım prosedürünü</w:t>
      </w:r>
      <w:r w:rsidR="004A2280" w:rsidRPr="005F583B">
        <w:rPr>
          <w:sz w:val="24"/>
          <w:szCs w:val="24"/>
        </w:rPr>
        <w:t xml:space="preserve"> yeterince </w:t>
      </w:r>
      <w:r w:rsidR="00AC69B6" w:rsidRPr="005F583B">
        <w:rPr>
          <w:sz w:val="24"/>
          <w:szCs w:val="24"/>
        </w:rPr>
        <w:t>açık ve ulaşılabilir olduğunu, temel hak ve özgürlüklerin istismarını önleyecek yeterli güvencelerin yasada sağlandığına karar vermiştir</w:t>
      </w:r>
      <w:r w:rsidR="00FA019C">
        <w:rPr>
          <w:sz w:val="24"/>
          <w:szCs w:val="24"/>
        </w:rPr>
        <w:t xml:space="preserve"> (AİHM, 2019: para. 447)</w:t>
      </w:r>
      <w:r w:rsidR="00AC69B6" w:rsidRPr="005F583B">
        <w:rPr>
          <w:sz w:val="24"/>
          <w:szCs w:val="24"/>
        </w:rPr>
        <w:t>.</w:t>
      </w:r>
    </w:p>
    <w:p w:rsidR="00AC69B6" w:rsidRPr="005F583B" w:rsidRDefault="00B87786" w:rsidP="009D5E1A">
      <w:pPr>
        <w:tabs>
          <w:tab w:val="left" w:pos="8647"/>
        </w:tabs>
        <w:spacing w:before="240" w:after="240" w:line="240" w:lineRule="auto"/>
        <w:jc w:val="center"/>
        <w:rPr>
          <w:b/>
          <w:bCs/>
          <w:sz w:val="24"/>
          <w:szCs w:val="24"/>
        </w:rPr>
      </w:pPr>
      <w:r w:rsidRPr="005F583B">
        <w:rPr>
          <w:b/>
          <w:bCs/>
          <w:sz w:val="24"/>
          <w:szCs w:val="24"/>
        </w:rPr>
        <w:t>SONUÇ</w:t>
      </w:r>
    </w:p>
    <w:p w:rsidR="00262F36" w:rsidRPr="005F583B" w:rsidRDefault="00262F36" w:rsidP="009D5E1A">
      <w:pPr>
        <w:tabs>
          <w:tab w:val="left" w:pos="8647"/>
        </w:tabs>
        <w:spacing w:before="120" w:after="120" w:line="240" w:lineRule="auto"/>
        <w:ind w:firstLine="420"/>
        <w:jc w:val="both"/>
        <w:rPr>
          <w:sz w:val="24"/>
          <w:szCs w:val="24"/>
        </w:rPr>
      </w:pPr>
      <w:r w:rsidRPr="005F583B">
        <w:rPr>
          <w:sz w:val="24"/>
          <w:szCs w:val="24"/>
        </w:rPr>
        <w:t>İstihbarat</w:t>
      </w:r>
      <w:r w:rsidR="009E04BD" w:rsidRPr="005F583B">
        <w:rPr>
          <w:sz w:val="24"/>
          <w:szCs w:val="24"/>
        </w:rPr>
        <w:t xml:space="preserve"> örgütleri tarafından yapılan gizli gözetim tedbirleri ve hukuki statüsü</w:t>
      </w:r>
      <w:r w:rsidRPr="005F583B">
        <w:rPr>
          <w:sz w:val="24"/>
          <w:szCs w:val="24"/>
        </w:rPr>
        <w:t xml:space="preserve">, gün geçtikçe daha çok tartışılan, araştırılan, kamuoyunda yer bulan ve </w:t>
      </w:r>
      <w:r w:rsidR="00373092" w:rsidRPr="005F583B">
        <w:rPr>
          <w:sz w:val="24"/>
          <w:szCs w:val="24"/>
        </w:rPr>
        <w:t>davalara</w:t>
      </w:r>
      <w:r w:rsidRPr="005F583B">
        <w:rPr>
          <w:sz w:val="24"/>
          <w:szCs w:val="24"/>
        </w:rPr>
        <w:t xml:space="preserve"> konu olan bir mesele olarak karşımıza çıkmaktadır. Toplu gözetim ise özellikle internetin insan hayatındaki içerisindeki yeri</w:t>
      </w:r>
      <w:r w:rsidR="008720EE" w:rsidRPr="005F583B">
        <w:rPr>
          <w:sz w:val="24"/>
          <w:szCs w:val="24"/>
        </w:rPr>
        <w:t>ni</w:t>
      </w:r>
      <w:r w:rsidRPr="005F583B">
        <w:rPr>
          <w:sz w:val="24"/>
          <w:szCs w:val="24"/>
        </w:rPr>
        <w:t xml:space="preserve"> arttırmasıyla sıklıkla gündeme gelmeye başlamıştır. Çalışmada incelenen mahkeme kararı ise toplu gözetimin hukuki </w:t>
      </w:r>
      <w:r w:rsidR="00373092" w:rsidRPr="005F583B">
        <w:rPr>
          <w:sz w:val="24"/>
          <w:szCs w:val="24"/>
        </w:rPr>
        <w:t>mahiyetine</w:t>
      </w:r>
      <w:r w:rsidRPr="005F583B">
        <w:rPr>
          <w:sz w:val="24"/>
          <w:szCs w:val="24"/>
        </w:rPr>
        <w:t xml:space="preserve"> </w:t>
      </w:r>
      <w:r w:rsidR="00373092" w:rsidRPr="005F583B">
        <w:rPr>
          <w:sz w:val="24"/>
          <w:szCs w:val="24"/>
        </w:rPr>
        <w:t>ilişkin</w:t>
      </w:r>
      <w:r w:rsidRPr="005F583B">
        <w:rPr>
          <w:sz w:val="24"/>
          <w:szCs w:val="24"/>
        </w:rPr>
        <w:t xml:space="preserve"> önemli tespitleri </w:t>
      </w:r>
      <w:r w:rsidR="00373092" w:rsidRPr="005F583B">
        <w:rPr>
          <w:sz w:val="24"/>
          <w:szCs w:val="24"/>
        </w:rPr>
        <w:t>barındırması</w:t>
      </w:r>
      <w:r w:rsidR="00646835">
        <w:rPr>
          <w:sz w:val="24"/>
          <w:szCs w:val="24"/>
        </w:rPr>
        <w:t xml:space="preserve"> itibarıyla</w:t>
      </w:r>
      <w:r w:rsidRPr="005F583B">
        <w:rPr>
          <w:sz w:val="24"/>
          <w:szCs w:val="24"/>
        </w:rPr>
        <w:t xml:space="preserve"> dikkat çekici bir karar olarak ortaya çıkmaktadır. </w:t>
      </w:r>
    </w:p>
    <w:p w:rsidR="002A7758" w:rsidRPr="005F583B" w:rsidRDefault="00262F36" w:rsidP="009D5E1A">
      <w:pPr>
        <w:tabs>
          <w:tab w:val="left" w:pos="8647"/>
        </w:tabs>
        <w:spacing w:before="120" w:after="120" w:line="240" w:lineRule="auto"/>
        <w:ind w:firstLine="420"/>
        <w:jc w:val="both"/>
        <w:rPr>
          <w:sz w:val="24"/>
          <w:szCs w:val="24"/>
        </w:rPr>
      </w:pPr>
      <w:r w:rsidRPr="005F583B">
        <w:rPr>
          <w:sz w:val="24"/>
          <w:szCs w:val="24"/>
        </w:rPr>
        <w:t>Bu kapsamda yapılan karar incelemelerinde görül</w:t>
      </w:r>
      <w:r w:rsidR="00373092" w:rsidRPr="005F583B">
        <w:rPr>
          <w:sz w:val="24"/>
          <w:szCs w:val="24"/>
        </w:rPr>
        <w:t>düğü</w:t>
      </w:r>
      <w:r w:rsidRPr="005F583B">
        <w:rPr>
          <w:sz w:val="24"/>
          <w:szCs w:val="24"/>
        </w:rPr>
        <w:t xml:space="preserve"> üzere, AİHM’</w:t>
      </w:r>
      <w:r w:rsidR="00646835">
        <w:rPr>
          <w:sz w:val="24"/>
          <w:szCs w:val="24"/>
        </w:rPr>
        <w:t xml:space="preserve">nin </w:t>
      </w:r>
      <w:r w:rsidRPr="005F583B">
        <w:rPr>
          <w:sz w:val="24"/>
          <w:szCs w:val="24"/>
        </w:rPr>
        <w:t>1970’li yı</w:t>
      </w:r>
      <w:r w:rsidR="008720EE" w:rsidRPr="005F583B">
        <w:rPr>
          <w:sz w:val="24"/>
          <w:szCs w:val="24"/>
        </w:rPr>
        <w:t>l</w:t>
      </w:r>
      <w:r w:rsidRPr="005F583B">
        <w:rPr>
          <w:sz w:val="24"/>
          <w:szCs w:val="24"/>
        </w:rPr>
        <w:t xml:space="preserve">lardan itibaren gizli gözetim tedbirlerine ilişkin pek çok karar verdiğini ve konuya ilişkin </w:t>
      </w:r>
      <w:r w:rsidR="002A7758" w:rsidRPr="005F583B">
        <w:rPr>
          <w:sz w:val="24"/>
          <w:szCs w:val="24"/>
        </w:rPr>
        <w:t>birtakım</w:t>
      </w:r>
      <w:r w:rsidRPr="005F583B">
        <w:rPr>
          <w:sz w:val="24"/>
          <w:szCs w:val="24"/>
        </w:rPr>
        <w:t xml:space="preserve"> esasları ortaya koymuş olduğu söylenebilir. Öncelikle kararlarda görülmektedir ki</w:t>
      </w:r>
      <w:r w:rsidR="00373092" w:rsidRPr="005F583B">
        <w:rPr>
          <w:sz w:val="24"/>
          <w:szCs w:val="24"/>
        </w:rPr>
        <w:t xml:space="preserve"> mahkeme</w:t>
      </w:r>
      <w:r w:rsidRPr="005F583B">
        <w:rPr>
          <w:sz w:val="24"/>
          <w:szCs w:val="24"/>
        </w:rPr>
        <w:t xml:space="preserve"> küresel güvenliğ</w:t>
      </w:r>
      <w:r w:rsidR="00373092" w:rsidRPr="005F583B">
        <w:rPr>
          <w:sz w:val="24"/>
          <w:szCs w:val="24"/>
        </w:rPr>
        <w:t>e</w:t>
      </w:r>
      <w:r w:rsidRPr="005F583B">
        <w:rPr>
          <w:sz w:val="24"/>
          <w:szCs w:val="24"/>
        </w:rPr>
        <w:t xml:space="preserve"> ilişkin daha önce çalışmada sayılan tehditlerin </w:t>
      </w:r>
      <w:r w:rsidR="002A7758" w:rsidRPr="005F583B">
        <w:rPr>
          <w:sz w:val="24"/>
          <w:szCs w:val="24"/>
        </w:rPr>
        <w:t>bertaraf</w:t>
      </w:r>
      <w:r w:rsidRPr="005F583B">
        <w:rPr>
          <w:sz w:val="24"/>
          <w:szCs w:val="24"/>
        </w:rPr>
        <w:t xml:space="preserve"> edilmesi</w:t>
      </w:r>
      <w:r w:rsidR="002A7758" w:rsidRPr="005F583B">
        <w:rPr>
          <w:sz w:val="24"/>
          <w:szCs w:val="24"/>
        </w:rPr>
        <w:t xml:space="preserve"> ve kamu güvenliğinin sağlanması için gizli gözetim tedbirlerinin kullanılmasını meşru amaç olarak değerlendirmektedir. Mahkemeler sözleşmede değinildiği üzere meşru amaca ve kanuni temele sahip, demokratik toplumun değerleriyle örtüşen tedbirler</w:t>
      </w:r>
      <w:r w:rsidR="00F779B2">
        <w:rPr>
          <w:sz w:val="24"/>
          <w:szCs w:val="24"/>
        </w:rPr>
        <w:t>le,</w:t>
      </w:r>
      <w:r w:rsidR="002A7758" w:rsidRPr="005F583B">
        <w:rPr>
          <w:sz w:val="24"/>
          <w:szCs w:val="24"/>
        </w:rPr>
        <w:t xml:space="preserve"> sözleşmenin 8’inci maddesinde güvence altına alınan hakların sınırlanabileceği kanaatindedir. Ayrıca mahkemenin 1990’lı yıllardan itibaren kullandığı ve gizli gözetim tedbirlerinin kanuniliğini test ettiği 6 koşulu istikrar kazanmış vaziyettedir. İncelenen kararda</w:t>
      </w:r>
      <w:r w:rsidR="00373092" w:rsidRPr="005F583B">
        <w:rPr>
          <w:sz w:val="24"/>
          <w:szCs w:val="24"/>
        </w:rPr>
        <w:t xml:space="preserve"> da</w:t>
      </w:r>
      <w:r w:rsidR="002A7758" w:rsidRPr="005F583B">
        <w:rPr>
          <w:sz w:val="24"/>
          <w:szCs w:val="24"/>
        </w:rPr>
        <w:t xml:space="preserve"> görüldüğü üzere bahsedilen 6 koşul toplu gözetim tedbirleri için uygulama alanı bulmuştur. </w:t>
      </w:r>
    </w:p>
    <w:p w:rsidR="009A13B0" w:rsidRPr="005F583B" w:rsidRDefault="009A13B0" w:rsidP="00400461">
      <w:pPr>
        <w:tabs>
          <w:tab w:val="left" w:pos="8647"/>
        </w:tabs>
        <w:spacing w:after="120" w:line="240" w:lineRule="auto"/>
        <w:ind w:firstLine="421"/>
        <w:jc w:val="both"/>
        <w:rPr>
          <w:sz w:val="24"/>
          <w:szCs w:val="24"/>
        </w:rPr>
      </w:pPr>
      <w:r w:rsidRPr="005F583B">
        <w:rPr>
          <w:sz w:val="24"/>
          <w:szCs w:val="24"/>
        </w:rPr>
        <w:t>Ayrıca mahkemenin kabul edilebilirlik incelemesi esnasında yapmış olduğu tespit ilgi çekicidir. Mahkeme Birleşik Krallık</w:t>
      </w:r>
      <w:r w:rsidR="000041A4" w:rsidRPr="005F583B">
        <w:rPr>
          <w:sz w:val="24"/>
          <w:szCs w:val="24"/>
        </w:rPr>
        <w:t xml:space="preserve">, </w:t>
      </w:r>
      <w:r w:rsidRPr="005F583B">
        <w:rPr>
          <w:sz w:val="24"/>
          <w:szCs w:val="24"/>
        </w:rPr>
        <w:t xml:space="preserve">IPT’ni inceleyip etkili bir iç hukuk yolu olarak tanımlamasına rağmen, IPT’ye başvurmaksızın AİHM’de açılan davayı kabul edilebilir bulmuştur. Mahkemenin son kararına göre sözleşmeye taraf devlet etkili bir iç hukuk yoluna sahip olmasına rağmen başvurucuların eski tarihli bir kararında IPT’nin </w:t>
      </w:r>
      <w:r w:rsidR="00373092" w:rsidRPr="005F583B">
        <w:rPr>
          <w:sz w:val="24"/>
          <w:szCs w:val="24"/>
        </w:rPr>
        <w:t>etkili</w:t>
      </w:r>
      <w:r w:rsidRPr="005F583B">
        <w:rPr>
          <w:sz w:val="24"/>
          <w:szCs w:val="24"/>
        </w:rPr>
        <w:t xml:space="preserve"> bir iç hukuk yolu olmadığına dair tespitine güvenen başvurucuların başvurusu kabul edilmelidir. Ayrıca bu karardan hareketle IPT’nin yetkileri, yapısı ve görevleri incelenerek </w:t>
      </w:r>
      <w:r w:rsidR="00262403" w:rsidRPr="005F583B">
        <w:rPr>
          <w:sz w:val="24"/>
          <w:szCs w:val="24"/>
        </w:rPr>
        <w:t xml:space="preserve">istihbarat faaliyetlerinin </w:t>
      </w:r>
      <w:r w:rsidR="00262403" w:rsidRPr="005F583B">
        <w:rPr>
          <w:sz w:val="24"/>
          <w:szCs w:val="24"/>
        </w:rPr>
        <w:lastRenderedPageBreak/>
        <w:t>etkili bir şekilde yargısal denetiminin nasıl yapılabileceğine ilişkin esaslar ortaya konabilir.</w:t>
      </w:r>
    </w:p>
    <w:p w:rsidR="00262403" w:rsidRPr="005F583B" w:rsidRDefault="00B268DD" w:rsidP="00400461">
      <w:pPr>
        <w:tabs>
          <w:tab w:val="left" w:pos="8647"/>
        </w:tabs>
        <w:spacing w:after="120" w:line="240" w:lineRule="auto"/>
        <w:ind w:firstLine="421"/>
        <w:jc w:val="both"/>
        <w:rPr>
          <w:sz w:val="24"/>
          <w:szCs w:val="24"/>
        </w:rPr>
      </w:pPr>
      <w:r w:rsidRPr="005F583B">
        <w:rPr>
          <w:sz w:val="24"/>
          <w:szCs w:val="24"/>
        </w:rPr>
        <w:t xml:space="preserve">Mahkemenin </w:t>
      </w:r>
      <w:r w:rsidR="00373092" w:rsidRPr="005F583B">
        <w:rPr>
          <w:sz w:val="24"/>
          <w:szCs w:val="24"/>
        </w:rPr>
        <w:t>davanın esasına</w:t>
      </w:r>
      <w:r w:rsidRPr="005F583B">
        <w:rPr>
          <w:sz w:val="24"/>
          <w:szCs w:val="24"/>
        </w:rPr>
        <w:t xml:space="preserve"> ilişkin değerlendirmelerinde</w:t>
      </w:r>
      <w:r w:rsidR="00373092" w:rsidRPr="005F583B">
        <w:rPr>
          <w:sz w:val="24"/>
          <w:szCs w:val="24"/>
        </w:rPr>
        <w:t>n</w:t>
      </w:r>
      <w:r w:rsidR="00BC3B79">
        <w:rPr>
          <w:sz w:val="24"/>
          <w:szCs w:val="24"/>
        </w:rPr>
        <w:t xml:space="preserve"> </w:t>
      </w:r>
      <w:r w:rsidRPr="005F583B">
        <w:rPr>
          <w:sz w:val="24"/>
          <w:szCs w:val="24"/>
        </w:rPr>
        <w:t xml:space="preserve">bazı tespitlere </w:t>
      </w:r>
      <w:r w:rsidR="008F79BE" w:rsidRPr="005F583B">
        <w:rPr>
          <w:sz w:val="24"/>
          <w:szCs w:val="24"/>
        </w:rPr>
        <w:t>ulaşmak</w:t>
      </w:r>
      <w:r w:rsidRPr="005F583B">
        <w:rPr>
          <w:sz w:val="24"/>
          <w:szCs w:val="24"/>
        </w:rPr>
        <w:t xml:space="preserve"> mümkündür. Başvurucular</w:t>
      </w:r>
      <w:r w:rsidR="008F79BE" w:rsidRPr="005F583B">
        <w:rPr>
          <w:sz w:val="24"/>
          <w:szCs w:val="24"/>
        </w:rPr>
        <w:t xml:space="preserve"> toplu gözetimin sahip olduğu, gizli gözetim tedbirlerinin </w:t>
      </w:r>
      <w:r w:rsidR="0079267F" w:rsidRPr="005F583B">
        <w:rPr>
          <w:sz w:val="24"/>
          <w:szCs w:val="24"/>
        </w:rPr>
        <w:t>imkân</w:t>
      </w:r>
      <w:r w:rsidR="008F79BE" w:rsidRPr="005F583B">
        <w:rPr>
          <w:sz w:val="24"/>
          <w:szCs w:val="24"/>
        </w:rPr>
        <w:t xml:space="preserve"> kabiliyetini aşan yeteneklerinin istismara yol açması önlemek amacıyla gizli gözetlemenin denetlenmesi için ortaya konan 6 koşula ek tedbirler getirilmesini önermektedirler. Fakat mahkeme bu yoruma katılmayarak diğer gizli gözetim tedbirlerinin toplu gözetimden daha az istismara açık olduğu gibi bir kabulü onaylamadığını belirterek, incelemesini eski içtihadına uygun olarak 6 kriter üzerinden gerçekleştirmiştir.</w:t>
      </w:r>
      <w:r w:rsidR="00F506AB" w:rsidRPr="005F583B">
        <w:rPr>
          <w:sz w:val="24"/>
          <w:szCs w:val="24"/>
        </w:rPr>
        <w:t xml:space="preserve"> </w:t>
      </w:r>
      <w:r w:rsidR="008F79BE" w:rsidRPr="005F583B">
        <w:rPr>
          <w:sz w:val="24"/>
          <w:szCs w:val="24"/>
        </w:rPr>
        <w:t>Ancak mahkemenin bu tespiti kimi eleştir</w:t>
      </w:r>
      <w:r w:rsidR="00F506AB" w:rsidRPr="005F583B">
        <w:rPr>
          <w:sz w:val="24"/>
          <w:szCs w:val="24"/>
        </w:rPr>
        <w:t>i</w:t>
      </w:r>
      <w:r w:rsidR="008F79BE" w:rsidRPr="005F583B">
        <w:rPr>
          <w:sz w:val="24"/>
          <w:szCs w:val="24"/>
        </w:rPr>
        <w:t>lere konu ol</w:t>
      </w:r>
      <w:r w:rsidR="00F506AB" w:rsidRPr="005F583B">
        <w:rPr>
          <w:sz w:val="24"/>
          <w:szCs w:val="24"/>
        </w:rPr>
        <w:t>abilecektir</w:t>
      </w:r>
      <w:r w:rsidR="008F79BE" w:rsidRPr="005F583B">
        <w:rPr>
          <w:sz w:val="24"/>
          <w:szCs w:val="24"/>
        </w:rPr>
        <w:t xml:space="preserve">. Öncelikle toplu gözetimin diğer gizli gözetim tedbirlerinden ayıran </w:t>
      </w:r>
      <w:r w:rsidR="00373092" w:rsidRPr="005F583B">
        <w:rPr>
          <w:sz w:val="24"/>
          <w:szCs w:val="24"/>
        </w:rPr>
        <w:t xml:space="preserve">bazı </w:t>
      </w:r>
      <w:r w:rsidR="008F79BE" w:rsidRPr="005F583B">
        <w:rPr>
          <w:sz w:val="24"/>
          <w:szCs w:val="24"/>
        </w:rPr>
        <w:t>özelli</w:t>
      </w:r>
      <w:r w:rsidR="00373092" w:rsidRPr="005F583B">
        <w:rPr>
          <w:sz w:val="24"/>
          <w:szCs w:val="24"/>
        </w:rPr>
        <w:t>kleri</w:t>
      </w:r>
      <w:r w:rsidR="008F79BE" w:rsidRPr="005F583B">
        <w:rPr>
          <w:sz w:val="24"/>
          <w:szCs w:val="24"/>
        </w:rPr>
        <w:t xml:space="preserve"> </w:t>
      </w:r>
      <w:r w:rsidR="007521E2" w:rsidRPr="005F583B">
        <w:rPr>
          <w:sz w:val="24"/>
          <w:szCs w:val="24"/>
        </w:rPr>
        <w:t>bu tedbirin temas ettiği alanı</w:t>
      </w:r>
      <w:r w:rsidR="00373092" w:rsidRPr="005F583B">
        <w:rPr>
          <w:sz w:val="24"/>
          <w:szCs w:val="24"/>
        </w:rPr>
        <w:t xml:space="preserve"> orantısız olarak arttırmaktadır</w:t>
      </w:r>
      <w:r w:rsidR="008F79BE" w:rsidRPr="005F583B">
        <w:rPr>
          <w:sz w:val="24"/>
          <w:szCs w:val="24"/>
        </w:rPr>
        <w:t>. Toplu gözetim</w:t>
      </w:r>
      <w:r w:rsidR="00F506AB" w:rsidRPr="005F583B">
        <w:rPr>
          <w:sz w:val="24"/>
          <w:szCs w:val="24"/>
        </w:rPr>
        <w:t xml:space="preserve"> tedbiri </w:t>
      </w:r>
      <w:r w:rsidR="008F79BE" w:rsidRPr="005F583B">
        <w:rPr>
          <w:sz w:val="24"/>
          <w:szCs w:val="24"/>
        </w:rPr>
        <w:t>diğer gizli gözetim tedbirleri aksine herhangi bir şüphe üze</w:t>
      </w:r>
      <w:r w:rsidR="00F506AB" w:rsidRPr="005F583B">
        <w:rPr>
          <w:sz w:val="24"/>
          <w:szCs w:val="24"/>
        </w:rPr>
        <w:t>rine başlamamaktadır. Toplumdaki herkes her an bu tedbirin konusu olabilirler. Ayrıca daha önce</w:t>
      </w:r>
      <w:r w:rsidR="002F1BA7">
        <w:rPr>
          <w:sz w:val="24"/>
          <w:szCs w:val="24"/>
        </w:rPr>
        <w:t xml:space="preserve"> </w:t>
      </w:r>
      <w:r w:rsidR="00F506AB" w:rsidRPr="005F583B">
        <w:rPr>
          <w:sz w:val="24"/>
          <w:szCs w:val="24"/>
        </w:rPr>
        <w:t>de belirtildiği üzere toplu gözetleme herhangi bir hedef gözetmeksizin tüm internet ağı üzerinde icra ed</w:t>
      </w:r>
      <w:r w:rsidR="007521E2" w:rsidRPr="005F583B">
        <w:rPr>
          <w:sz w:val="24"/>
          <w:szCs w:val="24"/>
        </w:rPr>
        <w:t>ilmektedir</w:t>
      </w:r>
      <w:r w:rsidR="00F506AB" w:rsidRPr="005F583B">
        <w:rPr>
          <w:sz w:val="24"/>
          <w:szCs w:val="24"/>
        </w:rPr>
        <w:t xml:space="preserve">. Diğer gizli gözetleme tedbirlerinin aksine faaliyet esnasında </w:t>
      </w:r>
      <w:r w:rsidR="0079267F" w:rsidRPr="005F583B">
        <w:rPr>
          <w:sz w:val="24"/>
          <w:szCs w:val="24"/>
        </w:rPr>
        <w:t>herhangi</w:t>
      </w:r>
      <w:r w:rsidR="00F506AB" w:rsidRPr="005F583B">
        <w:rPr>
          <w:sz w:val="24"/>
          <w:szCs w:val="24"/>
        </w:rPr>
        <w:t xml:space="preserve"> bir “hedef”e sahip değildir. Bu sebeple uygulayıcılar tarafından kolay bir şekilde istismar edilebilir. Bu sebeple toplu gözetimin diğer tedbirlere ek, örneğin </w:t>
      </w:r>
      <w:r w:rsidR="0079267F" w:rsidRPr="005F583B">
        <w:rPr>
          <w:sz w:val="24"/>
          <w:szCs w:val="24"/>
        </w:rPr>
        <w:t>başvurucuların</w:t>
      </w:r>
      <w:r w:rsidR="00F506AB" w:rsidRPr="005F583B">
        <w:rPr>
          <w:sz w:val="24"/>
          <w:szCs w:val="24"/>
        </w:rPr>
        <w:t xml:space="preserve"> önerdiği icra </w:t>
      </w:r>
      <w:r w:rsidR="007A2AD6" w:rsidRPr="005F583B">
        <w:rPr>
          <w:sz w:val="24"/>
          <w:szCs w:val="24"/>
        </w:rPr>
        <w:t>öncesi yargı</w:t>
      </w:r>
      <w:r w:rsidR="00F506AB" w:rsidRPr="005F583B">
        <w:rPr>
          <w:sz w:val="24"/>
          <w:szCs w:val="24"/>
        </w:rPr>
        <w:t xml:space="preserve"> denetimi gibi, bir tedbire ihtiyaç duyması daha akla yatkın durmaktadır. </w:t>
      </w:r>
    </w:p>
    <w:p w:rsidR="00F506AB" w:rsidRPr="005F583B" w:rsidRDefault="00F506AB" w:rsidP="00400461">
      <w:pPr>
        <w:tabs>
          <w:tab w:val="left" w:pos="8647"/>
        </w:tabs>
        <w:spacing w:after="120" w:line="240" w:lineRule="auto"/>
        <w:ind w:firstLine="421"/>
        <w:jc w:val="both"/>
        <w:rPr>
          <w:sz w:val="24"/>
          <w:szCs w:val="24"/>
        </w:rPr>
      </w:pPr>
      <w:r w:rsidRPr="005F583B">
        <w:rPr>
          <w:sz w:val="24"/>
          <w:szCs w:val="24"/>
        </w:rPr>
        <w:t xml:space="preserve">Karara karşı oy yazısı kaleme almış olan </w:t>
      </w:r>
      <w:r w:rsidR="0079267F" w:rsidRPr="005F583B">
        <w:rPr>
          <w:sz w:val="24"/>
          <w:szCs w:val="24"/>
        </w:rPr>
        <w:t>yargıçların</w:t>
      </w:r>
      <w:r w:rsidRPr="005F583B">
        <w:rPr>
          <w:sz w:val="24"/>
          <w:szCs w:val="24"/>
        </w:rPr>
        <w:t xml:space="preserve"> tespitleri de bu fikri desteklemektedir. Karşı oy yazısı</w:t>
      </w:r>
      <w:r w:rsidR="007521E2" w:rsidRPr="005F583B">
        <w:rPr>
          <w:sz w:val="24"/>
          <w:szCs w:val="24"/>
        </w:rPr>
        <w:t xml:space="preserve"> </w:t>
      </w:r>
      <w:r w:rsidRPr="005F583B">
        <w:rPr>
          <w:sz w:val="24"/>
          <w:szCs w:val="24"/>
        </w:rPr>
        <w:t>toplu gözetimin imkân kabiliyetinin diğer tedbirlerin çok ötesinde olduğunu belirtirken, konuya ilişkin suistimallerin toplumun tümünü etkileyecek, demokratik topluma kökten zarar verebilecek niteliğine dikkat çekmektedirler.</w:t>
      </w:r>
      <w:r w:rsidR="007A2AD6" w:rsidRPr="005F583B">
        <w:rPr>
          <w:sz w:val="24"/>
          <w:szCs w:val="24"/>
        </w:rPr>
        <w:t xml:space="preserve"> Mahkemenin yeni tarihli öngörülen 6 koşula ek güvencelerin getirilmesini tavsiye eden kararlarını örnek gösteren karşı oy yazısı mahkemenin icra öncesi yargısal denetimin en iyi güvence olduğu tespitine katılmakla beraber bu hususun bütün toplu gözetim uygulamalarında standart olarak uygulanmasını önermektedir.</w:t>
      </w:r>
    </w:p>
    <w:p w:rsidR="0079267F" w:rsidRPr="005F583B" w:rsidRDefault="0079267F" w:rsidP="00400461">
      <w:pPr>
        <w:tabs>
          <w:tab w:val="left" w:pos="8647"/>
        </w:tabs>
        <w:spacing w:after="120" w:line="240" w:lineRule="auto"/>
        <w:ind w:firstLine="421"/>
        <w:jc w:val="both"/>
        <w:rPr>
          <w:sz w:val="24"/>
          <w:szCs w:val="24"/>
        </w:rPr>
      </w:pPr>
      <w:r w:rsidRPr="005F583B">
        <w:rPr>
          <w:sz w:val="24"/>
          <w:szCs w:val="24"/>
        </w:rPr>
        <w:t xml:space="preserve">Mahkemenin yabancı istihbarat servisleri ile olan istihbarat paylaşımına ilişkin tespitleri ise ilk olması açısından önem arz etmektedir. Mahkeme istihbarat paylaşımı neticesinde elde edilen bilgilerin de bütün gizli gözetim tedbirleri gibi sonucunda elde edilenlerle aynı prosedüre tabi olması gerektiğini kararında açıkça belirtmektedir. Bu kapsamda Birleşik </w:t>
      </w:r>
      <w:r w:rsidR="007521E2" w:rsidRPr="005F583B">
        <w:rPr>
          <w:sz w:val="24"/>
          <w:szCs w:val="24"/>
        </w:rPr>
        <w:t>Krallı</w:t>
      </w:r>
      <w:r w:rsidR="00FC12EA" w:rsidRPr="005F583B">
        <w:rPr>
          <w:sz w:val="24"/>
          <w:szCs w:val="24"/>
        </w:rPr>
        <w:t>k</w:t>
      </w:r>
      <w:r w:rsidR="007521E2" w:rsidRPr="005F583B">
        <w:rPr>
          <w:sz w:val="24"/>
          <w:szCs w:val="24"/>
        </w:rPr>
        <w:t>’</w:t>
      </w:r>
      <w:r w:rsidR="00FC12EA" w:rsidRPr="005F583B">
        <w:rPr>
          <w:sz w:val="24"/>
          <w:szCs w:val="24"/>
        </w:rPr>
        <w:t>ı</w:t>
      </w:r>
      <w:r w:rsidR="007521E2" w:rsidRPr="005F583B">
        <w:rPr>
          <w:sz w:val="24"/>
          <w:szCs w:val="24"/>
        </w:rPr>
        <w:t>n</w:t>
      </w:r>
      <w:r w:rsidRPr="005F583B">
        <w:rPr>
          <w:sz w:val="24"/>
          <w:szCs w:val="24"/>
        </w:rPr>
        <w:t xml:space="preserve"> ilgili mevzuatını diğer gizli gözetim tedbirleri gibi incelemeye tabi tutan mahkeme öngörmüş olduğu güvencelerin mevzuatta mevcut olduğunu belirterek hak ihlali bulunmadığına hükmetmiştir. Ancak mahkeme için yeni olan istihbarat paylaşımı hususu yakın gelecekte sıkça mahkemenin önüne </w:t>
      </w:r>
      <w:r w:rsidRPr="005F583B">
        <w:rPr>
          <w:sz w:val="24"/>
          <w:szCs w:val="24"/>
        </w:rPr>
        <w:lastRenderedPageBreak/>
        <w:t xml:space="preserve">gelebilecektir. İstihbarat teşkilatları arasında oldukça yaygın olan istihbarat paylaşımı hususu diğer ülke mevzuatları açısından incelenmemiş vaziyettedir. </w:t>
      </w:r>
    </w:p>
    <w:p w:rsidR="0079267F" w:rsidRPr="005F583B" w:rsidRDefault="0079267F" w:rsidP="00400461">
      <w:pPr>
        <w:tabs>
          <w:tab w:val="left" w:pos="8647"/>
        </w:tabs>
        <w:spacing w:after="120" w:line="240" w:lineRule="auto"/>
        <w:ind w:firstLine="421"/>
        <w:jc w:val="both"/>
        <w:rPr>
          <w:sz w:val="24"/>
          <w:szCs w:val="24"/>
        </w:rPr>
      </w:pPr>
      <w:r w:rsidRPr="005F583B">
        <w:rPr>
          <w:sz w:val="24"/>
          <w:szCs w:val="24"/>
        </w:rPr>
        <w:t xml:space="preserve">Mahkeme kararının genel bir değerlendirmesi yapılacak olursa, mahkemenin büyük oranda </w:t>
      </w:r>
      <w:r w:rsidR="007C462F" w:rsidRPr="005F583B">
        <w:rPr>
          <w:sz w:val="24"/>
          <w:szCs w:val="24"/>
        </w:rPr>
        <w:t>başvurucuların</w:t>
      </w:r>
      <w:r w:rsidRPr="005F583B">
        <w:rPr>
          <w:sz w:val="24"/>
          <w:szCs w:val="24"/>
        </w:rPr>
        <w:t xml:space="preserve"> </w:t>
      </w:r>
      <w:r w:rsidR="007C462F" w:rsidRPr="005F583B">
        <w:rPr>
          <w:sz w:val="24"/>
          <w:szCs w:val="24"/>
        </w:rPr>
        <w:t>konuya ilişkin endişelerine hak verdiği</w:t>
      </w:r>
      <w:r w:rsidR="007521E2" w:rsidRPr="005F583B">
        <w:rPr>
          <w:sz w:val="24"/>
          <w:szCs w:val="24"/>
        </w:rPr>
        <w:t>,</w:t>
      </w:r>
      <w:r w:rsidR="007C462F" w:rsidRPr="005F583B">
        <w:rPr>
          <w:sz w:val="24"/>
          <w:szCs w:val="24"/>
        </w:rPr>
        <w:t xml:space="preserve"> yapılan toplu gözetim faaliyetinin özel hayata ciddi şekilde temas eden niteliğiyle ilgili hemfikir olduğu söylenebilir. Bununla beraber mahkeme </w:t>
      </w:r>
      <w:r w:rsidR="00E155D1" w:rsidRPr="005F583B">
        <w:rPr>
          <w:sz w:val="24"/>
          <w:szCs w:val="24"/>
        </w:rPr>
        <w:t>bu noktada</w:t>
      </w:r>
      <w:r w:rsidR="007C462F" w:rsidRPr="005F583B">
        <w:rPr>
          <w:sz w:val="24"/>
          <w:szCs w:val="24"/>
        </w:rPr>
        <w:t xml:space="preserve"> uzun yıllardır süregelen </w:t>
      </w:r>
      <w:r w:rsidR="00E155D1" w:rsidRPr="005F583B">
        <w:rPr>
          <w:sz w:val="24"/>
          <w:szCs w:val="24"/>
        </w:rPr>
        <w:t>içtihadını</w:t>
      </w:r>
      <w:r w:rsidR="007C462F" w:rsidRPr="005F583B">
        <w:rPr>
          <w:sz w:val="24"/>
          <w:szCs w:val="24"/>
        </w:rPr>
        <w:t xml:space="preserve"> tekrarlamış ve küresel bazda karşı karşıya kalınan tehditlerin bertaraf edilmesinin meşru bir sebep olarak kabul edilmesinin bir zorunluluk olduğunu tekrarlamıştır. Terör gruplarının, insan ve uyuşturucu kaçakçılarının bilgi teknolojilerinin </w:t>
      </w:r>
      <w:r w:rsidR="00E155D1" w:rsidRPr="005F583B">
        <w:rPr>
          <w:sz w:val="24"/>
          <w:szCs w:val="24"/>
        </w:rPr>
        <w:t>bütün nimetlerinden f</w:t>
      </w:r>
      <w:r w:rsidR="00451E3E">
        <w:rPr>
          <w:sz w:val="24"/>
          <w:szCs w:val="24"/>
        </w:rPr>
        <w:t>aydalanırken devletlerin bu imkâ</w:t>
      </w:r>
      <w:r w:rsidR="00E155D1" w:rsidRPr="005F583B">
        <w:rPr>
          <w:sz w:val="24"/>
          <w:szCs w:val="24"/>
        </w:rPr>
        <w:t>nları kullanmaması bu unsurlarla yapılan mücadeleyi büyük oranda zafiyete uğratacaktır.</w:t>
      </w:r>
    </w:p>
    <w:p w:rsidR="00FA019C" w:rsidRDefault="00E155D1" w:rsidP="00400461">
      <w:pPr>
        <w:tabs>
          <w:tab w:val="left" w:pos="8647"/>
        </w:tabs>
        <w:spacing w:after="120" w:line="240" w:lineRule="auto"/>
        <w:ind w:firstLine="421"/>
        <w:jc w:val="both"/>
        <w:rPr>
          <w:sz w:val="24"/>
          <w:szCs w:val="24"/>
        </w:rPr>
      </w:pPr>
      <w:r w:rsidRPr="005F583B">
        <w:rPr>
          <w:sz w:val="24"/>
          <w:szCs w:val="24"/>
        </w:rPr>
        <w:t>Bununla b</w:t>
      </w:r>
      <w:r w:rsidR="008720EE" w:rsidRPr="005F583B">
        <w:rPr>
          <w:sz w:val="24"/>
          <w:szCs w:val="24"/>
        </w:rPr>
        <w:t>irlikte</w:t>
      </w:r>
      <w:r w:rsidRPr="005F583B">
        <w:rPr>
          <w:sz w:val="24"/>
          <w:szCs w:val="24"/>
        </w:rPr>
        <w:t xml:space="preserve"> toplu gözetimin kontrolsüz bir şekilde kullanılması sebebiyle ortaya çıkabilecek sakıncaları da kararında belirtmiştir. Gerekli yasal güvencelerin ve denetimin eksikliği mahkemeye göre sadece kişilerin özel hayatına müdahale edilmesi sonucu</w:t>
      </w:r>
      <w:r w:rsidR="008720EE" w:rsidRPr="005F583B">
        <w:rPr>
          <w:sz w:val="24"/>
          <w:szCs w:val="24"/>
        </w:rPr>
        <w:t>nu</w:t>
      </w:r>
      <w:r w:rsidRPr="005F583B">
        <w:rPr>
          <w:sz w:val="24"/>
          <w:szCs w:val="24"/>
        </w:rPr>
        <w:t xml:space="preserve"> doğurmaz, demokratik toplum</w:t>
      </w:r>
      <w:r w:rsidR="00BC3B79">
        <w:rPr>
          <w:sz w:val="24"/>
          <w:szCs w:val="24"/>
        </w:rPr>
        <w:t>a</w:t>
      </w:r>
      <w:r w:rsidRPr="005F583B">
        <w:rPr>
          <w:sz w:val="24"/>
          <w:szCs w:val="24"/>
        </w:rPr>
        <w:t xml:space="preserve"> ve hukuk devleti ilkelerine geri dönülmez şekilde zarar verebilir. Bu tip istismarların önüne geçilebilmesi için özellikle uygulanacak tedbirlerin yasal dayanağının bulunması yanında söz konusu düzenlemelerin idarenin keyfi müdahalesini önleyecek güvenceler ve kontrol mekanizmalarıyla donatılmış olması şarttır. Mahkeme de bu düşüncelerle paralel olarak toplu gözetimin prensip olarak uygulanabilir olduğunu ancak mevzuattaki eksiklikler sebebiyle hak ihlali olduğuna hükmetmiştir. </w:t>
      </w:r>
    </w:p>
    <w:p w:rsidR="00FA019C" w:rsidRDefault="00FA019C">
      <w:pPr>
        <w:rPr>
          <w:sz w:val="24"/>
          <w:szCs w:val="24"/>
        </w:rPr>
      </w:pPr>
      <w:r>
        <w:rPr>
          <w:sz w:val="24"/>
          <w:szCs w:val="24"/>
        </w:rPr>
        <w:br w:type="page"/>
      </w:r>
    </w:p>
    <w:p w:rsidR="007A2AD6" w:rsidRPr="00A4264A" w:rsidRDefault="00ED7D86" w:rsidP="004E02B2">
      <w:pPr>
        <w:spacing w:after="240" w:line="240" w:lineRule="auto"/>
        <w:jc w:val="both"/>
        <w:rPr>
          <w:b/>
          <w:bCs/>
          <w:sz w:val="22"/>
          <w:szCs w:val="22"/>
        </w:rPr>
      </w:pPr>
      <w:r w:rsidRPr="00082467">
        <w:rPr>
          <w:sz w:val="22"/>
          <w:szCs w:val="22"/>
        </w:rPr>
        <w:lastRenderedPageBreak/>
        <w:tab/>
      </w:r>
      <w:r w:rsidRPr="00082467">
        <w:rPr>
          <w:sz w:val="22"/>
          <w:szCs w:val="22"/>
        </w:rPr>
        <w:tab/>
      </w:r>
      <w:r w:rsidRPr="00082467">
        <w:rPr>
          <w:sz w:val="22"/>
          <w:szCs w:val="22"/>
        </w:rPr>
        <w:tab/>
      </w:r>
      <w:r w:rsidRPr="00082467">
        <w:rPr>
          <w:sz w:val="22"/>
          <w:szCs w:val="22"/>
        </w:rPr>
        <w:tab/>
      </w:r>
      <w:r w:rsidR="007A2AD6" w:rsidRPr="00A4264A">
        <w:rPr>
          <w:b/>
          <w:bCs/>
          <w:sz w:val="22"/>
          <w:szCs w:val="22"/>
        </w:rPr>
        <w:t>KAYNAKÇA</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(1978). </w:t>
      </w:r>
      <w:r w:rsidRPr="00A4264A">
        <w:rPr>
          <w:i/>
          <w:iCs/>
          <w:sz w:val="22"/>
          <w:szCs w:val="22"/>
        </w:rPr>
        <w:t xml:space="preserve">Klass ve </w:t>
      </w:r>
      <w:r w:rsidR="00CD00CA" w:rsidRPr="00A4264A">
        <w:rPr>
          <w:i/>
          <w:iCs/>
          <w:sz w:val="22"/>
          <w:szCs w:val="22"/>
        </w:rPr>
        <w:t>d</w:t>
      </w:r>
      <w:r w:rsidRPr="00A4264A">
        <w:rPr>
          <w:i/>
          <w:iCs/>
          <w:sz w:val="22"/>
          <w:szCs w:val="22"/>
        </w:rPr>
        <w:t xml:space="preserve">iğerleri/Almanya </w:t>
      </w:r>
      <w:r w:rsidR="00CD00CA" w:rsidRPr="00A4264A">
        <w:rPr>
          <w:i/>
          <w:iCs/>
          <w:sz w:val="22"/>
          <w:szCs w:val="22"/>
        </w:rPr>
        <w:t>k</w:t>
      </w:r>
      <w:r w:rsidRPr="00A4264A">
        <w:rPr>
          <w:i/>
          <w:iCs/>
          <w:sz w:val="22"/>
          <w:szCs w:val="22"/>
        </w:rPr>
        <w:t>ararı</w:t>
      </w:r>
      <w:r w:rsidR="008F5AA1">
        <w:rPr>
          <w:sz w:val="22"/>
          <w:szCs w:val="22"/>
        </w:rPr>
        <w:t>. “B.S</w:t>
      </w:r>
      <w:proofErr w:type="gramStart"/>
      <w:r w:rsidR="008F5AA1">
        <w:rPr>
          <w:sz w:val="22"/>
          <w:szCs w:val="22"/>
        </w:rPr>
        <w:t>.:</w:t>
      </w:r>
      <w:proofErr w:type="gramEnd"/>
      <w:r w:rsidR="008F5AA1">
        <w:rPr>
          <w:sz w:val="22"/>
          <w:szCs w:val="22"/>
        </w:rPr>
        <w:t xml:space="preserve"> 5029/71”, 06 Eylül.</w:t>
      </w:r>
      <w:r w:rsidRPr="00A4264A">
        <w:rPr>
          <w:sz w:val="22"/>
          <w:szCs w:val="22"/>
        </w:rPr>
        <w:t xml:space="preserve"> </w:t>
      </w:r>
      <w:r w:rsidR="00747D6C" w:rsidRPr="00A4264A">
        <w:rPr>
          <w:sz w:val="22"/>
          <w:szCs w:val="22"/>
        </w:rPr>
        <w:t>14.02.2020</w:t>
      </w:r>
      <w:r w:rsidR="00747D6C">
        <w:rPr>
          <w:sz w:val="22"/>
          <w:szCs w:val="22"/>
        </w:rPr>
        <w:t xml:space="preserve"> tarihinde </w:t>
      </w:r>
      <w:r w:rsidR="004819A7" w:rsidRPr="004819A7">
        <w:rPr>
          <w:sz w:val="22"/>
          <w:szCs w:val="22"/>
        </w:rPr>
        <w:t>https://</w:t>
      </w:r>
      <w:proofErr w:type="gramStart"/>
      <w:r w:rsidR="004819A7" w:rsidRPr="004819A7">
        <w:rPr>
          <w:sz w:val="22"/>
          <w:szCs w:val="22"/>
        </w:rPr>
        <w:t>hudoc.echr</w:t>
      </w:r>
      <w:proofErr w:type="gramEnd"/>
      <w:r w:rsidR="004819A7" w:rsidRPr="004819A7">
        <w:rPr>
          <w:sz w:val="22"/>
          <w:szCs w:val="22"/>
        </w:rPr>
        <w:t>.coe.int/eng#{%22itemid%22:[%22001-57510%22]}</w:t>
      </w:r>
      <w:r w:rsidRPr="00A4264A">
        <w:rPr>
          <w:sz w:val="22"/>
          <w:szCs w:val="22"/>
        </w:rPr>
        <w:t xml:space="preserve"> </w:t>
      </w:r>
      <w:r w:rsidR="00747D6C">
        <w:rPr>
          <w:sz w:val="22"/>
          <w:szCs w:val="22"/>
        </w:rPr>
        <w:t>adresinden alınmıştır</w:t>
      </w:r>
      <w:r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(1984). </w:t>
      </w:r>
      <w:r w:rsidRPr="00A4264A">
        <w:rPr>
          <w:i/>
          <w:iCs/>
          <w:sz w:val="22"/>
          <w:szCs w:val="22"/>
        </w:rPr>
        <w:t xml:space="preserve">Malone/Birleşik Krallık </w:t>
      </w:r>
      <w:r w:rsidR="00CD00CA" w:rsidRPr="00A4264A">
        <w:rPr>
          <w:i/>
          <w:iCs/>
          <w:sz w:val="22"/>
          <w:szCs w:val="22"/>
        </w:rPr>
        <w:t>k</w:t>
      </w:r>
      <w:r w:rsidRPr="00A4264A">
        <w:rPr>
          <w:i/>
          <w:iCs/>
          <w:sz w:val="22"/>
          <w:szCs w:val="22"/>
        </w:rPr>
        <w:t>ararı.</w:t>
      </w:r>
      <w:r w:rsidR="008F5AA1">
        <w:rPr>
          <w:sz w:val="22"/>
          <w:szCs w:val="22"/>
        </w:rPr>
        <w:t xml:space="preserve"> “B.S.: 1979/8691”, 2 Ağustos.</w:t>
      </w:r>
      <w:r w:rsidRPr="00A4264A">
        <w:rPr>
          <w:sz w:val="22"/>
          <w:szCs w:val="22"/>
        </w:rPr>
        <w:t xml:space="preserve"> </w:t>
      </w:r>
      <w:r w:rsidR="00747D6C" w:rsidRPr="00A4264A">
        <w:rPr>
          <w:sz w:val="22"/>
          <w:szCs w:val="22"/>
        </w:rPr>
        <w:t>14.02.2020</w:t>
      </w:r>
      <w:r w:rsidR="00747D6C">
        <w:rPr>
          <w:sz w:val="22"/>
          <w:szCs w:val="22"/>
        </w:rPr>
        <w:t xml:space="preserve"> tarihinde </w:t>
      </w:r>
      <w:r w:rsidR="00F25FFE" w:rsidRPr="00F25FFE">
        <w:rPr>
          <w:sz w:val="22"/>
          <w:szCs w:val="22"/>
        </w:rPr>
        <w:t>https://</w:t>
      </w:r>
      <w:proofErr w:type="gramStart"/>
      <w:r w:rsidR="00F25FFE" w:rsidRPr="00F25FFE">
        <w:rPr>
          <w:sz w:val="22"/>
          <w:szCs w:val="22"/>
        </w:rPr>
        <w:t>hudoc.echr</w:t>
      </w:r>
      <w:proofErr w:type="gramEnd"/>
      <w:r w:rsidR="00F25FFE" w:rsidRPr="00F25FFE">
        <w:rPr>
          <w:sz w:val="22"/>
          <w:szCs w:val="22"/>
        </w:rPr>
        <w:t>.coe.int/eng#{%22itemid%22:[%22001-57533%22]}</w:t>
      </w:r>
      <w:r w:rsidR="00747D6C">
        <w:rPr>
          <w:sz w:val="22"/>
          <w:szCs w:val="22"/>
        </w:rPr>
        <w:t xml:space="preserve"> adresinden alınmıştır</w:t>
      </w:r>
      <w:r w:rsidRPr="00A4264A">
        <w:rPr>
          <w:sz w:val="22"/>
          <w:szCs w:val="22"/>
        </w:rPr>
        <w:t>.</w:t>
      </w:r>
    </w:p>
    <w:p w:rsidR="00747D6C" w:rsidRDefault="005E3CD3" w:rsidP="009910D3">
      <w:pPr>
        <w:spacing w:after="120" w:line="240" w:lineRule="auto"/>
        <w:ind w:left="567" w:hanging="567"/>
        <w:jc w:val="both"/>
        <w:rPr>
          <w:sz w:val="22"/>
          <w:szCs w:val="22"/>
        </w:rPr>
      </w:pPr>
      <w:r w:rsidRPr="00A4264A">
        <w:rPr>
          <w:sz w:val="22"/>
          <w:szCs w:val="22"/>
        </w:rPr>
        <w:t xml:space="preserve">AİHM, (1987). </w:t>
      </w:r>
      <w:r w:rsidRPr="00A4264A">
        <w:rPr>
          <w:i/>
          <w:iCs/>
          <w:sz w:val="22"/>
          <w:szCs w:val="22"/>
        </w:rPr>
        <w:t xml:space="preserve">Leander/İsveç </w:t>
      </w:r>
      <w:r w:rsidR="00CD00CA" w:rsidRPr="00A4264A">
        <w:rPr>
          <w:i/>
          <w:iCs/>
          <w:sz w:val="22"/>
          <w:szCs w:val="22"/>
        </w:rPr>
        <w:t>k</w:t>
      </w:r>
      <w:r w:rsidRPr="00A4264A">
        <w:rPr>
          <w:i/>
          <w:iCs/>
          <w:sz w:val="22"/>
          <w:szCs w:val="22"/>
        </w:rPr>
        <w:t>ararı.</w:t>
      </w:r>
      <w:r w:rsidRPr="00A4264A">
        <w:rPr>
          <w:sz w:val="22"/>
          <w:szCs w:val="22"/>
        </w:rPr>
        <w:t xml:space="preserve"> “B.S.: 116”, 26 Mart 1987. </w:t>
      </w:r>
      <w:r w:rsidR="00747D6C" w:rsidRPr="00A4264A">
        <w:rPr>
          <w:sz w:val="22"/>
          <w:szCs w:val="22"/>
        </w:rPr>
        <w:t>14.02.2020</w:t>
      </w:r>
      <w:r w:rsidR="00747D6C">
        <w:rPr>
          <w:sz w:val="22"/>
          <w:szCs w:val="22"/>
        </w:rPr>
        <w:t xml:space="preserve"> tarihinde </w:t>
      </w:r>
      <w:hyperlink r:id="rId12" w:anchor="{%22itemid%22:[%22001-57519%22]}" w:history="1">
        <w:r w:rsidRPr="00A4264A">
          <w:rPr>
            <w:sz w:val="22"/>
            <w:szCs w:val="22"/>
          </w:rPr>
          <w:t>https://hudoc.echr.coe.int/eng#{%22itemid%22:[%22001-57519%22]}</w:t>
        </w:r>
      </w:hyperlink>
      <w:r w:rsidRPr="00A4264A">
        <w:rPr>
          <w:sz w:val="22"/>
          <w:szCs w:val="22"/>
        </w:rPr>
        <w:t xml:space="preserve"> </w:t>
      </w:r>
      <w:r w:rsidR="00747D6C">
        <w:rPr>
          <w:sz w:val="22"/>
          <w:szCs w:val="22"/>
        </w:rPr>
        <w:t>adresinden alınmıştır</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(1990). </w:t>
      </w:r>
      <w:r w:rsidRPr="00A4264A">
        <w:rPr>
          <w:i/>
          <w:iCs/>
          <w:sz w:val="22"/>
          <w:szCs w:val="22"/>
        </w:rPr>
        <w:t>Huvig/Fransa kararı</w:t>
      </w:r>
      <w:r w:rsidR="008F5AA1">
        <w:rPr>
          <w:sz w:val="22"/>
          <w:szCs w:val="22"/>
        </w:rPr>
        <w:t>. “B.S: 11105/84”, 24 Nisan.</w:t>
      </w:r>
      <w:r w:rsidRPr="00A4264A">
        <w:rPr>
          <w:sz w:val="22"/>
          <w:szCs w:val="22"/>
        </w:rPr>
        <w:t xml:space="preserve"> </w:t>
      </w:r>
      <w:r w:rsidR="00747D6C" w:rsidRPr="00A4264A">
        <w:rPr>
          <w:sz w:val="22"/>
          <w:szCs w:val="22"/>
        </w:rPr>
        <w:t>15.02.2020</w:t>
      </w:r>
      <w:r w:rsidR="00747D6C">
        <w:rPr>
          <w:sz w:val="22"/>
          <w:szCs w:val="22"/>
        </w:rPr>
        <w:t xml:space="preserve"> tarihinde </w:t>
      </w:r>
      <w:hyperlink r:id="rId13" w:history="1">
        <w:r w:rsidRPr="00A4264A">
          <w:rPr>
            <w:sz w:val="22"/>
            <w:szCs w:val="22"/>
          </w:rPr>
          <w:t>http://hudoc.echr.coe.int/fre?i=001-57627</w:t>
        </w:r>
      </w:hyperlink>
      <w:r w:rsidR="00747D6C">
        <w:rPr>
          <w:sz w:val="22"/>
          <w:szCs w:val="22"/>
        </w:rPr>
        <w:t xml:space="preserve"> adresinden alınmıştır</w:t>
      </w:r>
      <w:r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(1998). </w:t>
      </w:r>
      <w:r w:rsidRPr="00A4264A">
        <w:rPr>
          <w:i/>
          <w:iCs/>
          <w:sz w:val="22"/>
          <w:szCs w:val="22"/>
        </w:rPr>
        <w:t>Valenzuela Contreras/İspanya kararı</w:t>
      </w:r>
      <w:r w:rsidR="008F5AA1">
        <w:rPr>
          <w:sz w:val="22"/>
          <w:szCs w:val="22"/>
        </w:rPr>
        <w:t>. B.S: 27671/95, 30 Temmuz.</w:t>
      </w:r>
      <w:r w:rsidRPr="00A4264A">
        <w:rPr>
          <w:sz w:val="22"/>
          <w:szCs w:val="22"/>
        </w:rPr>
        <w:t xml:space="preserve"> </w:t>
      </w:r>
      <w:r w:rsidR="00747D6C" w:rsidRPr="00A4264A">
        <w:rPr>
          <w:sz w:val="22"/>
          <w:szCs w:val="22"/>
        </w:rPr>
        <w:t>14.02.2020</w:t>
      </w:r>
      <w:r w:rsidR="00747D6C">
        <w:rPr>
          <w:sz w:val="22"/>
          <w:szCs w:val="22"/>
        </w:rPr>
        <w:t xml:space="preserve"> tarihinde </w:t>
      </w:r>
      <w:hyperlink r:id="rId14" w:history="1">
        <w:r w:rsidRPr="00A4264A">
          <w:rPr>
            <w:sz w:val="22"/>
            <w:szCs w:val="22"/>
          </w:rPr>
          <w:t>http://hudoc.echr.coe.int/eng?i=001-58208</w:t>
        </w:r>
      </w:hyperlink>
      <w:r w:rsidR="00747D6C">
        <w:rPr>
          <w:sz w:val="22"/>
          <w:szCs w:val="22"/>
        </w:rPr>
        <w:t xml:space="preserve"> adresinden alınmıştır</w:t>
      </w:r>
      <w:r w:rsidRPr="00A4264A">
        <w:rPr>
          <w:sz w:val="22"/>
          <w:szCs w:val="22"/>
        </w:rPr>
        <w:t>.</w:t>
      </w:r>
    </w:p>
    <w:p w:rsidR="00747D6C" w:rsidRPr="00A4264A" w:rsidRDefault="005E3CD3" w:rsidP="009910D3">
      <w:pPr>
        <w:spacing w:after="120" w:line="240" w:lineRule="auto"/>
        <w:ind w:left="567" w:hanging="567"/>
        <w:jc w:val="both"/>
        <w:rPr>
          <w:sz w:val="22"/>
          <w:szCs w:val="22"/>
        </w:rPr>
      </w:pPr>
      <w:r w:rsidRPr="00A4264A">
        <w:rPr>
          <w:sz w:val="22"/>
          <w:szCs w:val="22"/>
        </w:rPr>
        <w:t xml:space="preserve">AİHM, (2000a). </w:t>
      </w:r>
      <w:r w:rsidRPr="00A4264A">
        <w:rPr>
          <w:i/>
          <w:iCs/>
          <w:sz w:val="22"/>
          <w:szCs w:val="22"/>
        </w:rPr>
        <w:t xml:space="preserve">Amann/İsviçre </w:t>
      </w:r>
      <w:r w:rsidR="00CD00CA" w:rsidRPr="00A4264A">
        <w:rPr>
          <w:i/>
          <w:iCs/>
          <w:sz w:val="22"/>
          <w:szCs w:val="22"/>
        </w:rPr>
        <w:t>k</w:t>
      </w:r>
      <w:r w:rsidRPr="00A4264A">
        <w:rPr>
          <w:i/>
          <w:iCs/>
          <w:sz w:val="22"/>
          <w:szCs w:val="22"/>
        </w:rPr>
        <w:t>ararı</w:t>
      </w:r>
      <w:r w:rsidRPr="00A4264A">
        <w:rPr>
          <w:sz w:val="22"/>
          <w:szCs w:val="22"/>
        </w:rPr>
        <w:t>.</w:t>
      </w:r>
      <w:r w:rsidR="00CD00CA" w:rsidRPr="00A4264A">
        <w:rPr>
          <w:sz w:val="22"/>
          <w:szCs w:val="22"/>
        </w:rPr>
        <w:t xml:space="preserve"> </w:t>
      </w:r>
      <w:r w:rsidR="008F5AA1">
        <w:rPr>
          <w:sz w:val="22"/>
          <w:szCs w:val="22"/>
        </w:rPr>
        <w:t>“B.S.: 27798/95”, 16 Şubat.</w:t>
      </w:r>
      <w:r w:rsidRPr="00A4264A">
        <w:rPr>
          <w:sz w:val="22"/>
          <w:szCs w:val="22"/>
        </w:rPr>
        <w:t xml:space="preserve"> </w:t>
      </w:r>
      <w:r w:rsidR="00747D6C" w:rsidRPr="00A4264A">
        <w:rPr>
          <w:sz w:val="22"/>
          <w:szCs w:val="22"/>
        </w:rPr>
        <w:t>14.02.2020</w:t>
      </w:r>
      <w:r w:rsidR="00747D6C">
        <w:rPr>
          <w:sz w:val="22"/>
          <w:szCs w:val="22"/>
        </w:rPr>
        <w:t xml:space="preserve"> tarihinde </w:t>
      </w:r>
      <w:hyperlink r:id="rId15" w:history="1">
        <w:r w:rsidRPr="00A4264A">
          <w:rPr>
            <w:rStyle w:val="Kpr"/>
            <w:color w:val="auto"/>
            <w:sz w:val="22"/>
            <w:szCs w:val="22"/>
            <w:u w:val="none"/>
          </w:rPr>
          <w:t>http://hudoc.echr.coe.int/eng?i=001-58497</w:t>
        </w:r>
      </w:hyperlink>
      <w:r w:rsidR="00747D6C">
        <w:rPr>
          <w:sz w:val="22"/>
          <w:szCs w:val="22"/>
        </w:rPr>
        <w:t xml:space="preserve"> adresinden alınmıştır</w:t>
      </w:r>
      <w:r w:rsidR="00747D6C"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(2000b). </w:t>
      </w:r>
      <w:r w:rsidRPr="00A4264A">
        <w:rPr>
          <w:i/>
          <w:iCs/>
          <w:sz w:val="22"/>
          <w:szCs w:val="22"/>
        </w:rPr>
        <w:t xml:space="preserve">Rotaru/Romanya </w:t>
      </w:r>
      <w:r w:rsidR="00CD00CA" w:rsidRPr="00A4264A">
        <w:rPr>
          <w:i/>
          <w:iCs/>
          <w:sz w:val="22"/>
          <w:szCs w:val="22"/>
        </w:rPr>
        <w:t>k</w:t>
      </w:r>
      <w:r w:rsidRPr="00A4264A">
        <w:rPr>
          <w:i/>
          <w:iCs/>
          <w:sz w:val="22"/>
          <w:szCs w:val="22"/>
        </w:rPr>
        <w:t>ararı.</w:t>
      </w:r>
      <w:r w:rsidRPr="00A4264A">
        <w:rPr>
          <w:sz w:val="22"/>
          <w:szCs w:val="22"/>
        </w:rPr>
        <w:t xml:space="preserve"> “B.S.: 1995/28341”, 4 Mayıs</w:t>
      </w:r>
      <w:r w:rsidR="008F5AA1">
        <w:rPr>
          <w:sz w:val="22"/>
          <w:szCs w:val="22"/>
        </w:rPr>
        <w:t>.</w:t>
      </w:r>
      <w:r w:rsidRPr="00A4264A">
        <w:rPr>
          <w:sz w:val="22"/>
          <w:szCs w:val="22"/>
        </w:rPr>
        <w:t xml:space="preserve"> </w:t>
      </w:r>
      <w:r w:rsidR="00747D6C" w:rsidRPr="00A4264A">
        <w:rPr>
          <w:sz w:val="22"/>
          <w:szCs w:val="22"/>
        </w:rPr>
        <w:t>14.02.2020</w:t>
      </w:r>
      <w:r w:rsidR="00747D6C">
        <w:rPr>
          <w:sz w:val="22"/>
          <w:szCs w:val="22"/>
        </w:rPr>
        <w:t xml:space="preserve"> tarihinde </w:t>
      </w:r>
      <w:hyperlink r:id="rId16" w:anchor="{%22itemid%22:[%22001-58586%22]}" w:history="1">
        <w:r w:rsidRPr="00A4264A">
          <w:rPr>
            <w:sz w:val="22"/>
            <w:szCs w:val="22"/>
          </w:rPr>
          <w:t>https://hudoc.echr.coe.int/eng#{%22itemid%22:[%22001-58586%22]}</w:t>
        </w:r>
      </w:hyperlink>
      <w:r w:rsidRPr="00A4264A">
        <w:rPr>
          <w:sz w:val="22"/>
          <w:szCs w:val="22"/>
        </w:rPr>
        <w:t xml:space="preserve"> </w:t>
      </w:r>
      <w:r w:rsidR="00747D6C">
        <w:rPr>
          <w:sz w:val="22"/>
          <w:szCs w:val="22"/>
        </w:rPr>
        <w:t>adresinden alınmıştır</w:t>
      </w:r>
      <w:r w:rsidR="00747D6C" w:rsidRPr="00A4264A">
        <w:rPr>
          <w:sz w:val="22"/>
          <w:szCs w:val="22"/>
        </w:rPr>
        <w:t>.</w:t>
      </w:r>
    </w:p>
    <w:p w:rsidR="00747D6C" w:rsidRDefault="005E3CD3" w:rsidP="009910D3">
      <w:pPr>
        <w:spacing w:after="120" w:line="240" w:lineRule="auto"/>
        <w:ind w:left="567" w:hanging="567"/>
        <w:jc w:val="both"/>
        <w:rPr>
          <w:sz w:val="22"/>
          <w:szCs w:val="22"/>
        </w:rPr>
      </w:pPr>
      <w:r w:rsidRPr="00A4264A">
        <w:rPr>
          <w:sz w:val="22"/>
          <w:szCs w:val="22"/>
        </w:rPr>
        <w:t xml:space="preserve">AİHM, (2000c). </w:t>
      </w:r>
      <w:r w:rsidRPr="00A4264A">
        <w:rPr>
          <w:i/>
          <w:iCs/>
          <w:sz w:val="22"/>
          <w:szCs w:val="22"/>
        </w:rPr>
        <w:t xml:space="preserve">Uzun/Almanya </w:t>
      </w:r>
      <w:r w:rsidR="00CD00CA" w:rsidRPr="00A4264A">
        <w:rPr>
          <w:i/>
          <w:iCs/>
          <w:sz w:val="22"/>
          <w:szCs w:val="22"/>
        </w:rPr>
        <w:t>k</w:t>
      </w:r>
      <w:r w:rsidRPr="00A4264A">
        <w:rPr>
          <w:i/>
          <w:iCs/>
          <w:sz w:val="22"/>
          <w:szCs w:val="22"/>
        </w:rPr>
        <w:t>ararı.</w:t>
      </w:r>
      <w:r w:rsidR="008F5AA1">
        <w:rPr>
          <w:sz w:val="22"/>
          <w:szCs w:val="22"/>
        </w:rPr>
        <w:t xml:space="preserve"> “B.S.: 35623/05”, 4 Mayıs 2000.</w:t>
      </w:r>
      <w:r w:rsidRPr="00A4264A">
        <w:rPr>
          <w:sz w:val="22"/>
          <w:szCs w:val="22"/>
        </w:rPr>
        <w:t xml:space="preserve">                                      </w:t>
      </w:r>
      <w:r w:rsidR="00747D6C" w:rsidRPr="00A4264A">
        <w:rPr>
          <w:sz w:val="22"/>
          <w:szCs w:val="22"/>
        </w:rPr>
        <w:t>14.02.2020</w:t>
      </w:r>
      <w:r w:rsidR="00747D6C">
        <w:rPr>
          <w:sz w:val="22"/>
          <w:szCs w:val="22"/>
        </w:rPr>
        <w:t xml:space="preserve"> tarihinde </w:t>
      </w:r>
      <w:hyperlink r:id="rId17" w:anchor="{%22itemid%22:[%22001-100293%22]}" w:history="1">
        <w:r w:rsidRPr="00A4264A">
          <w:rPr>
            <w:sz w:val="22"/>
            <w:szCs w:val="22"/>
          </w:rPr>
          <w:t>https://hudoc.echr.coe.int/eng#{%22itemid%22:[%22001-100293%22]}</w:t>
        </w:r>
      </w:hyperlink>
      <w:r w:rsidRPr="00A4264A">
        <w:rPr>
          <w:sz w:val="22"/>
          <w:szCs w:val="22"/>
        </w:rPr>
        <w:t xml:space="preserve"> </w:t>
      </w:r>
      <w:r w:rsidR="00747D6C">
        <w:rPr>
          <w:sz w:val="22"/>
          <w:szCs w:val="22"/>
        </w:rPr>
        <w:t>adresinden alınmıştır</w:t>
      </w:r>
      <w:r w:rsidR="00747D6C" w:rsidRPr="00A4264A">
        <w:rPr>
          <w:sz w:val="22"/>
          <w:szCs w:val="22"/>
        </w:rPr>
        <w:t xml:space="preserve">. </w:t>
      </w:r>
    </w:p>
    <w:p w:rsidR="00207FA3" w:rsidRDefault="005E3CD3" w:rsidP="009910D3">
      <w:pPr>
        <w:spacing w:after="120" w:line="240" w:lineRule="auto"/>
        <w:ind w:left="567" w:hanging="567"/>
        <w:jc w:val="both"/>
        <w:rPr>
          <w:sz w:val="22"/>
          <w:szCs w:val="22"/>
        </w:rPr>
      </w:pPr>
      <w:r w:rsidRPr="00A4264A">
        <w:rPr>
          <w:sz w:val="22"/>
          <w:szCs w:val="22"/>
        </w:rPr>
        <w:t xml:space="preserve">AİHM, (2003). </w:t>
      </w:r>
      <w:r w:rsidRPr="00A4264A">
        <w:rPr>
          <w:i/>
          <w:iCs/>
          <w:sz w:val="22"/>
          <w:szCs w:val="22"/>
        </w:rPr>
        <w:t>Prado Bugallo/İspanya kararı</w:t>
      </w:r>
      <w:r w:rsidR="008F5AA1">
        <w:rPr>
          <w:sz w:val="22"/>
          <w:szCs w:val="22"/>
        </w:rPr>
        <w:t>. “B.S: 58496/00”, 18 Mayıs.</w:t>
      </w:r>
      <w:r w:rsidRPr="00A4264A">
        <w:rPr>
          <w:sz w:val="22"/>
          <w:szCs w:val="22"/>
        </w:rPr>
        <w:t xml:space="preserve"> </w:t>
      </w:r>
      <w:r w:rsidR="00207FA3" w:rsidRPr="00A4264A">
        <w:rPr>
          <w:sz w:val="22"/>
          <w:szCs w:val="22"/>
        </w:rPr>
        <w:t>15.02.2020</w:t>
      </w:r>
      <w:r w:rsidR="00207FA3">
        <w:rPr>
          <w:sz w:val="22"/>
          <w:szCs w:val="22"/>
        </w:rPr>
        <w:t xml:space="preserve"> </w:t>
      </w:r>
      <w:r w:rsidR="00747D6C">
        <w:rPr>
          <w:sz w:val="22"/>
          <w:szCs w:val="22"/>
        </w:rPr>
        <w:t xml:space="preserve">tarihinde </w:t>
      </w:r>
      <w:hyperlink r:id="rId18" w:history="1">
        <w:r w:rsidRPr="00A4264A">
          <w:rPr>
            <w:sz w:val="22"/>
            <w:szCs w:val="22"/>
          </w:rPr>
          <w:t>http://hudoc.echr.coe.int/eng?i=001-65499</w:t>
        </w:r>
      </w:hyperlink>
      <w:r w:rsidRPr="00A4264A">
        <w:rPr>
          <w:sz w:val="22"/>
          <w:szCs w:val="22"/>
        </w:rPr>
        <w:t xml:space="preserve"> </w:t>
      </w:r>
      <w:r w:rsidR="00207FA3">
        <w:rPr>
          <w:sz w:val="22"/>
          <w:szCs w:val="22"/>
        </w:rPr>
        <w:t>adresinden alınmıştır</w:t>
      </w:r>
      <w:r w:rsidR="00207FA3" w:rsidRPr="00A4264A">
        <w:rPr>
          <w:sz w:val="22"/>
          <w:szCs w:val="22"/>
        </w:rPr>
        <w:t xml:space="preserve">. </w:t>
      </w:r>
    </w:p>
    <w:p w:rsidR="00B80226" w:rsidRDefault="005E3CD3" w:rsidP="009910D3">
      <w:pPr>
        <w:spacing w:after="120" w:line="240" w:lineRule="auto"/>
        <w:ind w:left="567" w:hanging="567"/>
        <w:jc w:val="both"/>
        <w:rPr>
          <w:sz w:val="22"/>
          <w:szCs w:val="22"/>
        </w:rPr>
      </w:pPr>
      <w:r w:rsidRPr="00A4264A">
        <w:rPr>
          <w:sz w:val="22"/>
          <w:szCs w:val="22"/>
        </w:rPr>
        <w:t xml:space="preserve">AİHM, (2006). </w:t>
      </w:r>
      <w:r w:rsidRPr="00A4264A">
        <w:rPr>
          <w:i/>
          <w:iCs/>
          <w:sz w:val="22"/>
          <w:szCs w:val="22"/>
        </w:rPr>
        <w:t xml:space="preserve">Weber ve Saravia/Almanya </w:t>
      </w:r>
      <w:r w:rsidR="00CD00CA" w:rsidRPr="00A4264A">
        <w:rPr>
          <w:i/>
          <w:iCs/>
          <w:sz w:val="22"/>
          <w:szCs w:val="22"/>
        </w:rPr>
        <w:t>k</w:t>
      </w:r>
      <w:r w:rsidRPr="00A4264A">
        <w:rPr>
          <w:i/>
          <w:iCs/>
          <w:sz w:val="22"/>
          <w:szCs w:val="22"/>
        </w:rPr>
        <w:t>ararı.</w:t>
      </w:r>
      <w:r w:rsidRPr="00A4264A">
        <w:rPr>
          <w:sz w:val="22"/>
          <w:szCs w:val="22"/>
        </w:rPr>
        <w:t xml:space="preserve"> “B.S.: 54934/00”, 26 Haziran</w:t>
      </w:r>
      <w:r w:rsidR="008F5AA1">
        <w:rPr>
          <w:sz w:val="22"/>
          <w:szCs w:val="22"/>
        </w:rPr>
        <w:t>.</w:t>
      </w:r>
      <w:r w:rsidRPr="00A4264A">
        <w:rPr>
          <w:sz w:val="22"/>
          <w:szCs w:val="22"/>
        </w:rPr>
        <w:t xml:space="preserve"> </w:t>
      </w:r>
      <w:r w:rsidR="00B80226" w:rsidRPr="00A4264A">
        <w:rPr>
          <w:sz w:val="22"/>
          <w:szCs w:val="22"/>
        </w:rPr>
        <w:t>14.02.2020</w:t>
      </w:r>
      <w:r w:rsidR="00B80226">
        <w:rPr>
          <w:sz w:val="22"/>
          <w:szCs w:val="22"/>
        </w:rPr>
        <w:t xml:space="preserve"> </w:t>
      </w:r>
      <w:r w:rsidR="00747D6C">
        <w:rPr>
          <w:sz w:val="22"/>
          <w:szCs w:val="22"/>
        </w:rPr>
        <w:t xml:space="preserve">tarihinde </w:t>
      </w:r>
      <w:hyperlink r:id="rId19" w:history="1">
        <w:r w:rsidRPr="00A4264A">
          <w:rPr>
            <w:rStyle w:val="Kpr"/>
            <w:color w:val="auto"/>
            <w:sz w:val="22"/>
            <w:szCs w:val="22"/>
            <w:u w:val="none"/>
          </w:rPr>
          <w:t>http://hudoc.echr.coe.int/eng?i=001-76586</w:t>
        </w:r>
      </w:hyperlink>
      <w:r w:rsidRPr="00A4264A">
        <w:rPr>
          <w:sz w:val="22"/>
          <w:szCs w:val="22"/>
        </w:rPr>
        <w:t xml:space="preserve"> </w:t>
      </w:r>
      <w:r w:rsidR="00B80226">
        <w:rPr>
          <w:sz w:val="22"/>
          <w:szCs w:val="22"/>
        </w:rPr>
        <w:t>adresinden alınmıştır</w:t>
      </w:r>
      <w:r w:rsidR="00B80226" w:rsidRPr="00A4264A">
        <w:rPr>
          <w:sz w:val="22"/>
          <w:szCs w:val="22"/>
        </w:rPr>
        <w:t xml:space="preserve">. </w:t>
      </w:r>
    </w:p>
    <w:p w:rsidR="00B80226" w:rsidRDefault="005E3CD3" w:rsidP="009910D3">
      <w:pPr>
        <w:spacing w:after="120" w:line="240" w:lineRule="auto"/>
        <w:ind w:left="567" w:hanging="567"/>
        <w:jc w:val="both"/>
        <w:rPr>
          <w:sz w:val="22"/>
          <w:szCs w:val="22"/>
        </w:rPr>
      </w:pPr>
      <w:r w:rsidRPr="00A4264A">
        <w:rPr>
          <w:sz w:val="22"/>
          <w:szCs w:val="22"/>
        </w:rPr>
        <w:t>AİHM, (2008).</w:t>
      </w:r>
      <w:r w:rsidRPr="00A4264A">
        <w:rPr>
          <w:b/>
          <w:bCs/>
          <w:sz w:val="22"/>
          <w:szCs w:val="22"/>
        </w:rPr>
        <w:t xml:space="preserve"> </w:t>
      </w:r>
      <w:r w:rsidRPr="00A4264A">
        <w:rPr>
          <w:i/>
          <w:iCs/>
          <w:sz w:val="22"/>
          <w:szCs w:val="22"/>
        </w:rPr>
        <w:t xml:space="preserve">The </w:t>
      </w:r>
      <w:r w:rsidR="00CD00CA" w:rsidRPr="00A4264A">
        <w:rPr>
          <w:i/>
          <w:iCs/>
          <w:sz w:val="22"/>
          <w:szCs w:val="22"/>
        </w:rPr>
        <w:t>a</w:t>
      </w:r>
      <w:r w:rsidRPr="00A4264A">
        <w:rPr>
          <w:i/>
          <w:iCs/>
          <w:sz w:val="22"/>
          <w:szCs w:val="22"/>
        </w:rPr>
        <w:t xml:space="preserve">ssociation for European </w:t>
      </w:r>
      <w:r w:rsidR="00CD00CA" w:rsidRPr="00A4264A">
        <w:rPr>
          <w:i/>
          <w:iCs/>
          <w:sz w:val="22"/>
          <w:szCs w:val="22"/>
        </w:rPr>
        <w:t>i</w:t>
      </w:r>
      <w:r w:rsidRPr="00A4264A">
        <w:rPr>
          <w:i/>
          <w:iCs/>
          <w:sz w:val="22"/>
          <w:szCs w:val="22"/>
        </w:rPr>
        <w:t xml:space="preserve">ntegration and </w:t>
      </w:r>
      <w:r w:rsidR="00CD00CA" w:rsidRPr="00A4264A">
        <w:rPr>
          <w:i/>
          <w:iCs/>
          <w:sz w:val="22"/>
          <w:szCs w:val="22"/>
        </w:rPr>
        <w:t>h</w:t>
      </w:r>
      <w:r w:rsidRPr="00A4264A">
        <w:rPr>
          <w:i/>
          <w:iCs/>
          <w:sz w:val="22"/>
          <w:szCs w:val="22"/>
        </w:rPr>
        <w:t xml:space="preserve">uman </w:t>
      </w:r>
      <w:r w:rsidR="00CD00CA" w:rsidRPr="00A4264A">
        <w:rPr>
          <w:i/>
          <w:iCs/>
          <w:sz w:val="22"/>
          <w:szCs w:val="22"/>
        </w:rPr>
        <w:t>r</w:t>
      </w:r>
      <w:r w:rsidRPr="00A4264A">
        <w:rPr>
          <w:i/>
          <w:iCs/>
          <w:sz w:val="22"/>
          <w:szCs w:val="22"/>
        </w:rPr>
        <w:t>ights and  Ekimdzhiev/ Bulgaristan kararı.</w:t>
      </w:r>
      <w:r w:rsidR="008F5AA1">
        <w:rPr>
          <w:sz w:val="22"/>
          <w:szCs w:val="22"/>
        </w:rPr>
        <w:t xml:space="preserve"> “B.S.: 62540/00”, 30 Ocak.</w:t>
      </w:r>
      <w:r w:rsidRPr="00A4264A">
        <w:rPr>
          <w:sz w:val="22"/>
          <w:szCs w:val="22"/>
        </w:rPr>
        <w:t xml:space="preserve"> </w:t>
      </w:r>
      <w:r w:rsidR="00B80226" w:rsidRPr="00A4264A">
        <w:rPr>
          <w:sz w:val="22"/>
          <w:szCs w:val="22"/>
        </w:rPr>
        <w:t>14.02.2020</w:t>
      </w:r>
      <w:r w:rsidR="00B80226">
        <w:rPr>
          <w:sz w:val="22"/>
          <w:szCs w:val="22"/>
        </w:rPr>
        <w:t xml:space="preserve"> </w:t>
      </w:r>
      <w:r w:rsidR="00747D6C">
        <w:rPr>
          <w:sz w:val="22"/>
          <w:szCs w:val="22"/>
        </w:rPr>
        <w:t xml:space="preserve">tarihinde </w:t>
      </w:r>
      <w:hyperlink r:id="rId20" w:history="1">
        <w:r w:rsidRPr="00A4264A">
          <w:rPr>
            <w:sz w:val="22"/>
            <w:szCs w:val="22"/>
          </w:rPr>
          <w:t>http://hudoc.echr.coe.int/eng?i=001-81323</w:t>
        </w:r>
      </w:hyperlink>
      <w:r w:rsidRPr="00A4264A">
        <w:rPr>
          <w:sz w:val="22"/>
          <w:szCs w:val="22"/>
        </w:rPr>
        <w:t xml:space="preserve"> </w:t>
      </w:r>
      <w:r w:rsidR="00B80226">
        <w:rPr>
          <w:sz w:val="22"/>
          <w:szCs w:val="22"/>
        </w:rPr>
        <w:t>adresinden alınmıştır</w:t>
      </w:r>
      <w:r w:rsidR="00B80226" w:rsidRPr="00A4264A">
        <w:rPr>
          <w:sz w:val="22"/>
          <w:szCs w:val="22"/>
        </w:rPr>
        <w:t xml:space="preserve">. </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(2010). </w:t>
      </w:r>
      <w:r w:rsidRPr="00A4264A">
        <w:rPr>
          <w:i/>
          <w:iCs/>
          <w:sz w:val="22"/>
          <w:szCs w:val="22"/>
        </w:rPr>
        <w:t>Kennedy/Birleşik Krallık kararı</w:t>
      </w:r>
      <w:r w:rsidRPr="00A4264A">
        <w:rPr>
          <w:sz w:val="22"/>
          <w:szCs w:val="22"/>
        </w:rPr>
        <w:t>. “B</w:t>
      </w:r>
      <w:r w:rsidR="008F5AA1">
        <w:rPr>
          <w:sz w:val="22"/>
          <w:szCs w:val="22"/>
        </w:rPr>
        <w:t>.S: 26839/05”, 18 Mayıs.</w:t>
      </w:r>
      <w:r w:rsidRPr="00A4264A">
        <w:rPr>
          <w:sz w:val="22"/>
          <w:szCs w:val="22"/>
        </w:rPr>
        <w:t xml:space="preserve"> </w:t>
      </w:r>
      <w:r w:rsidR="00B80226" w:rsidRPr="00A4264A">
        <w:rPr>
          <w:sz w:val="22"/>
          <w:szCs w:val="22"/>
        </w:rPr>
        <w:t>15.02.2020</w:t>
      </w:r>
      <w:r w:rsidR="00B80226">
        <w:rPr>
          <w:sz w:val="22"/>
          <w:szCs w:val="22"/>
        </w:rPr>
        <w:t xml:space="preserve"> </w:t>
      </w:r>
      <w:r w:rsidR="00747D6C">
        <w:rPr>
          <w:sz w:val="22"/>
          <w:szCs w:val="22"/>
        </w:rPr>
        <w:t xml:space="preserve">tarihinde </w:t>
      </w:r>
      <w:hyperlink r:id="rId21" w:history="1">
        <w:r w:rsidRPr="00A4264A">
          <w:rPr>
            <w:sz w:val="22"/>
            <w:szCs w:val="22"/>
          </w:rPr>
          <w:t>http://hudoc.echr.coe.int/eng?i=001-65499</w:t>
        </w:r>
      </w:hyperlink>
      <w:r w:rsidRPr="00A4264A">
        <w:rPr>
          <w:sz w:val="22"/>
          <w:szCs w:val="22"/>
        </w:rPr>
        <w:t xml:space="preserve"> </w:t>
      </w:r>
      <w:r w:rsidR="00B80226">
        <w:rPr>
          <w:sz w:val="22"/>
          <w:szCs w:val="22"/>
        </w:rPr>
        <w:t>adresinden alınmıştır</w:t>
      </w:r>
      <w:r w:rsidR="00B80226" w:rsidRPr="00A4264A">
        <w:rPr>
          <w:sz w:val="22"/>
          <w:szCs w:val="22"/>
        </w:rPr>
        <w:t>.</w:t>
      </w:r>
    </w:p>
    <w:p w:rsidR="00B80226" w:rsidRPr="00A4264A" w:rsidRDefault="005E3CD3" w:rsidP="009910D3">
      <w:pPr>
        <w:spacing w:after="120" w:line="240" w:lineRule="auto"/>
        <w:ind w:left="567" w:hanging="567"/>
        <w:jc w:val="both"/>
        <w:rPr>
          <w:sz w:val="22"/>
          <w:szCs w:val="22"/>
        </w:rPr>
      </w:pPr>
      <w:r w:rsidRPr="00A4264A">
        <w:rPr>
          <w:sz w:val="22"/>
          <w:szCs w:val="22"/>
        </w:rPr>
        <w:lastRenderedPageBreak/>
        <w:t>AİHM, (2012).</w:t>
      </w:r>
      <w:r w:rsidRPr="00A4264A">
        <w:rPr>
          <w:b/>
          <w:bCs/>
          <w:sz w:val="22"/>
          <w:szCs w:val="22"/>
        </w:rPr>
        <w:t xml:space="preserve"> </w:t>
      </w:r>
      <w:r w:rsidRPr="00A4264A">
        <w:rPr>
          <w:i/>
          <w:iCs/>
          <w:sz w:val="22"/>
          <w:szCs w:val="22"/>
        </w:rPr>
        <w:t xml:space="preserve">Telegraaf </w:t>
      </w:r>
      <w:r w:rsidR="00CD00CA" w:rsidRPr="00A4264A">
        <w:rPr>
          <w:i/>
          <w:iCs/>
          <w:sz w:val="22"/>
          <w:szCs w:val="22"/>
        </w:rPr>
        <w:t>m</w:t>
      </w:r>
      <w:r w:rsidRPr="00A4264A">
        <w:rPr>
          <w:i/>
          <w:iCs/>
          <w:sz w:val="22"/>
          <w:szCs w:val="22"/>
        </w:rPr>
        <w:t xml:space="preserve">edia Nederland Landelijke </w:t>
      </w:r>
      <w:r w:rsidR="00CD00CA" w:rsidRPr="00A4264A">
        <w:rPr>
          <w:i/>
          <w:iCs/>
          <w:sz w:val="22"/>
          <w:szCs w:val="22"/>
        </w:rPr>
        <w:t>m</w:t>
      </w:r>
      <w:r w:rsidRPr="00A4264A">
        <w:rPr>
          <w:i/>
          <w:iCs/>
          <w:sz w:val="22"/>
          <w:szCs w:val="22"/>
        </w:rPr>
        <w:t xml:space="preserve">edia B.V. ve diğerleri/Hollanda </w:t>
      </w:r>
      <w:r w:rsidR="00CD00CA" w:rsidRPr="00A4264A">
        <w:rPr>
          <w:i/>
          <w:iCs/>
          <w:sz w:val="22"/>
          <w:szCs w:val="22"/>
        </w:rPr>
        <w:t>k</w:t>
      </w:r>
      <w:r w:rsidRPr="00A4264A">
        <w:rPr>
          <w:i/>
          <w:iCs/>
          <w:sz w:val="22"/>
          <w:szCs w:val="22"/>
        </w:rPr>
        <w:t>ararı</w:t>
      </w:r>
      <w:r w:rsidRPr="00A4264A">
        <w:rPr>
          <w:sz w:val="22"/>
          <w:szCs w:val="22"/>
        </w:rPr>
        <w:t>. “B.S: 39315/0</w:t>
      </w:r>
      <w:r w:rsidR="008F5AA1">
        <w:rPr>
          <w:sz w:val="22"/>
          <w:szCs w:val="22"/>
        </w:rPr>
        <w:t>6”, 22 Kasım.</w:t>
      </w:r>
      <w:r w:rsidRPr="00A4264A">
        <w:rPr>
          <w:sz w:val="22"/>
          <w:szCs w:val="22"/>
        </w:rPr>
        <w:t xml:space="preserve">  </w:t>
      </w:r>
      <w:r w:rsidR="00B80226" w:rsidRPr="00A4264A">
        <w:rPr>
          <w:sz w:val="22"/>
          <w:szCs w:val="22"/>
        </w:rPr>
        <w:t>15.02.2020</w:t>
      </w:r>
      <w:r w:rsidR="00B80226">
        <w:rPr>
          <w:sz w:val="22"/>
          <w:szCs w:val="22"/>
        </w:rPr>
        <w:t xml:space="preserve"> </w:t>
      </w:r>
      <w:r w:rsidR="00747D6C">
        <w:rPr>
          <w:sz w:val="22"/>
          <w:szCs w:val="22"/>
        </w:rPr>
        <w:t xml:space="preserve">tarihinde </w:t>
      </w:r>
      <w:hyperlink r:id="rId22" w:history="1">
        <w:r w:rsidRPr="00A4264A">
          <w:rPr>
            <w:sz w:val="22"/>
            <w:szCs w:val="22"/>
          </w:rPr>
          <w:t>http://hudoc.echr.coe.int/eng?i=001-114439</w:t>
        </w:r>
      </w:hyperlink>
      <w:r w:rsidRPr="00A4264A">
        <w:rPr>
          <w:sz w:val="22"/>
          <w:szCs w:val="22"/>
        </w:rPr>
        <w:t xml:space="preserve"> </w:t>
      </w:r>
      <w:r w:rsidR="00B80226">
        <w:rPr>
          <w:sz w:val="22"/>
          <w:szCs w:val="22"/>
        </w:rPr>
        <w:t>adresinden alınmıştır</w:t>
      </w:r>
      <w:r w:rsidR="00B80226"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AİHM, (2015). </w:t>
      </w:r>
      <w:r w:rsidRPr="00A4264A">
        <w:rPr>
          <w:i/>
          <w:iCs/>
          <w:sz w:val="22"/>
          <w:szCs w:val="22"/>
        </w:rPr>
        <w:t xml:space="preserve">Roman Zakharov/Rusya </w:t>
      </w:r>
      <w:r w:rsidR="00CD00CA" w:rsidRPr="00A4264A">
        <w:rPr>
          <w:i/>
          <w:iCs/>
          <w:sz w:val="22"/>
          <w:szCs w:val="22"/>
        </w:rPr>
        <w:t>k</w:t>
      </w:r>
      <w:r w:rsidRPr="00A4264A">
        <w:rPr>
          <w:i/>
          <w:iCs/>
          <w:sz w:val="22"/>
          <w:szCs w:val="22"/>
        </w:rPr>
        <w:t>ararı.</w:t>
      </w:r>
      <w:r w:rsidR="008F5AA1">
        <w:rPr>
          <w:sz w:val="22"/>
          <w:szCs w:val="22"/>
        </w:rPr>
        <w:t xml:space="preserve"> “B.S.: 47143/06”, 4 Aralık.</w:t>
      </w:r>
      <w:r w:rsidRPr="00A4264A">
        <w:rPr>
          <w:sz w:val="22"/>
          <w:szCs w:val="22"/>
        </w:rPr>
        <w:t xml:space="preserve"> </w:t>
      </w:r>
      <w:r w:rsidR="00B80226" w:rsidRPr="00A4264A">
        <w:rPr>
          <w:sz w:val="22"/>
          <w:szCs w:val="22"/>
        </w:rPr>
        <w:t>14.02.2020</w:t>
      </w:r>
      <w:r w:rsidR="00B80226">
        <w:rPr>
          <w:sz w:val="22"/>
          <w:szCs w:val="22"/>
        </w:rPr>
        <w:t xml:space="preserve"> </w:t>
      </w:r>
      <w:r w:rsidR="00747D6C">
        <w:rPr>
          <w:sz w:val="22"/>
          <w:szCs w:val="22"/>
        </w:rPr>
        <w:t xml:space="preserve">tarihinde </w:t>
      </w:r>
      <w:hyperlink r:id="rId23" w:anchor="{%22itemid%22:[%22001-159324%22]}" w:history="1">
        <w:r w:rsidRPr="00A4264A">
          <w:rPr>
            <w:sz w:val="22"/>
            <w:szCs w:val="22"/>
          </w:rPr>
          <w:t>https://hudoc.echr.coe.int/eng#{%22itemid%22:[%22001-159324%22]}</w:t>
        </w:r>
      </w:hyperlink>
      <w:r w:rsidRPr="00A4264A">
        <w:rPr>
          <w:sz w:val="22"/>
          <w:szCs w:val="22"/>
        </w:rPr>
        <w:t xml:space="preserve"> </w:t>
      </w:r>
      <w:r w:rsidR="00B80226">
        <w:rPr>
          <w:sz w:val="22"/>
          <w:szCs w:val="22"/>
        </w:rPr>
        <w:t>adresinden alınmıştır</w:t>
      </w:r>
      <w:r w:rsidR="00B80226" w:rsidRPr="00A4264A">
        <w:rPr>
          <w:sz w:val="22"/>
          <w:szCs w:val="22"/>
        </w:rPr>
        <w:t>.</w:t>
      </w:r>
    </w:p>
    <w:p w:rsidR="00B80226" w:rsidRPr="00A4264A" w:rsidRDefault="005E3CD3" w:rsidP="009910D3">
      <w:pPr>
        <w:spacing w:after="120" w:line="240" w:lineRule="auto"/>
        <w:ind w:left="567" w:hanging="567"/>
        <w:jc w:val="both"/>
        <w:rPr>
          <w:sz w:val="22"/>
          <w:szCs w:val="22"/>
        </w:rPr>
      </w:pPr>
      <w:r w:rsidRPr="00A4264A">
        <w:rPr>
          <w:sz w:val="22"/>
          <w:szCs w:val="22"/>
        </w:rPr>
        <w:t xml:space="preserve">AİHM, (2016). </w:t>
      </w:r>
      <w:r w:rsidRPr="00A4264A">
        <w:rPr>
          <w:i/>
          <w:iCs/>
          <w:sz w:val="22"/>
          <w:szCs w:val="22"/>
        </w:rPr>
        <w:t xml:space="preserve">Szabó ve Vıssy/Macaristan </w:t>
      </w:r>
      <w:r w:rsidR="00CD00CA" w:rsidRPr="00A4264A">
        <w:rPr>
          <w:i/>
          <w:iCs/>
          <w:sz w:val="22"/>
          <w:szCs w:val="22"/>
        </w:rPr>
        <w:t>k</w:t>
      </w:r>
      <w:r w:rsidRPr="00A4264A">
        <w:rPr>
          <w:i/>
          <w:iCs/>
          <w:sz w:val="22"/>
          <w:szCs w:val="22"/>
        </w:rPr>
        <w:t>ararı.</w:t>
      </w:r>
      <w:r w:rsidR="008F5AA1">
        <w:rPr>
          <w:sz w:val="22"/>
          <w:szCs w:val="22"/>
        </w:rPr>
        <w:t xml:space="preserve"> “B.S.: 37138/14” 26 Haziran.</w:t>
      </w:r>
      <w:r w:rsidRPr="00A4264A">
        <w:rPr>
          <w:sz w:val="22"/>
          <w:szCs w:val="22"/>
        </w:rPr>
        <w:t xml:space="preserve">  </w:t>
      </w:r>
      <w:r w:rsidR="00B80226" w:rsidRPr="00A4264A">
        <w:rPr>
          <w:sz w:val="22"/>
          <w:szCs w:val="22"/>
        </w:rPr>
        <w:t>14.02.2020</w:t>
      </w:r>
      <w:r w:rsidR="00B80226">
        <w:rPr>
          <w:sz w:val="22"/>
          <w:szCs w:val="22"/>
        </w:rPr>
        <w:t xml:space="preserve"> </w:t>
      </w:r>
      <w:r w:rsidR="00747D6C">
        <w:rPr>
          <w:sz w:val="22"/>
          <w:szCs w:val="22"/>
        </w:rPr>
        <w:t xml:space="preserve">tarihinde </w:t>
      </w:r>
      <w:hyperlink r:id="rId24" w:history="1">
        <w:r w:rsidRPr="00A4264A">
          <w:rPr>
            <w:sz w:val="22"/>
            <w:szCs w:val="22"/>
          </w:rPr>
          <w:t>http://hudoc.echr.coe.int/eng?i=001-160020</w:t>
        </w:r>
      </w:hyperlink>
      <w:r w:rsidRPr="00A4264A">
        <w:rPr>
          <w:sz w:val="22"/>
          <w:szCs w:val="22"/>
        </w:rPr>
        <w:t xml:space="preserve"> </w:t>
      </w:r>
      <w:r w:rsidR="00B80226">
        <w:rPr>
          <w:sz w:val="22"/>
          <w:szCs w:val="22"/>
        </w:rPr>
        <w:t>adresinden alınmıştır</w:t>
      </w:r>
      <w:r w:rsidR="00B80226" w:rsidRPr="00A4264A">
        <w:rPr>
          <w:sz w:val="22"/>
          <w:szCs w:val="22"/>
        </w:rPr>
        <w:t>.</w:t>
      </w:r>
    </w:p>
    <w:p w:rsidR="00B80226" w:rsidRPr="00A4264A" w:rsidRDefault="005E3CD3" w:rsidP="009910D3">
      <w:pPr>
        <w:spacing w:after="120" w:line="240" w:lineRule="auto"/>
        <w:ind w:left="567" w:hanging="567"/>
        <w:jc w:val="both"/>
        <w:rPr>
          <w:sz w:val="22"/>
          <w:szCs w:val="22"/>
        </w:rPr>
      </w:pPr>
      <w:r w:rsidRPr="00A4264A">
        <w:rPr>
          <w:sz w:val="22"/>
          <w:szCs w:val="22"/>
        </w:rPr>
        <w:t xml:space="preserve">AİHM, (2018a). </w:t>
      </w:r>
      <w:r w:rsidRPr="00A4264A">
        <w:rPr>
          <w:i/>
          <w:iCs/>
          <w:sz w:val="22"/>
          <w:szCs w:val="22"/>
        </w:rPr>
        <w:t>Centrum För Rättvısa/İsveç kararı</w:t>
      </w:r>
      <w:r w:rsidRPr="00A4264A">
        <w:rPr>
          <w:sz w:val="22"/>
          <w:szCs w:val="22"/>
        </w:rPr>
        <w:t xml:space="preserve">. “B.S: 35252/08”, 19 Haziran. </w:t>
      </w:r>
      <w:r w:rsidR="00B80226" w:rsidRPr="00A4264A">
        <w:rPr>
          <w:sz w:val="22"/>
          <w:szCs w:val="22"/>
        </w:rPr>
        <w:t>15.02.2020</w:t>
      </w:r>
      <w:r w:rsidR="00B80226">
        <w:rPr>
          <w:sz w:val="22"/>
          <w:szCs w:val="22"/>
        </w:rPr>
        <w:t xml:space="preserve"> </w:t>
      </w:r>
      <w:r w:rsidR="00747D6C">
        <w:rPr>
          <w:sz w:val="22"/>
          <w:szCs w:val="22"/>
        </w:rPr>
        <w:t xml:space="preserve">tarihinde </w:t>
      </w:r>
      <w:hyperlink r:id="rId25" w:history="1">
        <w:r w:rsidRPr="00A4264A">
          <w:rPr>
            <w:sz w:val="22"/>
            <w:szCs w:val="22"/>
          </w:rPr>
          <w:t>http://hudoc.echr.coe.int/eng?i=001-183863</w:t>
        </w:r>
      </w:hyperlink>
      <w:r w:rsidRPr="00A4264A">
        <w:rPr>
          <w:sz w:val="22"/>
          <w:szCs w:val="22"/>
        </w:rPr>
        <w:t xml:space="preserve"> </w:t>
      </w:r>
      <w:r w:rsidR="00B80226">
        <w:rPr>
          <w:sz w:val="22"/>
          <w:szCs w:val="22"/>
        </w:rPr>
        <w:t>adresinden alınmıştır</w:t>
      </w:r>
      <w:r w:rsidR="00B80226" w:rsidRPr="00A4264A">
        <w:rPr>
          <w:sz w:val="22"/>
          <w:szCs w:val="22"/>
        </w:rPr>
        <w:t>.</w:t>
      </w:r>
    </w:p>
    <w:p w:rsidR="00B80226" w:rsidRPr="00A4264A" w:rsidRDefault="005E3CD3" w:rsidP="009910D3">
      <w:pPr>
        <w:spacing w:after="120" w:line="240" w:lineRule="auto"/>
        <w:ind w:left="567" w:hanging="567"/>
        <w:jc w:val="both"/>
        <w:rPr>
          <w:sz w:val="22"/>
          <w:szCs w:val="22"/>
        </w:rPr>
      </w:pPr>
      <w:r w:rsidRPr="00A4264A">
        <w:rPr>
          <w:sz w:val="22"/>
          <w:szCs w:val="22"/>
        </w:rPr>
        <w:t>AİHM, (2018b).</w:t>
      </w:r>
      <w:r w:rsidRPr="00A4264A">
        <w:rPr>
          <w:b/>
          <w:bCs/>
          <w:sz w:val="22"/>
          <w:szCs w:val="22"/>
        </w:rPr>
        <w:t xml:space="preserve"> </w:t>
      </w:r>
      <w:r w:rsidRPr="00A4264A">
        <w:rPr>
          <w:i/>
          <w:iCs/>
          <w:sz w:val="22"/>
          <w:szCs w:val="22"/>
        </w:rPr>
        <w:t xml:space="preserve">Big </w:t>
      </w:r>
      <w:r w:rsidR="00CD00CA" w:rsidRPr="00A4264A">
        <w:rPr>
          <w:i/>
          <w:iCs/>
          <w:sz w:val="22"/>
          <w:szCs w:val="22"/>
        </w:rPr>
        <w:t>b</w:t>
      </w:r>
      <w:r w:rsidRPr="00A4264A">
        <w:rPr>
          <w:i/>
          <w:iCs/>
          <w:sz w:val="22"/>
          <w:szCs w:val="22"/>
        </w:rPr>
        <w:t xml:space="preserve">rother </w:t>
      </w:r>
      <w:r w:rsidR="00CD00CA" w:rsidRPr="00A4264A">
        <w:rPr>
          <w:i/>
          <w:iCs/>
          <w:sz w:val="22"/>
          <w:szCs w:val="22"/>
        </w:rPr>
        <w:t>w</w:t>
      </w:r>
      <w:r w:rsidRPr="00A4264A">
        <w:rPr>
          <w:i/>
          <w:iCs/>
          <w:sz w:val="22"/>
          <w:szCs w:val="22"/>
        </w:rPr>
        <w:t xml:space="preserve">atch ve </w:t>
      </w:r>
      <w:r w:rsidR="00CD00CA" w:rsidRPr="00A4264A">
        <w:rPr>
          <w:i/>
          <w:iCs/>
          <w:sz w:val="22"/>
          <w:szCs w:val="22"/>
        </w:rPr>
        <w:t>d</w:t>
      </w:r>
      <w:r w:rsidRPr="00A4264A">
        <w:rPr>
          <w:i/>
          <w:iCs/>
          <w:sz w:val="22"/>
          <w:szCs w:val="22"/>
        </w:rPr>
        <w:t xml:space="preserve">iğerleri/Birleşik Krallık </w:t>
      </w:r>
      <w:r w:rsidR="00CD00CA" w:rsidRPr="00A4264A">
        <w:rPr>
          <w:i/>
          <w:iCs/>
          <w:sz w:val="22"/>
          <w:szCs w:val="22"/>
        </w:rPr>
        <w:t>d</w:t>
      </w:r>
      <w:r w:rsidRPr="00A4264A">
        <w:rPr>
          <w:i/>
          <w:iCs/>
          <w:sz w:val="22"/>
          <w:szCs w:val="22"/>
        </w:rPr>
        <w:t xml:space="preserve">avası </w:t>
      </w:r>
      <w:r w:rsidR="00CD00CA" w:rsidRPr="00A4264A">
        <w:rPr>
          <w:i/>
          <w:iCs/>
          <w:sz w:val="22"/>
          <w:szCs w:val="22"/>
        </w:rPr>
        <w:t>b</w:t>
      </w:r>
      <w:r w:rsidRPr="00A4264A">
        <w:rPr>
          <w:i/>
          <w:iCs/>
          <w:sz w:val="22"/>
          <w:szCs w:val="22"/>
        </w:rPr>
        <w:t xml:space="preserve">asın </w:t>
      </w:r>
      <w:r w:rsidR="00CD00CA" w:rsidRPr="00A4264A">
        <w:rPr>
          <w:i/>
          <w:iCs/>
          <w:sz w:val="22"/>
          <w:szCs w:val="22"/>
        </w:rPr>
        <w:t>b</w:t>
      </w:r>
      <w:r w:rsidRPr="00A4264A">
        <w:rPr>
          <w:i/>
          <w:iCs/>
          <w:sz w:val="22"/>
          <w:szCs w:val="22"/>
        </w:rPr>
        <w:t xml:space="preserve">ilgi </w:t>
      </w:r>
      <w:r w:rsidR="00CD00CA" w:rsidRPr="00A4264A">
        <w:rPr>
          <w:i/>
          <w:iCs/>
          <w:sz w:val="22"/>
          <w:szCs w:val="22"/>
        </w:rPr>
        <w:t>n</w:t>
      </w:r>
      <w:r w:rsidRPr="00A4264A">
        <w:rPr>
          <w:i/>
          <w:iCs/>
          <w:sz w:val="22"/>
          <w:szCs w:val="22"/>
        </w:rPr>
        <w:t>otu,</w:t>
      </w:r>
      <w:r w:rsidRPr="00A4264A">
        <w:rPr>
          <w:sz w:val="22"/>
          <w:szCs w:val="22"/>
        </w:rPr>
        <w:t xml:space="preserve"> 13 Eylül. </w:t>
      </w:r>
      <w:r w:rsidR="00B80226" w:rsidRPr="00A4264A">
        <w:rPr>
          <w:sz w:val="22"/>
          <w:szCs w:val="22"/>
        </w:rPr>
        <w:t>16.02.2020</w:t>
      </w:r>
      <w:r w:rsidR="00B80226">
        <w:rPr>
          <w:sz w:val="22"/>
          <w:szCs w:val="22"/>
        </w:rPr>
        <w:t xml:space="preserve"> </w:t>
      </w:r>
      <w:r w:rsidR="00747D6C">
        <w:rPr>
          <w:sz w:val="22"/>
          <w:szCs w:val="22"/>
        </w:rPr>
        <w:t xml:space="preserve">tarihinde </w:t>
      </w:r>
      <w:r w:rsidR="00B80226" w:rsidRPr="00B80226">
        <w:rPr>
          <w:sz w:val="22"/>
          <w:szCs w:val="22"/>
        </w:rPr>
        <w:t>https://www.echr.coe.int/Documents/</w:t>
      </w:r>
      <w:r w:rsidR="001302D2" w:rsidRPr="00A4264A">
        <w:rPr>
          <w:sz w:val="22"/>
          <w:szCs w:val="22"/>
        </w:rPr>
        <w:t>Press_Q_A_Brother_Watch_ENG.pdf</w:t>
      </w:r>
      <w:r w:rsidRPr="00A4264A">
        <w:rPr>
          <w:sz w:val="22"/>
          <w:szCs w:val="22"/>
        </w:rPr>
        <w:t xml:space="preserve"> </w:t>
      </w:r>
      <w:r w:rsidR="00B80226">
        <w:rPr>
          <w:sz w:val="22"/>
          <w:szCs w:val="22"/>
        </w:rPr>
        <w:t>adresinden alınmıştır</w:t>
      </w:r>
      <w:r w:rsidR="00B80226" w:rsidRPr="00A4264A">
        <w:rPr>
          <w:sz w:val="22"/>
          <w:szCs w:val="22"/>
        </w:rPr>
        <w:t>.</w:t>
      </w:r>
    </w:p>
    <w:p w:rsidR="00B80226" w:rsidRPr="00A4264A" w:rsidRDefault="005E3CD3" w:rsidP="009910D3">
      <w:pPr>
        <w:spacing w:after="120" w:line="240" w:lineRule="auto"/>
        <w:ind w:left="567" w:hanging="567"/>
        <w:jc w:val="both"/>
        <w:rPr>
          <w:sz w:val="22"/>
          <w:szCs w:val="22"/>
        </w:rPr>
      </w:pPr>
      <w:r w:rsidRPr="00A4264A">
        <w:rPr>
          <w:sz w:val="22"/>
          <w:szCs w:val="22"/>
        </w:rPr>
        <w:t xml:space="preserve">AİHM, (2019). </w:t>
      </w:r>
      <w:r w:rsidRPr="00A4264A">
        <w:rPr>
          <w:i/>
          <w:iCs/>
          <w:sz w:val="22"/>
          <w:szCs w:val="22"/>
        </w:rPr>
        <w:t xml:space="preserve">Big </w:t>
      </w:r>
      <w:r w:rsidR="00CD00CA" w:rsidRPr="00A4264A">
        <w:rPr>
          <w:i/>
          <w:iCs/>
          <w:sz w:val="22"/>
          <w:szCs w:val="22"/>
        </w:rPr>
        <w:t>b</w:t>
      </w:r>
      <w:r w:rsidRPr="00A4264A">
        <w:rPr>
          <w:i/>
          <w:iCs/>
          <w:sz w:val="22"/>
          <w:szCs w:val="22"/>
        </w:rPr>
        <w:t xml:space="preserve">rother </w:t>
      </w:r>
      <w:r w:rsidR="00CD00CA" w:rsidRPr="00A4264A">
        <w:rPr>
          <w:i/>
          <w:iCs/>
          <w:sz w:val="22"/>
          <w:szCs w:val="22"/>
        </w:rPr>
        <w:t>w</w:t>
      </w:r>
      <w:r w:rsidRPr="00A4264A">
        <w:rPr>
          <w:i/>
          <w:iCs/>
          <w:sz w:val="22"/>
          <w:szCs w:val="22"/>
        </w:rPr>
        <w:t xml:space="preserve">atch ve </w:t>
      </w:r>
      <w:r w:rsidR="00CD00CA" w:rsidRPr="00A4264A">
        <w:rPr>
          <w:i/>
          <w:iCs/>
          <w:sz w:val="22"/>
          <w:szCs w:val="22"/>
        </w:rPr>
        <w:t>d</w:t>
      </w:r>
      <w:r w:rsidRPr="00A4264A">
        <w:rPr>
          <w:i/>
          <w:iCs/>
          <w:sz w:val="22"/>
          <w:szCs w:val="22"/>
        </w:rPr>
        <w:t xml:space="preserve">iğerleri /Birleşik Krallık </w:t>
      </w:r>
      <w:r w:rsidR="00CD00CA" w:rsidRPr="00A4264A">
        <w:rPr>
          <w:i/>
          <w:iCs/>
          <w:sz w:val="22"/>
          <w:szCs w:val="22"/>
        </w:rPr>
        <w:t>k</w:t>
      </w:r>
      <w:r w:rsidRPr="00A4264A">
        <w:rPr>
          <w:i/>
          <w:iCs/>
          <w:sz w:val="22"/>
          <w:szCs w:val="22"/>
        </w:rPr>
        <w:t>ararı.</w:t>
      </w:r>
      <w:r w:rsidRPr="00A4264A">
        <w:rPr>
          <w:sz w:val="22"/>
          <w:szCs w:val="22"/>
        </w:rPr>
        <w:t xml:space="preserve"> “B.S.: 58170/13, 62322/14, 24960/15”, 4 Şubat. </w:t>
      </w:r>
      <w:r w:rsidR="00B80226" w:rsidRPr="00A4264A">
        <w:rPr>
          <w:sz w:val="22"/>
          <w:szCs w:val="22"/>
        </w:rPr>
        <w:t>10.02.2020</w:t>
      </w:r>
      <w:r w:rsidR="00B80226">
        <w:rPr>
          <w:sz w:val="22"/>
          <w:szCs w:val="22"/>
        </w:rPr>
        <w:t xml:space="preserve"> </w:t>
      </w:r>
      <w:r w:rsidR="00747D6C">
        <w:rPr>
          <w:sz w:val="22"/>
          <w:szCs w:val="22"/>
        </w:rPr>
        <w:t xml:space="preserve">tarihinde </w:t>
      </w:r>
      <w:r w:rsidR="00B80226" w:rsidRPr="00B80226">
        <w:rPr>
          <w:sz w:val="22"/>
          <w:szCs w:val="22"/>
        </w:rPr>
        <w:t>https://</w:t>
      </w:r>
      <w:proofErr w:type="gramStart"/>
      <w:r w:rsidR="00B80226" w:rsidRPr="00B80226">
        <w:rPr>
          <w:sz w:val="22"/>
          <w:szCs w:val="22"/>
        </w:rPr>
        <w:t>hudoc</w:t>
      </w:r>
      <w:r w:rsidR="001302D2" w:rsidRPr="00A4264A">
        <w:rPr>
          <w:sz w:val="22"/>
          <w:szCs w:val="22"/>
        </w:rPr>
        <w:t>.echr</w:t>
      </w:r>
      <w:proofErr w:type="gramEnd"/>
      <w:r w:rsidR="001302D2" w:rsidRPr="00A4264A">
        <w:rPr>
          <w:sz w:val="22"/>
          <w:szCs w:val="22"/>
        </w:rPr>
        <w:t>.coe.int/eng#{%22itemid%22:[%22001-186048%22]}</w:t>
      </w:r>
      <w:r w:rsidRPr="00A4264A">
        <w:rPr>
          <w:sz w:val="22"/>
          <w:szCs w:val="22"/>
        </w:rPr>
        <w:t xml:space="preserve"> </w:t>
      </w:r>
      <w:r w:rsidR="00B80226">
        <w:rPr>
          <w:sz w:val="22"/>
          <w:szCs w:val="22"/>
        </w:rPr>
        <w:t>adresinden alınmıştır</w:t>
      </w:r>
      <w:r w:rsidR="00B80226" w:rsidRPr="00A4264A">
        <w:rPr>
          <w:sz w:val="22"/>
          <w:szCs w:val="22"/>
        </w:rPr>
        <w:t>.</w:t>
      </w:r>
    </w:p>
    <w:p w:rsidR="00B80226" w:rsidRPr="00A4264A" w:rsidRDefault="005E3CD3" w:rsidP="009910D3">
      <w:pPr>
        <w:spacing w:after="120" w:line="240" w:lineRule="auto"/>
        <w:ind w:left="567" w:hanging="567"/>
        <w:jc w:val="both"/>
        <w:rPr>
          <w:sz w:val="22"/>
          <w:szCs w:val="22"/>
        </w:rPr>
      </w:pPr>
      <w:r w:rsidRPr="00A4264A">
        <w:rPr>
          <w:sz w:val="22"/>
          <w:szCs w:val="22"/>
        </w:rPr>
        <w:t>AİHM</w:t>
      </w:r>
      <w:r w:rsidRPr="00A4264A">
        <w:rPr>
          <w:i/>
          <w:iCs/>
          <w:sz w:val="22"/>
          <w:szCs w:val="22"/>
        </w:rPr>
        <w:t xml:space="preserve">, </w:t>
      </w:r>
      <w:r w:rsidRPr="00A4264A">
        <w:rPr>
          <w:sz w:val="22"/>
          <w:szCs w:val="22"/>
        </w:rPr>
        <w:t>(2020).</w:t>
      </w:r>
      <w:r w:rsidRPr="00A4264A">
        <w:rPr>
          <w:i/>
          <w:iCs/>
          <w:sz w:val="22"/>
          <w:szCs w:val="22"/>
        </w:rPr>
        <w:t xml:space="preserve"> Kitle </w:t>
      </w:r>
      <w:r w:rsidR="00CD00CA" w:rsidRPr="00A4264A">
        <w:rPr>
          <w:i/>
          <w:iCs/>
          <w:sz w:val="22"/>
          <w:szCs w:val="22"/>
        </w:rPr>
        <w:t>g</w:t>
      </w:r>
      <w:r w:rsidRPr="00A4264A">
        <w:rPr>
          <w:i/>
          <w:iCs/>
          <w:sz w:val="22"/>
          <w:szCs w:val="22"/>
        </w:rPr>
        <w:t xml:space="preserve">özetim </w:t>
      </w:r>
      <w:r w:rsidR="00CD00CA" w:rsidRPr="00A4264A">
        <w:rPr>
          <w:i/>
          <w:iCs/>
          <w:sz w:val="22"/>
          <w:szCs w:val="22"/>
        </w:rPr>
        <w:t>h</w:t>
      </w:r>
      <w:r w:rsidRPr="00A4264A">
        <w:rPr>
          <w:i/>
          <w:iCs/>
          <w:sz w:val="22"/>
          <w:szCs w:val="22"/>
        </w:rPr>
        <w:t xml:space="preserve">akkında </w:t>
      </w:r>
      <w:r w:rsidR="00CD00CA" w:rsidRPr="00A4264A">
        <w:rPr>
          <w:i/>
          <w:iCs/>
          <w:sz w:val="22"/>
          <w:szCs w:val="22"/>
        </w:rPr>
        <w:t>t</w:t>
      </w:r>
      <w:r w:rsidRPr="00A4264A">
        <w:rPr>
          <w:i/>
          <w:iCs/>
          <w:sz w:val="22"/>
          <w:szCs w:val="22"/>
        </w:rPr>
        <w:t xml:space="preserve">ematik </w:t>
      </w:r>
      <w:r w:rsidR="00CD00CA" w:rsidRPr="00A4264A">
        <w:rPr>
          <w:i/>
          <w:iCs/>
          <w:sz w:val="22"/>
          <w:szCs w:val="22"/>
        </w:rPr>
        <w:t>b</w:t>
      </w:r>
      <w:r w:rsidRPr="00A4264A">
        <w:rPr>
          <w:i/>
          <w:iCs/>
          <w:sz w:val="22"/>
          <w:szCs w:val="22"/>
        </w:rPr>
        <w:t xml:space="preserve">ilgi </w:t>
      </w:r>
      <w:r w:rsidR="00CD00CA" w:rsidRPr="00A4264A">
        <w:rPr>
          <w:i/>
          <w:iCs/>
          <w:sz w:val="22"/>
          <w:szCs w:val="22"/>
        </w:rPr>
        <w:t>n</w:t>
      </w:r>
      <w:r w:rsidRPr="00A4264A">
        <w:rPr>
          <w:i/>
          <w:iCs/>
          <w:sz w:val="22"/>
          <w:szCs w:val="22"/>
        </w:rPr>
        <w:t>otu,</w:t>
      </w:r>
      <w:r w:rsidR="00DD6636" w:rsidRPr="00A4264A">
        <w:rPr>
          <w:i/>
          <w:iCs/>
          <w:sz w:val="22"/>
          <w:szCs w:val="22"/>
        </w:rPr>
        <w:t xml:space="preserve"> 7</w:t>
      </w:r>
      <w:r w:rsidR="00CD00CA" w:rsidRPr="00A4264A">
        <w:rPr>
          <w:i/>
          <w:iCs/>
          <w:sz w:val="22"/>
          <w:szCs w:val="22"/>
        </w:rPr>
        <w:t xml:space="preserve"> </w:t>
      </w:r>
      <w:r w:rsidRPr="00A4264A">
        <w:rPr>
          <w:sz w:val="22"/>
          <w:szCs w:val="22"/>
        </w:rPr>
        <w:t xml:space="preserve">Eylül. </w:t>
      </w:r>
      <w:r w:rsidR="00B80226" w:rsidRPr="00A4264A">
        <w:rPr>
          <w:sz w:val="22"/>
          <w:szCs w:val="22"/>
        </w:rPr>
        <w:t>17.11.2020</w:t>
      </w:r>
      <w:r w:rsidR="00B80226">
        <w:rPr>
          <w:sz w:val="22"/>
          <w:szCs w:val="22"/>
        </w:rPr>
        <w:t xml:space="preserve"> </w:t>
      </w:r>
      <w:r w:rsidR="00747D6C">
        <w:rPr>
          <w:sz w:val="22"/>
          <w:szCs w:val="22"/>
        </w:rPr>
        <w:t xml:space="preserve">tarihinde </w:t>
      </w:r>
      <w:hyperlink r:id="rId26" w:history="1">
        <w:r w:rsidRPr="00A4264A">
          <w:rPr>
            <w:rStyle w:val="Kpr"/>
            <w:color w:val="auto"/>
            <w:sz w:val="22"/>
            <w:szCs w:val="22"/>
            <w:u w:val="none"/>
          </w:rPr>
          <w:t>https://www.echr.coe.int/Documents/FS_Mass_surveillance_ENG.pdf</w:t>
        </w:r>
      </w:hyperlink>
      <w:r w:rsidRPr="00A4264A">
        <w:rPr>
          <w:sz w:val="22"/>
          <w:szCs w:val="22"/>
        </w:rPr>
        <w:t xml:space="preserve"> </w:t>
      </w:r>
      <w:r w:rsidR="00B80226">
        <w:rPr>
          <w:sz w:val="22"/>
          <w:szCs w:val="22"/>
        </w:rPr>
        <w:t>adresinden alınmıştır</w:t>
      </w:r>
      <w:r w:rsidR="00B80226"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Akipek, J., Akıntürk, T. ve Ateş, D. (2012). </w:t>
      </w:r>
      <w:r w:rsidRPr="00A4264A">
        <w:rPr>
          <w:i/>
          <w:iCs/>
          <w:sz w:val="22"/>
          <w:szCs w:val="22"/>
        </w:rPr>
        <w:t xml:space="preserve">Türk </w:t>
      </w:r>
      <w:r w:rsidR="00CD00CA" w:rsidRPr="00A4264A">
        <w:rPr>
          <w:i/>
          <w:iCs/>
          <w:sz w:val="22"/>
          <w:szCs w:val="22"/>
        </w:rPr>
        <w:t>m</w:t>
      </w:r>
      <w:r w:rsidRPr="00A4264A">
        <w:rPr>
          <w:i/>
          <w:iCs/>
          <w:sz w:val="22"/>
          <w:szCs w:val="22"/>
        </w:rPr>
        <w:t xml:space="preserve">edeni </w:t>
      </w:r>
      <w:r w:rsidR="00CD00CA" w:rsidRPr="00A4264A">
        <w:rPr>
          <w:i/>
          <w:iCs/>
          <w:sz w:val="22"/>
          <w:szCs w:val="22"/>
        </w:rPr>
        <w:t>h</w:t>
      </w:r>
      <w:r w:rsidRPr="00A4264A">
        <w:rPr>
          <w:i/>
          <w:iCs/>
          <w:sz w:val="22"/>
          <w:szCs w:val="22"/>
        </w:rPr>
        <w:t xml:space="preserve">ukuku (Başlangıç </w:t>
      </w:r>
      <w:r w:rsidR="00CD00CA" w:rsidRPr="00A4264A">
        <w:rPr>
          <w:i/>
          <w:iCs/>
          <w:sz w:val="22"/>
          <w:szCs w:val="22"/>
        </w:rPr>
        <w:t>h</w:t>
      </w:r>
      <w:r w:rsidRPr="00A4264A">
        <w:rPr>
          <w:i/>
          <w:iCs/>
          <w:sz w:val="22"/>
          <w:szCs w:val="22"/>
        </w:rPr>
        <w:t xml:space="preserve">ükümleri – </w:t>
      </w:r>
      <w:r w:rsidR="00CD00CA" w:rsidRPr="00A4264A">
        <w:rPr>
          <w:i/>
          <w:iCs/>
          <w:sz w:val="22"/>
          <w:szCs w:val="22"/>
        </w:rPr>
        <w:t>k</w:t>
      </w:r>
      <w:r w:rsidRPr="00A4264A">
        <w:rPr>
          <w:i/>
          <w:iCs/>
          <w:sz w:val="22"/>
          <w:szCs w:val="22"/>
        </w:rPr>
        <w:t xml:space="preserve">işiler </w:t>
      </w:r>
      <w:r w:rsidR="00CD00CA" w:rsidRPr="00A4264A">
        <w:rPr>
          <w:i/>
          <w:iCs/>
          <w:sz w:val="22"/>
          <w:szCs w:val="22"/>
        </w:rPr>
        <w:t>h</w:t>
      </w:r>
      <w:r w:rsidRPr="00A4264A">
        <w:rPr>
          <w:i/>
          <w:iCs/>
          <w:sz w:val="22"/>
          <w:szCs w:val="22"/>
        </w:rPr>
        <w:t xml:space="preserve">ukuku) </w:t>
      </w:r>
      <w:r w:rsidRPr="00A4264A">
        <w:rPr>
          <w:iCs/>
          <w:sz w:val="22"/>
          <w:szCs w:val="22"/>
        </w:rPr>
        <w:t>Cilt: 1, 9. bs</w:t>
      </w:r>
      <w:r w:rsidRPr="00A4264A">
        <w:rPr>
          <w:sz w:val="22"/>
          <w:szCs w:val="22"/>
        </w:rPr>
        <w:t xml:space="preserve">.  İstanbul: Beta Yayınları. </w:t>
      </w:r>
    </w:p>
    <w:p w:rsidR="005E3CD3" w:rsidRPr="00A4264A" w:rsidRDefault="005E3CD3" w:rsidP="001302D2">
      <w:pPr>
        <w:spacing w:after="120" w:line="240" w:lineRule="auto"/>
        <w:jc w:val="both"/>
        <w:rPr>
          <w:sz w:val="22"/>
          <w:szCs w:val="22"/>
        </w:rPr>
      </w:pPr>
      <w:r w:rsidRPr="00A4264A">
        <w:rPr>
          <w:sz w:val="22"/>
          <w:szCs w:val="22"/>
        </w:rPr>
        <w:t xml:space="preserve">Akyürek, G. (2011). </w:t>
      </w:r>
      <w:r w:rsidRPr="00A4264A">
        <w:rPr>
          <w:i/>
          <w:iCs/>
          <w:sz w:val="22"/>
          <w:szCs w:val="22"/>
        </w:rPr>
        <w:t xml:space="preserve">Özel </w:t>
      </w:r>
      <w:r w:rsidR="00CD00CA" w:rsidRPr="00A4264A">
        <w:rPr>
          <w:i/>
          <w:iCs/>
          <w:sz w:val="22"/>
          <w:szCs w:val="22"/>
        </w:rPr>
        <w:t>h</w:t>
      </w:r>
      <w:r w:rsidRPr="00A4264A">
        <w:rPr>
          <w:i/>
          <w:iCs/>
          <w:sz w:val="22"/>
          <w:szCs w:val="22"/>
        </w:rPr>
        <w:t xml:space="preserve">ayatın </w:t>
      </w:r>
      <w:r w:rsidR="00CD00CA" w:rsidRPr="00A4264A">
        <w:rPr>
          <w:i/>
          <w:iCs/>
          <w:sz w:val="22"/>
          <w:szCs w:val="22"/>
        </w:rPr>
        <w:t>g</w:t>
      </w:r>
      <w:r w:rsidRPr="00A4264A">
        <w:rPr>
          <w:i/>
          <w:iCs/>
          <w:sz w:val="22"/>
          <w:szCs w:val="22"/>
        </w:rPr>
        <w:t xml:space="preserve">izliliğini </w:t>
      </w:r>
      <w:r w:rsidR="00CD00CA" w:rsidRPr="00A4264A">
        <w:rPr>
          <w:i/>
          <w:iCs/>
          <w:sz w:val="22"/>
          <w:szCs w:val="22"/>
        </w:rPr>
        <w:t>i</w:t>
      </w:r>
      <w:r w:rsidRPr="00A4264A">
        <w:rPr>
          <w:i/>
          <w:iCs/>
          <w:sz w:val="22"/>
          <w:szCs w:val="22"/>
        </w:rPr>
        <w:t xml:space="preserve">hlal </w:t>
      </w:r>
      <w:r w:rsidR="00CD00CA" w:rsidRPr="00A4264A">
        <w:rPr>
          <w:i/>
          <w:iCs/>
          <w:sz w:val="22"/>
          <w:szCs w:val="22"/>
        </w:rPr>
        <w:t>s</w:t>
      </w:r>
      <w:r w:rsidRPr="00A4264A">
        <w:rPr>
          <w:i/>
          <w:iCs/>
          <w:sz w:val="22"/>
          <w:szCs w:val="22"/>
        </w:rPr>
        <w:t>uçu</w:t>
      </w:r>
      <w:r w:rsidRPr="00A4264A">
        <w:rPr>
          <w:sz w:val="22"/>
          <w:szCs w:val="22"/>
        </w:rPr>
        <w:t xml:space="preserve">. Ankara: Seçkin Yayınevi. </w:t>
      </w:r>
    </w:p>
    <w:p w:rsidR="008F5AA1" w:rsidRPr="00A4264A" w:rsidRDefault="005E3CD3" w:rsidP="009910D3">
      <w:pPr>
        <w:spacing w:after="120" w:line="240" w:lineRule="auto"/>
        <w:ind w:left="567" w:hanging="567"/>
        <w:jc w:val="both"/>
        <w:rPr>
          <w:sz w:val="22"/>
          <w:szCs w:val="22"/>
        </w:rPr>
      </w:pPr>
      <w:r w:rsidRPr="00A4264A">
        <w:rPr>
          <w:sz w:val="22"/>
          <w:szCs w:val="22"/>
        </w:rPr>
        <w:t xml:space="preserve">Amerikan  Merkezi Haber Alma Teşkilatı, (2010) </w:t>
      </w:r>
      <w:r w:rsidRPr="00A4264A">
        <w:rPr>
          <w:i/>
          <w:iCs/>
          <w:sz w:val="22"/>
          <w:szCs w:val="22"/>
        </w:rPr>
        <w:t xml:space="preserve">A </w:t>
      </w:r>
      <w:r w:rsidR="00DD6636" w:rsidRPr="00A4264A">
        <w:rPr>
          <w:i/>
          <w:iCs/>
          <w:sz w:val="22"/>
          <w:szCs w:val="22"/>
        </w:rPr>
        <w:t>l</w:t>
      </w:r>
      <w:r w:rsidRPr="00A4264A">
        <w:rPr>
          <w:i/>
          <w:iCs/>
          <w:sz w:val="22"/>
          <w:szCs w:val="22"/>
        </w:rPr>
        <w:t xml:space="preserve">ook </w:t>
      </w:r>
      <w:proofErr w:type="gramStart"/>
      <w:r w:rsidR="00DD6636" w:rsidRPr="00A4264A">
        <w:rPr>
          <w:i/>
          <w:iCs/>
          <w:sz w:val="22"/>
          <w:szCs w:val="22"/>
        </w:rPr>
        <w:t>b</w:t>
      </w:r>
      <w:r w:rsidRPr="00A4264A">
        <w:rPr>
          <w:i/>
          <w:iCs/>
          <w:sz w:val="22"/>
          <w:szCs w:val="22"/>
        </w:rPr>
        <w:t>ack .</w:t>
      </w:r>
      <w:proofErr w:type="gramEnd"/>
      <w:r w:rsidRPr="00A4264A">
        <w:rPr>
          <w:i/>
          <w:iCs/>
          <w:sz w:val="22"/>
          <w:szCs w:val="22"/>
        </w:rPr>
        <w:t xml:space="preserve"> Sherman Kent: The </w:t>
      </w:r>
      <w:r w:rsidR="00DD6636" w:rsidRPr="00A4264A">
        <w:rPr>
          <w:i/>
          <w:iCs/>
          <w:sz w:val="22"/>
          <w:szCs w:val="22"/>
        </w:rPr>
        <w:t>f</w:t>
      </w:r>
      <w:r w:rsidRPr="00A4264A">
        <w:rPr>
          <w:i/>
          <w:iCs/>
          <w:sz w:val="22"/>
          <w:szCs w:val="22"/>
        </w:rPr>
        <w:t xml:space="preserve">ather of </w:t>
      </w:r>
      <w:r w:rsidR="00DD6636" w:rsidRPr="00A4264A">
        <w:rPr>
          <w:i/>
          <w:iCs/>
          <w:sz w:val="22"/>
          <w:szCs w:val="22"/>
        </w:rPr>
        <w:t>i</w:t>
      </w:r>
      <w:r w:rsidRPr="00A4264A">
        <w:rPr>
          <w:i/>
          <w:iCs/>
          <w:sz w:val="22"/>
          <w:szCs w:val="22"/>
        </w:rPr>
        <w:t>ntelligence</w:t>
      </w:r>
      <w:r w:rsidR="0097552E">
        <w:rPr>
          <w:sz w:val="22"/>
          <w:szCs w:val="22"/>
        </w:rPr>
        <w:t>, 6 Mayıs.</w:t>
      </w:r>
      <w:r w:rsidRPr="00A4264A">
        <w:rPr>
          <w:sz w:val="22"/>
          <w:szCs w:val="22"/>
        </w:rPr>
        <w:t xml:space="preserve"> </w:t>
      </w:r>
      <w:r w:rsidR="00B80226" w:rsidRPr="00A4264A">
        <w:rPr>
          <w:sz w:val="22"/>
          <w:szCs w:val="22"/>
        </w:rPr>
        <w:t>12.05.2020</w:t>
      </w:r>
      <w:r w:rsidR="00B80226">
        <w:rPr>
          <w:sz w:val="22"/>
          <w:szCs w:val="22"/>
        </w:rPr>
        <w:t xml:space="preserve"> tarihinde</w:t>
      </w:r>
      <w:r w:rsidR="008F5AA1">
        <w:rPr>
          <w:sz w:val="22"/>
          <w:szCs w:val="22"/>
        </w:rPr>
        <w:t xml:space="preserve"> </w:t>
      </w:r>
      <w:r w:rsidR="001302D2" w:rsidRPr="00A4264A">
        <w:rPr>
          <w:sz w:val="22"/>
          <w:szCs w:val="22"/>
        </w:rPr>
        <w:t>https://www.cia.gov/news-information/featured-story-archive/2010-featured-story-archive/sherman-kent-the-father-of-intelligence.html</w:t>
      </w:r>
      <w:r w:rsidRPr="00A4264A">
        <w:rPr>
          <w:sz w:val="22"/>
          <w:szCs w:val="22"/>
        </w:rPr>
        <w:t xml:space="preserve"> </w:t>
      </w:r>
      <w:r w:rsidR="008F5AA1">
        <w:rPr>
          <w:sz w:val="22"/>
          <w:szCs w:val="22"/>
        </w:rPr>
        <w:t>adresinden alınmıştır</w:t>
      </w:r>
      <w:r w:rsidR="008F5AA1"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Arslan Öncü, G. (2011). </w:t>
      </w:r>
      <w:r w:rsidRPr="00A4264A">
        <w:rPr>
          <w:i/>
          <w:iCs/>
          <w:sz w:val="22"/>
          <w:szCs w:val="22"/>
        </w:rPr>
        <w:t xml:space="preserve">AİHS’de </w:t>
      </w:r>
      <w:r w:rsidR="00DD6636" w:rsidRPr="00A4264A">
        <w:rPr>
          <w:i/>
          <w:iCs/>
          <w:sz w:val="22"/>
          <w:szCs w:val="22"/>
        </w:rPr>
        <w:t>ö</w:t>
      </w:r>
      <w:r w:rsidRPr="00A4264A">
        <w:rPr>
          <w:i/>
          <w:iCs/>
          <w:sz w:val="22"/>
          <w:szCs w:val="22"/>
        </w:rPr>
        <w:t xml:space="preserve">zel </w:t>
      </w:r>
      <w:r w:rsidR="00DD6636" w:rsidRPr="00A4264A">
        <w:rPr>
          <w:i/>
          <w:iCs/>
          <w:sz w:val="22"/>
          <w:szCs w:val="22"/>
        </w:rPr>
        <w:t>y</w:t>
      </w:r>
      <w:r w:rsidRPr="00A4264A">
        <w:rPr>
          <w:i/>
          <w:iCs/>
          <w:sz w:val="22"/>
          <w:szCs w:val="22"/>
        </w:rPr>
        <w:t xml:space="preserve">aşamın </w:t>
      </w:r>
      <w:r w:rsidR="00DD6636" w:rsidRPr="00A4264A">
        <w:rPr>
          <w:i/>
          <w:iCs/>
          <w:sz w:val="22"/>
          <w:szCs w:val="22"/>
        </w:rPr>
        <w:t>k</w:t>
      </w:r>
      <w:r w:rsidRPr="00A4264A">
        <w:rPr>
          <w:i/>
          <w:iCs/>
          <w:sz w:val="22"/>
          <w:szCs w:val="22"/>
        </w:rPr>
        <w:t xml:space="preserve">orunması </w:t>
      </w:r>
      <w:r w:rsidR="00DD6636" w:rsidRPr="00A4264A">
        <w:rPr>
          <w:i/>
          <w:iCs/>
          <w:sz w:val="22"/>
          <w:szCs w:val="22"/>
        </w:rPr>
        <w:t>h</w:t>
      </w:r>
      <w:r w:rsidRPr="00A4264A">
        <w:rPr>
          <w:i/>
          <w:iCs/>
          <w:sz w:val="22"/>
          <w:szCs w:val="22"/>
        </w:rPr>
        <w:t>akkı</w:t>
      </w:r>
      <w:r w:rsidRPr="00A4264A">
        <w:rPr>
          <w:sz w:val="22"/>
          <w:szCs w:val="22"/>
        </w:rPr>
        <w:t xml:space="preserve">. İstanbul: Beta Basım. </w:t>
      </w:r>
    </w:p>
    <w:p w:rsidR="008F5AA1" w:rsidRPr="00A4264A" w:rsidRDefault="005E3CD3" w:rsidP="009910D3">
      <w:pPr>
        <w:spacing w:after="120" w:line="240" w:lineRule="auto"/>
        <w:ind w:left="567" w:hanging="567"/>
        <w:jc w:val="both"/>
        <w:rPr>
          <w:sz w:val="22"/>
          <w:szCs w:val="22"/>
        </w:rPr>
      </w:pPr>
      <w:r w:rsidRPr="00A4264A">
        <w:rPr>
          <w:sz w:val="22"/>
          <w:szCs w:val="22"/>
        </w:rPr>
        <w:t xml:space="preserve">Ataç, K.K. (2019). İstihbarat, </w:t>
      </w:r>
      <w:r w:rsidR="00DD6636" w:rsidRPr="00A4264A">
        <w:rPr>
          <w:sz w:val="22"/>
          <w:szCs w:val="22"/>
        </w:rPr>
        <w:t>c</w:t>
      </w:r>
      <w:r w:rsidRPr="00A4264A">
        <w:rPr>
          <w:sz w:val="22"/>
          <w:szCs w:val="22"/>
        </w:rPr>
        <w:t xml:space="preserve">asusluk, </w:t>
      </w:r>
      <w:r w:rsidR="00DD6636" w:rsidRPr="00A4264A">
        <w:rPr>
          <w:sz w:val="22"/>
          <w:szCs w:val="22"/>
        </w:rPr>
        <w:t>k</w:t>
      </w:r>
      <w:r w:rsidRPr="00A4264A">
        <w:rPr>
          <w:sz w:val="22"/>
          <w:szCs w:val="22"/>
        </w:rPr>
        <w:t xml:space="preserve">arşı </w:t>
      </w:r>
      <w:r w:rsidR="00DD6636" w:rsidRPr="00A4264A">
        <w:rPr>
          <w:sz w:val="22"/>
          <w:szCs w:val="22"/>
        </w:rPr>
        <w:t>c</w:t>
      </w:r>
      <w:r w:rsidRPr="00A4264A">
        <w:rPr>
          <w:sz w:val="22"/>
          <w:szCs w:val="22"/>
        </w:rPr>
        <w:t xml:space="preserve">asusluk, </w:t>
      </w:r>
      <w:r w:rsidR="00DD6636" w:rsidRPr="00A4264A">
        <w:rPr>
          <w:sz w:val="22"/>
          <w:szCs w:val="22"/>
        </w:rPr>
        <w:t>ö</w:t>
      </w:r>
      <w:r w:rsidRPr="00A4264A">
        <w:rPr>
          <w:sz w:val="22"/>
          <w:szCs w:val="22"/>
        </w:rPr>
        <w:t xml:space="preserve">rtülü </w:t>
      </w:r>
      <w:r w:rsidR="00DD6636" w:rsidRPr="00A4264A">
        <w:rPr>
          <w:sz w:val="22"/>
          <w:szCs w:val="22"/>
        </w:rPr>
        <w:t>o</w:t>
      </w:r>
      <w:r w:rsidRPr="00A4264A">
        <w:rPr>
          <w:sz w:val="22"/>
          <w:szCs w:val="22"/>
        </w:rPr>
        <w:t xml:space="preserve">perasyonlar ve </w:t>
      </w:r>
      <w:r w:rsidR="00DD6636" w:rsidRPr="00A4264A">
        <w:rPr>
          <w:sz w:val="22"/>
          <w:szCs w:val="22"/>
        </w:rPr>
        <w:t>g</w:t>
      </w:r>
      <w:r w:rsidRPr="00A4264A">
        <w:rPr>
          <w:sz w:val="22"/>
          <w:szCs w:val="22"/>
        </w:rPr>
        <w:t xml:space="preserve">üvenlik. </w:t>
      </w:r>
      <w:r w:rsidRPr="00A4264A">
        <w:rPr>
          <w:i/>
          <w:iCs/>
          <w:sz w:val="22"/>
          <w:szCs w:val="22"/>
        </w:rPr>
        <w:t>Güvenlik Yazıları Serisi</w:t>
      </w:r>
      <w:r w:rsidRPr="00A4264A">
        <w:rPr>
          <w:sz w:val="22"/>
          <w:szCs w:val="22"/>
        </w:rPr>
        <w:t>, No.45,</w:t>
      </w:r>
      <w:r w:rsidR="00BC3B79" w:rsidRPr="00A4264A">
        <w:rPr>
          <w:sz w:val="22"/>
          <w:szCs w:val="22"/>
        </w:rPr>
        <w:t xml:space="preserve"> Kasım</w:t>
      </w:r>
      <w:r w:rsidR="0097552E">
        <w:rPr>
          <w:sz w:val="22"/>
          <w:szCs w:val="22"/>
        </w:rPr>
        <w:t>.</w:t>
      </w:r>
      <w:r w:rsidR="00BC3B79" w:rsidRPr="00A4264A">
        <w:rPr>
          <w:sz w:val="22"/>
          <w:szCs w:val="22"/>
        </w:rPr>
        <w:t xml:space="preserve"> </w:t>
      </w:r>
      <w:r w:rsidR="008F5AA1" w:rsidRPr="00A4264A">
        <w:rPr>
          <w:sz w:val="22"/>
          <w:szCs w:val="22"/>
        </w:rPr>
        <w:t>12.05.2020</w:t>
      </w:r>
      <w:r w:rsidR="008F5AA1">
        <w:rPr>
          <w:sz w:val="22"/>
          <w:szCs w:val="22"/>
        </w:rPr>
        <w:t xml:space="preserve"> tarihinde </w:t>
      </w:r>
      <w:r w:rsidR="008F5AA1" w:rsidRPr="008F5AA1">
        <w:rPr>
          <w:sz w:val="22"/>
          <w:szCs w:val="22"/>
        </w:rPr>
        <w:t>https://trguvenlikportali.com/wpcontent/uploads</w:t>
      </w:r>
      <w:r w:rsidR="008F5AA1">
        <w:rPr>
          <w:sz w:val="22"/>
          <w:szCs w:val="22"/>
        </w:rPr>
        <w:t>/2</w:t>
      </w:r>
      <w:r w:rsidR="004819A7">
        <w:rPr>
          <w:sz w:val="22"/>
          <w:szCs w:val="22"/>
        </w:rPr>
        <w:t>019/12/Istihbarat_KKAtac_v.2.p</w:t>
      </w:r>
      <w:r w:rsidR="008F5AA1" w:rsidRPr="008F5AA1">
        <w:rPr>
          <w:sz w:val="22"/>
          <w:szCs w:val="22"/>
        </w:rPr>
        <w:t>df</w:t>
      </w:r>
      <w:r w:rsidRPr="00A4264A">
        <w:rPr>
          <w:sz w:val="22"/>
          <w:szCs w:val="22"/>
        </w:rPr>
        <w:t xml:space="preserve"> </w:t>
      </w:r>
      <w:r w:rsidR="008F5AA1">
        <w:rPr>
          <w:sz w:val="22"/>
          <w:szCs w:val="22"/>
        </w:rPr>
        <w:t>adresinden alınmıştır</w:t>
      </w:r>
      <w:r w:rsidR="008F5AA1"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lastRenderedPageBreak/>
        <w:t xml:space="preserve">Atak,S. (2007). </w:t>
      </w:r>
      <w:r w:rsidR="00DD6636" w:rsidRPr="00A4264A">
        <w:rPr>
          <w:sz w:val="22"/>
          <w:szCs w:val="22"/>
        </w:rPr>
        <w:t>Birleşmiş Milletler insan hakları komitesi kararlarında özel yaşam hakkı.</w:t>
      </w:r>
      <w:r w:rsidRPr="00A4264A">
        <w:rPr>
          <w:sz w:val="22"/>
          <w:szCs w:val="22"/>
        </w:rPr>
        <w:t xml:space="preserve"> </w:t>
      </w:r>
      <w:r w:rsidRPr="00A4264A">
        <w:rPr>
          <w:i/>
          <w:iCs/>
          <w:sz w:val="22"/>
          <w:szCs w:val="22"/>
        </w:rPr>
        <w:t>Yeditepe Üniversitesi Hukuk Fakültesi Dergisi</w:t>
      </w:r>
      <w:r w:rsidRPr="00A4264A">
        <w:rPr>
          <w:sz w:val="22"/>
          <w:szCs w:val="22"/>
        </w:rPr>
        <w:t>, 4(2), 169-182.</w:t>
      </w:r>
    </w:p>
    <w:p w:rsidR="008F5AA1" w:rsidRDefault="005E3CD3" w:rsidP="009910D3">
      <w:pPr>
        <w:spacing w:after="120" w:line="240" w:lineRule="auto"/>
        <w:ind w:left="567" w:hanging="567"/>
        <w:jc w:val="both"/>
        <w:rPr>
          <w:sz w:val="22"/>
          <w:szCs w:val="22"/>
        </w:rPr>
      </w:pPr>
      <w:r w:rsidRPr="00A4264A">
        <w:rPr>
          <w:sz w:val="22"/>
          <w:szCs w:val="22"/>
        </w:rPr>
        <w:t xml:space="preserve">Avrupa Adalet Divanı, (2004). </w:t>
      </w:r>
      <w:r w:rsidRPr="00A4264A">
        <w:rPr>
          <w:i/>
          <w:iCs/>
          <w:sz w:val="22"/>
          <w:szCs w:val="22"/>
        </w:rPr>
        <w:t xml:space="preserve">Digital </w:t>
      </w:r>
      <w:r w:rsidR="00DD6636" w:rsidRPr="00A4264A">
        <w:rPr>
          <w:i/>
          <w:iCs/>
          <w:sz w:val="22"/>
          <w:szCs w:val="22"/>
        </w:rPr>
        <w:t>r</w:t>
      </w:r>
      <w:r w:rsidRPr="00A4264A">
        <w:rPr>
          <w:i/>
          <w:iCs/>
          <w:sz w:val="22"/>
          <w:szCs w:val="22"/>
        </w:rPr>
        <w:t xml:space="preserve">ights Ireland </w:t>
      </w:r>
      <w:r w:rsidR="00DD6636" w:rsidRPr="00A4264A">
        <w:rPr>
          <w:i/>
          <w:iCs/>
          <w:sz w:val="22"/>
          <w:szCs w:val="22"/>
        </w:rPr>
        <w:t>k</w:t>
      </w:r>
      <w:r w:rsidRPr="00A4264A">
        <w:rPr>
          <w:i/>
          <w:iCs/>
          <w:sz w:val="22"/>
          <w:szCs w:val="22"/>
        </w:rPr>
        <w:t>ararı.</w:t>
      </w:r>
      <w:r w:rsidRPr="00A4264A">
        <w:rPr>
          <w:sz w:val="22"/>
          <w:szCs w:val="22"/>
        </w:rPr>
        <w:t xml:space="preserve"> “B.S: C-293/12, C-594/12,”, 8 Nisan. </w:t>
      </w:r>
      <w:r w:rsidR="008F5AA1" w:rsidRPr="00A4264A">
        <w:rPr>
          <w:sz w:val="22"/>
          <w:szCs w:val="22"/>
        </w:rPr>
        <w:t>15.02.2020</w:t>
      </w:r>
      <w:r w:rsidR="008F5AA1">
        <w:rPr>
          <w:sz w:val="22"/>
          <w:szCs w:val="22"/>
        </w:rPr>
        <w:t xml:space="preserve"> tarihinde </w:t>
      </w:r>
      <w:r w:rsidR="008F5AA1" w:rsidRPr="008F5AA1">
        <w:rPr>
          <w:sz w:val="22"/>
          <w:szCs w:val="22"/>
        </w:rPr>
        <w:t>https://eur-</w:t>
      </w:r>
      <w:proofErr w:type="gramStart"/>
      <w:r w:rsidR="008F5AA1" w:rsidRPr="008F5AA1">
        <w:rPr>
          <w:sz w:val="22"/>
          <w:szCs w:val="22"/>
        </w:rPr>
        <w:t>lex.europa</w:t>
      </w:r>
      <w:proofErr w:type="gramEnd"/>
      <w:r w:rsidR="008F5AA1" w:rsidRPr="008F5AA1">
        <w:rPr>
          <w:sz w:val="22"/>
          <w:szCs w:val="22"/>
        </w:rPr>
        <w:t>.eu/legalcontent/</w:t>
      </w:r>
      <w:r w:rsidR="00E93612" w:rsidRPr="00A4264A">
        <w:rPr>
          <w:sz w:val="22"/>
          <w:szCs w:val="22"/>
        </w:rPr>
        <w:t>EN/TXT/PDF/?uri=CELEX:62012CJ0293&amp;from=EN</w:t>
      </w:r>
      <w:r w:rsidRPr="00A4264A">
        <w:rPr>
          <w:sz w:val="22"/>
          <w:szCs w:val="22"/>
        </w:rPr>
        <w:t xml:space="preserve"> </w:t>
      </w:r>
      <w:r w:rsidR="008F5AA1">
        <w:rPr>
          <w:sz w:val="22"/>
          <w:szCs w:val="22"/>
        </w:rPr>
        <w:t>adresinden alınmıştır</w:t>
      </w:r>
      <w:r w:rsidR="008F5AA1" w:rsidRPr="00A4264A">
        <w:rPr>
          <w:sz w:val="22"/>
          <w:szCs w:val="22"/>
        </w:rPr>
        <w:t>.</w:t>
      </w:r>
    </w:p>
    <w:p w:rsidR="008F5AA1" w:rsidRPr="00A4264A" w:rsidRDefault="005E3CD3" w:rsidP="009910D3">
      <w:pPr>
        <w:spacing w:after="120" w:line="240" w:lineRule="auto"/>
        <w:ind w:left="567" w:hanging="567"/>
        <w:jc w:val="both"/>
        <w:rPr>
          <w:sz w:val="22"/>
          <w:szCs w:val="22"/>
        </w:rPr>
      </w:pPr>
      <w:r w:rsidRPr="00A4264A">
        <w:rPr>
          <w:sz w:val="22"/>
          <w:szCs w:val="22"/>
        </w:rPr>
        <w:t xml:space="preserve">Avrupa Konseyi Venedik Komisyonu (2015). </w:t>
      </w:r>
      <w:r w:rsidRPr="00A4264A">
        <w:rPr>
          <w:i/>
          <w:iCs/>
          <w:sz w:val="22"/>
          <w:szCs w:val="22"/>
        </w:rPr>
        <w:t xml:space="preserve">Sinyal </w:t>
      </w:r>
      <w:r w:rsidR="00DD6636" w:rsidRPr="00A4264A">
        <w:rPr>
          <w:i/>
          <w:iCs/>
          <w:sz w:val="22"/>
          <w:szCs w:val="22"/>
        </w:rPr>
        <w:t>i</w:t>
      </w:r>
      <w:r w:rsidRPr="00A4264A">
        <w:rPr>
          <w:i/>
          <w:iCs/>
          <w:sz w:val="22"/>
          <w:szCs w:val="22"/>
        </w:rPr>
        <w:t xml:space="preserve">stihbaratı </w:t>
      </w:r>
      <w:r w:rsidR="00DD6636" w:rsidRPr="00A4264A">
        <w:rPr>
          <w:i/>
          <w:iCs/>
          <w:sz w:val="22"/>
          <w:szCs w:val="22"/>
        </w:rPr>
        <w:t>t</w:t>
      </w:r>
      <w:r w:rsidRPr="00A4264A">
        <w:rPr>
          <w:i/>
          <w:iCs/>
          <w:sz w:val="22"/>
          <w:szCs w:val="22"/>
        </w:rPr>
        <w:t xml:space="preserve">eşkilatlarının </w:t>
      </w:r>
      <w:r w:rsidR="00DD6636" w:rsidRPr="00A4264A">
        <w:rPr>
          <w:i/>
          <w:iCs/>
          <w:sz w:val="22"/>
          <w:szCs w:val="22"/>
        </w:rPr>
        <w:t>d</w:t>
      </w:r>
      <w:r w:rsidRPr="00A4264A">
        <w:rPr>
          <w:i/>
          <w:iCs/>
          <w:sz w:val="22"/>
          <w:szCs w:val="22"/>
        </w:rPr>
        <w:t xml:space="preserve">emokratik </w:t>
      </w:r>
      <w:r w:rsidR="00DD6636" w:rsidRPr="00A4264A">
        <w:rPr>
          <w:i/>
          <w:iCs/>
          <w:sz w:val="22"/>
          <w:szCs w:val="22"/>
        </w:rPr>
        <w:t>g</w:t>
      </w:r>
      <w:r w:rsidRPr="00A4264A">
        <w:rPr>
          <w:i/>
          <w:iCs/>
          <w:sz w:val="22"/>
          <w:szCs w:val="22"/>
        </w:rPr>
        <w:t>özetimi,</w:t>
      </w:r>
      <w:r w:rsidRPr="00A4264A">
        <w:rPr>
          <w:sz w:val="22"/>
          <w:szCs w:val="22"/>
        </w:rPr>
        <w:t xml:space="preserve"> 15 Kasım. </w:t>
      </w:r>
      <w:r w:rsidR="008F5AA1" w:rsidRPr="00A4264A">
        <w:rPr>
          <w:sz w:val="22"/>
          <w:szCs w:val="22"/>
        </w:rPr>
        <w:t>14.07.2010</w:t>
      </w:r>
      <w:r w:rsidR="008F5AA1">
        <w:rPr>
          <w:sz w:val="22"/>
          <w:szCs w:val="22"/>
        </w:rPr>
        <w:t xml:space="preserve"> tarihinde </w:t>
      </w:r>
      <w:r w:rsidR="00AC010E" w:rsidRPr="00AC010E">
        <w:rPr>
          <w:sz w:val="22"/>
          <w:szCs w:val="22"/>
        </w:rPr>
        <w:t>https://www.venice.coe.int/</w:t>
      </w:r>
      <w:r w:rsidR="008F5AA1" w:rsidRPr="008F5AA1">
        <w:rPr>
          <w:sz w:val="22"/>
          <w:szCs w:val="22"/>
        </w:rPr>
        <w:t>webforms/documents/default.aspx?pdffile=CDL-AD</w:t>
      </w:r>
      <w:r w:rsidR="007B5470" w:rsidRPr="00A4264A">
        <w:rPr>
          <w:sz w:val="22"/>
          <w:szCs w:val="22"/>
        </w:rPr>
        <w:t>(2015)011-e</w:t>
      </w:r>
      <w:r w:rsidRPr="00A4264A">
        <w:rPr>
          <w:sz w:val="22"/>
          <w:szCs w:val="22"/>
        </w:rPr>
        <w:t xml:space="preserve"> </w:t>
      </w:r>
      <w:r w:rsidR="008F5AA1">
        <w:rPr>
          <w:sz w:val="22"/>
          <w:szCs w:val="22"/>
        </w:rPr>
        <w:t>adresinden alınmıştır</w:t>
      </w:r>
      <w:r w:rsidR="008F5AA1" w:rsidRPr="00A4264A">
        <w:rPr>
          <w:sz w:val="22"/>
          <w:szCs w:val="22"/>
        </w:rPr>
        <w:t>.</w:t>
      </w:r>
    </w:p>
    <w:p w:rsidR="005E3CD3" w:rsidRPr="00A4264A" w:rsidRDefault="005E3CD3" w:rsidP="009910D3">
      <w:pPr>
        <w:spacing w:after="120" w:line="240" w:lineRule="auto"/>
        <w:ind w:left="567" w:hanging="567"/>
        <w:jc w:val="both"/>
        <w:rPr>
          <w:sz w:val="22"/>
          <w:szCs w:val="22"/>
        </w:rPr>
      </w:pPr>
      <w:r w:rsidRPr="00A4264A">
        <w:rPr>
          <w:sz w:val="22"/>
          <w:szCs w:val="22"/>
        </w:rPr>
        <w:t xml:space="preserve">Bozlak, A. (2013). </w:t>
      </w:r>
      <w:r w:rsidRPr="00A4264A">
        <w:rPr>
          <w:i/>
          <w:iCs/>
          <w:sz w:val="22"/>
          <w:szCs w:val="22"/>
        </w:rPr>
        <w:t xml:space="preserve">Türk </w:t>
      </w:r>
      <w:r w:rsidR="00DD6636" w:rsidRPr="00A4264A">
        <w:rPr>
          <w:i/>
          <w:iCs/>
          <w:sz w:val="22"/>
          <w:szCs w:val="22"/>
        </w:rPr>
        <w:t>ceza hukukunda özel hayatın korunması</w:t>
      </w:r>
      <w:r w:rsidRPr="00A4264A">
        <w:rPr>
          <w:sz w:val="22"/>
          <w:szCs w:val="22"/>
        </w:rPr>
        <w:t xml:space="preserve">. Ankara: Adalet Yayınevi. </w:t>
      </w:r>
    </w:p>
    <w:p w:rsidR="005E3CD3" w:rsidRPr="00A4264A" w:rsidRDefault="005E3CD3" w:rsidP="009910D3">
      <w:pPr>
        <w:spacing w:after="120" w:line="240" w:lineRule="auto"/>
        <w:ind w:left="567" w:hanging="567"/>
        <w:jc w:val="both"/>
        <w:rPr>
          <w:sz w:val="22"/>
          <w:szCs w:val="22"/>
        </w:rPr>
      </w:pPr>
      <w:r w:rsidRPr="00A4264A">
        <w:rPr>
          <w:sz w:val="22"/>
          <w:szCs w:val="22"/>
        </w:rPr>
        <w:t xml:space="preserve">Darıcılı, A.B. (2018). </w:t>
      </w:r>
      <w:r w:rsidRPr="00A4264A">
        <w:rPr>
          <w:i/>
          <w:iCs/>
          <w:sz w:val="22"/>
          <w:szCs w:val="22"/>
        </w:rPr>
        <w:t xml:space="preserve">Edward Snowden </w:t>
      </w:r>
      <w:r w:rsidR="00DD6636" w:rsidRPr="00A4264A">
        <w:rPr>
          <w:i/>
          <w:iCs/>
          <w:sz w:val="22"/>
          <w:szCs w:val="22"/>
        </w:rPr>
        <w:t>olayı kapsamında Rusya Federasyonu ve Amerika Birleşik Devletleri arasındaki siber mücadelenin analizi</w:t>
      </w:r>
      <w:r w:rsidR="00DD6636" w:rsidRPr="00A4264A">
        <w:rPr>
          <w:sz w:val="22"/>
          <w:szCs w:val="22"/>
        </w:rPr>
        <w:t>:</w:t>
      </w:r>
      <w:r w:rsidRPr="00A4264A">
        <w:rPr>
          <w:sz w:val="22"/>
          <w:szCs w:val="22"/>
        </w:rPr>
        <w:t xml:space="preserve"> Tesam II. Uluslararası Sosyal Bilimler Kongresi, Quo Vadis Türkiye? (Ekonomik, Siyasal, Sosyal ve Güvenlik Boyutlarıyla Türkiye’nin Gelecekteki Konumu) 1-2 Kasım, Bursa, 9-27.</w:t>
      </w:r>
    </w:p>
    <w:p w:rsidR="005E3CD3" w:rsidRPr="00A4264A" w:rsidRDefault="005E3CD3" w:rsidP="009910D3">
      <w:pPr>
        <w:spacing w:after="120" w:line="240" w:lineRule="auto"/>
        <w:ind w:left="567" w:hanging="567"/>
        <w:jc w:val="both"/>
        <w:rPr>
          <w:sz w:val="22"/>
          <w:szCs w:val="22"/>
        </w:rPr>
      </w:pPr>
      <w:r w:rsidRPr="00A4264A">
        <w:rPr>
          <w:sz w:val="22"/>
          <w:szCs w:val="22"/>
        </w:rPr>
        <w:t xml:space="preserve">Gemalmaz, B. (2005). </w:t>
      </w:r>
      <w:r w:rsidR="00DD6636" w:rsidRPr="00A4264A">
        <w:rPr>
          <w:sz w:val="22"/>
          <w:szCs w:val="22"/>
        </w:rPr>
        <w:t>A</w:t>
      </w:r>
      <w:r w:rsidR="00DD6636" w:rsidRPr="00A4264A">
        <w:rPr>
          <w:i/>
          <w:iCs/>
          <w:sz w:val="22"/>
          <w:szCs w:val="22"/>
        </w:rPr>
        <w:t>vrupa insan hakları sözleşmesinde ve Türk hukukunda çocuğun bedensel cezaya karşı korunması</w:t>
      </w:r>
      <w:r w:rsidR="00DD6636" w:rsidRPr="00A4264A">
        <w:rPr>
          <w:sz w:val="22"/>
          <w:szCs w:val="22"/>
        </w:rPr>
        <w:t>.</w:t>
      </w:r>
      <w:r w:rsidRPr="00A4264A">
        <w:rPr>
          <w:sz w:val="22"/>
          <w:szCs w:val="22"/>
        </w:rPr>
        <w:t xml:space="preserve"> İstanbul: Legal Yayınevi. </w:t>
      </w:r>
    </w:p>
    <w:p w:rsidR="005E3CD3" w:rsidRPr="00A4264A" w:rsidRDefault="005E3CD3" w:rsidP="009910D3">
      <w:pPr>
        <w:spacing w:after="120" w:line="240" w:lineRule="auto"/>
        <w:ind w:left="567" w:hanging="567"/>
        <w:jc w:val="both"/>
        <w:rPr>
          <w:sz w:val="22"/>
          <w:szCs w:val="22"/>
        </w:rPr>
      </w:pPr>
      <w:r w:rsidRPr="00A4264A">
        <w:rPr>
          <w:sz w:val="22"/>
          <w:szCs w:val="22"/>
        </w:rPr>
        <w:t xml:space="preserve">Gemalmaz, M.S. (2012). </w:t>
      </w:r>
      <w:r w:rsidR="00DD6636" w:rsidRPr="00A4264A">
        <w:rPr>
          <w:i/>
          <w:sz w:val="22"/>
          <w:szCs w:val="22"/>
        </w:rPr>
        <w:t>U</w:t>
      </w:r>
      <w:r w:rsidR="00DD6636" w:rsidRPr="00A4264A">
        <w:rPr>
          <w:i/>
          <w:iCs/>
          <w:sz w:val="22"/>
          <w:szCs w:val="22"/>
        </w:rPr>
        <w:t>lusalüstü insan hakları hukukunun genel teorisine giriş</w:t>
      </w:r>
      <w:r w:rsidRPr="00A4264A">
        <w:rPr>
          <w:i/>
          <w:iCs/>
          <w:sz w:val="22"/>
          <w:szCs w:val="22"/>
        </w:rPr>
        <w:t xml:space="preserve">, </w:t>
      </w:r>
      <w:r w:rsidRPr="00A4264A">
        <w:rPr>
          <w:iCs/>
          <w:sz w:val="22"/>
          <w:szCs w:val="22"/>
        </w:rPr>
        <w:t>cilt.1, 8. bs.</w:t>
      </w:r>
      <w:r w:rsidRPr="00A4264A">
        <w:rPr>
          <w:sz w:val="22"/>
          <w:szCs w:val="22"/>
        </w:rPr>
        <w:t xml:space="preserve"> İstanbul: Beta Yayınevi. </w:t>
      </w:r>
    </w:p>
    <w:p w:rsidR="005E3CD3" w:rsidRPr="00A4264A" w:rsidRDefault="005E3CD3" w:rsidP="009910D3">
      <w:pPr>
        <w:spacing w:after="120" w:line="240" w:lineRule="auto"/>
        <w:ind w:left="567" w:hanging="567"/>
        <w:jc w:val="both"/>
        <w:rPr>
          <w:sz w:val="22"/>
          <w:szCs w:val="22"/>
        </w:rPr>
      </w:pPr>
      <w:r w:rsidRPr="00A4264A">
        <w:rPr>
          <w:sz w:val="22"/>
          <w:szCs w:val="22"/>
        </w:rPr>
        <w:t xml:space="preserve">Gözler, K. (1998). </w:t>
      </w:r>
      <w:r w:rsidR="00DD6636" w:rsidRPr="00A4264A">
        <w:rPr>
          <w:i/>
          <w:sz w:val="22"/>
          <w:szCs w:val="22"/>
        </w:rPr>
        <w:t>İ</w:t>
      </w:r>
      <w:r w:rsidR="00DD6636" w:rsidRPr="00A4264A">
        <w:rPr>
          <w:i/>
          <w:iCs/>
          <w:sz w:val="22"/>
          <w:szCs w:val="22"/>
        </w:rPr>
        <w:t>nsan hakları normlarının anayasaüstülüğü sorunu</w:t>
      </w:r>
      <w:r w:rsidRPr="00A4264A">
        <w:rPr>
          <w:i/>
          <w:iCs/>
          <w:sz w:val="22"/>
          <w:szCs w:val="22"/>
        </w:rPr>
        <w:t xml:space="preserve">: </w:t>
      </w:r>
      <w:r w:rsidRPr="00A4264A">
        <w:rPr>
          <w:sz w:val="22"/>
          <w:szCs w:val="22"/>
        </w:rPr>
        <w:t>Türkiye’de İnsan Hakları Konferansı, 7–9 Aralık, Ankara, 25-46.</w:t>
      </w:r>
    </w:p>
    <w:p w:rsidR="005E3CD3" w:rsidRPr="00A4264A" w:rsidRDefault="005E3CD3" w:rsidP="009910D3">
      <w:pPr>
        <w:spacing w:after="120" w:line="240" w:lineRule="auto"/>
        <w:ind w:left="567" w:hanging="567"/>
        <w:jc w:val="both"/>
        <w:rPr>
          <w:sz w:val="22"/>
          <w:szCs w:val="22"/>
        </w:rPr>
      </w:pPr>
      <w:r w:rsidRPr="00A4264A">
        <w:rPr>
          <w:sz w:val="22"/>
          <w:szCs w:val="22"/>
        </w:rPr>
        <w:t xml:space="preserve">Gözübüyük, Ş. ve Gölcüklü, F. (2011). </w:t>
      </w:r>
      <w:r w:rsidRPr="00A4264A">
        <w:rPr>
          <w:i/>
          <w:iCs/>
          <w:sz w:val="22"/>
          <w:szCs w:val="22"/>
        </w:rPr>
        <w:t xml:space="preserve">Avrupa </w:t>
      </w:r>
      <w:r w:rsidR="00DD6636" w:rsidRPr="00A4264A">
        <w:rPr>
          <w:i/>
          <w:iCs/>
          <w:sz w:val="22"/>
          <w:szCs w:val="22"/>
        </w:rPr>
        <w:t>insan hakları sözleşmesi ve uygulaması</w:t>
      </w:r>
      <w:r w:rsidRPr="00A4264A">
        <w:rPr>
          <w:i/>
          <w:iCs/>
          <w:sz w:val="22"/>
          <w:szCs w:val="22"/>
        </w:rPr>
        <w:t xml:space="preserve">, </w:t>
      </w:r>
      <w:r w:rsidRPr="00A4264A">
        <w:rPr>
          <w:iCs/>
          <w:sz w:val="22"/>
          <w:szCs w:val="22"/>
        </w:rPr>
        <w:t>9. bs.</w:t>
      </w:r>
      <w:r w:rsidRPr="00A4264A">
        <w:rPr>
          <w:sz w:val="22"/>
          <w:szCs w:val="22"/>
        </w:rPr>
        <w:t xml:space="preserve">  Ankara: Turhan Kitabevi.</w:t>
      </w:r>
    </w:p>
    <w:p w:rsidR="005E3CD3" w:rsidRPr="00A4264A" w:rsidRDefault="005E3CD3" w:rsidP="009910D3">
      <w:pPr>
        <w:spacing w:after="120" w:line="240" w:lineRule="auto"/>
        <w:ind w:left="567" w:hanging="567"/>
        <w:jc w:val="both"/>
        <w:rPr>
          <w:sz w:val="22"/>
          <w:szCs w:val="22"/>
        </w:rPr>
      </w:pPr>
      <w:r w:rsidRPr="00A4264A">
        <w:rPr>
          <w:sz w:val="22"/>
          <w:szCs w:val="22"/>
        </w:rPr>
        <w:t xml:space="preserve">Greenwald G. (2013). </w:t>
      </w:r>
      <w:r w:rsidRPr="00A4264A">
        <w:rPr>
          <w:i/>
          <w:iCs/>
          <w:sz w:val="22"/>
          <w:szCs w:val="22"/>
        </w:rPr>
        <w:t xml:space="preserve">NSA collecting phone records of millions of Verizon customers </w:t>
      </w:r>
      <w:r w:rsidR="00DD6636" w:rsidRPr="00A4264A">
        <w:rPr>
          <w:i/>
          <w:iCs/>
          <w:sz w:val="22"/>
          <w:szCs w:val="22"/>
        </w:rPr>
        <w:t>d</w:t>
      </w:r>
      <w:r w:rsidRPr="00A4264A">
        <w:rPr>
          <w:i/>
          <w:iCs/>
          <w:sz w:val="22"/>
          <w:szCs w:val="22"/>
        </w:rPr>
        <w:t>aily</w:t>
      </w:r>
      <w:r w:rsidR="0097552E">
        <w:rPr>
          <w:sz w:val="22"/>
          <w:szCs w:val="22"/>
        </w:rPr>
        <w:t>, the Guardian, 6 Haziran.</w:t>
      </w:r>
      <w:r w:rsidR="007B5470" w:rsidRPr="00A4264A">
        <w:rPr>
          <w:sz w:val="22"/>
          <w:szCs w:val="22"/>
        </w:rPr>
        <w:t xml:space="preserve"> </w:t>
      </w:r>
      <w:r w:rsidR="008F5AA1" w:rsidRPr="00A4264A">
        <w:rPr>
          <w:sz w:val="22"/>
          <w:szCs w:val="22"/>
        </w:rPr>
        <w:t>15.02.2020</w:t>
      </w:r>
      <w:r w:rsidR="008F5AA1">
        <w:rPr>
          <w:sz w:val="22"/>
          <w:szCs w:val="22"/>
        </w:rPr>
        <w:t xml:space="preserve"> tarihinde </w:t>
      </w:r>
      <w:r w:rsidR="007B5470" w:rsidRPr="00A4264A">
        <w:rPr>
          <w:sz w:val="22"/>
          <w:szCs w:val="22"/>
        </w:rPr>
        <w:t xml:space="preserve">https://www.theguardian.com/world/2013/jun/06/nsa-phone-records-verizon-court-order  </w:t>
      </w:r>
      <w:r w:rsidR="008F5AA1">
        <w:rPr>
          <w:sz w:val="22"/>
          <w:szCs w:val="22"/>
        </w:rPr>
        <w:t>adresinden alınmıştır.</w:t>
      </w:r>
    </w:p>
    <w:p w:rsidR="008F5AA1" w:rsidRPr="00A4264A" w:rsidRDefault="005E3CD3" w:rsidP="009910D3">
      <w:pPr>
        <w:spacing w:after="120" w:line="240" w:lineRule="auto"/>
        <w:ind w:left="567" w:hanging="567"/>
        <w:jc w:val="both"/>
        <w:rPr>
          <w:sz w:val="22"/>
          <w:szCs w:val="22"/>
        </w:rPr>
      </w:pPr>
      <w:r w:rsidRPr="00A4264A">
        <w:rPr>
          <w:sz w:val="22"/>
          <w:szCs w:val="22"/>
        </w:rPr>
        <w:t xml:space="preserve">Greenwald G. ve Ackerman S. (2013). </w:t>
      </w:r>
      <w:r w:rsidRPr="00A4264A">
        <w:rPr>
          <w:i/>
          <w:iCs/>
          <w:sz w:val="22"/>
          <w:szCs w:val="22"/>
        </w:rPr>
        <w:t xml:space="preserve">How </w:t>
      </w:r>
      <w:proofErr w:type="spellStart"/>
      <w:r w:rsidRPr="00A4264A">
        <w:rPr>
          <w:i/>
          <w:iCs/>
          <w:sz w:val="22"/>
          <w:szCs w:val="22"/>
        </w:rPr>
        <w:t>the</w:t>
      </w:r>
      <w:proofErr w:type="spellEnd"/>
      <w:r w:rsidRPr="00A4264A">
        <w:rPr>
          <w:i/>
          <w:iCs/>
          <w:sz w:val="22"/>
          <w:szCs w:val="22"/>
        </w:rPr>
        <w:t xml:space="preserve"> NSA </w:t>
      </w:r>
      <w:r w:rsidR="004819A7">
        <w:rPr>
          <w:i/>
          <w:iCs/>
          <w:sz w:val="22"/>
          <w:szCs w:val="22"/>
        </w:rPr>
        <w:t>i</w:t>
      </w:r>
      <w:r w:rsidRPr="00A4264A">
        <w:rPr>
          <w:i/>
          <w:iCs/>
          <w:sz w:val="22"/>
          <w:szCs w:val="22"/>
        </w:rPr>
        <w:t xml:space="preserve">s </w:t>
      </w:r>
      <w:proofErr w:type="spellStart"/>
      <w:r w:rsidR="00DD6636" w:rsidRPr="00A4264A">
        <w:rPr>
          <w:i/>
          <w:iCs/>
          <w:sz w:val="22"/>
          <w:szCs w:val="22"/>
        </w:rPr>
        <w:t>s</w:t>
      </w:r>
      <w:r w:rsidRPr="00A4264A">
        <w:rPr>
          <w:i/>
          <w:iCs/>
          <w:sz w:val="22"/>
          <w:szCs w:val="22"/>
        </w:rPr>
        <w:t>till</w:t>
      </w:r>
      <w:proofErr w:type="spellEnd"/>
      <w:r w:rsidRPr="00A4264A">
        <w:rPr>
          <w:i/>
          <w:iCs/>
          <w:sz w:val="22"/>
          <w:szCs w:val="22"/>
        </w:rPr>
        <w:t xml:space="preserve"> </w:t>
      </w:r>
      <w:proofErr w:type="spellStart"/>
      <w:r w:rsidR="00DD6636" w:rsidRPr="00A4264A">
        <w:rPr>
          <w:i/>
          <w:iCs/>
          <w:sz w:val="22"/>
          <w:szCs w:val="22"/>
        </w:rPr>
        <w:t>h</w:t>
      </w:r>
      <w:r w:rsidRPr="00A4264A">
        <w:rPr>
          <w:i/>
          <w:iCs/>
          <w:sz w:val="22"/>
          <w:szCs w:val="22"/>
        </w:rPr>
        <w:t>arvesting</w:t>
      </w:r>
      <w:proofErr w:type="spellEnd"/>
      <w:r w:rsidRPr="00A4264A">
        <w:rPr>
          <w:i/>
          <w:iCs/>
          <w:sz w:val="22"/>
          <w:szCs w:val="22"/>
        </w:rPr>
        <w:t xml:space="preserve"> </w:t>
      </w:r>
      <w:proofErr w:type="spellStart"/>
      <w:r w:rsidR="00DD6636" w:rsidRPr="00A4264A">
        <w:rPr>
          <w:i/>
          <w:iCs/>
          <w:sz w:val="22"/>
          <w:szCs w:val="22"/>
        </w:rPr>
        <w:t>y</w:t>
      </w:r>
      <w:r w:rsidRPr="00A4264A">
        <w:rPr>
          <w:i/>
          <w:iCs/>
          <w:sz w:val="22"/>
          <w:szCs w:val="22"/>
        </w:rPr>
        <w:t>our</w:t>
      </w:r>
      <w:proofErr w:type="spellEnd"/>
      <w:r w:rsidRPr="00A4264A">
        <w:rPr>
          <w:i/>
          <w:iCs/>
          <w:sz w:val="22"/>
          <w:szCs w:val="22"/>
        </w:rPr>
        <w:t xml:space="preserve"> </w:t>
      </w:r>
      <w:proofErr w:type="gramStart"/>
      <w:r w:rsidR="00DD6636" w:rsidRPr="00A4264A">
        <w:rPr>
          <w:i/>
          <w:iCs/>
          <w:sz w:val="22"/>
          <w:szCs w:val="22"/>
        </w:rPr>
        <w:t>o</w:t>
      </w:r>
      <w:r w:rsidRPr="00A4264A">
        <w:rPr>
          <w:i/>
          <w:iCs/>
          <w:sz w:val="22"/>
          <w:szCs w:val="22"/>
        </w:rPr>
        <w:t>nline</w:t>
      </w:r>
      <w:proofErr w:type="gramEnd"/>
      <w:r w:rsidRPr="00A4264A">
        <w:rPr>
          <w:i/>
          <w:iCs/>
          <w:sz w:val="22"/>
          <w:szCs w:val="22"/>
        </w:rPr>
        <w:t xml:space="preserve"> </w:t>
      </w:r>
      <w:r w:rsidR="00DD6636" w:rsidRPr="00A4264A">
        <w:rPr>
          <w:i/>
          <w:iCs/>
          <w:sz w:val="22"/>
          <w:szCs w:val="22"/>
        </w:rPr>
        <w:t>d</w:t>
      </w:r>
      <w:r w:rsidRPr="00A4264A">
        <w:rPr>
          <w:i/>
          <w:iCs/>
          <w:sz w:val="22"/>
          <w:szCs w:val="22"/>
        </w:rPr>
        <w:t>ata,</w:t>
      </w:r>
      <w:r w:rsidR="0097552E">
        <w:rPr>
          <w:sz w:val="22"/>
          <w:szCs w:val="22"/>
        </w:rPr>
        <w:t xml:space="preserve"> the Guardian, 27 Haziran.</w:t>
      </w:r>
      <w:r w:rsidRPr="00A4264A">
        <w:rPr>
          <w:sz w:val="22"/>
          <w:szCs w:val="22"/>
        </w:rPr>
        <w:t xml:space="preserve"> </w:t>
      </w:r>
      <w:r w:rsidR="008F5AA1" w:rsidRPr="00A4264A">
        <w:rPr>
          <w:sz w:val="22"/>
          <w:szCs w:val="22"/>
        </w:rPr>
        <w:t>15.02.2020</w:t>
      </w:r>
      <w:r w:rsidR="008F5AA1">
        <w:rPr>
          <w:sz w:val="22"/>
          <w:szCs w:val="22"/>
        </w:rPr>
        <w:t xml:space="preserve"> tarihinde </w:t>
      </w:r>
      <w:r w:rsidR="007B5470" w:rsidRPr="00A4264A">
        <w:rPr>
          <w:sz w:val="22"/>
          <w:szCs w:val="22"/>
        </w:rPr>
        <w:t>http://www.theguardian.com/world/2013/jun/27/nsa-online-metadata-collection</w:t>
      </w:r>
      <w:r w:rsidRPr="00A4264A">
        <w:rPr>
          <w:sz w:val="22"/>
          <w:szCs w:val="22"/>
        </w:rPr>
        <w:t xml:space="preserve"> </w:t>
      </w:r>
      <w:r w:rsidR="008F5AA1">
        <w:rPr>
          <w:sz w:val="22"/>
          <w:szCs w:val="22"/>
        </w:rPr>
        <w:t>adresinden alınmıştır.</w:t>
      </w:r>
    </w:p>
    <w:p w:rsidR="005E3CD3" w:rsidRPr="00A4264A" w:rsidRDefault="005E3CD3" w:rsidP="001302D2">
      <w:pPr>
        <w:spacing w:after="120" w:line="240" w:lineRule="auto"/>
        <w:jc w:val="both"/>
        <w:rPr>
          <w:sz w:val="22"/>
          <w:szCs w:val="22"/>
        </w:rPr>
      </w:pPr>
      <w:r w:rsidRPr="00A4264A">
        <w:rPr>
          <w:sz w:val="22"/>
          <w:szCs w:val="22"/>
        </w:rPr>
        <w:t xml:space="preserve">Helvacı, S. (2012). </w:t>
      </w:r>
      <w:r w:rsidRPr="00A4264A">
        <w:rPr>
          <w:i/>
          <w:iCs/>
          <w:sz w:val="22"/>
          <w:szCs w:val="22"/>
        </w:rPr>
        <w:t xml:space="preserve">Gerçek </w:t>
      </w:r>
      <w:r w:rsidR="00DD6636" w:rsidRPr="00A4264A">
        <w:rPr>
          <w:i/>
          <w:iCs/>
          <w:sz w:val="22"/>
          <w:szCs w:val="22"/>
        </w:rPr>
        <w:t>k</w:t>
      </w:r>
      <w:r w:rsidRPr="00A4264A">
        <w:rPr>
          <w:i/>
          <w:iCs/>
          <w:sz w:val="22"/>
          <w:szCs w:val="22"/>
        </w:rPr>
        <w:t xml:space="preserve">işiler, </w:t>
      </w:r>
      <w:r w:rsidRPr="00A4264A">
        <w:rPr>
          <w:iCs/>
          <w:sz w:val="22"/>
          <w:szCs w:val="22"/>
        </w:rPr>
        <w:t>4. bs.</w:t>
      </w:r>
      <w:r w:rsidRPr="00A4264A">
        <w:rPr>
          <w:sz w:val="22"/>
          <w:szCs w:val="22"/>
        </w:rPr>
        <w:t xml:space="preserve"> İstanbul: Legal Yayıncılık. </w:t>
      </w:r>
    </w:p>
    <w:p w:rsidR="005E3CD3" w:rsidRPr="00A4264A" w:rsidRDefault="005E3CD3" w:rsidP="0003103A">
      <w:pPr>
        <w:spacing w:after="120" w:line="240" w:lineRule="auto"/>
        <w:ind w:left="567" w:hanging="567"/>
        <w:jc w:val="both"/>
        <w:rPr>
          <w:sz w:val="22"/>
          <w:szCs w:val="22"/>
        </w:rPr>
      </w:pPr>
      <w:r w:rsidRPr="00A4264A">
        <w:rPr>
          <w:sz w:val="22"/>
          <w:szCs w:val="22"/>
        </w:rPr>
        <w:t xml:space="preserve">Inkster, N. (2014). The Snowden </w:t>
      </w:r>
      <w:r w:rsidR="00DD6636" w:rsidRPr="00A4264A">
        <w:rPr>
          <w:sz w:val="22"/>
          <w:szCs w:val="22"/>
        </w:rPr>
        <w:t>r</w:t>
      </w:r>
      <w:r w:rsidRPr="00A4264A">
        <w:rPr>
          <w:sz w:val="22"/>
          <w:szCs w:val="22"/>
        </w:rPr>
        <w:t xml:space="preserve">evelations: Myths and </w:t>
      </w:r>
      <w:r w:rsidR="00DD6636" w:rsidRPr="00A4264A">
        <w:rPr>
          <w:sz w:val="22"/>
          <w:szCs w:val="22"/>
        </w:rPr>
        <w:t>m</w:t>
      </w:r>
      <w:r w:rsidRPr="00A4264A">
        <w:rPr>
          <w:sz w:val="22"/>
          <w:szCs w:val="22"/>
        </w:rPr>
        <w:t xml:space="preserve">isapprehensions. </w:t>
      </w:r>
      <w:r w:rsidRPr="00A4264A">
        <w:rPr>
          <w:i/>
          <w:iCs/>
          <w:sz w:val="22"/>
          <w:szCs w:val="22"/>
        </w:rPr>
        <w:t>Survival: Global Politics and Strategy</w:t>
      </w:r>
      <w:r w:rsidRPr="00A4264A">
        <w:rPr>
          <w:sz w:val="22"/>
          <w:szCs w:val="22"/>
        </w:rPr>
        <w:t>, 56(1), 51-60.</w:t>
      </w:r>
    </w:p>
    <w:p w:rsidR="005E3CD3" w:rsidRPr="00A4264A" w:rsidRDefault="005E3CD3" w:rsidP="0003103A">
      <w:pPr>
        <w:spacing w:after="120" w:line="240" w:lineRule="auto"/>
        <w:ind w:left="567" w:hanging="567"/>
        <w:jc w:val="both"/>
        <w:rPr>
          <w:sz w:val="22"/>
          <w:szCs w:val="22"/>
        </w:rPr>
      </w:pPr>
      <w:r w:rsidRPr="00A4264A">
        <w:rPr>
          <w:sz w:val="22"/>
          <w:szCs w:val="22"/>
        </w:rPr>
        <w:t xml:space="preserve">Kaboğlu, İ.Ö. (2002). </w:t>
      </w:r>
      <w:r w:rsidRPr="00A4264A">
        <w:rPr>
          <w:i/>
          <w:iCs/>
          <w:sz w:val="22"/>
          <w:szCs w:val="22"/>
        </w:rPr>
        <w:t xml:space="preserve">Özgürlükler </w:t>
      </w:r>
      <w:r w:rsidR="00DD6636" w:rsidRPr="00A4264A">
        <w:rPr>
          <w:i/>
          <w:iCs/>
          <w:sz w:val="22"/>
          <w:szCs w:val="22"/>
        </w:rPr>
        <w:t>h</w:t>
      </w:r>
      <w:r w:rsidRPr="00A4264A">
        <w:rPr>
          <w:i/>
          <w:iCs/>
          <w:sz w:val="22"/>
          <w:szCs w:val="22"/>
        </w:rPr>
        <w:t xml:space="preserve">ukuku: İnsan </w:t>
      </w:r>
      <w:r w:rsidR="00DD6636" w:rsidRPr="00A4264A">
        <w:rPr>
          <w:i/>
          <w:iCs/>
          <w:sz w:val="22"/>
          <w:szCs w:val="22"/>
        </w:rPr>
        <w:t>h</w:t>
      </w:r>
      <w:r w:rsidRPr="00A4264A">
        <w:rPr>
          <w:i/>
          <w:iCs/>
          <w:sz w:val="22"/>
          <w:szCs w:val="22"/>
        </w:rPr>
        <w:t xml:space="preserve">aklarının </w:t>
      </w:r>
      <w:r w:rsidR="00DD6636" w:rsidRPr="00A4264A">
        <w:rPr>
          <w:i/>
          <w:iCs/>
          <w:sz w:val="22"/>
          <w:szCs w:val="22"/>
        </w:rPr>
        <w:t>h</w:t>
      </w:r>
      <w:r w:rsidRPr="00A4264A">
        <w:rPr>
          <w:i/>
          <w:iCs/>
          <w:sz w:val="22"/>
          <w:szCs w:val="22"/>
        </w:rPr>
        <w:t xml:space="preserve">ukuksal </w:t>
      </w:r>
      <w:r w:rsidR="00DD6636" w:rsidRPr="00A4264A">
        <w:rPr>
          <w:i/>
          <w:iCs/>
          <w:sz w:val="22"/>
          <w:szCs w:val="22"/>
        </w:rPr>
        <w:t>y</w:t>
      </w:r>
      <w:r w:rsidRPr="00A4264A">
        <w:rPr>
          <w:i/>
          <w:iCs/>
          <w:sz w:val="22"/>
          <w:szCs w:val="22"/>
        </w:rPr>
        <w:t xml:space="preserve">apısı, </w:t>
      </w:r>
      <w:r w:rsidRPr="00A4264A">
        <w:rPr>
          <w:iCs/>
          <w:sz w:val="22"/>
          <w:szCs w:val="22"/>
        </w:rPr>
        <w:t>6. bs.</w:t>
      </w:r>
      <w:r w:rsidRPr="00A4264A">
        <w:rPr>
          <w:i/>
          <w:iCs/>
          <w:sz w:val="22"/>
          <w:szCs w:val="22"/>
        </w:rPr>
        <w:t xml:space="preserve"> </w:t>
      </w:r>
      <w:r w:rsidRPr="00A4264A">
        <w:rPr>
          <w:sz w:val="22"/>
          <w:szCs w:val="22"/>
        </w:rPr>
        <w:t xml:space="preserve">Ankara: İmge Yayınları. </w:t>
      </w:r>
    </w:p>
    <w:p w:rsidR="005E3CD3" w:rsidRPr="00A4264A" w:rsidRDefault="005E3CD3" w:rsidP="0003103A">
      <w:pPr>
        <w:spacing w:after="120" w:line="240" w:lineRule="auto"/>
        <w:ind w:left="567" w:hanging="567"/>
        <w:jc w:val="both"/>
        <w:rPr>
          <w:sz w:val="22"/>
          <w:szCs w:val="22"/>
        </w:rPr>
      </w:pPr>
      <w:r w:rsidRPr="00A4264A">
        <w:rPr>
          <w:sz w:val="22"/>
          <w:szCs w:val="22"/>
        </w:rPr>
        <w:lastRenderedPageBreak/>
        <w:t>Keithly, D.M. (2010</w:t>
      </w:r>
      <w:r w:rsidRPr="00A4264A">
        <w:rPr>
          <w:i/>
          <w:iCs/>
          <w:sz w:val="22"/>
          <w:szCs w:val="22"/>
        </w:rPr>
        <w:t xml:space="preserve">). </w:t>
      </w:r>
      <w:r w:rsidRPr="00A97E6D">
        <w:rPr>
          <w:iCs/>
          <w:sz w:val="22"/>
          <w:szCs w:val="22"/>
        </w:rPr>
        <w:t xml:space="preserve">Intelligence </w:t>
      </w:r>
      <w:r w:rsidR="0038156E" w:rsidRPr="00A97E6D">
        <w:rPr>
          <w:iCs/>
          <w:sz w:val="22"/>
          <w:szCs w:val="22"/>
        </w:rPr>
        <w:t>f</w:t>
      </w:r>
      <w:r w:rsidRPr="00A97E6D">
        <w:rPr>
          <w:iCs/>
          <w:sz w:val="22"/>
          <w:szCs w:val="22"/>
        </w:rPr>
        <w:t>undamentals</w:t>
      </w:r>
      <w:r w:rsidRPr="00A4264A">
        <w:rPr>
          <w:i/>
          <w:iCs/>
          <w:sz w:val="22"/>
          <w:szCs w:val="22"/>
        </w:rPr>
        <w:t xml:space="preserve">. </w:t>
      </w:r>
      <w:r w:rsidRPr="00A4264A">
        <w:rPr>
          <w:sz w:val="22"/>
          <w:szCs w:val="22"/>
        </w:rPr>
        <w:t>İçinde</w:t>
      </w:r>
      <w:r w:rsidRPr="00A4264A">
        <w:rPr>
          <w:i/>
          <w:iCs/>
          <w:sz w:val="22"/>
          <w:szCs w:val="22"/>
        </w:rPr>
        <w:t xml:space="preserve"> </w:t>
      </w:r>
      <w:r w:rsidRPr="00A4264A">
        <w:rPr>
          <w:sz w:val="22"/>
          <w:szCs w:val="22"/>
        </w:rPr>
        <w:t>K.G. Logan  (Ed.),</w:t>
      </w:r>
      <w:r w:rsidRPr="00A4264A">
        <w:rPr>
          <w:i/>
          <w:iCs/>
          <w:sz w:val="22"/>
          <w:szCs w:val="22"/>
        </w:rPr>
        <w:t xml:space="preserve"> Homeland </w:t>
      </w:r>
      <w:r w:rsidR="0038156E" w:rsidRPr="00A4264A">
        <w:rPr>
          <w:i/>
          <w:iCs/>
          <w:sz w:val="22"/>
          <w:szCs w:val="22"/>
        </w:rPr>
        <w:t>s</w:t>
      </w:r>
      <w:r w:rsidRPr="00A4264A">
        <w:rPr>
          <w:i/>
          <w:iCs/>
          <w:sz w:val="22"/>
          <w:szCs w:val="22"/>
        </w:rPr>
        <w:t xml:space="preserve">ecurity and </w:t>
      </w:r>
      <w:r w:rsidR="0038156E" w:rsidRPr="00A4264A">
        <w:rPr>
          <w:i/>
          <w:iCs/>
          <w:sz w:val="22"/>
          <w:szCs w:val="22"/>
        </w:rPr>
        <w:t>i</w:t>
      </w:r>
      <w:r w:rsidRPr="00A4264A">
        <w:rPr>
          <w:i/>
          <w:iCs/>
          <w:sz w:val="22"/>
          <w:szCs w:val="22"/>
        </w:rPr>
        <w:t>ntelligence</w:t>
      </w:r>
      <w:r w:rsidRPr="00A4264A">
        <w:rPr>
          <w:sz w:val="22"/>
          <w:szCs w:val="22"/>
        </w:rPr>
        <w:t xml:space="preserve">. California: Praeger Security Internatıonal. </w:t>
      </w:r>
    </w:p>
    <w:p w:rsidR="005E3CD3" w:rsidRPr="00A4264A" w:rsidRDefault="005E3CD3" w:rsidP="0003103A">
      <w:pPr>
        <w:spacing w:after="120" w:line="240" w:lineRule="auto"/>
        <w:ind w:left="567" w:hanging="567"/>
        <w:jc w:val="both"/>
        <w:rPr>
          <w:sz w:val="22"/>
          <w:szCs w:val="22"/>
        </w:rPr>
      </w:pPr>
      <w:r w:rsidRPr="00A4264A">
        <w:rPr>
          <w:sz w:val="22"/>
          <w:szCs w:val="22"/>
        </w:rPr>
        <w:t xml:space="preserve">Kılınç, Ü. (2012). Teknik </w:t>
      </w:r>
      <w:r w:rsidR="0038156E" w:rsidRPr="00A4264A">
        <w:rPr>
          <w:sz w:val="22"/>
          <w:szCs w:val="22"/>
        </w:rPr>
        <w:t xml:space="preserve">araçlarla yapılan gizli izlemelerin </w:t>
      </w:r>
      <w:r w:rsidR="00F25FFE">
        <w:rPr>
          <w:sz w:val="22"/>
          <w:szCs w:val="22"/>
        </w:rPr>
        <w:t>A</w:t>
      </w:r>
      <w:r w:rsidR="0038156E" w:rsidRPr="00A4264A">
        <w:rPr>
          <w:sz w:val="22"/>
          <w:szCs w:val="22"/>
        </w:rPr>
        <w:t>vrupa insan hakları sözleşmesine uygunluğu sorunu</w:t>
      </w:r>
      <w:r w:rsidRPr="00A4264A">
        <w:rPr>
          <w:sz w:val="22"/>
          <w:szCs w:val="22"/>
        </w:rPr>
        <w:t xml:space="preserve">. </w:t>
      </w:r>
      <w:r w:rsidRPr="00A4264A">
        <w:rPr>
          <w:i/>
          <w:iCs/>
          <w:sz w:val="22"/>
          <w:szCs w:val="22"/>
        </w:rPr>
        <w:t>Türkiye Adalet Akademisi Dergisi</w:t>
      </w:r>
      <w:r w:rsidRPr="00A4264A">
        <w:rPr>
          <w:sz w:val="22"/>
          <w:szCs w:val="22"/>
        </w:rPr>
        <w:t>, 3(9), 1-32.</w:t>
      </w:r>
    </w:p>
    <w:p w:rsidR="005E3CD3" w:rsidRPr="00A4264A" w:rsidRDefault="005E3CD3" w:rsidP="0003103A">
      <w:pPr>
        <w:spacing w:after="120" w:line="240" w:lineRule="auto"/>
        <w:ind w:left="567" w:hanging="567"/>
        <w:jc w:val="both"/>
        <w:rPr>
          <w:sz w:val="22"/>
          <w:szCs w:val="22"/>
        </w:rPr>
      </w:pPr>
      <w:r w:rsidRPr="00A4264A">
        <w:rPr>
          <w:sz w:val="22"/>
          <w:szCs w:val="22"/>
        </w:rPr>
        <w:t xml:space="preserve">Kilkely, U. (2003). </w:t>
      </w:r>
      <w:r w:rsidR="0038156E" w:rsidRPr="00A4264A">
        <w:rPr>
          <w:i/>
          <w:iCs/>
          <w:sz w:val="22"/>
          <w:szCs w:val="22"/>
        </w:rPr>
        <w:t>Özel hayata ve aile hayatına saygı gösterilmesi hakkı: Avrupa insan hakları sözleşmesinin 8. maddesi’nin uygulanmasına ilişkin kılavuz.</w:t>
      </w:r>
      <w:r w:rsidRPr="00A4264A">
        <w:rPr>
          <w:i/>
          <w:iCs/>
          <w:sz w:val="22"/>
          <w:szCs w:val="22"/>
        </w:rPr>
        <w:t xml:space="preserve"> </w:t>
      </w:r>
      <w:r w:rsidRPr="00A4264A">
        <w:rPr>
          <w:iCs/>
          <w:sz w:val="22"/>
          <w:szCs w:val="22"/>
        </w:rPr>
        <w:t>2. bs.</w:t>
      </w:r>
      <w:r w:rsidRPr="00A4264A">
        <w:rPr>
          <w:sz w:val="22"/>
          <w:szCs w:val="22"/>
        </w:rPr>
        <w:t xml:space="preserve"> Ankara: Avrupa Konseyi İnsan Hakları Genel Müdürlüğü.</w:t>
      </w:r>
    </w:p>
    <w:p w:rsidR="005E3CD3" w:rsidRPr="00A4264A" w:rsidRDefault="005E3CD3" w:rsidP="0003103A">
      <w:pPr>
        <w:spacing w:after="120" w:line="240" w:lineRule="auto"/>
        <w:ind w:left="567" w:hanging="567"/>
        <w:jc w:val="both"/>
        <w:rPr>
          <w:sz w:val="22"/>
          <w:szCs w:val="22"/>
        </w:rPr>
      </w:pPr>
      <w:r w:rsidRPr="00A4264A">
        <w:rPr>
          <w:sz w:val="22"/>
          <w:szCs w:val="22"/>
        </w:rPr>
        <w:t xml:space="preserve">Landau, S. (2013). Making </w:t>
      </w:r>
      <w:r w:rsidR="0038156E" w:rsidRPr="00A4264A">
        <w:rPr>
          <w:sz w:val="22"/>
          <w:szCs w:val="22"/>
        </w:rPr>
        <w:t>sense from Snowden: What's significant in the NSA surveillance revelations</w:t>
      </w:r>
      <w:r w:rsidRPr="00A4264A">
        <w:rPr>
          <w:sz w:val="22"/>
          <w:szCs w:val="22"/>
        </w:rPr>
        <w:t xml:space="preserve">. </w:t>
      </w:r>
      <w:r w:rsidRPr="00A4264A">
        <w:rPr>
          <w:i/>
          <w:iCs/>
          <w:sz w:val="22"/>
          <w:szCs w:val="22"/>
        </w:rPr>
        <w:t>IEEE Security &amp; Privacy</w:t>
      </w:r>
      <w:r w:rsidRPr="00A4264A">
        <w:rPr>
          <w:sz w:val="22"/>
          <w:szCs w:val="22"/>
        </w:rPr>
        <w:t>, 11(4), 54-63.</w:t>
      </w:r>
    </w:p>
    <w:p w:rsidR="005E3CD3" w:rsidRPr="00A4264A" w:rsidRDefault="005E3CD3" w:rsidP="0003103A">
      <w:pPr>
        <w:spacing w:after="120" w:line="240" w:lineRule="auto"/>
        <w:ind w:left="567" w:hanging="567"/>
        <w:jc w:val="both"/>
        <w:rPr>
          <w:sz w:val="22"/>
          <w:szCs w:val="22"/>
        </w:rPr>
      </w:pPr>
      <w:r w:rsidRPr="00A4264A">
        <w:rPr>
          <w:sz w:val="22"/>
          <w:szCs w:val="22"/>
        </w:rPr>
        <w:t xml:space="preserve">MacAskill E. (2013). </w:t>
      </w:r>
      <w:r w:rsidRPr="00A4264A">
        <w:rPr>
          <w:i/>
          <w:iCs/>
          <w:sz w:val="22"/>
          <w:szCs w:val="22"/>
        </w:rPr>
        <w:t>GCHQ intercepted foreign politicians' communications at G20 summit</w:t>
      </w:r>
      <w:r w:rsidR="008F5AA1">
        <w:rPr>
          <w:sz w:val="22"/>
          <w:szCs w:val="22"/>
        </w:rPr>
        <w:t>s, the Guardian, 17 Haziran.</w:t>
      </w:r>
      <w:r w:rsidRPr="00A4264A">
        <w:rPr>
          <w:sz w:val="22"/>
          <w:szCs w:val="22"/>
        </w:rPr>
        <w:t xml:space="preserve"> </w:t>
      </w:r>
      <w:r w:rsidR="008F5AA1" w:rsidRPr="00A4264A">
        <w:rPr>
          <w:sz w:val="22"/>
          <w:szCs w:val="22"/>
        </w:rPr>
        <w:t>15.02.2020</w:t>
      </w:r>
      <w:r w:rsidR="008F5AA1">
        <w:rPr>
          <w:sz w:val="22"/>
          <w:szCs w:val="22"/>
        </w:rPr>
        <w:t xml:space="preserve"> tarihinde </w:t>
      </w:r>
      <w:r w:rsidR="007B5470" w:rsidRPr="00A4264A">
        <w:rPr>
          <w:sz w:val="22"/>
          <w:szCs w:val="22"/>
        </w:rPr>
        <w:t xml:space="preserve">https://www.theguardian.com/uk/2013/ </w:t>
      </w:r>
      <w:proofErr w:type="spellStart"/>
      <w:r w:rsidR="007B5470" w:rsidRPr="00A4264A">
        <w:rPr>
          <w:sz w:val="22"/>
          <w:szCs w:val="22"/>
        </w:rPr>
        <w:t>jun</w:t>
      </w:r>
      <w:proofErr w:type="spellEnd"/>
      <w:r w:rsidR="007B5470" w:rsidRPr="00A4264A">
        <w:rPr>
          <w:sz w:val="22"/>
          <w:szCs w:val="22"/>
        </w:rPr>
        <w:t>/16/gchq-intercepted-communications-g20-summits</w:t>
      </w:r>
      <w:r w:rsidRPr="00A4264A">
        <w:rPr>
          <w:sz w:val="22"/>
          <w:szCs w:val="22"/>
        </w:rPr>
        <w:t xml:space="preserve"> </w:t>
      </w:r>
      <w:r w:rsidR="008F5AA1">
        <w:rPr>
          <w:sz w:val="22"/>
          <w:szCs w:val="22"/>
        </w:rPr>
        <w:t>adresinden alınmıştır.</w:t>
      </w:r>
    </w:p>
    <w:p w:rsidR="005E3CD3" w:rsidRPr="00A4264A" w:rsidRDefault="005E3CD3" w:rsidP="0003103A">
      <w:pPr>
        <w:spacing w:after="120" w:line="240" w:lineRule="auto"/>
        <w:ind w:left="567" w:hanging="567"/>
        <w:jc w:val="both"/>
        <w:rPr>
          <w:sz w:val="22"/>
          <w:szCs w:val="22"/>
        </w:rPr>
      </w:pPr>
      <w:r w:rsidRPr="00A4264A">
        <w:rPr>
          <w:sz w:val="22"/>
          <w:szCs w:val="22"/>
        </w:rPr>
        <w:t xml:space="preserve">Marder, B., Joinson, A., Shankar, A., Hougton, D. (2016). The extended ‘chilling’ effect of Facebook: The cold reality of ubiquitous social networking. </w:t>
      </w:r>
      <w:r w:rsidRPr="00A4264A">
        <w:rPr>
          <w:i/>
          <w:iCs/>
          <w:sz w:val="22"/>
          <w:szCs w:val="22"/>
        </w:rPr>
        <w:t>Computers in Human Behavior</w:t>
      </w:r>
      <w:r w:rsidRPr="00A4264A">
        <w:rPr>
          <w:sz w:val="22"/>
          <w:szCs w:val="22"/>
        </w:rPr>
        <w:t>,</w:t>
      </w:r>
      <w:r w:rsidRPr="00A4264A">
        <w:rPr>
          <w:b/>
          <w:bCs/>
          <w:sz w:val="22"/>
          <w:szCs w:val="22"/>
        </w:rPr>
        <w:t xml:space="preserve"> </w:t>
      </w:r>
      <w:r w:rsidRPr="00A4264A">
        <w:rPr>
          <w:sz w:val="22"/>
          <w:szCs w:val="22"/>
        </w:rPr>
        <w:t>60, 582-592.</w:t>
      </w:r>
    </w:p>
    <w:p w:rsidR="005E3CD3" w:rsidRPr="00A4264A" w:rsidRDefault="005E3CD3" w:rsidP="0003103A">
      <w:pPr>
        <w:spacing w:after="120" w:line="240" w:lineRule="auto"/>
        <w:ind w:left="567" w:hanging="567"/>
        <w:jc w:val="both"/>
        <w:rPr>
          <w:sz w:val="22"/>
          <w:szCs w:val="22"/>
        </w:rPr>
      </w:pPr>
      <w:r w:rsidRPr="00A4264A">
        <w:rPr>
          <w:sz w:val="22"/>
          <w:szCs w:val="22"/>
        </w:rPr>
        <w:t xml:space="preserve">Richelson, J.T. (2012). </w:t>
      </w:r>
      <w:r w:rsidRPr="00A4264A">
        <w:rPr>
          <w:i/>
          <w:iCs/>
          <w:sz w:val="22"/>
          <w:szCs w:val="22"/>
        </w:rPr>
        <w:t xml:space="preserve">The US </w:t>
      </w:r>
      <w:r w:rsidR="00575AA9" w:rsidRPr="00A4264A">
        <w:rPr>
          <w:i/>
          <w:iCs/>
          <w:sz w:val="22"/>
          <w:szCs w:val="22"/>
        </w:rPr>
        <w:t>i</w:t>
      </w:r>
      <w:r w:rsidRPr="00A4264A">
        <w:rPr>
          <w:i/>
          <w:iCs/>
          <w:sz w:val="22"/>
          <w:szCs w:val="22"/>
        </w:rPr>
        <w:t xml:space="preserve">ntelligence </w:t>
      </w:r>
      <w:r w:rsidR="00575AA9" w:rsidRPr="00A4264A">
        <w:rPr>
          <w:i/>
          <w:iCs/>
          <w:sz w:val="22"/>
          <w:szCs w:val="22"/>
        </w:rPr>
        <w:t>c</w:t>
      </w:r>
      <w:r w:rsidRPr="00A4264A">
        <w:rPr>
          <w:i/>
          <w:iCs/>
          <w:sz w:val="22"/>
          <w:szCs w:val="22"/>
        </w:rPr>
        <w:t>ommunity</w:t>
      </w:r>
      <w:r w:rsidRPr="00A4264A">
        <w:rPr>
          <w:sz w:val="22"/>
          <w:szCs w:val="22"/>
        </w:rPr>
        <w:t>. Philadelphia: Westviews Pres.</w:t>
      </w:r>
    </w:p>
    <w:p w:rsidR="005E3CD3" w:rsidRPr="00A4264A" w:rsidRDefault="005E3CD3" w:rsidP="0003103A">
      <w:pPr>
        <w:spacing w:after="120" w:line="240" w:lineRule="auto"/>
        <w:ind w:left="567" w:hanging="567"/>
        <w:jc w:val="both"/>
        <w:rPr>
          <w:sz w:val="22"/>
          <w:szCs w:val="22"/>
        </w:rPr>
      </w:pPr>
      <w:r w:rsidRPr="00A4264A">
        <w:rPr>
          <w:sz w:val="22"/>
          <w:szCs w:val="22"/>
        </w:rPr>
        <w:t xml:space="preserve">Salihpaşaoğlu, Y. (2013). Özel </w:t>
      </w:r>
      <w:r w:rsidR="00575AA9" w:rsidRPr="00A4264A">
        <w:rPr>
          <w:sz w:val="22"/>
          <w:szCs w:val="22"/>
        </w:rPr>
        <w:t>hayatın kapsamı: Avrupa insan hakları mahkemesi içtihatları ışığında bir değerlendirme</w:t>
      </w:r>
      <w:r w:rsidRPr="00A4264A">
        <w:rPr>
          <w:sz w:val="22"/>
          <w:szCs w:val="22"/>
        </w:rPr>
        <w:t xml:space="preserve">. </w:t>
      </w:r>
      <w:r w:rsidRPr="00A4264A">
        <w:rPr>
          <w:i/>
          <w:iCs/>
          <w:sz w:val="22"/>
          <w:szCs w:val="22"/>
        </w:rPr>
        <w:t>Ankara Hacı Bayram Veli Üniversitesi Hukuk Fakültesi Dergisi</w:t>
      </w:r>
      <w:r w:rsidRPr="00A4264A">
        <w:rPr>
          <w:sz w:val="22"/>
          <w:szCs w:val="22"/>
        </w:rPr>
        <w:t>. 17(3), 227-266.</w:t>
      </w:r>
    </w:p>
    <w:p w:rsidR="005E3CD3" w:rsidRPr="00A4264A" w:rsidRDefault="005E3CD3" w:rsidP="0003103A">
      <w:pPr>
        <w:spacing w:after="120" w:line="240" w:lineRule="auto"/>
        <w:ind w:left="567" w:hanging="567"/>
        <w:jc w:val="both"/>
        <w:rPr>
          <w:sz w:val="22"/>
          <w:szCs w:val="22"/>
        </w:rPr>
      </w:pPr>
      <w:r w:rsidRPr="00A4264A">
        <w:rPr>
          <w:sz w:val="22"/>
          <w:szCs w:val="22"/>
        </w:rPr>
        <w:t xml:space="preserve">Schuster, Stefan, Van Den Berg, Melle, Larrucea, Xabier, Slewe, Ton, Ide-Peter, Kostic, (2017). Mass </w:t>
      </w:r>
      <w:r w:rsidR="00575AA9" w:rsidRPr="00A4264A">
        <w:rPr>
          <w:sz w:val="22"/>
          <w:szCs w:val="22"/>
        </w:rPr>
        <w:t>surveillance and technological policy options</w:t>
      </w:r>
      <w:r w:rsidRPr="00A4264A">
        <w:rPr>
          <w:sz w:val="22"/>
          <w:szCs w:val="22"/>
        </w:rPr>
        <w:t xml:space="preserve">: Improving </w:t>
      </w:r>
      <w:r w:rsidR="00575AA9" w:rsidRPr="00A4264A">
        <w:rPr>
          <w:sz w:val="22"/>
          <w:szCs w:val="22"/>
        </w:rPr>
        <w:t>security of private communications</w:t>
      </w:r>
      <w:r w:rsidRPr="00A4264A">
        <w:rPr>
          <w:sz w:val="22"/>
          <w:szCs w:val="22"/>
        </w:rPr>
        <w:t xml:space="preserve">, </w:t>
      </w:r>
      <w:r w:rsidRPr="00A4264A">
        <w:rPr>
          <w:i/>
          <w:iCs/>
          <w:sz w:val="22"/>
          <w:szCs w:val="22"/>
        </w:rPr>
        <w:t>Computer Standards &amp; Interfaces</w:t>
      </w:r>
      <w:r w:rsidRPr="00A4264A">
        <w:rPr>
          <w:sz w:val="22"/>
          <w:szCs w:val="22"/>
        </w:rPr>
        <w:t>, 50, 76-82.</w:t>
      </w:r>
    </w:p>
    <w:p w:rsidR="005E3CD3" w:rsidRPr="00A4264A" w:rsidRDefault="005E3CD3" w:rsidP="0003103A">
      <w:pPr>
        <w:spacing w:after="120" w:line="240" w:lineRule="auto"/>
        <w:ind w:left="567" w:hanging="567"/>
        <w:jc w:val="both"/>
        <w:rPr>
          <w:sz w:val="22"/>
          <w:szCs w:val="22"/>
        </w:rPr>
      </w:pPr>
      <w:r w:rsidRPr="00A4264A">
        <w:rPr>
          <w:sz w:val="22"/>
          <w:szCs w:val="22"/>
        </w:rPr>
        <w:t xml:space="preserve">Sözüer, A. (1997) Türkiye’de ve </w:t>
      </w:r>
      <w:r w:rsidR="00575AA9" w:rsidRPr="00A4264A">
        <w:rPr>
          <w:sz w:val="22"/>
          <w:szCs w:val="22"/>
        </w:rPr>
        <w:t>karşılaştırmalı hukukta telefon, teleks, faks ve benzeri araçlarla yapılan özel haberleşmenin bir ceza yargılaması önlemi olarak denetlenmesi,</w:t>
      </w:r>
      <w:r w:rsidRPr="00A4264A">
        <w:rPr>
          <w:sz w:val="22"/>
          <w:szCs w:val="22"/>
        </w:rPr>
        <w:t xml:space="preserve"> </w:t>
      </w:r>
      <w:r w:rsidRPr="00A4264A">
        <w:rPr>
          <w:i/>
          <w:iCs/>
          <w:sz w:val="22"/>
          <w:szCs w:val="22"/>
        </w:rPr>
        <w:t>İstanbul Üniversitesi Hukuk Fakültesi Dergisi,</w:t>
      </w:r>
      <w:r w:rsidRPr="00A4264A">
        <w:rPr>
          <w:sz w:val="22"/>
          <w:szCs w:val="22"/>
        </w:rPr>
        <w:t xml:space="preserve"> 1997, 55</w:t>
      </w:r>
      <w:r w:rsidR="00AA608B" w:rsidRPr="00A4264A">
        <w:rPr>
          <w:sz w:val="22"/>
          <w:szCs w:val="22"/>
        </w:rPr>
        <w:t>(</w:t>
      </w:r>
      <w:r w:rsidRPr="00A4264A">
        <w:rPr>
          <w:sz w:val="22"/>
          <w:szCs w:val="22"/>
        </w:rPr>
        <w:t>3</w:t>
      </w:r>
      <w:r w:rsidR="00AA608B" w:rsidRPr="00A4264A">
        <w:rPr>
          <w:sz w:val="22"/>
          <w:szCs w:val="22"/>
        </w:rPr>
        <w:t>)</w:t>
      </w:r>
      <w:r w:rsidRPr="00A4264A">
        <w:rPr>
          <w:sz w:val="22"/>
          <w:szCs w:val="22"/>
        </w:rPr>
        <w:t>, 65-110.</w:t>
      </w:r>
    </w:p>
    <w:p w:rsidR="005E3CD3" w:rsidRPr="00A4264A" w:rsidRDefault="005E3CD3" w:rsidP="0003103A">
      <w:pPr>
        <w:spacing w:after="120" w:line="240" w:lineRule="auto"/>
        <w:ind w:left="567" w:hanging="567"/>
        <w:jc w:val="both"/>
        <w:rPr>
          <w:sz w:val="22"/>
          <w:szCs w:val="22"/>
        </w:rPr>
      </w:pPr>
      <w:r w:rsidRPr="00A4264A">
        <w:rPr>
          <w:sz w:val="22"/>
          <w:szCs w:val="22"/>
        </w:rPr>
        <w:t xml:space="preserve">Sumner, S. (2016). </w:t>
      </w:r>
      <w:r w:rsidRPr="00A4264A">
        <w:rPr>
          <w:i/>
          <w:iCs/>
          <w:sz w:val="22"/>
          <w:szCs w:val="22"/>
        </w:rPr>
        <w:t xml:space="preserve">You: For </w:t>
      </w:r>
      <w:r w:rsidR="00575AA9" w:rsidRPr="00A4264A">
        <w:rPr>
          <w:i/>
          <w:iCs/>
          <w:sz w:val="22"/>
          <w:szCs w:val="22"/>
        </w:rPr>
        <w:t>s</w:t>
      </w:r>
      <w:r w:rsidRPr="00A4264A">
        <w:rPr>
          <w:i/>
          <w:iCs/>
          <w:sz w:val="22"/>
          <w:szCs w:val="22"/>
        </w:rPr>
        <w:t xml:space="preserve">ale: Protecting </w:t>
      </w:r>
      <w:r w:rsidR="00575AA9" w:rsidRPr="00A4264A">
        <w:rPr>
          <w:i/>
          <w:iCs/>
          <w:sz w:val="22"/>
          <w:szCs w:val="22"/>
        </w:rPr>
        <w:t>y</w:t>
      </w:r>
      <w:r w:rsidRPr="00A4264A">
        <w:rPr>
          <w:i/>
          <w:iCs/>
          <w:sz w:val="22"/>
          <w:szCs w:val="22"/>
        </w:rPr>
        <w:t xml:space="preserve">our </w:t>
      </w:r>
      <w:r w:rsidR="00575AA9" w:rsidRPr="00A4264A">
        <w:rPr>
          <w:i/>
          <w:iCs/>
          <w:sz w:val="22"/>
          <w:szCs w:val="22"/>
        </w:rPr>
        <w:t>p</w:t>
      </w:r>
      <w:r w:rsidRPr="00A4264A">
        <w:rPr>
          <w:i/>
          <w:iCs/>
          <w:sz w:val="22"/>
          <w:szCs w:val="22"/>
        </w:rPr>
        <w:t xml:space="preserve">ersonal </w:t>
      </w:r>
      <w:r w:rsidR="00575AA9" w:rsidRPr="00A4264A">
        <w:rPr>
          <w:i/>
          <w:iCs/>
          <w:sz w:val="22"/>
          <w:szCs w:val="22"/>
        </w:rPr>
        <w:t>d</w:t>
      </w:r>
      <w:r w:rsidRPr="00A4264A">
        <w:rPr>
          <w:i/>
          <w:iCs/>
          <w:sz w:val="22"/>
          <w:szCs w:val="22"/>
        </w:rPr>
        <w:t xml:space="preserve">ata and </w:t>
      </w:r>
      <w:r w:rsidR="00575AA9" w:rsidRPr="00A4264A">
        <w:rPr>
          <w:i/>
          <w:iCs/>
          <w:sz w:val="22"/>
          <w:szCs w:val="22"/>
        </w:rPr>
        <w:t>p</w:t>
      </w:r>
      <w:r w:rsidRPr="00A4264A">
        <w:rPr>
          <w:i/>
          <w:iCs/>
          <w:sz w:val="22"/>
          <w:szCs w:val="22"/>
        </w:rPr>
        <w:t xml:space="preserve">rivacy </w:t>
      </w:r>
      <w:r w:rsidR="00575AA9" w:rsidRPr="00A4264A">
        <w:rPr>
          <w:i/>
          <w:iCs/>
          <w:sz w:val="22"/>
          <w:szCs w:val="22"/>
        </w:rPr>
        <w:t>o</w:t>
      </w:r>
      <w:r w:rsidR="00BC3B79" w:rsidRPr="00A4264A">
        <w:rPr>
          <w:i/>
          <w:iCs/>
          <w:sz w:val="22"/>
          <w:szCs w:val="22"/>
        </w:rPr>
        <w:t>nline</w:t>
      </w:r>
      <w:r w:rsidR="00BC3B79" w:rsidRPr="00A4264A">
        <w:rPr>
          <w:sz w:val="22"/>
          <w:szCs w:val="22"/>
        </w:rPr>
        <w:t>, Waltham</w:t>
      </w:r>
      <w:r w:rsidRPr="00A4264A">
        <w:rPr>
          <w:sz w:val="22"/>
          <w:szCs w:val="22"/>
        </w:rPr>
        <w:t>: Syngress.</w:t>
      </w:r>
    </w:p>
    <w:p w:rsidR="005E3CD3" w:rsidRPr="00A4264A" w:rsidRDefault="005E3CD3" w:rsidP="0003103A">
      <w:pPr>
        <w:spacing w:after="120" w:line="240" w:lineRule="auto"/>
        <w:ind w:left="567" w:hanging="567"/>
        <w:jc w:val="both"/>
        <w:rPr>
          <w:sz w:val="22"/>
          <w:szCs w:val="22"/>
        </w:rPr>
      </w:pPr>
      <w:r w:rsidRPr="00A4264A">
        <w:rPr>
          <w:sz w:val="22"/>
          <w:szCs w:val="22"/>
        </w:rPr>
        <w:t xml:space="preserve">Şen, E. (1996). </w:t>
      </w:r>
      <w:r w:rsidRPr="00A4264A">
        <w:rPr>
          <w:i/>
          <w:iCs/>
          <w:sz w:val="22"/>
          <w:szCs w:val="22"/>
        </w:rPr>
        <w:t xml:space="preserve">Devlet ve </w:t>
      </w:r>
      <w:r w:rsidR="00575AA9" w:rsidRPr="00A4264A">
        <w:rPr>
          <w:i/>
          <w:iCs/>
          <w:sz w:val="22"/>
          <w:szCs w:val="22"/>
        </w:rPr>
        <w:t>kitle iletişim araçları karşısında özel hayatın gizliliği ve korunması</w:t>
      </w:r>
      <w:r w:rsidRPr="00A4264A">
        <w:rPr>
          <w:sz w:val="22"/>
          <w:szCs w:val="22"/>
        </w:rPr>
        <w:t xml:space="preserve">. İstanbul: Kazancı. </w:t>
      </w:r>
    </w:p>
    <w:p w:rsidR="005E3CD3" w:rsidRPr="00A4264A" w:rsidRDefault="005E3CD3" w:rsidP="0003103A">
      <w:pPr>
        <w:spacing w:after="120" w:line="240" w:lineRule="auto"/>
        <w:ind w:left="567" w:hanging="567"/>
        <w:jc w:val="both"/>
        <w:rPr>
          <w:sz w:val="22"/>
          <w:szCs w:val="22"/>
        </w:rPr>
      </w:pPr>
      <w:r w:rsidRPr="00A4264A">
        <w:rPr>
          <w:sz w:val="22"/>
          <w:szCs w:val="22"/>
        </w:rPr>
        <w:t xml:space="preserve">Tezcan, D., Erdem, M.R., Sancakdar, O.ve Önok, R.M. (2016). </w:t>
      </w:r>
      <w:r w:rsidRPr="00A4264A">
        <w:rPr>
          <w:i/>
          <w:iCs/>
          <w:sz w:val="22"/>
          <w:szCs w:val="22"/>
        </w:rPr>
        <w:t xml:space="preserve">İnsan </w:t>
      </w:r>
      <w:r w:rsidR="00C576CA" w:rsidRPr="00A4264A">
        <w:rPr>
          <w:i/>
          <w:iCs/>
          <w:sz w:val="22"/>
          <w:szCs w:val="22"/>
        </w:rPr>
        <w:t>hakları el kitabı</w:t>
      </w:r>
      <w:r w:rsidRPr="00A4264A">
        <w:rPr>
          <w:i/>
          <w:iCs/>
          <w:sz w:val="22"/>
          <w:szCs w:val="22"/>
        </w:rPr>
        <w:t xml:space="preserve">, </w:t>
      </w:r>
      <w:r w:rsidRPr="00A4264A">
        <w:rPr>
          <w:iCs/>
          <w:sz w:val="22"/>
          <w:szCs w:val="22"/>
        </w:rPr>
        <w:t>6. bs.</w:t>
      </w:r>
      <w:r w:rsidRPr="00A4264A">
        <w:rPr>
          <w:sz w:val="22"/>
          <w:szCs w:val="22"/>
        </w:rPr>
        <w:t xml:space="preserve"> Ankara: Seçkin Yayıncılık. </w:t>
      </w:r>
    </w:p>
    <w:p w:rsidR="005E3CD3" w:rsidRPr="00A4264A" w:rsidRDefault="005E3CD3" w:rsidP="0003103A">
      <w:pPr>
        <w:spacing w:after="120" w:line="240" w:lineRule="auto"/>
        <w:ind w:left="567" w:hanging="567"/>
        <w:jc w:val="both"/>
        <w:rPr>
          <w:sz w:val="22"/>
          <w:szCs w:val="22"/>
        </w:rPr>
      </w:pPr>
      <w:bookmarkStart w:id="16" w:name="_Hlk56595955"/>
      <w:r w:rsidRPr="00A4264A">
        <w:rPr>
          <w:sz w:val="22"/>
          <w:szCs w:val="22"/>
        </w:rPr>
        <w:t xml:space="preserve">The </w:t>
      </w:r>
      <w:r w:rsidR="00C576CA" w:rsidRPr="00A4264A">
        <w:rPr>
          <w:sz w:val="22"/>
          <w:szCs w:val="22"/>
        </w:rPr>
        <w:t>chilling effect in constitutional law</w:t>
      </w:r>
      <w:r w:rsidRPr="00A4264A">
        <w:rPr>
          <w:sz w:val="22"/>
          <w:szCs w:val="22"/>
        </w:rPr>
        <w:t xml:space="preserve">. (1969). </w:t>
      </w:r>
      <w:r w:rsidRPr="00A4264A">
        <w:rPr>
          <w:i/>
          <w:iCs/>
          <w:sz w:val="22"/>
          <w:szCs w:val="22"/>
        </w:rPr>
        <w:t xml:space="preserve">Columbia </w:t>
      </w:r>
      <w:r w:rsidR="00C576CA" w:rsidRPr="00A4264A">
        <w:rPr>
          <w:i/>
          <w:iCs/>
          <w:sz w:val="22"/>
          <w:szCs w:val="22"/>
        </w:rPr>
        <w:t>L</w:t>
      </w:r>
      <w:r w:rsidRPr="00A4264A">
        <w:rPr>
          <w:i/>
          <w:iCs/>
          <w:sz w:val="22"/>
          <w:szCs w:val="22"/>
        </w:rPr>
        <w:t>aw Review</w:t>
      </w:r>
      <w:r w:rsidRPr="00A4264A">
        <w:rPr>
          <w:sz w:val="22"/>
          <w:szCs w:val="22"/>
        </w:rPr>
        <w:t xml:space="preserve">, 69(5), 808-842. </w:t>
      </w:r>
    </w:p>
    <w:bookmarkEnd w:id="16"/>
    <w:p w:rsidR="005E3CD3" w:rsidRPr="00A4264A" w:rsidRDefault="005E3CD3" w:rsidP="0003103A">
      <w:pPr>
        <w:spacing w:after="120" w:line="240" w:lineRule="auto"/>
        <w:ind w:left="567" w:hanging="567"/>
        <w:jc w:val="both"/>
        <w:rPr>
          <w:sz w:val="22"/>
          <w:szCs w:val="22"/>
        </w:rPr>
      </w:pPr>
      <w:r w:rsidRPr="00A4264A">
        <w:rPr>
          <w:sz w:val="22"/>
          <w:szCs w:val="22"/>
        </w:rPr>
        <w:lastRenderedPageBreak/>
        <w:t xml:space="preserve">Turner, M.A. (2006). </w:t>
      </w:r>
      <w:r w:rsidRPr="00A4264A">
        <w:rPr>
          <w:i/>
          <w:iCs/>
          <w:sz w:val="22"/>
          <w:szCs w:val="22"/>
        </w:rPr>
        <w:t xml:space="preserve">Historical </w:t>
      </w:r>
      <w:r w:rsidR="00C576CA" w:rsidRPr="00A4264A">
        <w:rPr>
          <w:i/>
          <w:iCs/>
          <w:sz w:val="22"/>
          <w:szCs w:val="22"/>
        </w:rPr>
        <w:t xml:space="preserve">dictionary </w:t>
      </w:r>
      <w:r w:rsidRPr="00A4264A">
        <w:rPr>
          <w:i/>
          <w:iCs/>
          <w:sz w:val="22"/>
          <w:szCs w:val="22"/>
        </w:rPr>
        <w:t xml:space="preserve">of United States </w:t>
      </w:r>
      <w:r w:rsidR="00C576CA" w:rsidRPr="00A4264A">
        <w:rPr>
          <w:i/>
          <w:iCs/>
          <w:sz w:val="22"/>
          <w:szCs w:val="22"/>
        </w:rPr>
        <w:t>ıntelligence</w:t>
      </w:r>
      <w:r w:rsidR="00BC3B79" w:rsidRPr="00A4264A">
        <w:rPr>
          <w:i/>
          <w:iCs/>
          <w:sz w:val="22"/>
          <w:szCs w:val="22"/>
        </w:rPr>
        <w:t>-</w:t>
      </w:r>
      <w:r w:rsidRPr="00A4264A">
        <w:rPr>
          <w:i/>
          <w:iCs/>
          <w:sz w:val="22"/>
          <w:szCs w:val="22"/>
        </w:rPr>
        <w:t xml:space="preserve"> </w:t>
      </w:r>
      <w:r w:rsidR="00C576CA" w:rsidRPr="00A4264A">
        <w:rPr>
          <w:i/>
          <w:iCs/>
          <w:sz w:val="22"/>
          <w:szCs w:val="22"/>
        </w:rPr>
        <w:t>historical dictionaries of ıntelligence and counterintelligence</w:t>
      </w:r>
      <w:r w:rsidRPr="00A4264A">
        <w:rPr>
          <w:i/>
          <w:iCs/>
          <w:sz w:val="22"/>
          <w:szCs w:val="22"/>
        </w:rPr>
        <w:t xml:space="preserve">, </w:t>
      </w:r>
      <w:r w:rsidRPr="00A4264A">
        <w:rPr>
          <w:iCs/>
          <w:sz w:val="22"/>
          <w:szCs w:val="22"/>
        </w:rPr>
        <w:t>No. 2</w:t>
      </w:r>
      <w:r w:rsidRPr="00A4264A">
        <w:rPr>
          <w:sz w:val="22"/>
          <w:szCs w:val="22"/>
        </w:rPr>
        <w:t>. Mart</w:t>
      </w:r>
      <w:r w:rsidR="00C576CA" w:rsidRPr="00A4264A">
        <w:rPr>
          <w:sz w:val="22"/>
          <w:szCs w:val="22"/>
        </w:rPr>
        <w:t>yland:  The Scarecrow Press.</w:t>
      </w:r>
    </w:p>
    <w:p w:rsidR="005E3CD3" w:rsidRPr="00A4264A" w:rsidRDefault="005E3CD3" w:rsidP="0003103A">
      <w:pPr>
        <w:spacing w:after="120" w:line="240" w:lineRule="auto"/>
        <w:ind w:left="567" w:hanging="567"/>
        <w:jc w:val="both"/>
        <w:rPr>
          <w:sz w:val="22"/>
          <w:szCs w:val="22"/>
        </w:rPr>
      </w:pPr>
      <w:r w:rsidRPr="00A4264A">
        <w:rPr>
          <w:sz w:val="22"/>
          <w:szCs w:val="22"/>
        </w:rPr>
        <w:t xml:space="preserve">Ünver,A. (2018). Politics </w:t>
      </w:r>
      <w:r w:rsidR="00C576CA" w:rsidRPr="00A4264A">
        <w:rPr>
          <w:sz w:val="22"/>
          <w:szCs w:val="22"/>
        </w:rPr>
        <w:t>of digital surveillance, national security and privacy,</w:t>
      </w:r>
      <w:r w:rsidRPr="00A4264A">
        <w:rPr>
          <w:sz w:val="22"/>
          <w:szCs w:val="22"/>
        </w:rPr>
        <w:t xml:space="preserve"> </w:t>
      </w:r>
      <w:r w:rsidRPr="00A4264A">
        <w:rPr>
          <w:i/>
          <w:iCs/>
          <w:sz w:val="22"/>
          <w:szCs w:val="22"/>
        </w:rPr>
        <w:t>EDAM, Cyber Governance and Digital Democracy</w:t>
      </w:r>
      <w:r w:rsidRPr="00A4264A">
        <w:rPr>
          <w:b/>
          <w:bCs/>
          <w:sz w:val="22"/>
          <w:szCs w:val="22"/>
        </w:rPr>
        <w:t>.</w:t>
      </w:r>
      <w:r w:rsidR="0097552E">
        <w:rPr>
          <w:b/>
          <w:bCs/>
          <w:sz w:val="22"/>
          <w:szCs w:val="22"/>
        </w:rPr>
        <w:t xml:space="preserve"> </w:t>
      </w:r>
      <w:r w:rsidR="0097552E" w:rsidRPr="00A4264A">
        <w:rPr>
          <w:sz w:val="22"/>
          <w:szCs w:val="22"/>
        </w:rPr>
        <w:t>11.05.2020</w:t>
      </w:r>
      <w:r w:rsidR="0097552E">
        <w:rPr>
          <w:sz w:val="22"/>
          <w:szCs w:val="22"/>
        </w:rPr>
        <w:t xml:space="preserve"> tarihinde </w:t>
      </w:r>
      <w:r w:rsidRPr="00A4264A">
        <w:rPr>
          <w:b/>
          <w:bCs/>
          <w:sz w:val="22"/>
          <w:szCs w:val="22"/>
        </w:rPr>
        <w:t xml:space="preserve"> </w:t>
      </w:r>
      <w:hyperlink r:id="rId27" w:history="1">
        <w:r w:rsidRPr="00A4264A">
          <w:rPr>
            <w:rStyle w:val="Kpr"/>
            <w:color w:val="auto"/>
            <w:sz w:val="22"/>
            <w:szCs w:val="22"/>
            <w:u w:val="none"/>
          </w:rPr>
          <w:t>https://edam.org.tr/wp-content/uploads/2018/04/Chrest_Surveillance2.pdf</w:t>
        </w:r>
      </w:hyperlink>
      <w:r w:rsidRPr="00A4264A">
        <w:rPr>
          <w:sz w:val="22"/>
          <w:szCs w:val="22"/>
        </w:rPr>
        <w:t xml:space="preserve"> </w:t>
      </w:r>
      <w:r w:rsidR="0097552E">
        <w:rPr>
          <w:sz w:val="22"/>
          <w:szCs w:val="22"/>
        </w:rPr>
        <w:t>adresinden alınmıştır.</w:t>
      </w:r>
    </w:p>
    <w:p w:rsidR="005E3CD3" w:rsidRPr="00A4264A" w:rsidRDefault="005E3CD3" w:rsidP="0003103A">
      <w:pPr>
        <w:spacing w:after="120" w:line="240" w:lineRule="auto"/>
        <w:ind w:left="567" w:hanging="567"/>
        <w:jc w:val="both"/>
        <w:rPr>
          <w:sz w:val="22"/>
          <w:szCs w:val="22"/>
        </w:rPr>
      </w:pPr>
      <w:r w:rsidRPr="00A4264A">
        <w:rPr>
          <w:sz w:val="22"/>
          <w:szCs w:val="22"/>
        </w:rPr>
        <w:t xml:space="preserve">Üzeltürk, S. (2004). </w:t>
      </w:r>
      <w:r w:rsidRPr="00A4264A">
        <w:rPr>
          <w:i/>
          <w:iCs/>
          <w:sz w:val="22"/>
          <w:szCs w:val="22"/>
        </w:rPr>
        <w:t xml:space="preserve">1982 </w:t>
      </w:r>
      <w:r w:rsidR="00C576CA" w:rsidRPr="00A4264A">
        <w:rPr>
          <w:i/>
          <w:iCs/>
          <w:sz w:val="22"/>
          <w:szCs w:val="22"/>
        </w:rPr>
        <w:t>anayasası ve insan hakları sözleşmesine göre özel hayatın gizliliği hakkı</w:t>
      </w:r>
      <w:r w:rsidR="00C576CA" w:rsidRPr="00A4264A">
        <w:rPr>
          <w:sz w:val="22"/>
          <w:szCs w:val="22"/>
        </w:rPr>
        <w:t>.</w:t>
      </w:r>
      <w:r w:rsidRPr="00A4264A">
        <w:rPr>
          <w:sz w:val="22"/>
          <w:szCs w:val="22"/>
        </w:rPr>
        <w:t xml:space="preserve"> İstanbul: Beta Basım. </w:t>
      </w:r>
    </w:p>
    <w:p w:rsidR="005E3CD3" w:rsidRPr="00A4264A" w:rsidRDefault="005E3CD3" w:rsidP="0003103A">
      <w:pPr>
        <w:spacing w:after="120" w:line="240" w:lineRule="auto"/>
        <w:ind w:left="567" w:hanging="567"/>
        <w:jc w:val="both"/>
        <w:rPr>
          <w:sz w:val="22"/>
          <w:szCs w:val="22"/>
        </w:rPr>
      </w:pPr>
      <w:r w:rsidRPr="00A4264A">
        <w:rPr>
          <w:sz w:val="22"/>
          <w:szCs w:val="22"/>
        </w:rPr>
        <w:t xml:space="preserve">Warner, M.  (2002). Wanted: A </w:t>
      </w:r>
      <w:r w:rsidR="00C576CA" w:rsidRPr="00A4264A">
        <w:rPr>
          <w:sz w:val="22"/>
          <w:szCs w:val="22"/>
        </w:rPr>
        <w:t xml:space="preserve">definition of </w:t>
      </w:r>
      <w:r w:rsidR="0097552E">
        <w:rPr>
          <w:sz w:val="22"/>
          <w:szCs w:val="22"/>
        </w:rPr>
        <w:t>i</w:t>
      </w:r>
      <w:r w:rsidR="00C576CA" w:rsidRPr="00A4264A">
        <w:rPr>
          <w:sz w:val="22"/>
          <w:szCs w:val="22"/>
        </w:rPr>
        <w:t>ntelligence</w:t>
      </w:r>
      <w:r w:rsidRPr="00A4264A">
        <w:rPr>
          <w:sz w:val="22"/>
          <w:szCs w:val="22"/>
        </w:rPr>
        <w:t xml:space="preserve">, </w:t>
      </w:r>
      <w:r w:rsidRPr="00A4264A">
        <w:rPr>
          <w:i/>
          <w:iCs/>
          <w:sz w:val="22"/>
          <w:szCs w:val="22"/>
        </w:rPr>
        <w:t>Studies in Intelligence</w:t>
      </w:r>
      <w:r w:rsidRPr="00A4264A">
        <w:rPr>
          <w:sz w:val="22"/>
          <w:szCs w:val="22"/>
        </w:rPr>
        <w:t>, 46(3), 15-22.</w:t>
      </w:r>
    </w:p>
    <w:p w:rsidR="005E3CD3" w:rsidRPr="00A4264A" w:rsidRDefault="005E3CD3" w:rsidP="001302D2">
      <w:pPr>
        <w:spacing w:after="120" w:line="240" w:lineRule="auto"/>
        <w:jc w:val="both"/>
        <w:rPr>
          <w:sz w:val="22"/>
          <w:szCs w:val="22"/>
        </w:rPr>
      </w:pPr>
      <w:r w:rsidRPr="00A4264A">
        <w:rPr>
          <w:sz w:val="22"/>
          <w:szCs w:val="22"/>
        </w:rPr>
        <w:t xml:space="preserve">Yenisey, F. (2015). </w:t>
      </w:r>
      <w:r w:rsidRPr="00A4264A">
        <w:rPr>
          <w:i/>
          <w:iCs/>
          <w:sz w:val="22"/>
          <w:szCs w:val="22"/>
        </w:rPr>
        <w:t xml:space="preserve">Kolluk </w:t>
      </w:r>
      <w:r w:rsidR="00C576CA" w:rsidRPr="00A4264A">
        <w:rPr>
          <w:i/>
          <w:iCs/>
          <w:sz w:val="22"/>
          <w:szCs w:val="22"/>
        </w:rPr>
        <w:t>h</w:t>
      </w:r>
      <w:r w:rsidRPr="00A4264A">
        <w:rPr>
          <w:i/>
          <w:iCs/>
          <w:sz w:val="22"/>
          <w:szCs w:val="22"/>
        </w:rPr>
        <w:t>ukuku</w:t>
      </w:r>
      <w:r w:rsidRPr="00A4264A">
        <w:rPr>
          <w:sz w:val="22"/>
          <w:szCs w:val="22"/>
        </w:rPr>
        <w:t xml:space="preserve">. İstanbul: Beta Basım Yayın. </w:t>
      </w:r>
    </w:p>
    <w:p w:rsidR="005E3CD3" w:rsidRPr="00A4264A" w:rsidRDefault="005E3CD3" w:rsidP="0003103A">
      <w:pPr>
        <w:spacing w:after="120" w:line="240" w:lineRule="auto"/>
        <w:ind w:left="567" w:hanging="567"/>
        <w:jc w:val="both"/>
        <w:rPr>
          <w:sz w:val="22"/>
          <w:szCs w:val="22"/>
        </w:rPr>
      </w:pPr>
      <w:r w:rsidRPr="00A4264A">
        <w:rPr>
          <w:sz w:val="22"/>
          <w:szCs w:val="22"/>
        </w:rPr>
        <w:t xml:space="preserve">Yıldırım, G. </w:t>
      </w:r>
      <w:bookmarkStart w:id="17" w:name="_Hlk56596828"/>
      <w:r w:rsidRPr="00A4264A">
        <w:rPr>
          <w:sz w:val="22"/>
          <w:szCs w:val="22"/>
        </w:rPr>
        <w:t>(2003).</w:t>
      </w:r>
      <w:bookmarkEnd w:id="17"/>
      <w:r w:rsidRPr="00A4264A">
        <w:rPr>
          <w:sz w:val="22"/>
          <w:szCs w:val="22"/>
        </w:rPr>
        <w:t xml:space="preserve"> </w:t>
      </w:r>
      <w:r w:rsidRPr="00A4264A">
        <w:rPr>
          <w:i/>
          <w:iCs/>
          <w:sz w:val="22"/>
          <w:szCs w:val="22"/>
        </w:rPr>
        <w:t xml:space="preserve">Özel </w:t>
      </w:r>
      <w:r w:rsidR="00C576CA" w:rsidRPr="00A4264A">
        <w:rPr>
          <w:i/>
          <w:iCs/>
          <w:sz w:val="22"/>
          <w:szCs w:val="22"/>
        </w:rPr>
        <w:t>hayat, aile hayatı, haberleşme ve mesken: İnsan hakları Avrupa sözleşmesinin 8. maddesinin genişlemiş yorumu ile sağlanan koruma</w:t>
      </w:r>
      <w:r w:rsidR="00C576CA" w:rsidRPr="00A4264A">
        <w:rPr>
          <w:sz w:val="22"/>
          <w:szCs w:val="22"/>
        </w:rPr>
        <w:t>.</w:t>
      </w:r>
      <w:r w:rsidRPr="00A4264A">
        <w:rPr>
          <w:sz w:val="22"/>
          <w:szCs w:val="22"/>
        </w:rPr>
        <w:t xml:space="preserve"> İnsan Hakları Avrupa Sözleşmesi ve Adli Yargı Sempozyumu</w:t>
      </w:r>
      <w:r w:rsidRPr="00A4264A">
        <w:rPr>
          <w:i/>
          <w:iCs/>
          <w:sz w:val="22"/>
          <w:szCs w:val="22"/>
        </w:rPr>
        <w:t xml:space="preserve">, </w:t>
      </w:r>
      <w:r w:rsidRPr="00A4264A">
        <w:rPr>
          <w:sz w:val="22"/>
          <w:szCs w:val="22"/>
        </w:rPr>
        <w:t>26-27 Eylül, Ankara, 385-427.</w:t>
      </w:r>
    </w:p>
    <w:p w:rsidR="005E3CD3" w:rsidRPr="00A4264A" w:rsidRDefault="005E3CD3" w:rsidP="0003103A">
      <w:pPr>
        <w:spacing w:after="120" w:line="240" w:lineRule="auto"/>
        <w:ind w:left="567" w:hanging="567"/>
        <w:jc w:val="both"/>
        <w:rPr>
          <w:sz w:val="22"/>
          <w:szCs w:val="22"/>
        </w:rPr>
      </w:pPr>
      <w:r w:rsidRPr="00A4264A">
        <w:rPr>
          <w:sz w:val="22"/>
          <w:szCs w:val="22"/>
        </w:rPr>
        <w:t xml:space="preserve">Yokuş Sevük, H. (2007). Postada </w:t>
      </w:r>
      <w:r w:rsidR="00C576CA" w:rsidRPr="00A4264A">
        <w:rPr>
          <w:sz w:val="22"/>
          <w:szCs w:val="22"/>
        </w:rPr>
        <w:t xml:space="preserve">el koyma ve telekomünikasyon yoluyla yapılan iletişimin denetlenmesi. </w:t>
      </w:r>
      <w:r w:rsidRPr="00A4264A">
        <w:rPr>
          <w:i/>
          <w:iCs/>
          <w:sz w:val="22"/>
          <w:szCs w:val="22"/>
        </w:rPr>
        <w:t>Türkiye Barolar Birliği Dergisi</w:t>
      </w:r>
      <w:r w:rsidRPr="00A4264A">
        <w:rPr>
          <w:sz w:val="22"/>
          <w:szCs w:val="22"/>
        </w:rPr>
        <w:t>, 69, 97-124.</w:t>
      </w:r>
    </w:p>
    <w:p w:rsidR="00B077CC" w:rsidRPr="00A4264A" w:rsidRDefault="00B077CC" w:rsidP="001302D2">
      <w:pPr>
        <w:jc w:val="both"/>
        <w:rPr>
          <w:sz w:val="22"/>
          <w:szCs w:val="22"/>
        </w:rPr>
      </w:pPr>
      <w:r w:rsidRPr="00A4264A">
        <w:rPr>
          <w:sz w:val="22"/>
          <w:szCs w:val="22"/>
        </w:rPr>
        <w:br w:type="page"/>
      </w:r>
    </w:p>
    <w:p w:rsidR="00B077CC" w:rsidRDefault="00B077CC" w:rsidP="00B077CC">
      <w:pPr>
        <w:tabs>
          <w:tab w:val="left" w:pos="8647"/>
        </w:tabs>
        <w:spacing w:after="240" w:line="240" w:lineRule="auto"/>
        <w:ind w:firstLine="421"/>
        <w:jc w:val="center"/>
        <w:rPr>
          <w:b/>
          <w:bCs/>
          <w:sz w:val="24"/>
          <w:szCs w:val="24"/>
        </w:rPr>
      </w:pPr>
      <w:r>
        <w:rPr>
          <w:b/>
          <w:bCs/>
          <w:sz w:val="24"/>
          <w:szCs w:val="24"/>
        </w:rPr>
        <w:lastRenderedPageBreak/>
        <w:t xml:space="preserve">EXTENDED </w:t>
      </w:r>
      <w:r w:rsidRPr="005F583B">
        <w:rPr>
          <w:b/>
          <w:bCs/>
          <w:sz w:val="24"/>
          <w:szCs w:val="24"/>
        </w:rPr>
        <w:t>SUMMARY</w:t>
      </w:r>
    </w:p>
    <w:p w:rsidR="00B077CC" w:rsidRPr="0018626D" w:rsidRDefault="00EB1230" w:rsidP="00B077CC">
      <w:pPr>
        <w:spacing w:after="240" w:line="240" w:lineRule="auto"/>
        <w:jc w:val="center"/>
        <w:rPr>
          <w:b/>
          <w:bCs/>
          <w:sz w:val="24"/>
          <w:szCs w:val="24"/>
          <w:lang w:val="en-GB"/>
        </w:rPr>
      </w:pPr>
      <w:r w:rsidRPr="0018626D">
        <w:rPr>
          <w:b/>
          <w:bCs/>
          <w:sz w:val="24"/>
          <w:szCs w:val="24"/>
          <w:lang w:val="en-GB"/>
        </w:rPr>
        <w:t>Mass Surveillance in the Framework of the ECHR Judgments</w:t>
      </w:r>
    </w:p>
    <w:p w:rsidR="00B077CC" w:rsidRPr="0018626D" w:rsidRDefault="00B077CC" w:rsidP="00B077CC">
      <w:pPr>
        <w:spacing w:after="240" w:line="240" w:lineRule="auto"/>
        <w:jc w:val="center"/>
        <w:rPr>
          <w:b/>
          <w:bCs/>
          <w:sz w:val="24"/>
          <w:szCs w:val="24"/>
          <w:lang w:val="en-GB"/>
        </w:rPr>
      </w:pPr>
      <w:r w:rsidRPr="0018626D">
        <w:rPr>
          <w:b/>
          <w:bCs/>
          <w:sz w:val="24"/>
          <w:szCs w:val="24"/>
          <w:lang w:val="en-GB"/>
        </w:rPr>
        <w:t>Introduction</w:t>
      </w:r>
    </w:p>
    <w:p w:rsidR="00B077CC" w:rsidRPr="00A97E6D" w:rsidRDefault="00B077CC" w:rsidP="009D5E1A">
      <w:pPr>
        <w:tabs>
          <w:tab w:val="left" w:pos="8647"/>
        </w:tabs>
        <w:spacing w:before="120" w:after="120" w:line="240" w:lineRule="auto"/>
        <w:ind w:firstLine="420"/>
        <w:jc w:val="both"/>
        <w:rPr>
          <w:sz w:val="24"/>
          <w:szCs w:val="24"/>
          <w:lang w:val="en-US"/>
        </w:rPr>
      </w:pPr>
      <w:r w:rsidRPr="00A97E6D">
        <w:rPr>
          <w:sz w:val="24"/>
          <w:szCs w:val="24"/>
          <w:lang w:val="en-US"/>
        </w:rPr>
        <w:t>It can be said that the right to respect for private</w:t>
      </w:r>
      <w:r w:rsidR="00767174" w:rsidRPr="00A97E6D">
        <w:rPr>
          <w:sz w:val="24"/>
          <w:szCs w:val="24"/>
          <w:lang w:val="en-US"/>
        </w:rPr>
        <w:t xml:space="preserve"> and family</w:t>
      </w:r>
      <w:r w:rsidRPr="00A97E6D">
        <w:rPr>
          <w:sz w:val="24"/>
          <w:szCs w:val="24"/>
          <w:lang w:val="en-US"/>
        </w:rPr>
        <w:t xml:space="preserve"> life,</w:t>
      </w:r>
      <w:r w:rsidR="00767174" w:rsidRPr="00A97E6D">
        <w:rPr>
          <w:sz w:val="24"/>
          <w:szCs w:val="24"/>
          <w:lang w:val="en-US"/>
        </w:rPr>
        <w:t xml:space="preserve"> home and correspondence life</w:t>
      </w:r>
      <w:r w:rsidRPr="00A97E6D">
        <w:rPr>
          <w:sz w:val="24"/>
          <w:szCs w:val="24"/>
          <w:lang w:val="en-US"/>
        </w:rPr>
        <w:t xml:space="preserve"> regulated in Article 8 of the European Convention on Human Rights is more threatened than before, with the capability of technological developments to provide security and intelligence units. With the support of technologies such as data mining and artificial intelligence, mass surveillance has a domain well ahead of other secret surveillance methods and can penetrate the data of millions of people in a very short time. The most important thing that distinguishes mass surveillance from other secret surveillance methods is that it surges the entire internet network to obtain the information it needs without targeting a particular person as a result of a suspicion or evidence.</w:t>
      </w:r>
    </w:p>
    <w:p w:rsidR="00B87786" w:rsidRPr="00A97E6D" w:rsidRDefault="00B077CC" w:rsidP="009D5E1A">
      <w:pPr>
        <w:tabs>
          <w:tab w:val="left" w:pos="8647"/>
        </w:tabs>
        <w:spacing w:before="120" w:after="120" w:line="240" w:lineRule="auto"/>
        <w:ind w:firstLine="420"/>
        <w:jc w:val="both"/>
        <w:rPr>
          <w:sz w:val="24"/>
          <w:szCs w:val="24"/>
          <w:lang w:val="en-US"/>
        </w:rPr>
      </w:pPr>
      <w:r w:rsidRPr="00A97E6D">
        <w:rPr>
          <w:sz w:val="24"/>
          <w:szCs w:val="24"/>
          <w:lang w:val="en-US"/>
        </w:rPr>
        <w:t xml:space="preserve">The study focuses on the concept of mass surveillance and its legal nature. For this purpose, following the examination of the basic concepts on the subject, the European Court of Human Rights Decisions on secret surveillance were examined and the case-law was tried to be determined. Subsequently, </w:t>
      </w:r>
      <w:r w:rsidR="00BF2F5D" w:rsidRPr="00A97E6D">
        <w:rPr>
          <w:sz w:val="24"/>
          <w:szCs w:val="24"/>
          <w:lang w:val="en-US"/>
        </w:rPr>
        <w:t>“</w:t>
      </w:r>
      <w:r w:rsidR="00563EC7" w:rsidRPr="00A97E6D">
        <w:rPr>
          <w:sz w:val="24"/>
          <w:szCs w:val="24"/>
          <w:lang w:val="en-US"/>
        </w:rPr>
        <w:t>T</w:t>
      </w:r>
      <w:r w:rsidRPr="00A97E6D">
        <w:rPr>
          <w:sz w:val="24"/>
          <w:szCs w:val="24"/>
          <w:lang w:val="en-US"/>
        </w:rPr>
        <w:t>he Big Brother Watch and Others</w:t>
      </w:r>
      <w:r w:rsidR="00BF2F5D" w:rsidRPr="00A97E6D">
        <w:rPr>
          <w:sz w:val="24"/>
          <w:szCs w:val="24"/>
          <w:lang w:val="en-US"/>
        </w:rPr>
        <w:t>/</w:t>
      </w:r>
      <w:r w:rsidR="00563EC7" w:rsidRPr="00A97E6D">
        <w:rPr>
          <w:sz w:val="24"/>
          <w:szCs w:val="24"/>
          <w:lang w:val="en-US"/>
        </w:rPr>
        <w:t>t</w:t>
      </w:r>
      <w:r w:rsidRPr="00A97E6D">
        <w:rPr>
          <w:sz w:val="24"/>
          <w:szCs w:val="24"/>
          <w:lang w:val="en-US"/>
        </w:rPr>
        <w:t>he United Kingdom case</w:t>
      </w:r>
      <w:r w:rsidR="00BF2F5D" w:rsidRPr="00A97E6D">
        <w:rPr>
          <w:sz w:val="24"/>
          <w:szCs w:val="24"/>
          <w:lang w:val="en-US"/>
        </w:rPr>
        <w:t>”</w:t>
      </w:r>
      <w:r w:rsidRPr="00A97E6D">
        <w:rPr>
          <w:sz w:val="24"/>
          <w:szCs w:val="24"/>
          <w:lang w:val="en-US"/>
        </w:rPr>
        <w:t xml:space="preserve"> </w:t>
      </w:r>
      <w:r w:rsidR="00A97E6D">
        <w:rPr>
          <w:sz w:val="24"/>
          <w:szCs w:val="24"/>
          <w:lang w:val="en-US"/>
        </w:rPr>
        <w:t>was</w:t>
      </w:r>
      <w:r w:rsidRPr="00A97E6D">
        <w:rPr>
          <w:sz w:val="24"/>
          <w:szCs w:val="24"/>
          <w:lang w:val="en-US"/>
        </w:rPr>
        <w:t xml:space="preserve"> examined and the subject </w:t>
      </w:r>
      <w:r w:rsidR="00A97E6D">
        <w:rPr>
          <w:sz w:val="24"/>
          <w:szCs w:val="24"/>
          <w:lang w:val="en-US"/>
        </w:rPr>
        <w:t>was</w:t>
      </w:r>
      <w:r w:rsidRPr="00A97E6D">
        <w:rPr>
          <w:sz w:val="24"/>
          <w:szCs w:val="24"/>
          <w:lang w:val="en-US"/>
        </w:rPr>
        <w:t xml:space="preserve"> discussed in this context and it </w:t>
      </w:r>
      <w:r w:rsidR="00A97E6D">
        <w:rPr>
          <w:sz w:val="24"/>
          <w:szCs w:val="24"/>
          <w:lang w:val="en-US"/>
        </w:rPr>
        <w:t>was</w:t>
      </w:r>
      <w:r w:rsidRPr="00A97E6D">
        <w:rPr>
          <w:sz w:val="24"/>
          <w:szCs w:val="24"/>
          <w:lang w:val="en-US"/>
        </w:rPr>
        <w:t xml:space="preserve"> tried to touch upon the principles that will ensure the mass surveillance activity </w:t>
      </w:r>
      <w:r w:rsidR="001071BF">
        <w:rPr>
          <w:sz w:val="24"/>
          <w:szCs w:val="24"/>
          <w:lang w:val="en-US"/>
        </w:rPr>
        <w:t>to be</w:t>
      </w:r>
      <w:r w:rsidR="00A97E6D">
        <w:rPr>
          <w:sz w:val="24"/>
          <w:szCs w:val="24"/>
          <w:lang w:val="en-US"/>
        </w:rPr>
        <w:t xml:space="preserve"> </w:t>
      </w:r>
      <w:r w:rsidRPr="00A97E6D">
        <w:rPr>
          <w:sz w:val="24"/>
          <w:szCs w:val="24"/>
          <w:lang w:val="en-US"/>
        </w:rPr>
        <w:t>carried out in a legal manner.</w:t>
      </w:r>
      <w:r w:rsidR="00B87786" w:rsidRPr="00A97E6D">
        <w:rPr>
          <w:sz w:val="24"/>
          <w:szCs w:val="24"/>
          <w:lang w:val="en-US"/>
        </w:rPr>
        <w:t xml:space="preserve"> </w:t>
      </w:r>
    </w:p>
    <w:p w:rsidR="00622561" w:rsidRPr="00A97E6D" w:rsidRDefault="00622561" w:rsidP="009D5E1A">
      <w:pPr>
        <w:tabs>
          <w:tab w:val="left" w:pos="8647"/>
        </w:tabs>
        <w:spacing w:before="240" w:after="240" w:line="240" w:lineRule="auto"/>
        <w:jc w:val="center"/>
        <w:rPr>
          <w:b/>
          <w:bCs/>
          <w:sz w:val="24"/>
          <w:szCs w:val="24"/>
          <w:lang w:val="en-US"/>
        </w:rPr>
      </w:pPr>
      <w:r w:rsidRPr="00A97E6D">
        <w:rPr>
          <w:b/>
          <w:bCs/>
          <w:sz w:val="24"/>
          <w:szCs w:val="24"/>
          <w:lang w:val="en-US"/>
        </w:rPr>
        <w:t>Secret Surveillance Regime</w:t>
      </w:r>
    </w:p>
    <w:p w:rsidR="00B077CC" w:rsidRPr="00A97E6D" w:rsidRDefault="00B077CC" w:rsidP="009D5E1A">
      <w:pPr>
        <w:tabs>
          <w:tab w:val="left" w:pos="8647"/>
        </w:tabs>
        <w:spacing w:before="240" w:after="240" w:line="240" w:lineRule="auto"/>
        <w:ind w:firstLine="421"/>
        <w:jc w:val="both"/>
        <w:rPr>
          <w:sz w:val="24"/>
          <w:szCs w:val="24"/>
          <w:lang w:val="en-US"/>
        </w:rPr>
      </w:pPr>
      <w:r w:rsidRPr="00A97E6D">
        <w:rPr>
          <w:sz w:val="24"/>
          <w:szCs w:val="24"/>
          <w:lang w:val="en-US"/>
        </w:rPr>
        <w:t xml:space="preserve">As a result of the investigated decisions, it can be said that the ECHR adopted the view that the implementation of secret surveillance measures is essential to combat terrorism and other serious crimes, and this determination has stabilized since the 1970s when it examined the issue first time. According to the courts, it is not contrary to the provisions of the contract that the contracting states use such confidential investigative measures within right to appreciation to </w:t>
      </w:r>
      <w:r w:rsidR="009A66DF" w:rsidRPr="00A97E6D">
        <w:rPr>
          <w:sz w:val="24"/>
          <w:szCs w:val="24"/>
          <w:lang w:val="en-US"/>
        </w:rPr>
        <w:t>fulfil</w:t>
      </w:r>
      <w:r w:rsidRPr="00A97E6D">
        <w:rPr>
          <w:sz w:val="24"/>
          <w:szCs w:val="24"/>
          <w:lang w:val="en-US"/>
        </w:rPr>
        <w:t xml:space="preserve"> the responsibility for the prevention of such threats. However, when using this discretion, it is imperative that the legal basis and legitimate purpose recorded in the contract and the interventions comply with the democratic community requirements and proportionality criteria. These criteria are meticulously applied by the court in the examination of all secret surveillance measures in addition to mass surveillance.</w:t>
      </w:r>
    </w:p>
    <w:p w:rsidR="00622561" w:rsidRPr="00A97E6D" w:rsidRDefault="00622561" w:rsidP="00B077CC">
      <w:pPr>
        <w:tabs>
          <w:tab w:val="left" w:pos="8647"/>
        </w:tabs>
        <w:spacing w:after="120" w:line="240" w:lineRule="auto"/>
        <w:ind w:firstLine="421"/>
        <w:jc w:val="both"/>
        <w:rPr>
          <w:sz w:val="24"/>
          <w:szCs w:val="24"/>
          <w:lang w:val="en-US"/>
        </w:rPr>
      </w:pPr>
    </w:p>
    <w:p w:rsidR="00622561" w:rsidRPr="00A97E6D" w:rsidRDefault="0018626D" w:rsidP="00622561">
      <w:pPr>
        <w:tabs>
          <w:tab w:val="left" w:pos="8647"/>
        </w:tabs>
        <w:spacing w:after="120" w:line="240" w:lineRule="auto"/>
        <w:jc w:val="center"/>
        <w:rPr>
          <w:b/>
          <w:bCs/>
          <w:sz w:val="24"/>
          <w:szCs w:val="24"/>
          <w:lang w:val="en-US"/>
        </w:rPr>
      </w:pPr>
      <w:r w:rsidRPr="00A97E6D">
        <w:rPr>
          <w:b/>
          <w:bCs/>
          <w:sz w:val="24"/>
          <w:szCs w:val="24"/>
          <w:lang w:val="en-US"/>
        </w:rPr>
        <w:t>Snowden Revel</w:t>
      </w:r>
      <w:r w:rsidR="00622561" w:rsidRPr="00A97E6D">
        <w:rPr>
          <w:b/>
          <w:bCs/>
          <w:sz w:val="24"/>
          <w:szCs w:val="24"/>
          <w:lang w:val="en-US"/>
        </w:rPr>
        <w:t>ations and Case of Big Brother Watch/U.K</w:t>
      </w:r>
    </w:p>
    <w:p w:rsidR="00B077CC" w:rsidRPr="00A97E6D" w:rsidRDefault="00B077CC" w:rsidP="009D5E1A">
      <w:pPr>
        <w:tabs>
          <w:tab w:val="left" w:pos="8647"/>
        </w:tabs>
        <w:spacing w:before="240" w:after="240" w:line="240" w:lineRule="auto"/>
        <w:ind w:firstLine="421"/>
        <w:jc w:val="both"/>
        <w:rPr>
          <w:sz w:val="24"/>
          <w:szCs w:val="24"/>
          <w:lang w:val="en-US"/>
        </w:rPr>
      </w:pPr>
      <w:r w:rsidRPr="00A97E6D">
        <w:rPr>
          <w:sz w:val="24"/>
          <w:szCs w:val="24"/>
          <w:lang w:val="en-US"/>
        </w:rPr>
        <w:t>The Snowden re</w:t>
      </w:r>
      <w:r w:rsidR="0018626D" w:rsidRPr="00A97E6D">
        <w:rPr>
          <w:sz w:val="24"/>
          <w:szCs w:val="24"/>
          <w:lang w:val="en-US"/>
        </w:rPr>
        <w:t>vela</w:t>
      </w:r>
      <w:r w:rsidRPr="00A97E6D">
        <w:rPr>
          <w:sz w:val="24"/>
          <w:szCs w:val="24"/>
          <w:lang w:val="en-US"/>
        </w:rPr>
        <w:t xml:space="preserve">tion, which constitutes the subject of the case, can be regarded as an event that shows the point where mass surveillance measures can reach, and that has caused and continued to have great repercussions not only legally but also politically. As a result of the Snowden </w:t>
      </w:r>
      <w:r w:rsidR="0018626D" w:rsidRPr="00A97E6D">
        <w:rPr>
          <w:sz w:val="24"/>
          <w:szCs w:val="24"/>
          <w:lang w:val="en-US"/>
        </w:rPr>
        <w:t>revelations</w:t>
      </w:r>
      <w:r w:rsidRPr="00A97E6D">
        <w:rPr>
          <w:sz w:val="24"/>
          <w:szCs w:val="24"/>
          <w:lang w:val="en-US"/>
        </w:rPr>
        <w:t xml:space="preserve">, the legitimacy of the concept of mass surveillance which has begun to be discussed more turbulently </w:t>
      </w:r>
      <w:r w:rsidR="00BF2F5D" w:rsidRPr="00A97E6D">
        <w:rPr>
          <w:sz w:val="24"/>
          <w:szCs w:val="24"/>
          <w:lang w:val="en-US"/>
        </w:rPr>
        <w:t>beca</w:t>
      </w:r>
      <w:r w:rsidRPr="00A97E6D">
        <w:rPr>
          <w:sz w:val="24"/>
          <w:szCs w:val="24"/>
          <w:lang w:val="en-US"/>
        </w:rPr>
        <w:t>me the subject of studies. In addition, one of the legal consequences of this process is the Big Brother Watch and Others</w:t>
      </w:r>
      <w:r w:rsidR="00BF2F5D" w:rsidRPr="00A97E6D">
        <w:rPr>
          <w:sz w:val="24"/>
          <w:szCs w:val="24"/>
          <w:lang w:val="en-US"/>
        </w:rPr>
        <w:t>/</w:t>
      </w:r>
      <w:r w:rsidRPr="00A97E6D">
        <w:rPr>
          <w:sz w:val="24"/>
          <w:szCs w:val="24"/>
          <w:lang w:val="en-US"/>
        </w:rPr>
        <w:t xml:space="preserve"> </w:t>
      </w:r>
      <w:r w:rsidR="00BF2F5D" w:rsidRPr="00A97E6D">
        <w:rPr>
          <w:sz w:val="24"/>
          <w:szCs w:val="24"/>
          <w:lang w:val="en-US"/>
        </w:rPr>
        <w:t>t</w:t>
      </w:r>
      <w:r w:rsidRPr="00A97E6D">
        <w:rPr>
          <w:sz w:val="24"/>
          <w:szCs w:val="24"/>
          <w:lang w:val="en-US"/>
        </w:rPr>
        <w:t>he United Kingdom Case. The case increases its importance more and more with its contribution to the legal aspect of the issue, as well as its newsworthy.</w:t>
      </w:r>
    </w:p>
    <w:p w:rsidR="00B077CC" w:rsidRPr="00A97E6D" w:rsidRDefault="00B87786" w:rsidP="009D5E1A">
      <w:pPr>
        <w:tabs>
          <w:tab w:val="left" w:pos="8647"/>
        </w:tabs>
        <w:spacing w:before="240" w:after="240" w:line="240" w:lineRule="auto"/>
        <w:jc w:val="center"/>
        <w:rPr>
          <w:b/>
          <w:bCs/>
          <w:sz w:val="24"/>
          <w:szCs w:val="24"/>
          <w:lang w:val="en-US"/>
        </w:rPr>
      </w:pPr>
      <w:r w:rsidRPr="00A97E6D">
        <w:rPr>
          <w:b/>
          <w:bCs/>
          <w:sz w:val="24"/>
          <w:szCs w:val="24"/>
          <w:lang w:val="en-US"/>
        </w:rPr>
        <w:t>Conclusion</w:t>
      </w:r>
    </w:p>
    <w:p w:rsidR="00B077CC" w:rsidRPr="00A97E6D" w:rsidRDefault="00B077CC" w:rsidP="00B077CC">
      <w:pPr>
        <w:tabs>
          <w:tab w:val="left" w:pos="8647"/>
        </w:tabs>
        <w:spacing w:after="120" w:line="240" w:lineRule="auto"/>
        <w:ind w:firstLine="421"/>
        <w:jc w:val="both"/>
        <w:rPr>
          <w:sz w:val="24"/>
          <w:szCs w:val="24"/>
          <w:lang w:val="en-US"/>
        </w:rPr>
      </w:pPr>
      <w:r w:rsidRPr="00A97E6D">
        <w:rPr>
          <w:sz w:val="24"/>
          <w:szCs w:val="24"/>
          <w:lang w:val="en-US"/>
        </w:rPr>
        <w:t>It is possible to make some determinations about mass surveillance by making use of the court decision examined. While the Court found it necessary to operate certain legal safeguards used in secret surveillance measures in the implementation of mass surveillance, it was defined as a positive but not essential issue to introduce additional safeguards to those used in secret surveillance measures. However, considering the features that distinguish collective surveillance from other secret surveillance methods and partly concurr</w:t>
      </w:r>
      <w:r w:rsidR="001071BF">
        <w:rPr>
          <w:sz w:val="24"/>
          <w:szCs w:val="24"/>
          <w:lang w:val="en-US"/>
        </w:rPr>
        <w:t>i</w:t>
      </w:r>
      <w:r w:rsidRPr="00A97E6D">
        <w:rPr>
          <w:sz w:val="24"/>
          <w:szCs w:val="24"/>
          <w:lang w:val="en-US"/>
        </w:rPr>
        <w:t xml:space="preserve">ng opinion of judges in the decision, it can be said that this finding is open to criticism. </w:t>
      </w:r>
    </w:p>
    <w:p w:rsidR="00B077CC" w:rsidRPr="00A97E6D" w:rsidRDefault="00B077CC" w:rsidP="00B077CC">
      <w:pPr>
        <w:tabs>
          <w:tab w:val="left" w:pos="8647"/>
        </w:tabs>
        <w:spacing w:after="120" w:line="240" w:lineRule="auto"/>
        <w:ind w:firstLine="421"/>
        <w:jc w:val="both"/>
        <w:rPr>
          <w:sz w:val="24"/>
          <w:szCs w:val="24"/>
          <w:lang w:val="en-US"/>
        </w:rPr>
      </w:pPr>
      <w:r w:rsidRPr="00A97E6D">
        <w:rPr>
          <w:sz w:val="24"/>
          <w:szCs w:val="24"/>
          <w:lang w:val="en-US"/>
        </w:rPr>
        <w:t xml:space="preserve">However, as a result of examining the UK mass surveillance regime in accordance with the case law of secret surveillance, which has continued until today, the court has found that the anti-abuse measures at some stages in the mass surveillance procedure are insufficient, and that the legislation does not comply with the provisions of the contract. According to the court, procedure for filtering, storing and </w:t>
      </w:r>
      <w:r w:rsidR="00A97E6D" w:rsidRPr="00A97E6D">
        <w:rPr>
          <w:sz w:val="24"/>
          <w:szCs w:val="24"/>
          <w:lang w:val="en-US"/>
        </w:rPr>
        <w:t>analyzing</w:t>
      </w:r>
      <w:r w:rsidRPr="00A97E6D">
        <w:rPr>
          <w:sz w:val="24"/>
          <w:szCs w:val="24"/>
          <w:lang w:val="en-US"/>
        </w:rPr>
        <w:t xml:space="preserve"> intercepted mate</w:t>
      </w:r>
      <w:r w:rsidR="0018626D" w:rsidRPr="00A97E6D">
        <w:rPr>
          <w:sz w:val="24"/>
          <w:szCs w:val="24"/>
          <w:lang w:val="en-US"/>
        </w:rPr>
        <w:t>rial lack</w:t>
      </w:r>
      <w:r w:rsidR="00563EC7" w:rsidRPr="00A97E6D">
        <w:rPr>
          <w:sz w:val="24"/>
          <w:szCs w:val="24"/>
          <w:lang w:val="en-US"/>
        </w:rPr>
        <w:t>ing</w:t>
      </w:r>
      <w:r w:rsidR="0018626D" w:rsidRPr="00A97E6D">
        <w:rPr>
          <w:sz w:val="24"/>
          <w:szCs w:val="24"/>
          <w:lang w:val="en-US"/>
        </w:rPr>
        <w:t xml:space="preserve"> adequate safeguards</w:t>
      </w:r>
      <w:r w:rsidRPr="00A97E6D">
        <w:rPr>
          <w:sz w:val="24"/>
          <w:szCs w:val="24"/>
          <w:lang w:val="en-US"/>
        </w:rPr>
        <w:t xml:space="preserve"> and the administration's arbitrariness prevents the measure from passing through the lawfulness examination.</w:t>
      </w:r>
    </w:p>
    <w:p w:rsidR="00B077CC" w:rsidRPr="00A97E6D" w:rsidRDefault="00B077CC" w:rsidP="00B077CC">
      <w:pPr>
        <w:tabs>
          <w:tab w:val="left" w:pos="8647"/>
        </w:tabs>
        <w:spacing w:after="120" w:line="240" w:lineRule="auto"/>
        <w:ind w:firstLine="421"/>
        <w:jc w:val="both"/>
        <w:rPr>
          <w:sz w:val="24"/>
          <w:szCs w:val="24"/>
          <w:lang w:val="en-US"/>
        </w:rPr>
      </w:pPr>
      <w:r w:rsidRPr="00A97E6D">
        <w:rPr>
          <w:sz w:val="24"/>
          <w:szCs w:val="24"/>
          <w:lang w:val="en-US"/>
        </w:rPr>
        <w:t xml:space="preserve">The court also examined this case for the first time in its history by examining complaints about intelligence sharing among intelligence agencies. According to the court, the acquisition and use of any information that falls within the scope of private life should have a legitimate purpose in accordance with the restrictions stipulated in the convention, no matter how the information is obtained. Therefore, the information obtained as a result of intelligence sharing can only be obtained and used by recording and </w:t>
      </w:r>
      <w:r w:rsidRPr="00A97E6D">
        <w:rPr>
          <w:sz w:val="24"/>
          <w:szCs w:val="24"/>
          <w:lang w:val="en-US"/>
        </w:rPr>
        <w:lastRenderedPageBreak/>
        <w:t>operating the prescribed procedures like those obtained in other secret surveillance methods.</w:t>
      </w:r>
    </w:p>
    <w:p w:rsidR="00B077CC" w:rsidRPr="00A97E6D" w:rsidRDefault="00B077CC" w:rsidP="00B077CC">
      <w:pPr>
        <w:tabs>
          <w:tab w:val="left" w:pos="8647"/>
        </w:tabs>
        <w:spacing w:after="120" w:line="240" w:lineRule="auto"/>
        <w:ind w:firstLine="421"/>
        <w:jc w:val="both"/>
        <w:rPr>
          <w:sz w:val="24"/>
          <w:szCs w:val="24"/>
          <w:lang w:val="en-US"/>
        </w:rPr>
      </w:pPr>
      <w:r w:rsidRPr="00A97E6D">
        <w:rPr>
          <w:sz w:val="24"/>
          <w:szCs w:val="24"/>
          <w:lang w:val="en-US"/>
        </w:rPr>
        <w:t xml:space="preserve">It can be said that the Court generally found that the applicants' concerns regarding mass surveillance were reasonable and acceptable, but did not change their </w:t>
      </w:r>
      <w:r w:rsidR="0018626D" w:rsidRPr="00A97E6D">
        <w:rPr>
          <w:sz w:val="24"/>
          <w:szCs w:val="24"/>
          <w:lang w:val="en-US"/>
        </w:rPr>
        <w:t>on-going</w:t>
      </w:r>
      <w:r w:rsidRPr="00A97E6D">
        <w:rPr>
          <w:sz w:val="24"/>
          <w:szCs w:val="24"/>
          <w:lang w:val="en-US"/>
        </w:rPr>
        <w:t xml:space="preserve"> case law on the matter, and, as with all secret surveillance measures, they could be applied in discretion, under the conditions set forth in the mass surveillance. However, in this decision, the court insists that such measures, which have the nature of heavy intervention to private life, are executed in accordance with strict formal conditions preventing the arbitrariness of the administration.</w:t>
      </w:r>
    </w:p>
    <w:p w:rsidR="00B077CC" w:rsidRPr="0018626D" w:rsidRDefault="00B077CC" w:rsidP="00400461">
      <w:pPr>
        <w:spacing w:after="120" w:line="240" w:lineRule="auto"/>
        <w:rPr>
          <w:sz w:val="24"/>
          <w:szCs w:val="24"/>
          <w:lang w:val="en-GB"/>
        </w:rPr>
      </w:pPr>
    </w:p>
    <w:p w:rsidR="009A46DF" w:rsidRPr="005F583B" w:rsidRDefault="009A46DF" w:rsidP="00400461">
      <w:pPr>
        <w:spacing w:after="120" w:line="240" w:lineRule="auto"/>
        <w:rPr>
          <w:sz w:val="24"/>
          <w:szCs w:val="24"/>
        </w:rPr>
      </w:pPr>
    </w:p>
    <w:sectPr w:rsidR="009A46DF" w:rsidRPr="005F583B" w:rsidSect="002C474F">
      <w:headerReference w:type="first" r:id="rId28"/>
      <w:endnotePr>
        <w:numFmt w:val="chicago"/>
      </w:endnotePr>
      <w:pgSz w:w="11906" w:h="16838"/>
      <w:pgMar w:top="2608" w:right="2268" w:bottom="2608" w:left="2268" w:header="709" w:footer="709" w:gutter="0"/>
      <w:pgNumType w:start="18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46" w:rsidRDefault="00805046" w:rsidP="00E439CA">
      <w:pPr>
        <w:spacing w:after="0" w:line="240" w:lineRule="auto"/>
      </w:pPr>
      <w:r>
        <w:separator/>
      </w:r>
    </w:p>
  </w:endnote>
  <w:endnote w:type="continuationSeparator" w:id="0">
    <w:p w:rsidR="00805046" w:rsidRDefault="00805046" w:rsidP="00E4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46" w:rsidRDefault="00805046" w:rsidP="00E439CA">
      <w:pPr>
        <w:spacing w:after="0" w:line="240" w:lineRule="auto"/>
      </w:pPr>
      <w:r>
        <w:separator/>
      </w:r>
    </w:p>
  </w:footnote>
  <w:footnote w:type="continuationSeparator" w:id="0">
    <w:p w:rsidR="00805046" w:rsidRDefault="00805046" w:rsidP="00E439CA">
      <w:pPr>
        <w:spacing w:after="0" w:line="240" w:lineRule="auto"/>
      </w:pPr>
      <w:r>
        <w:continuationSeparator/>
      </w:r>
    </w:p>
  </w:footnote>
  <w:footnote w:id="1">
    <w:p w:rsidR="00BF382F" w:rsidRPr="00522EC0" w:rsidRDefault="00BF382F">
      <w:pPr>
        <w:pStyle w:val="DipnotMetni"/>
        <w:rPr>
          <w:sz w:val="18"/>
          <w:szCs w:val="18"/>
        </w:rPr>
      </w:pPr>
      <w:r>
        <w:rPr>
          <w:rStyle w:val="DipnotBavurusu"/>
        </w:rPr>
        <w:t>*</w:t>
      </w:r>
      <w:r>
        <w:t xml:space="preserve"> </w:t>
      </w:r>
      <w:r w:rsidRPr="00522EC0">
        <w:rPr>
          <w:sz w:val="18"/>
          <w:szCs w:val="18"/>
        </w:rPr>
        <w:t xml:space="preserve">Bu makale, Emre </w:t>
      </w:r>
      <w:proofErr w:type="spellStart"/>
      <w:r w:rsidRPr="00522EC0">
        <w:rPr>
          <w:sz w:val="18"/>
          <w:szCs w:val="18"/>
        </w:rPr>
        <w:t>GÜZEY’in</w:t>
      </w:r>
      <w:proofErr w:type="spellEnd"/>
      <w:r w:rsidRPr="00522EC0">
        <w:rPr>
          <w:sz w:val="18"/>
          <w:szCs w:val="18"/>
        </w:rPr>
        <w:t xml:space="preserve"> Mayıs 2020’de Atatürk Stratejik Araştırmalar Enstitüsünde savunduğu “Özel Hayatın Gizliliğine Saygı Hakkı Kapsamında İstihbarat Faaliyetlerinin İncelenmesi” başlıklı yüksek lisans tezinden üretilmiştir.</w:t>
      </w:r>
    </w:p>
  </w:footnote>
  <w:footnote w:id="2">
    <w:p w:rsidR="00BF382F" w:rsidRPr="00400461" w:rsidRDefault="00BF382F" w:rsidP="00BF382F">
      <w:pPr>
        <w:pStyle w:val="DipnotMetni"/>
        <w:jc w:val="both"/>
        <w:rPr>
          <w:sz w:val="18"/>
          <w:szCs w:val="18"/>
        </w:rPr>
      </w:pPr>
      <w:r>
        <w:rPr>
          <w:rStyle w:val="DipnotBavurusu"/>
        </w:rPr>
        <w:footnoteRef/>
      </w:r>
      <w:r>
        <w:t xml:space="preserve"> </w:t>
      </w:r>
      <w:r w:rsidRPr="00400461">
        <w:rPr>
          <w:sz w:val="18"/>
          <w:szCs w:val="18"/>
        </w:rPr>
        <w:t xml:space="preserve">Yüzbaşı, Kara Kuvvetleri Komutanlığı, </w:t>
      </w:r>
      <w:r w:rsidRPr="0045427E">
        <w:rPr>
          <w:sz w:val="18"/>
          <w:szCs w:val="18"/>
        </w:rPr>
        <w:t>guzeyemre88@gmail.com,</w:t>
      </w:r>
      <w:r w:rsidRPr="00400461">
        <w:rPr>
          <w:sz w:val="18"/>
          <w:szCs w:val="18"/>
        </w:rPr>
        <w:t xml:space="preserve"> ORCID:0000-0002-1723-794X</w:t>
      </w:r>
    </w:p>
    <w:p w:rsidR="00BF382F" w:rsidRDefault="00BF382F" w:rsidP="00BF382F">
      <w:pPr>
        <w:pStyle w:val="DipnotMetni"/>
        <w:rPr>
          <w:sz w:val="18"/>
          <w:szCs w:val="18"/>
        </w:rPr>
      </w:pPr>
    </w:p>
    <w:p w:rsidR="00BF382F" w:rsidRPr="00F84DA1" w:rsidRDefault="00BF382F" w:rsidP="00BF382F">
      <w:pPr>
        <w:pStyle w:val="DipnotMetni"/>
        <w:rPr>
          <w:sz w:val="18"/>
          <w:szCs w:val="18"/>
        </w:rPr>
      </w:pPr>
      <w:r w:rsidRPr="00F84DA1">
        <w:rPr>
          <w:sz w:val="18"/>
          <w:szCs w:val="18"/>
        </w:rPr>
        <w:t xml:space="preserve">Geliş Tarihi / </w:t>
      </w:r>
      <w:proofErr w:type="spellStart"/>
      <w:r w:rsidRPr="00F84DA1">
        <w:rPr>
          <w:sz w:val="18"/>
          <w:szCs w:val="18"/>
        </w:rPr>
        <w:t>Arrived</w:t>
      </w:r>
      <w:proofErr w:type="spellEnd"/>
      <w:r w:rsidRPr="00F84DA1">
        <w:rPr>
          <w:sz w:val="18"/>
          <w:szCs w:val="18"/>
        </w:rPr>
        <w:t xml:space="preserve">  </w:t>
      </w:r>
      <w:r w:rsidRPr="00F84DA1">
        <w:rPr>
          <w:sz w:val="18"/>
          <w:szCs w:val="18"/>
        </w:rPr>
        <w:tab/>
        <w:t>:</w:t>
      </w:r>
      <w:r>
        <w:rPr>
          <w:sz w:val="18"/>
          <w:szCs w:val="18"/>
        </w:rPr>
        <w:t xml:space="preserve"> 04</w:t>
      </w:r>
      <w:r w:rsidRPr="00F84DA1">
        <w:rPr>
          <w:sz w:val="18"/>
          <w:szCs w:val="18"/>
        </w:rPr>
        <w:t>.</w:t>
      </w:r>
      <w:r>
        <w:rPr>
          <w:sz w:val="18"/>
          <w:szCs w:val="18"/>
        </w:rPr>
        <w:t>04</w:t>
      </w:r>
      <w:r w:rsidRPr="00F84DA1">
        <w:rPr>
          <w:sz w:val="18"/>
          <w:szCs w:val="18"/>
        </w:rPr>
        <w:t>.2020</w:t>
      </w:r>
    </w:p>
    <w:p w:rsidR="00BF382F" w:rsidRPr="00BF382F" w:rsidRDefault="00BF382F" w:rsidP="00BF382F">
      <w:pPr>
        <w:pStyle w:val="DipnotMetni"/>
        <w:rPr>
          <w:sz w:val="18"/>
          <w:szCs w:val="18"/>
        </w:rPr>
      </w:pPr>
      <w:r w:rsidRPr="00F84DA1">
        <w:rPr>
          <w:sz w:val="18"/>
          <w:szCs w:val="18"/>
        </w:rPr>
        <w:t xml:space="preserve">Kabul Tarihi / </w:t>
      </w:r>
      <w:proofErr w:type="spellStart"/>
      <w:r w:rsidRPr="00F84DA1">
        <w:rPr>
          <w:sz w:val="18"/>
          <w:szCs w:val="18"/>
        </w:rPr>
        <w:t>Accepted</w:t>
      </w:r>
      <w:proofErr w:type="spellEnd"/>
      <w:r w:rsidRPr="00F84DA1">
        <w:rPr>
          <w:sz w:val="18"/>
          <w:szCs w:val="18"/>
        </w:rPr>
        <w:tab/>
        <w:t xml:space="preserve">: </w:t>
      </w:r>
      <w:r>
        <w:rPr>
          <w:sz w:val="18"/>
          <w:szCs w:val="18"/>
        </w:rPr>
        <w:t>25.11.2020</w:t>
      </w:r>
    </w:p>
    <w:p w:rsidR="00BF382F" w:rsidRDefault="00BF382F">
      <w:pPr>
        <w:pStyle w:val="DipnotMetni"/>
      </w:pPr>
    </w:p>
  </w:footnote>
  <w:footnote w:id="3">
    <w:p w:rsidR="00165CB1" w:rsidRPr="00165CB1" w:rsidRDefault="00165CB1" w:rsidP="00165CB1">
      <w:pPr>
        <w:pStyle w:val="DipnotMetni"/>
        <w:jc w:val="both"/>
        <w:rPr>
          <w:sz w:val="18"/>
          <w:szCs w:val="18"/>
          <w:lang w:val="en-GB"/>
        </w:rPr>
      </w:pPr>
      <w:r>
        <w:rPr>
          <w:rStyle w:val="DipnotBavurusu"/>
        </w:rPr>
        <w:t>1</w:t>
      </w:r>
      <w:r>
        <w:t xml:space="preserve"> </w:t>
      </w:r>
      <w:proofErr w:type="spellStart"/>
      <w:r w:rsidRPr="0018626D">
        <w:rPr>
          <w:sz w:val="18"/>
          <w:szCs w:val="18"/>
          <w:lang w:val="en-GB"/>
        </w:rPr>
        <w:t>İngilizce</w:t>
      </w:r>
      <w:proofErr w:type="spellEnd"/>
      <w:r w:rsidRPr="0018626D">
        <w:rPr>
          <w:sz w:val="18"/>
          <w:szCs w:val="18"/>
          <w:lang w:val="en-GB"/>
        </w:rPr>
        <w:t xml:space="preserve"> </w:t>
      </w:r>
      <w:proofErr w:type="spellStart"/>
      <w:r w:rsidRPr="0018626D">
        <w:rPr>
          <w:sz w:val="18"/>
          <w:szCs w:val="18"/>
          <w:lang w:val="en-GB"/>
        </w:rPr>
        <w:t>yayınlanmış</w:t>
      </w:r>
      <w:proofErr w:type="spellEnd"/>
      <w:r w:rsidRPr="0018626D">
        <w:rPr>
          <w:sz w:val="18"/>
          <w:szCs w:val="18"/>
          <w:lang w:val="en-GB"/>
        </w:rPr>
        <w:t xml:space="preserve"> </w:t>
      </w:r>
      <w:proofErr w:type="spellStart"/>
      <w:r w:rsidRPr="0018626D">
        <w:rPr>
          <w:sz w:val="18"/>
          <w:szCs w:val="18"/>
          <w:lang w:val="en-GB"/>
        </w:rPr>
        <w:t>olan</w:t>
      </w:r>
      <w:proofErr w:type="spellEnd"/>
      <w:r w:rsidRPr="0018626D">
        <w:rPr>
          <w:sz w:val="18"/>
          <w:szCs w:val="18"/>
          <w:lang w:val="en-GB"/>
        </w:rPr>
        <w:t xml:space="preserve"> </w:t>
      </w:r>
      <w:proofErr w:type="spellStart"/>
      <w:r w:rsidRPr="0018626D">
        <w:rPr>
          <w:sz w:val="18"/>
          <w:szCs w:val="18"/>
          <w:lang w:val="en-GB"/>
        </w:rPr>
        <w:t>Mahkeme</w:t>
      </w:r>
      <w:proofErr w:type="spellEnd"/>
      <w:r w:rsidRPr="0018626D">
        <w:rPr>
          <w:sz w:val="18"/>
          <w:szCs w:val="18"/>
          <w:lang w:val="en-GB"/>
        </w:rPr>
        <w:t xml:space="preserve"> </w:t>
      </w:r>
      <w:proofErr w:type="spellStart"/>
      <w:r w:rsidRPr="0018626D">
        <w:rPr>
          <w:sz w:val="18"/>
          <w:szCs w:val="18"/>
          <w:lang w:val="en-GB"/>
        </w:rPr>
        <w:t>kararlarında</w:t>
      </w:r>
      <w:proofErr w:type="spellEnd"/>
      <w:r w:rsidRPr="0018626D">
        <w:rPr>
          <w:sz w:val="18"/>
          <w:szCs w:val="18"/>
          <w:lang w:val="en-GB"/>
        </w:rPr>
        <w:t xml:space="preserve"> </w:t>
      </w:r>
      <w:proofErr w:type="spellStart"/>
      <w:r w:rsidRPr="0018626D">
        <w:rPr>
          <w:sz w:val="18"/>
          <w:szCs w:val="18"/>
          <w:lang w:val="en-GB"/>
        </w:rPr>
        <w:t>ve</w:t>
      </w:r>
      <w:proofErr w:type="spellEnd"/>
      <w:r w:rsidRPr="0018626D">
        <w:rPr>
          <w:sz w:val="18"/>
          <w:szCs w:val="18"/>
          <w:lang w:val="en-GB"/>
        </w:rPr>
        <w:t xml:space="preserve"> </w:t>
      </w:r>
      <w:proofErr w:type="spellStart"/>
      <w:r w:rsidRPr="0018626D">
        <w:rPr>
          <w:sz w:val="18"/>
          <w:szCs w:val="18"/>
          <w:lang w:val="en-GB"/>
        </w:rPr>
        <w:t>yapılan</w:t>
      </w:r>
      <w:proofErr w:type="spellEnd"/>
      <w:r w:rsidRPr="0018626D">
        <w:rPr>
          <w:sz w:val="18"/>
          <w:szCs w:val="18"/>
          <w:lang w:val="en-GB"/>
        </w:rPr>
        <w:t xml:space="preserve"> </w:t>
      </w:r>
      <w:proofErr w:type="spellStart"/>
      <w:r w:rsidRPr="0018626D">
        <w:rPr>
          <w:sz w:val="18"/>
          <w:szCs w:val="18"/>
          <w:lang w:val="en-GB"/>
        </w:rPr>
        <w:t>akademik</w:t>
      </w:r>
      <w:proofErr w:type="spellEnd"/>
      <w:r w:rsidRPr="0018626D">
        <w:rPr>
          <w:sz w:val="18"/>
          <w:szCs w:val="18"/>
          <w:lang w:val="en-GB"/>
        </w:rPr>
        <w:t xml:space="preserve"> </w:t>
      </w:r>
      <w:proofErr w:type="spellStart"/>
      <w:r w:rsidRPr="0018626D">
        <w:rPr>
          <w:sz w:val="18"/>
          <w:szCs w:val="18"/>
          <w:lang w:val="en-GB"/>
        </w:rPr>
        <w:t>çalışmalarda</w:t>
      </w:r>
      <w:proofErr w:type="spellEnd"/>
      <w:r w:rsidRPr="0018626D">
        <w:rPr>
          <w:sz w:val="18"/>
          <w:szCs w:val="18"/>
          <w:lang w:val="en-GB"/>
        </w:rPr>
        <w:t xml:space="preserve"> “Mass Surveillance”, “Strategic Surveillance”, “Strategic Monitoring”, “Bulk Interception”, “Bulk Interception of Communication” </w:t>
      </w:r>
      <w:proofErr w:type="spellStart"/>
      <w:r w:rsidRPr="0018626D">
        <w:rPr>
          <w:sz w:val="18"/>
          <w:szCs w:val="18"/>
          <w:lang w:val="en-GB"/>
        </w:rPr>
        <w:t>terimleri</w:t>
      </w:r>
      <w:proofErr w:type="spellEnd"/>
      <w:r w:rsidRPr="0018626D">
        <w:rPr>
          <w:sz w:val="18"/>
          <w:szCs w:val="18"/>
          <w:lang w:val="en-GB"/>
        </w:rPr>
        <w:t xml:space="preserve"> </w:t>
      </w:r>
      <w:proofErr w:type="spellStart"/>
      <w:r w:rsidRPr="0018626D">
        <w:rPr>
          <w:sz w:val="18"/>
          <w:szCs w:val="18"/>
          <w:lang w:val="en-GB"/>
        </w:rPr>
        <w:t>tercih</w:t>
      </w:r>
      <w:proofErr w:type="spellEnd"/>
      <w:r w:rsidRPr="0018626D">
        <w:rPr>
          <w:sz w:val="18"/>
          <w:szCs w:val="18"/>
          <w:lang w:val="en-GB"/>
        </w:rPr>
        <w:t xml:space="preserve"> </w:t>
      </w:r>
      <w:proofErr w:type="spellStart"/>
      <w:r w:rsidRPr="0018626D">
        <w:rPr>
          <w:sz w:val="18"/>
          <w:szCs w:val="18"/>
          <w:lang w:val="en-GB"/>
        </w:rPr>
        <w:t>edilmiştir</w:t>
      </w:r>
      <w:proofErr w:type="spellEnd"/>
      <w:r w:rsidRPr="0018626D">
        <w:rPr>
          <w:sz w:val="18"/>
          <w:szCs w:val="18"/>
          <w:lang w:val="en-GB"/>
        </w:rPr>
        <w:t>.</w:t>
      </w:r>
    </w:p>
  </w:footnote>
  <w:footnote w:id="4">
    <w:p w:rsidR="008F5AA1" w:rsidRPr="000C104A" w:rsidRDefault="008F5AA1" w:rsidP="0090687A">
      <w:pPr>
        <w:pStyle w:val="DipnotMetni"/>
        <w:jc w:val="both"/>
        <w:rPr>
          <w:sz w:val="18"/>
          <w:szCs w:val="18"/>
        </w:rPr>
      </w:pPr>
      <w:r w:rsidRPr="000C104A">
        <w:rPr>
          <w:rStyle w:val="DipnotBavurusu"/>
          <w:sz w:val="18"/>
          <w:szCs w:val="18"/>
        </w:rPr>
        <w:footnoteRef/>
      </w:r>
      <w:r w:rsidRPr="000C104A">
        <w:rPr>
          <w:sz w:val="18"/>
          <w:szCs w:val="18"/>
        </w:rPr>
        <w:t xml:space="preserve"> CTIVD (</w:t>
      </w:r>
      <w:proofErr w:type="spellStart"/>
      <w:r w:rsidRPr="000C104A">
        <w:rPr>
          <w:sz w:val="18"/>
          <w:szCs w:val="18"/>
        </w:rPr>
        <w:t>Commissie</w:t>
      </w:r>
      <w:proofErr w:type="spellEnd"/>
      <w:r w:rsidRPr="000C104A">
        <w:rPr>
          <w:sz w:val="18"/>
          <w:szCs w:val="18"/>
        </w:rPr>
        <w:t xml:space="preserve"> </w:t>
      </w:r>
      <w:proofErr w:type="spellStart"/>
      <w:r w:rsidRPr="000C104A">
        <w:rPr>
          <w:sz w:val="18"/>
          <w:szCs w:val="18"/>
        </w:rPr>
        <w:t>van</w:t>
      </w:r>
      <w:proofErr w:type="spellEnd"/>
      <w:r w:rsidRPr="000C104A">
        <w:rPr>
          <w:sz w:val="18"/>
          <w:szCs w:val="18"/>
        </w:rPr>
        <w:t xml:space="preserve"> </w:t>
      </w:r>
      <w:proofErr w:type="spellStart"/>
      <w:r w:rsidRPr="000C104A">
        <w:rPr>
          <w:sz w:val="18"/>
          <w:szCs w:val="18"/>
        </w:rPr>
        <w:t>Toezicht</w:t>
      </w:r>
      <w:proofErr w:type="spellEnd"/>
      <w:r w:rsidRPr="000C104A">
        <w:rPr>
          <w:sz w:val="18"/>
          <w:szCs w:val="18"/>
        </w:rPr>
        <w:t xml:space="preserve"> op de </w:t>
      </w:r>
      <w:proofErr w:type="spellStart"/>
      <w:r w:rsidRPr="000C104A">
        <w:rPr>
          <w:sz w:val="18"/>
          <w:szCs w:val="18"/>
        </w:rPr>
        <w:t>Inlichtingen</w:t>
      </w:r>
      <w:proofErr w:type="spellEnd"/>
      <w:r w:rsidRPr="000C104A">
        <w:rPr>
          <w:sz w:val="18"/>
          <w:szCs w:val="18"/>
        </w:rPr>
        <w:t xml:space="preserve">- en </w:t>
      </w:r>
      <w:proofErr w:type="spellStart"/>
      <w:r w:rsidRPr="000C104A">
        <w:rPr>
          <w:sz w:val="18"/>
          <w:szCs w:val="18"/>
        </w:rPr>
        <w:t>Veili</w:t>
      </w:r>
      <w:r>
        <w:rPr>
          <w:sz w:val="18"/>
          <w:szCs w:val="18"/>
        </w:rPr>
        <w:t>gheidsdiensten</w:t>
      </w:r>
      <w:proofErr w:type="spellEnd"/>
      <w:r>
        <w:rPr>
          <w:sz w:val="18"/>
          <w:szCs w:val="18"/>
        </w:rPr>
        <w:t>), Hollanda askerî</w:t>
      </w:r>
      <w:r w:rsidRPr="000C104A">
        <w:rPr>
          <w:sz w:val="18"/>
          <w:szCs w:val="18"/>
        </w:rPr>
        <w:t xml:space="preserve"> ve sivil istihbarat teşkilatları ile güvenlik birimlerinin </w:t>
      </w:r>
      <w:r w:rsidRPr="005A59D8">
        <w:rPr>
          <w:sz w:val="18"/>
          <w:szCs w:val="18"/>
        </w:rPr>
        <w:t>eylem ve işlemlerini</w:t>
      </w:r>
      <w:r w:rsidRPr="000C104A">
        <w:rPr>
          <w:sz w:val="18"/>
          <w:szCs w:val="18"/>
        </w:rPr>
        <w:t xml:space="preserve"> denetleyen yargısal güce sahip denetim organıdır. Kurumun hukuki denetim görevinin yanında istihbarat ve güvenlik birimlerinin performans ve verimlilikleri üzerine yıllık raporlar üzerine hazırlama ve ilgili bakanlara tavsiyede bulunma gibi görevleri de bulunmaktadır. Hollanda idari teşkilatı dışında teşkilatlanmış olan kurumun üyeleri yüksek yargı organları genel kurullarınca seçilmektedir</w:t>
      </w:r>
      <w:r>
        <w:rPr>
          <w:sz w:val="18"/>
          <w:szCs w:val="18"/>
        </w:rPr>
        <w:t xml:space="preserve"> (</w:t>
      </w:r>
      <w:r w:rsidRPr="000C104A">
        <w:rPr>
          <w:color w:val="0000FF"/>
          <w:sz w:val="18"/>
          <w:szCs w:val="18"/>
          <w:u w:val="single"/>
        </w:rPr>
        <w:t>https://english.ctivd.nl/</w:t>
      </w:r>
      <w:r>
        <w:rPr>
          <w:color w:val="0000FF"/>
          <w:sz w:val="18"/>
          <w:szCs w:val="18"/>
          <w:u w:val="single"/>
        </w:rPr>
        <w:t>)</w:t>
      </w:r>
      <w:r>
        <w:rPr>
          <w:sz w:val="18"/>
          <w:szCs w:val="18"/>
        </w:rPr>
        <w:t>.</w:t>
      </w:r>
      <w:r w:rsidRPr="000C104A">
        <w:rPr>
          <w:sz w:val="18"/>
          <w:szCs w:val="18"/>
        </w:rPr>
        <w:t xml:space="preserve"> </w:t>
      </w:r>
    </w:p>
  </w:footnote>
  <w:footnote w:id="5">
    <w:p w:rsidR="008F5AA1" w:rsidRPr="000C104A" w:rsidRDefault="008F5AA1" w:rsidP="0090687A">
      <w:pPr>
        <w:pStyle w:val="DipnotMetni"/>
        <w:jc w:val="both"/>
        <w:rPr>
          <w:sz w:val="18"/>
          <w:szCs w:val="18"/>
        </w:rPr>
      </w:pPr>
      <w:r w:rsidRPr="000C104A">
        <w:rPr>
          <w:rStyle w:val="DipnotBavurusu"/>
          <w:sz w:val="18"/>
          <w:szCs w:val="18"/>
        </w:rPr>
        <w:footnoteRef/>
      </w:r>
      <w:r w:rsidRPr="000C104A">
        <w:rPr>
          <w:sz w:val="18"/>
          <w:szCs w:val="18"/>
        </w:rPr>
        <w:t xml:space="preserve"> IPT (</w:t>
      </w:r>
      <w:bookmarkStart w:id="13" w:name="_Hlk40020956"/>
      <w:r w:rsidRPr="000C104A">
        <w:rPr>
          <w:sz w:val="18"/>
          <w:szCs w:val="18"/>
        </w:rPr>
        <w:t>The Investigatory Powers Tribunal</w:t>
      </w:r>
      <w:bookmarkEnd w:id="13"/>
      <w:r w:rsidRPr="000C104A">
        <w:rPr>
          <w:sz w:val="18"/>
          <w:szCs w:val="18"/>
        </w:rPr>
        <w:t>), gizli gözetim yöntemlerini kullanarak bir kamu otoritesi tarafından mağdur oldukları kanaatinde olan herkese düzeltme hakkı sağlamak için hükümetten bağımsız çalışan bir yargı organıdır. Mahkeme, Birleşik Krallığı’n AİHS kapsamındaki yükümlülüklerini yerine getirmesini sağlamak üzere kurulmuştur ve bütün gizli gözetim yöntemleriyle ilgili ihlal kararı vermeye yetkilidir. 2005 yılında yapılan değişikliklerle hiçbir Hükümet organının mahkeme soruşturmasına müdahale edemeyeceği veya kararlarını etkileyemeyeceği kayıt altına alınmıştır</w:t>
      </w:r>
      <w:r>
        <w:rPr>
          <w:sz w:val="18"/>
          <w:szCs w:val="18"/>
        </w:rPr>
        <w:t xml:space="preserve"> (</w:t>
      </w:r>
      <w:hyperlink r:id="rId1" w:history="1">
        <w:r w:rsidRPr="0055330C">
          <w:rPr>
            <w:rStyle w:val="Kpr"/>
            <w:sz w:val="18"/>
            <w:szCs w:val="18"/>
          </w:rPr>
          <w:t>https://www.ipt-uk.com/</w:t>
        </w:r>
      </w:hyperlink>
      <w:r>
        <w:rPr>
          <w:sz w:val="18"/>
          <w:szCs w:val="18"/>
        </w:rPr>
        <w:t>).</w:t>
      </w:r>
    </w:p>
  </w:footnote>
  <w:footnote w:id="6">
    <w:p w:rsidR="008F5AA1" w:rsidRPr="005E3CD3" w:rsidRDefault="008F5AA1" w:rsidP="0090687A">
      <w:pPr>
        <w:pStyle w:val="DipnotMetni"/>
        <w:jc w:val="both"/>
        <w:rPr>
          <w:sz w:val="18"/>
          <w:szCs w:val="18"/>
        </w:rPr>
      </w:pPr>
      <w:r w:rsidRPr="000C104A">
        <w:rPr>
          <w:rStyle w:val="DipnotBavurusu"/>
          <w:sz w:val="18"/>
          <w:szCs w:val="18"/>
        </w:rPr>
        <w:footnoteRef/>
      </w:r>
      <w:r w:rsidRPr="000C104A">
        <w:rPr>
          <w:sz w:val="18"/>
          <w:szCs w:val="18"/>
        </w:rPr>
        <w:t xml:space="preserve"> </w:t>
      </w:r>
      <w:r w:rsidRPr="005E3CD3">
        <w:rPr>
          <w:i/>
          <w:iCs/>
          <w:sz w:val="18"/>
          <w:szCs w:val="18"/>
        </w:rPr>
        <w:t>Chilling Effect</w:t>
      </w:r>
      <w:r w:rsidRPr="005E3CD3">
        <w:rPr>
          <w:sz w:val="18"/>
          <w:szCs w:val="18"/>
        </w:rPr>
        <w:t xml:space="preserve"> /Caydırıcı Etki: Bir hakkın, idarenin haksız bir eylem veya işlemine maruz kalma korkusuyla tam veya kısmen kullanılamaması veya haktan vazgeçilmesi olarak tanımlanabilir. Kavrama ilişkin daha ayrıntılı bilgi için;</w:t>
      </w:r>
    </w:p>
    <w:p w:rsidR="008F5AA1" w:rsidRPr="005E3CD3" w:rsidRDefault="008F5AA1" w:rsidP="0090687A">
      <w:pPr>
        <w:pStyle w:val="DipnotMetni"/>
        <w:jc w:val="both"/>
        <w:rPr>
          <w:sz w:val="18"/>
          <w:szCs w:val="18"/>
        </w:rPr>
      </w:pPr>
      <w:bookmarkStart w:id="14" w:name="_Hlk33098749"/>
      <w:r w:rsidRPr="005E3CD3">
        <w:rPr>
          <w:sz w:val="18"/>
          <w:szCs w:val="18"/>
        </w:rPr>
        <w:t xml:space="preserve">The Chilling Effect in Constitutional Law. (1969). Columbia Law Review, 69(5), 808-842. </w:t>
      </w:r>
    </w:p>
    <w:p w:rsidR="008F5AA1" w:rsidRPr="000C104A" w:rsidRDefault="008F5AA1" w:rsidP="0090687A">
      <w:pPr>
        <w:pStyle w:val="DipnotMetni"/>
        <w:jc w:val="both"/>
        <w:rPr>
          <w:sz w:val="18"/>
          <w:szCs w:val="18"/>
        </w:rPr>
      </w:pPr>
      <w:r w:rsidRPr="005E3CD3">
        <w:rPr>
          <w:sz w:val="18"/>
          <w:szCs w:val="18"/>
        </w:rPr>
        <w:t xml:space="preserve">Marder, B. vd., (2016). The extended ‘chilling’ effect of Facebook: The cold reality of ubiquitous social networking. </w:t>
      </w:r>
      <w:r w:rsidRPr="005E3CD3">
        <w:rPr>
          <w:i/>
          <w:iCs/>
          <w:sz w:val="18"/>
          <w:szCs w:val="18"/>
        </w:rPr>
        <w:t>Computers in Human Behavior</w:t>
      </w:r>
      <w:r w:rsidRPr="005E3CD3">
        <w:rPr>
          <w:sz w:val="18"/>
          <w:szCs w:val="18"/>
        </w:rPr>
        <w:t>, 60, 582-592.</w:t>
      </w:r>
      <w:bookmarkEnd w:id="14"/>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F" w:rsidRDefault="002C474F">
    <w:pPr>
      <w:pStyle w:val="stbilgi"/>
    </w:pPr>
  </w:p>
  <w:p w:rsidR="002C474F" w:rsidRDefault="002C474F">
    <w:pPr>
      <w:pStyle w:val="stbilgi"/>
    </w:pPr>
  </w:p>
  <w:p w:rsidR="002C474F" w:rsidRDefault="002C474F">
    <w:pPr>
      <w:pStyle w:val="stbilgi"/>
    </w:pPr>
  </w:p>
  <w:p w:rsidR="002C474F" w:rsidRDefault="002C474F">
    <w:pPr>
      <w:pStyle w:val="stbilgi"/>
    </w:pPr>
    <w:sdt>
      <w:sdtPr>
        <w:id w:val="1071784128"/>
        <w:docPartObj>
          <w:docPartGallery w:val="Page Numbers (Top of Page)"/>
          <w:docPartUnique/>
        </w:docPartObj>
      </w:sdtPr>
      <w:sdtContent>
        <w:r>
          <w:fldChar w:fldCharType="begin"/>
        </w:r>
        <w:r>
          <w:instrText>PAGE   \* MERGEFORMAT</w:instrText>
        </w:r>
        <w:r>
          <w:fldChar w:fldCharType="separate"/>
        </w:r>
        <w:r w:rsidR="008C7CE3">
          <w:rPr>
            <w:noProof/>
          </w:rPr>
          <w:t>190</w:t>
        </w:r>
        <w:r>
          <w:fldChar w:fldCharType="end"/>
        </w:r>
        <w:r>
          <w:t xml:space="preserve">                                                                                                                                   </w:t>
        </w:r>
        <w:r w:rsidRPr="002C474F">
          <w:rPr>
            <w:i/>
          </w:rPr>
          <w:t>Güzey</w:t>
        </w:r>
      </w:sdtContent>
    </w:sdt>
  </w:p>
  <w:p w:rsidR="008F5AA1" w:rsidRDefault="008F5AA1" w:rsidP="00F134BF">
    <w:pPr>
      <w:pStyle w:val="stbilgi"/>
      <w:tabs>
        <w:tab w:val="clear" w:pos="4536"/>
        <w:tab w:val="clear" w:pos="9072"/>
        <w:tab w:val="left" w:pos="80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F" w:rsidRDefault="002C474F">
    <w:pPr>
      <w:pStyle w:val="stbilgi"/>
      <w:jc w:val="right"/>
    </w:pPr>
    <w:r>
      <w:t xml:space="preserve">  </w:t>
    </w:r>
  </w:p>
  <w:p w:rsidR="002C474F" w:rsidRDefault="002C474F">
    <w:pPr>
      <w:pStyle w:val="stbilgi"/>
      <w:jc w:val="right"/>
    </w:pPr>
  </w:p>
  <w:p w:rsidR="002C474F" w:rsidRDefault="002C474F">
    <w:pPr>
      <w:pStyle w:val="stbilgi"/>
      <w:jc w:val="right"/>
    </w:pPr>
  </w:p>
  <w:p w:rsidR="002C474F" w:rsidRDefault="002C474F">
    <w:pPr>
      <w:pStyle w:val="stbilgi"/>
      <w:jc w:val="right"/>
    </w:pPr>
    <w:r w:rsidRPr="00924FF1">
      <w:rPr>
        <w:i/>
      </w:rPr>
      <w:t>SAV</w:t>
    </w:r>
    <w:r>
      <w:rPr>
        <w:i/>
      </w:rPr>
      <w:t>SAD, Aralık 2020, 30</w:t>
    </w:r>
    <w:r w:rsidRPr="00924FF1">
      <w:rPr>
        <w:i/>
      </w:rPr>
      <w:t>(2),</w:t>
    </w:r>
    <w:r>
      <w:rPr>
        <w:i/>
      </w:rPr>
      <w:t>1</w:t>
    </w:r>
    <w:r>
      <w:rPr>
        <w:i/>
      </w:rPr>
      <w:t>79</w:t>
    </w:r>
    <w:r w:rsidRPr="00924FF1">
      <w:rPr>
        <w:i/>
      </w:rPr>
      <w:t>-</w:t>
    </w:r>
    <w:r>
      <w:rPr>
        <w:i/>
      </w:rPr>
      <w:t>20</w:t>
    </w:r>
    <w:r>
      <w:rPr>
        <w:i/>
      </w:rPr>
      <w:t>8</w:t>
    </w:r>
    <w:r>
      <w:rPr>
        <w:i/>
      </w:rPr>
      <w:t xml:space="preserve">                                                                               </w:t>
    </w:r>
    <w:sdt>
      <w:sdtPr>
        <w:id w:val="87354241"/>
        <w:docPartObj>
          <w:docPartGallery w:val="Page Numbers (Top of Page)"/>
          <w:docPartUnique/>
        </w:docPartObj>
      </w:sdtPr>
      <w:sdtContent>
        <w:r>
          <w:fldChar w:fldCharType="begin"/>
        </w:r>
        <w:r>
          <w:instrText>PAGE   \* MERGEFORMAT</w:instrText>
        </w:r>
        <w:r>
          <w:fldChar w:fldCharType="separate"/>
        </w:r>
        <w:r w:rsidR="008C7CE3">
          <w:rPr>
            <w:noProof/>
          </w:rPr>
          <w:t>189</w:t>
        </w:r>
        <w:r>
          <w:fldChar w:fldCharType="end"/>
        </w:r>
      </w:sdtContent>
    </w:sdt>
  </w:p>
  <w:p w:rsidR="008F5AA1" w:rsidRDefault="008F5AA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u w:color="000000"/>
        <w:lang w:eastAsia="tr-TR"/>
      </w:rPr>
      <w:id w:val="-409388017"/>
      <w:docPartObj>
        <w:docPartGallery w:val="Page Numbers (Top of Page)"/>
        <w:docPartUnique/>
      </w:docPartObj>
    </w:sdtPr>
    <w:sdtEndPr>
      <w:rPr>
        <w:color w:val="auto"/>
        <w:lang w:eastAsia="en-US"/>
      </w:rPr>
    </w:sdtEndPr>
    <w:sdtContent>
      <w:sdt>
        <w:sdtPr>
          <w:rPr>
            <w:color w:val="000000"/>
            <w:u w:color="000000"/>
            <w:lang w:eastAsia="tr-TR"/>
          </w:rPr>
          <w:id w:val="-695157797"/>
          <w:docPartObj>
            <w:docPartGallery w:val="Page Numbers (Top of Page)"/>
            <w:docPartUnique/>
          </w:docPartObj>
        </w:sdtPr>
        <w:sdtEndPr>
          <w:rPr>
            <w:color w:val="auto"/>
            <w:lang w:eastAsia="en-US"/>
          </w:rPr>
        </w:sdtEndPr>
        <w:sdtContent>
          <w:sdt>
            <w:sdtPr>
              <w:rPr>
                <w:color w:val="000000"/>
                <w:sz w:val="18"/>
                <w:u w:color="000000"/>
                <w:lang w:eastAsia="tr-TR"/>
              </w:rPr>
              <w:id w:val="-1734529849"/>
              <w:docPartObj>
                <w:docPartGallery w:val="Page Numbers (Top of Page)"/>
                <w:docPartUnique/>
              </w:docPartObj>
            </w:sdtPr>
            <w:sdtEndPr>
              <w:rPr>
                <w:color w:val="auto"/>
                <w:lang w:eastAsia="en-US"/>
              </w:rPr>
            </w:sdtEndPr>
            <w:sdtContent>
              <w:p w:rsidR="008C7CE3" w:rsidRPr="007316E3" w:rsidRDefault="008C7CE3" w:rsidP="008C7CE3">
                <w:pPr>
                  <w:tabs>
                    <w:tab w:val="center" w:pos="4536"/>
                    <w:tab w:val="right" w:pos="9072"/>
                  </w:tabs>
                  <w:spacing w:after="0" w:line="240" w:lineRule="auto"/>
                  <w:rPr>
                    <w:sz w:val="18"/>
                  </w:rPr>
                </w:pPr>
              </w:p>
              <w:p w:rsidR="008C7CE3" w:rsidRPr="007316E3" w:rsidRDefault="008C7CE3" w:rsidP="008C7CE3">
                <w:pPr>
                  <w:tabs>
                    <w:tab w:val="center" w:pos="4536"/>
                    <w:tab w:val="right" w:pos="9072"/>
                  </w:tabs>
                  <w:spacing w:after="0" w:line="240" w:lineRule="auto"/>
                  <w:rPr>
                    <w:b/>
                    <w:i/>
                    <w:color w:val="000000"/>
                    <w:sz w:val="18"/>
                    <w:u w:color="000000"/>
                  </w:rPr>
                </w:pPr>
              </w:p>
              <w:p w:rsidR="008C7CE3" w:rsidRPr="007316E3" w:rsidRDefault="008C7CE3" w:rsidP="008C7CE3">
                <w:pPr>
                  <w:tabs>
                    <w:tab w:val="center" w:pos="4536"/>
                    <w:tab w:val="right" w:pos="9072"/>
                  </w:tabs>
                  <w:spacing w:after="0" w:line="240" w:lineRule="auto"/>
                  <w:rPr>
                    <w:b/>
                    <w:i/>
                    <w:color w:val="000000"/>
                    <w:sz w:val="18"/>
                    <w:u w:color="000000"/>
                  </w:rPr>
                </w:pPr>
                <w:r>
                  <w:rPr>
                    <w:noProof/>
                    <w:lang w:eastAsia="tr-TR"/>
                  </w:rPr>
                  <w:pict>
                    <v:shapetype id="_x0000_t202" coordsize="21600,21600" o:spt="202" path="m,l,21600r21600,l21600,xe">
                      <v:stroke joinstyle="miter"/>
                      <v:path gradientshapeok="t" o:connecttype="rect"/>
                    </v:shapetype>
                    <v:shape id="Metin Kutusu 2" o:spid="_x0000_s8197" type="#_x0000_t202" style="position:absolute;margin-left:309.75pt;margin-top:4.35pt;width:59.1pt;height:57.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" strokecolor="white [3212]">
                      <v:textbox>
                        <w:txbxContent>
                          <w:p w:rsidR="008C7CE3" w:rsidRDefault="008C7CE3" w:rsidP="008C7CE3">
                            <w:r w:rsidRPr="00264B3B">
                              <w:rPr>
                                <w:noProof/>
                                <w:lang w:eastAsia="tr-TR"/>
                              </w:rPr>
                              <w:drawing>
                                <wp:inline distT="0" distB="0" distL="0" distR="0" wp14:anchorId="75FFDA40" wp14:editId="7364BAC3">
                                  <wp:extent cx="543464" cy="571095"/>
                                  <wp:effectExtent l="0" t="0" r="9525" b="635"/>
                                  <wp:docPr id="1028" name="Picture 4" descr="milli savunma üni logo ile ilgili görsel sonuc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milli savunma üni logo ile ilgili görsel sonuc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8044" cy="575908"/>
                                          </a:xfrm>
                                          <a:prstGeom prst="rect">
                                            <a:avLst/>
                                          </a:prstGeom>
                                          <a:noFill/>
                                          <a:extLst/>
                                        </pic:spPr>
                                      </pic:pic>
                                    </a:graphicData>
                                  </a:graphic>
                                </wp:inline>
                              </w:drawing>
                            </w:r>
                          </w:p>
                        </w:txbxContent>
                      </v:textbox>
                    </v:shape>
                  </w:pict>
                </w:r>
              </w:p>
              <w:p w:rsidR="008C7CE3" w:rsidRPr="007316E3" w:rsidRDefault="008C7CE3" w:rsidP="008C7CE3">
                <w:pPr>
                  <w:tabs>
                    <w:tab w:val="center" w:pos="4536"/>
                    <w:tab w:val="right" w:pos="9072"/>
                  </w:tabs>
                  <w:spacing w:after="0" w:line="240" w:lineRule="auto"/>
                  <w:rPr>
                    <w:b/>
                    <w:color w:val="000000"/>
                    <w:sz w:val="18"/>
                    <w:u w:color="000000"/>
                  </w:rPr>
                </w:pPr>
                <w:r w:rsidRPr="007316E3">
                  <w:rPr>
                    <w:b/>
                    <w:i/>
                    <w:color w:val="000000"/>
                    <w:sz w:val="18"/>
                    <w:u w:color="000000"/>
                  </w:rPr>
                  <w:t>SAVSAD Savunma ve Savaş Araştırmaları Dergisi</w:t>
                </w:r>
                <w:r w:rsidRPr="007316E3">
                  <w:rPr>
                    <w:b/>
                    <w:color w:val="000000"/>
                    <w:sz w:val="18"/>
                    <w:u w:color="000000"/>
                  </w:rPr>
                  <w:t xml:space="preserve"> </w:t>
                </w:r>
              </w:p>
              <w:p w:rsidR="008C7CE3" w:rsidRPr="007316E3" w:rsidRDefault="008C7CE3" w:rsidP="008C7CE3">
                <w:pPr>
                  <w:tabs>
                    <w:tab w:val="center" w:pos="4536"/>
                    <w:tab w:val="right" w:pos="9072"/>
                  </w:tabs>
                  <w:spacing w:after="0" w:line="240" w:lineRule="auto"/>
                  <w:rPr>
                    <w:b/>
                    <w:i/>
                    <w:color w:val="000000"/>
                    <w:sz w:val="18"/>
                    <w:u w:color="000000"/>
                  </w:rPr>
                </w:pPr>
                <w:proofErr w:type="spellStart"/>
                <w:r w:rsidRPr="007316E3">
                  <w:rPr>
                    <w:b/>
                    <w:i/>
                    <w:color w:val="000000"/>
                    <w:sz w:val="18"/>
                    <w:u w:color="000000"/>
                  </w:rPr>
                  <w:t>The</w:t>
                </w:r>
                <w:proofErr w:type="spellEnd"/>
                <w:r w:rsidRPr="007316E3">
                  <w:rPr>
                    <w:b/>
                    <w:i/>
                    <w:color w:val="000000"/>
                    <w:sz w:val="18"/>
                    <w:u w:color="000000"/>
                  </w:rPr>
                  <w:t xml:space="preserve"> </w:t>
                </w:r>
                <w:proofErr w:type="spellStart"/>
                <w:r w:rsidRPr="007316E3">
                  <w:rPr>
                    <w:b/>
                    <w:i/>
                    <w:color w:val="000000"/>
                    <w:sz w:val="18"/>
                    <w:u w:color="000000"/>
                  </w:rPr>
                  <w:t>Journal</w:t>
                </w:r>
                <w:proofErr w:type="spellEnd"/>
                <w:r w:rsidRPr="007316E3">
                  <w:rPr>
                    <w:b/>
                    <w:i/>
                    <w:color w:val="000000"/>
                    <w:sz w:val="18"/>
                    <w:u w:color="000000"/>
                  </w:rPr>
                  <w:t xml:space="preserve"> of </w:t>
                </w:r>
                <w:proofErr w:type="spellStart"/>
                <w:r w:rsidRPr="007316E3">
                  <w:rPr>
                    <w:b/>
                    <w:i/>
                    <w:color w:val="000000"/>
                    <w:sz w:val="18"/>
                    <w:u w:color="000000"/>
                  </w:rPr>
                  <w:t>Defence</w:t>
                </w:r>
                <w:proofErr w:type="spellEnd"/>
                <w:r w:rsidRPr="007316E3">
                  <w:rPr>
                    <w:b/>
                    <w:i/>
                    <w:color w:val="000000"/>
                    <w:sz w:val="18"/>
                    <w:u w:color="000000"/>
                  </w:rPr>
                  <w:t xml:space="preserve"> </w:t>
                </w:r>
                <w:proofErr w:type="spellStart"/>
                <w:r w:rsidRPr="007316E3">
                  <w:rPr>
                    <w:b/>
                    <w:i/>
                    <w:color w:val="000000"/>
                    <w:sz w:val="18"/>
                    <w:u w:color="000000"/>
                  </w:rPr>
                  <w:t>and</w:t>
                </w:r>
                <w:proofErr w:type="spellEnd"/>
                <w:r w:rsidRPr="007316E3">
                  <w:rPr>
                    <w:b/>
                    <w:i/>
                    <w:color w:val="000000"/>
                    <w:sz w:val="18"/>
                    <w:u w:color="000000"/>
                  </w:rPr>
                  <w:t xml:space="preserve"> </w:t>
                </w:r>
                <w:proofErr w:type="spellStart"/>
                <w:r w:rsidRPr="007316E3">
                  <w:rPr>
                    <w:b/>
                    <w:i/>
                    <w:color w:val="000000"/>
                    <w:sz w:val="18"/>
                    <w:u w:color="000000"/>
                  </w:rPr>
                  <w:t>War</w:t>
                </w:r>
                <w:proofErr w:type="spellEnd"/>
                <w:r w:rsidRPr="007316E3">
                  <w:rPr>
                    <w:b/>
                    <w:i/>
                    <w:color w:val="000000"/>
                    <w:sz w:val="18"/>
                    <w:u w:color="000000"/>
                  </w:rPr>
                  <w:t xml:space="preserve"> </w:t>
                </w:r>
                <w:proofErr w:type="spellStart"/>
                <w:r w:rsidRPr="007316E3">
                  <w:rPr>
                    <w:b/>
                    <w:i/>
                    <w:color w:val="000000"/>
                    <w:sz w:val="18"/>
                    <w:u w:color="000000"/>
                  </w:rPr>
                  <w:t>Studies</w:t>
                </w:r>
                <w:proofErr w:type="spellEnd"/>
                <w:r w:rsidRPr="007316E3">
                  <w:rPr>
                    <w:b/>
                    <w:i/>
                    <w:color w:val="000000"/>
                    <w:sz w:val="18"/>
                    <w:u w:color="000000"/>
                  </w:rPr>
                  <w:t xml:space="preserve"> </w:t>
                </w:r>
              </w:p>
              <w:p w:rsidR="008C7CE3" w:rsidRPr="007316E3" w:rsidRDefault="008C7CE3" w:rsidP="008C7CE3">
                <w:pPr>
                  <w:tabs>
                    <w:tab w:val="center" w:pos="4536"/>
                    <w:tab w:val="right" w:pos="9072"/>
                  </w:tabs>
                  <w:spacing w:after="0" w:line="240" w:lineRule="auto"/>
                  <w:rPr>
                    <w:i/>
                    <w:color w:val="000000"/>
                    <w:sz w:val="18"/>
                    <w:u w:color="000000"/>
                  </w:rPr>
                </w:pPr>
                <w:r w:rsidRPr="007316E3">
                  <w:rPr>
                    <w:i/>
                    <w:color w:val="000000"/>
                    <w:sz w:val="18"/>
                    <w:u w:color="000000"/>
                  </w:rPr>
                  <w:t xml:space="preserve">Aralık /Fall 2020, </w:t>
                </w:r>
                <w:r>
                  <w:rPr>
                    <w:i/>
                    <w:color w:val="000000"/>
                    <w:sz w:val="18"/>
                    <w:u w:color="000000"/>
                  </w:rPr>
                  <w:t>Cilt/Volume 30, Sayı/</w:t>
                </w:r>
                <w:proofErr w:type="spellStart"/>
                <w:r w:rsidRPr="007316E3">
                  <w:rPr>
                    <w:i/>
                    <w:color w:val="000000"/>
                    <w:sz w:val="18"/>
                    <w:u w:color="000000"/>
                  </w:rPr>
                  <w:t>Issue</w:t>
                </w:r>
                <w:proofErr w:type="spellEnd"/>
                <w:r w:rsidRPr="007316E3">
                  <w:rPr>
                    <w:i/>
                    <w:color w:val="000000"/>
                    <w:sz w:val="18"/>
                    <w:u w:color="000000"/>
                  </w:rPr>
                  <w:t xml:space="preserve"> 2, </w:t>
                </w:r>
                <w:r>
                  <w:rPr>
                    <w:i/>
                    <w:color w:val="000000"/>
                    <w:sz w:val="18"/>
                    <w:u w:color="000000"/>
                  </w:rPr>
                  <w:t>1</w:t>
                </w:r>
                <w:r>
                  <w:rPr>
                    <w:i/>
                    <w:color w:val="000000"/>
                    <w:sz w:val="18"/>
                    <w:u w:color="000000"/>
                  </w:rPr>
                  <w:t>79</w:t>
                </w:r>
                <w:r w:rsidRPr="007316E3">
                  <w:rPr>
                    <w:i/>
                    <w:color w:val="000000"/>
                    <w:sz w:val="18"/>
                    <w:u w:color="000000"/>
                  </w:rPr>
                  <w:t>-</w:t>
                </w:r>
                <w:r>
                  <w:rPr>
                    <w:i/>
                    <w:color w:val="000000"/>
                    <w:sz w:val="18"/>
                    <w:u w:color="000000"/>
                  </w:rPr>
                  <w:t>20</w:t>
                </w:r>
                <w:r>
                  <w:rPr>
                    <w:i/>
                    <w:color w:val="000000"/>
                    <w:sz w:val="18"/>
                    <w:u w:color="000000"/>
                  </w:rPr>
                  <w:t>8</w:t>
                </w:r>
                <w:r w:rsidRPr="007316E3">
                  <w:rPr>
                    <w:i/>
                    <w:color w:val="000000"/>
                    <w:sz w:val="18"/>
                    <w:u w:color="000000"/>
                  </w:rPr>
                  <w:t>.</w:t>
                </w:r>
              </w:p>
              <w:p w:rsidR="008C7CE3" w:rsidRPr="007316E3" w:rsidRDefault="008C7CE3" w:rsidP="008C7CE3">
                <w:pPr>
                  <w:pStyle w:val="stbilgi"/>
                  <w:tabs>
                    <w:tab w:val="left" w:pos="4536"/>
                  </w:tabs>
                  <w:rPr>
                    <w:i/>
                    <w:sz w:val="18"/>
                  </w:rPr>
                </w:pPr>
                <w:r w:rsidRPr="007316E3">
                  <w:rPr>
                    <w:i/>
                    <w:sz w:val="18"/>
                  </w:rPr>
                  <w:t>ISSN: 2718-</w:t>
                </w:r>
                <w:proofErr w:type="gramStart"/>
                <w:r w:rsidRPr="007316E3">
                  <w:rPr>
                    <w:i/>
                    <w:sz w:val="18"/>
                  </w:rPr>
                  <w:t>0301           E</w:t>
                </w:r>
                <w:proofErr w:type="gramEnd"/>
                <w:r w:rsidRPr="007316E3">
                  <w:rPr>
                    <w:i/>
                    <w:sz w:val="18"/>
                  </w:rPr>
                  <w:t>- ISSN: 2718-0700</w:t>
                </w:r>
              </w:p>
              <w:p w:rsidR="008C7CE3" w:rsidRPr="007316E3" w:rsidRDefault="008C7CE3" w:rsidP="008C7CE3">
                <w:pPr>
                  <w:pStyle w:val="stbilgi"/>
                  <w:tabs>
                    <w:tab w:val="left" w:pos="4536"/>
                  </w:tabs>
                  <w:rPr>
                    <w:sz w:val="18"/>
                  </w:rPr>
                </w:pPr>
              </w:p>
            </w:sdtContent>
          </w:sdt>
        </w:sdtContent>
      </w:sdt>
    </w:sdtContent>
  </w:sdt>
  <w:p w:rsidR="008C7CE3" w:rsidRDefault="008C7CE3">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74F" w:rsidRDefault="002C474F">
    <w:pPr>
      <w:pStyle w:val="stbilgi"/>
      <w:jc w:val="right"/>
      <w:rPr>
        <w:i/>
      </w:rPr>
    </w:pPr>
  </w:p>
  <w:p w:rsidR="002C474F" w:rsidRDefault="002C474F">
    <w:pPr>
      <w:pStyle w:val="stbilgi"/>
      <w:jc w:val="right"/>
      <w:rPr>
        <w:i/>
      </w:rPr>
    </w:pPr>
  </w:p>
  <w:p w:rsidR="002C474F" w:rsidRDefault="002C474F">
    <w:pPr>
      <w:pStyle w:val="stbilgi"/>
      <w:jc w:val="right"/>
      <w:rPr>
        <w:i/>
      </w:rPr>
    </w:pPr>
  </w:p>
  <w:p w:rsidR="002C474F" w:rsidRDefault="002C474F">
    <w:pPr>
      <w:pStyle w:val="stbilgi"/>
      <w:jc w:val="right"/>
    </w:pPr>
    <w:r w:rsidRPr="00924FF1">
      <w:rPr>
        <w:i/>
      </w:rPr>
      <w:t>SAV</w:t>
    </w:r>
    <w:r>
      <w:rPr>
        <w:i/>
      </w:rPr>
      <w:t>SAD, Aralık 2020, 30</w:t>
    </w:r>
    <w:r w:rsidRPr="00924FF1">
      <w:rPr>
        <w:i/>
      </w:rPr>
      <w:t>(2),</w:t>
    </w:r>
    <w:r>
      <w:rPr>
        <w:i/>
      </w:rPr>
      <w:t>179</w:t>
    </w:r>
    <w:r w:rsidRPr="00924FF1">
      <w:rPr>
        <w:i/>
      </w:rPr>
      <w:t>-</w:t>
    </w:r>
    <w:r>
      <w:rPr>
        <w:i/>
      </w:rPr>
      <w:t>208</w:t>
    </w:r>
    <w:r>
      <w:rPr>
        <w:i/>
      </w:rPr>
      <w:t xml:space="preserve">                                                                                </w:t>
    </w:r>
    <w:r>
      <w:t xml:space="preserve"> </w:t>
    </w:r>
    <w:sdt>
      <w:sdtPr>
        <w:id w:val="-338699582"/>
        <w:docPartObj>
          <w:docPartGallery w:val="Page Numbers (Top of Page)"/>
          <w:docPartUnique/>
        </w:docPartObj>
      </w:sdtPr>
      <w:sdtContent>
        <w:r>
          <w:fldChar w:fldCharType="begin"/>
        </w:r>
        <w:r>
          <w:instrText>PAGE   \* MERGEFORMAT</w:instrText>
        </w:r>
        <w:r>
          <w:fldChar w:fldCharType="separate"/>
        </w:r>
        <w:r w:rsidR="008C7CE3">
          <w:rPr>
            <w:noProof/>
          </w:rPr>
          <w:t>185</w:t>
        </w:r>
        <w:r>
          <w:fldChar w:fldCharType="end"/>
        </w:r>
      </w:sdtContent>
    </w:sdt>
  </w:p>
  <w:p w:rsidR="002C474F" w:rsidRDefault="002C474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5A26"/>
    <w:multiLevelType w:val="hybridMultilevel"/>
    <w:tmpl w:val="D4066B8A"/>
    <w:lvl w:ilvl="0" w:tplc="81760088">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hdrShapeDefaults>
    <o:shapedefaults v:ext="edit" spidmax="8198"/>
    <o:shapelayout v:ext="edit">
      <o:idmap v:ext="edit" data="8"/>
    </o:shapelayout>
  </w:hdrShapeDefaults>
  <w:footnotePr>
    <w:numFmt w:val="chicago"/>
    <w:numStart w:val="5"/>
    <w:footnote w:id="-1"/>
    <w:footnote w:id="0"/>
  </w:footnotePr>
  <w:endnotePr>
    <w:numFmt w:val="chicago"/>
    <w:endnote w:id="-1"/>
    <w:endnote w:id="0"/>
  </w:endnotePr>
  <w:compat>
    <w:compatSetting w:name="compatibilityMode" w:uri="http://schemas.microsoft.com/office/word" w:val="12"/>
  </w:compat>
  <w:rsids>
    <w:rsidRoot w:val="00426307"/>
    <w:rsid w:val="000018E3"/>
    <w:rsid w:val="000041A4"/>
    <w:rsid w:val="0000624D"/>
    <w:rsid w:val="000119DE"/>
    <w:rsid w:val="00014791"/>
    <w:rsid w:val="00023F4F"/>
    <w:rsid w:val="0003103A"/>
    <w:rsid w:val="00032B38"/>
    <w:rsid w:val="00035F54"/>
    <w:rsid w:val="00046CB3"/>
    <w:rsid w:val="00047591"/>
    <w:rsid w:val="000530D2"/>
    <w:rsid w:val="00053913"/>
    <w:rsid w:val="000556A6"/>
    <w:rsid w:val="0005680A"/>
    <w:rsid w:val="000640EE"/>
    <w:rsid w:val="000667E2"/>
    <w:rsid w:val="000677D3"/>
    <w:rsid w:val="00074664"/>
    <w:rsid w:val="000768EB"/>
    <w:rsid w:val="00077F5D"/>
    <w:rsid w:val="00080D8B"/>
    <w:rsid w:val="00082467"/>
    <w:rsid w:val="0009650B"/>
    <w:rsid w:val="000A1911"/>
    <w:rsid w:val="000A1BED"/>
    <w:rsid w:val="000C104A"/>
    <w:rsid w:val="000C1686"/>
    <w:rsid w:val="000C1992"/>
    <w:rsid w:val="000C7505"/>
    <w:rsid w:val="000D478C"/>
    <w:rsid w:val="000E13F7"/>
    <w:rsid w:val="000E4635"/>
    <w:rsid w:val="000F1247"/>
    <w:rsid w:val="000F2022"/>
    <w:rsid w:val="000F49CB"/>
    <w:rsid w:val="000F5D31"/>
    <w:rsid w:val="001009D2"/>
    <w:rsid w:val="0010233E"/>
    <w:rsid w:val="00104279"/>
    <w:rsid w:val="00105E62"/>
    <w:rsid w:val="001071BF"/>
    <w:rsid w:val="00114825"/>
    <w:rsid w:val="001204EC"/>
    <w:rsid w:val="0012418A"/>
    <w:rsid w:val="00127092"/>
    <w:rsid w:val="001302D2"/>
    <w:rsid w:val="001358AF"/>
    <w:rsid w:val="001430D6"/>
    <w:rsid w:val="0014352F"/>
    <w:rsid w:val="001505B1"/>
    <w:rsid w:val="0016315E"/>
    <w:rsid w:val="001648E4"/>
    <w:rsid w:val="00165CB1"/>
    <w:rsid w:val="001742FD"/>
    <w:rsid w:val="001807B3"/>
    <w:rsid w:val="00182BC8"/>
    <w:rsid w:val="0018626D"/>
    <w:rsid w:val="00190384"/>
    <w:rsid w:val="00191648"/>
    <w:rsid w:val="00192065"/>
    <w:rsid w:val="00192F98"/>
    <w:rsid w:val="001954D6"/>
    <w:rsid w:val="001A4478"/>
    <w:rsid w:val="001B0D45"/>
    <w:rsid w:val="001B28DF"/>
    <w:rsid w:val="001B34F4"/>
    <w:rsid w:val="001B37A2"/>
    <w:rsid w:val="001B7FBF"/>
    <w:rsid w:val="001B7FEF"/>
    <w:rsid w:val="001C456A"/>
    <w:rsid w:val="001C6545"/>
    <w:rsid w:val="001D3FB8"/>
    <w:rsid w:val="001D5A15"/>
    <w:rsid w:val="001D5E77"/>
    <w:rsid w:val="001D6420"/>
    <w:rsid w:val="001D77FD"/>
    <w:rsid w:val="001E5DF2"/>
    <w:rsid w:val="001E7049"/>
    <w:rsid w:val="0020053F"/>
    <w:rsid w:val="0020503E"/>
    <w:rsid w:val="002050B7"/>
    <w:rsid w:val="00207FA3"/>
    <w:rsid w:val="00215F0D"/>
    <w:rsid w:val="00223F19"/>
    <w:rsid w:val="00231573"/>
    <w:rsid w:val="002361C8"/>
    <w:rsid w:val="002402B1"/>
    <w:rsid w:val="002518C9"/>
    <w:rsid w:val="00262403"/>
    <w:rsid w:val="00262F36"/>
    <w:rsid w:val="00263BF5"/>
    <w:rsid w:val="002768FD"/>
    <w:rsid w:val="00291392"/>
    <w:rsid w:val="0029262D"/>
    <w:rsid w:val="00293C60"/>
    <w:rsid w:val="00295ED6"/>
    <w:rsid w:val="002A083A"/>
    <w:rsid w:val="002A3E7A"/>
    <w:rsid w:val="002A6990"/>
    <w:rsid w:val="002A7758"/>
    <w:rsid w:val="002C474F"/>
    <w:rsid w:val="002C6E9B"/>
    <w:rsid w:val="002D232C"/>
    <w:rsid w:val="002D34E9"/>
    <w:rsid w:val="002D5A2A"/>
    <w:rsid w:val="002E0972"/>
    <w:rsid w:val="002F1BA7"/>
    <w:rsid w:val="002F57E7"/>
    <w:rsid w:val="003001DD"/>
    <w:rsid w:val="003165AF"/>
    <w:rsid w:val="00320946"/>
    <w:rsid w:val="00321258"/>
    <w:rsid w:val="00323484"/>
    <w:rsid w:val="00324B16"/>
    <w:rsid w:val="00325355"/>
    <w:rsid w:val="003329E0"/>
    <w:rsid w:val="00342BE8"/>
    <w:rsid w:val="00351010"/>
    <w:rsid w:val="0035425C"/>
    <w:rsid w:val="00355B83"/>
    <w:rsid w:val="00356029"/>
    <w:rsid w:val="00362067"/>
    <w:rsid w:val="00363C66"/>
    <w:rsid w:val="00373092"/>
    <w:rsid w:val="0038156E"/>
    <w:rsid w:val="00391D20"/>
    <w:rsid w:val="00394864"/>
    <w:rsid w:val="00394F5E"/>
    <w:rsid w:val="003B23B6"/>
    <w:rsid w:val="003B6BC6"/>
    <w:rsid w:val="003C4964"/>
    <w:rsid w:val="003C5F92"/>
    <w:rsid w:val="003C7C33"/>
    <w:rsid w:val="003F500E"/>
    <w:rsid w:val="003F64FD"/>
    <w:rsid w:val="00400461"/>
    <w:rsid w:val="00402EA2"/>
    <w:rsid w:val="0040511A"/>
    <w:rsid w:val="00405940"/>
    <w:rsid w:val="00414E26"/>
    <w:rsid w:val="004152DD"/>
    <w:rsid w:val="00416168"/>
    <w:rsid w:val="00421AFF"/>
    <w:rsid w:val="00422BDF"/>
    <w:rsid w:val="00422FC7"/>
    <w:rsid w:val="0042574D"/>
    <w:rsid w:val="00426307"/>
    <w:rsid w:val="00431527"/>
    <w:rsid w:val="00451E3E"/>
    <w:rsid w:val="0045427E"/>
    <w:rsid w:val="004558AA"/>
    <w:rsid w:val="0046501B"/>
    <w:rsid w:val="004666DE"/>
    <w:rsid w:val="00467C91"/>
    <w:rsid w:val="00470F4F"/>
    <w:rsid w:val="00475D32"/>
    <w:rsid w:val="004768ED"/>
    <w:rsid w:val="004819A7"/>
    <w:rsid w:val="004830ED"/>
    <w:rsid w:val="00483107"/>
    <w:rsid w:val="00487F15"/>
    <w:rsid w:val="00490F06"/>
    <w:rsid w:val="004A2280"/>
    <w:rsid w:val="004B7C07"/>
    <w:rsid w:val="004C3F79"/>
    <w:rsid w:val="004C4CF0"/>
    <w:rsid w:val="004C64F9"/>
    <w:rsid w:val="004D099C"/>
    <w:rsid w:val="004D1E58"/>
    <w:rsid w:val="004D2142"/>
    <w:rsid w:val="004D2CEC"/>
    <w:rsid w:val="004D4378"/>
    <w:rsid w:val="004E02B2"/>
    <w:rsid w:val="004E44F1"/>
    <w:rsid w:val="004E69A3"/>
    <w:rsid w:val="004F2F5C"/>
    <w:rsid w:val="005004FE"/>
    <w:rsid w:val="00504737"/>
    <w:rsid w:val="005101E5"/>
    <w:rsid w:val="00512DB7"/>
    <w:rsid w:val="00515FBC"/>
    <w:rsid w:val="00517A0C"/>
    <w:rsid w:val="00521BF7"/>
    <w:rsid w:val="00522EC0"/>
    <w:rsid w:val="00525C25"/>
    <w:rsid w:val="005308E1"/>
    <w:rsid w:val="005330D3"/>
    <w:rsid w:val="005339B9"/>
    <w:rsid w:val="00540964"/>
    <w:rsid w:val="00547092"/>
    <w:rsid w:val="00551A18"/>
    <w:rsid w:val="00553AFD"/>
    <w:rsid w:val="00554408"/>
    <w:rsid w:val="00555CE0"/>
    <w:rsid w:val="005627D8"/>
    <w:rsid w:val="00563EC7"/>
    <w:rsid w:val="005733FF"/>
    <w:rsid w:val="00575AA9"/>
    <w:rsid w:val="00576FDE"/>
    <w:rsid w:val="005802FF"/>
    <w:rsid w:val="00582382"/>
    <w:rsid w:val="005931D4"/>
    <w:rsid w:val="00593592"/>
    <w:rsid w:val="00595D6C"/>
    <w:rsid w:val="005A59D8"/>
    <w:rsid w:val="005A5A16"/>
    <w:rsid w:val="005B3004"/>
    <w:rsid w:val="005B7BF6"/>
    <w:rsid w:val="005D1C01"/>
    <w:rsid w:val="005E3CD3"/>
    <w:rsid w:val="005F583B"/>
    <w:rsid w:val="006113C8"/>
    <w:rsid w:val="00611BD5"/>
    <w:rsid w:val="0062076E"/>
    <w:rsid w:val="00622561"/>
    <w:rsid w:val="00625801"/>
    <w:rsid w:val="00645FFA"/>
    <w:rsid w:val="00646835"/>
    <w:rsid w:val="00650854"/>
    <w:rsid w:val="00654515"/>
    <w:rsid w:val="00662C51"/>
    <w:rsid w:val="00670884"/>
    <w:rsid w:val="006716E5"/>
    <w:rsid w:val="00675DAC"/>
    <w:rsid w:val="0069696A"/>
    <w:rsid w:val="006A578E"/>
    <w:rsid w:val="006B0FCB"/>
    <w:rsid w:val="006B4191"/>
    <w:rsid w:val="006B4747"/>
    <w:rsid w:val="006C59EB"/>
    <w:rsid w:val="006D0717"/>
    <w:rsid w:val="006D7FA7"/>
    <w:rsid w:val="006E0383"/>
    <w:rsid w:val="006E352A"/>
    <w:rsid w:val="006F1041"/>
    <w:rsid w:val="006F6578"/>
    <w:rsid w:val="006F6630"/>
    <w:rsid w:val="006F73DD"/>
    <w:rsid w:val="00713F1B"/>
    <w:rsid w:val="00727094"/>
    <w:rsid w:val="007315FE"/>
    <w:rsid w:val="00734CF8"/>
    <w:rsid w:val="00743A9D"/>
    <w:rsid w:val="00747D6C"/>
    <w:rsid w:val="007521E2"/>
    <w:rsid w:val="007525A5"/>
    <w:rsid w:val="00754D76"/>
    <w:rsid w:val="00756DEE"/>
    <w:rsid w:val="00767174"/>
    <w:rsid w:val="00767CCF"/>
    <w:rsid w:val="00773D93"/>
    <w:rsid w:val="007743AB"/>
    <w:rsid w:val="007802BC"/>
    <w:rsid w:val="0078134A"/>
    <w:rsid w:val="007816D3"/>
    <w:rsid w:val="00786472"/>
    <w:rsid w:val="007910AB"/>
    <w:rsid w:val="0079267F"/>
    <w:rsid w:val="00793234"/>
    <w:rsid w:val="00794CFE"/>
    <w:rsid w:val="007A2901"/>
    <w:rsid w:val="007A2AD6"/>
    <w:rsid w:val="007A3E3D"/>
    <w:rsid w:val="007A438A"/>
    <w:rsid w:val="007B16A6"/>
    <w:rsid w:val="007B392D"/>
    <w:rsid w:val="007B4792"/>
    <w:rsid w:val="007B47C7"/>
    <w:rsid w:val="007B4FF0"/>
    <w:rsid w:val="007B5470"/>
    <w:rsid w:val="007C050F"/>
    <w:rsid w:val="007C2D49"/>
    <w:rsid w:val="007C462F"/>
    <w:rsid w:val="007C7372"/>
    <w:rsid w:val="007D0208"/>
    <w:rsid w:val="007D0781"/>
    <w:rsid w:val="007D1DE5"/>
    <w:rsid w:val="007D1EAE"/>
    <w:rsid w:val="007D5655"/>
    <w:rsid w:val="007E307F"/>
    <w:rsid w:val="007E72A0"/>
    <w:rsid w:val="007F5946"/>
    <w:rsid w:val="007F5F57"/>
    <w:rsid w:val="007F7898"/>
    <w:rsid w:val="008003C4"/>
    <w:rsid w:val="00803F9E"/>
    <w:rsid w:val="00805046"/>
    <w:rsid w:val="00812A57"/>
    <w:rsid w:val="0081697A"/>
    <w:rsid w:val="00817355"/>
    <w:rsid w:val="008179C7"/>
    <w:rsid w:val="00827129"/>
    <w:rsid w:val="00827586"/>
    <w:rsid w:val="00834B61"/>
    <w:rsid w:val="008419A0"/>
    <w:rsid w:val="008455F8"/>
    <w:rsid w:val="00853EBF"/>
    <w:rsid w:val="008708F5"/>
    <w:rsid w:val="008720EE"/>
    <w:rsid w:val="008855FE"/>
    <w:rsid w:val="008907F7"/>
    <w:rsid w:val="008A079A"/>
    <w:rsid w:val="008B37AF"/>
    <w:rsid w:val="008B430D"/>
    <w:rsid w:val="008B6D04"/>
    <w:rsid w:val="008B7299"/>
    <w:rsid w:val="008C1C4B"/>
    <w:rsid w:val="008C26A9"/>
    <w:rsid w:val="008C7CE3"/>
    <w:rsid w:val="008D1626"/>
    <w:rsid w:val="008D175D"/>
    <w:rsid w:val="008D434A"/>
    <w:rsid w:val="008D4CAA"/>
    <w:rsid w:val="008E255C"/>
    <w:rsid w:val="008E6818"/>
    <w:rsid w:val="008F189A"/>
    <w:rsid w:val="008F2EB4"/>
    <w:rsid w:val="008F5AA1"/>
    <w:rsid w:val="008F7774"/>
    <w:rsid w:val="008F79BE"/>
    <w:rsid w:val="0090016F"/>
    <w:rsid w:val="00900A45"/>
    <w:rsid w:val="00902C15"/>
    <w:rsid w:val="009044D0"/>
    <w:rsid w:val="0090687A"/>
    <w:rsid w:val="00906A1A"/>
    <w:rsid w:val="009077D0"/>
    <w:rsid w:val="009077DE"/>
    <w:rsid w:val="009135A9"/>
    <w:rsid w:val="00915D82"/>
    <w:rsid w:val="0091745E"/>
    <w:rsid w:val="00920523"/>
    <w:rsid w:val="00926FE5"/>
    <w:rsid w:val="009279C7"/>
    <w:rsid w:val="0093243F"/>
    <w:rsid w:val="009368AE"/>
    <w:rsid w:val="00936FE2"/>
    <w:rsid w:val="00941301"/>
    <w:rsid w:val="00943183"/>
    <w:rsid w:val="00944D6A"/>
    <w:rsid w:val="00953A32"/>
    <w:rsid w:val="009547E0"/>
    <w:rsid w:val="009722C4"/>
    <w:rsid w:val="00972517"/>
    <w:rsid w:val="0097552E"/>
    <w:rsid w:val="009772A0"/>
    <w:rsid w:val="00980DC1"/>
    <w:rsid w:val="00984C5F"/>
    <w:rsid w:val="009910D3"/>
    <w:rsid w:val="00996A21"/>
    <w:rsid w:val="009A13B0"/>
    <w:rsid w:val="009A46DF"/>
    <w:rsid w:val="009A51A9"/>
    <w:rsid w:val="009A66DF"/>
    <w:rsid w:val="009B0453"/>
    <w:rsid w:val="009B13E3"/>
    <w:rsid w:val="009C33FA"/>
    <w:rsid w:val="009C7745"/>
    <w:rsid w:val="009C7882"/>
    <w:rsid w:val="009D19B9"/>
    <w:rsid w:val="009D5E1A"/>
    <w:rsid w:val="009D6B8F"/>
    <w:rsid w:val="009D7207"/>
    <w:rsid w:val="009D7331"/>
    <w:rsid w:val="009E04BD"/>
    <w:rsid w:val="009E3D34"/>
    <w:rsid w:val="009F4799"/>
    <w:rsid w:val="009F56CB"/>
    <w:rsid w:val="00A01FAD"/>
    <w:rsid w:val="00A11C8A"/>
    <w:rsid w:val="00A1784F"/>
    <w:rsid w:val="00A322C1"/>
    <w:rsid w:val="00A41A7D"/>
    <w:rsid w:val="00A4264A"/>
    <w:rsid w:val="00A4269A"/>
    <w:rsid w:val="00A43998"/>
    <w:rsid w:val="00A439AE"/>
    <w:rsid w:val="00A444D7"/>
    <w:rsid w:val="00A51EB0"/>
    <w:rsid w:val="00A63457"/>
    <w:rsid w:val="00A64777"/>
    <w:rsid w:val="00A65399"/>
    <w:rsid w:val="00A66500"/>
    <w:rsid w:val="00A67263"/>
    <w:rsid w:val="00A8165D"/>
    <w:rsid w:val="00A91FDF"/>
    <w:rsid w:val="00A92C5D"/>
    <w:rsid w:val="00A97E6D"/>
    <w:rsid w:val="00AA608B"/>
    <w:rsid w:val="00AB29AF"/>
    <w:rsid w:val="00AC010E"/>
    <w:rsid w:val="00AC69B6"/>
    <w:rsid w:val="00AD409F"/>
    <w:rsid w:val="00AE5D5D"/>
    <w:rsid w:val="00AE7D70"/>
    <w:rsid w:val="00AF33BA"/>
    <w:rsid w:val="00AF4940"/>
    <w:rsid w:val="00B06A61"/>
    <w:rsid w:val="00B077CC"/>
    <w:rsid w:val="00B1247C"/>
    <w:rsid w:val="00B268DD"/>
    <w:rsid w:val="00B2785F"/>
    <w:rsid w:val="00B3129F"/>
    <w:rsid w:val="00B316CC"/>
    <w:rsid w:val="00B32206"/>
    <w:rsid w:val="00B35F98"/>
    <w:rsid w:val="00B61B1E"/>
    <w:rsid w:val="00B62ECE"/>
    <w:rsid w:val="00B639BF"/>
    <w:rsid w:val="00B65022"/>
    <w:rsid w:val="00B740A1"/>
    <w:rsid w:val="00B74A13"/>
    <w:rsid w:val="00B76A8D"/>
    <w:rsid w:val="00B7733F"/>
    <w:rsid w:val="00B80226"/>
    <w:rsid w:val="00B80DF4"/>
    <w:rsid w:val="00B82D74"/>
    <w:rsid w:val="00B84F33"/>
    <w:rsid w:val="00B85717"/>
    <w:rsid w:val="00B85E6B"/>
    <w:rsid w:val="00B87786"/>
    <w:rsid w:val="00B92E6D"/>
    <w:rsid w:val="00B92EEF"/>
    <w:rsid w:val="00B9441A"/>
    <w:rsid w:val="00B94DFB"/>
    <w:rsid w:val="00BA4C04"/>
    <w:rsid w:val="00BA7A65"/>
    <w:rsid w:val="00BB16B5"/>
    <w:rsid w:val="00BB3648"/>
    <w:rsid w:val="00BB5B11"/>
    <w:rsid w:val="00BC3B79"/>
    <w:rsid w:val="00BD079F"/>
    <w:rsid w:val="00BD7FC9"/>
    <w:rsid w:val="00BE0287"/>
    <w:rsid w:val="00BE2002"/>
    <w:rsid w:val="00BE4A81"/>
    <w:rsid w:val="00BE6885"/>
    <w:rsid w:val="00BF18D1"/>
    <w:rsid w:val="00BF2C20"/>
    <w:rsid w:val="00BF2F5D"/>
    <w:rsid w:val="00BF382F"/>
    <w:rsid w:val="00BF566F"/>
    <w:rsid w:val="00C03436"/>
    <w:rsid w:val="00C0401B"/>
    <w:rsid w:val="00C10D3C"/>
    <w:rsid w:val="00C13720"/>
    <w:rsid w:val="00C15E1D"/>
    <w:rsid w:val="00C25A3A"/>
    <w:rsid w:val="00C26520"/>
    <w:rsid w:val="00C34F41"/>
    <w:rsid w:val="00C54F2A"/>
    <w:rsid w:val="00C55745"/>
    <w:rsid w:val="00C576CA"/>
    <w:rsid w:val="00C618F5"/>
    <w:rsid w:val="00C62ECA"/>
    <w:rsid w:val="00C65EF4"/>
    <w:rsid w:val="00C71C2C"/>
    <w:rsid w:val="00C75BEC"/>
    <w:rsid w:val="00C82C7F"/>
    <w:rsid w:val="00C8467D"/>
    <w:rsid w:val="00C9087F"/>
    <w:rsid w:val="00CA1ADB"/>
    <w:rsid w:val="00CA4D03"/>
    <w:rsid w:val="00CA5A10"/>
    <w:rsid w:val="00CB0E25"/>
    <w:rsid w:val="00CB6B30"/>
    <w:rsid w:val="00CC175C"/>
    <w:rsid w:val="00CC3431"/>
    <w:rsid w:val="00CD00CA"/>
    <w:rsid w:val="00CD1D42"/>
    <w:rsid w:val="00CD6BBE"/>
    <w:rsid w:val="00CE4FFE"/>
    <w:rsid w:val="00CF0C3C"/>
    <w:rsid w:val="00CF2936"/>
    <w:rsid w:val="00CF6878"/>
    <w:rsid w:val="00CF7446"/>
    <w:rsid w:val="00D01E0D"/>
    <w:rsid w:val="00D037A6"/>
    <w:rsid w:val="00D1176D"/>
    <w:rsid w:val="00D121DD"/>
    <w:rsid w:val="00D148C3"/>
    <w:rsid w:val="00D31C6D"/>
    <w:rsid w:val="00D37431"/>
    <w:rsid w:val="00D40BBD"/>
    <w:rsid w:val="00D41669"/>
    <w:rsid w:val="00D41E6D"/>
    <w:rsid w:val="00D479A0"/>
    <w:rsid w:val="00D51CE0"/>
    <w:rsid w:val="00D536A1"/>
    <w:rsid w:val="00D57140"/>
    <w:rsid w:val="00D61004"/>
    <w:rsid w:val="00D63EC4"/>
    <w:rsid w:val="00D67F02"/>
    <w:rsid w:val="00D70451"/>
    <w:rsid w:val="00D75F30"/>
    <w:rsid w:val="00D818B2"/>
    <w:rsid w:val="00D81D28"/>
    <w:rsid w:val="00D87FF1"/>
    <w:rsid w:val="00D970B2"/>
    <w:rsid w:val="00DA0744"/>
    <w:rsid w:val="00DC243E"/>
    <w:rsid w:val="00DC4909"/>
    <w:rsid w:val="00DD0394"/>
    <w:rsid w:val="00DD122B"/>
    <w:rsid w:val="00DD4671"/>
    <w:rsid w:val="00DD6636"/>
    <w:rsid w:val="00DD7813"/>
    <w:rsid w:val="00DE3289"/>
    <w:rsid w:val="00DE53AA"/>
    <w:rsid w:val="00DE7421"/>
    <w:rsid w:val="00DF0EB4"/>
    <w:rsid w:val="00DF2981"/>
    <w:rsid w:val="00DF69FC"/>
    <w:rsid w:val="00E006F5"/>
    <w:rsid w:val="00E05819"/>
    <w:rsid w:val="00E07180"/>
    <w:rsid w:val="00E07A89"/>
    <w:rsid w:val="00E1241F"/>
    <w:rsid w:val="00E14A7E"/>
    <w:rsid w:val="00E155D1"/>
    <w:rsid w:val="00E15A93"/>
    <w:rsid w:val="00E2279D"/>
    <w:rsid w:val="00E26649"/>
    <w:rsid w:val="00E30FB7"/>
    <w:rsid w:val="00E32077"/>
    <w:rsid w:val="00E42451"/>
    <w:rsid w:val="00E439CA"/>
    <w:rsid w:val="00E447BD"/>
    <w:rsid w:val="00E4773E"/>
    <w:rsid w:val="00E50578"/>
    <w:rsid w:val="00E51717"/>
    <w:rsid w:val="00E52FF7"/>
    <w:rsid w:val="00E57E50"/>
    <w:rsid w:val="00E65877"/>
    <w:rsid w:val="00E660A7"/>
    <w:rsid w:val="00E6751C"/>
    <w:rsid w:val="00E7079B"/>
    <w:rsid w:val="00E77A61"/>
    <w:rsid w:val="00E91C22"/>
    <w:rsid w:val="00E93612"/>
    <w:rsid w:val="00E961DC"/>
    <w:rsid w:val="00EA2685"/>
    <w:rsid w:val="00EA776D"/>
    <w:rsid w:val="00EB1230"/>
    <w:rsid w:val="00EB16D4"/>
    <w:rsid w:val="00EB1FCA"/>
    <w:rsid w:val="00EB4DD9"/>
    <w:rsid w:val="00EB7FDC"/>
    <w:rsid w:val="00EC2932"/>
    <w:rsid w:val="00EC580F"/>
    <w:rsid w:val="00EC7A52"/>
    <w:rsid w:val="00ED04B5"/>
    <w:rsid w:val="00ED3042"/>
    <w:rsid w:val="00ED3052"/>
    <w:rsid w:val="00ED4EFA"/>
    <w:rsid w:val="00ED7D86"/>
    <w:rsid w:val="00EF0016"/>
    <w:rsid w:val="00EF0A0D"/>
    <w:rsid w:val="00EF37A3"/>
    <w:rsid w:val="00EF6BAF"/>
    <w:rsid w:val="00EF7368"/>
    <w:rsid w:val="00EF7BB4"/>
    <w:rsid w:val="00EF7D69"/>
    <w:rsid w:val="00F01193"/>
    <w:rsid w:val="00F076D2"/>
    <w:rsid w:val="00F134BF"/>
    <w:rsid w:val="00F17CB8"/>
    <w:rsid w:val="00F208AF"/>
    <w:rsid w:val="00F23AB6"/>
    <w:rsid w:val="00F25FFE"/>
    <w:rsid w:val="00F2789C"/>
    <w:rsid w:val="00F304BE"/>
    <w:rsid w:val="00F31A39"/>
    <w:rsid w:val="00F32FE8"/>
    <w:rsid w:val="00F506AB"/>
    <w:rsid w:val="00F525A5"/>
    <w:rsid w:val="00F663E5"/>
    <w:rsid w:val="00F7163E"/>
    <w:rsid w:val="00F72742"/>
    <w:rsid w:val="00F756D6"/>
    <w:rsid w:val="00F760F6"/>
    <w:rsid w:val="00F779B2"/>
    <w:rsid w:val="00F81658"/>
    <w:rsid w:val="00F86581"/>
    <w:rsid w:val="00F91035"/>
    <w:rsid w:val="00FA019C"/>
    <w:rsid w:val="00FA5516"/>
    <w:rsid w:val="00FA663B"/>
    <w:rsid w:val="00FC12EA"/>
    <w:rsid w:val="00FC4CA1"/>
    <w:rsid w:val="00FC725D"/>
    <w:rsid w:val="00FD4CC1"/>
    <w:rsid w:val="00FE0595"/>
    <w:rsid w:val="00FE442E"/>
    <w:rsid w:val="00FE445D"/>
    <w:rsid w:val="00FF2CA8"/>
    <w:rsid w:val="00FF6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39C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39CA"/>
  </w:style>
  <w:style w:type="paragraph" w:styleId="Altbilgi">
    <w:name w:val="footer"/>
    <w:basedOn w:val="Normal"/>
    <w:link w:val="AltbilgiChar"/>
    <w:uiPriority w:val="99"/>
    <w:unhideWhenUsed/>
    <w:rsid w:val="00E439C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39CA"/>
  </w:style>
  <w:style w:type="paragraph" w:styleId="SonnotMetni">
    <w:name w:val="endnote text"/>
    <w:basedOn w:val="Normal"/>
    <w:link w:val="SonnotMetniChar"/>
    <w:uiPriority w:val="99"/>
    <w:semiHidden/>
    <w:unhideWhenUsed/>
    <w:rsid w:val="00FD4CC1"/>
    <w:pPr>
      <w:spacing w:after="0" w:line="240" w:lineRule="auto"/>
    </w:pPr>
  </w:style>
  <w:style w:type="character" w:customStyle="1" w:styleId="SonnotMetniChar">
    <w:name w:val="Sonnot Metni Char"/>
    <w:basedOn w:val="VarsaylanParagrafYazTipi"/>
    <w:link w:val="SonnotMetni"/>
    <w:uiPriority w:val="99"/>
    <w:semiHidden/>
    <w:rsid w:val="00FD4CC1"/>
    <w:rPr>
      <w:sz w:val="20"/>
      <w:szCs w:val="20"/>
    </w:rPr>
  </w:style>
  <w:style w:type="character" w:styleId="SonnotBavurusu">
    <w:name w:val="endnote reference"/>
    <w:basedOn w:val="VarsaylanParagrafYazTipi"/>
    <w:uiPriority w:val="99"/>
    <w:semiHidden/>
    <w:unhideWhenUsed/>
    <w:rsid w:val="00FD4CC1"/>
    <w:rPr>
      <w:vertAlign w:val="superscript"/>
    </w:rPr>
  </w:style>
  <w:style w:type="character" w:styleId="Kpr">
    <w:name w:val="Hyperlink"/>
    <w:basedOn w:val="VarsaylanParagrafYazTipi"/>
    <w:uiPriority w:val="99"/>
    <w:unhideWhenUsed/>
    <w:rsid w:val="004152DD"/>
    <w:rPr>
      <w:color w:val="0563C1" w:themeColor="hyperlink"/>
      <w:u w:val="single"/>
    </w:rPr>
  </w:style>
  <w:style w:type="character" w:customStyle="1" w:styleId="zmlenmeyenBahsetme1">
    <w:name w:val="Çözümlenmeyen Bahsetme1"/>
    <w:basedOn w:val="VarsaylanParagrafYazTipi"/>
    <w:uiPriority w:val="99"/>
    <w:semiHidden/>
    <w:unhideWhenUsed/>
    <w:rsid w:val="004152DD"/>
    <w:rPr>
      <w:color w:val="605E5C"/>
      <w:shd w:val="clear" w:color="auto" w:fill="E1DFDD"/>
    </w:rPr>
  </w:style>
  <w:style w:type="paragraph" w:styleId="DipnotMetni">
    <w:name w:val="footnote text"/>
    <w:basedOn w:val="Normal"/>
    <w:link w:val="DipnotMetniChar"/>
    <w:uiPriority w:val="99"/>
    <w:unhideWhenUsed/>
    <w:rsid w:val="002768FD"/>
    <w:pPr>
      <w:spacing w:after="0" w:line="240" w:lineRule="auto"/>
    </w:pPr>
  </w:style>
  <w:style w:type="character" w:customStyle="1" w:styleId="DipnotMetniChar">
    <w:name w:val="Dipnot Metni Char"/>
    <w:basedOn w:val="VarsaylanParagrafYazTipi"/>
    <w:link w:val="DipnotMetni"/>
    <w:uiPriority w:val="99"/>
    <w:rsid w:val="002768FD"/>
    <w:rPr>
      <w:sz w:val="20"/>
      <w:szCs w:val="20"/>
    </w:rPr>
  </w:style>
  <w:style w:type="character" w:styleId="DipnotBavurusu">
    <w:name w:val="footnote reference"/>
    <w:basedOn w:val="VarsaylanParagrafYazTipi"/>
    <w:uiPriority w:val="99"/>
    <w:semiHidden/>
    <w:unhideWhenUsed/>
    <w:rsid w:val="002768FD"/>
    <w:rPr>
      <w:vertAlign w:val="superscript"/>
    </w:rPr>
  </w:style>
  <w:style w:type="paragraph" w:styleId="ListeParagraf">
    <w:name w:val="List Paragraph"/>
    <w:basedOn w:val="Normal"/>
    <w:uiPriority w:val="34"/>
    <w:qFormat/>
    <w:rsid w:val="00192065"/>
    <w:pPr>
      <w:ind w:left="720"/>
      <w:contextualSpacing/>
    </w:pPr>
  </w:style>
  <w:style w:type="paragraph" w:styleId="BalonMetni">
    <w:name w:val="Balloon Text"/>
    <w:basedOn w:val="Normal"/>
    <w:link w:val="BalonMetniChar"/>
    <w:uiPriority w:val="99"/>
    <w:semiHidden/>
    <w:unhideWhenUsed/>
    <w:rsid w:val="00CF74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7446"/>
    <w:rPr>
      <w:rFonts w:ascii="Segoe UI" w:hAnsi="Segoe UI" w:cs="Segoe UI"/>
      <w:sz w:val="18"/>
      <w:szCs w:val="18"/>
    </w:rPr>
  </w:style>
  <w:style w:type="character" w:styleId="AklamaBavurusu">
    <w:name w:val="annotation reference"/>
    <w:basedOn w:val="VarsaylanParagrafYazTipi"/>
    <w:uiPriority w:val="99"/>
    <w:semiHidden/>
    <w:unhideWhenUsed/>
    <w:rsid w:val="008720EE"/>
    <w:rPr>
      <w:sz w:val="16"/>
      <w:szCs w:val="16"/>
    </w:rPr>
  </w:style>
  <w:style w:type="paragraph" w:styleId="AklamaMetni">
    <w:name w:val="annotation text"/>
    <w:basedOn w:val="Normal"/>
    <w:link w:val="AklamaMetniChar"/>
    <w:uiPriority w:val="99"/>
    <w:semiHidden/>
    <w:unhideWhenUsed/>
    <w:rsid w:val="008720EE"/>
    <w:pPr>
      <w:spacing w:line="240" w:lineRule="auto"/>
    </w:pPr>
  </w:style>
  <w:style w:type="character" w:customStyle="1" w:styleId="AklamaMetniChar">
    <w:name w:val="Açıklama Metni Char"/>
    <w:basedOn w:val="VarsaylanParagrafYazTipi"/>
    <w:link w:val="AklamaMetni"/>
    <w:uiPriority w:val="99"/>
    <w:semiHidden/>
    <w:rsid w:val="008720EE"/>
  </w:style>
  <w:style w:type="paragraph" w:styleId="AklamaKonusu">
    <w:name w:val="annotation subject"/>
    <w:basedOn w:val="AklamaMetni"/>
    <w:next w:val="AklamaMetni"/>
    <w:link w:val="AklamaKonusuChar"/>
    <w:uiPriority w:val="99"/>
    <w:semiHidden/>
    <w:unhideWhenUsed/>
    <w:rsid w:val="008720EE"/>
    <w:rPr>
      <w:b/>
      <w:bCs/>
    </w:rPr>
  </w:style>
  <w:style w:type="character" w:customStyle="1" w:styleId="AklamaKonusuChar">
    <w:name w:val="Açıklama Konusu Char"/>
    <w:basedOn w:val="AklamaMetniChar"/>
    <w:link w:val="AklamaKonusu"/>
    <w:uiPriority w:val="99"/>
    <w:semiHidden/>
    <w:rsid w:val="008720EE"/>
    <w:rPr>
      <w:b/>
      <w:bCs/>
    </w:rPr>
  </w:style>
  <w:style w:type="character" w:customStyle="1" w:styleId="zmlenmeyenBahsetme2">
    <w:name w:val="Çözümlenmeyen Bahsetme2"/>
    <w:basedOn w:val="VarsaylanParagrafYazTipi"/>
    <w:uiPriority w:val="99"/>
    <w:semiHidden/>
    <w:unhideWhenUsed/>
    <w:rsid w:val="00CE4FFE"/>
    <w:rPr>
      <w:color w:val="605E5C"/>
      <w:shd w:val="clear" w:color="auto" w:fill="E1DFDD"/>
    </w:rPr>
  </w:style>
  <w:style w:type="character" w:styleId="zlenenKpr">
    <w:name w:val="FollowedHyperlink"/>
    <w:basedOn w:val="VarsaylanParagrafYazTipi"/>
    <w:uiPriority w:val="99"/>
    <w:semiHidden/>
    <w:unhideWhenUsed/>
    <w:rsid w:val="00920523"/>
    <w:rPr>
      <w:color w:val="954F72" w:themeColor="followedHyperlink"/>
      <w:u w:val="single"/>
    </w:rPr>
  </w:style>
  <w:style w:type="character" w:customStyle="1" w:styleId="UnresolvedMention">
    <w:name w:val="Unresolved Mention"/>
    <w:basedOn w:val="VarsaylanParagrafYazTipi"/>
    <w:uiPriority w:val="99"/>
    <w:semiHidden/>
    <w:unhideWhenUsed/>
    <w:rsid w:val="00D63EC4"/>
    <w:rPr>
      <w:color w:val="605E5C"/>
      <w:shd w:val="clear" w:color="auto" w:fill="E1DFDD"/>
    </w:rPr>
  </w:style>
  <w:style w:type="paragraph" w:customStyle="1" w:styleId="Gvde">
    <w:name w:val="Gövde"/>
    <w:rsid w:val="008B7299"/>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doc.echr.coe.int/fre?i=001-57627" TargetMode="External"/><Relationship Id="rId18" Type="http://schemas.openxmlformats.org/officeDocument/2006/relationships/hyperlink" Target="http://hudoc.echr.coe.int/eng?i=001-65499" TargetMode="External"/><Relationship Id="rId26" Type="http://schemas.openxmlformats.org/officeDocument/2006/relationships/hyperlink" Target="https://www.echr.coe.int/Documents/FS_Mass_surveillance_ENG.pdf" TargetMode="External"/><Relationship Id="rId3" Type="http://schemas.openxmlformats.org/officeDocument/2006/relationships/styles" Target="styles.xml"/><Relationship Id="rId21" Type="http://schemas.openxmlformats.org/officeDocument/2006/relationships/hyperlink" Target="http://hudoc.echr.coe.int/eng?i=001-65499" TargetMode="External"/><Relationship Id="rId7" Type="http://schemas.openxmlformats.org/officeDocument/2006/relationships/footnotes" Target="footnot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hudoc.echr.coe.int/eng?i=001-183863" TargetMode="Externa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hudoc.echr.coe.int/eng?i=001-813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hudoc.echr.coe.int/eng?i=001-160020" TargetMode="External"/><Relationship Id="rId5" Type="http://schemas.openxmlformats.org/officeDocument/2006/relationships/settings" Target="settings.xml"/><Relationship Id="rId15" Type="http://schemas.openxmlformats.org/officeDocument/2006/relationships/hyperlink" Target="http://hudoc.echr.coe.int/eng?i=001-58497" TargetMode="External"/><Relationship Id="rId23" Type="http://schemas.openxmlformats.org/officeDocument/2006/relationships/hyperlink" Target="https://hudoc.echr.coe.int/eng"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hudoc.echr.coe.int/eng?i=001-7658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hudoc.echr.coe.int/eng?i=001-58208" TargetMode="External"/><Relationship Id="rId22" Type="http://schemas.openxmlformats.org/officeDocument/2006/relationships/hyperlink" Target="http://hudoc.echr.coe.int/eng?i=001-114439" TargetMode="External"/><Relationship Id="rId27" Type="http://schemas.openxmlformats.org/officeDocument/2006/relationships/hyperlink" Target="https://edam.org.tr/wp-content/uploads/2018/04/Chrest_Surveillance2.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t-uk.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m.tr/url?sa=i&amp;rct=j&amp;q=&amp;esrc=s&amp;source=images&amp;cd=&amp;cad=rja&amp;uact=8&amp;ved=2ahUKEwixxrOHvNbhAhUNb1AKHYncBu8QjRx6BAgBEAU&amp;url=https://www.msu.edu.tr/sayfadetay?SayfaId=540&amp;ParentMenuId=3&amp;psig=AOvVaw17Gf7G993UVF7_XbgFGAMI&amp;ust=1555567849439862"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E36A-5A3C-424F-913B-3CD96E5B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30</Pages>
  <Words>10864</Words>
  <Characters>61929</Characters>
  <Application>Microsoft Office Word</Application>
  <DocSecurity>0</DocSecurity>
  <Lines>516</Lines>
  <Paragraphs>145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18129</dc:creator>
  <cp:lastModifiedBy>Tamer KÖSEDAĞ</cp:lastModifiedBy>
  <cp:revision>21</cp:revision>
  <cp:lastPrinted>2020-12-29T07:27:00Z</cp:lastPrinted>
  <dcterms:created xsi:type="dcterms:W3CDTF">2020-12-27T11:10:00Z</dcterms:created>
  <dcterms:modified xsi:type="dcterms:W3CDTF">2020-12-30T09:05:00Z</dcterms:modified>
</cp:coreProperties>
</file>