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8F743" w14:textId="6AD856F5" w:rsidR="00E7435A" w:rsidRPr="00E7435A" w:rsidRDefault="00E7435A" w:rsidP="00844D3C">
      <w:pPr>
        <w:spacing w:after="200"/>
        <w:ind w:left="0" w:firstLine="0"/>
        <w:rPr>
          <w:b/>
          <w:sz w:val="32"/>
          <w:szCs w:val="32"/>
        </w:rPr>
      </w:pPr>
      <w:r w:rsidRPr="00E7435A">
        <w:rPr>
          <w:b/>
          <w:sz w:val="32"/>
          <w:szCs w:val="32"/>
        </w:rPr>
        <w:t>S</w:t>
      </w:r>
      <w:r w:rsidR="005504F3">
        <w:rPr>
          <w:b/>
          <w:sz w:val="32"/>
          <w:szCs w:val="32"/>
        </w:rPr>
        <w:t>ınai Mülkiyet Kanunu</w:t>
      </w:r>
      <w:r w:rsidR="00B25706">
        <w:rPr>
          <w:b/>
          <w:sz w:val="32"/>
          <w:szCs w:val="32"/>
        </w:rPr>
        <w:t>’nun</w:t>
      </w:r>
      <w:r w:rsidRPr="00E7435A">
        <w:rPr>
          <w:b/>
          <w:sz w:val="32"/>
          <w:szCs w:val="32"/>
        </w:rPr>
        <w:t xml:space="preserve"> </w:t>
      </w:r>
      <w:r w:rsidR="00B25706">
        <w:rPr>
          <w:b/>
          <w:sz w:val="32"/>
          <w:szCs w:val="32"/>
        </w:rPr>
        <w:t xml:space="preserve">155. Maddesi </w:t>
      </w:r>
      <w:r w:rsidR="00AF49D2">
        <w:rPr>
          <w:b/>
          <w:sz w:val="32"/>
          <w:szCs w:val="32"/>
        </w:rPr>
        <w:t>Karşısında Marka Tescili Üzerine</w:t>
      </w:r>
      <w:r w:rsidR="00DE06D3">
        <w:rPr>
          <w:b/>
          <w:sz w:val="32"/>
          <w:szCs w:val="32"/>
        </w:rPr>
        <w:t xml:space="preserve"> Düşünceler</w:t>
      </w:r>
    </w:p>
    <w:p w14:paraId="1D601A1D" w14:textId="74E871ED" w:rsidR="00E7435A" w:rsidRPr="00E7435A" w:rsidRDefault="00DE06D3" w:rsidP="00E7435A">
      <w:pPr>
        <w:spacing w:after="200"/>
        <w:ind w:left="0" w:firstLine="0"/>
        <w:rPr>
          <w:b/>
          <w:sz w:val="28"/>
          <w:szCs w:val="28"/>
        </w:rPr>
      </w:pPr>
      <w:proofErr w:type="spellStart"/>
      <w:r>
        <w:rPr>
          <w:b/>
          <w:sz w:val="28"/>
          <w:szCs w:val="28"/>
        </w:rPr>
        <w:t>Some</w:t>
      </w:r>
      <w:proofErr w:type="spellEnd"/>
      <w:r>
        <w:rPr>
          <w:b/>
          <w:sz w:val="28"/>
          <w:szCs w:val="28"/>
        </w:rPr>
        <w:t xml:space="preserve"> </w:t>
      </w:r>
      <w:proofErr w:type="spellStart"/>
      <w:r>
        <w:rPr>
          <w:b/>
          <w:sz w:val="28"/>
          <w:szCs w:val="28"/>
        </w:rPr>
        <w:t>Reflections</w:t>
      </w:r>
      <w:proofErr w:type="spellEnd"/>
      <w:r>
        <w:rPr>
          <w:b/>
          <w:sz w:val="28"/>
          <w:szCs w:val="28"/>
        </w:rPr>
        <w:t xml:space="preserve"> on </w:t>
      </w:r>
      <w:proofErr w:type="spellStart"/>
      <w:r w:rsidR="00E7435A" w:rsidRPr="00E7435A">
        <w:rPr>
          <w:b/>
          <w:sz w:val="28"/>
          <w:szCs w:val="28"/>
        </w:rPr>
        <w:t>The</w:t>
      </w:r>
      <w:proofErr w:type="spellEnd"/>
      <w:r w:rsidR="00E7435A" w:rsidRPr="00E7435A">
        <w:rPr>
          <w:b/>
          <w:sz w:val="28"/>
          <w:szCs w:val="28"/>
        </w:rPr>
        <w:t xml:space="preserve"> </w:t>
      </w:r>
      <w:proofErr w:type="spellStart"/>
      <w:r w:rsidR="0062154A">
        <w:rPr>
          <w:b/>
          <w:sz w:val="28"/>
          <w:szCs w:val="28"/>
        </w:rPr>
        <w:t>Trademark</w:t>
      </w:r>
      <w:proofErr w:type="spellEnd"/>
      <w:r w:rsidR="0062154A">
        <w:rPr>
          <w:b/>
          <w:sz w:val="28"/>
          <w:szCs w:val="28"/>
        </w:rPr>
        <w:t xml:space="preserve"> </w:t>
      </w:r>
      <w:proofErr w:type="spellStart"/>
      <w:r w:rsidR="0062154A">
        <w:rPr>
          <w:b/>
          <w:sz w:val="28"/>
          <w:szCs w:val="28"/>
        </w:rPr>
        <w:t>Registration</w:t>
      </w:r>
      <w:proofErr w:type="spellEnd"/>
      <w:r w:rsidR="0062154A">
        <w:rPr>
          <w:b/>
          <w:sz w:val="28"/>
          <w:szCs w:val="28"/>
        </w:rPr>
        <w:t xml:space="preserve"> </w:t>
      </w:r>
      <w:proofErr w:type="spellStart"/>
      <w:r w:rsidR="0062154A" w:rsidRPr="0062154A">
        <w:rPr>
          <w:b/>
          <w:sz w:val="28"/>
          <w:szCs w:val="28"/>
        </w:rPr>
        <w:t>vis</w:t>
      </w:r>
      <w:proofErr w:type="spellEnd"/>
      <w:r w:rsidR="0062154A" w:rsidRPr="0062154A">
        <w:rPr>
          <w:b/>
          <w:sz w:val="28"/>
          <w:szCs w:val="28"/>
        </w:rPr>
        <w:t>-à-</w:t>
      </w:r>
      <w:proofErr w:type="spellStart"/>
      <w:r w:rsidR="0062154A" w:rsidRPr="0062154A">
        <w:rPr>
          <w:b/>
          <w:sz w:val="28"/>
          <w:szCs w:val="28"/>
        </w:rPr>
        <w:t>vis</w:t>
      </w:r>
      <w:proofErr w:type="spellEnd"/>
      <w:r w:rsidR="0062154A">
        <w:rPr>
          <w:b/>
          <w:sz w:val="28"/>
          <w:szCs w:val="28"/>
        </w:rPr>
        <w:t xml:space="preserve"> </w:t>
      </w:r>
      <w:proofErr w:type="spellStart"/>
      <w:r w:rsidR="0062154A">
        <w:rPr>
          <w:b/>
          <w:sz w:val="28"/>
          <w:szCs w:val="28"/>
        </w:rPr>
        <w:t>Article</w:t>
      </w:r>
      <w:proofErr w:type="spellEnd"/>
      <w:r w:rsidR="0062154A">
        <w:rPr>
          <w:b/>
          <w:sz w:val="28"/>
          <w:szCs w:val="28"/>
        </w:rPr>
        <w:t xml:space="preserve"> 155 of </w:t>
      </w:r>
      <w:proofErr w:type="spellStart"/>
      <w:r w:rsidR="0062154A">
        <w:rPr>
          <w:b/>
          <w:sz w:val="28"/>
          <w:szCs w:val="28"/>
        </w:rPr>
        <w:t>I</w:t>
      </w:r>
      <w:r w:rsidR="005504F3">
        <w:rPr>
          <w:b/>
          <w:sz w:val="28"/>
          <w:szCs w:val="28"/>
        </w:rPr>
        <w:t>ndustrial</w:t>
      </w:r>
      <w:proofErr w:type="spellEnd"/>
      <w:r w:rsidR="005504F3">
        <w:rPr>
          <w:b/>
          <w:sz w:val="28"/>
          <w:szCs w:val="28"/>
        </w:rPr>
        <w:t xml:space="preserve"> </w:t>
      </w:r>
      <w:proofErr w:type="spellStart"/>
      <w:r w:rsidR="005504F3">
        <w:rPr>
          <w:b/>
          <w:sz w:val="28"/>
          <w:szCs w:val="28"/>
        </w:rPr>
        <w:t>Property</w:t>
      </w:r>
      <w:proofErr w:type="spellEnd"/>
      <w:r w:rsidR="005504F3">
        <w:rPr>
          <w:b/>
          <w:sz w:val="28"/>
          <w:szCs w:val="28"/>
        </w:rPr>
        <w:t xml:space="preserve"> </w:t>
      </w:r>
      <w:proofErr w:type="spellStart"/>
      <w:r w:rsidR="005504F3">
        <w:rPr>
          <w:b/>
          <w:sz w:val="28"/>
          <w:szCs w:val="28"/>
        </w:rPr>
        <w:t>Code</w:t>
      </w:r>
      <w:proofErr w:type="spellEnd"/>
      <w:r w:rsidR="005504F3">
        <w:rPr>
          <w:b/>
          <w:sz w:val="28"/>
          <w:szCs w:val="28"/>
        </w:rPr>
        <w:t xml:space="preserve"> </w:t>
      </w:r>
    </w:p>
    <w:p w14:paraId="142780AE" w14:textId="5A937371" w:rsidR="00DE06D3" w:rsidRDefault="00DC0C0D" w:rsidP="00E7435A">
      <w:pPr>
        <w:spacing w:after="200"/>
        <w:ind w:left="0" w:firstLine="0"/>
        <w:jc w:val="right"/>
        <w:rPr>
          <w:b/>
          <w:sz w:val="28"/>
          <w:szCs w:val="24"/>
        </w:rPr>
      </w:pPr>
      <w:r>
        <w:rPr>
          <w:b/>
          <w:sz w:val="28"/>
          <w:szCs w:val="24"/>
        </w:rPr>
        <w:t>Mahmut Arif KOÇAK</w:t>
      </w:r>
      <w:r>
        <w:rPr>
          <w:rStyle w:val="DipnotBavurusu"/>
          <w:b/>
          <w:sz w:val="28"/>
          <w:szCs w:val="24"/>
        </w:rPr>
        <w:footnoteReference w:id="1"/>
      </w:r>
    </w:p>
    <w:p w14:paraId="0AD69F22" w14:textId="1AA0569D" w:rsidR="00E7435A" w:rsidRPr="00E7435A" w:rsidRDefault="00E7435A" w:rsidP="00E7435A">
      <w:pPr>
        <w:spacing w:after="200"/>
        <w:ind w:left="0" w:firstLine="0"/>
        <w:jc w:val="right"/>
        <w:rPr>
          <w:b/>
          <w:sz w:val="28"/>
          <w:szCs w:val="24"/>
        </w:rPr>
      </w:pPr>
      <w:r w:rsidRPr="00E7435A">
        <w:rPr>
          <w:b/>
          <w:sz w:val="28"/>
          <w:szCs w:val="24"/>
        </w:rPr>
        <w:tab/>
      </w:r>
      <w:r w:rsidRPr="00E7435A">
        <w:rPr>
          <w:b/>
          <w:sz w:val="28"/>
          <w:szCs w:val="24"/>
        </w:rPr>
        <w:tab/>
        <w:t xml:space="preserve"> </w:t>
      </w:r>
    </w:p>
    <w:p w14:paraId="66A39199" w14:textId="77777777" w:rsidR="00E7435A" w:rsidRPr="00720A60" w:rsidRDefault="00E7435A" w:rsidP="0048349A">
      <w:pPr>
        <w:spacing w:after="200" w:line="240" w:lineRule="auto"/>
        <w:rPr>
          <w:bCs/>
          <w:sz w:val="20"/>
          <w:szCs w:val="18"/>
        </w:rPr>
      </w:pPr>
      <w:r w:rsidRPr="00720A60">
        <w:rPr>
          <w:b/>
          <w:sz w:val="20"/>
          <w:szCs w:val="18"/>
        </w:rPr>
        <w:t xml:space="preserve">Öz: </w:t>
      </w:r>
    </w:p>
    <w:p w14:paraId="2C1587E7" w14:textId="65D545FF" w:rsidR="00E7435A" w:rsidRPr="00720A60" w:rsidRDefault="00E7435A" w:rsidP="0048349A">
      <w:pPr>
        <w:spacing w:after="200" w:line="240" w:lineRule="auto"/>
        <w:ind w:left="0" w:firstLine="0"/>
        <w:rPr>
          <w:bCs/>
          <w:sz w:val="20"/>
          <w:szCs w:val="18"/>
        </w:rPr>
      </w:pPr>
      <w:r w:rsidRPr="00720A60">
        <w:rPr>
          <w:bCs/>
          <w:sz w:val="20"/>
          <w:szCs w:val="18"/>
        </w:rPr>
        <w:t xml:space="preserve">Bu çalışmada, </w:t>
      </w:r>
      <w:r w:rsidR="00356959">
        <w:rPr>
          <w:bCs/>
          <w:sz w:val="20"/>
          <w:szCs w:val="18"/>
        </w:rPr>
        <w:t>Sınai Mülkiyet Kanunu’nun 155’inci maddesi</w:t>
      </w:r>
      <w:r w:rsidR="00AF49D2">
        <w:rPr>
          <w:bCs/>
          <w:sz w:val="20"/>
          <w:szCs w:val="18"/>
        </w:rPr>
        <w:t xml:space="preserve"> karşısında</w:t>
      </w:r>
      <w:r w:rsidRPr="00720A60">
        <w:rPr>
          <w:bCs/>
          <w:sz w:val="20"/>
          <w:szCs w:val="18"/>
        </w:rPr>
        <w:t xml:space="preserve"> marka </w:t>
      </w:r>
      <w:r w:rsidR="00566E49">
        <w:rPr>
          <w:bCs/>
          <w:sz w:val="20"/>
          <w:szCs w:val="18"/>
        </w:rPr>
        <w:t>tescili ve marka sicilinin işlerliği</w:t>
      </w:r>
      <w:r w:rsidR="00857EE5">
        <w:rPr>
          <w:bCs/>
          <w:sz w:val="20"/>
          <w:szCs w:val="18"/>
        </w:rPr>
        <w:t xml:space="preserve"> </w:t>
      </w:r>
      <w:r w:rsidRPr="00720A60">
        <w:rPr>
          <w:bCs/>
          <w:sz w:val="20"/>
          <w:szCs w:val="18"/>
        </w:rPr>
        <w:t>üzerine eğileceği</w:t>
      </w:r>
      <w:r w:rsidR="00566E49">
        <w:rPr>
          <w:bCs/>
          <w:sz w:val="20"/>
          <w:szCs w:val="18"/>
        </w:rPr>
        <w:t xml:space="preserve">z. Marka tescili ve buna bağlı olarak oluşturulan marka sicili, temelinde </w:t>
      </w:r>
      <w:r w:rsidR="0062154A">
        <w:rPr>
          <w:bCs/>
          <w:sz w:val="20"/>
          <w:szCs w:val="18"/>
        </w:rPr>
        <w:t xml:space="preserve">bir </w:t>
      </w:r>
      <w:r w:rsidR="00566E49">
        <w:rPr>
          <w:bCs/>
          <w:sz w:val="20"/>
          <w:szCs w:val="18"/>
        </w:rPr>
        <w:t>hukuki güvenlik ihtiyacından doğmuştur. Fakat gelinen noktada, marka sicilinin bu ihtiyaca cevap olmakta yetersiz kaldığı rahatlıkla gözlemlenebilir. İşte yukarıda anılan madde, marka sicilinin şeffaflaştırılması</w:t>
      </w:r>
      <w:r w:rsidR="00554A47">
        <w:rPr>
          <w:bCs/>
          <w:sz w:val="20"/>
          <w:szCs w:val="18"/>
        </w:rPr>
        <w:t xml:space="preserve"> </w:t>
      </w:r>
      <w:r w:rsidR="00566E49">
        <w:rPr>
          <w:bCs/>
          <w:sz w:val="20"/>
          <w:szCs w:val="18"/>
        </w:rPr>
        <w:t xml:space="preserve">noktasında önemli bir adım olmuştur. </w:t>
      </w:r>
      <w:r w:rsidRPr="00720A60">
        <w:rPr>
          <w:bCs/>
          <w:sz w:val="20"/>
          <w:szCs w:val="18"/>
        </w:rPr>
        <w:t>Bu bağlamda, ilk olarak marka tescilinin tarihine in</w:t>
      </w:r>
      <w:r w:rsidR="007E32C0">
        <w:rPr>
          <w:bCs/>
          <w:sz w:val="20"/>
          <w:szCs w:val="18"/>
        </w:rPr>
        <w:t>ilerek</w:t>
      </w:r>
      <w:r w:rsidRPr="00720A60">
        <w:rPr>
          <w:bCs/>
          <w:sz w:val="20"/>
          <w:szCs w:val="18"/>
        </w:rPr>
        <w:t>, tescile neden ihtiyaç duyulduğu ortaya çıkarılacak</w:t>
      </w:r>
      <w:r w:rsidR="00DD5246">
        <w:rPr>
          <w:bCs/>
          <w:sz w:val="20"/>
          <w:szCs w:val="18"/>
        </w:rPr>
        <w:t>tır</w:t>
      </w:r>
      <w:r w:rsidRPr="00720A60">
        <w:rPr>
          <w:bCs/>
          <w:sz w:val="20"/>
          <w:szCs w:val="18"/>
        </w:rPr>
        <w:t>. Akabinde, marka tescilinin fonksiyonları analiz edilecek</w:t>
      </w:r>
      <w:r w:rsidR="00232638">
        <w:rPr>
          <w:bCs/>
          <w:sz w:val="20"/>
          <w:szCs w:val="18"/>
        </w:rPr>
        <w:t xml:space="preserve"> ve s</w:t>
      </w:r>
      <w:r w:rsidRPr="00720A60">
        <w:rPr>
          <w:bCs/>
          <w:sz w:val="20"/>
          <w:szCs w:val="18"/>
        </w:rPr>
        <w:t>on olarak</w:t>
      </w:r>
      <w:r w:rsidR="00232638">
        <w:rPr>
          <w:bCs/>
          <w:sz w:val="20"/>
          <w:szCs w:val="18"/>
        </w:rPr>
        <w:t>,</w:t>
      </w:r>
      <w:r w:rsidR="00473C73">
        <w:rPr>
          <w:bCs/>
          <w:sz w:val="20"/>
          <w:szCs w:val="18"/>
        </w:rPr>
        <w:t xml:space="preserve"> maddenin</w:t>
      </w:r>
      <w:r w:rsidRPr="00720A60">
        <w:rPr>
          <w:bCs/>
          <w:sz w:val="20"/>
          <w:szCs w:val="18"/>
        </w:rPr>
        <w:t xml:space="preserve"> </w:t>
      </w:r>
      <w:r w:rsidR="00473C73">
        <w:rPr>
          <w:bCs/>
          <w:sz w:val="20"/>
          <w:szCs w:val="18"/>
        </w:rPr>
        <w:t xml:space="preserve">marka sistemine </w:t>
      </w:r>
      <w:r w:rsidRPr="00720A60">
        <w:rPr>
          <w:bCs/>
          <w:sz w:val="20"/>
          <w:szCs w:val="18"/>
        </w:rPr>
        <w:t xml:space="preserve">etkisi </w:t>
      </w:r>
      <w:r w:rsidR="00232638" w:rsidRPr="00720A60">
        <w:rPr>
          <w:bCs/>
          <w:sz w:val="20"/>
          <w:szCs w:val="18"/>
        </w:rPr>
        <w:t xml:space="preserve">marka </w:t>
      </w:r>
      <w:r w:rsidR="00232638">
        <w:rPr>
          <w:bCs/>
          <w:sz w:val="20"/>
          <w:szCs w:val="18"/>
        </w:rPr>
        <w:t xml:space="preserve">sicili temelinde </w:t>
      </w:r>
      <w:r w:rsidRPr="00720A60">
        <w:rPr>
          <w:bCs/>
          <w:sz w:val="20"/>
          <w:szCs w:val="18"/>
        </w:rPr>
        <w:t>incelenecek</w:t>
      </w:r>
      <w:r w:rsidR="00662DCA">
        <w:rPr>
          <w:bCs/>
          <w:sz w:val="20"/>
          <w:szCs w:val="18"/>
        </w:rPr>
        <w:t>tir.</w:t>
      </w:r>
    </w:p>
    <w:p w14:paraId="510B8348" w14:textId="77777777" w:rsidR="00E7435A" w:rsidRPr="00720A60" w:rsidRDefault="00E7435A" w:rsidP="0048349A">
      <w:pPr>
        <w:spacing w:after="200" w:line="240" w:lineRule="auto"/>
        <w:rPr>
          <w:b/>
          <w:sz w:val="20"/>
          <w:szCs w:val="18"/>
        </w:rPr>
      </w:pPr>
      <w:r w:rsidRPr="00720A60">
        <w:rPr>
          <w:b/>
          <w:sz w:val="20"/>
          <w:szCs w:val="18"/>
        </w:rPr>
        <w:t>Anahtar Kelimeler:</w:t>
      </w:r>
    </w:p>
    <w:p w14:paraId="41B83D3E" w14:textId="682E4005" w:rsidR="00E7435A" w:rsidRPr="00720A60" w:rsidRDefault="00E7435A" w:rsidP="0048349A">
      <w:pPr>
        <w:spacing w:after="200" w:line="240" w:lineRule="auto"/>
        <w:rPr>
          <w:bCs/>
          <w:sz w:val="20"/>
          <w:szCs w:val="18"/>
        </w:rPr>
      </w:pPr>
      <w:r w:rsidRPr="00720A60">
        <w:rPr>
          <w:bCs/>
          <w:sz w:val="20"/>
          <w:szCs w:val="18"/>
        </w:rPr>
        <w:t xml:space="preserve">Marka, Tescil, </w:t>
      </w:r>
      <w:r w:rsidR="00720A60">
        <w:rPr>
          <w:bCs/>
          <w:sz w:val="20"/>
          <w:szCs w:val="18"/>
        </w:rPr>
        <w:t>Marka Sicilin</w:t>
      </w:r>
      <w:r w:rsidR="005B07EC">
        <w:rPr>
          <w:bCs/>
          <w:sz w:val="20"/>
          <w:szCs w:val="18"/>
        </w:rPr>
        <w:t>in</w:t>
      </w:r>
      <w:r w:rsidR="00720A60">
        <w:rPr>
          <w:bCs/>
          <w:sz w:val="20"/>
          <w:szCs w:val="18"/>
        </w:rPr>
        <w:t xml:space="preserve"> İşlerliği, </w:t>
      </w:r>
      <w:r w:rsidRPr="00720A60">
        <w:rPr>
          <w:bCs/>
          <w:sz w:val="20"/>
          <w:szCs w:val="18"/>
        </w:rPr>
        <w:t>S</w:t>
      </w:r>
      <w:r w:rsidR="005504F3">
        <w:rPr>
          <w:bCs/>
          <w:sz w:val="20"/>
          <w:szCs w:val="18"/>
        </w:rPr>
        <w:t xml:space="preserve">ınai Mülkiyet Kanunu </w:t>
      </w:r>
      <w:r w:rsidRPr="00720A60">
        <w:rPr>
          <w:bCs/>
          <w:sz w:val="20"/>
          <w:szCs w:val="18"/>
        </w:rPr>
        <w:t>m. 155, Önceki Hakların Etkisi</w:t>
      </w:r>
      <w:r w:rsidR="001E1642">
        <w:rPr>
          <w:bCs/>
          <w:sz w:val="20"/>
          <w:szCs w:val="18"/>
        </w:rPr>
        <w:t>.</w:t>
      </w:r>
    </w:p>
    <w:p w14:paraId="5412566E" w14:textId="77777777" w:rsidR="00E7435A" w:rsidRPr="00720A60" w:rsidRDefault="00E7435A" w:rsidP="0048349A">
      <w:pPr>
        <w:spacing w:after="200" w:line="240" w:lineRule="auto"/>
        <w:rPr>
          <w:b/>
          <w:sz w:val="20"/>
          <w:szCs w:val="18"/>
        </w:rPr>
      </w:pPr>
      <w:proofErr w:type="spellStart"/>
      <w:r w:rsidRPr="00720A60">
        <w:rPr>
          <w:b/>
          <w:sz w:val="20"/>
          <w:szCs w:val="18"/>
        </w:rPr>
        <w:t>Abstract</w:t>
      </w:r>
      <w:proofErr w:type="spellEnd"/>
      <w:r w:rsidRPr="00720A60">
        <w:rPr>
          <w:b/>
          <w:sz w:val="20"/>
          <w:szCs w:val="18"/>
        </w:rPr>
        <w:t>:</w:t>
      </w:r>
    </w:p>
    <w:p w14:paraId="5E8A8ACF" w14:textId="62459520" w:rsidR="00E7435A" w:rsidRPr="00720A60" w:rsidRDefault="00E7435A" w:rsidP="0048349A">
      <w:pPr>
        <w:spacing w:after="200" w:line="240" w:lineRule="auto"/>
        <w:ind w:left="0" w:firstLine="0"/>
        <w:rPr>
          <w:bCs/>
          <w:sz w:val="20"/>
          <w:szCs w:val="18"/>
        </w:rPr>
      </w:pPr>
      <w:proofErr w:type="spellStart"/>
      <w:r w:rsidRPr="00E14E62">
        <w:rPr>
          <w:bCs/>
          <w:sz w:val="20"/>
          <w:szCs w:val="18"/>
        </w:rPr>
        <w:t>In</w:t>
      </w:r>
      <w:proofErr w:type="spellEnd"/>
      <w:r w:rsidRPr="00E14E62">
        <w:rPr>
          <w:bCs/>
          <w:sz w:val="20"/>
          <w:szCs w:val="18"/>
        </w:rPr>
        <w:t xml:space="preserve"> </w:t>
      </w:r>
      <w:proofErr w:type="spellStart"/>
      <w:r w:rsidRPr="00E14E62">
        <w:rPr>
          <w:bCs/>
          <w:sz w:val="20"/>
          <w:szCs w:val="18"/>
        </w:rPr>
        <w:t>this</w:t>
      </w:r>
      <w:proofErr w:type="spellEnd"/>
      <w:r w:rsidRPr="00E14E62">
        <w:rPr>
          <w:bCs/>
          <w:sz w:val="20"/>
          <w:szCs w:val="18"/>
        </w:rPr>
        <w:t xml:space="preserve"> </w:t>
      </w:r>
      <w:proofErr w:type="spellStart"/>
      <w:r w:rsidRPr="00E14E62">
        <w:rPr>
          <w:bCs/>
          <w:sz w:val="20"/>
          <w:szCs w:val="18"/>
        </w:rPr>
        <w:t>study</w:t>
      </w:r>
      <w:proofErr w:type="spellEnd"/>
      <w:r w:rsidRPr="00E14E62">
        <w:rPr>
          <w:bCs/>
          <w:sz w:val="20"/>
          <w:szCs w:val="18"/>
        </w:rPr>
        <w:t xml:space="preserve">, </w:t>
      </w:r>
      <w:proofErr w:type="spellStart"/>
      <w:r w:rsidRPr="00E14E62">
        <w:rPr>
          <w:bCs/>
          <w:sz w:val="20"/>
          <w:szCs w:val="18"/>
        </w:rPr>
        <w:t>we</w:t>
      </w:r>
      <w:proofErr w:type="spellEnd"/>
      <w:r w:rsidRPr="00E14E62">
        <w:rPr>
          <w:bCs/>
          <w:sz w:val="20"/>
          <w:szCs w:val="18"/>
        </w:rPr>
        <w:t xml:space="preserve"> </w:t>
      </w:r>
      <w:proofErr w:type="spellStart"/>
      <w:r w:rsidRPr="00E14E62">
        <w:rPr>
          <w:bCs/>
          <w:sz w:val="20"/>
          <w:szCs w:val="18"/>
        </w:rPr>
        <w:t>will</w:t>
      </w:r>
      <w:proofErr w:type="spellEnd"/>
      <w:r w:rsidRPr="00E14E62">
        <w:rPr>
          <w:bCs/>
          <w:sz w:val="20"/>
          <w:szCs w:val="18"/>
        </w:rPr>
        <w:t xml:space="preserve"> </w:t>
      </w:r>
      <w:proofErr w:type="spellStart"/>
      <w:r w:rsidRPr="00E14E62">
        <w:rPr>
          <w:bCs/>
          <w:sz w:val="20"/>
          <w:szCs w:val="18"/>
        </w:rPr>
        <w:t>focus</w:t>
      </w:r>
      <w:proofErr w:type="spellEnd"/>
      <w:r w:rsidRPr="00E14E62">
        <w:rPr>
          <w:bCs/>
          <w:sz w:val="20"/>
          <w:szCs w:val="18"/>
        </w:rPr>
        <w:t xml:space="preserve"> on </w:t>
      </w:r>
      <w:proofErr w:type="spellStart"/>
      <w:r w:rsidR="0062154A" w:rsidRPr="00844D3C">
        <w:rPr>
          <w:bCs/>
          <w:sz w:val="20"/>
          <w:szCs w:val="18"/>
        </w:rPr>
        <w:t>trademark</w:t>
      </w:r>
      <w:proofErr w:type="spellEnd"/>
      <w:r w:rsidR="0062154A" w:rsidRPr="00844D3C">
        <w:rPr>
          <w:bCs/>
          <w:sz w:val="20"/>
          <w:szCs w:val="18"/>
        </w:rPr>
        <w:t xml:space="preserve"> </w:t>
      </w:r>
      <w:proofErr w:type="spellStart"/>
      <w:r w:rsidR="0062154A" w:rsidRPr="00844D3C">
        <w:rPr>
          <w:bCs/>
          <w:sz w:val="20"/>
          <w:szCs w:val="18"/>
        </w:rPr>
        <w:t>registration</w:t>
      </w:r>
      <w:proofErr w:type="spellEnd"/>
      <w:r w:rsidR="0062154A" w:rsidRPr="00844D3C">
        <w:rPr>
          <w:bCs/>
          <w:sz w:val="20"/>
          <w:szCs w:val="18"/>
        </w:rPr>
        <w:t xml:space="preserve"> </w:t>
      </w:r>
      <w:proofErr w:type="spellStart"/>
      <w:r w:rsidR="0062154A" w:rsidRPr="00844D3C">
        <w:rPr>
          <w:bCs/>
          <w:sz w:val="20"/>
          <w:szCs w:val="18"/>
        </w:rPr>
        <w:t>and</w:t>
      </w:r>
      <w:proofErr w:type="spellEnd"/>
      <w:r w:rsidR="0062154A" w:rsidRPr="00844D3C">
        <w:rPr>
          <w:bCs/>
          <w:sz w:val="20"/>
          <w:szCs w:val="18"/>
        </w:rPr>
        <w:t xml:space="preserve"> </w:t>
      </w:r>
      <w:proofErr w:type="spellStart"/>
      <w:r w:rsidR="0062154A" w:rsidRPr="00844D3C">
        <w:rPr>
          <w:bCs/>
          <w:sz w:val="20"/>
          <w:szCs w:val="18"/>
        </w:rPr>
        <w:t>functionality</w:t>
      </w:r>
      <w:proofErr w:type="spellEnd"/>
      <w:r w:rsidR="0062154A" w:rsidRPr="00844D3C">
        <w:rPr>
          <w:bCs/>
          <w:sz w:val="20"/>
          <w:szCs w:val="18"/>
        </w:rPr>
        <w:t xml:space="preserve"> of </w:t>
      </w:r>
      <w:proofErr w:type="spellStart"/>
      <w:r w:rsidR="0062154A" w:rsidRPr="00844D3C">
        <w:rPr>
          <w:bCs/>
          <w:sz w:val="20"/>
          <w:szCs w:val="18"/>
        </w:rPr>
        <w:t>trademark</w:t>
      </w:r>
      <w:proofErr w:type="spellEnd"/>
      <w:r w:rsidR="0062154A" w:rsidRPr="00844D3C">
        <w:rPr>
          <w:bCs/>
          <w:sz w:val="20"/>
          <w:szCs w:val="18"/>
        </w:rPr>
        <w:t xml:space="preserve"> </w:t>
      </w:r>
      <w:proofErr w:type="spellStart"/>
      <w:r w:rsidR="0062154A" w:rsidRPr="00844D3C">
        <w:rPr>
          <w:bCs/>
          <w:sz w:val="20"/>
          <w:szCs w:val="18"/>
        </w:rPr>
        <w:t>regist</w:t>
      </w:r>
      <w:r w:rsidR="00554A47" w:rsidRPr="00844D3C">
        <w:rPr>
          <w:bCs/>
          <w:sz w:val="20"/>
          <w:szCs w:val="18"/>
        </w:rPr>
        <w:t>ry</w:t>
      </w:r>
      <w:proofErr w:type="spellEnd"/>
      <w:r w:rsidR="0062154A" w:rsidRPr="00844D3C">
        <w:rPr>
          <w:bCs/>
          <w:sz w:val="20"/>
          <w:szCs w:val="18"/>
        </w:rPr>
        <w:t xml:space="preserve"> </w:t>
      </w:r>
      <w:proofErr w:type="spellStart"/>
      <w:r w:rsidR="0062154A" w:rsidRPr="00844D3C">
        <w:rPr>
          <w:bCs/>
          <w:sz w:val="20"/>
          <w:szCs w:val="18"/>
        </w:rPr>
        <w:t>against</w:t>
      </w:r>
      <w:proofErr w:type="spellEnd"/>
      <w:r w:rsidRPr="00E14E62">
        <w:rPr>
          <w:bCs/>
          <w:sz w:val="20"/>
          <w:szCs w:val="18"/>
        </w:rPr>
        <w:t xml:space="preserve"> </w:t>
      </w:r>
      <w:proofErr w:type="spellStart"/>
      <w:r w:rsidR="0062154A" w:rsidRPr="00844D3C">
        <w:rPr>
          <w:bCs/>
          <w:sz w:val="20"/>
          <w:szCs w:val="18"/>
        </w:rPr>
        <w:t>article</w:t>
      </w:r>
      <w:proofErr w:type="spellEnd"/>
      <w:r w:rsidR="0062154A" w:rsidRPr="00844D3C">
        <w:rPr>
          <w:bCs/>
          <w:sz w:val="20"/>
          <w:szCs w:val="18"/>
        </w:rPr>
        <w:t xml:space="preserve"> </w:t>
      </w:r>
      <w:r w:rsidRPr="00E14E62">
        <w:rPr>
          <w:bCs/>
          <w:sz w:val="20"/>
          <w:szCs w:val="18"/>
        </w:rPr>
        <w:t xml:space="preserve">155 of </w:t>
      </w:r>
      <w:proofErr w:type="spellStart"/>
      <w:r w:rsidR="00356959" w:rsidRPr="00E14E62">
        <w:rPr>
          <w:bCs/>
          <w:sz w:val="20"/>
          <w:szCs w:val="18"/>
        </w:rPr>
        <w:t>Industrial</w:t>
      </w:r>
      <w:proofErr w:type="spellEnd"/>
      <w:r w:rsidR="00356959" w:rsidRPr="00E14E62">
        <w:rPr>
          <w:bCs/>
          <w:sz w:val="20"/>
          <w:szCs w:val="18"/>
        </w:rPr>
        <w:t xml:space="preserve"> </w:t>
      </w:r>
      <w:proofErr w:type="spellStart"/>
      <w:r w:rsidR="00356959" w:rsidRPr="00E14E62">
        <w:rPr>
          <w:bCs/>
          <w:sz w:val="20"/>
          <w:szCs w:val="18"/>
        </w:rPr>
        <w:t>Property</w:t>
      </w:r>
      <w:proofErr w:type="spellEnd"/>
      <w:r w:rsidR="00356959" w:rsidRPr="00E14E62">
        <w:rPr>
          <w:bCs/>
          <w:sz w:val="20"/>
          <w:szCs w:val="18"/>
        </w:rPr>
        <w:t xml:space="preserve"> </w:t>
      </w:r>
      <w:proofErr w:type="spellStart"/>
      <w:r w:rsidR="00356959" w:rsidRPr="00E14E62">
        <w:rPr>
          <w:bCs/>
          <w:sz w:val="20"/>
          <w:szCs w:val="18"/>
        </w:rPr>
        <w:t>Code</w:t>
      </w:r>
      <w:proofErr w:type="spellEnd"/>
      <w:r w:rsidRPr="00E14E62">
        <w:rPr>
          <w:bCs/>
          <w:sz w:val="20"/>
          <w:szCs w:val="18"/>
        </w:rPr>
        <w:t xml:space="preserve">. </w:t>
      </w:r>
      <w:proofErr w:type="spellStart"/>
      <w:r w:rsidR="0062154A" w:rsidRPr="00844D3C">
        <w:rPr>
          <w:bCs/>
          <w:sz w:val="20"/>
          <w:szCs w:val="18"/>
        </w:rPr>
        <w:t>Trademark</w:t>
      </w:r>
      <w:proofErr w:type="spellEnd"/>
      <w:r w:rsidR="0062154A" w:rsidRPr="00844D3C">
        <w:rPr>
          <w:bCs/>
          <w:sz w:val="20"/>
          <w:szCs w:val="18"/>
        </w:rPr>
        <w:t xml:space="preserve"> </w:t>
      </w:r>
      <w:proofErr w:type="spellStart"/>
      <w:r w:rsidR="0062154A" w:rsidRPr="00844D3C">
        <w:rPr>
          <w:bCs/>
          <w:sz w:val="20"/>
          <w:szCs w:val="18"/>
        </w:rPr>
        <w:t>registration</w:t>
      </w:r>
      <w:proofErr w:type="spellEnd"/>
      <w:r w:rsidR="0062154A" w:rsidRPr="00844D3C">
        <w:rPr>
          <w:bCs/>
          <w:sz w:val="20"/>
          <w:szCs w:val="18"/>
        </w:rPr>
        <w:t xml:space="preserve"> </w:t>
      </w:r>
      <w:proofErr w:type="spellStart"/>
      <w:r w:rsidR="0062154A" w:rsidRPr="00844D3C">
        <w:rPr>
          <w:bCs/>
          <w:sz w:val="20"/>
          <w:szCs w:val="18"/>
        </w:rPr>
        <w:t>and</w:t>
      </w:r>
      <w:proofErr w:type="spellEnd"/>
      <w:r w:rsidR="0062154A" w:rsidRPr="00844D3C">
        <w:rPr>
          <w:bCs/>
          <w:sz w:val="20"/>
          <w:szCs w:val="18"/>
        </w:rPr>
        <w:t xml:space="preserve"> </w:t>
      </w:r>
      <w:proofErr w:type="spellStart"/>
      <w:r w:rsidR="00822C08" w:rsidRPr="00844D3C">
        <w:rPr>
          <w:bCs/>
          <w:sz w:val="20"/>
          <w:szCs w:val="18"/>
        </w:rPr>
        <w:t>the</w:t>
      </w:r>
      <w:proofErr w:type="spellEnd"/>
      <w:r w:rsidR="0062154A" w:rsidRPr="00844D3C">
        <w:rPr>
          <w:bCs/>
          <w:sz w:val="20"/>
          <w:szCs w:val="18"/>
        </w:rPr>
        <w:t xml:space="preserve"> </w:t>
      </w:r>
      <w:proofErr w:type="spellStart"/>
      <w:r w:rsidR="0062154A" w:rsidRPr="00844D3C">
        <w:rPr>
          <w:bCs/>
          <w:sz w:val="20"/>
          <w:szCs w:val="18"/>
        </w:rPr>
        <w:t>registry</w:t>
      </w:r>
      <w:proofErr w:type="spellEnd"/>
      <w:r w:rsidR="0062154A" w:rsidRPr="00844D3C">
        <w:rPr>
          <w:bCs/>
          <w:sz w:val="20"/>
          <w:szCs w:val="18"/>
        </w:rPr>
        <w:t xml:space="preserve"> </w:t>
      </w:r>
      <w:proofErr w:type="spellStart"/>
      <w:r w:rsidR="0062154A" w:rsidRPr="00844D3C">
        <w:rPr>
          <w:bCs/>
          <w:sz w:val="20"/>
          <w:szCs w:val="18"/>
        </w:rPr>
        <w:t>have</w:t>
      </w:r>
      <w:proofErr w:type="spellEnd"/>
      <w:r w:rsidR="0062154A" w:rsidRPr="00844D3C">
        <w:rPr>
          <w:bCs/>
          <w:sz w:val="20"/>
          <w:szCs w:val="18"/>
        </w:rPr>
        <w:t xml:space="preserve"> </w:t>
      </w:r>
      <w:proofErr w:type="spellStart"/>
      <w:r w:rsidR="0062154A" w:rsidRPr="00844D3C">
        <w:rPr>
          <w:bCs/>
          <w:sz w:val="20"/>
          <w:szCs w:val="18"/>
        </w:rPr>
        <w:t>emerged</w:t>
      </w:r>
      <w:proofErr w:type="spellEnd"/>
      <w:r w:rsidR="0062154A" w:rsidRPr="00844D3C">
        <w:rPr>
          <w:bCs/>
          <w:sz w:val="20"/>
          <w:szCs w:val="18"/>
        </w:rPr>
        <w:t xml:space="preserve"> </w:t>
      </w:r>
      <w:proofErr w:type="spellStart"/>
      <w:r w:rsidR="0062154A" w:rsidRPr="00844D3C">
        <w:rPr>
          <w:bCs/>
          <w:sz w:val="20"/>
          <w:szCs w:val="18"/>
        </w:rPr>
        <w:t>from</w:t>
      </w:r>
      <w:proofErr w:type="spellEnd"/>
      <w:r w:rsidR="0062154A" w:rsidRPr="00844D3C">
        <w:rPr>
          <w:bCs/>
          <w:sz w:val="20"/>
          <w:szCs w:val="18"/>
        </w:rPr>
        <w:t xml:space="preserve"> a legal </w:t>
      </w:r>
      <w:proofErr w:type="spellStart"/>
      <w:r w:rsidR="0062154A" w:rsidRPr="00844D3C">
        <w:rPr>
          <w:bCs/>
          <w:sz w:val="20"/>
          <w:szCs w:val="18"/>
        </w:rPr>
        <w:t>security</w:t>
      </w:r>
      <w:proofErr w:type="spellEnd"/>
      <w:r w:rsidR="0062154A" w:rsidRPr="00844D3C">
        <w:rPr>
          <w:bCs/>
          <w:sz w:val="20"/>
          <w:szCs w:val="18"/>
        </w:rPr>
        <w:t xml:space="preserve"> </w:t>
      </w:r>
      <w:proofErr w:type="spellStart"/>
      <w:r w:rsidR="0062154A" w:rsidRPr="00844D3C">
        <w:rPr>
          <w:bCs/>
          <w:sz w:val="20"/>
          <w:szCs w:val="18"/>
        </w:rPr>
        <w:t>need</w:t>
      </w:r>
      <w:proofErr w:type="spellEnd"/>
      <w:r w:rsidR="0062154A" w:rsidRPr="00844D3C">
        <w:rPr>
          <w:bCs/>
          <w:sz w:val="20"/>
          <w:szCs w:val="18"/>
        </w:rPr>
        <w:t>.</w:t>
      </w:r>
      <w:r w:rsidR="0062154A" w:rsidRPr="00E14E62">
        <w:t xml:space="preserve"> </w:t>
      </w:r>
      <w:proofErr w:type="spellStart"/>
      <w:r w:rsidR="0062154A" w:rsidRPr="00E14E62">
        <w:rPr>
          <w:bCs/>
          <w:sz w:val="20"/>
          <w:szCs w:val="18"/>
        </w:rPr>
        <w:t>However</w:t>
      </w:r>
      <w:proofErr w:type="spellEnd"/>
      <w:r w:rsidR="0062154A" w:rsidRPr="00E14E62">
        <w:rPr>
          <w:bCs/>
          <w:sz w:val="20"/>
          <w:szCs w:val="18"/>
        </w:rPr>
        <w:t xml:space="preserve">, it can be </w:t>
      </w:r>
      <w:proofErr w:type="spellStart"/>
      <w:r w:rsidR="0062154A" w:rsidRPr="00E14E62">
        <w:rPr>
          <w:bCs/>
          <w:sz w:val="20"/>
          <w:szCs w:val="18"/>
        </w:rPr>
        <w:t>easily</w:t>
      </w:r>
      <w:proofErr w:type="spellEnd"/>
      <w:r w:rsidR="0062154A" w:rsidRPr="00E14E62">
        <w:rPr>
          <w:bCs/>
          <w:sz w:val="20"/>
          <w:szCs w:val="18"/>
        </w:rPr>
        <w:t xml:space="preserve"> </w:t>
      </w:r>
      <w:proofErr w:type="spellStart"/>
      <w:r w:rsidR="0062154A" w:rsidRPr="00E14E62">
        <w:rPr>
          <w:bCs/>
          <w:sz w:val="20"/>
          <w:szCs w:val="18"/>
        </w:rPr>
        <w:t>observed</w:t>
      </w:r>
      <w:proofErr w:type="spellEnd"/>
      <w:r w:rsidR="0062154A" w:rsidRPr="00E14E62">
        <w:rPr>
          <w:bCs/>
          <w:sz w:val="20"/>
          <w:szCs w:val="18"/>
        </w:rPr>
        <w:t xml:space="preserve"> </w:t>
      </w:r>
      <w:proofErr w:type="spellStart"/>
      <w:r w:rsidR="0062154A" w:rsidRPr="00E14E62">
        <w:rPr>
          <w:bCs/>
          <w:sz w:val="20"/>
          <w:szCs w:val="18"/>
        </w:rPr>
        <w:t>that</w:t>
      </w:r>
      <w:proofErr w:type="spellEnd"/>
      <w:r w:rsidR="0062154A" w:rsidRPr="00E14E62">
        <w:rPr>
          <w:bCs/>
          <w:sz w:val="20"/>
          <w:szCs w:val="18"/>
        </w:rPr>
        <w:t xml:space="preserve"> </w:t>
      </w:r>
      <w:proofErr w:type="spellStart"/>
      <w:r w:rsidR="0062154A" w:rsidRPr="00E14E62">
        <w:rPr>
          <w:bCs/>
          <w:sz w:val="20"/>
          <w:szCs w:val="18"/>
        </w:rPr>
        <w:t>the</w:t>
      </w:r>
      <w:proofErr w:type="spellEnd"/>
      <w:r w:rsidR="0062154A" w:rsidRPr="00E14E62">
        <w:rPr>
          <w:bCs/>
          <w:sz w:val="20"/>
          <w:szCs w:val="18"/>
        </w:rPr>
        <w:t xml:space="preserve"> </w:t>
      </w:r>
      <w:proofErr w:type="spellStart"/>
      <w:r w:rsidR="0062154A" w:rsidRPr="00E14E62">
        <w:rPr>
          <w:bCs/>
          <w:sz w:val="20"/>
          <w:szCs w:val="18"/>
        </w:rPr>
        <w:t>trademark</w:t>
      </w:r>
      <w:proofErr w:type="spellEnd"/>
      <w:r w:rsidR="0062154A" w:rsidRPr="00E14E62">
        <w:rPr>
          <w:bCs/>
          <w:sz w:val="20"/>
          <w:szCs w:val="18"/>
        </w:rPr>
        <w:t xml:space="preserve"> </w:t>
      </w:r>
      <w:proofErr w:type="spellStart"/>
      <w:r w:rsidR="0062154A" w:rsidRPr="00E14E62">
        <w:rPr>
          <w:bCs/>
          <w:sz w:val="20"/>
          <w:szCs w:val="18"/>
        </w:rPr>
        <w:t>registry</w:t>
      </w:r>
      <w:proofErr w:type="spellEnd"/>
      <w:r w:rsidR="0062154A" w:rsidRPr="00E14E62">
        <w:rPr>
          <w:bCs/>
          <w:sz w:val="20"/>
          <w:szCs w:val="18"/>
        </w:rPr>
        <w:t xml:space="preserve"> is </w:t>
      </w:r>
      <w:proofErr w:type="spellStart"/>
      <w:r w:rsidR="0062154A" w:rsidRPr="00E14E62">
        <w:rPr>
          <w:bCs/>
          <w:sz w:val="20"/>
          <w:szCs w:val="18"/>
        </w:rPr>
        <w:t>insufficient</w:t>
      </w:r>
      <w:proofErr w:type="spellEnd"/>
      <w:r w:rsidR="0062154A" w:rsidRPr="00E14E62">
        <w:rPr>
          <w:bCs/>
          <w:sz w:val="20"/>
          <w:szCs w:val="18"/>
        </w:rPr>
        <w:t xml:space="preserve"> </w:t>
      </w:r>
      <w:proofErr w:type="spellStart"/>
      <w:r w:rsidR="0062154A" w:rsidRPr="00E14E62">
        <w:rPr>
          <w:bCs/>
          <w:sz w:val="20"/>
          <w:szCs w:val="18"/>
        </w:rPr>
        <w:t>to</w:t>
      </w:r>
      <w:proofErr w:type="spellEnd"/>
      <w:r w:rsidR="0062154A" w:rsidRPr="00E14E62">
        <w:rPr>
          <w:bCs/>
          <w:sz w:val="20"/>
          <w:szCs w:val="18"/>
        </w:rPr>
        <w:t xml:space="preserve"> </w:t>
      </w:r>
      <w:proofErr w:type="spellStart"/>
      <w:r w:rsidR="0062154A" w:rsidRPr="00E14E62">
        <w:rPr>
          <w:bCs/>
          <w:sz w:val="20"/>
          <w:szCs w:val="18"/>
        </w:rPr>
        <w:t>respond</w:t>
      </w:r>
      <w:proofErr w:type="spellEnd"/>
      <w:r w:rsidR="0062154A" w:rsidRPr="00E14E62">
        <w:rPr>
          <w:bCs/>
          <w:sz w:val="20"/>
          <w:szCs w:val="18"/>
        </w:rPr>
        <w:t xml:space="preserve"> </w:t>
      </w:r>
      <w:proofErr w:type="spellStart"/>
      <w:r w:rsidR="0062154A" w:rsidRPr="00E14E62">
        <w:rPr>
          <w:bCs/>
          <w:sz w:val="20"/>
          <w:szCs w:val="18"/>
        </w:rPr>
        <w:t>to</w:t>
      </w:r>
      <w:proofErr w:type="spellEnd"/>
      <w:r w:rsidR="0062154A" w:rsidRPr="00E14E62">
        <w:rPr>
          <w:bCs/>
          <w:sz w:val="20"/>
          <w:szCs w:val="18"/>
        </w:rPr>
        <w:t xml:space="preserve"> </w:t>
      </w:r>
      <w:proofErr w:type="spellStart"/>
      <w:r w:rsidR="0062154A" w:rsidRPr="00E14E62">
        <w:rPr>
          <w:bCs/>
          <w:sz w:val="20"/>
          <w:szCs w:val="18"/>
        </w:rPr>
        <w:t>this</w:t>
      </w:r>
      <w:proofErr w:type="spellEnd"/>
      <w:r w:rsidR="0062154A" w:rsidRPr="00E14E62">
        <w:rPr>
          <w:bCs/>
          <w:sz w:val="20"/>
          <w:szCs w:val="18"/>
        </w:rPr>
        <w:t xml:space="preserve"> </w:t>
      </w:r>
      <w:proofErr w:type="spellStart"/>
      <w:r w:rsidR="0062154A" w:rsidRPr="00E14E62">
        <w:rPr>
          <w:bCs/>
          <w:sz w:val="20"/>
          <w:szCs w:val="18"/>
        </w:rPr>
        <w:t>need</w:t>
      </w:r>
      <w:proofErr w:type="spellEnd"/>
      <w:r w:rsidR="0062154A" w:rsidRPr="00E14E62">
        <w:rPr>
          <w:bCs/>
          <w:sz w:val="20"/>
          <w:szCs w:val="18"/>
        </w:rPr>
        <w:t>.</w:t>
      </w:r>
      <w:r w:rsidR="00554A47" w:rsidRPr="00E14E62">
        <w:rPr>
          <w:bCs/>
          <w:sz w:val="20"/>
          <w:szCs w:val="18"/>
        </w:rPr>
        <w:t xml:space="preserve"> </w:t>
      </w:r>
      <w:proofErr w:type="spellStart"/>
      <w:r w:rsidR="00554A47" w:rsidRPr="00E14E62">
        <w:rPr>
          <w:bCs/>
          <w:sz w:val="20"/>
          <w:szCs w:val="18"/>
        </w:rPr>
        <w:t>The</w:t>
      </w:r>
      <w:proofErr w:type="spellEnd"/>
      <w:r w:rsidR="00554A47" w:rsidRPr="00E14E62">
        <w:rPr>
          <w:bCs/>
          <w:sz w:val="20"/>
          <w:szCs w:val="18"/>
        </w:rPr>
        <w:t xml:space="preserve"> </w:t>
      </w:r>
      <w:proofErr w:type="spellStart"/>
      <w:r w:rsidR="00554A47" w:rsidRPr="00E14E62">
        <w:rPr>
          <w:bCs/>
          <w:sz w:val="20"/>
          <w:szCs w:val="18"/>
        </w:rPr>
        <w:t>above</w:t>
      </w:r>
      <w:proofErr w:type="spellEnd"/>
      <w:r w:rsidR="00554A47" w:rsidRPr="00E14E62">
        <w:rPr>
          <w:bCs/>
          <w:sz w:val="20"/>
          <w:szCs w:val="18"/>
        </w:rPr>
        <w:t xml:space="preserve"> </w:t>
      </w:r>
      <w:proofErr w:type="spellStart"/>
      <w:r w:rsidR="00554A47" w:rsidRPr="00E14E62">
        <w:rPr>
          <w:bCs/>
          <w:sz w:val="20"/>
          <w:szCs w:val="18"/>
        </w:rPr>
        <w:t>mentioned</w:t>
      </w:r>
      <w:proofErr w:type="spellEnd"/>
      <w:r w:rsidR="00554A47" w:rsidRPr="00E14E62">
        <w:rPr>
          <w:bCs/>
          <w:sz w:val="20"/>
          <w:szCs w:val="18"/>
        </w:rPr>
        <w:t xml:space="preserve"> </w:t>
      </w:r>
      <w:proofErr w:type="spellStart"/>
      <w:r w:rsidR="00554A47" w:rsidRPr="00E14E62">
        <w:rPr>
          <w:bCs/>
          <w:sz w:val="20"/>
          <w:szCs w:val="18"/>
        </w:rPr>
        <w:t>article</w:t>
      </w:r>
      <w:proofErr w:type="spellEnd"/>
      <w:r w:rsidR="00554A47" w:rsidRPr="00E14E62">
        <w:rPr>
          <w:bCs/>
          <w:sz w:val="20"/>
          <w:szCs w:val="18"/>
        </w:rPr>
        <w:t xml:space="preserve"> has </w:t>
      </w:r>
      <w:proofErr w:type="spellStart"/>
      <w:r w:rsidR="00554A47" w:rsidRPr="00E14E62">
        <w:rPr>
          <w:bCs/>
          <w:sz w:val="20"/>
          <w:szCs w:val="18"/>
        </w:rPr>
        <w:t>been</w:t>
      </w:r>
      <w:proofErr w:type="spellEnd"/>
      <w:r w:rsidR="00554A47" w:rsidRPr="00E14E62">
        <w:rPr>
          <w:bCs/>
          <w:sz w:val="20"/>
          <w:szCs w:val="18"/>
        </w:rPr>
        <w:t xml:space="preserve"> an </w:t>
      </w:r>
      <w:proofErr w:type="spellStart"/>
      <w:r w:rsidR="00554A47" w:rsidRPr="00E14E62">
        <w:rPr>
          <w:bCs/>
          <w:sz w:val="20"/>
          <w:szCs w:val="18"/>
        </w:rPr>
        <w:t>important</w:t>
      </w:r>
      <w:proofErr w:type="spellEnd"/>
      <w:r w:rsidR="00554A47" w:rsidRPr="00E14E62">
        <w:rPr>
          <w:bCs/>
          <w:sz w:val="20"/>
          <w:szCs w:val="18"/>
        </w:rPr>
        <w:t xml:space="preserve"> step in </w:t>
      </w:r>
      <w:proofErr w:type="spellStart"/>
      <w:r w:rsidR="00554A47" w:rsidRPr="00E14E62">
        <w:rPr>
          <w:bCs/>
          <w:sz w:val="20"/>
          <w:szCs w:val="18"/>
        </w:rPr>
        <w:t>making</w:t>
      </w:r>
      <w:proofErr w:type="spellEnd"/>
      <w:r w:rsidR="00554A47" w:rsidRPr="00E14E62">
        <w:rPr>
          <w:bCs/>
          <w:sz w:val="20"/>
          <w:szCs w:val="18"/>
        </w:rPr>
        <w:t xml:space="preserve"> </w:t>
      </w:r>
      <w:proofErr w:type="spellStart"/>
      <w:r w:rsidR="00554A47" w:rsidRPr="00E14E62">
        <w:rPr>
          <w:bCs/>
          <w:sz w:val="20"/>
          <w:szCs w:val="18"/>
        </w:rPr>
        <w:t>the</w:t>
      </w:r>
      <w:proofErr w:type="spellEnd"/>
      <w:r w:rsidR="00554A47" w:rsidRPr="00E14E62">
        <w:rPr>
          <w:bCs/>
          <w:sz w:val="20"/>
          <w:szCs w:val="18"/>
        </w:rPr>
        <w:t xml:space="preserve"> </w:t>
      </w:r>
      <w:proofErr w:type="spellStart"/>
      <w:r w:rsidR="00554A47" w:rsidRPr="00E14E62">
        <w:rPr>
          <w:bCs/>
          <w:sz w:val="20"/>
          <w:szCs w:val="18"/>
        </w:rPr>
        <w:t>trademark</w:t>
      </w:r>
      <w:proofErr w:type="spellEnd"/>
      <w:r w:rsidR="00554A47" w:rsidRPr="00E14E62">
        <w:rPr>
          <w:bCs/>
          <w:sz w:val="20"/>
          <w:szCs w:val="18"/>
        </w:rPr>
        <w:t xml:space="preserve"> </w:t>
      </w:r>
      <w:proofErr w:type="spellStart"/>
      <w:r w:rsidR="00554A47" w:rsidRPr="00E14E62">
        <w:rPr>
          <w:bCs/>
          <w:sz w:val="20"/>
          <w:szCs w:val="18"/>
        </w:rPr>
        <w:t>registry</w:t>
      </w:r>
      <w:proofErr w:type="spellEnd"/>
      <w:r w:rsidR="00554A47" w:rsidRPr="00E14E62">
        <w:rPr>
          <w:bCs/>
          <w:sz w:val="20"/>
          <w:szCs w:val="18"/>
        </w:rPr>
        <w:t xml:space="preserve"> </w:t>
      </w:r>
      <w:proofErr w:type="spellStart"/>
      <w:r w:rsidR="00554A47" w:rsidRPr="00E14E62">
        <w:rPr>
          <w:bCs/>
          <w:sz w:val="20"/>
          <w:szCs w:val="18"/>
        </w:rPr>
        <w:t>transparent</w:t>
      </w:r>
      <w:proofErr w:type="spellEnd"/>
      <w:r w:rsidR="00554A47" w:rsidRPr="00E14E62">
        <w:rPr>
          <w:bCs/>
          <w:sz w:val="20"/>
          <w:szCs w:val="18"/>
        </w:rPr>
        <w:t xml:space="preserve">. </w:t>
      </w:r>
      <w:proofErr w:type="spellStart"/>
      <w:r w:rsidRPr="00E14E62">
        <w:rPr>
          <w:bCs/>
          <w:sz w:val="20"/>
          <w:szCs w:val="18"/>
        </w:rPr>
        <w:t>In</w:t>
      </w:r>
      <w:proofErr w:type="spellEnd"/>
      <w:r w:rsidRPr="00E14E62">
        <w:rPr>
          <w:bCs/>
          <w:sz w:val="20"/>
          <w:szCs w:val="18"/>
        </w:rPr>
        <w:t xml:space="preserve"> </w:t>
      </w:r>
      <w:proofErr w:type="spellStart"/>
      <w:r w:rsidRPr="00E14E62">
        <w:rPr>
          <w:bCs/>
          <w:sz w:val="20"/>
          <w:szCs w:val="18"/>
        </w:rPr>
        <w:t>this</w:t>
      </w:r>
      <w:proofErr w:type="spellEnd"/>
      <w:r w:rsidRPr="00E14E62">
        <w:rPr>
          <w:bCs/>
          <w:sz w:val="20"/>
          <w:szCs w:val="18"/>
        </w:rPr>
        <w:t xml:space="preserve"> </w:t>
      </w:r>
      <w:proofErr w:type="spellStart"/>
      <w:r w:rsidRPr="00E14E62">
        <w:rPr>
          <w:bCs/>
          <w:sz w:val="20"/>
          <w:szCs w:val="18"/>
        </w:rPr>
        <w:t>context</w:t>
      </w:r>
      <w:proofErr w:type="spellEnd"/>
      <w:r w:rsidRPr="00E14E62">
        <w:rPr>
          <w:bCs/>
          <w:sz w:val="20"/>
          <w:szCs w:val="18"/>
        </w:rPr>
        <w:t xml:space="preserve">, </w:t>
      </w:r>
      <w:proofErr w:type="spellStart"/>
      <w:r w:rsidRPr="00E14E62">
        <w:rPr>
          <w:bCs/>
          <w:sz w:val="20"/>
          <w:szCs w:val="18"/>
        </w:rPr>
        <w:t>first</w:t>
      </w:r>
      <w:proofErr w:type="spellEnd"/>
      <w:r w:rsidRPr="00E14E62">
        <w:rPr>
          <w:bCs/>
          <w:sz w:val="20"/>
          <w:szCs w:val="18"/>
        </w:rPr>
        <w:t xml:space="preserve"> of </w:t>
      </w:r>
      <w:proofErr w:type="spellStart"/>
      <w:r w:rsidRPr="00E14E62">
        <w:rPr>
          <w:bCs/>
          <w:sz w:val="20"/>
          <w:szCs w:val="18"/>
        </w:rPr>
        <w:t>all</w:t>
      </w:r>
      <w:proofErr w:type="spellEnd"/>
      <w:r w:rsidRPr="00E14E62">
        <w:rPr>
          <w:bCs/>
          <w:sz w:val="20"/>
          <w:szCs w:val="18"/>
        </w:rPr>
        <w:t>, i</w:t>
      </w:r>
      <w:r w:rsidR="00822C08" w:rsidRPr="00844D3C">
        <w:rPr>
          <w:bCs/>
          <w:sz w:val="20"/>
          <w:szCs w:val="18"/>
        </w:rPr>
        <w:t>t</w:t>
      </w:r>
      <w:r w:rsidRPr="00E14E62">
        <w:rPr>
          <w:bCs/>
          <w:sz w:val="20"/>
          <w:szCs w:val="18"/>
        </w:rPr>
        <w:t xml:space="preserve"> </w:t>
      </w:r>
      <w:proofErr w:type="spellStart"/>
      <w:r w:rsidRPr="00E14E62">
        <w:rPr>
          <w:bCs/>
          <w:sz w:val="20"/>
          <w:szCs w:val="18"/>
        </w:rPr>
        <w:t>will</w:t>
      </w:r>
      <w:proofErr w:type="spellEnd"/>
      <w:r w:rsidRPr="00E14E62">
        <w:rPr>
          <w:bCs/>
          <w:sz w:val="20"/>
          <w:szCs w:val="18"/>
        </w:rPr>
        <w:t xml:space="preserve"> be </w:t>
      </w:r>
      <w:proofErr w:type="spellStart"/>
      <w:r w:rsidRPr="00E14E62">
        <w:rPr>
          <w:bCs/>
          <w:sz w:val="20"/>
          <w:szCs w:val="18"/>
        </w:rPr>
        <w:t>pointed</w:t>
      </w:r>
      <w:proofErr w:type="spellEnd"/>
      <w:r w:rsidRPr="00E14E62">
        <w:rPr>
          <w:bCs/>
          <w:sz w:val="20"/>
          <w:szCs w:val="18"/>
        </w:rPr>
        <w:t xml:space="preserve"> </w:t>
      </w:r>
      <w:proofErr w:type="spellStart"/>
      <w:r w:rsidRPr="00E14E62">
        <w:rPr>
          <w:bCs/>
          <w:sz w:val="20"/>
          <w:szCs w:val="18"/>
        </w:rPr>
        <w:t>out</w:t>
      </w:r>
      <w:proofErr w:type="spellEnd"/>
      <w:r w:rsidRPr="00E14E62">
        <w:rPr>
          <w:bCs/>
          <w:sz w:val="20"/>
          <w:szCs w:val="18"/>
        </w:rPr>
        <w:t xml:space="preserve"> </w:t>
      </w:r>
      <w:proofErr w:type="spellStart"/>
      <w:r w:rsidRPr="00E14E62">
        <w:rPr>
          <w:bCs/>
          <w:sz w:val="20"/>
          <w:szCs w:val="18"/>
        </w:rPr>
        <w:t>why</w:t>
      </w:r>
      <w:proofErr w:type="spellEnd"/>
      <w:r w:rsidRPr="00E14E62">
        <w:rPr>
          <w:bCs/>
          <w:sz w:val="20"/>
          <w:szCs w:val="18"/>
        </w:rPr>
        <w:t xml:space="preserve"> </w:t>
      </w:r>
      <w:proofErr w:type="spellStart"/>
      <w:r w:rsidRPr="00E14E62">
        <w:rPr>
          <w:bCs/>
          <w:sz w:val="20"/>
          <w:szCs w:val="18"/>
        </w:rPr>
        <w:t>the</w:t>
      </w:r>
      <w:proofErr w:type="spellEnd"/>
      <w:r w:rsidRPr="00E14E62">
        <w:rPr>
          <w:bCs/>
          <w:sz w:val="20"/>
          <w:szCs w:val="18"/>
        </w:rPr>
        <w:t xml:space="preserve"> </w:t>
      </w:r>
      <w:proofErr w:type="spellStart"/>
      <w:r w:rsidRPr="00E14E62">
        <w:rPr>
          <w:bCs/>
          <w:sz w:val="20"/>
          <w:szCs w:val="18"/>
        </w:rPr>
        <w:t>trademark</w:t>
      </w:r>
      <w:proofErr w:type="spellEnd"/>
      <w:r w:rsidRPr="00E14E62">
        <w:rPr>
          <w:bCs/>
          <w:sz w:val="20"/>
          <w:szCs w:val="18"/>
        </w:rPr>
        <w:t xml:space="preserve"> </w:t>
      </w:r>
      <w:proofErr w:type="spellStart"/>
      <w:r w:rsidRPr="00E14E62">
        <w:rPr>
          <w:bCs/>
          <w:sz w:val="20"/>
          <w:szCs w:val="18"/>
        </w:rPr>
        <w:t>registration</w:t>
      </w:r>
      <w:proofErr w:type="spellEnd"/>
      <w:r w:rsidRPr="00E14E62">
        <w:rPr>
          <w:bCs/>
          <w:sz w:val="20"/>
          <w:szCs w:val="18"/>
        </w:rPr>
        <w:t xml:space="preserve"> is </w:t>
      </w:r>
      <w:proofErr w:type="spellStart"/>
      <w:r w:rsidRPr="00E14E62">
        <w:rPr>
          <w:bCs/>
          <w:sz w:val="20"/>
          <w:szCs w:val="18"/>
        </w:rPr>
        <w:t>required</w:t>
      </w:r>
      <w:proofErr w:type="spellEnd"/>
      <w:r w:rsidRPr="00E14E62">
        <w:rPr>
          <w:bCs/>
          <w:sz w:val="20"/>
          <w:szCs w:val="18"/>
        </w:rPr>
        <w:t xml:space="preserve"> </w:t>
      </w:r>
      <w:proofErr w:type="spellStart"/>
      <w:r w:rsidRPr="00E14E62">
        <w:rPr>
          <w:bCs/>
          <w:sz w:val="20"/>
          <w:szCs w:val="18"/>
        </w:rPr>
        <w:t>by</w:t>
      </w:r>
      <w:proofErr w:type="spellEnd"/>
      <w:r w:rsidRPr="00E14E62">
        <w:rPr>
          <w:bCs/>
          <w:sz w:val="20"/>
          <w:szCs w:val="18"/>
        </w:rPr>
        <w:t xml:space="preserve"> </w:t>
      </w:r>
      <w:proofErr w:type="spellStart"/>
      <w:r w:rsidRPr="00E14E62">
        <w:rPr>
          <w:bCs/>
          <w:sz w:val="20"/>
          <w:szCs w:val="18"/>
        </w:rPr>
        <w:t>going</w:t>
      </w:r>
      <w:proofErr w:type="spellEnd"/>
      <w:r w:rsidRPr="00E14E62">
        <w:rPr>
          <w:bCs/>
          <w:sz w:val="20"/>
          <w:szCs w:val="18"/>
        </w:rPr>
        <w:t xml:space="preserve"> </w:t>
      </w:r>
      <w:proofErr w:type="spellStart"/>
      <w:r w:rsidRPr="00E14E62">
        <w:rPr>
          <w:bCs/>
          <w:sz w:val="20"/>
          <w:szCs w:val="18"/>
        </w:rPr>
        <w:t>down</w:t>
      </w:r>
      <w:proofErr w:type="spellEnd"/>
      <w:r w:rsidRPr="00E14E62">
        <w:rPr>
          <w:bCs/>
          <w:sz w:val="20"/>
          <w:szCs w:val="18"/>
        </w:rPr>
        <w:t xml:space="preserve"> </w:t>
      </w:r>
      <w:proofErr w:type="spellStart"/>
      <w:r w:rsidRPr="00E14E62">
        <w:rPr>
          <w:bCs/>
          <w:sz w:val="20"/>
          <w:szCs w:val="18"/>
        </w:rPr>
        <w:t>to</w:t>
      </w:r>
      <w:proofErr w:type="spellEnd"/>
      <w:r w:rsidRPr="00E14E62">
        <w:rPr>
          <w:bCs/>
          <w:sz w:val="20"/>
          <w:szCs w:val="18"/>
        </w:rPr>
        <w:t xml:space="preserve"> </w:t>
      </w:r>
      <w:proofErr w:type="spellStart"/>
      <w:r w:rsidRPr="00E14E62">
        <w:rPr>
          <w:bCs/>
          <w:sz w:val="20"/>
          <w:szCs w:val="18"/>
        </w:rPr>
        <w:t>the</w:t>
      </w:r>
      <w:proofErr w:type="spellEnd"/>
      <w:r w:rsidRPr="00E14E62">
        <w:rPr>
          <w:bCs/>
          <w:sz w:val="20"/>
          <w:szCs w:val="18"/>
        </w:rPr>
        <w:t xml:space="preserve"> </w:t>
      </w:r>
      <w:proofErr w:type="spellStart"/>
      <w:r w:rsidRPr="00E14E62">
        <w:rPr>
          <w:bCs/>
          <w:sz w:val="20"/>
          <w:szCs w:val="18"/>
        </w:rPr>
        <w:t>histor</w:t>
      </w:r>
      <w:r w:rsidR="0074319E" w:rsidRPr="00E14E62">
        <w:rPr>
          <w:bCs/>
          <w:sz w:val="20"/>
          <w:szCs w:val="18"/>
        </w:rPr>
        <w:t>y</w:t>
      </w:r>
      <w:proofErr w:type="spellEnd"/>
      <w:r w:rsidRPr="00E14E62">
        <w:rPr>
          <w:bCs/>
          <w:sz w:val="20"/>
          <w:szCs w:val="18"/>
        </w:rPr>
        <w:t xml:space="preserve"> of </w:t>
      </w:r>
      <w:proofErr w:type="spellStart"/>
      <w:r w:rsidRPr="00E14E62">
        <w:rPr>
          <w:bCs/>
          <w:sz w:val="20"/>
          <w:szCs w:val="18"/>
        </w:rPr>
        <w:t>trademark</w:t>
      </w:r>
      <w:proofErr w:type="spellEnd"/>
      <w:r w:rsidRPr="00E14E62">
        <w:rPr>
          <w:bCs/>
          <w:sz w:val="20"/>
          <w:szCs w:val="18"/>
        </w:rPr>
        <w:t xml:space="preserve"> </w:t>
      </w:r>
      <w:proofErr w:type="spellStart"/>
      <w:r w:rsidR="00E80335" w:rsidRPr="00E14E62">
        <w:rPr>
          <w:bCs/>
          <w:sz w:val="20"/>
          <w:szCs w:val="18"/>
        </w:rPr>
        <w:t>and</w:t>
      </w:r>
      <w:proofErr w:type="spellEnd"/>
      <w:r w:rsidR="00E80335" w:rsidRPr="00E14E62">
        <w:rPr>
          <w:bCs/>
          <w:sz w:val="20"/>
          <w:szCs w:val="18"/>
        </w:rPr>
        <w:t xml:space="preserve"> </w:t>
      </w:r>
      <w:proofErr w:type="spellStart"/>
      <w:r w:rsidR="00E80335" w:rsidRPr="00E14E62">
        <w:rPr>
          <w:bCs/>
          <w:sz w:val="20"/>
          <w:szCs w:val="18"/>
        </w:rPr>
        <w:t>its</w:t>
      </w:r>
      <w:proofErr w:type="spellEnd"/>
      <w:r w:rsidR="00E80335" w:rsidRPr="00E14E62">
        <w:rPr>
          <w:bCs/>
          <w:sz w:val="20"/>
          <w:szCs w:val="18"/>
        </w:rPr>
        <w:t xml:space="preserve"> </w:t>
      </w:r>
      <w:proofErr w:type="spellStart"/>
      <w:r w:rsidRPr="00E14E62">
        <w:rPr>
          <w:bCs/>
          <w:sz w:val="20"/>
          <w:szCs w:val="18"/>
        </w:rPr>
        <w:t>registration</w:t>
      </w:r>
      <w:proofErr w:type="spellEnd"/>
      <w:r w:rsidRPr="00E14E62">
        <w:rPr>
          <w:bCs/>
          <w:sz w:val="20"/>
          <w:szCs w:val="18"/>
        </w:rPr>
        <w:t xml:space="preserve">. </w:t>
      </w:r>
      <w:proofErr w:type="spellStart"/>
      <w:r w:rsidRPr="00E14E62">
        <w:rPr>
          <w:bCs/>
          <w:sz w:val="20"/>
          <w:szCs w:val="18"/>
        </w:rPr>
        <w:t>Subsequently</w:t>
      </w:r>
      <w:proofErr w:type="spellEnd"/>
      <w:r w:rsidRPr="00E14E62">
        <w:rPr>
          <w:bCs/>
          <w:sz w:val="20"/>
          <w:szCs w:val="18"/>
        </w:rPr>
        <w:t xml:space="preserve">, </w:t>
      </w:r>
      <w:proofErr w:type="spellStart"/>
      <w:r w:rsidRPr="00E14E62">
        <w:rPr>
          <w:bCs/>
          <w:sz w:val="20"/>
          <w:szCs w:val="18"/>
        </w:rPr>
        <w:t>the</w:t>
      </w:r>
      <w:proofErr w:type="spellEnd"/>
      <w:r w:rsidRPr="00E14E62">
        <w:rPr>
          <w:bCs/>
          <w:sz w:val="20"/>
          <w:szCs w:val="18"/>
        </w:rPr>
        <w:t xml:space="preserve"> </w:t>
      </w:r>
      <w:proofErr w:type="spellStart"/>
      <w:r w:rsidRPr="00E14E62">
        <w:rPr>
          <w:bCs/>
          <w:sz w:val="20"/>
          <w:szCs w:val="18"/>
        </w:rPr>
        <w:t>functions</w:t>
      </w:r>
      <w:proofErr w:type="spellEnd"/>
      <w:r w:rsidRPr="00E14E62">
        <w:rPr>
          <w:bCs/>
          <w:sz w:val="20"/>
          <w:szCs w:val="18"/>
        </w:rPr>
        <w:t xml:space="preserve"> of </w:t>
      </w:r>
      <w:proofErr w:type="spellStart"/>
      <w:r w:rsidRPr="00E14E62">
        <w:rPr>
          <w:bCs/>
          <w:sz w:val="20"/>
          <w:szCs w:val="18"/>
        </w:rPr>
        <w:t>the</w:t>
      </w:r>
      <w:proofErr w:type="spellEnd"/>
      <w:r w:rsidRPr="00E14E62">
        <w:rPr>
          <w:bCs/>
          <w:sz w:val="20"/>
          <w:szCs w:val="18"/>
        </w:rPr>
        <w:t xml:space="preserve"> </w:t>
      </w:r>
      <w:proofErr w:type="spellStart"/>
      <w:r w:rsidRPr="00E14E62">
        <w:rPr>
          <w:bCs/>
          <w:sz w:val="20"/>
          <w:szCs w:val="18"/>
        </w:rPr>
        <w:t>trademark</w:t>
      </w:r>
      <w:proofErr w:type="spellEnd"/>
      <w:r w:rsidRPr="00E14E62">
        <w:rPr>
          <w:bCs/>
          <w:sz w:val="20"/>
          <w:szCs w:val="18"/>
        </w:rPr>
        <w:t xml:space="preserve"> </w:t>
      </w:r>
      <w:proofErr w:type="spellStart"/>
      <w:r w:rsidRPr="00E14E62">
        <w:rPr>
          <w:bCs/>
          <w:sz w:val="20"/>
          <w:szCs w:val="18"/>
        </w:rPr>
        <w:t>registration</w:t>
      </w:r>
      <w:proofErr w:type="spellEnd"/>
      <w:r w:rsidRPr="00E14E62">
        <w:rPr>
          <w:bCs/>
          <w:sz w:val="20"/>
          <w:szCs w:val="18"/>
        </w:rPr>
        <w:t xml:space="preserve"> </w:t>
      </w:r>
      <w:proofErr w:type="spellStart"/>
      <w:r w:rsidRPr="00E14E62">
        <w:rPr>
          <w:bCs/>
          <w:sz w:val="20"/>
          <w:szCs w:val="18"/>
        </w:rPr>
        <w:t>will</w:t>
      </w:r>
      <w:proofErr w:type="spellEnd"/>
      <w:r w:rsidRPr="00E14E62">
        <w:rPr>
          <w:bCs/>
          <w:sz w:val="20"/>
          <w:szCs w:val="18"/>
        </w:rPr>
        <w:t xml:space="preserve"> be </w:t>
      </w:r>
      <w:proofErr w:type="spellStart"/>
      <w:r w:rsidRPr="00E14E62">
        <w:rPr>
          <w:bCs/>
          <w:sz w:val="20"/>
          <w:szCs w:val="18"/>
        </w:rPr>
        <w:t>analyzed</w:t>
      </w:r>
      <w:proofErr w:type="spellEnd"/>
      <w:r w:rsidRPr="00E14E62">
        <w:rPr>
          <w:bCs/>
          <w:sz w:val="20"/>
          <w:szCs w:val="18"/>
        </w:rPr>
        <w:t xml:space="preserve">. </w:t>
      </w:r>
      <w:proofErr w:type="spellStart"/>
      <w:r w:rsidR="005E3FF3" w:rsidRPr="00E14E62">
        <w:rPr>
          <w:bCs/>
          <w:sz w:val="20"/>
          <w:szCs w:val="18"/>
        </w:rPr>
        <w:t>Finally</w:t>
      </w:r>
      <w:proofErr w:type="spellEnd"/>
      <w:r w:rsidR="005E3FF3" w:rsidRPr="00E14E62">
        <w:rPr>
          <w:bCs/>
          <w:sz w:val="20"/>
          <w:szCs w:val="18"/>
        </w:rPr>
        <w:t xml:space="preserve">, </w:t>
      </w:r>
      <w:proofErr w:type="spellStart"/>
      <w:r w:rsidR="005E3FF3" w:rsidRPr="00E14E62">
        <w:rPr>
          <w:bCs/>
          <w:sz w:val="20"/>
          <w:szCs w:val="18"/>
        </w:rPr>
        <w:t>the</w:t>
      </w:r>
      <w:proofErr w:type="spellEnd"/>
      <w:r w:rsidR="005E3FF3" w:rsidRPr="00E14E62">
        <w:rPr>
          <w:bCs/>
          <w:sz w:val="20"/>
          <w:szCs w:val="18"/>
        </w:rPr>
        <w:t xml:space="preserve"> </w:t>
      </w:r>
      <w:proofErr w:type="spellStart"/>
      <w:r w:rsidR="005E3FF3" w:rsidRPr="00E14E62">
        <w:rPr>
          <w:bCs/>
          <w:sz w:val="20"/>
          <w:szCs w:val="18"/>
        </w:rPr>
        <w:t>effect</w:t>
      </w:r>
      <w:proofErr w:type="spellEnd"/>
      <w:r w:rsidR="005E3FF3" w:rsidRPr="00E14E62">
        <w:rPr>
          <w:bCs/>
          <w:sz w:val="20"/>
          <w:szCs w:val="18"/>
        </w:rPr>
        <w:t xml:space="preserve"> of </w:t>
      </w:r>
      <w:proofErr w:type="spellStart"/>
      <w:r w:rsidR="005E3FF3" w:rsidRPr="00E14E62">
        <w:rPr>
          <w:bCs/>
          <w:sz w:val="20"/>
          <w:szCs w:val="18"/>
        </w:rPr>
        <w:t>the</w:t>
      </w:r>
      <w:proofErr w:type="spellEnd"/>
      <w:r w:rsidR="005E3FF3" w:rsidRPr="00E14E62">
        <w:rPr>
          <w:bCs/>
          <w:sz w:val="20"/>
          <w:szCs w:val="18"/>
        </w:rPr>
        <w:t xml:space="preserve"> </w:t>
      </w:r>
      <w:proofErr w:type="spellStart"/>
      <w:r w:rsidR="005E3FF3" w:rsidRPr="00E14E62">
        <w:rPr>
          <w:bCs/>
          <w:sz w:val="20"/>
          <w:szCs w:val="18"/>
        </w:rPr>
        <w:t>article</w:t>
      </w:r>
      <w:proofErr w:type="spellEnd"/>
      <w:r w:rsidR="005E3FF3" w:rsidRPr="00E14E62">
        <w:rPr>
          <w:bCs/>
          <w:sz w:val="20"/>
          <w:szCs w:val="18"/>
        </w:rPr>
        <w:t xml:space="preserve"> on </w:t>
      </w:r>
      <w:proofErr w:type="spellStart"/>
      <w:r w:rsidR="005E3FF3" w:rsidRPr="00E14E62">
        <w:rPr>
          <w:bCs/>
          <w:sz w:val="20"/>
          <w:szCs w:val="18"/>
        </w:rPr>
        <w:t>the</w:t>
      </w:r>
      <w:proofErr w:type="spellEnd"/>
      <w:r w:rsidR="005E3FF3" w:rsidRPr="00E14E62">
        <w:rPr>
          <w:bCs/>
          <w:sz w:val="20"/>
          <w:szCs w:val="18"/>
        </w:rPr>
        <w:t xml:space="preserve"> </w:t>
      </w:r>
      <w:proofErr w:type="spellStart"/>
      <w:r w:rsidR="005E3FF3" w:rsidRPr="00E14E62">
        <w:rPr>
          <w:bCs/>
          <w:sz w:val="20"/>
          <w:szCs w:val="18"/>
        </w:rPr>
        <w:t>trademark</w:t>
      </w:r>
      <w:proofErr w:type="spellEnd"/>
      <w:r w:rsidR="005E3FF3" w:rsidRPr="00E14E62">
        <w:rPr>
          <w:bCs/>
          <w:sz w:val="20"/>
          <w:szCs w:val="18"/>
        </w:rPr>
        <w:t xml:space="preserve"> </w:t>
      </w:r>
      <w:proofErr w:type="spellStart"/>
      <w:r w:rsidR="005E3FF3" w:rsidRPr="00E14E62">
        <w:rPr>
          <w:bCs/>
          <w:sz w:val="20"/>
          <w:szCs w:val="18"/>
        </w:rPr>
        <w:t>system</w:t>
      </w:r>
      <w:proofErr w:type="spellEnd"/>
      <w:r w:rsidR="005E3FF3" w:rsidRPr="00E14E62">
        <w:rPr>
          <w:bCs/>
          <w:sz w:val="20"/>
          <w:szCs w:val="18"/>
        </w:rPr>
        <w:t xml:space="preserve"> </w:t>
      </w:r>
      <w:proofErr w:type="spellStart"/>
      <w:r w:rsidR="005E3FF3" w:rsidRPr="00E14E62">
        <w:rPr>
          <w:bCs/>
          <w:sz w:val="20"/>
          <w:szCs w:val="18"/>
        </w:rPr>
        <w:t>will</w:t>
      </w:r>
      <w:proofErr w:type="spellEnd"/>
      <w:r w:rsidR="005E3FF3" w:rsidRPr="00E14E62">
        <w:rPr>
          <w:bCs/>
          <w:sz w:val="20"/>
          <w:szCs w:val="18"/>
        </w:rPr>
        <w:t xml:space="preserve"> be </w:t>
      </w:r>
      <w:proofErr w:type="spellStart"/>
      <w:r w:rsidR="005E3FF3" w:rsidRPr="00E14E62">
        <w:rPr>
          <w:bCs/>
          <w:sz w:val="20"/>
          <w:szCs w:val="18"/>
        </w:rPr>
        <w:t>examined</w:t>
      </w:r>
      <w:proofErr w:type="spellEnd"/>
      <w:r w:rsidR="005E3FF3" w:rsidRPr="00E14E62">
        <w:rPr>
          <w:bCs/>
          <w:sz w:val="20"/>
          <w:szCs w:val="18"/>
        </w:rPr>
        <w:t xml:space="preserve"> on </w:t>
      </w:r>
      <w:proofErr w:type="spellStart"/>
      <w:r w:rsidR="005E3FF3" w:rsidRPr="00E14E62">
        <w:rPr>
          <w:bCs/>
          <w:sz w:val="20"/>
          <w:szCs w:val="18"/>
        </w:rPr>
        <w:t>the</w:t>
      </w:r>
      <w:proofErr w:type="spellEnd"/>
      <w:r w:rsidR="005E3FF3" w:rsidRPr="00E14E62">
        <w:rPr>
          <w:bCs/>
          <w:sz w:val="20"/>
          <w:szCs w:val="18"/>
        </w:rPr>
        <w:t xml:space="preserve"> </w:t>
      </w:r>
      <w:proofErr w:type="spellStart"/>
      <w:r w:rsidR="005E3FF3" w:rsidRPr="00E14E62">
        <w:rPr>
          <w:bCs/>
          <w:sz w:val="20"/>
          <w:szCs w:val="18"/>
        </w:rPr>
        <w:t>basis</w:t>
      </w:r>
      <w:proofErr w:type="spellEnd"/>
      <w:r w:rsidR="005E3FF3" w:rsidRPr="00E14E62">
        <w:rPr>
          <w:bCs/>
          <w:sz w:val="20"/>
          <w:szCs w:val="18"/>
        </w:rPr>
        <w:t xml:space="preserve"> of </w:t>
      </w:r>
      <w:proofErr w:type="spellStart"/>
      <w:r w:rsidR="005E3FF3" w:rsidRPr="00E14E62">
        <w:rPr>
          <w:bCs/>
          <w:sz w:val="20"/>
          <w:szCs w:val="18"/>
        </w:rPr>
        <w:t>the</w:t>
      </w:r>
      <w:proofErr w:type="spellEnd"/>
      <w:r w:rsidR="005E3FF3" w:rsidRPr="00E14E62">
        <w:rPr>
          <w:bCs/>
          <w:sz w:val="20"/>
          <w:szCs w:val="18"/>
        </w:rPr>
        <w:t xml:space="preserve"> </w:t>
      </w:r>
      <w:proofErr w:type="spellStart"/>
      <w:r w:rsidR="005E3FF3" w:rsidRPr="00E14E62">
        <w:rPr>
          <w:bCs/>
          <w:sz w:val="20"/>
          <w:szCs w:val="18"/>
        </w:rPr>
        <w:t>trademark</w:t>
      </w:r>
      <w:proofErr w:type="spellEnd"/>
      <w:r w:rsidR="005E3FF3" w:rsidRPr="00E14E62">
        <w:rPr>
          <w:bCs/>
          <w:sz w:val="20"/>
          <w:szCs w:val="18"/>
        </w:rPr>
        <w:t xml:space="preserve"> </w:t>
      </w:r>
      <w:proofErr w:type="spellStart"/>
      <w:r w:rsidR="005E3FF3" w:rsidRPr="00E14E62">
        <w:rPr>
          <w:bCs/>
          <w:sz w:val="20"/>
          <w:szCs w:val="18"/>
        </w:rPr>
        <w:t>registry</w:t>
      </w:r>
      <w:proofErr w:type="spellEnd"/>
      <w:r w:rsidR="005E3FF3" w:rsidRPr="00E14E62">
        <w:rPr>
          <w:bCs/>
          <w:sz w:val="20"/>
          <w:szCs w:val="18"/>
        </w:rPr>
        <w:t>.</w:t>
      </w:r>
    </w:p>
    <w:p w14:paraId="03FC00AB" w14:textId="77777777" w:rsidR="00E7435A" w:rsidRPr="00720A60" w:rsidRDefault="00E7435A" w:rsidP="0048349A">
      <w:pPr>
        <w:spacing w:after="200" w:line="240" w:lineRule="auto"/>
        <w:rPr>
          <w:b/>
          <w:sz w:val="20"/>
          <w:szCs w:val="18"/>
        </w:rPr>
      </w:pPr>
      <w:proofErr w:type="spellStart"/>
      <w:r w:rsidRPr="00720A60">
        <w:rPr>
          <w:b/>
          <w:sz w:val="20"/>
          <w:szCs w:val="18"/>
        </w:rPr>
        <w:t>Keywords</w:t>
      </w:r>
      <w:proofErr w:type="spellEnd"/>
      <w:r w:rsidRPr="00720A60">
        <w:rPr>
          <w:b/>
          <w:sz w:val="20"/>
          <w:szCs w:val="18"/>
        </w:rPr>
        <w:t>:</w:t>
      </w:r>
    </w:p>
    <w:p w14:paraId="75B24EF3" w14:textId="24CBCDF3" w:rsidR="00E7435A" w:rsidRPr="00E7435A" w:rsidRDefault="00E7435A" w:rsidP="005504F3">
      <w:pPr>
        <w:spacing w:after="200" w:line="240" w:lineRule="auto"/>
        <w:ind w:left="0" w:firstLine="0"/>
        <w:rPr>
          <w:bCs/>
          <w:sz w:val="20"/>
          <w:szCs w:val="18"/>
        </w:rPr>
      </w:pPr>
      <w:proofErr w:type="spellStart"/>
      <w:r w:rsidRPr="00720A60">
        <w:rPr>
          <w:bCs/>
          <w:sz w:val="20"/>
          <w:szCs w:val="18"/>
        </w:rPr>
        <w:t>Trademark</w:t>
      </w:r>
      <w:proofErr w:type="spellEnd"/>
      <w:r w:rsidRPr="00720A60">
        <w:rPr>
          <w:bCs/>
          <w:sz w:val="20"/>
          <w:szCs w:val="18"/>
        </w:rPr>
        <w:t xml:space="preserve">, </w:t>
      </w:r>
      <w:proofErr w:type="spellStart"/>
      <w:r w:rsidRPr="00720A60">
        <w:rPr>
          <w:bCs/>
          <w:sz w:val="20"/>
          <w:szCs w:val="18"/>
        </w:rPr>
        <w:t>Registration</w:t>
      </w:r>
      <w:proofErr w:type="spellEnd"/>
      <w:r w:rsidRPr="00720A60">
        <w:rPr>
          <w:bCs/>
          <w:sz w:val="20"/>
          <w:szCs w:val="18"/>
        </w:rPr>
        <w:t>,</w:t>
      </w:r>
      <w:r w:rsidR="00720A60">
        <w:rPr>
          <w:bCs/>
          <w:sz w:val="20"/>
          <w:szCs w:val="18"/>
        </w:rPr>
        <w:t xml:space="preserve"> </w:t>
      </w:r>
      <w:proofErr w:type="spellStart"/>
      <w:r w:rsidR="00720A60">
        <w:rPr>
          <w:bCs/>
          <w:sz w:val="20"/>
          <w:szCs w:val="18"/>
        </w:rPr>
        <w:t>Functionality</w:t>
      </w:r>
      <w:proofErr w:type="spellEnd"/>
      <w:r w:rsidR="00720A60">
        <w:rPr>
          <w:bCs/>
          <w:sz w:val="20"/>
          <w:szCs w:val="18"/>
        </w:rPr>
        <w:t xml:space="preserve"> of </w:t>
      </w:r>
      <w:proofErr w:type="spellStart"/>
      <w:r w:rsidR="00720A60">
        <w:rPr>
          <w:bCs/>
          <w:sz w:val="20"/>
          <w:szCs w:val="18"/>
        </w:rPr>
        <w:t>Trademark</w:t>
      </w:r>
      <w:proofErr w:type="spellEnd"/>
      <w:r w:rsidR="00720A60">
        <w:rPr>
          <w:bCs/>
          <w:sz w:val="20"/>
          <w:szCs w:val="18"/>
        </w:rPr>
        <w:t xml:space="preserve"> </w:t>
      </w:r>
      <w:proofErr w:type="spellStart"/>
      <w:r w:rsidR="00720A60">
        <w:rPr>
          <w:bCs/>
          <w:sz w:val="20"/>
          <w:szCs w:val="18"/>
        </w:rPr>
        <w:t>Registry</w:t>
      </w:r>
      <w:proofErr w:type="spellEnd"/>
      <w:r w:rsidR="00720A60">
        <w:rPr>
          <w:bCs/>
          <w:sz w:val="20"/>
          <w:szCs w:val="18"/>
        </w:rPr>
        <w:t xml:space="preserve">, </w:t>
      </w:r>
      <w:proofErr w:type="spellStart"/>
      <w:r w:rsidRPr="00720A60">
        <w:rPr>
          <w:bCs/>
          <w:sz w:val="20"/>
          <w:szCs w:val="18"/>
        </w:rPr>
        <w:t>Article</w:t>
      </w:r>
      <w:proofErr w:type="spellEnd"/>
      <w:r w:rsidRPr="00720A60">
        <w:rPr>
          <w:bCs/>
          <w:sz w:val="20"/>
          <w:szCs w:val="18"/>
        </w:rPr>
        <w:t xml:space="preserve"> 155 of </w:t>
      </w:r>
      <w:proofErr w:type="spellStart"/>
      <w:r w:rsidR="005504F3" w:rsidRPr="00E14E62">
        <w:rPr>
          <w:bCs/>
          <w:sz w:val="20"/>
          <w:szCs w:val="18"/>
        </w:rPr>
        <w:t>Industrial</w:t>
      </w:r>
      <w:proofErr w:type="spellEnd"/>
      <w:r w:rsidR="005504F3" w:rsidRPr="00E14E62">
        <w:rPr>
          <w:bCs/>
          <w:sz w:val="20"/>
          <w:szCs w:val="18"/>
        </w:rPr>
        <w:t xml:space="preserve"> </w:t>
      </w:r>
      <w:proofErr w:type="spellStart"/>
      <w:r w:rsidR="005504F3" w:rsidRPr="00E14E62">
        <w:rPr>
          <w:bCs/>
          <w:sz w:val="20"/>
          <w:szCs w:val="18"/>
        </w:rPr>
        <w:t>Property</w:t>
      </w:r>
      <w:proofErr w:type="spellEnd"/>
      <w:r w:rsidR="005504F3" w:rsidRPr="00E14E62">
        <w:rPr>
          <w:bCs/>
          <w:sz w:val="20"/>
          <w:szCs w:val="18"/>
        </w:rPr>
        <w:t xml:space="preserve"> </w:t>
      </w:r>
      <w:proofErr w:type="spellStart"/>
      <w:r w:rsidR="005504F3" w:rsidRPr="00E14E62">
        <w:rPr>
          <w:bCs/>
          <w:sz w:val="20"/>
          <w:szCs w:val="18"/>
        </w:rPr>
        <w:t>Code</w:t>
      </w:r>
      <w:proofErr w:type="spellEnd"/>
      <w:r w:rsidRPr="00720A60">
        <w:rPr>
          <w:bCs/>
          <w:sz w:val="20"/>
          <w:szCs w:val="18"/>
        </w:rPr>
        <w:t xml:space="preserve">, </w:t>
      </w:r>
      <w:proofErr w:type="spellStart"/>
      <w:r w:rsidRPr="00720A60">
        <w:rPr>
          <w:bCs/>
          <w:sz w:val="20"/>
          <w:szCs w:val="18"/>
        </w:rPr>
        <w:t>Effect</w:t>
      </w:r>
      <w:proofErr w:type="spellEnd"/>
      <w:r w:rsidRPr="00720A60">
        <w:rPr>
          <w:bCs/>
          <w:sz w:val="20"/>
          <w:szCs w:val="18"/>
        </w:rPr>
        <w:t xml:space="preserve"> of </w:t>
      </w:r>
      <w:proofErr w:type="spellStart"/>
      <w:r w:rsidRPr="00720A60">
        <w:rPr>
          <w:bCs/>
          <w:sz w:val="20"/>
          <w:szCs w:val="18"/>
        </w:rPr>
        <w:t>Previous</w:t>
      </w:r>
      <w:proofErr w:type="spellEnd"/>
      <w:r w:rsidRPr="00720A60">
        <w:rPr>
          <w:bCs/>
          <w:sz w:val="20"/>
          <w:szCs w:val="18"/>
        </w:rPr>
        <w:t xml:space="preserve"> </w:t>
      </w:r>
      <w:proofErr w:type="spellStart"/>
      <w:r w:rsidRPr="00720A60">
        <w:rPr>
          <w:bCs/>
          <w:sz w:val="20"/>
          <w:szCs w:val="18"/>
        </w:rPr>
        <w:t>Rights</w:t>
      </w:r>
      <w:proofErr w:type="spellEnd"/>
      <w:r w:rsidR="001E1642">
        <w:rPr>
          <w:bCs/>
          <w:sz w:val="20"/>
          <w:szCs w:val="18"/>
        </w:rPr>
        <w:t>.</w:t>
      </w:r>
      <w:r w:rsidRPr="00E7435A">
        <w:rPr>
          <w:bCs/>
          <w:sz w:val="20"/>
          <w:szCs w:val="18"/>
        </w:rPr>
        <w:t xml:space="preserve"> </w:t>
      </w:r>
    </w:p>
    <w:p w14:paraId="32A3AD54" w14:textId="23E1D8D8" w:rsidR="00E7435A" w:rsidRDefault="00E7435A" w:rsidP="00E7435A"/>
    <w:p w14:paraId="0F08E841" w14:textId="77777777" w:rsidR="008B1366" w:rsidRDefault="008B1366" w:rsidP="0048349A">
      <w:pPr>
        <w:pStyle w:val="KonuBal"/>
        <w:sectPr w:rsidR="008B1366">
          <w:footerReference w:type="default" r:id="rId8"/>
          <w:footnotePr>
            <w:numFmt w:val="chicago"/>
            <w:numRestart w:val="eachSect"/>
          </w:footnotePr>
          <w:pgSz w:w="11906" w:h="16838"/>
          <w:pgMar w:top="1417" w:right="1417" w:bottom="1417" w:left="1417" w:header="708" w:footer="708" w:gutter="0"/>
          <w:cols w:space="708"/>
          <w:docGrid w:linePitch="360"/>
        </w:sectPr>
      </w:pPr>
    </w:p>
    <w:p w14:paraId="5A4CC46F" w14:textId="66E58AC0" w:rsidR="0048349A" w:rsidRDefault="0048349A" w:rsidP="0048349A">
      <w:pPr>
        <w:pStyle w:val="KonuBal"/>
      </w:pPr>
      <w:r>
        <w:lastRenderedPageBreak/>
        <w:t>Giriş</w:t>
      </w:r>
    </w:p>
    <w:p w14:paraId="2EB3ECB4" w14:textId="42D0A795" w:rsidR="0048349A" w:rsidRDefault="0048349A" w:rsidP="0048349A">
      <w:pPr>
        <w:ind w:left="0" w:firstLine="0"/>
      </w:pPr>
      <w:r>
        <w:t>Bu çalışmamızda, 6769 sayılı Sınai Mülkiyet Kanunu’nun</w:t>
      </w:r>
      <w:r w:rsidR="00A50118">
        <w:rPr>
          <w:rStyle w:val="DipnotBavurusu"/>
        </w:rPr>
        <w:footnoteReference w:id="2"/>
      </w:r>
      <w:r>
        <w:t xml:space="preserve"> 155’inci maddesi </w:t>
      </w:r>
      <w:r w:rsidR="00566E49">
        <w:t>karşısında</w:t>
      </w:r>
      <w:r>
        <w:t xml:space="preserve"> </w:t>
      </w:r>
      <w:r w:rsidR="00E74401">
        <w:t xml:space="preserve">marka tescili üzerine eğileceğiz. </w:t>
      </w:r>
    </w:p>
    <w:p w14:paraId="478C7C0C" w14:textId="75F06F0E" w:rsidR="0048349A" w:rsidRDefault="0048349A" w:rsidP="0048349A">
      <w:pPr>
        <w:ind w:left="0" w:firstLine="0"/>
      </w:pPr>
      <w:r>
        <w:t xml:space="preserve">“Önceki tarihli hakların etkisi” başlıklı maddeye göre, </w:t>
      </w:r>
      <w:r w:rsidRPr="0048349A">
        <w:rPr>
          <w:i/>
          <w:iCs/>
        </w:rPr>
        <w:t>“(m)arka, patent veya tasarım hakkı sahibi, kendi hakkından daha önceki rüçhan veya başvuru tarihine sahip hak sahiplerinin açmış olduğu tecavüz davasında, sahip olduğu sınai mülkiyet hakkını savunma gerekçesi olarak ileri süremez.</w:t>
      </w:r>
      <w:r>
        <w:t>” Buna göre, sonraki tarihli marka sahibi, önceki tarihli marka sahiplerinin açmış olduğu marka tecavüzü davasında, tescile dayalı kullanım savunmasını</w:t>
      </w:r>
      <w:r w:rsidR="00A50118">
        <w:rPr>
          <w:rStyle w:val="DipnotBavurusu"/>
        </w:rPr>
        <w:footnoteReference w:id="3"/>
      </w:r>
      <w:r>
        <w:t xml:space="preserve"> ileri süremeyecek ve önceki tarihli marka sahiplerinin müdahalesi ile karşı karşıya kalacaktır</w:t>
      </w:r>
      <w:r w:rsidR="009011B5">
        <w:rPr>
          <w:rStyle w:val="DipnotBavurusu"/>
        </w:rPr>
        <w:footnoteReference w:id="4"/>
      </w:r>
      <w:r>
        <w:t xml:space="preserve">. </w:t>
      </w:r>
    </w:p>
    <w:p w14:paraId="22D7A0BD" w14:textId="07054472" w:rsidR="00A50118" w:rsidRDefault="0048349A" w:rsidP="0048349A">
      <w:pPr>
        <w:ind w:left="0" w:firstLine="0"/>
      </w:pPr>
      <w:r>
        <w:t xml:space="preserve">Görüleceği üzere, marka tesciline yüklenen anlam bir yandan sağlamlaştırılmış, öte yandan ise zayıflatılmıştır. Gerçekten, önceki tarihli marka sahipleri, mutlak haklarını </w:t>
      </w:r>
      <w:r w:rsidR="00787DEC">
        <w:t xml:space="preserve">kendisinden sonraki </w:t>
      </w:r>
      <w:r w:rsidRPr="0048349A">
        <w:rPr>
          <w:i/>
          <w:iCs/>
        </w:rPr>
        <w:t>herkese</w:t>
      </w:r>
      <w:r>
        <w:t xml:space="preserve"> karşı ileri sürebilir konuma gelirken, sonraki tarihli marka sahipleri ise tescilin sağladığı savunma olanaklarından önceki tarihli marka sahiplerine karşı faydalanamaz kılınmıştır. Maddenin, ilk bakışta, detaya inmeden ortaya çıkardığı bu sonuç, önceki tarihli marka sahibi ile sonraki tarihli marka sahibi arasındaki menfaat çatışması, bu menfaat çatışmasının önceki tarihli marka sahibi lehine çözülmesinin yerindeliği çalışmamızın konusu değildir. </w:t>
      </w:r>
    </w:p>
    <w:p w14:paraId="35A6D1A2" w14:textId="6A3CDDDB" w:rsidR="0048349A" w:rsidRPr="0048349A" w:rsidRDefault="0048349A" w:rsidP="0048349A">
      <w:pPr>
        <w:ind w:left="0" w:firstLine="0"/>
      </w:pPr>
      <w:r>
        <w:t>Çalışmamız</w:t>
      </w:r>
      <w:r w:rsidR="00787DEC">
        <w:t>ın amacı</w:t>
      </w:r>
      <w:r>
        <w:t xml:space="preserve">, </w:t>
      </w:r>
      <w:r w:rsidR="00E74401">
        <w:t xml:space="preserve">marka tesciline </w:t>
      </w:r>
      <w:r w:rsidR="00E14E62">
        <w:t>dürbün tutmak, bu bağlamda tescilin fonksiyonlarına, tescil sisteminde çatışan menfaatleri ortaya koymak</w:t>
      </w:r>
      <w:r w:rsidR="00E74401">
        <w:t xml:space="preserve"> ve </w:t>
      </w:r>
      <w:r>
        <w:t>madde ile getirilen düzenlemenin, uzun vadede marka sistemine getireceği işlerliğ</w:t>
      </w:r>
      <w:r w:rsidR="00E74401">
        <w:t xml:space="preserve">e işaret etmek </w:t>
      </w:r>
      <w:r>
        <w:t xml:space="preserve">ve maddeye ilişkin eleştiri ve öneriler </w:t>
      </w:r>
      <w:r>
        <w:lastRenderedPageBreak/>
        <w:t>sunulurken pek göz önünde bulundurulmadığını düşündüğümüz birtakım hususları gün yüzüne çıkarmaktır.</w:t>
      </w:r>
      <w:r w:rsidR="001C3E7F">
        <w:t xml:space="preserve"> </w:t>
      </w:r>
    </w:p>
    <w:p w14:paraId="5770D588" w14:textId="08DC0D68" w:rsidR="00E7435A" w:rsidRDefault="00357B8C" w:rsidP="0048349A">
      <w:pPr>
        <w:pStyle w:val="Balk1"/>
      </w:pPr>
      <w:r>
        <w:t xml:space="preserve">MARKA VE </w:t>
      </w:r>
      <w:r w:rsidR="0048349A">
        <w:t>MARKA TESCİLİNE TARİHİ BİR BAKIŞ</w:t>
      </w:r>
    </w:p>
    <w:p w14:paraId="06CD2316" w14:textId="7FD969C6" w:rsidR="0048349A" w:rsidRDefault="0048349A" w:rsidP="00A94806">
      <w:pPr>
        <w:ind w:left="0" w:firstLine="0"/>
      </w:pPr>
      <w:r>
        <w:t>Marka kavramının temeli Antik Çağ’a kadar uzanmaktadır</w:t>
      </w:r>
      <w:r>
        <w:rPr>
          <w:rStyle w:val="DipnotBavurusu"/>
        </w:rPr>
        <w:footnoteReference w:id="5"/>
      </w:r>
      <w:r>
        <w:t>.</w:t>
      </w:r>
      <w:r w:rsidRPr="0048349A">
        <w:t xml:space="preserve"> </w:t>
      </w:r>
      <w:r>
        <w:t>Fakat marka kavramına yüklenen anlam ve marka sisteminin işleyişi</w:t>
      </w:r>
      <w:r w:rsidR="00A61215">
        <w:t>,</w:t>
      </w:r>
      <w:r>
        <w:t xml:space="preserve"> toplumların sosyoekonomik yapısının değişimine paralel olarak </w:t>
      </w:r>
      <w:r w:rsidR="00A61215">
        <w:t xml:space="preserve">zaman içerisinde </w:t>
      </w:r>
      <w:r>
        <w:t>farklılaşmıştır. İşte marka tescilinin ortaya çıkışı, bu sosyoekonomik yapı değişiminin bir neticesidir.</w:t>
      </w:r>
    </w:p>
    <w:p w14:paraId="3ED024C3" w14:textId="093F3812" w:rsidR="00A94806" w:rsidRDefault="0048349A" w:rsidP="00A94806">
      <w:pPr>
        <w:ind w:left="0" w:firstLine="0"/>
      </w:pPr>
      <w:r>
        <w:t>Eski çağlarda marka olarak kabul edebileceğimiz işaretler, bilhassa eşyaların, nesnelerin veya üretilen ürünlerin bir gruba veya bir kimseye aidiyetini göstermek amacıyla kullanılmakta idi</w:t>
      </w:r>
      <w:r>
        <w:rPr>
          <w:rStyle w:val="DipnotBavurusu"/>
        </w:rPr>
        <w:footnoteReference w:id="6"/>
      </w:r>
      <w:r>
        <w:t xml:space="preserve">. </w:t>
      </w:r>
      <w:r w:rsidR="00B6436B">
        <w:rPr>
          <w:szCs w:val="28"/>
        </w:rPr>
        <w:t>O</w:t>
      </w:r>
      <w:r w:rsidR="00A94806">
        <w:rPr>
          <w:szCs w:val="28"/>
        </w:rPr>
        <w:t>rta Çağ’da ise, lonca sisteminin şekillendirdiği ekonomik yapı sebebiyle marka kullanımı yaygınlaşmıştır. Loncaların denetimi altındaki kişilere, ürettikleri ürünler üzerinde, ürünün kendisinden sadır olduğunu gösteren bir işaret kullanmayı zorunlu kılması sayesinde marka kullanımı bir hayli artmıştır</w:t>
      </w:r>
      <w:r w:rsidR="00A94806">
        <w:rPr>
          <w:rStyle w:val="DipnotBavurusu"/>
          <w:szCs w:val="28"/>
        </w:rPr>
        <w:footnoteReference w:id="7"/>
      </w:r>
      <w:r w:rsidR="00A94806">
        <w:rPr>
          <w:szCs w:val="28"/>
        </w:rPr>
        <w:t>.</w:t>
      </w:r>
      <w:r w:rsidR="003A05F5" w:rsidRPr="003A05F5">
        <w:rPr>
          <w:szCs w:val="28"/>
        </w:rPr>
        <w:t xml:space="preserve"> </w:t>
      </w:r>
    </w:p>
    <w:p w14:paraId="099D4808" w14:textId="58B5FF45" w:rsidR="00A94806" w:rsidRDefault="00A94806" w:rsidP="00A94806">
      <w:pPr>
        <w:ind w:left="0" w:firstLine="0"/>
      </w:pPr>
      <w:r>
        <w:t>Modern manasıyla marka kavramının</w:t>
      </w:r>
      <w:r w:rsidR="00B6436B">
        <w:t xml:space="preserve"> ve tescil olgusunun</w:t>
      </w:r>
      <w:r>
        <w:t xml:space="preserve"> ortaya çıkışı ise Fransız İhtilali ve Sanayi Devrimi ile kesişmektedir. Fransız İhtilali’nin yeşerttiği eşitlik düşüncesi loncaları ve sahip olduğu ayrıcalıkları silerken, Sanayi Devrimi ile ilkel üretim yöntemleri yerini modern-seri üretim yöntemlerine terk etmiştir</w:t>
      </w:r>
      <w:r>
        <w:rPr>
          <w:rStyle w:val="DipnotBavurusu"/>
        </w:rPr>
        <w:footnoteReference w:id="8"/>
      </w:r>
      <w:r>
        <w:t xml:space="preserve">. Bu gelişmeler ticareti belirli bir kesimin tekelinden çıkararak daha geniş kitlelere yaymış ve ticaretin evrensel boyutlara ulaşmasının, hızlanmasının </w:t>
      </w:r>
      <w:r>
        <w:lastRenderedPageBreak/>
        <w:t>yolunu açmıştır. Ticaretin gelişmesi ile üretici ve tüketici arasındaki fiziki bağ ortadan kalkmış ve bu</w:t>
      </w:r>
      <w:r w:rsidR="00B859A1">
        <w:t xml:space="preserve"> bağı temine yarayan bir enstrüman ihtiyacı hasıl olmuştur</w:t>
      </w:r>
      <w:r w:rsidR="00B859A1">
        <w:rPr>
          <w:rStyle w:val="DipnotBavurusu"/>
        </w:rPr>
        <w:footnoteReference w:id="9"/>
      </w:r>
      <w:r w:rsidR="00B859A1">
        <w:t>. İşte bu (hayali) bağın merkezinde “marka” kavramı modern anlamıyla ortaya çıkmıştır.</w:t>
      </w:r>
    </w:p>
    <w:p w14:paraId="3475DFB2" w14:textId="726232FD" w:rsidR="00B6436B" w:rsidRDefault="00B859A1" w:rsidP="00B859A1">
      <w:pPr>
        <w:ind w:left="0" w:firstLine="0"/>
      </w:pPr>
      <w:r>
        <w:t>Markanın iktisadi hayatın ayrılmaz bir parçası olmaya başladığı bu son dönemde “hukuki güvenlik” endişeleri baş göstermiştir. Bir yandan yeni marka kullanmak isteyen teşebbüsler halihazırda kullanılan markaları tespit edebilmek ve seçimlerini ona göre yapabilmek isterken, öte yandan markalarını uzun süredir kullanan kişilerin bu “öncelik hakkını” rahatlıkla ispat edebilmeye duydukları ihtiyaç ekseninde kanunlaşma faaliyetleri başlamış ve tescil kavramı ortaya çıkmıştır</w:t>
      </w:r>
      <w:r>
        <w:rPr>
          <w:rStyle w:val="DipnotBavurusu"/>
        </w:rPr>
        <w:footnoteReference w:id="10"/>
      </w:r>
      <w:r>
        <w:t>. Hatta giderek tescil, marka hakkının elde edilmesinde tek imkân olarak sunulur hale gelmiş ve “ilk kullanma” ile marka hakkının elde edilmesine dayalı sistem terk edilmek zorunda kalınmıştır</w:t>
      </w:r>
      <w:r>
        <w:rPr>
          <w:rStyle w:val="DipnotBavurusu"/>
        </w:rPr>
        <w:footnoteReference w:id="11"/>
      </w:r>
      <w:r w:rsidR="007D621E">
        <w:rPr>
          <w:vertAlign w:val="superscript"/>
        </w:rPr>
        <w:t xml:space="preserve">, </w:t>
      </w:r>
      <w:r w:rsidR="007D621E">
        <w:rPr>
          <w:rStyle w:val="DipnotBavurusu"/>
        </w:rPr>
        <w:footnoteReference w:id="12"/>
      </w:r>
      <w:r>
        <w:t>.</w:t>
      </w:r>
      <w:r w:rsidR="00B6436B">
        <w:t xml:space="preserve"> Nitekim, bugün başta Kıta Avrupası olmak üzere birçok ülkede marka koruması tescil ile elde edilebilmektedir</w:t>
      </w:r>
      <w:r w:rsidR="00B6436B">
        <w:rPr>
          <w:rStyle w:val="DipnotBavurusu"/>
        </w:rPr>
        <w:footnoteReference w:id="13"/>
      </w:r>
      <w:r w:rsidR="00B6436B">
        <w:t>.</w:t>
      </w:r>
    </w:p>
    <w:p w14:paraId="6E49C320" w14:textId="77777777" w:rsidR="00B6436B" w:rsidRDefault="00B6436B" w:rsidP="00B859A1">
      <w:pPr>
        <w:ind w:left="0" w:firstLine="0"/>
      </w:pPr>
    </w:p>
    <w:p w14:paraId="1908A62F" w14:textId="3C4B128A" w:rsidR="00A94533" w:rsidRDefault="00A94533" w:rsidP="00A94533">
      <w:pPr>
        <w:ind w:left="0" w:firstLine="0"/>
      </w:pPr>
      <w:r>
        <w:lastRenderedPageBreak/>
        <w:t xml:space="preserve">Sonuç itibarıyla, marka tesciline duyulan ihtiyacın temelinde, tarihsel süreç içerisinde ekonominin ve ticaretin gelişmesinin beraberinde getirdiği çeşitlilikten kaynaklanan “güvensizliğin” ortadan kaldırılması </w:t>
      </w:r>
      <w:r w:rsidR="00D51EDF">
        <w:t>ve marka sistemindeki yapı bozukluğunu giderme</w:t>
      </w:r>
      <w:r w:rsidR="00417609">
        <w:t xml:space="preserve"> amaçları yatmaktadır</w:t>
      </w:r>
      <w:r w:rsidR="00417609">
        <w:rPr>
          <w:rStyle w:val="DipnotBavurusu"/>
        </w:rPr>
        <w:footnoteReference w:id="14"/>
      </w:r>
      <w:r w:rsidR="00417609">
        <w:t xml:space="preserve">. </w:t>
      </w:r>
      <w:r>
        <w:t xml:space="preserve">Şimdi bu “hukuki güvenlik” şemsiyesinin altında, </w:t>
      </w:r>
      <w:r w:rsidR="005B07EC">
        <w:t xml:space="preserve">marka </w:t>
      </w:r>
      <w:r>
        <w:t>tescilinin fonksiyonlarını teşhis edelim.</w:t>
      </w:r>
    </w:p>
    <w:p w14:paraId="115F889D" w14:textId="68B6B514" w:rsidR="00A94533" w:rsidRDefault="00A94533" w:rsidP="00A94533">
      <w:pPr>
        <w:pStyle w:val="Balk1"/>
      </w:pPr>
      <w:r>
        <w:t>MARKA TESCİLİNİN FONKSİYONLARI</w:t>
      </w:r>
    </w:p>
    <w:p w14:paraId="421A2551" w14:textId="27131113" w:rsidR="00B859A1" w:rsidRDefault="00A94533" w:rsidP="00A94806">
      <w:pPr>
        <w:ind w:left="0" w:firstLine="0"/>
        <w:rPr>
          <w:szCs w:val="28"/>
        </w:rPr>
      </w:pPr>
      <w:r w:rsidRPr="00A94533">
        <w:rPr>
          <w:szCs w:val="28"/>
        </w:rPr>
        <w:t xml:space="preserve">Marka tescili olgusunun altında işleyen “hukuki güven” kaygısı çeşitli meselelere dair olabilir. İşte marka tescili bu kaygıları gidermek noktasında çeşitli fonksiyonlar ile donatılmıştır. </w:t>
      </w:r>
    </w:p>
    <w:p w14:paraId="15B11D58" w14:textId="249E6627" w:rsidR="00A94533" w:rsidRDefault="00924085" w:rsidP="0038572C">
      <w:pPr>
        <w:pStyle w:val="Balk2"/>
        <w:ind w:left="284" w:hanging="284"/>
      </w:pPr>
      <w:r>
        <w:t>Tanımlama Fonksiyonu</w:t>
      </w:r>
    </w:p>
    <w:p w14:paraId="25BE1316" w14:textId="7C56BC55" w:rsidR="00924085" w:rsidRDefault="00924085" w:rsidP="00924085">
      <w:pPr>
        <w:ind w:left="0" w:firstLine="0"/>
      </w:pPr>
      <w:r>
        <w:t>Marka tesciline duyulan ihtiyacın ilk sebebi, bir yandan marka hakkının konusu olan işaretin ve işarete sağlanan korumanın kapsamını belirleyecek olan mal veya hizmetlerin tanımlanması/belirlenmesi</w:t>
      </w:r>
      <w:r>
        <w:rPr>
          <w:rStyle w:val="DipnotBavurusu"/>
        </w:rPr>
        <w:footnoteReference w:id="15"/>
      </w:r>
      <w:r>
        <w:t xml:space="preserve"> iken, öte yandan hakkın sahibinin kim olduğunun tespitine yönelik ihtiyaçtır</w:t>
      </w:r>
      <w:r>
        <w:rPr>
          <w:rStyle w:val="DipnotBavurusu"/>
        </w:rPr>
        <w:footnoteReference w:id="16"/>
      </w:r>
      <w:r>
        <w:t>.</w:t>
      </w:r>
    </w:p>
    <w:p w14:paraId="3A14471B" w14:textId="2FD2C671" w:rsidR="00924085" w:rsidRDefault="00924085" w:rsidP="00924085">
      <w:pPr>
        <w:ind w:left="0" w:firstLine="0"/>
      </w:pPr>
      <w:r>
        <w:t>Marka hakkı, mutlak bir haktır</w:t>
      </w:r>
      <w:r>
        <w:rPr>
          <w:rStyle w:val="DipnotBavurusu"/>
        </w:rPr>
        <w:footnoteReference w:id="17"/>
      </w:r>
      <w:r>
        <w:t xml:space="preserve"> ve sahibine marka olarak tescil edilen işareti, tescile konu mal veya hizmetler (ve benzerleri) nazarında kullanma ve üçüncü kişilerin kullanımını engelleme konusunda inhisari (tekelci) bir yetki bahşeder</w:t>
      </w:r>
      <w:r>
        <w:rPr>
          <w:rStyle w:val="DipnotBavurusu"/>
        </w:rPr>
        <w:footnoteReference w:id="18"/>
      </w:r>
      <w:r>
        <w:t xml:space="preserve">. Marka hakkının bu mutlak ve inhisari niteliği, belirli işaretlerin belirli mal veya hizmetler nazarında topluma kapatılması sonucunu doğurduğundan, hangi işaretin hangi mal veya hizmetler tahtında topluma kapatıldığının </w:t>
      </w:r>
      <w:r>
        <w:lastRenderedPageBreak/>
        <w:t>tanımlanması/teşhisi/belirlenmesi büyük önem arz eder</w:t>
      </w:r>
      <w:r>
        <w:rPr>
          <w:rStyle w:val="DipnotBavurusu"/>
        </w:rPr>
        <w:footnoteReference w:id="19"/>
      </w:r>
      <w:r>
        <w:t xml:space="preserve">. Zira ancak konusu ve kapsamı (sınırları) belirli olan bir hak, sahibine inhisari yetkiler bahşedebilir. </w:t>
      </w:r>
    </w:p>
    <w:p w14:paraId="7DCB8C4B" w14:textId="3088C826" w:rsidR="004944AC" w:rsidRDefault="004944AC" w:rsidP="004944AC">
      <w:pPr>
        <w:ind w:left="0" w:firstLine="0"/>
      </w:pPr>
      <w:r>
        <w:t xml:space="preserve">Marka tescilinin hakkın konusu ve kapsamını tanımlama işlevine </w:t>
      </w:r>
      <w:proofErr w:type="spellStart"/>
      <w:r>
        <w:t>SMK’nin</w:t>
      </w:r>
      <w:proofErr w:type="spellEnd"/>
      <w:r>
        <w:t xml:space="preserve"> sair hükümlerinde temas edilmiştir. Söz gelimi, </w:t>
      </w:r>
      <w:proofErr w:type="spellStart"/>
      <w:r>
        <w:t>SMK’nin</w:t>
      </w:r>
      <w:proofErr w:type="spellEnd"/>
      <w:r>
        <w:t xml:space="preserve"> “marka olabilecek işaretleri” tanımlayan </w:t>
      </w:r>
      <w:r w:rsidR="0038572C">
        <w:t>4’üncü</w:t>
      </w:r>
      <w:r>
        <w:t xml:space="preserve"> maddesinde, marka olarak tescili talep edilen işaretin “</w:t>
      </w:r>
      <w:r w:rsidRPr="007C65B2">
        <w:rPr>
          <w:i/>
          <w:iCs/>
        </w:rPr>
        <w:t>marka sahibine sağlanan korumanın konusunun açık ve kesin olarak anlaşılmasını sağlayabilecek şekilde sicilde gösterilebilir olması</w:t>
      </w:r>
      <w:r>
        <w:t>” gerektiği vurgulanmakta ve tescilin hakkın konusu olan işareti teşhis noktasındaki fonksiyonu ortaya konulmaktadır</w:t>
      </w:r>
      <w:r>
        <w:rPr>
          <w:rStyle w:val="DipnotBavurusu"/>
        </w:rPr>
        <w:footnoteReference w:id="20"/>
      </w:r>
      <w:r>
        <w:t xml:space="preserve">. Yine benzer şekilde, </w:t>
      </w:r>
      <w:proofErr w:type="spellStart"/>
      <w:r>
        <w:t>SMK’nin</w:t>
      </w:r>
      <w:proofErr w:type="spellEnd"/>
      <w:r>
        <w:t xml:space="preserve"> başvuru şartlarını düzenleyen 11’inci maddesinde</w:t>
      </w:r>
      <w:r w:rsidR="0038572C">
        <w:t>,</w:t>
      </w:r>
      <w:r>
        <w:t xml:space="preserve"> marka başvurusunun “marka örneğini ve başvuruya konu mal veya hizmetlerin listesini” göstermesi gerektiği serdedilerek, </w:t>
      </w:r>
      <w:r w:rsidR="00EE575B">
        <w:t>tescilin</w:t>
      </w:r>
      <w:r>
        <w:t xml:space="preserve"> tanımlama fonksiyonunun işlerliği sağlanmaktadır. Antrparantez, bu örneklerde zikredilen düzenlemeler yalnızca markanın tanımlama fonksiyonunu işler kılmak için değil, aynı zamanda aşağıda yer vereceğimiz bürokratik fonksiyon ve bilgi fonksiyonunu da çalışır kılma amacına hizmet eder. </w:t>
      </w:r>
    </w:p>
    <w:p w14:paraId="04D2182E" w14:textId="69E479D1" w:rsidR="004944AC" w:rsidRDefault="004944AC" w:rsidP="004944AC">
      <w:pPr>
        <w:ind w:left="0" w:firstLine="0"/>
      </w:pPr>
      <w:r>
        <w:t>Öte yandan, tanımlama fonksiyonu sayesinde hakkın sahibinin teşhisi de mümkün kılınmaktadır</w:t>
      </w:r>
      <w:r>
        <w:rPr>
          <w:rStyle w:val="DipnotBavurusu"/>
        </w:rPr>
        <w:footnoteReference w:id="21"/>
      </w:r>
      <w:r>
        <w:t>. Fakat önemle belirtmek gerekir ki, tescilin hakkın sahibini tanımlama fonksiyonu, sicilde hak sahibi gözüken kişiye şekli bir hak sahipliği kazandırmaktadır</w:t>
      </w:r>
      <w:r>
        <w:rPr>
          <w:rStyle w:val="DipnotBavurusu"/>
        </w:rPr>
        <w:footnoteReference w:id="22"/>
      </w:r>
      <w:r>
        <w:t xml:space="preserve">. </w:t>
      </w:r>
      <w:r w:rsidR="0038572C">
        <w:t xml:space="preserve">Daha açık bir deyişle, sicilde hak sahibi gözüken kişi maddi anlamda hak sahibi olmayabilir. </w:t>
      </w:r>
      <w:r w:rsidR="00B064BF">
        <w:t xml:space="preserve">Nitekim </w:t>
      </w:r>
      <w:r w:rsidR="0038572C">
        <w:t>SMK m. 155 hükmü bu hususu açıkça ortaya koyar niteliktedir.</w:t>
      </w:r>
    </w:p>
    <w:p w14:paraId="0AF644CD" w14:textId="328C87B1" w:rsidR="004944AC" w:rsidRDefault="004944AC" w:rsidP="004944AC">
      <w:pPr>
        <w:ind w:left="0" w:firstLine="0"/>
      </w:pPr>
      <w:r>
        <w:t>Marka tescili, tanımlama fonksiyonu sayesinde marka olarak korunan işareti ve bu korumanın kapsamını teşhise olanak sağlar ve marka hakkının sahibine sağladığı korumayı “hukuki güvenlik” ilkesi ekseninde şekillendirir. Son olarak, ifade etmek gerekir ki, marka tescilinin tanımlama fonksiyonu aşağıda zikredeceğimiz diğer iki fonksiyonun temelini teşkil eder. Marka</w:t>
      </w:r>
      <w:r w:rsidR="007E32C0">
        <w:t xml:space="preserve"> tescilinin</w:t>
      </w:r>
      <w:r>
        <w:t xml:space="preserve"> tanımlama fonksiyonu ne denli açık, kesin ve doğru bir şekilde yerine getirilmişse</w:t>
      </w:r>
      <w:r w:rsidR="007E32C0">
        <w:t xml:space="preserve"> tescilin</w:t>
      </w:r>
      <w:r>
        <w:t xml:space="preserve"> diğer fonksiyonları da bu nispette işler kılınabilecektir.</w:t>
      </w:r>
    </w:p>
    <w:p w14:paraId="5B951F1E" w14:textId="5D7E624E" w:rsidR="004944AC" w:rsidRDefault="004944AC" w:rsidP="0038572C">
      <w:pPr>
        <w:pStyle w:val="Balk2"/>
        <w:ind w:left="284" w:hanging="284"/>
      </w:pPr>
      <w:r>
        <w:t>Bürokratik Fonksiyon</w:t>
      </w:r>
    </w:p>
    <w:p w14:paraId="62B2B5AF" w14:textId="77777777" w:rsidR="004944AC" w:rsidRDefault="004944AC" w:rsidP="004944AC">
      <w:pPr>
        <w:ind w:left="0" w:firstLine="0"/>
      </w:pPr>
      <w:r>
        <w:lastRenderedPageBreak/>
        <w:t>Marka tescilinin bürokratik fonksiyonu ile ifade etmeye çalıştığımız husus, tescilin idari ve adli makam ve otoritelerin önüne gelen uyuşmazlıklarda/değerlendirmelerde marka siciline bakarak hakkın konusu ve kapsamını net bir şekilde tayin edebilmelerine imkân sağlamasıdır</w:t>
      </w:r>
      <w:r>
        <w:rPr>
          <w:rStyle w:val="DipnotBavurusu"/>
        </w:rPr>
        <w:footnoteReference w:id="23"/>
      </w:r>
      <w:r>
        <w:t>. İşte, marka tesciline duyulan ihtiyacın altında yatan ikinci sebep idari ve adli otoritelerin incelemelerini kolaylaştırmak ve süreçleri hızlandırmaktır.</w:t>
      </w:r>
    </w:p>
    <w:p w14:paraId="56833DCC" w14:textId="7737118D" w:rsidR="004944AC" w:rsidRDefault="004944AC" w:rsidP="004944AC">
      <w:pPr>
        <w:ind w:left="0" w:firstLine="0"/>
      </w:pPr>
      <w:r>
        <w:t xml:space="preserve">Bu meyanda, marka başvurularının değerlendirilmesinden, yayıma itiraz prosedürlerinin işler kılınmasına; marka tecavüzünden hükümsüzlük uyuşmazlıklarının incelenmesine kadar geniş bir yelpazeyi marka tescilinin bürokratik fonksiyonu kapsamına dahil etmek mümkündür. </w:t>
      </w:r>
      <w:r w:rsidR="00822C08">
        <w:t xml:space="preserve">Görüldüğü üzere </w:t>
      </w:r>
      <w:r>
        <w:t>marka tescili, başta TÜRKPATENT</w:t>
      </w:r>
      <w:r w:rsidR="00D54F59">
        <w:rPr>
          <w:rStyle w:val="DipnotBavurusu"/>
        </w:rPr>
        <w:footnoteReference w:id="24"/>
      </w:r>
      <w:r>
        <w:t xml:space="preserve"> olmak üzere idari makamlar ve adli makamların önüne gelen uyuşmazlıklarda inceleme konusu olan marka hakkının konusu</w:t>
      </w:r>
      <w:r w:rsidR="00B064BF">
        <w:t>nu</w:t>
      </w:r>
      <w:r>
        <w:t xml:space="preserve"> ve kapsamını rahatlıkla belirleyebilmesine olanak tanımakta ve inceleme süreçlerinin kolaylaşmasına ve hızlanmasına yardımcı olmaktadır. Söz gelimi, marka olarak tescil edilen işaretin ayırt edici unsurları değiştirilmeden kullanımı SMK m. 9 bağlamında markanın kullanımı olarak mütalaa edilmekte ve marka korunmaktadır</w:t>
      </w:r>
      <w:r w:rsidR="0038572C">
        <w:t xml:space="preserve"> (SMK m. 9.2.a)</w:t>
      </w:r>
      <w:r w:rsidR="0038572C">
        <w:rPr>
          <w:rStyle w:val="DipnotBavurusu"/>
        </w:rPr>
        <w:footnoteReference w:id="25"/>
      </w:r>
      <w:r>
        <w:t>. İşte markanın kullanılıp kullanılmadığına ilişkin bir uyuşmazlıkta, ilk olarak incelenecek hususlardan biri markanın tescil edildiği biçimiyle kullanılıp kullanılmadığıdır. Bu noktada, tescilin bürokratik fonksiyonu devreye girmektedir.</w:t>
      </w:r>
    </w:p>
    <w:p w14:paraId="03E6910E" w14:textId="77777777" w:rsidR="004944AC" w:rsidRDefault="004944AC" w:rsidP="004944AC">
      <w:pPr>
        <w:ind w:left="0" w:firstLine="0"/>
      </w:pPr>
      <w:r>
        <w:t>Tescilin bürokratik fonksiyonunun işler kılınması, ancak marka olarak tescili talep edilen işaretlerin ve tescile konu mal veya hizmetlerin açık, kesin, anlaşılabilir olması ile mümkündür</w:t>
      </w:r>
      <w:r>
        <w:rPr>
          <w:rStyle w:val="DipnotBavurusu"/>
        </w:rPr>
        <w:footnoteReference w:id="26"/>
      </w:r>
      <w:r>
        <w:t xml:space="preserve">.  </w:t>
      </w:r>
    </w:p>
    <w:p w14:paraId="548E30C3" w14:textId="7387D42D" w:rsidR="004944AC" w:rsidRPr="004944AC" w:rsidRDefault="004944AC" w:rsidP="0038572C">
      <w:pPr>
        <w:pStyle w:val="Balk2"/>
        <w:ind w:left="284" w:hanging="284"/>
      </w:pPr>
      <w:r>
        <w:t>Bilgi Fonksiyonu</w:t>
      </w:r>
    </w:p>
    <w:p w14:paraId="13D87175" w14:textId="113AD3A2" w:rsidR="004944AC" w:rsidRDefault="004944AC" w:rsidP="004944AC">
      <w:pPr>
        <w:ind w:left="0" w:firstLine="0"/>
      </w:pPr>
      <w:r>
        <w:t>Marka tesciline duyulan ihtiyacın altında çalışan üçüncü ve son sebep, kamunun ve bilhassa muhtemel rakiplerin/piyasa aktörlerinin mevcut markalar hakkında bilgi sahibi olma isteğidir</w:t>
      </w:r>
      <w:r w:rsidR="00330873">
        <w:rPr>
          <w:rStyle w:val="DipnotBavurusu"/>
        </w:rPr>
        <w:footnoteReference w:id="27"/>
      </w:r>
      <w:r>
        <w:t xml:space="preserve">. </w:t>
      </w:r>
    </w:p>
    <w:p w14:paraId="71854096" w14:textId="697F5B96" w:rsidR="004944AC" w:rsidRDefault="004944AC" w:rsidP="004944AC">
      <w:pPr>
        <w:ind w:left="0" w:firstLine="0"/>
      </w:pPr>
      <w:r>
        <w:lastRenderedPageBreak/>
        <w:t>Marka tescili, kamunun ve muhtemel rakiplerin marka olarak korunan işaretler ve bunlara bahşedilen korumanın kapsamına dair bilgi edinmesine hizmet eder</w:t>
      </w:r>
      <w:r>
        <w:rPr>
          <w:rStyle w:val="DipnotBavurusu"/>
        </w:rPr>
        <w:footnoteReference w:id="28"/>
      </w:r>
      <w:r>
        <w:t>. Potansiyel bir yatırımcı/teşebbüs faaliyetlerini yürütürken kullanacağı bir işaret seçmek zorundadır</w:t>
      </w:r>
      <w:r>
        <w:rPr>
          <w:rStyle w:val="DipnotBavurusu"/>
        </w:rPr>
        <w:footnoteReference w:id="29"/>
      </w:r>
      <w:r>
        <w:t>. İşte bu kişi, bir işaret seçmek ve kullanmak istediği zaman, halihazırda mevcut ve seçilmiş işaretleri ve bunların kapsamını bilmek isteyecektir ki, farklı bir işaret seçebilsin ve markanın temel fonksiyonu olan ayırt edicilik fonksiyonunu</w:t>
      </w:r>
      <w:r>
        <w:rPr>
          <w:rStyle w:val="DipnotBavurusu"/>
        </w:rPr>
        <w:footnoteReference w:id="30"/>
      </w:r>
      <w:r>
        <w:t xml:space="preserve"> işler kılabilsin</w:t>
      </w:r>
      <w:r w:rsidR="00E20C9A">
        <w:rPr>
          <w:rStyle w:val="DipnotBavurusu"/>
        </w:rPr>
        <w:footnoteReference w:id="31"/>
      </w:r>
      <w:r w:rsidR="00E20C9A">
        <w:t>.</w:t>
      </w:r>
    </w:p>
    <w:p w14:paraId="3DAA1A31" w14:textId="710FD155" w:rsidR="004944AC" w:rsidRDefault="004944AC" w:rsidP="004944AC">
      <w:pPr>
        <w:ind w:left="0" w:firstLine="0"/>
      </w:pPr>
      <w:r>
        <w:t>Mevzunun bir de tüketiciler açısından cari olan boyutu vardır. Şöyle ki, markanın bilgi işlevi sayesinde tüketiciler marka sahiplerini rahatlıkla teşhis edebilmekte</w:t>
      </w:r>
      <w:r w:rsidR="005430BD">
        <w:rPr>
          <w:rStyle w:val="DipnotBavurusu"/>
        </w:rPr>
        <w:footnoteReference w:id="32"/>
      </w:r>
      <w:r>
        <w:t xml:space="preserve"> ve markanın arkasındaki teşebbüse karşı haklarını rahatlıkla kullanabilmektedir. Tüketiciler bir de dolaylı olarak, markanın bilgi işlevinden etkilenmektedir. Zira, markanın bilgi işlevi sayesinde tescile konu markalar birbirinden farklılaşmakta ve markaların ayırt edicilik işlevi etkin kılınarak markada teklik ilkesi</w:t>
      </w:r>
      <w:r w:rsidR="005D0A9F">
        <w:rPr>
          <w:rStyle w:val="DipnotBavurusu"/>
        </w:rPr>
        <w:footnoteReference w:id="33"/>
      </w:r>
      <w:r>
        <w:t xml:space="preserve"> ekseninde tüketicilerin arzu ettikleri ürünlere (markalara) ulaşımı engellenmemiş olmaktadır. </w:t>
      </w:r>
    </w:p>
    <w:p w14:paraId="581FA066" w14:textId="16A951A6" w:rsidR="006F1E9E" w:rsidRPr="00B4756E" w:rsidRDefault="004944AC" w:rsidP="004944AC">
      <w:pPr>
        <w:ind w:left="0" w:firstLine="0"/>
      </w:pPr>
      <w:r>
        <w:t>Sonuç olarak, marka tescilinin bilgi fonksiyonu ve marka sicilinin aleni olması</w:t>
      </w:r>
      <w:r w:rsidR="00C1135C">
        <w:rPr>
          <w:rStyle w:val="DipnotBavurusu"/>
        </w:rPr>
        <w:footnoteReference w:id="34"/>
      </w:r>
      <w:r>
        <w:t xml:space="preserve"> kamunun ve üçüncü kişilerin</w:t>
      </w:r>
      <w:r w:rsidR="00B064BF">
        <w:t>,</w:t>
      </w:r>
      <w:r>
        <w:t xml:space="preserve"> marka sisteminde faaliyet gösteren aktörleri ve bunların sahip olduğu hakkın konusu ve kapsamı konusunda bilgilendirilmesine hizmet etmektedir. </w:t>
      </w:r>
    </w:p>
    <w:p w14:paraId="71B47666" w14:textId="28389ADD" w:rsidR="004944AC" w:rsidRDefault="004944AC" w:rsidP="004944AC">
      <w:pPr>
        <w:pStyle w:val="Balk1"/>
        <w:tabs>
          <w:tab w:val="left" w:pos="426"/>
        </w:tabs>
      </w:pPr>
      <w:r>
        <w:lastRenderedPageBreak/>
        <w:t>MARKA TESCİL SİSTEMİ TAHTINDA ÇATIŞAN MENFAATLER</w:t>
      </w:r>
    </w:p>
    <w:p w14:paraId="63620181" w14:textId="0F10BA19" w:rsidR="003D469C" w:rsidRDefault="003D469C" w:rsidP="004944AC">
      <w:pPr>
        <w:ind w:left="0" w:firstLine="0"/>
      </w:pPr>
      <w:r>
        <w:t>Marka tescilinin fonksiyonlarını ortaya koyduktan sonra, bu başlık altında incelemeyi arzu ettiğimiz husus şudur: Marka tescil süreci (prosedürü) zikrettiğimiz bu fonksiyonları temin noktasında nasıl bir etkiye sahiptir ve giderek marka tescil prosedürü hangi menfaatler arasındaki konkurun etrafında şekillenmektedir?</w:t>
      </w:r>
    </w:p>
    <w:p w14:paraId="0CDDD72B" w14:textId="4C103C57" w:rsidR="004944AC" w:rsidRDefault="004944AC" w:rsidP="004944AC">
      <w:pPr>
        <w:ind w:left="0" w:firstLine="0"/>
      </w:pPr>
      <w:r>
        <w:t>Bir işaretin marka olarak tescili, tescil sürecinde öngörülen aşamalar ve bu aşamalarda yerine getirilen denetim faaliyetleri temelde iki menfaat arasındaki çatışmanın tezahürünü yansıtmaktadır. Bir yanda, yeni marka başvurusu yapacak olanların marka siciline girişini kolaylaştırma ve bu sayede markalaşmayı korumaktaki menfaat; diğer yanda ise halihazırda tescilli marka sahiplerinin, sahip olduğu işaret üzerindeki tekel hakkının korunması ve bu sayede marka fonksiyonlarının icra edilebilirliğinin zedelenmemesi menfaati. İşte bu iki menfaat arasındaki çatışma, tescil sistemlerinin sıkılığını/zorluğunu şekillendirmekte ve giderek marka tescilinin yukarıda zikrettiğimiz fonksiyonlarının işlerliğini artırıp/azaltmaktadır.</w:t>
      </w:r>
      <w:r w:rsidR="003D469C">
        <w:t xml:space="preserve"> </w:t>
      </w:r>
    </w:p>
    <w:p w14:paraId="3FC4850D" w14:textId="1EDDBDB4" w:rsidR="00554A47" w:rsidRDefault="004944AC" w:rsidP="004944AC">
      <w:pPr>
        <w:ind w:left="0" w:firstLine="0"/>
      </w:pPr>
      <w:r>
        <w:t>Türk hukukunda</w:t>
      </w:r>
      <w:r w:rsidR="00EC195E">
        <w:t>,</w:t>
      </w:r>
      <w:r>
        <w:t xml:space="preserve"> marka tescil sistemin</w:t>
      </w:r>
      <w:r w:rsidR="00EC195E">
        <w:t>de</w:t>
      </w:r>
      <w:r>
        <w:t>, işaretin daha önce kullanımını</w:t>
      </w:r>
      <w:r w:rsidR="00EC195E">
        <w:t>n</w:t>
      </w:r>
      <w:r>
        <w:t xml:space="preserve"> şart olarak </w:t>
      </w:r>
      <w:r w:rsidR="00EC195E">
        <w:t>ön</w:t>
      </w:r>
      <w:r>
        <w:t>gör</w:t>
      </w:r>
      <w:r w:rsidR="00EC195E">
        <w:t>ül</w:t>
      </w:r>
      <w:r>
        <w:t>memesi</w:t>
      </w:r>
      <w:r w:rsidR="00D73D91">
        <w:t xml:space="preserve"> ve giderek kullanma niyetinin dahi aranmaması,</w:t>
      </w:r>
      <w:r>
        <w:t xml:space="preserve"> Nis Sınıflandırmasında yer verilen ve esasen markada belirlilik ilkesini layıkıyla yerine getirmekten son derece uzak olan geniş ve muğlak terimleri içeren mal veya hizmet listelerinin kabul edilmesi gibi hususlar yeni marka başvurusunda bulunacak kişileri korumayı</w:t>
      </w:r>
      <w:r w:rsidR="00D73D91">
        <w:t xml:space="preserve"> </w:t>
      </w:r>
      <w:r>
        <w:t xml:space="preserve">amaçlamaktadır. </w:t>
      </w:r>
      <w:r w:rsidR="00D73D91">
        <w:t>Zira değindiğimiz</w:t>
      </w:r>
      <w:r>
        <w:t xml:space="preserve"> bu kolaylıklar sayesinde, marka başvurusu yapacak olan kişiler ciddi emek ve mesai harcamaksızın, sadece başvuru için öngörülen </w:t>
      </w:r>
      <w:r w:rsidR="00B064BF">
        <w:t xml:space="preserve">cüzi </w:t>
      </w:r>
      <w:r>
        <w:t>ücreti ödeyerek sınırları muğlak ve son derece geniş bir mal veya hizmet listesi kapsamında marka hakkına sahip olabilmekte</w:t>
      </w:r>
      <w:r w:rsidR="00FC0773">
        <w:t>dir</w:t>
      </w:r>
      <w:r w:rsidR="001870D8">
        <w:t xml:space="preserve"> ve markayı henüz kullanmasa dahi bir “teminat” elde etmektedir.</w:t>
      </w:r>
      <w:r w:rsidR="007973AC">
        <w:t xml:space="preserve"> </w:t>
      </w:r>
    </w:p>
    <w:p w14:paraId="04062EB8" w14:textId="2B6C3AAC" w:rsidR="00554A47" w:rsidRDefault="00554A47" w:rsidP="004944AC">
      <w:pPr>
        <w:ind w:left="0" w:firstLine="0"/>
      </w:pPr>
      <w:r>
        <w:t xml:space="preserve">Bununla birlikte, çatışan bu iki menfaatten mülhem olarak, marka tescil süreçlerinin temelinde ülkenin iktisadî gelişmişliğinin ve ticari hayatın dinamiklerinin de etkili olduğu gözden kaçırılmamalıdır. Bilhassa, Türkiye gibi gelişmekte olan ülkeler, iktisadî gelişimlerini hızlandırmak ve yatırımcıları teşvik etmek amacıyla marka tescilini kolaylaştırma yolunda tercihler sergilemektedirler. Yine benzer şekilde, Türkiye ekonomisinin özgünlükten ziyade taklide/iltibasa dayalı yapısı, </w:t>
      </w:r>
      <w:r w:rsidR="0080643B">
        <w:t xml:space="preserve">marka tescilini kolaylaştırma ve tescilli bir markaya geniş bir </w:t>
      </w:r>
      <w:r w:rsidR="0080643B">
        <w:lastRenderedPageBreak/>
        <w:t xml:space="preserve">koruma sahası </w:t>
      </w:r>
      <w:r w:rsidR="00844D3C">
        <w:t xml:space="preserve">sağlama </w:t>
      </w:r>
      <w:r w:rsidR="0080643B">
        <w:t>tercihini beraberinde</w:t>
      </w:r>
      <w:r>
        <w:t xml:space="preserve"> geti</w:t>
      </w:r>
      <w:r w:rsidRPr="00101057">
        <w:t>rmiştir</w:t>
      </w:r>
      <w:r w:rsidR="003B556D">
        <w:rPr>
          <w:rStyle w:val="DipnotBavurusu"/>
        </w:rPr>
        <w:footnoteReference w:id="35"/>
      </w:r>
      <w:r w:rsidRPr="00101057">
        <w:t>. Faka</w:t>
      </w:r>
      <w:r w:rsidR="00FD0D8D" w:rsidRPr="00101057">
        <w:t xml:space="preserve">t, bu tercihler uzun vadede marka sisteminin işlerliğini </w:t>
      </w:r>
      <w:r w:rsidR="0080643B" w:rsidRPr="00101057">
        <w:t>zedelemektedir</w:t>
      </w:r>
      <w:r w:rsidR="0080643B">
        <w:t>.</w:t>
      </w:r>
      <w:r w:rsidR="00FD0D8D">
        <w:t xml:space="preserve"> </w:t>
      </w:r>
    </w:p>
    <w:p w14:paraId="1D0596A2" w14:textId="3E1C87F1" w:rsidR="004944AC" w:rsidRDefault="00FD0D8D" w:rsidP="004944AC">
      <w:pPr>
        <w:ind w:left="0" w:firstLine="0"/>
      </w:pPr>
      <w:r>
        <w:t>Nitekim, m</w:t>
      </w:r>
      <w:r w:rsidR="004944AC">
        <w:t>arka tescilinde sağlanan bu kolaylık, marka siciline girişleri kolaylaştırı</w:t>
      </w:r>
      <w:r w:rsidR="007973AC">
        <w:t>rken</w:t>
      </w:r>
      <w:r w:rsidR="004944AC">
        <w:t xml:space="preserve">, </w:t>
      </w:r>
      <w:r w:rsidR="00EE575B">
        <w:rPr>
          <w:i/>
          <w:iCs/>
        </w:rPr>
        <w:t>tescilin</w:t>
      </w:r>
      <w:r w:rsidR="004944AC" w:rsidRPr="003D469C">
        <w:rPr>
          <w:i/>
          <w:iCs/>
        </w:rPr>
        <w:t xml:space="preserve"> temel fonksiyonlarını yerine getirmesine mâni olarak marka sisteminin işleyişini zedeleyecek sarsıntılara</w:t>
      </w:r>
      <w:r w:rsidR="004944AC">
        <w:t xml:space="preserve"> sebep olmaktadır</w:t>
      </w:r>
      <w:r w:rsidR="00F3298B">
        <w:rPr>
          <w:rStyle w:val="DipnotBavurusu"/>
        </w:rPr>
        <w:footnoteReference w:id="36"/>
      </w:r>
      <w:r w:rsidR="004944AC">
        <w:t>. Zira, marka sicili uzun vadede, aynı veya benzer çok sayıda işaretin aynı veya benzer mal veya hizmetlere yönelik tescil edildiği bir ortam haline gelmektedir</w:t>
      </w:r>
      <w:r w:rsidR="00A50118">
        <w:rPr>
          <w:rStyle w:val="DipnotBavurusu"/>
        </w:rPr>
        <w:footnoteReference w:id="37"/>
      </w:r>
      <w:r w:rsidR="004944AC">
        <w:t xml:space="preserve">. </w:t>
      </w:r>
      <w:r w:rsidR="0024737C">
        <w:t>Böyle bir marka sisteminin hem yeni marka başvurusu yapacak olanları hem halihazırda marka sahibi olanları olumsuz etkilemesi yanında, tüm üçüncü kişileri olumsuz etkileyecek sonuçları olmaktadır</w:t>
      </w:r>
      <w:r w:rsidR="001978D6">
        <w:rPr>
          <w:rStyle w:val="DipnotBavurusu"/>
        </w:rPr>
        <w:footnoteReference w:id="38"/>
      </w:r>
      <w:r w:rsidR="00B53922">
        <w:rPr>
          <w:vertAlign w:val="superscript"/>
        </w:rPr>
        <w:t xml:space="preserve">, </w:t>
      </w:r>
      <w:r w:rsidR="00B53922">
        <w:rPr>
          <w:rStyle w:val="DipnotBavurusu"/>
        </w:rPr>
        <w:footnoteReference w:id="39"/>
      </w:r>
      <w:r w:rsidR="0024737C">
        <w:t>.</w:t>
      </w:r>
    </w:p>
    <w:p w14:paraId="22EEA0B0" w14:textId="4CB4D29B" w:rsidR="0080643B" w:rsidRDefault="0080643B" w:rsidP="004944AC">
      <w:pPr>
        <w:ind w:left="0" w:firstLine="0"/>
      </w:pPr>
      <w:r>
        <w:t>Öte yandan, altını çizerek önemle değinmek gerekir ki,</w:t>
      </w:r>
      <w:r w:rsidR="0033417B">
        <w:t xml:space="preserve"> m</w:t>
      </w:r>
      <w:r w:rsidR="004944AC">
        <w:t xml:space="preserve">arka siciline girişin kolay olduğu sistemlerde, sistemin işlerliğini gözetim yükümlülüğü halihazırda sicile kayıtlı olan tescil sahiplerine yüklenmiş iken, aksi senaryoda, yani sicile girişin zor olduğu sistemlerde ise, bu gözetim yükümlülüğü </w:t>
      </w:r>
      <w:r w:rsidR="004944AC" w:rsidRPr="003D469C">
        <w:rPr>
          <w:i/>
          <w:iCs/>
        </w:rPr>
        <w:t xml:space="preserve">a </w:t>
      </w:r>
      <w:proofErr w:type="spellStart"/>
      <w:r w:rsidR="004944AC" w:rsidRPr="003D469C">
        <w:rPr>
          <w:i/>
          <w:iCs/>
        </w:rPr>
        <w:t>prori</w:t>
      </w:r>
      <w:proofErr w:type="spellEnd"/>
      <w:r w:rsidR="004944AC">
        <w:t xml:space="preserve"> marka başvurusu yapacak kişilere yüklenmiştir</w:t>
      </w:r>
      <w:r w:rsidR="00D73D91">
        <w:rPr>
          <w:rStyle w:val="DipnotBavurusu"/>
        </w:rPr>
        <w:footnoteReference w:id="40"/>
      </w:r>
      <w:r w:rsidR="004944AC">
        <w:t>.</w:t>
      </w:r>
      <w:r>
        <w:t xml:space="preserve"> </w:t>
      </w:r>
    </w:p>
    <w:p w14:paraId="15F2B677" w14:textId="5411C0EC" w:rsidR="0080643B" w:rsidRDefault="0080643B" w:rsidP="004944AC">
      <w:pPr>
        <w:ind w:left="0" w:firstLine="0"/>
      </w:pPr>
      <w:r>
        <w:lastRenderedPageBreak/>
        <w:t xml:space="preserve">Türk hukukundaki marka tescili sürecinde </w:t>
      </w:r>
      <w:r w:rsidR="00EC195E">
        <w:t>cari</w:t>
      </w:r>
      <w:r>
        <w:t xml:space="preserve"> olan yayıma itiraz aşaması</w:t>
      </w:r>
      <w:r w:rsidR="00322217">
        <w:t xml:space="preserve"> ve iptal müesseseleri</w:t>
      </w:r>
      <w:r>
        <w:t xml:space="preserve"> halihazırda sicile kayıtlı olanların üstlendiği gözetim yükümlülüğünün en somut örne</w:t>
      </w:r>
      <w:r w:rsidR="00322217">
        <w:t>kleridir</w:t>
      </w:r>
      <w:r>
        <w:t>. Zira, yayıma itiraz aşaması tescilli marka sahiplerini, her marka bültenini inceleme aynı veya benzer marka başvurularının olup olmadığını tespit etme ve böyle bir durum varsa masrafı üzerine alarak buna itiraz etme yükümlülüğü yüklemektedir. Diğer bir deyişle, halihazırda markasını tescil ettirmiş olan kişiler, bu haklarını koruyabilmek için ciddi araştırma masraflarına, külfetine katlanmak zorunda kalmaktadır</w:t>
      </w:r>
      <w:r>
        <w:rPr>
          <w:rStyle w:val="DipnotBavurusu"/>
        </w:rPr>
        <w:footnoteReference w:id="41"/>
      </w:r>
      <w:r>
        <w:t>.</w:t>
      </w:r>
      <w:r w:rsidR="004944AC">
        <w:t xml:space="preserve"> </w:t>
      </w:r>
    </w:p>
    <w:p w14:paraId="0DD2D0EB" w14:textId="5000565B" w:rsidR="004944AC" w:rsidRDefault="004944AC" w:rsidP="004944AC">
      <w:pPr>
        <w:ind w:left="0" w:firstLine="0"/>
      </w:pPr>
      <w:r>
        <w:t>İşte, marka tescil sisteminin altında yatan aşamalar, zikrettiğimiz bu iki menfaat arasındaki çatışmanın gölgesinde şekillenmektedir.</w:t>
      </w:r>
      <w:r w:rsidR="003D469C">
        <w:t xml:space="preserve"> SMK m. 155 hükmünün yürürlüğe girmesine kadar olan dönemde (ayrık bir-iki içtihadı</w:t>
      </w:r>
      <w:r w:rsidR="00790CD7">
        <w:rPr>
          <w:rStyle w:val="DipnotBavurusu"/>
        </w:rPr>
        <w:footnoteReference w:id="42"/>
      </w:r>
      <w:r w:rsidR="003D469C">
        <w:t xml:space="preserve"> saymaz isek), bu gözetim yükümlülüğü sicilde tescilli marka sahiplerine yüklenmiş idi. </w:t>
      </w:r>
      <w:r w:rsidR="00766874">
        <w:t xml:space="preserve">SMK m. 155 hükmü ise bu durumu tersine çevirmiştir. </w:t>
      </w:r>
    </w:p>
    <w:p w14:paraId="179AD1F6" w14:textId="4867EC1E" w:rsidR="004944AC" w:rsidRDefault="004944AC" w:rsidP="004944AC">
      <w:pPr>
        <w:pStyle w:val="Balk1"/>
        <w:tabs>
          <w:tab w:val="left" w:pos="426"/>
        </w:tabs>
      </w:pPr>
      <w:r>
        <w:t>SMK m. 155 HÜKMÜNÜN ETKİSİ ÜZERİNE</w:t>
      </w:r>
      <w:r w:rsidR="00822C08">
        <w:t xml:space="preserve"> </w:t>
      </w:r>
      <w:r w:rsidR="00101057">
        <w:t xml:space="preserve">KISA </w:t>
      </w:r>
      <w:r w:rsidR="00822C08">
        <w:t>TESPİTLER</w:t>
      </w:r>
    </w:p>
    <w:p w14:paraId="7C8BCEDA" w14:textId="77777777" w:rsidR="004944AC" w:rsidRDefault="004944AC" w:rsidP="004944AC">
      <w:pPr>
        <w:ind w:left="0" w:firstLine="0"/>
      </w:pPr>
      <w:r>
        <w:t xml:space="preserve">SMK m. 155 hükmü ile markanın tescil edilmiş olması, önceki tarihli marka sahipleri karşısında bir savunma aracı olmaktan çıkarılmıştır. Dolayısıyla artık, markanın tescil ettirilmiş olması, marka sahiplerine bir güvence sağlamayacaktır. İşte, bu durumun uzun vadede marka tescil sisteminin işlerliğini ve fonksiyonlarını güçlendireceğini ve marka sicilini daha şeffaf kılacağını düşünmekteyiz. </w:t>
      </w:r>
    </w:p>
    <w:p w14:paraId="1A8B80A7" w14:textId="195554CC" w:rsidR="004944AC" w:rsidRDefault="004944AC" w:rsidP="004944AC">
      <w:pPr>
        <w:ind w:left="0" w:firstLine="0"/>
      </w:pPr>
      <w:r>
        <w:t>SMK m. 155 hükmünden önceki dönemde, işaret bir kere tescil edildiği tak</w:t>
      </w:r>
      <w:r w:rsidR="003C425C">
        <w:t>d</w:t>
      </w:r>
      <w:r>
        <w:t xml:space="preserve">irde hükümsüz kılınana kadar, marka sahibi tecavüz davalarına karşı korunmaktaydı. Bu durum, marka başvurusu yapacak olan kişileri tabir caiz ise, rehavete sevk etmekte ve marka başvurusunun alelade bir prosedür olarak görülmesine sebebiyet vermekte idi. Çünkü, marka başvurusu yapacak olan kişiler, marka sicilini alelade bir incelemenin ötesinde etraflıca inceleyip, gerekirse marka vekillerinden, </w:t>
      </w:r>
      <w:proofErr w:type="spellStart"/>
      <w:r>
        <w:t>TÜRKPATENT’ten</w:t>
      </w:r>
      <w:proofErr w:type="spellEnd"/>
      <w:r>
        <w:t xml:space="preserve"> bu konuda yardım alma zorunluluğu </w:t>
      </w:r>
      <w:r>
        <w:lastRenderedPageBreak/>
        <w:t>hissetmemekte idi. Zira, işaret bir kere</w:t>
      </w:r>
      <w:r w:rsidR="0033417B">
        <w:t xml:space="preserve"> </w:t>
      </w:r>
      <w:r w:rsidR="00766874">
        <w:t xml:space="preserve">hasbelkader </w:t>
      </w:r>
      <w:r>
        <w:t>marka olarak tescil edilirse önceki tarihli marka sahiplerine karşı korunur konuma gelmekte idi</w:t>
      </w:r>
      <w:r w:rsidR="005F2ECD">
        <w:rPr>
          <w:rStyle w:val="DipnotBavurusu"/>
        </w:rPr>
        <w:footnoteReference w:id="43"/>
      </w:r>
      <w:r>
        <w:t xml:space="preserve">. </w:t>
      </w:r>
    </w:p>
    <w:p w14:paraId="5F61ECCF" w14:textId="1B5F8215" w:rsidR="004944AC" w:rsidRDefault="004944AC" w:rsidP="004944AC">
      <w:pPr>
        <w:ind w:left="0" w:firstLine="0"/>
      </w:pPr>
      <w:r>
        <w:t>SMK m. 155 hükmü ile, bu durum tam tersine dönmüştür. Hükmün, sonraki tarihli marka sahiplerinin arkasına sığındığı tescil perdesini</w:t>
      </w:r>
      <w:r w:rsidR="002D5791">
        <w:t xml:space="preserve"> (belirli kişilere karşı) </w:t>
      </w:r>
      <w:r>
        <w:t>aralaması ve tamamen ortadan kaldırması, marka başvurusu yapacak kişileri artık daha nitelikli</w:t>
      </w:r>
      <w:r w:rsidR="00766874">
        <w:t xml:space="preserve"> ve kapsamlı</w:t>
      </w:r>
      <w:r>
        <w:t xml:space="preserve"> bir araştırma yapmaya sevk eder konuma getirmiştir. Zira, artık markanın tescili ile tabir caiz ise, </w:t>
      </w:r>
      <w:r w:rsidRPr="00002839">
        <w:rPr>
          <w:i/>
          <w:iCs/>
        </w:rPr>
        <w:t>rahat bir soluk alma</w:t>
      </w:r>
      <w:r>
        <w:t xml:space="preserve"> söz konusu olmayacak, sonraki tarihli marka sahibi önceki</w:t>
      </w:r>
      <w:r w:rsidR="009B006B">
        <w:t xml:space="preserve"> </w:t>
      </w:r>
      <w:r>
        <w:t xml:space="preserve">marka sahiplerinin müdahale tehdidi ile karşı karşıya kalmaya devam edecektir. </w:t>
      </w:r>
      <w:r w:rsidR="00EC195E">
        <w:t>B</w:t>
      </w:r>
      <w:r>
        <w:t xml:space="preserve">u sebeple, </w:t>
      </w:r>
      <w:r w:rsidRPr="00B064BF">
        <w:rPr>
          <w:i/>
          <w:iCs/>
        </w:rPr>
        <w:t>yeni marka başvurusu yapacak olan kişiler, artık daha ihtimamlı hareket etmek ve tescilini talep edecekleri işareti ve ilgili mal veya hizmetleri büyük bir titizlikle seçmek ve belirlemek</w:t>
      </w:r>
      <w:r>
        <w:t xml:space="preserve"> mecburiyetindedirler. </w:t>
      </w:r>
    </w:p>
    <w:p w14:paraId="2979D9D7" w14:textId="3A0E2D41" w:rsidR="004944AC" w:rsidRDefault="004944AC" w:rsidP="004944AC">
      <w:pPr>
        <w:ind w:left="0" w:firstLine="0"/>
      </w:pPr>
      <w:r>
        <w:t xml:space="preserve">İşte, </w:t>
      </w:r>
      <w:r w:rsidR="00766874">
        <w:t xml:space="preserve">SMK m. 155 hükmü etkisini, marka tescil sisteminin işlerliğini gözetim yükümlülüğünü yeni marka başvurusu yapacakların üzerine atmak noktasında göstermektedir. </w:t>
      </w:r>
      <w:r w:rsidR="0033417B">
        <w:t>Giderek denilebilir ki, tescili talep</w:t>
      </w:r>
      <w:r w:rsidR="003C425C">
        <w:t xml:space="preserve"> edilen</w:t>
      </w:r>
      <w:r w:rsidR="0033417B">
        <w:t xml:space="preserve"> işaretin marka olabilirliğinin denetimi daha başvuru</w:t>
      </w:r>
      <w:r w:rsidR="00B064BF">
        <w:t>dan önceki aşamada</w:t>
      </w:r>
      <w:r w:rsidR="0033417B">
        <w:t xml:space="preserve"> doğrudan </w:t>
      </w:r>
      <w:r w:rsidR="00B064BF">
        <w:t xml:space="preserve">olası </w:t>
      </w:r>
      <w:r w:rsidR="0033417B">
        <w:t>başvurucu tarafından yapılmaktadır</w:t>
      </w:r>
      <w:r w:rsidR="0033417B">
        <w:rPr>
          <w:rStyle w:val="DipnotBavurusu"/>
        </w:rPr>
        <w:footnoteReference w:id="44"/>
      </w:r>
      <w:r w:rsidR="0033417B">
        <w:t xml:space="preserve">. </w:t>
      </w:r>
      <w:r w:rsidR="00766874">
        <w:t xml:space="preserve">Hüküm ile </w:t>
      </w:r>
      <w:r>
        <w:t xml:space="preserve">marka başvurusu yapacak kişilere </w:t>
      </w:r>
      <w:r>
        <w:rPr>
          <w:i/>
          <w:iCs/>
        </w:rPr>
        <w:t xml:space="preserve">zımnen </w:t>
      </w:r>
      <w:r>
        <w:t>yüklenen bu özen ve dikkat yükümlülüğü uzun vadede marka sicilini daha şeffaf kılmanın yanında bir dizi olumlu sonuca da sebebiyet verecektir.</w:t>
      </w:r>
      <w:r w:rsidR="00FD0D8D">
        <w:t xml:space="preserve"> </w:t>
      </w:r>
      <w:r w:rsidR="00766874">
        <w:t>Şimdi yeni marka başvurusu yapacak olanlara yüklenen bu yükümlülüğün ortaya çıkaracağı olumlu sonuçları kısaca belirtelim.</w:t>
      </w:r>
    </w:p>
    <w:p w14:paraId="6EA42059" w14:textId="2A659013" w:rsidR="004944AC" w:rsidRDefault="004944AC" w:rsidP="00597A02">
      <w:pPr>
        <w:pStyle w:val="Balk2"/>
        <w:numPr>
          <w:ilvl w:val="0"/>
          <w:numId w:val="5"/>
        </w:numPr>
        <w:ind w:left="284" w:hanging="284"/>
      </w:pPr>
      <w:r>
        <w:t>Daha Şeffaf Marka Sicili</w:t>
      </w:r>
    </w:p>
    <w:p w14:paraId="76B942D3" w14:textId="6AC70916" w:rsidR="004944AC" w:rsidRDefault="004944AC" w:rsidP="004944AC">
      <w:pPr>
        <w:ind w:left="0" w:firstLine="0"/>
      </w:pPr>
      <w:r>
        <w:t xml:space="preserve">Marka başvurusu yapacak kişilere yüklenen araştırma ve inceleme yükümlülüğü arttıkça, yeni yapılan marka başvuruları ile önceki tarihli markalar arasındaki </w:t>
      </w:r>
      <w:r w:rsidRPr="00766874">
        <w:rPr>
          <w:i/>
          <w:iCs/>
        </w:rPr>
        <w:t>çatışma ve hak ihlalleri asgari seviyeye</w:t>
      </w:r>
      <w:r>
        <w:t xml:space="preserve"> inecektir</w:t>
      </w:r>
      <w:r w:rsidR="005F0066">
        <w:rPr>
          <w:rStyle w:val="DipnotBavurusu"/>
        </w:rPr>
        <w:footnoteReference w:id="45"/>
      </w:r>
      <w:r>
        <w:t xml:space="preserve">. </w:t>
      </w:r>
    </w:p>
    <w:p w14:paraId="3C459988" w14:textId="4CEAF758" w:rsidR="004944AC" w:rsidRDefault="004944AC" w:rsidP="004944AC">
      <w:pPr>
        <w:ind w:left="0" w:firstLine="0"/>
      </w:pPr>
      <w:r>
        <w:lastRenderedPageBreak/>
        <w:t>Marka başvurusu yapacak kişiler, önceki tarihli marka sahiplerinin haklarını mümkün olduğunca ihlal etmemeye odaklanacak ve daha farklı, daha ayırt edici, daha özgün işaretler seçmeye ve daha detaylı mal veya hizmet listeleri belirlemeye özen gösterecektir</w:t>
      </w:r>
      <w:r w:rsidR="00591B0C">
        <w:rPr>
          <w:rStyle w:val="DipnotBavurusu"/>
        </w:rPr>
        <w:footnoteReference w:id="46"/>
      </w:r>
      <w:r>
        <w:t>. Haliyle, böyle markalar sicilde çoğaldıkça, uzun vadede sicilin şeffaflığı ve fonksiyonları işler kılınacaktır. Söz gelimi marka tescilinin tanımlama fonksiyonu, özellikle hakkın süjesi ve kapsamı konusunda daha nitelikli ve gerçeğe daha uygun bir görüntü sergiler olacaktır</w:t>
      </w:r>
      <w:r w:rsidR="0033417B">
        <w:rPr>
          <w:rStyle w:val="DipnotBavurusu"/>
        </w:rPr>
        <w:footnoteReference w:id="47"/>
      </w:r>
      <w:r>
        <w:t xml:space="preserve">. </w:t>
      </w:r>
      <w:r w:rsidR="00322217">
        <w:t>Bununla birlikte, ayrıca değinmek gerekir ki,</w:t>
      </w:r>
      <w:r w:rsidR="00EE33A8">
        <w:t xml:space="preserve"> tescil edilmiş fakat uzun süredir kullanılmayan markalar sebebiyle sicilin marka “</w:t>
      </w:r>
      <w:r w:rsidR="00A42E9B">
        <w:t>mezarlığına</w:t>
      </w:r>
      <w:r w:rsidR="00EE33A8">
        <w:t>” döndüğü inkâr edilemez bir gerçektir</w:t>
      </w:r>
      <w:r w:rsidR="000F6107">
        <w:rPr>
          <w:rStyle w:val="DipnotBavurusu"/>
        </w:rPr>
        <w:footnoteReference w:id="48"/>
      </w:r>
      <w:r w:rsidR="00EE33A8">
        <w:t xml:space="preserve">. </w:t>
      </w:r>
      <w:r w:rsidR="00322217">
        <w:t>Öte yandan, markanın tescili kolay olduğu için, bilhassa büyük şirketlerin kullanma niyeti olmaksızın yalnızca daha geniş koruma alanı elde etmek amacıyla çok sayıda marka tescili talebinde bulunduğu ve bu durumun uzun vadede birçok işaretin (kullanılmasa dahi) topluma kapatılması ve giderek “</w:t>
      </w:r>
      <w:r w:rsidR="00322217" w:rsidRPr="00BE4B0A">
        <w:rPr>
          <w:i/>
          <w:iCs/>
        </w:rPr>
        <w:t>marka feodalleri</w:t>
      </w:r>
      <w:r w:rsidR="00322217">
        <w:t xml:space="preserve">” oluşması sonucunu doğurduğu rahatlıkla savlanabilir. </w:t>
      </w:r>
      <w:r w:rsidR="00EE33A8">
        <w:t xml:space="preserve">Böyle bir ortamda, </w:t>
      </w:r>
      <w:r w:rsidR="00EE33A8" w:rsidRPr="000F6107">
        <w:rPr>
          <w:i/>
          <w:iCs/>
        </w:rPr>
        <w:t>marka siciline girişlerin kolay olması kullanılmayan marka sorununu iyice artırmakta</w:t>
      </w:r>
      <w:r w:rsidR="00EE33A8">
        <w:t xml:space="preserve"> ve </w:t>
      </w:r>
      <w:r w:rsidR="00EE575B">
        <w:t>tescilin</w:t>
      </w:r>
      <w:r w:rsidR="00EE33A8">
        <w:t xml:space="preserve"> bilgi fonksiyonunu önemli ölçüde işlevsiz kılmaktadır. İşte, SMK m. 155 hükmü getirilen zımni inceleme yükümlülüğü uzun vadede marka sicilini kullanılmayan marka probleminden tamamen olmasa da, kısmen kurtaracak ve bilgi fonksiyonunu işler kılacaktır</w:t>
      </w:r>
      <w:r w:rsidR="00A727D4">
        <w:rPr>
          <w:rStyle w:val="DipnotBavurusu"/>
        </w:rPr>
        <w:footnoteReference w:id="49"/>
      </w:r>
      <w:r w:rsidR="00EE33A8">
        <w:t>.</w:t>
      </w:r>
    </w:p>
    <w:p w14:paraId="024B0D10" w14:textId="60D5F1A0" w:rsidR="00844110" w:rsidRDefault="004944AC" w:rsidP="004944AC">
      <w:pPr>
        <w:ind w:left="0" w:firstLine="0"/>
      </w:pPr>
      <w:r>
        <w:t xml:space="preserve">Markanın tescilinin tanımlama fonksiyonuna getirilen bu işlerlik/şeffaflık, marka sisteminde faaliyet gösteren teşebbüsler başta olmak üzere, tüketicileri de olumlu etkileyecektir. Halihazırda faaliyet gösteren teşebbüsler daha az ihlalle ve tecavüzle karşılaşacak, böylelikle faaliyetlerini daha emin bir şekilde yerine getirecek, markasını en iyi şekilde piyasada </w:t>
      </w:r>
      <w:r>
        <w:lastRenderedPageBreak/>
        <w:t xml:space="preserve">konumlandırabilecek ve giderek emeklerinin karşılığını alabilecektir. Tüketiciler ise markalar birbirinden farklılaştıkça arzu ettikleri markalara aldanmadan rahatlıkla ulaşabilecek ve markanın tekliği prensibi gerçek anlamda işler kılınacaktır. </w:t>
      </w:r>
    </w:p>
    <w:p w14:paraId="7BBCE62B" w14:textId="0AA37ECA" w:rsidR="00844110" w:rsidRDefault="00844110" w:rsidP="004944AC">
      <w:pPr>
        <w:ind w:left="0" w:firstLine="0"/>
      </w:pPr>
      <w:r>
        <w:t>Öte yandan, hükmün kullanımı engellenmiş ve fakat sicilden terkin edilmemiş bir markalar yığını oluşturacağı da savlanabilir</w:t>
      </w:r>
      <w:r w:rsidR="003B556D">
        <w:rPr>
          <w:rStyle w:val="DipnotBavurusu"/>
        </w:rPr>
        <w:footnoteReference w:id="50"/>
      </w:r>
      <w:r>
        <w:t xml:space="preserve">. Fakat, maddenin marka başvurusu yapacak olanlara yüklediği zımni araştırma yükümlülüğü sayesinde, uzun vadede ortaya çıkacak olumlu etkinin, bu endişeleri gölgede bırakacağı kanaatindeyiz. </w:t>
      </w:r>
    </w:p>
    <w:p w14:paraId="551FBA11" w14:textId="636A2FE9" w:rsidR="004944AC" w:rsidRDefault="0047025B" w:rsidP="004944AC">
      <w:pPr>
        <w:ind w:left="0" w:firstLine="0"/>
      </w:pPr>
      <w:r>
        <w:t xml:space="preserve">Sonuç olarak, denilebilir ki, SMK m. 155 hükmünün getirdiği yeni düzen sayesinde, korunmaya daha değer olan işaretler korunur konuma gelecektir. </w:t>
      </w:r>
    </w:p>
    <w:p w14:paraId="0C792BD3" w14:textId="3E8C0FC1" w:rsidR="004944AC" w:rsidRDefault="004944AC" w:rsidP="00597A02">
      <w:pPr>
        <w:pStyle w:val="Balk2"/>
        <w:ind w:left="284" w:hanging="284"/>
      </w:pPr>
      <w:r>
        <w:t>Daha Az Uyuşmazlık</w:t>
      </w:r>
    </w:p>
    <w:p w14:paraId="7FBB9309" w14:textId="2C300B9E" w:rsidR="004944AC" w:rsidRDefault="004944AC" w:rsidP="004944AC">
      <w:pPr>
        <w:ind w:left="0" w:firstLine="0"/>
        <w:rPr>
          <w:szCs w:val="28"/>
        </w:rPr>
      </w:pPr>
      <w:r>
        <w:rPr>
          <w:szCs w:val="28"/>
        </w:rPr>
        <w:t xml:space="preserve">SMK m. 155 hükmünün </w:t>
      </w:r>
      <w:r w:rsidRPr="00A37C38">
        <w:rPr>
          <w:i/>
          <w:iCs/>
          <w:szCs w:val="28"/>
        </w:rPr>
        <w:t>uzun vadede</w:t>
      </w:r>
      <w:r>
        <w:rPr>
          <w:szCs w:val="28"/>
        </w:rPr>
        <w:t xml:space="preserve"> getireceği bir diğer avantaj, gerek idari gerekse adli süreçlerde ortaya çıkan uyuşmazlıkların azalması olacaktır</w:t>
      </w:r>
      <w:r w:rsidR="00A50118">
        <w:rPr>
          <w:rStyle w:val="DipnotBavurusu"/>
          <w:szCs w:val="28"/>
        </w:rPr>
        <w:footnoteReference w:id="51"/>
      </w:r>
      <w:r>
        <w:rPr>
          <w:szCs w:val="28"/>
        </w:rPr>
        <w:t xml:space="preserve">. </w:t>
      </w:r>
    </w:p>
    <w:p w14:paraId="5A04B7DB" w14:textId="43A32BBC" w:rsidR="004944AC" w:rsidRDefault="004944AC" w:rsidP="004944AC">
      <w:pPr>
        <w:ind w:left="0" w:firstLine="0"/>
        <w:rPr>
          <w:szCs w:val="28"/>
        </w:rPr>
      </w:pPr>
      <w:r>
        <w:rPr>
          <w:szCs w:val="28"/>
        </w:rPr>
        <w:t>Bu düşüncemizin altında da, yeni marka başvurusu yapacak olanların, önceki tarihli marka sahiplerinin haklarına riayet etmek noktasında göster</w:t>
      </w:r>
      <w:r w:rsidR="008C6F36">
        <w:rPr>
          <w:szCs w:val="28"/>
        </w:rPr>
        <w:t>mek zorunda oldukları</w:t>
      </w:r>
      <w:r>
        <w:rPr>
          <w:szCs w:val="28"/>
        </w:rPr>
        <w:t xml:space="preserve"> azami özen yatmaktadır. Yeni marka başvuruları ne kadar dikkatli bir inceleme ile yapılırsa, önceki tarihli marka sahiplerinin haklarını ihlal etme olasılığı o denli azalacaktır. Haliyle, hem mutlak ret nedenlerine ilişkin inceleme hem de yayıma itiraz aşamalarında daha az uyuşmazlık gündeme gelecektir. Hiç şüphesiz, yargı kanadının yükünün azalacağı da rahatlıkla söylenebilir. </w:t>
      </w:r>
    </w:p>
    <w:p w14:paraId="0FF28B2E" w14:textId="541DB488" w:rsidR="004944AC" w:rsidRDefault="004944AC" w:rsidP="004944AC">
      <w:pPr>
        <w:pStyle w:val="KonuBal"/>
      </w:pPr>
      <w:r>
        <w:t>Sonuç</w:t>
      </w:r>
    </w:p>
    <w:p w14:paraId="3BC99A9D" w14:textId="3C55144D" w:rsidR="004944AC" w:rsidRDefault="004944AC" w:rsidP="004944AC">
      <w:pPr>
        <w:ind w:left="0" w:firstLine="0"/>
      </w:pPr>
      <w:r>
        <w:t xml:space="preserve">Marka tescili temelde “hukuki güvenlik” ihtiyacının bir neticesi olarak ortaya çıkmıştır. Bu hukuki güvenlik ihtiyacı </w:t>
      </w:r>
      <w:r w:rsidR="00EE575B">
        <w:t>tescilin</w:t>
      </w:r>
      <w:r>
        <w:t xml:space="preserve"> (i) tanımlama, (ii) bürokratik ve (iii) bilgi fonksiyonlar</w:t>
      </w:r>
      <w:r w:rsidR="008C6F36">
        <w:t>ı</w:t>
      </w:r>
      <w:r>
        <w:t xml:space="preserve"> yardımıyla karşılanmaktadır. </w:t>
      </w:r>
    </w:p>
    <w:p w14:paraId="403D3D85" w14:textId="7D318F4A" w:rsidR="004944AC" w:rsidRDefault="004944AC" w:rsidP="004944AC">
      <w:pPr>
        <w:ind w:left="0" w:firstLine="0"/>
      </w:pPr>
      <w:r>
        <w:t xml:space="preserve">Tanımlama fonksiyonu sayesinde, marka sistemi içerisinde korunan işaretlerin, bunlara bahşedilen korumanın kapsamının ve hak sahiplerinin teşhisine yönelik ihtiyaç -tam olmasa da- giderilmektedir. Bürokratik fonksiyonu sayesinde, idari ve adli otoritelerin inceleme ve değerlendirme yaparken ihtiyaç duydukları rahatlık temin edilmektedir. Son olarak, bilgi </w:t>
      </w:r>
      <w:r>
        <w:lastRenderedPageBreak/>
        <w:t xml:space="preserve">fonksiyonu sayesinde, en genel anlamıyla üçüncü kişilerin marka olarak korunan işaretler, koruma kapsamı ve süjeleri hakkında bilgi edinmesi ihtiyacı karşılanmaktadır. </w:t>
      </w:r>
    </w:p>
    <w:p w14:paraId="086DF1E9" w14:textId="1AB27988" w:rsidR="004944AC" w:rsidRDefault="004944AC" w:rsidP="004944AC">
      <w:pPr>
        <w:ind w:left="0" w:firstLine="0"/>
      </w:pPr>
      <w:r>
        <w:t xml:space="preserve">Marka tescilinin bu fonksiyonlarının işlerliği marka tescil süreçlerinin zorluğu nispetinde şekillenmektedir. Marka tescilinin kolay olduğu bir sistemde, aynı veya benzer işaretler, aynı veya benzer mal veya hizmetler nazarında birden çok kişi tarafından tescil edilmektedir. Haliyle, marka tescili tanımlama fonksiyonunu layıkıyla yerine getirmekten uzaklaştığı gibi, bürokratik fonksiyon ve bilgi fonksiyonu da arzu edilen ihtiyaca cevap olamaz konuma gelmektedir. Marka sicili, markanın tekliği ilkesinin gereklerini karşılamaktan bir hayli uzaklaşmakta ve birçok uyuşmazlığa kapı aralar konuma gelmektedir. </w:t>
      </w:r>
    </w:p>
    <w:p w14:paraId="7CE61BE8" w14:textId="77777777" w:rsidR="004944AC" w:rsidRDefault="004944AC" w:rsidP="004944AC">
      <w:pPr>
        <w:ind w:left="0" w:firstLine="0"/>
      </w:pPr>
      <w:r>
        <w:t xml:space="preserve">İşte, SMK m. 155 hükmü tescile dayalı kullanım savunması imkanını ortadan kaldırarak, </w:t>
      </w:r>
      <w:r w:rsidRPr="008C6F36">
        <w:rPr>
          <w:i/>
          <w:iCs/>
        </w:rPr>
        <w:t>yeni marka başvurusu yapacak olan kişilere zımni bir araştırma/inceleme yükümlülüğü</w:t>
      </w:r>
      <w:r>
        <w:t xml:space="preserve"> getirmektedir. Zira artık markayı bir kere tescil ettiren kişiler, kim gelirse gelsin tescil perdesinin arkasına sığınamayacaktır. Bu sebeple, artık marka başvurusunda bulunulurken daha ihtimamlı hareket etmek gerekmektedir. </w:t>
      </w:r>
    </w:p>
    <w:p w14:paraId="22C99030" w14:textId="73470EFD" w:rsidR="004944AC" w:rsidRDefault="004944AC" w:rsidP="004944AC">
      <w:pPr>
        <w:ind w:left="0" w:firstLine="0"/>
      </w:pPr>
      <w:r>
        <w:t xml:space="preserve">Bu sayede, marka sicili uzun vadede birbirinden farklı, özgün, nitelikli markalara ev sahipliği yapar konuma gelecek ve markanın tekliği ilkesi azami derecede işler kılınacak, daha şeffaf bir marka sicili ekseninde tüm aktörlerin menfaatine bir tablo ortaya çıkacaktır. </w:t>
      </w:r>
    </w:p>
    <w:p w14:paraId="29AD537C" w14:textId="3A9D8A8E" w:rsidR="004944AC" w:rsidRPr="00E547A7" w:rsidRDefault="004944AC" w:rsidP="004944AC">
      <w:pPr>
        <w:ind w:left="0" w:firstLine="0"/>
      </w:pPr>
      <w:r>
        <w:t xml:space="preserve">Bütün bu sebeplerle, hükmün </w:t>
      </w:r>
      <w:r w:rsidR="001C3E7F">
        <w:t xml:space="preserve">marka tescilini daha işler kılmak noktasında </w:t>
      </w:r>
      <w:r>
        <w:t xml:space="preserve">son derece isabetli olduğunu, özellikle bazı ortamlarda dile getirildiği gibi sonraki tarihli marka sahibinin “kötüniyetli” olup olmadığına göre sonuca gidilmesi veya hükmün bu yönde tadil edilmesi gerektiği yönündeki </w:t>
      </w:r>
      <w:r w:rsidR="00585B23">
        <w:t xml:space="preserve">şifahi </w:t>
      </w:r>
      <w:r>
        <w:t xml:space="preserve">görüşlerin hükmün zikrettiğimiz bu olumlu etkilerini ortadan kaldıracağını düşünmekteyiz. </w:t>
      </w:r>
      <w:r w:rsidR="008D1F66">
        <w:t>Son olarak eklemek gerekir ki, çalışmamız boyunca yaptığımız incelemeler marka sicilinin daha güvenilir kılınabilmesi için ciddi mesafe kat edilmesi ve yeni reformların gündeme alınması gerektiğini göstermektedir.</w:t>
      </w:r>
    </w:p>
    <w:p w14:paraId="12A3AE3C" w14:textId="36DBB777" w:rsidR="004944AC" w:rsidRDefault="00FA72E3" w:rsidP="00FA72E3">
      <w:pPr>
        <w:pStyle w:val="KonuBal"/>
      </w:pPr>
      <w:r>
        <w:t>Kaynakça</w:t>
      </w:r>
    </w:p>
    <w:p w14:paraId="5CC9A93B" w14:textId="2E431B79" w:rsidR="00E82CBF" w:rsidRDefault="00E82CBF" w:rsidP="00B278D9">
      <w:pPr>
        <w:rPr>
          <w:sz w:val="20"/>
          <w:szCs w:val="18"/>
        </w:rPr>
      </w:pPr>
      <w:r w:rsidRPr="00E82CBF">
        <w:rPr>
          <w:b/>
          <w:bCs/>
          <w:sz w:val="20"/>
          <w:szCs w:val="18"/>
        </w:rPr>
        <w:t>ALICA</w:t>
      </w:r>
      <w:r w:rsidRPr="00E82CBF">
        <w:rPr>
          <w:sz w:val="20"/>
          <w:szCs w:val="18"/>
        </w:rPr>
        <w:t>, Türkay</w:t>
      </w:r>
      <w:r w:rsidR="00E14E62">
        <w:rPr>
          <w:sz w:val="20"/>
          <w:szCs w:val="18"/>
        </w:rPr>
        <w:t>,</w:t>
      </w:r>
      <w:r w:rsidRPr="00E82CBF">
        <w:rPr>
          <w:sz w:val="20"/>
          <w:szCs w:val="18"/>
        </w:rPr>
        <w:t xml:space="preserve"> </w:t>
      </w:r>
      <w:r w:rsidRPr="00E82CBF">
        <w:rPr>
          <w:i/>
          <w:iCs/>
          <w:sz w:val="20"/>
          <w:szCs w:val="18"/>
        </w:rPr>
        <w:t>‘6769 sayılı Sınai Mülkiyet Kanunu’nda Önceki Tarihli Hakların Etkisi’</w:t>
      </w:r>
      <w:r w:rsidRPr="00E82CBF">
        <w:rPr>
          <w:sz w:val="20"/>
          <w:szCs w:val="18"/>
        </w:rPr>
        <w:t>, 6769 sayılı Sınai Mülkiyet Kanunu Sempozyumu 9-10 Mart 2017, ed. Feyzan Hayal Şehirali Çelik, Banka ve Ticaret Hukuku Araştırma Enstitüsü, Ankara, 2017, s. 673-736.</w:t>
      </w:r>
    </w:p>
    <w:p w14:paraId="7D462AF3" w14:textId="5F81AF12" w:rsidR="00E14E62" w:rsidRDefault="00E14E62" w:rsidP="00B278D9">
      <w:pPr>
        <w:rPr>
          <w:sz w:val="20"/>
          <w:szCs w:val="18"/>
        </w:rPr>
      </w:pPr>
      <w:r w:rsidRPr="00AC41AB">
        <w:rPr>
          <w:b/>
          <w:bCs/>
          <w:sz w:val="20"/>
          <w:szCs w:val="18"/>
        </w:rPr>
        <w:t>ARKAN</w:t>
      </w:r>
      <w:r w:rsidRPr="00AC41AB">
        <w:rPr>
          <w:sz w:val="20"/>
          <w:szCs w:val="18"/>
        </w:rPr>
        <w:t xml:space="preserve">, </w:t>
      </w:r>
      <w:proofErr w:type="spellStart"/>
      <w:r w:rsidRPr="00AC41AB">
        <w:rPr>
          <w:sz w:val="20"/>
          <w:szCs w:val="18"/>
        </w:rPr>
        <w:t>Sabih</w:t>
      </w:r>
      <w:proofErr w:type="spellEnd"/>
      <w:r>
        <w:t xml:space="preserve">, </w:t>
      </w:r>
      <w:r w:rsidRPr="00844D3C">
        <w:rPr>
          <w:i/>
          <w:iCs/>
          <w:sz w:val="20"/>
          <w:szCs w:val="18"/>
        </w:rPr>
        <w:t>‘Sınai Mülkiyet Kanunu’nun 5.3. Maddesiyle İlgili Bazı Düşünceler’</w:t>
      </w:r>
      <w:r w:rsidRPr="00844D3C">
        <w:rPr>
          <w:sz w:val="20"/>
          <w:szCs w:val="18"/>
        </w:rPr>
        <w:t>, BATİDER, C. XXXIII, S. 3, 2017, s. 1-11</w:t>
      </w:r>
      <w:r>
        <w:rPr>
          <w:sz w:val="20"/>
          <w:szCs w:val="18"/>
        </w:rPr>
        <w:t>.</w:t>
      </w:r>
    </w:p>
    <w:p w14:paraId="0B209B5A" w14:textId="537D3E1A" w:rsidR="00AC41AB" w:rsidRPr="00AC41AB" w:rsidRDefault="00AC41AB" w:rsidP="00B278D9">
      <w:pPr>
        <w:rPr>
          <w:sz w:val="20"/>
          <w:szCs w:val="18"/>
        </w:rPr>
      </w:pPr>
      <w:r w:rsidRPr="00AC41AB">
        <w:rPr>
          <w:b/>
          <w:bCs/>
          <w:sz w:val="20"/>
          <w:szCs w:val="18"/>
        </w:rPr>
        <w:t>ARKAN</w:t>
      </w:r>
      <w:r w:rsidRPr="00AC41AB">
        <w:rPr>
          <w:sz w:val="20"/>
          <w:szCs w:val="18"/>
        </w:rPr>
        <w:t xml:space="preserve">, </w:t>
      </w:r>
      <w:proofErr w:type="spellStart"/>
      <w:r w:rsidRPr="00AC41AB">
        <w:rPr>
          <w:sz w:val="20"/>
          <w:szCs w:val="18"/>
        </w:rPr>
        <w:t>Sabih</w:t>
      </w:r>
      <w:proofErr w:type="spellEnd"/>
      <w:r w:rsidRPr="00AC41AB">
        <w:rPr>
          <w:sz w:val="20"/>
          <w:szCs w:val="18"/>
        </w:rPr>
        <w:t xml:space="preserve">, </w:t>
      </w:r>
      <w:r w:rsidRPr="00AC41AB">
        <w:rPr>
          <w:i/>
          <w:iCs/>
          <w:sz w:val="20"/>
          <w:szCs w:val="18"/>
        </w:rPr>
        <w:t>Marka Hukuku</w:t>
      </w:r>
      <w:r w:rsidRPr="00AC41AB">
        <w:rPr>
          <w:sz w:val="20"/>
          <w:szCs w:val="18"/>
        </w:rPr>
        <w:t xml:space="preserve">, </w:t>
      </w:r>
      <w:r w:rsidR="00745892">
        <w:rPr>
          <w:sz w:val="20"/>
          <w:szCs w:val="18"/>
        </w:rPr>
        <w:t>C. I</w:t>
      </w:r>
      <w:r w:rsidRPr="00AC41AB">
        <w:rPr>
          <w:sz w:val="20"/>
          <w:szCs w:val="18"/>
        </w:rPr>
        <w:t>,</w:t>
      </w:r>
      <w:r>
        <w:rPr>
          <w:sz w:val="20"/>
          <w:szCs w:val="18"/>
        </w:rPr>
        <w:t xml:space="preserve"> </w:t>
      </w:r>
      <w:r w:rsidRPr="00AC41AB">
        <w:rPr>
          <w:sz w:val="20"/>
          <w:szCs w:val="18"/>
        </w:rPr>
        <w:t>AÜHFY, Ankara, 1998</w:t>
      </w:r>
      <w:r w:rsidR="00E14E62">
        <w:rPr>
          <w:sz w:val="20"/>
          <w:szCs w:val="18"/>
        </w:rPr>
        <w:t xml:space="preserve"> (“</w:t>
      </w:r>
      <w:r w:rsidR="00E14E62" w:rsidRPr="00844D3C">
        <w:rPr>
          <w:i/>
          <w:iCs/>
          <w:sz w:val="20"/>
          <w:szCs w:val="18"/>
        </w:rPr>
        <w:t>Marka</w:t>
      </w:r>
      <w:r w:rsidR="00E14E62">
        <w:rPr>
          <w:sz w:val="20"/>
          <w:szCs w:val="18"/>
        </w:rPr>
        <w:t>” olarak kısaltılmıştır.)</w:t>
      </w:r>
      <w:r>
        <w:rPr>
          <w:sz w:val="20"/>
          <w:szCs w:val="18"/>
        </w:rPr>
        <w:t>.</w:t>
      </w:r>
    </w:p>
    <w:p w14:paraId="5998628D" w14:textId="6C2ADB98" w:rsidR="00B278D9" w:rsidRDefault="00B278D9" w:rsidP="00B278D9">
      <w:pPr>
        <w:rPr>
          <w:bCs/>
          <w:sz w:val="20"/>
          <w:szCs w:val="18"/>
        </w:rPr>
      </w:pPr>
      <w:r w:rsidRPr="00B278D9">
        <w:rPr>
          <w:b/>
          <w:bCs/>
          <w:sz w:val="20"/>
          <w:szCs w:val="18"/>
        </w:rPr>
        <w:lastRenderedPageBreak/>
        <w:t>ARSEVEN</w:t>
      </w:r>
      <w:r w:rsidRPr="00B278D9">
        <w:rPr>
          <w:sz w:val="20"/>
          <w:szCs w:val="18"/>
        </w:rPr>
        <w:t xml:space="preserve">, Haydar, </w:t>
      </w:r>
      <w:r w:rsidRPr="00B278D9">
        <w:rPr>
          <w:bCs/>
          <w:i/>
          <w:iCs/>
          <w:sz w:val="20"/>
          <w:szCs w:val="18"/>
        </w:rPr>
        <w:t>Nazari ve Tatbiki Alameti Farika Hukuku</w:t>
      </w:r>
      <w:r w:rsidRPr="00B278D9">
        <w:rPr>
          <w:bCs/>
          <w:sz w:val="20"/>
          <w:szCs w:val="18"/>
        </w:rPr>
        <w:t>, İsmail Akgün Matbaası, İstanbul, 1951</w:t>
      </w:r>
      <w:r>
        <w:rPr>
          <w:bCs/>
          <w:sz w:val="20"/>
          <w:szCs w:val="18"/>
        </w:rPr>
        <w:t>.</w:t>
      </w:r>
    </w:p>
    <w:p w14:paraId="43373DB2" w14:textId="5451D996" w:rsidR="00AC41AB" w:rsidRDefault="00AC41AB" w:rsidP="00B278D9">
      <w:pPr>
        <w:rPr>
          <w:sz w:val="20"/>
          <w:szCs w:val="18"/>
        </w:rPr>
      </w:pPr>
      <w:r w:rsidRPr="00AC41AB">
        <w:rPr>
          <w:b/>
          <w:bCs/>
          <w:sz w:val="20"/>
          <w:szCs w:val="18"/>
        </w:rPr>
        <w:t>AZÉMA</w:t>
      </w:r>
      <w:r w:rsidRPr="00AC41AB">
        <w:rPr>
          <w:sz w:val="20"/>
          <w:szCs w:val="18"/>
        </w:rPr>
        <w:t xml:space="preserve">, </w:t>
      </w:r>
      <w:proofErr w:type="spellStart"/>
      <w:r w:rsidRPr="00AC41AB">
        <w:rPr>
          <w:sz w:val="20"/>
          <w:szCs w:val="18"/>
        </w:rPr>
        <w:t>Jacques</w:t>
      </w:r>
      <w:proofErr w:type="spellEnd"/>
      <w:r w:rsidRPr="00AC41AB">
        <w:rPr>
          <w:sz w:val="20"/>
          <w:szCs w:val="18"/>
        </w:rPr>
        <w:t xml:space="preserve">/ </w:t>
      </w:r>
      <w:r w:rsidRPr="00AC41AB">
        <w:rPr>
          <w:b/>
          <w:bCs/>
          <w:sz w:val="20"/>
          <w:szCs w:val="18"/>
        </w:rPr>
        <w:t>GALLOUX</w:t>
      </w:r>
      <w:r w:rsidRPr="00AC41AB">
        <w:rPr>
          <w:sz w:val="20"/>
          <w:szCs w:val="18"/>
        </w:rPr>
        <w:t>, Jean-</w:t>
      </w:r>
      <w:proofErr w:type="spellStart"/>
      <w:r w:rsidRPr="00AC41AB">
        <w:rPr>
          <w:sz w:val="20"/>
          <w:szCs w:val="18"/>
        </w:rPr>
        <w:t>Christophe</w:t>
      </w:r>
      <w:proofErr w:type="spellEnd"/>
      <w:r w:rsidRPr="00AC41AB">
        <w:rPr>
          <w:sz w:val="20"/>
          <w:szCs w:val="18"/>
        </w:rPr>
        <w:t xml:space="preserve">, </w:t>
      </w:r>
      <w:proofErr w:type="spellStart"/>
      <w:r w:rsidRPr="00AC41AB">
        <w:rPr>
          <w:i/>
          <w:iCs/>
          <w:sz w:val="20"/>
          <w:szCs w:val="18"/>
        </w:rPr>
        <w:t>Droit</w:t>
      </w:r>
      <w:proofErr w:type="spellEnd"/>
      <w:r w:rsidRPr="00AC41AB">
        <w:rPr>
          <w:i/>
          <w:iCs/>
          <w:sz w:val="20"/>
          <w:szCs w:val="18"/>
        </w:rPr>
        <w:t xml:space="preserve"> de la </w:t>
      </w:r>
      <w:proofErr w:type="spellStart"/>
      <w:r w:rsidRPr="00AC41AB">
        <w:rPr>
          <w:i/>
          <w:iCs/>
          <w:sz w:val="20"/>
          <w:szCs w:val="18"/>
        </w:rPr>
        <w:t>Propriété</w:t>
      </w:r>
      <w:proofErr w:type="spellEnd"/>
      <w:r w:rsidRPr="00AC41AB">
        <w:rPr>
          <w:i/>
          <w:iCs/>
          <w:sz w:val="20"/>
          <w:szCs w:val="18"/>
        </w:rPr>
        <w:t xml:space="preserve"> </w:t>
      </w:r>
      <w:proofErr w:type="spellStart"/>
      <w:r w:rsidRPr="00AC41AB">
        <w:rPr>
          <w:i/>
          <w:iCs/>
          <w:sz w:val="20"/>
          <w:szCs w:val="18"/>
        </w:rPr>
        <w:t>Industrielle</w:t>
      </w:r>
      <w:proofErr w:type="spellEnd"/>
      <w:r w:rsidRPr="00AC41AB">
        <w:rPr>
          <w:sz w:val="20"/>
          <w:szCs w:val="18"/>
        </w:rPr>
        <w:t xml:space="preserve">, 8. </w:t>
      </w:r>
      <w:proofErr w:type="spellStart"/>
      <w:r w:rsidRPr="00AC41AB">
        <w:rPr>
          <w:sz w:val="20"/>
          <w:szCs w:val="18"/>
        </w:rPr>
        <w:t>Édition</w:t>
      </w:r>
      <w:proofErr w:type="spellEnd"/>
      <w:r w:rsidRPr="00AC41AB">
        <w:rPr>
          <w:sz w:val="20"/>
          <w:szCs w:val="18"/>
        </w:rPr>
        <w:t xml:space="preserve">, </w:t>
      </w:r>
      <w:proofErr w:type="spellStart"/>
      <w:r w:rsidRPr="00AC41AB">
        <w:rPr>
          <w:sz w:val="20"/>
          <w:szCs w:val="18"/>
        </w:rPr>
        <w:t>Dalloz</w:t>
      </w:r>
      <w:proofErr w:type="spellEnd"/>
      <w:r w:rsidRPr="00AC41AB">
        <w:rPr>
          <w:sz w:val="20"/>
          <w:szCs w:val="18"/>
        </w:rPr>
        <w:t>, Paris, 2017.</w:t>
      </w:r>
    </w:p>
    <w:p w14:paraId="6315426E" w14:textId="70F69D5E" w:rsidR="00AC41AB" w:rsidRDefault="00AC41AB" w:rsidP="00B278D9">
      <w:pPr>
        <w:rPr>
          <w:sz w:val="20"/>
          <w:szCs w:val="18"/>
        </w:rPr>
      </w:pPr>
      <w:r w:rsidRPr="00AC41AB">
        <w:rPr>
          <w:b/>
          <w:bCs/>
          <w:sz w:val="20"/>
          <w:szCs w:val="18"/>
        </w:rPr>
        <w:t>BAINBRIDGE</w:t>
      </w:r>
      <w:r w:rsidRPr="00AC41AB">
        <w:rPr>
          <w:sz w:val="20"/>
          <w:szCs w:val="18"/>
        </w:rPr>
        <w:t xml:space="preserve">, David, </w:t>
      </w:r>
      <w:proofErr w:type="spellStart"/>
      <w:r w:rsidRPr="00AC41AB">
        <w:rPr>
          <w:i/>
          <w:iCs/>
          <w:sz w:val="20"/>
          <w:szCs w:val="18"/>
        </w:rPr>
        <w:t>Intellectual</w:t>
      </w:r>
      <w:proofErr w:type="spellEnd"/>
      <w:r w:rsidRPr="00AC41AB">
        <w:rPr>
          <w:i/>
          <w:iCs/>
          <w:sz w:val="20"/>
          <w:szCs w:val="18"/>
        </w:rPr>
        <w:t xml:space="preserve"> </w:t>
      </w:r>
      <w:proofErr w:type="spellStart"/>
      <w:r w:rsidRPr="00AC41AB">
        <w:rPr>
          <w:i/>
          <w:iCs/>
          <w:sz w:val="20"/>
          <w:szCs w:val="18"/>
        </w:rPr>
        <w:t>Property</w:t>
      </w:r>
      <w:proofErr w:type="spellEnd"/>
      <w:r w:rsidRPr="00AC41AB">
        <w:rPr>
          <w:sz w:val="20"/>
          <w:szCs w:val="18"/>
        </w:rPr>
        <w:t xml:space="preserve">, 5. Edition, </w:t>
      </w:r>
      <w:proofErr w:type="spellStart"/>
      <w:r w:rsidRPr="00AC41AB">
        <w:rPr>
          <w:sz w:val="20"/>
          <w:szCs w:val="18"/>
        </w:rPr>
        <w:t>Pearson</w:t>
      </w:r>
      <w:proofErr w:type="spellEnd"/>
      <w:r w:rsidRPr="00AC41AB">
        <w:rPr>
          <w:sz w:val="20"/>
          <w:szCs w:val="18"/>
        </w:rPr>
        <w:t xml:space="preserve"> </w:t>
      </w:r>
      <w:proofErr w:type="spellStart"/>
      <w:r w:rsidRPr="00AC41AB">
        <w:rPr>
          <w:sz w:val="20"/>
          <w:szCs w:val="18"/>
        </w:rPr>
        <w:t>Longman</w:t>
      </w:r>
      <w:proofErr w:type="spellEnd"/>
      <w:r w:rsidRPr="00AC41AB">
        <w:rPr>
          <w:sz w:val="20"/>
          <w:szCs w:val="18"/>
        </w:rPr>
        <w:t xml:space="preserve">, </w:t>
      </w:r>
      <w:proofErr w:type="spellStart"/>
      <w:r w:rsidRPr="00AC41AB">
        <w:rPr>
          <w:sz w:val="20"/>
          <w:szCs w:val="18"/>
        </w:rPr>
        <w:t>Essex</w:t>
      </w:r>
      <w:proofErr w:type="spellEnd"/>
      <w:r w:rsidRPr="00AC41AB">
        <w:rPr>
          <w:sz w:val="20"/>
          <w:szCs w:val="18"/>
        </w:rPr>
        <w:t>, 2002.</w:t>
      </w:r>
    </w:p>
    <w:p w14:paraId="40001E74" w14:textId="362668F0" w:rsidR="00FD425A" w:rsidRPr="00FD425A" w:rsidRDefault="00FD425A" w:rsidP="00B278D9">
      <w:pPr>
        <w:rPr>
          <w:bCs/>
          <w:sz w:val="8"/>
          <w:szCs w:val="6"/>
        </w:rPr>
      </w:pPr>
      <w:r w:rsidRPr="00FD425A">
        <w:rPr>
          <w:b/>
          <w:bCs/>
          <w:sz w:val="20"/>
          <w:szCs w:val="18"/>
        </w:rPr>
        <w:t>BAST</w:t>
      </w:r>
      <w:r w:rsidR="00D16EAF">
        <w:rPr>
          <w:b/>
          <w:bCs/>
          <w:sz w:val="20"/>
          <w:szCs w:val="18"/>
        </w:rPr>
        <w:t>I</w:t>
      </w:r>
      <w:r w:rsidRPr="00FD425A">
        <w:rPr>
          <w:b/>
          <w:bCs/>
          <w:sz w:val="20"/>
          <w:szCs w:val="18"/>
        </w:rPr>
        <w:t>T</w:t>
      </w:r>
      <w:r w:rsidRPr="00FD425A">
        <w:rPr>
          <w:sz w:val="20"/>
          <w:szCs w:val="18"/>
        </w:rPr>
        <w:t xml:space="preserve">, M. </w:t>
      </w:r>
      <w:proofErr w:type="spellStart"/>
      <w:r w:rsidRPr="00FD425A">
        <w:rPr>
          <w:sz w:val="20"/>
          <w:szCs w:val="18"/>
        </w:rPr>
        <w:t>Henri</w:t>
      </w:r>
      <w:proofErr w:type="spellEnd"/>
      <w:r w:rsidRPr="00FD425A">
        <w:rPr>
          <w:sz w:val="20"/>
          <w:szCs w:val="18"/>
        </w:rPr>
        <w:t xml:space="preserve">, </w:t>
      </w:r>
      <w:proofErr w:type="spellStart"/>
      <w:r w:rsidRPr="00FD425A">
        <w:rPr>
          <w:i/>
          <w:iCs/>
          <w:sz w:val="20"/>
          <w:szCs w:val="18"/>
        </w:rPr>
        <w:t>Projet</w:t>
      </w:r>
      <w:proofErr w:type="spellEnd"/>
      <w:r w:rsidRPr="00FD425A">
        <w:rPr>
          <w:i/>
          <w:iCs/>
          <w:sz w:val="20"/>
          <w:szCs w:val="18"/>
        </w:rPr>
        <w:t xml:space="preserve"> de </w:t>
      </w:r>
      <w:proofErr w:type="spellStart"/>
      <w:r w:rsidRPr="00FD425A">
        <w:rPr>
          <w:i/>
          <w:iCs/>
          <w:sz w:val="20"/>
          <w:szCs w:val="18"/>
        </w:rPr>
        <w:t>Loi</w:t>
      </w:r>
      <w:proofErr w:type="spellEnd"/>
      <w:r w:rsidRPr="00FD425A">
        <w:rPr>
          <w:i/>
          <w:iCs/>
          <w:sz w:val="20"/>
          <w:szCs w:val="18"/>
        </w:rPr>
        <w:t xml:space="preserve"> </w:t>
      </w:r>
      <w:proofErr w:type="spellStart"/>
      <w:r w:rsidRPr="00FD425A">
        <w:rPr>
          <w:i/>
          <w:iCs/>
          <w:sz w:val="20"/>
          <w:szCs w:val="18"/>
        </w:rPr>
        <w:t>Portant</w:t>
      </w:r>
      <w:proofErr w:type="spellEnd"/>
      <w:r w:rsidRPr="00FD425A">
        <w:rPr>
          <w:i/>
          <w:iCs/>
          <w:sz w:val="20"/>
          <w:szCs w:val="18"/>
        </w:rPr>
        <w:t xml:space="preserve"> </w:t>
      </w:r>
      <w:proofErr w:type="spellStart"/>
      <w:r w:rsidRPr="00FD425A">
        <w:rPr>
          <w:i/>
          <w:iCs/>
          <w:sz w:val="20"/>
          <w:szCs w:val="18"/>
        </w:rPr>
        <w:t>Modification</w:t>
      </w:r>
      <w:proofErr w:type="spellEnd"/>
      <w:r w:rsidRPr="00FD425A">
        <w:rPr>
          <w:i/>
          <w:iCs/>
          <w:sz w:val="20"/>
          <w:szCs w:val="18"/>
        </w:rPr>
        <w:t xml:space="preserve"> de la </w:t>
      </w:r>
      <w:proofErr w:type="spellStart"/>
      <w:r w:rsidRPr="00FD425A">
        <w:rPr>
          <w:i/>
          <w:iCs/>
          <w:sz w:val="20"/>
          <w:szCs w:val="18"/>
        </w:rPr>
        <w:t>Loi</w:t>
      </w:r>
      <w:proofErr w:type="spellEnd"/>
      <w:r w:rsidRPr="00FD425A">
        <w:rPr>
          <w:i/>
          <w:iCs/>
          <w:sz w:val="20"/>
          <w:szCs w:val="18"/>
        </w:rPr>
        <w:t xml:space="preserve"> </w:t>
      </w:r>
      <w:proofErr w:type="spellStart"/>
      <w:r w:rsidRPr="00FD425A">
        <w:rPr>
          <w:i/>
          <w:iCs/>
          <w:sz w:val="20"/>
          <w:szCs w:val="18"/>
        </w:rPr>
        <w:t>du</w:t>
      </w:r>
      <w:proofErr w:type="spellEnd"/>
      <w:r w:rsidRPr="00FD425A">
        <w:rPr>
          <w:i/>
          <w:iCs/>
          <w:sz w:val="20"/>
          <w:szCs w:val="18"/>
        </w:rPr>
        <w:t xml:space="preserve"> 23 </w:t>
      </w:r>
      <w:proofErr w:type="spellStart"/>
      <w:r w:rsidRPr="00FD425A">
        <w:rPr>
          <w:i/>
          <w:iCs/>
          <w:sz w:val="20"/>
          <w:szCs w:val="18"/>
        </w:rPr>
        <w:t>juin</w:t>
      </w:r>
      <w:proofErr w:type="spellEnd"/>
      <w:r w:rsidRPr="00FD425A">
        <w:rPr>
          <w:i/>
          <w:iCs/>
          <w:sz w:val="20"/>
          <w:szCs w:val="18"/>
        </w:rPr>
        <w:t xml:space="preserve"> 1857 sur </w:t>
      </w:r>
      <w:proofErr w:type="spellStart"/>
      <w:r w:rsidRPr="00FD425A">
        <w:rPr>
          <w:i/>
          <w:iCs/>
          <w:sz w:val="20"/>
          <w:szCs w:val="18"/>
        </w:rPr>
        <w:t>les</w:t>
      </w:r>
      <w:proofErr w:type="spellEnd"/>
      <w:r w:rsidRPr="00FD425A">
        <w:rPr>
          <w:i/>
          <w:iCs/>
          <w:sz w:val="20"/>
          <w:szCs w:val="18"/>
        </w:rPr>
        <w:t xml:space="preserve"> </w:t>
      </w:r>
      <w:proofErr w:type="spellStart"/>
      <w:r w:rsidRPr="00FD425A">
        <w:rPr>
          <w:i/>
          <w:iCs/>
          <w:sz w:val="20"/>
          <w:szCs w:val="18"/>
        </w:rPr>
        <w:t>Marques</w:t>
      </w:r>
      <w:proofErr w:type="spellEnd"/>
      <w:r w:rsidRPr="00FD425A">
        <w:rPr>
          <w:i/>
          <w:iCs/>
          <w:sz w:val="20"/>
          <w:szCs w:val="18"/>
        </w:rPr>
        <w:t xml:space="preserve"> de </w:t>
      </w:r>
      <w:proofErr w:type="spellStart"/>
      <w:r w:rsidRPr="00FD425A">
        <w:rPr>
          <w:i/>
          <w:iCs/>
          <w:sz w:val="20"/>
          <w:szCs w:val="18"/>
        </w:rPr>
        <w:t>Fabrique</w:t>
      </w:r>
      <w:proofErr w:type="spellEnd"/>
      <w:r w:rsidRPr="00FD425A">
        <w:rPr>
          <w:i/>
          <w:iCs/>
          <w:sz w:val="20"/>
          <w:szCs w:val="18"/>
        </w:rPr>
        <w:t xml:space="preserve"> et de Commerce </w:t>
      </w:r>
      <w:proofErr w:type="spellStart"/>
      <w:r w:rsidRPr="00FD425A">
        <w:rPr>
          <w:i/>
          <w:iCs/>
          <w:sz w:val="20"/>
          <w:szCs w:val="18"/>
        </w:rPr>
        <w:t>Rapport</w:t>
      </w:r>
      <w:proofErr w:type="spellEnd"/>
      <w:r w:rsidRPr="00FD425A">
        <w:rPr>
          <w:i/>
          <w:iCs/>
          <w:sz w:val="20"/>
          <w:szCs w:val="18"/>
        </w:rPr>
        <w:t xml:space="preserve"> </w:t>
      </w:r>
      <w:proofErr w:type="spellStart"/>
      <w:r w:rsidRPr="00FD425A">
        <w:rPr>
          <w:i/>
          <w:iCs/>
          <w:sz w:val="20"/>
          <w:szCs w:val="18"/>
        </w:rPr>
        <w:t>Présenté</w:t>
      </w:r>
      <w:proofErr w:type="spellEnd"/>
      <w:r w:rsidRPr="00FD425A">
        <w:rPr>
          <w:i/>
          <w:iCs/>
          <w:sz w:val="20"/>
          <w:szCs w:val="18"/>
        </w:rPr>
        <w:t xml:space="preserve"> </w:t>
      </w:r>
      <w:proofErr w:type="spellStart"/>
      <w:r w:rsidRPr="00FD425A">
        <w:rPr>
          <w:i/>
          <w:iCs/>
          <w:sz w:val="20"/>
          <w:szCs w:val="18"/>
        </w:rPr>
        <w:t>au</w:t>
      </w:r>
      <w:proofErr w:type="spellEnd"/>
      <w:r w:rsidRPr="00FD425A">
        <w:rPr>
          <w:i/>
          <w:iCs/>
          <w:sz w:val="20"/>
          <w:szCs w:val="18"/>
        </w:rPr>
        <w:t xml:space="preserve"> </w:t>
      </w:r>
      <w:proofErr w:type="spellStart"/>
      <w:r w:rsidRPr="00FD425A">
        <w:rPr>
          <w:i/>
          <w:iCs/>
          <w:sz w:val="20"/>
          <w:szCs w:val="18"/>
        </w:rPr>
        <w:t>Nom</w:t>
      </w:r>
      <w:proofErr w:type="spellEnd"/>
      <w:r w:rsidRPr="00FD425A">
        <w:rPr>
          <w:i/>
          <w:iCs/>
          <w:sz w:val="20"/>
          <w:szCs w:val="18"/>
        </w:rPr>
        <w:t xml:space="preserve"> de la </w:t>
      </w:r>
      <w:proofErr w:type="spellStart"/>
      <w:r w:rsidRPr="00FD425A">
        <w:rPr>
          <w:i/>
          <w:iCs/>
          <w:sz w:val="20"/>
          <w:szCs w:val="18"/>
        </w:rPr>
        <w:t>Commission</w:t>
      </w:r>
      <w:proofErr w:type="spellEnd"/>
      <w:r w:rsidRPr="00FD425A">
        <w:rPr>
          <w:i/>
          <w:iCs/>
          <w:sz w:val="20"/>
          <w:szCs w:val="18"/>
        </w:rPr>
        <w:t xml:space="preserve"> </w:t>
      </w:r>
      <w:proofErr w:type="spellStart"/>
      <w:r w:rsidRPr="00FD425A">
        <w:rPr>
          <w:i/>
          <w:iCs/>
          <w:sz w:val="20"/>
          <w:szCs w:val="18"/>
        </w:rPr>
        <w:t>d’Initiative</w:t>
      </w:r>
      <w:proofErr w:type="spellEnd"/>
      <w:r w:rsidRPr="00FD425A">
        <w:rPr>
          <w:sz w:val="20"/>
          <w:szCs w:val="18"/>
        </w:rPr>
        <w:t xml:space="preserve">, </w:t>
      </w:r>
      <w:proofErr w:type="spellStart"/>
      <w:r w:rsidRPr="00FD425A">
        <w:rPr>
          <w:sz w:val="20"/>
          <w:szCs w:val="18"/>
        </w:rPr>
        <w:t>Typographie</w:t>
      </w:r>
      <w:proofErr w:type="spellEnd"/>
      <w:r w:rsidRPr="00FD425A">
        <w:rPr>
          <w:sz w:val="20"/>
          <w:szCs w:val="18"/>
        </w:rPr>
        <w:t xml:space="preserve"> et </w:t>
      </w:r>
      <w:proofErr w:type="spellStart"/>
      <w:r w:rsidRPr="00FD425A">
        <w:rPr>
          <w:sz w:val="20"/>
          <w:szCs w:val="18"/>
        </w:rPr>
        <w:t>Lithographie</w:t>
      </w:r>
      <w:proofErr w:type="spellEnd"/>
      <w:r w:rsidRPr="00FD425A">
        <w:rPr>
          <w:sz w:val="20"/>
          <w:szCs w:val="18"/>
        </w:rPr>
        <w:t xml:space="preserve"> </w:t>
      </w:r>
      <w:proofErr w:type="spellStart"/>
      <w:r w:rsidRPr="00FD425A">
        <w:rPr>
          <w:sz w:val="20"/>
          <w:szCs w:val="18"/>
        </w:rPr>
        <w:t>Bablatier</w:t>
      </w:r>
      <w:proofErr w:type="spellEnd"/>
      <w:r w:rsidRPr="00FD425A">
        <w:rPr>
          <w:sz w:val="20"/>
          <w:szCs w:val="18"/>
        </w:rPr>
        <w:t>, Marsilya, 1907.</w:t>
      </w:r>
    </w:p>
    <w:p w14:paraId="6D06FA17" w14:textId="23E79B8C" w:rsidR="00145266" w:rsidRDefault="00145266" w:rsidP="00B278D9">
      <w:pPr>
        <w:rPr>
          <w:bCs/>
          <w:sz w:val="20"/>
          <w:szCs w:val="18"/>
        </w:rPr>
      </w:pPr>
      <w:r w:rsidRPr="00145266">
        <w:rPr>
          <w:b/>
          <w:sz w:val="20"/>
          <w:szCs w:val="18"/>
        </w:rPr>
        <w:t>BURRELL</w:t>
      </w:r>
      <w:r w:rsidRPr="00145266">
        <w:rPr>
          <w:bCs/>
          <w:sz w:val="20"/>
          <w:szCs w:val="18"/>
        </w:rPr>
        <w:t>,</w:t>
      </w:r>
      <w:r>
        <w:rPr>
          <w:bCs/>
          <w:sz w:val="20"/>
          <w:szCs w:val="18"/>
        </w:rPr>
        <w:t xml:space="preserve"> </w:t>
      </w:r>
      <w:r w:rsidRPr="00145266">
        <w:rPr>
          <w:bCs/>
          <w:sz w:val="20"/>
          <w:szCs w:val="18"/>
        </w:rPr>
        <w:t>Robert</w:t>
      </w:r>
      <w:r>
        <w:rPr>
          <w:bCs/>
          <w:sz w:val="20"/>
          <w:szCs w:val="18"/>
        </w:rPr>
        <w:t>,</w:t>
      </w:r>
      <w:r w:rsidRPr="00145266">
        <w:rPr>
          <w:bCs/>
          <w:sz w:val="20"/>
          <w:szCs w:val="18"/>
        </w:rPr>
        <w:t xml:space="preserve"> </w:t>
      </w:r>
      <w:r w:rsidRPr="00145266">
        <w:rPr>
          <w:bCs/>
          <w:i/>
          <w:iCs/>
          <w:sz w:val="20"/>
          <w:szCs w:val="18"/>
        </w:rPr>
        <w:t>‘</w:t>
      </w:r>
      <w:proofErr w:type="spellStart"/>
      <w:r w:rsidRPr="00145266">
        <w:rPr>
          <w:bCs/>
          <w:i/>
          <w:iCs/>
          <w:sz w:val="20"/>
          <w:szCs w:val="18"/>
        </w:rPr>
        <w:t>Trade</w:t>
      </w:r>
      <w:proofErr w:type="spellEnd"/>
      <w:r w:rsidRPr="00145266">
        <w:rPr>
          <w:bCs/>
          <w:i/>
          <w:iCs/>
          <w:sz w:val="20"/>
          <w:szCs w:val="18"/>
        </w:rPr>
        <w:t xml:space="preserve"> Mark </w:t>
      </w:r>
      <w:proofErr w:type="spellStart"/>
      <w:r w:rsidRPr="00145266">
        <w:rPr>
          <w:bCs/>
          <w:i/>
          <w:iCs/>
          <w:sz w:val="20"/>
          <w:szCs w:val="18"/>
        </w:rPr>
        <w:t>Bureaucracies</w:t>
      </w:r>
      <w:proofErr w:type="spellEnd"/>
      <w:r w:rsidRPr="00145266">
        <w:rPr>
          <w:bCs/>
          <w:i/>
          <w:iCs/>
          <w:sz w:val="20"/>
          <w:szCs w:val="18"/>
        </w:rPr>
        <w:t>’</w:t>
      </w:r>
      <w:r w:rsidRPr="00145266">
        <w:rPr>
          <w:bCs/>
          <w:sz w:val="20"/>
          <w:szCs w:val="18"/>
        </w:rPr>
        <w:t xml:space="preserve">, </w:t>
      </w:r>
      <w:proofErr w:type="spellStart"/>
      <w:r w:rsidRPr="00145266">
        <w:rPr>
          <w:bCs/>
          <w:sz w:val="20"/>
          <w:szCs w:val="18"/>
        </w:rPr>
        <w:t>The</w:t>
      </w:r>
      <w:proofErr w:type="spellEnd"/>
      <w:r w:rsidRPr="00145266">
        <w:rPr>
          <w:bCs/>
          <w:sz w:val="20"/>
          <w:szCs w:val="18"/>
        </w:rPr>
        <w:t xml:space="preserve"> </w:t>
      </w:r>
      <w:proofErr w:type="spellStart"/>
      <w:r w:rsidRPr="00145266">
        <w:rPr>
          <w:bCs/>
          <w:sz w:val="20"/>
          <w:szCs w:val="18"/>
        </w:rPr>
        <w:t>University</w:t>
      </w:r>
      <w:proofErr w:type="spellEnd"/>
      <w:r w:rsidRPr="00145266">
        <w:rPr>
          <w:bCs/>
          <w:sz w:val="20"/>
          <w:szCs w:val="18"/>
        </w:rPr>
        <w:t xml:space="preserve"> of </w:t>
      </w:r>
      <w:proofErr w:type="spellStart"/>
      <w:r w:rsidRPr="00145266">
        <w:rPr>
          <w:bCs/>
          <w:sz w:val="20"/>
          <w:szCs w:val="18"/>
        </w:rPr>
        <w:t>Queensland</w:t>
      </w:r>
      <w:proofErr w:type="spellEnd"/>
      <w:r w:rsidRPr="00145266">
        <w:rPr>
          <w:bCs/>
          <w:sz w:val="20"/>
          <w:szCs w:val="18"/>
        </w:rPr>
        <w:t xml:space="preserve">, </w:t>
      </w:r>
      <w:proofErr w:type="gramStart"/>
      <w:r w:rsidRPr="00145266">
        <w:rPr>
          <w:bCs/>
          <w:sz w:val="20"/>
          <w:szCs w:val="18"/>
        </w:rPr>
        <w:t>TC</w:t>
      </w:r>
      <w:proofErr w:type="gramEnd"/>
      <w:r w:rsidRPr="00145266">
        <w:rPr>
          <w:bCs/>
          <w:sz w:val="20"/>
          <w:szCs w:val="18"/>
        </w:rPr>
        <w:t xml:space="preserve"> </w:t>
      </w:r>
      <w:proofErr w:type="spellStart"/>
      <w:r w:rsidRPr="00145266">
        <w:rPr>
          <w:bCs/>
          <w:sz w:val="20"/>
          <w:szCs w:val="18"/>
        </w:rPr>
        <w:t>Beirne</w:t>
      </w:r>
      <w:proofErr w:type="spellEnd"/>
      <w:r w:rsidRPr="00145266">
        <w:rPr>
          <w:bCs/>
          <w:sz w:val="20"/>
          <w:szCs w:val="18"/>
        </w:rPr>
        <w:t xml:space="preserve"> School of </w:t>
      </w:r>
      <w:proofErr w:type="spellStart"/>
      <w:r w:rsidRPr="00145266">
        <w:rPr>
          <w:bCs/>
          <w:sz w:val="20"/>
          <w:szCs w:val="18"/>
        </w:rPr>
        <w:t>Law</w:t>
      </w:r>
      <w:proofErr w:type="spellEnd"/>
      <w:r w:rsidRPr="00145266">
        <w:rPr>
          <w:bCs/>
          <w:sz w:val="20"/>
          <w:szCs w:val="18"/>
        </w:rPr>
        <w:t xml:space="preserve"> Legal </w:t>
      </w:r>
      <w:proofErr w:type="spellStart"/>
      <w:r w:rsidRPr="00145266">
        <w:rPr>
          <w:bCs/>
          <w:sz w:val="20"/>
          <w:szCs w:val="18"/>
        </w:rPr>
        <w:t>Studies</w:t>
      </w:r>
      <w:proofErr w:type="spellEnd"/>
      <w:r w:rsidRPr="00145266">
        <w:rPr>
          <w:bCs/>
          <w:sz w:val="20"/>
          <w:szCs w:val="18"/>
        </w:rPr>
        <w:t xml:space="preserve"> </w:t>
      </w:r>
      <w:proofErr w:type="spellStart"/>
      <w:r w:rsidRPr="00145266">
        <w:rPr>
          <w:bCs/>
          <w:sz w:val="20"/>
          <w:szCs w:val="18"/>
        </w:rPr>
        <w:t>Research</w:t>
      </w:r>
      <w:proofErr w:type="spellEnd"/>
      <w:r w:rsidRPr="00145266">
        <w:rPr>
          <w:bCs/>
          <w:sz w:val="20"/>
          <w:szCs w:val="18"/>
        </w:rPr>
        <w:t xml:space="preserve"> </w:t>
      </w:r>
      <w:proofErr w:type="spellStart"/>
      <w:r w:rsidRPr="00145266">
        <w:rPr>
          <w:bCs/>
          <w:sz w:val="20"/>
          <w:szCs w:val="18"/>
        </w:rPr>
        <w:t>Paper</w:t>
      </w:r>
      <w:proofErr w:type="spellEnd"/>
      <w:r w:rsidRPr="00145266">
        <w:rPr>
          <w:bCs/>
          <w:sz w:val="20"/>
          <w:szCs w:val="18"/>
        </w:rPr>
        <w:t xml:space="preserve"> Series, </w:t>
      </w:r>
      <w:proofErr w:type="spellStart"/>
      <w:r w:rsidRPr="00145266">
        <w:rPr>
          <w:bCs/>
          <w:sz w:val="20"/>
          <w:szCs w:val="18"/>
        </w:rPr>
        <w:t>Research</w:t>
      </w:r>
      <w:proofErr w:type="spellEnd"/>
      <w:r w:rsidRPr="00145266">
        <w:rPr>
          <w:bCs/>
          <w:sz w:val="20"/>
          <w:szCs w:val="18"/>
        </w:rPr>
        <w:t xml:space="preserve"> </w:t>
      </w:r>
      <w:proofErr w:type="spellStart"/>
      <w:r w:rsidRPr="00145266">
        <w:rPr>
          <w:bCs/>
          <w:sz w:val="20"/>
          <w:szCs w:val="18"/>
        </w:rPr>
        <w:t>Paper</w:t>
      </w:r>
      <w:proofErr w:type="spellEnd"/>
      <w:r w:rsidRPr="00145266">
        <w:rPr>
          <w:bCs/>
          <w:sz w:val="20"/>
          <w:szCs w:val="18"/>
        </w:rPr>
        <w:t xml:space="preserve"> No. 07-25, 2007, http://ssrn.com/abstract=1027504 (erişim tarihi, 7 Haziran 2020), s. </w:t>
      </w:r>
      <w:r>
        <w:rPr>
          <w:bCs/>
          <w:sz w:val="20"/>
          <w:szCs w:val="18"/>
        </w:rPr>
        <w:t>1-50.</w:t>
      </w:r>
    </w:p>
    <w:p w14:paraId="07471025" w14:textId="4438555C" w:rsidR="008836FB" w:rsidRPr="008836FB" w:rsidRDefault="008836FB" w:rsidP="00B278D9">
      <w:pPr>
        <w:rPr>
          <w:bCs/>
          <w:sz w:val="16"/>
          <w:szCs w:val="14"/>
        </w:rPr>
      </w:pPr>
      <w:r w:rsidRPr="008836FB">
        <w:rPr>
          <w:b/>
          <w:bCs/>
          <w:sz w:val="20"/>
          <w:szCs w:val="18"/>
        </w:rPr>
        <w:t>BURRELL</w:t>
      </w:r>
      <w:r w:rsidRPr="008836FB">
        <w:rPr>
          <w:sz w:val="20"/>
          <w:szCs w:val="18"/>
        </w:rPr>
        <w:t xml:space="preserve">, Robert/ </w:t>
      </w:r>
      <w:r w:rsidRPr="008836FB">
        <w:rPr>
          <w:b/>
          <w:bCs/>
          <w:sz w:val="20"/>
          <w:szCs w:val="18"/>
        </w:rPr>
        <w:t>HANDLER</w:t>
      </w:r>
      <w:r w:rsidRPr="008836FB">
        <w:rPr>
          <w:sz w:val="20"/>
          <w:szCs w:val="18"/>
        </w:rPr>
        <w:t xml:space="preserve">, Michael, </w:t>
      </w:r>
      <w:r w:rsidRPr="008836FB">
        <w:rPr>
          <w:i/>
          <w:iCs/>
          <w:sz w:val="20"/>
          <w:szCs w:val="18"/>
        </w:rPr>
        <w:t>‘</w:t>
      </w:r>
      <w:proofErr w:type="spellStart"/>
      <w:r w:rsidRPr="008836FB">
        <w:rPr>
          <w:i/>
          <w:iCs/>
          <w:sz w:val="20"/>
          <w:szCs w:val="18"/>
        </w:rPr>
        <w:t>Making</w:t>
      </w:r>
      <w:proofErr w:type="spellEnd"/>
      <w:r w:rsidRPr="008836FB">
        <w:rPr>
          <w:i/>
          <w:iCs/>
          <w:sz w:val="20"/>
          <w:szCs w:val="18"/>
        </w:rPr>
        <w:t xml:space="preserve"> Sense of </w:t>
      </w:r>
      <w:proofErr w:type="spellStart"/>
      <w:r w:rsidRPr="008836FB">
        <w:rPr>
          <w:i/>
          <w:iCs/>
          <w:sz w:val="20"/>
          <w:szCs w:val="18"/>
        </w:rPr>
        <w:t>Trade</w:t>
      </w:r>
      <w:proofErr w:type="spellEnd"/>
      <w:r w:rsidRPr="008836FB">
        <w:rPr>
          <w:i/>
          <w:iCs/>
          <w:sz w:val="20"/>
          <w:szCs w:val="18"/>
        </w:rPr>
        <w:t xml:space="preserve"> Mark </w:t>
      </w:r>
      <w:proofErr w:type="spellStart"/>
      <w:r w:rsidRPr="008836FB">
        <w:rPr>
          <w:i/>
          <w:iCs/>
          <w:sz w:val="20"/>
          <w:szCs w:val="18"/>
        </w:rPr>
        <w:t>Law</w:t>
      </w:r>
      <w:proofErr w:type="spellEnd"/>
      <w:r w:rsidRPr="008836FB">
        <w:rPr>
          <w:i/>
          <w:iCs/>
          <w:sz w:val="20"/>
          <w:szCs w:val="18"/>
        </w:rPr>
        <w:t>’</w:t>
      </w:r>
      <w:r w:rsidRPr="008836FB">
        <w:rPr>
          <w:sz w:val="20"/>
          <w:szCs w:val="18"/>
        </w:rPr>
        <w:t xml:space="preserve"> IPQ, No. 4, 2003,</w:t>
      </w:r>
      <w:r w:rsidRPr="008836FB">
        <w:t xml:space="preserve"> </w:t>
      </w:r>
      <w:r w:rsidRPr="008836FB">
        <w:rPr>
          <w:sz w:val="20"/>
          <w:szCs w:val="18"/>
        </w:rPr>
        <w:t>s. 388-410.</w:t>
      </w:r>
    </w:p>
    <w:p w14:paraId="30B34F2A" w14:textId="48203EE2" w:rsidR="00330873" w:rsidRDefault="00330873" w:rsidP="00B278D9">
      <w:pPr>
        <w:rPr>
          <w:sz w:val="20"/>
          <w:szCs w:val="18"/>
        </w:rPr>
      </w:pPr>
      <w:r w:rsidRPr="00330873">
        <w:rPr>
          <w:b/>
          <w:bCs/>
          <w:sz w:val="20"/>
          <w:szCs w:val="18"/>
        </w:rPr>
        <w:t>CALLMAN</w:t>
      </w:r>
      <w:r w:rsidRPr="00330873">
        <w:rPr>
          <w:sz w:val="20"/>
          <w:szCs w:val="18"/>
        </w:rPr>
        <w:t xml:space="preserve">, </w:t>
      </w:r>
      <w:proofErr w:type="spellStart"/>
      <w:r w:rsidRPr="00330873">
        <w:rPr>
          <w:sz w:val="20"/>
          <w:szCs w:val="18"/>
        </w:rPr>
        <w:t>Rudolf</w:t>
      </w:r>
      <w:proofErr w:type="spellEnd"/>
      <w:r w:rsidRPr="00330873">
        <w:rPr>
          <w:sz w:val="20"/>
          <w:szCs w:val="18"/>
        </w:rPr>
        <w:t xml:space="preserve">, </w:t>
      </w:r>
      <w:r w:rsidRPr="00330873">
        <w:rPr>
          <w:i/>
          <w:iCs/>
          <w:sz w:val="20"/>
          <w:szCs w:val="18"/>
        </w:rPr>
        <w:t>‘</w:t>
      </w:r>
      <w:proofErr w:type="spellStart"/>
      <w:r w:rsidRPr="00330873">
        <w:rPr>
          <w:i/>
          <w:iCs/>
          <w:sz w:val="20"/>
          <w:szCs w:val="18"/>
        </w:rPr>
        <w:t>Registration</w:t>
      </w:r>
      <w:proofErr w:type="spellEnd"/>
      <w:r w:rsidRPr="00330873">
        <w:rPr>
          <w:i/>
          <w:iCs/>
          <w:sz w:val="20"/>
          <w:szCs w:val="18"/>
        </w:rPr>
        <w:t xml:space="preserve"> </w:t>
      </w:r>
      <w:proofErr w:type="spellStart"/>
      <w:r w:rsidRPr="00330873">
        <w:rPr>
          <w:i/>
          <w:iCs/>
          <w:sz w:val="20"/>
          <w:szCs w:val="18"/>
        </w:rPr>
        <w:t>and</w:t>
      </w:r>
      <w:proofErr w:type="spellEnd"/>
      <w:r w:rsidRPr="00330873">
        <w:rPr>
          <w:i/>
          <w:iCs/>
          <w:sz w:val="20"/>
          <w:szCs w:val="18"/>
        </w:rPr>
        <w:t xml:space="preserve"> </w:t>
      </w:r>
      <w:proofErr w:type="spellStart"/>
      <w:r w:rsidRPr="00330873">
        <w:rPr>
          <w:i/>
          <w:iCs/>
          <w:sz w:val="20"/>
          <w:szCs w:val="18"/>
        </w:rPr>
        <w:t>Use</w:t>
      </w:r>
      <w:proofErr w:type="spellEnd"/>
      <w:r w:rsidRPr="00330873">
        <w:rPr>
          <w:i/>
          <w:iCs/>
          <w:sz w:val="20"/>
          <w:szCs w:val="18"/>
        </w:rPr>
        <w:t xml:space="preserve"> in </w:t>
      </w:r>
      <w:proofErr w:type="spellStart"/>
      <w:r w:rsidRPr="00330873">
        <w:rPr>
          <w:i/>
          <w:iCs/>
          <w:sz w:val="20"/>
          <w:szCs w:val="18"/>
        </w:rPr>
        <w:t>the</w:t>
      </w:r>
      <w:proofErr w:type="spellEnd"/>
      <w:r w:rsidRPr="00330873">
        <w:rPr>
          <w:i/>
          <w:iCs/>
          <w:sz w:val="20"/>
          <w:szCs w:val="18"/>
        </w:rPr>
        <w:t xml:space="preserve"> </w:t>
      </w:r>
      <w:proofErr w:type="spellStart"/>
      <w:r w:rsidRPr="00330873">
        <w:rPr>
          <w:i/>
          <w:iCs/>
          <w:sz w:val="20"/>
          <w:szCs w:val="18"/>
        </w:rPr>
        <w:t>Trademark</w:t>
      </w:r>
      <w:proofErr w:type="spellEnd"/>
      <w:r w:rsidRPr="00330873">
        <w:rPr>
          <w:i/>
          <w:iCs/>
          <w:sz w:val="20"/>
          <w:szCs w:val="18"/>
        </w:rPr>
        <w:t xml:space="preserve"> </w:t>
      </w:r>
      <w:proofErr w:type="spellStart"/>
      <w:r w:rsidRPr="00330873">
        <w:rPr>
          <w:i/>
          <w:iCs/>
          <w:sz w:val="20"/>
          <w:szCs w:val="18"/>
        </w:rPr>
        <w:t>Laws</w:t>
      </w:r>
      <w:proofErr w:type="spellEnd"/>
      <w:r w:rsidRPr="00330873">
        <w:rPr>
          <w:i/>
          <w:iCs/>
          <w:sz w:val="20"/>
          <w:szCs w:val="18"/>
        </w:rPr>
        <w:t xml:space="preserve"> of </w:t>
      </w:r>
      <w:proofErr w:type="spellStart"/>
      <w:r w:rsidRPr="00330873">
        <w:rPr>
          <w:i/>
          <w:iCs/>
          <w:sz w:val="20"/>
          <w:szCs w:val="18"/>
        </w:rPr>
        <w:t>Different</w:t>
      </w:r>
      <w:proofErr w:type="spellEnd"/>
      <w:r w:rsidRPr="00330873">
        <w:rPr>
          <w:i/>
          <w:iCs/>
          <w:sz w:val="20"/>
          <w:szCs w:val="18"/>
        </w:rPr>
        <w:t xml:space="preserve"> </w:t>
      </w:r>
      <w:proofErr w:type="spellStart"/>
      <w:r w:rsidRPr="00330873">
        <w:rPr>
          <w:i/>
          <w:iCs/>
          <w:sz w:val="20"/>
          <w:szCs w:val="18"/>
        </w:rPr>
        <w:t>Countries</w:t>
      </w:r>
      <w:proofErr w:type="spellEnd"/>
      <w:r w:rsidRPr="00330873">
        <w:rPr>
          <w:i/>
          <w:iCs/>
          <w:sz w:val="20"/>
          <w:szCs w:val="18"/>
        </w:rPr>
        <w:t>’</w:t>
      </w:r>
      <w:r w:rsidRPr="00330873">
        <w:rPr>
          <w:sz w:val="20"/>
          <w:szCs w:val="18"/>
        </w:rPr>
        <w:t xml:space="preserve">, </w:t>
      </w:r>
      <w:proofErr w:type="spellStart"/>
      <w:r w:rsidRPr="00330873">
        <w:rPr>
          <w:sz w:val="20"/>
          <w:szCs w:val="18"/>
        </w:rPr>
        <w:t>Section</w:t>
      </w:r>
      <w:proofErr w:type="spellEnd"/>
      <w:r w:rsidRPr="00330873">
        <w:rPr>
          <w:sz w:val="20"/>
          <w:szCs w:val="18"/>
        </w:rPr>
        <w:t xml:space="preserve"> of International </w:t>
      </w:r>
      <w:proofErr w:type="spellStart"/>
      <w:r w:rsidRPr="00330873">
        <w:rPr>
          <w:sz w:val="20"/>
          <w:szCs w:val="18"/>
        </w:rPr>
        <w:t>and</w:t>
      </w:r>
      <w:proofErr w:type="spellEnd"/>
      <w:r w:rsidRPr="00330873">
        <w:rPr>
          <w:sz w:val="20"/>
          <w:szCs w:val="18"/>
        </w:rPr>
        <w:t xml:space="preserve"> </w:t>
      </w:r>
      <w:proofErr w:type="spellStart"/>
      <w:r w:rsidRPr="00330873">
        <w:rPr>
          <w:sz w:val="20"/>
          <w:szCs w:val="18"/>
        </w:rPr>
        <w:t>Comparative</w:t>
      </w:r>
      <w:proofErr w:type="spellEnd"/>
      <w:r w:rsidRPr="00330873">
        <w:rPr>
          <w:sz w:val="20"/>
          <w:szCs w:val="18"/>
        </w:rPr>
        <w:t xml:space="preserve"> </w:t>
      </w:r>
      <w:proofErr w:type="spellStart"/>
      <w:r w:rsidRPr="00330873">
        <w:rPr>
          <w:sz w:val="20"/>
          <w:szCs w:val="18"/>
        </w:rPr>
        <w:t>Law</w:t>
      </w:r>
      <w:proofErr w:type="spellEnd"/>
      <w:r w:rsidRPr="00330873">
        <w:rPr>
          <w:sz w:val="20"/>
          <w:szCs w:val="18"/>
        </w:rPr>
        <w:t xml:space="preserve"> </w:t>
      </w:r>
      <w:proofErr w:type="spellStart"/>
      <w:r w:rsidRPr="00330873">
        <w:rPr>
          <w:sz w:val="20"/>
          <w:szCs w:val="18"/>
        </w:rPr>
        <w:t>Bulletin</w:t>
      </w:r>
      <w:proofErr w:type="spellEnd"/>
      <w:r w:rsidRPr="00330873">
        <w:rPr>
          <w:sz w:val="20"/>
          <w:szCs w:val="18"/>
        </w:rPr>
        <w:t xml:space="preserve">, </w:t>
      </w:r>
      <w:proofErr w:type="spellStart"/>
      <w:r w:rsidRPr="00330873">
        <w:rPr>
          <w:sz w:val="20"/>
          <w:szCs w:val="18"/>
        </w:rPr>
        <w:t>Vol</w:t>
      </w:r>
      <w:proofErr w:type="spellEnd"/>
      <w:r w:rsidRPr="00330873">
        <w:rPr>
          <w:sz w:val="20"/>
          <w:szCs w:val="18"/>
        </w:rPr>
        <w:t>. 2, No. 2, 1958, s. 20-25.</w:t>
      </w:r>
    </w:p>
    <w:p w14:paraId="18194AFB" w14:textId="6B4C4115" w:rsidR="008836FB" w:rsidRPr="008836FB" w:rsidRDefault="008836FB" w:rsidP="00B278D9">
      <w:pPr>
        <w:rPr>
          <w:sz w:val="16"/>
          <w:szCs w:val="14"/>
        </w:rPr>
      </w:pPr>
      <w:r w:rsidRPr="008836FB">
        <w:rPr>
          <w:b/>
          <w:bCs/>
          <w:sz w:val="20"/>
          <w:szCs w:val="18"/>
        </w:rPr>
        <w:t>CHERPILLOD</w:t>
      </w:r>
      <w:r w:rsidRPr="008836FB">
        <w:rPr>
          <w:sz w:val="20"/>
          <w:szCs w:val="18"/>
        </w:rPr>
        <w:t xml:space="preserve">, </w:t>
      </w:r>
      <w:proofErr w:type="spellStart"/>
      <w:r w:rsidRPr="008836FB">
        <w:rPr>
          <w:sz w:val="20"/>
          <w:szCs w:val="18"/>
        </w:rPr>
        <w:t>Ivan</w:t>
      </w:r>
      <w:proofErr w:type="spellEnd"/>
      <w:r w:rsidRPr="008836FB">
        <w:rPr>
          <w:sz w:val="20"/>
          <w:szCs w:val="18"/>
        </w:rPr>
        <w:t xml:space="preserve">, </w:t>
      </w:r>
      <w:r w:rsidRPr="008836FB">
        <w:rPr>
          <w:i/>
          <w:iCs/>
          <w:sz w:val="20"/>
          <w:szCs w:val="18"/>
        </w:rPr>
        <w:t xml:space="preserve">Le </w:t>
      </w:r>
      <w:proofErr w:type="spellStart"/>
      <w:r w:rsidRPr="008836FB">
        <w:rPr>
          <w:i/>
          <w:iCs/>
          <w:sz w:val="20"/>
          <w:szCs w:val="18"/>
        </w:rPr>
        <w:t>Droit</w:t>
      </w:r>
      <w:proofErr w:type="spellEnd"/>
      <w:r w:rsidRPr="008836FB">
        <w:rPr>
          <w:i/>
          <w:iCs/>
          <w:sz w:val="20"/>
          <w:szCs w:val="18"/>
        </w:rPr>
        <w:t xml:space="preserve"> </w:t>
      </w:r>
      <w:proofErr w:type="spellStart"/>
      <w:r w:rsidRPr="008836FB">
        <w:rPr>
          <w:i/>
          <w:iCs/>
          <w:sz w:val="20"/>
          <w:szCs w:val="18"/>
        </w:rPr>
        <w:t>Suisse</w:t>
      </w:r>
      <w:proofErr w:type="spellEnd"/>
      <w:r w:rsidRPr="008836FB">
        <w:rPr>
          <w:i/>
          <w:iCs/>
          <w:sz w:val="20"/>
          <w:szCs w:val="18"/>
        </w:rPr>
        <w:t xml:space="preserve"> </w:t>
      </w:r>
      <w:proofErr w:type="spellStart"/>
      <w:r w:rsidRPr="008836FB">
        <w:rPr>
          <w:i/>
          <w:iCs/>
          <w:sz w:val="20"/>
          <w:szCs w:val="18"/>
        </w:rPr>
        <w:t>des</w:t>
      </w:r>
      <w:proofErr w:type="spellEnd"/>
      <w:r w:rsidRPr="008836FB">
        <w:rPr>
          <w:i/>
          <w:iCs/>
          <w:sz w:val="20"/>
          <w:szCs w:val="18"/>
        </w:rPr>
        <w:t xml:space="preserve"> </w:t>
      </w:r>
      <w:proofErr w:type="spellStart"/>
      <w:r w:rsidRPr="008836FB">
        <w:rPr>
          <w:i/>
          <w:iCs/>
          <w:sz w:val="20"/>
          <w:szCs w:val="18"/>
        </w:rPr>
        <w:t>Marques</w:t>
      </w:r>
      <w:proofErr w:type="spellEnd"/>
      <w:r w:rsidRPr="008836FB">
        <w:rPr>
          <w:sz w:val="20"/>
          <w:szCs w:val="18"/>
        </w:rPr>
        <w:t>, CEDIDAC, Lozan, 2007.</w:t>
      </w:r>
    </w:p>
    <w:p w14:paraId="46BFA788" w14:textId="72010493" w:rsidR="00E13B42" w:rsidRDefault="00E13B42" w:rsidP="00B278D9">
      <w:pPr>
        <w:rPr>
          <w:sz w:val="20"/>
          <w:szCs w:val="18"/>
        </w:rPr>
      </w:pPr>
      <w:r w:rsidRPr="00E13B42">
        <w:rPr>
          <w:b/>
          <w:bCs/>
          <w:sz w:val="20"/>
          <w:szCs w:val="18"/>
        </w:rPr>
        <w:t>COŞGUN</w:t>
      </w:r>
      <w:r w:rsidRPr="00E13B42">
        <w:rPr>
          <w:sz w:val="20"/>
          <w:szCs w:val="18"/>
        </w:rPr>
        <w:t>, Gizem</w:t>
      </w:r>
      <w:r>
        <w:rPr>
          <w:sz w:val="20"/>
          <w:szCs w:val="18"/>
        </w:rPr>
        <w:t>,</w:t>
      </w:r>
      <w:r w:rsidRPr="00E13B42">
        <w:rPr>
          <w:sz w:val="20"/>
          <w:szCs w:val="18"/>
        </w:rPr>
        <w:t xml:space="preserve"> </w:t>
      </w:r>
      <w:r w:rsidRPr="00E13B42">
        <w:rPr>
          <w:i/>
          <w:iCs/>
          <w:sz w:val="20"/>
          <w:szCs w:val="18"/>
        </w:rPr>
        <w:t>Sınai Mülkiyet Kanunu Kapsamında Markanın Kullanılması</w:t>
      </w:r>
      <w:r w:rsidRPr="00E13B42">
        <w:rPr>
          <w:sz w:val="20"/>
          <w:szCs w:val="18"/>
        </w:rPr>
        <w:t>, Seçkin Yayıncılık, Ankara, 2018</w:t>
      </w:r>
      <w:r>
        <w:rPr>
          <w:sz w:val="20"/>
          <w:szCs w:val="18"/>
        </w:rPr>
        <w:t>.</w:t>
      </w:r>
    </w:p>
    <w:p w14:paraId="2C19686D" w14:textId="2904898A" w:rsidR="008836FB" w:rsidRPr="008836FB" w:rsidRDefault="008836FB" w:rsidP="00B278D9">
      <w:pPr>
        <w:rPr>
          <w:sz w:val="16"/>
          <w:szCs w:val="14"/>
        </w:rPr>
      </w:pPr>
      <w:r w:rsidRPr="008836FB">
        <w:rPr>
          <w:b/>
          <w:bCs/>
          <w:sz w:val="20"/>
          <w:szCs w:val="18"/>
        </w:rPr>
        <w:t>ÇAĞLAR</w:t>
      </w:r>
      <w:r w:rsidRPr="008836FB">
        <w:rPr>
          <w:sz w:val="20"/>
          <w:szCs w:val="18"/>
        </w:rPr>
        <w:t xml:space="preserve">, Hayrettin, </w:t>
      </w:r>
      <w:r w:rsidRPr="008836FB">
        <w:rPr>
          <w:i/>
          <w:iCs/>
          <w:sz w:val="20"/>
          <w:szCs w:val="18"/>
        </w:rPr>
        <w:t>Marka Hukuku</w:t>
      </w:r>
      <w:r w:rsidRPr="008836FB">
        <w:rPr>
          <w:sz w:val="20"/>
          <w:szCs w:val="18"/>
        </w:rPr>
        <w:t>, Adalet Yayınevi, Ankara, 2013.</w:t>
      </w:r>
    </w:p>
    <w:p w14:paraId="29C31D27" w14:textId="407E643F" w:rsidR="008836FB" w:rsidRDefault="008836FB" w:rsidP="00B278D9">
      <w:pPr>
        <w:rPr>
          <w:sz w:val="20"/>
          <w:szCs w:val="18"/>
        </w:rPr>
      </w:pPr>
      <w:r w:rsidRPr="008836FB">
        <w:rPr>
          <w:b/>
          <w:bCs/>
          <w:sz w:val="20"/>
          <w:szCs w:val="18"/>
        </w:rPr>
        <w:t>ÇOLAK</w:t>
      </w:r>
      <w:r w:rsidRPr="008836FB">
        <w:rPr>
          <w:sz w:val="20"/>
          <w:szCs w:val="18"/>
        </w:rPr>
        <w:t xml:space="preserve">, Uğur, </w:t>
      </w:r>
      <w:r w:rsidRPr="008836FB">
        <w:rPr>
          <w:i/>
          <w:iCs/>
          <w:sz w:val="20"/>
          <w:szCs w:val="18"/>
        </w:rPr>
        <w:t>Türk Marka Hukuku</w:t>
      </w:r>
      <w:r w:rsidRPr="008836FB">
        <w:rPr>
          <w:sz w:val="20"/>
          <w:szCs w:val="18"/>
        </w:rPr>
        <w:t>, 4. Baskı, On İki Levha Yayıncılık, İstanbul, 2018</w:t>
      </w:r>
      <w:r>
        <w:rPr>
          <w:sz w:val="20"/>
          <w:szCs w:val="18"/>
        </w:rPr>
        <w:t>.</w:t>
      </w:r>
    </w:p>
    <w:p w14:paraId="4BD89E47" w14:textId="676FA396" w:rsidR="008836FB" w:rsidRPr="008836FB" w:rsidRDefault="008836FB" w:rsidP="00B278D9">
      <w:pPr>
        <w:rPr>
          <w:sz w:val="12"/>
          <w:szCs w:val="10"/>
        </w:rPr>
      </w:pPr>
      <w:r w:rsidRPr="008836FB">
        <w:rPr>
          <w:b/>
          <w:bCs/>
          <w:sz w:val="20"/>
          <w:szCs w:val="18"/>
        </w:rPr>
        <w:t>DESSEMONTET</w:t>
      </w:r>
      <w:r w:rsidRPr="008836FB">
        <w:rPr>
          <w:sz w:val="20"/>
          <w:szCs w:val="18"/>
        </w:rPr>
        <w:t xml:space="preserve">, François, </w:t>
      </w:r>
      <w:r w:rsidRPr="008836FB">
        <w:rPr>
          <w:i/>
          <w:iCs/>
          <w:sz w:val="20"/>
          <w:szCs w:val="18"/>
        </w:rPr>
        <w:t xml:space="preserve">La </w:t>
      </w:r>
      <w:proofErr w:type="spellStart"/>
      <w:r w:rsidRPr="008836FB">
        <w:rPr>
          <w:i/>
          <w:iCs/>
          <w:sz w:val="20"/>
          <w:szCs w:val="18"/>
        </w:rPr>
        <w:t>Propriété</w:t>
      </w:r>
      <w:proofErr w:type="spellEnd"/>
      <w:r w:rsidRPr="008836FB">
        <w:rPr>
          <w:i/>
          <w:iCs/>
          <w:sz w:val="20"/>
          <w:szCs w:val="18"/>
        </w:rPr>
        <w:t xml:space="preserve"> </w:t>
      </w:r>
      <w:proofErr w:type="spellStart"/>
      <w:r w:rsidRPr="008836FB">
        <w:rPr>
          <w:i/>
          <w:iCs/>
          <w:sz w:val="20"/>
          <w:szCs w:val="18"/>
        </w:rPr>
        <w:t>Intellectuelle</w:t>
      </w:r>
      <w:proofErr w:type="spellEnd"/>
      <w:r w:rsidRPr="008836FB">
        <w:rPr>
          <w:sz w:val="20"/>
          <w:szCs w:val="18"/>
        </w:rPr>
        <w:t>, CEDIDAC, Lozan, 2000.</w:t>
      </w:r>
    </w:p>
    <w:p w14:paraId="57D673FF" w14:textId="4DF98667" w:rsidR="00AC41AB" w:rsidRPr="00AC41AB" w:rsidRDefault="00AC41AB" w:rsidP="00AC41AB">
      <w:pPr>
        <w:rPr>
          <w:sz w:val="16"/>
          <w:szCs w:val="14"/>
        </w:rPr>
      </w:pPr>
      <w:r w:rsidRPr="00AC41AB">
        <w:rPr>
          <w:b/>
          <w:bCs/>
          <w:sz w:val="20"/>
          <w:szCs w:val="18"/>
        </w:rPr>
        <w:t>DI PALMA</w:t>
      </w:r>
      <w:r w:rsidRPr="00AC41AB">
        <w:rPr>
          <w:sz w:val="20"/>
          <w:szCs w:val="18"/>
        </w:rPr>
        <w:t xml:space="preserve">, </w:t>
      </w:r>
      <w:proofErr w:type="spellStart"/>
      <w:r w:rsidRPr="00AC41AB">
        <w:rPr>
          <w:sz w:val="20"/>
          <w:szCs w:val="18"/>
        </w:rPr>
        <w:t>Salvatore</w:t>
      </w:r>
      <w:proofErr w:type="spellEnd"/>
      <w:r w:rsidRPr="00AC41AB">
        <w:rPr>
          <w:sz w:val="20"/>
          <w:szCs w:val="18"/>
        </w:rPr>
        <w:t xml:space="preserve">, </w:t>
      </w:r>
      <w:proofErr w:type="spellStart"/>
      <w:r w:rsidRPr="00AC41AB">
        <w:rPr>
          <w:i/>
          <w:iCs/>
          <w:sz w:val="20"/>
          <w:szCs w:val="18"/>
        </w:rPr>
        <w:t>L’Histoire</w:t>
      </w:r>
      <w:proofErr w:type="spellEnd"/>
      <w:r w:rsidRPr="00AC41AB">
        <w:rPr>
          <w:i/>
          <w:iCs/>
          <w:sz w:val="20"/>
          <w:szCs w:val="18"/>
        </w:rPr>
        <w:t xml:space="preserve"> </w:t>
      </w:r>
      <w:proofErr w:type="spellStart"/>
      <w:r w:rsidRPr="00AC41AB">
        <w:rPr>
          <w:i/>
          <w:iCs/>
          <w:sz w:val="20"/>
          <w:szCs w:val="18"/>
        </w:rPr>
        <w:t>des</w:t>
      </w:r>
      <w:proofErr w:type="spellEnd"/>
      <w:r w:rsidRPr="00AC41AB">
        <w:rPr>
          <w:i/>
          <w:iCs/>
          <w:sz w:val="20"/>
          <w:szCs w:val="18"/>
        </w:rPr>
        <w:t xml:space="preserve"> </w:t>
      </w:r>
      <w:proofErr w:type="spellStart"/>
      <w:r w:rsidRPr="00AC41AB">
        <w:rPr>
          <w:i/>
          <w:iCs/>
          <w:sz w:val="20"/>
          <w:szCs w:val="18"/>
        </w:rPr>
        <w:t>Marques</w:t>
      </w:r>
      <w:proofErr w:type="spellEnd"/>
      <w:r w:rsidRPr="00AC41AB">
        <w:rPr>
          <w:i/>
          <w:iCs/>
          <w:sz w:val="20"/>
          <w:szCs w:val="18"/>
        </w:rPr>
        <w:t xml:space="preserve"> </w:t>
      </w:r>
      <w:proofErr w:type="spellStart"/>
      <w:r w:rsidRPr="00AC41AB">
        <w:rPr>
          <w:i/>
          <w:iCs/>
          <w:sz w:val="20"/>
          <w:szCs w:val="18"/>
        </w:rPr>
        <w:t>depuis</w:t>
      </w:r>
      <w:proofErr w:type="spellEnd"/>
      <w:r w:rsidRPr="00AC41AB">
        <w:rPr>
          <w:i/>
          <w:iCs/>
          <w:sz w:val="20"/>
          <w:szCs w:val="18"/>
        </w:rPr>
        <w:t xml:space="preserve"> </w:t>
      </w:r>
      <w:proofErr w:type="spellStart"/>
      <w:r w:rsidRPr="00AC41AB">
        <w:rPr>
          <w:i/>
          <w:iCs/>
          <w:sz w:val="20"/>
          <w:szCs w:val="18"/>
        </w:rPr>
        <w:t>l’Antiquité</w:t>
      </w:r>
      <w:proofErr w:type="spellEnd"/>
      <w:r w:rsidRPr="00AC41AB">
        <w:rPr>
          <w:i/>
          <w:iCs/>
          <w:sz w:val="20"/>
          <w:szCs w:val="18"/>
        </w:rPr>
        <w:t xml:space="preserve"> </w:t>
      </w:r>
      <w:proofErr w:type="spellStart"/>
      <w:r w:rsidRPr="00AC41AB">
        <w:rPr>
          <w:i/>
          <w:iCs/>
          <w:sz w:val="20"/>
          <w:szCs w:val="18"/>
        </w:rPr>
        <w:t>jusqu’au</w:t>
      </w:r>
      <w:proofErr w:type="spellEnd"/>
      <w:r w:rsidRPr="00AC41AB">
        <w:rPr>
          <w:i/>
          <w:iCs/>
          <w:sz w:val="20"/>
          <w:szCs w:val="18"/>
        </w:rPr>
        <w:t xml:space="preserve"> </w:t>
      </w:r>
      <w:proofErr w:type="spellStart"/>
      <w:r w:rsidRPr="00AC41AB">
        <w:rPr>
          <w:i/>
          <w:iCs/>
          <w:sz w:val="20"/>
          <w:szCs w:val="18"/>
        </w:rPr>
        <w:t>Moyen</w:t>
      </w:r>
      <w:proofErr w:type="spellEnd"/>
      <w:r w:rsidRPr="00AC41AB">
        <w:rPr>
          <w:i/>
          <w:iCs/>
          <w:sz w:val="20"/>
          <w:szCs w:val="18"/>
        </w:rPr>
        <w:t xml:space="preserve"> </w:t>
      </w:r>
      <w:proofErr w:type="spellStart"/>
      <w:r w:rsidRPr="00AC41AB">
        <w:rPr>
          <w:i/>
          <w:iCs/>
          <w:sz w:val="20"/>
          <w:szCs w:val="18"/>
        </w:rPr>
        <w:t>Âge</w:t>
      </w:r>
      <w:proofErr w:type="spellEnd"/>
      <w:r w:rsidRPr="00AC41AB">
        <w:rPr>
          <w:sz w:val="20"/>
          <w:szCs w:val="18"/>
        </w:rPr>
        <w:t xml:space="preserve">, </w:t>
      </w:r>
      <w:proofErr w:type="spellStart"/>
      <w:r w:rsidRPr="00AC41AB">
        <w:rPr>
          <w:sz w:val="20"/>
          <w:szCs w:val="18"/>
        </w:rPr>
        <w:t>Société</w:t>
      </w:r>
      <w:proofErr w:type="spellEnd"/>
      <w:r w:rsidRPr="00AC41AB">
        <w:rPr>
          <w:sz w:val="20"/>
          <w:szCs w:val="18"/>
        </w:rPr>
        <w:t xml:space="preserve"> </w:t>
      </w:r>
      <w:proofErr w:type="spellStart"/>
      <w:r w:rsidRPr="00AC41AB">
        <w:rPr>
          <w:sz w:val="20"/>
          <w:szCs w:val="18"/>
        </w:rPr>
        <w:t>des</w:t>
      </w:r>
      <w:proofErr w:type="spellEnd"/>
      <w:r w:rsidRPr="00AC41AB">
        <w:rPr>
          <w:sz w:val="20"/>
          <w:szCs w:val="18"/>
        </w:rPr>
        <w:t xml:space="preserve"> </w:t>
      </w:r>
      <w:proofErr w:type="spellStart"/>
      <w:r w:rsidRPr="00AC41AB">
        <w:rPr>
          <w:sz w:val="20"/>
          <w:szCs w:val="18"/>
        </w:rPr>
        <w:t>Écrivains</w:t>
      </w:r>
      <w:proofErr w:type="spellEnd"/>
      <w:r w:rsidRPr="00AC41AB">
        <w:rPr>
          <w:sz w:val="20"/>
          <w:szCs w:val="18"/>
        </w:rPr>
        <w:t>, Paris, 2014.</w:t>
      </w:r>
    </w:p>
    <w:p w14:paraId="58E43DA3" w14:textId="2C2D1048" w:rsidR="00AC41AB" w:rsidRDefault="00AC41AB" w:rsidP="00B278D9">
      <w:pPr>
        <w:rPr>
          <w:sz w:val="20"/>
          <w:szCs w:val="18"/>
        </w:rPr>
      </w:pPr>
      <w:r w:rsidRPr="00AC41AB">
        <w:rPr>
          <w:b/>
          <w:bCs/>
          <w:sz w:val="20"/>
          <w:szCs w:val="18"/>
        </w:rPr>
        <w:t>D</w:t>
      </w:r>
      <w:r>
        <w:rPr>
          <w:b/>
          <w:bCs/>
          <w:sz w:val="20"/>
          <w:szCs w:val="18"/>
        </w:rPr>
        <w:t>I</w:t>
      </w:r>
      <w:r w:rsidRPr="00AC41AB">
        <w:rPr>
          <w:b/>
          <w:bCs/>
          <w:sz w:val="20"/>
          <w:szCs w:val="18"/>
        </w:rPr>
        <w:t>AMOND</w:t>
      </w:r>
      <w:r w:rsidRPr="00AC41AB">
        <w:rPr>
          <w:sz w:val="20"/>
          <w:szCs w:val="18"/>
        </w:rPr>
        <w:t xml:space="preserve">, </w:t>
      </w:r>
      <w:proofErr w:type="spellStart"/>
      <w:r w:rsidRPr="00AC41AB">
        <w:rPr>
          <w:sz w:val="20"/>
          <w:szCs w:val="18"/>
        </w:rPr>
        <w:t>Sidney</w:t>
      </w:r>
      <w:proofErr w:type="spellEnd"/>
      <w:r w:rsidRPr="00AC41AB">
        <w:rPr>
          <w:sz w:val="20"/>
          <w:szCs w:val="18"/>
        </w:rPr>
        <w:t xml:space="preserve"> A.</w:t>
      </w:r>
      <w:r>
        <w:rPr>
          <w:sz w:val="20"/>
          <w:szCs w:val="18"/>
        </w:rPr>
        <w:t>,</w:t>
      </w:r>
      <w:r w:rsidRPr="00AC41AB">
        <w:rPr>
          <w:sz w:val="20"/>
          <w:szCs w:val="18"/>
        </w:rPr>
        <w:t xml:space="preserve"> </w:t>
      </w:r>
      <w:r w:rsidRPr="00AC41AB">
        <w:rPr>
          <w:i/>
          <w:iCs/>
          <w:sz w:val="20"/>
          <w:szCs w:val="18"/>
        </w:rPr>
        <w:t>‘</w:t>
      </w:r>
      <w:proofErr w:type="spellStart"/>
      <w:r w:rsidRPr="00AC41AB">
        <w:rPr>
          <w:i/>
          <w:iCs/>
          <w:sz w:val="20"/>
          <w:szCs w:val="18"/>
        </w:rPr>
        <w:t>The</w:t>
      </w:r>
      <w:proofErr w:type="spellEnd"/>
      <w:r w:rsidRPr="00AC41AB">
        <w:rPr>
          <w:i/>
          <w:iCs/>
          <w:sz w:val="20"/>
          <w:szCs w:val="18"/>
        </w:rPr>
        <w:t xml:space="preserve"> </w:t>
      </w:r>
      <w:proofErr w:type="spellStart"/>
      <w:r w:rsidRPr="00AC41AB">
        <w:rPr>
          <w:i/>
          <w:iCs/>
          <w:sz w:val="20"/>
          <w:szCs w:val="18"/>
        </w:rPr>
        <w:t>Historical</w:t>
      </w:r>
      <w:proofErr w:type="spellEnd"/>
      <w:r w:rsidRPr="00AC41AB">
        <w:rPr>
          <w:i/>
          <w:iCs/>
          <w:sz w:val="20"/>
          <w:szCs w:val="18"/>
        </w:rPr>
        <w:t xml:space="preserve"> Development of </w:t>
      </w:r>
      <w:proofErr w:type="spellStart"/>
      <w:r w:rsidRPr="00AC41AB">
        <w:rPr>
          <w:i/>
          <w:iCs/>
          <w:sz w:val="20"/>
          <w:szCs w:val="18"/>
        </w:rPr>
        <w:t>Trademarks</w:t>
      </w:r>
      <w:proofErr w:type="spellEnd"/>
      <w:r w:rsidRPr="00AC41AB">
        <w:rPr>
          <w:i/>
          <w:iCs/>
          <w:sz w:val="20"/>
          <w:szCs w:val="18"/>
        </w:rPr>
        <w:t>’</w:t>
      </w:r>
      <w:r w:rsidRPr="00AC41AB">
        <w:rPr>
          <w:sz w:val="20"/>
          <w:szCs w:val="18"/>
        </w:rPr>
        <w:t xml:space="preserve">, TMR, </w:t>
      </w:r>
      <w:proofErr w:type="spellStart"/>
      <w:r w:rsidRPr="00AC41AB">
        <w:rPr>
          <w:sz w:val="20"/>
          <w:szCs w:val="18"/>
        </w:rPr>
        <w:t>Vol</w:t>
      </w:r>
      <w:proofErr w:type="spellEnd"/>
      <w:r w:rsidRPr="00AC41AB">
        <w:rPr>
          <w:sz w:val="20"/>
          <w:szCs w:val="18"/>
        </w:rPr>
        <w:t>. LXV, No. 4, 1975, s. 26</w:t>
      </w:r>
      <w:r>
        <w:rPr>
          <w:sz w:val="20"/>
          <w:szCs w:val="18"/>
        </w:rPr>
        <w:t>5-290.</w:t>
      </w:r>
    </w:p>
    <w:p w14:paraId="56F8BEC2" w14:textId="354ADD30" w:rsidR="00E13B42" w:rsidRPr="00E13B42" w:rsidRDefault="00E13B42" w:rsidP="00B278D9">
      <w:pPr>
        <w:rPr>
          <w:sz w:val="20"/>
          <w:szCs w:val="20"/>
        </w:rPr>
      </w:pPr>
      <w:r w:rsidRPr="00E13B42">
        <w:rPr>
          <w:b/>
          <w:bCs/>
          <w:sz w:val="20"/>
          <w:szCs w:val="20"/>
        </w:rPr>
        <w:t>DİRİKKAN</w:t>
      </w:r>
      <w:r w:rsidRPr="00E13B42">
        <w:rPr>
          <w:sz w:val="20"/>
          <w:szCs w:val="20"/>
        </w:rPr>
        <w:t xml:space="preserve">, Hanife </w:t>
      </w:r>
      <w:r w:rsidRPr="00E13B42">
        <w:rPr>
          <w:i/>
          <w:iCs/>
          <w:sz w:val="20"/>
          <w:szCs w:val="20"/>
        </w:rPr>
        <w:t>‘Tescilli Markayı Kullanma Külfeti’</w:t>
      </w:r>
      <w:r w:rsidRPr="00E13B42">
        <w:rPr>
          <w:sz w:val="20"/>
          <w:szCs w:val="20"/>
        </w:rPr>
        <w:t xml:space="preserve">, Prof. Dr. Oğuz </w:t>
      </w:r>
      <w:proofErr w:type="spellStart"/>
      <w:r w:rsidRPr="00E13B42">
        <w:rPr>
          <w:sz w:val="20"/>
          <w:szCs w:val="20"/>
        </w:rPr>
        <w:t>İmregün’e</w:t>
      </w:r>
      <w:proofErr w:type="spellEnd"/>
      <w:r w:rsidRPr="00E13B42">
        <w:rPr>
          <w:sz w:val="20"/>
          <w:szCs w:val="20"/>
        </w:rPr>
        <w:t xml:space="preserve"> Armağan, Vedat Kitapçılık, İstanbul, 1998,</w:t>
      </w:r>
      <w:r>
        <w:rPr>
          <w:sz w:val="20"/>
          <w:szCs w:val="20"/>
        </w:rPr>
        <w:t xml:space="preserve"> s. 219-280.</w:t>
      </w:r>
    </w:p>
    <w:p w14:paraId="00E4D150" w14:textId="4BED0D07" w:rsidR="00A50118" w:rsidRDefault="00B278D9" w:rsidP="00A50118">
      <w:pPr>
        <w:rPr>
          <w:sz w:val="20"/>
          <w:szCs w:val="18"/>
        </w:rPr>
      </w:pPr>
      <w:r w:rsidRPr="00B278D9">
        <w:rPr>
          <w:b/>
          <w:bCs/>
          <w:sz w:val="20"/>
          <w:szCs w:val="18"/>
        </w:rPr>
        <w:t>DUNANT</w:t>
      </w:r>
      <w:r w:rsidRPr="00B278D9">
        <w:rPr>
          <w:sz w:val="20"/>
          <w:szCs w:val="18"/>
        </w:rPr>
        <w:t xml:space="preserve">, </w:t>
      </w:r>
      <w:proofErr w:type="spellStart"/>
      <w:r w:rsidRPr="00B278D9">
        <w:rPr>
          <w:sz w:val="20"/>
          <w:szCs w:val="18"/>
        </w:rPr>
        <w:t>Philippe</w:t>
      </w:r>
      <w:proofErr w:type="spellEnd"/>
      <w:r w:rsidRPr="00B278D9">
        <w:rPr>
          <w:sz w:val="20"/>
          <w:szCs w:val="18"/>
        </w:rPr>
        <w:t xml:space="preserve">, </w:t>
      </w:r>
      <w:proofErr w:type="spellStart"/>
      <w:r w:rsidRPr="00B278D9">
        <w:rPr>
          <w:i/>
          <w:iCs/>
          <w:sz w:val="20"/>
          <w:szCs w:val="18"/>
        </w:rPr>
        <w:t>Traité</w:t>
      </w:r>
      <w:proofErr w:type="spellEnd"/>
      <w:r w:rsidRPr="00B278D9">
        <w:rPr>
          <w:i/>
          <w:iCs/>
          <w:sz w:val="20"/>
          <w:szCs w:val="18"/>
        </w:rPr>
        <w:t xml:space="preserve"> </w:t>
      </w:r>
      <w:proofErr w:type="spellStart"/>
      <w:r w:rsidRPr="00B278D9">
        <w:rPr>
          <w:i/>
          <w:iCs/>
          <w:sz w:val="20"/>
          <w:szCs w:val="18"/>
        </w:rPr>
        <w:t>des</w:t>
      </w:r>
      <w:proofErr w:type="spellEnd"/>
      <w:r w:rsidRPr="00B278D9">
        <w:rPr>
          <w:i/>
          <w:iCs/>
          <w:sz w:val="20"/>
          <w:szCs w:val="18"/>
        </w:rPr>
        <w:t xml:space="preserve"> </w:t>
      </w:r>
      <w:proofErr w:type="spellStart"/>
      <w:r w:rsidRPr="00B278D9">
        <w:rPr>
          <w:i/>
          <w:iCs/>
          <w:sz w:val="20"/>
          <w:szCs w:val="18"/>
        </w:rPr>
        <w:t>Marques</w:t>
      </w:r>
      <w:proofErr w:type="spellEnd"/>
      <w:r w:rsidRPr="00B278D9">
        <w:rPr>
          <w:i/>
          <w:iCs/>
          <w:sz w:val="20"/>
          <w:szCs w:val="18"/>
        </w:rPr>
        <w:t xml:space="preserve"> de </w:t>
      </w:r>
      <w:proofErr w:type="spellStart"/>
      <w:r w:rsidRPr="00B278D9">
        <w:rPr>
          <w:i/>
          <w:iCs/>
          <w:sz w:val="20"/>
          <w:szCs w:val="18"/>
        </w:rPr>
        <w:t>Fabrique</w:t>
      </w:r>
      <w:proofErr w:type="spellEnd"/>
      <w:r w:rsidRPr="00B278D9">
        <w:rPr>
          <w:i/>
          <w:iCs/>
          <w:sz w:val="20"/>
          <w:szCs w:val="18"/>
        </w:rPr>
        <w:t xml:space="preserve"> et de Commerce</w:t>
      </w:r>
      <w:r w:rsidRPr="00B278D9">
        <w:rPr>
          <w:sz w:val="20"/>
          <w:szCs w:val="18"/>
        </w:rPr>
        <w:t xml:space="preserve">, </w:t>
      </w:r>
      <w:proofErr w:type="spellStart"/>
      <w:r w:rsidRPr="00B278D9">
        <w:rPr>
          <w:sz w:val="20"/>
          <w:szCs w:val="18"/>
        </w:rPr>
        <w:t>Ch</w:t>
      </w:r>
      <w:proofErr w:type="spellEnd"/>
      <w:r w:rsidRPr="00B278D9">
        <w:rPr>
          <w:sz w:val="20"/>
          <w:szCs w:val="18"/>
        </w:rPr>
        <w:t xml:space="preserve">. </w:t>
      </w:r>
      <w:proofErr w:type="spellStart"/>
      <w:r w:rsidRPr="00B278D9">
        <w:rPr>
          <w:sz w:val="20"/>
          <w:szCs w:val="18"/>
        </w:rPr>
        <w:t>Eggiman</w:t>
      </w:r>
      <w:proofErr w:type="spellEnd"/>
      <w:r w:rsidRPr="00B278D9">
        <w:rPr>
          <w:sz w:val="20"/>
          <w:szCs w:val="18"/>
        </w:rPr>
        <w:t xml:space="preserve"> &amp; </w:t>
      </w:r>
      <w:proofErr w:type="spellStart"/>
      <w:r w:rsidRPr="00B278D9">
        <w:rPr>
          <w:sz w:val="20"/>
          <w:szCs w:val="18"/>
        </w:rPr>
        <w:t>Cie</w:t>
      </w:r>
      <w:proofErr w:type="spellEnd"/>
      <w:r w:rsidRPr="00B278D9">
        <w:rPr>
          <w:sz w:val="20"/>
          <w:szCs w:val="18"/>
        </w:rPr>
        <w:t xml:space="preserve"> </w:t>
      </w:r>
      <w:proofErr w:type="spellStart"/>
      <w:r w:rsidRPr="00B278D9">
        <w:rPr>
          <w:sz w:val="20"/>
          <w:szCs w:val="18"/>
        </w:rPr>
        <w:t>Éditeurs</w:t>
      </w:r>
      <w:proofErr w:type="spellEnd"/>
      <w:r w:rsidRPr="00B278D9">
        <w:rPr>
          <w:sz w:val="20"/>
          <w:szCs w:val="18"/>
        </w:rPr>
        <w:t>, Cenevre, 1898.</w:t>
      </w:r>
    </w:p>
    <w:p w14:paraId="6019AF57" w14:textId="506BE445" w:rsidR="005D0A9F" w:rsidRDefault="005D0A9F" w:rsidP="00A50118">
      <w:pPr>
        <w:rPr>
          <w:sz w:val="20"/>
          <w:szCs w:val="18"/>
        </w:rPr>
      </w:pPr>
      <w:r w:rsidRPr="005D0A9F">
        <w:rPr>
          <w:b/>
          <w:bCs/>
          <w:sz w:val="20"/>
          <w:szCs w:val="18"/>
        </w:rPr>
        <w:t>EMİNOĞLU</w:t>
      </w:r>
      <w:r w:rsidRPr="005D0A9F">
        <w:rPr>
          <w:sz w:val="20"/>
          <w:szCs w:val="18"/>
        </w:rPr>
        <w:t>, Cafer</w:t>
      </w:r>
      <w:r>
        <w:rPr>
          <w:sz w:val="20"/>
          <w:szCs w:val="18"/>
        </w:rPr>
        <w:t xml:space="preserve">, </w:t>
      </w:r>
      <w:r w:rsidRPr="005D0A9F">
        <w:rPr>
          <w:i/>
          <w:iCs/>
          <w:sz w:val="20"/>
          <w:szCs w:val="18"/>
        </w:rPr>
        <w:t>‘Marka Sahibinin Tekliği İlkesi ve Bu İlkenin Markanın Devri Bağlamında İncelenmesi: Anayasa Mahkemesi’nin 556 Sayılı KHK’nın m. 16/5 Hükmünü İptal Eden Kararı Bağlamında Bir Değerlendirme’</w:t>
      </w:r>
      <w:r w:rsidRPr="005D0A9F">
        <w:rPr>
          <w:sz w:val="20"/>
          <w:szCs w:val="18"/>
        </w:rPr>
        <w:t>, Yıldırım Beyazıt Hukuk Dergisi, C. I, S. 1, 2016, s.</w:t>
      </w:r>
      <w:r w:rsidRPr="005D0A9F">
        <w:t xml:space="preserve"> </w:t>
      </w:r>
      <w:r w:rsidRPr="005D0A9F">
        <w:rPr>
          <w:sz w:val="20"/>
          <w:szCs w:val="18"/>
        </w:rPr>
        <w:t>229-254</w:t>
      </w:r>
      <w:r>
        <w:rPr>
          <w:sz w:val="20"/>
          <w:szCs w:val="18"/>
        </w:rPr>
        <w:t>.</w:t>
      </w:r>
    </w:p>
    <w:p w14:paraId="56211071" w14:textId="6249DC7D" w:rsidR="00AC41AB" w:rsidRPr="008836FB" w:rsidRDefault="008836FB" w:rsidP="00A50118">
      <w:pPr>
        <w:rPr>
          <w:sz w:val="16"/>
          <w:szCs w:val="14"/>
        </w:rPr>
      </w:pPr>
      <w:r w:rsidRPr="008836FB">
        <w:rPr>
          <w:b/>
          <w:bCs/>
          <w:sz w:val="20"/>
          <w:szCs w:val="18"/>
        </w:rPr>
        <w:t>HEILBRUNN</w:t>
      </w:r>
      <w:r w:rsidR="00AC41AB" w:rsidRPr="008836FB">
        <w:rPr>
          <w:sz w:val="20"/>
          <w:szCs w:val="18"/>
        </w:rPr>
        <w:t xml:space="preserve">, Benoit, </w:t>
      </w:r>
      <w:r w:rsidR="00AC41AB" w:rsidRPr="008836FB">
        <w:rPr>
          <w:i/>
          <w:iCs/>
          <w:sz w:val="20"/>
          <w:szCs w:val="18"/>
        </w:rPr>
        <w:t>‘</w:t>
      </w:r>
      <w:proofErr w:type="spellStart"/>
      <w:r w:rsidR="00AC41AB" w:rsidRPr="008836FB">
        <w:rPr>
          <w:i/>
          <w:iCs/>
          <w:sz w:val="20"/>
          <w:szCs w:val="18"/>
        </w:rPr>
        <w:t>Histoire</w:t>
      </w:r>
      <w:proofErr w:type="spellEnd"/>
      <w:r w:rsidR="00AC41AB" w:rsidRPr="008836FB">
        <w:rPr>
          <w:i/>
          <w:iCs/>
          <w:sz w:val="20"/>
          <w:szCs w:val="18"/>
        </w:rPr>
        <w:t xml:space="preserve"> et </w:t>
      </w:r>
      <w:proofErr w:type="spellStart"/>
      <w:r w:rsidR="00AC41AB" w:rsidRPr="008836FB">
        <w:rPr>
          <w:i/>
          <w:iCs/>
          <w:sz w:val="20"/>
          <w:szCs w:val="18"/>
        </w:rPr>
        <w:t>Fonctions</w:t>
      </w:r>
      <w:proofErr w:type="spellEnd"/>
      <w:r w:rsidR="00AC41AB" w:rsidRPr="008836FB">
        <w:rPr>
          <w:i/>
          <w:iCs/>
          <w:sz w:val="20"/>
          <w:szCs w:val="18"/>
        </w:rPr>
        <w:t xml:space="preserve"> </w:t>
      </w:r>
      <w:proofErr w:type="spellStart"/>
      <w:r w:rsidR="00AC41AB" w:rsidRPr="008836FB">
        <w:rPr>
          <w:i/>
          <w:iCs/>
          <w:sz w:val="20"/>
          <w:szCs w:val="18"/>
        </w:rPr>
        <w:t>des</w:t>
      </w:r>
      <w:proofErr w:type="spellEnd"/>
      <w:r w:rsidR="00AC41AB" w:rsidRPr="008836FB">
        <w:rPr>
          <w:i/>
          <w:iCs/>
          <w:sz w:val="20"/>
          <w:szCs w:val="18"/>
        </w:rPr>
        <w:t xml:space="preserve"> </w:t>
      </w:r>
      <w:proofErr w:type="spellStart"/>
      <w:r w:rsidR="00AC41AB" w:rsidRPr="008836FB">
        <w:rPr>
          <w:i/>
          <w:iCs/>
          <w:sz w:val="20"/>
          <w:szCs w:val="18"/>
        </w:rPr>
        <w:t>Marques</w:t>
      </w:r>
      <w:proofErr w:type="spellEnd"/>
      <w:r w:rsidR="00AC41AB" w:rsidRPr="008836FB">
        <w:rPr>
          <w:i/>
          <w:iCs/>
          <w:sz w:val="20"/>
          <w:szCs w:val="18"/>
        </w:rPr>
        <w:t>’</w:t>
      </w:r>
      <w:r w:rsidR="00AC41AB" w:rsidRPr="008836FB">
        <w:rPr>
          <w:sz w:val="20"/>
          <w:szCs w:val="18"/>
        </w:rPr>
        <w:t xml:space="preserve">, La </w:t>
      </w:r>
      <w:proofErr w:type="spellStart"/>
      <w:r w:rsidR="00AC41AB" w:rsidRPr="008836FB">
        <w:rPr>
          <w:sz w:val="20"/>
          <w:szCs w:val="18"/>
        </w:rPr>
        <w:t>Marque</w:t>
      </w:r>
      <w:proofErr w:type="spellEnd"/>
      <w:r w:rsidR="00AC41AB" w:rsidRPr="008836FB">
        <w:rPr>
          <w:sz w:val="20"/>
          <w:szCs w:val="18"/>
        </w:rPr>
        <w:t xml:space="preserve">, </w:t>
      </w:r>
      <w:r>
        <w:rPr>
          <w:sz w:val="20"/>
          <w:szCs w:val="18"/>
        </w:rPr>
        <w:t>e</w:t>
      </w:r>
      <w:r w:rsidR="00AC41AB" w:rsidRPr="008836FB">
        <w:rPr>
          <w:sz w:val="20"/>
          <w:szCs w:val="18"/>
        </w:rPr>
        <w:t xml:space="preserve">d. Benoit </w:t>
      </w:r>
      <w:proofErr w:type="spellStart"/>
      <w:r w:rsidR="00AC41AB" w:rsidRPr="008836FB">
        <w:rPr>
          <w:sz w:val="20"/>
          <w:szCs w:val="18"/>
        </w:rPr>
        <w:t>Heilbrunn</w:t>
      </w:r>
      <w:proofErr w:type="spellEnd"/>
      <w:r w:rsidR="00AC41AB" w:rsidRPr="008836FB">
        <w:rPr>
          <w:sz w:val="20"/>
          <w:szCs w:val="18"/>
        </w:rPr>
        <w:t xml:space="preserve">, </w:t>
      </w:r>
      <w:proofErr w:type="spellStart"/>
      <w:r w:rsidR="00AC41AB" w:rsidRPr="008836FB">
        <w:rPr>
          <w:sz w:val="20"/>
          <w:szCs w:val="18"/>
        </w:rPr>
        <w:t>Presses</w:t>
      </w:r>
      <w:proofErr w:type="spellEnd"/>
      <w:r w:rsidR="00AC41AB" w:rsidRPr="008836FB">
        <w:rPr>
          <w:sz w:val="20"/>
          <w:szCs w:val="18"/>
        </w:rPr>
        <w:t xml:space="preserve"> </w:t>
      </w:r>
      <w:proofErr w:type="spellStart"/>
      <w:r w:rsidR="00AC41AB" w:rsidRPr="008836FB">
        <w:rPr>
          <w:sz w:val="20"/>
          <w:szCs w:val="18"/>
        </w:rPr>
        <w:t>Universitaires</w:t>
      </w:r>
      <w:proofErr w:type="spellEnd"/>
      <w:r w:rsidR="00AC41AB" w:rsidRPr="008836FB">
        <w:rPr>
          <w:sz w:val="20"/>
          <w:szCs w:val="18"/>
        </w:rPr>
        <w:t xml:space="preserve"> de France, </w:t>
      </w:r>
      <w:r w:rsidRPr="008836FB">
        <w:rPr>
          <w:sz w:val="20"/>
          <w:szCs w:val="18"/>
        </w:rPr>
        <w:t xml:space="preserve">Paris, </w:t>
      </w:r>
      <w:r w:rsidR="00AC41AB" w:rsidRPr="008836FB">
        <w:rPr>
          <w:sz w:val="20"/>
          <w:szCs w:val="18"/>
        </w:rPr>
        <w:t>2010,</w:t>
      </w:r>
      <w:r w:rsidRPr="008836FB">
        <w:rPr>
          <w:sz w:val="20"/>
          <w:szCs w:val="18"/>
        </w:rPr>
        <w:t xml:space="preserve"> s. 5-13.</w:t>
      </w:r>
    </w:p>
    <w:p w14:paraId="0ACC2C9E" w14:textId="45AB15CB" w:rsidR="0024737C" w:rsidRDefault="001554BF" w:rsidP="00FA72E3">
      <w:pPr>
        <w:rPr>
          <w:sz w:val="20"/>
          <w:szCs w:val="18"/>
        </w:rPr>
      </w:pPr>
      <w:r w:rsidRPr="00964BF0">
        <w:rPr>
          <w:b/>
          <w:bCs/>
          <w:sz w:val="20"/>
          <w:szCs w:val="18"/>
        </w:rPr>
        <w:t>INTERNAT</w:t>
      </w:r>
      <w:r>
        <w:rPr>
          <w:b/>
          <w:bCs/>
          <w:sz w:val="20"/>
          <w:szCs w:val="18"/>
        </w:rPr>
        <w:t>I</w:t>
      </w:r>
      <w:r w:rsidRPr="00964BF0">
        <w:rPr>
          <w:b/>
          <w:bCs/>
          <w:sz w:val="20"/>
          <w:szCs w:val="18"/>
        </w:rPr>
        <w:t>ONAL TRADEMARK ASSOC</w:t>
      </w:r>
      <w:r>
        <w:rPr>
          <w:b/>
          <w:bCs/>
          <w:sz w:val="20"/>
          <w:szCs w:val="18"/>
        </w:rPr>
        <w:t>I</w:t>
      </w:r>
      <w:r w:rsidRPr="00964BF0">
        <w:rPr>
          <w:b/>
          <w:bCs/>
          <w:sz w:val="20"/>
          <w:szCs w:val="18"/>
        </w:rPr>
        <w:t>AT</w:t>
      </w:r>
      <w:r>
        <w:rPr>
          <w:b/>
          <w:bCs/>
          <w:sz w:val="20"/>
          <w:szCs w:val="18"/>
        </w:rPr>
        <w:t>I</w:t>
      </w:r>
      <w:r w:rsidRPr="00964BF0">
        <w:rPr>
          <w:b/>
          <w:bCs/>
          <w:sz w:val="20"/>
          <w:szCs w:val="18"/>
        </w:rPr>
        <w:t>ON</w:t>
      </w:r>
      <w:r w:rsidRPr="00964BF0">
        <w:rPr>
          <w:sz w:val="20"/>
          <w:szCs w:val="18"/>
        </w:rPr>
        <w:t xml:space="preserve"> </w:t>
      </w:r>
      <w:r w:rsidR="00964BF0">
        <w:rPr>
          <w:sz w:val="20"/>
          <w:szCs w:val="18"/>
        </w:rPr>
        <w:t>(</w:t>
      </w:r>
      <w:r w:rsidR="0024737C" w:rsidRPr="0024737C">
        <w:rPr>
          <w:b/>
          <w:bCs/>
          <w:sz w:val="20"/>
          <w:szCs w:val="18"/>
        </w:rPr>
        <w:t>INTA</w:t>
      </w:r>
      <w:r w:rsidR="00964BF0">
        <w:rPr>
          <w:b/>
          <w:bCs/>
          <w:sz w:val="20"/>
          <w:szCs w:val="18"/>
        </w:rPr>
        <w:t>)</w:t>
      </w:r>
      <w:r w:rsidR="0024737C" w:rsidRPr="0024737C">
        <w:rPr>
          <w:sz w:val="20"/>
          <w:szCs w:val="18"/>
        </w:rPr>
        <w:t xml:space="preserve">, </w:t>
      </w:r>
      <w:r w:rsidR="0024737C" w:rsidRPr="0024737C">
        <w:rPr>
          <w:i/>
          <w:iCs/>
          <w:sz w:val="20"/>
          <w:szCs w:val="18"/>
        </w:rPr>
        <w:t>‘</w:t>
      </w:r>
      <w:proofErr w:type="spellStart"/>
      <w:r w:rsidR="0024737C" w:rsidRPr="0024737C">
        <w:rPr>
          <w:i/>
          <w:iCs/>
          <w:sz w:val="20"/>
          <w:szCs w:val="18"/>
        </w:rPr>
        <w:t>The</w:t>
      </w:r>
      <w:proofErr w:type="spellEnd"/>
      <w:r w:rsidR="0024737C" w:rsidRPr="0024737C">
        <w:rPr>
          <w:i/>
          <w:iCs/>
          <w:sz w:val="20"/>
          <w:szCs w:val="18"/>
        </w:rPr>
        <w:t xml:space="preserve"> </w:t>
      </w:r>
      <w:proofErr w:type="spellStart"/>
      <w:r w:rsidR="0024737C" w:rsidRPr="0024737C">
        <w:rPr>
          <w:i/>
          <w:iCs/>
          <w:sz w:val="20"/>
          <w:szCs w:val="18"/>
        </w:rPr>
        <w:t>Need</w:t>
      </w:r>
      <w:proofErr w:type="spellEnd"/>
      <w:r w:rsidR="0024737C" w:rsidRPr="0024737C">
        <w:rPr>
          <w:i/>
          <w:iCs/>
          <w:sz w:val="20"/>
          <w:szCs w:val="18"/>
        </w:rPr>
        <w:t xml:space="preserve"> </w:t>
      </w:r>
      <w:proofErr w:type="spellStart"/>
      <w:r w:rsidR="0024737C" w:rsidRPr="0024737C">
        <w:rPr>
          <w:i/>
          <w:iCs/>
          <w:sz w:val="20"/>
          <w:szCs w:val="18"/>
        </w:rPr>
        <w:t>for</w:t>
      </w:r>
      <w:proofErr w:type="spellEnd"/>
      <w:r w:rsidR="0024737C" w:rsidRPr="0024737C">
        <w:rPr>
          <w:i/>
          <w:iCs/>
          <w:sz w:val="20"/>
          <w:szCs w:val="18"/>
        </w:rPr>
        <w:t xml:space="preserve"> </w:t>
      </w:r>
      <w:proofErr w:type="spellStart"/>
      <w:r w:rsidR="0024737C" w:rsidRPr="0024737C">
        <w:rPr>
          <w:i/>
          <w:iCs/>
          <w:sz w:val="20"/>
          <w:szCs w:val="18"/>
        </w:rPr>
        <w:t>Trade</w:t>
      </w:r>
      <w:proofErr w:type="spellEnd"/>
      <w:r w:rsidR="0024737C" w:rsidRPr="0024737C">
        <w:rPr>
          <w:i/>
          <w:iCs/>
          <w:sz w:val="20"/>
          <w:szCs w:val="18"/>
        </w:rPr>
        <w:t xml:space="preserve">-Mark </w:t>
      </w:r>
      <w:proofErr w:type="spellStart"/>
      <w:r w:rsidR="0024737C" w:rsidRPr="0024737C">
        <w:rPr>
          <w:i/>
          <w:iCs/>
          <w:sz w:val="20"/>
          <w:szCs w:val="18"/>
        </w:rPr>
        <w:t>Protection</w:t>
      </w:r>
      <w:proofErr w:type="spellEnd"/>
      <w:r w:rsidR="0024737C" w:rsidRPr="0024737C">
        <w:rPr>
          <w:i/>
          <w:iCs/>
          <w:sz w:val="20"/>
          <w:szCs w:val="18"/>
        </w:rPr>
        <w:t xml:space="preserve"> </w:t>
      </w:r>
      <w:proofErr w:type="spellStart"/>
      <w:r w:rsidR="0024737C" w:rsidRPr="0024737C">
        <w:rPr>
          <w:i/>
          <w:iCs/>
          <w:sz w:val="20"/>
          <w:szCs w:val="18"/>
        </w:rPr>
        <w:t>and</w:t>
      </w:r>
      <w:proofErr w:type="spellEnd"/>
      <w:r w:rsidR="0024737C" w:rsidRPr="0024737C">
        <w:rPr>
          <w:i/>
          <w:iCs/>
          <w:sz w:val="20"/>
          <w:szCs w:val="18"/>
        </w:rPr>
        <w:t xml:space="preserve"> </w:t>
      </w:r>
      <w:proofErr w:type="spellStart"/>
      <w:r w:rsidR="0024737C" w:rsidRPr="0024737C">
        <w:rPr>
          <w:i/>
          <w:iCs/>
          <w:sz w:val="20"/>
          <w:szCs w:val="18"/>
        </w:rPr>
        <w:t>What</w:t>
      </w:r>
      <w:proofErr w:type="spellEnd"/>
      <w:r w:rsidR="0024737C" w:rsidRPr="0024737C">
        <w:rPr>
          <w:i/>
          <w:iCs/>
          <w:sz w:val="20"/>
          <w:szCs w:val="18"/>
        </w:rPr>
        <w:t xml:space="preserve"> </w:t>
      </w:r>
      <w:proofErr w:type="spellStart"/>
      <w:r w:rsidR="0024737C" w:rsidRPr="0024737C">
        <w:rPr>
          <w:i/>
          <w:iCs/>
          <w:sz w:val="20"/>
          <w:szCs w:val="18"/>
        </w:rPr>
        <w:t>the</w:t>
      </w:r>
      <w:proofErr w:type="spellEnd"/>
      <w:r w:rsidR="0024737C" w:rsidRPr="0024737C">
        <w:rPr>
          <w:i/>
          <w:iCs/>
          <w:sz w:val="20"/>
          <w:szCs w:val="18"/>
        </w:rPr>
        <w:t xml:space="preserve"> Patent Office Can Do </w:t>
      </w:r>
      <w:proofErr w:type="spellStart"/>
      <w:r w:rsidR="0024737C" w:rsidRPr="0024737C">
        <w:rPr>
          <w:i/>
          <w:iCs/>
          <w:sz w:val="20"/>
          <w:szCs w:val="18"/>
        </w:rPr>
        <w:t>to</w:t>
      </w:r>
      <w:proofErr w:type="spellEnd"/>
      <w:r w:rsidR="0024737C" w:rsidRPr="0024737C">
        <w:rPr>
          <w:i/>
          <w:iCs/>
          <w:sz w:val="20"/>
          <w:szCs w:val="18"/>
        </w:rPr>
        <w:t xml:space="preserve"> </w:t>
      </w:r>
      <w:proofErr w:type="spellStart"/>
      <w:r w:rsidR="0024737C" w:rsidRPr="0024737C">
        <w:rPr>
          <w:i/>
          <w:iCs/>
          <w:sz w:val="20"/>
          <w:szCs w:val="18"/>
        </w:rPr>
        <w:t>Furthur</w:t>
      </w:r>
      <w:proofErr w:type="spellEnd"/>
      <w:r w:rsidR="0024737C" w:rsidRPr="0024737C">
        <w:rPr>
          <w:i/>
          <w:iCs/>
          <w:sz w:val="20"/>
          <w:szCs w:val="18"/>
        </w:rPr>
        <w:t xml:space="preserve"> </w:t>
      </w:r>
      <w:proofErr w:type="spellStart"/>
      <w:r w:rsidR="0024737C" w:rsidRPr="0024737C">
        <w:rPr>
          <w:i/>
          <w:iCs/>
          <w:sz w:val="20"/>
          <w:szCs w:val="18"/>
        </w:rPr>
        <w:t>It</w:t>
      </w:r>
      <w:proofErr w:type="spellEnd"/>
      <w:r w:rsidR="0024737C" w:rsidRPr="0024737C">
        <w:rPr>
          <w:i/>
          <w:iCs/>
          <w:sz w:val="20"/>
          <w:szCs w:val="18"/>
        </w:rPr>
        <w:t>’</w:t>
      </w:r>
      <w:r w:rsidR="0024737C" w:rsidRPr="0024737C">
        <w:rPr>
          <w:sz w:val="20"/>
          <w:szCs w:val="18"/>
        </w:rPr>
        <w:t>, TMR, S. 36, 1946, s. 55-61.</w:t>
      </w:r>
    </w:p>
    <w:p w14:paraId="39908472" w14:textId="3F6DC1F6" w:rsidR="008836FB" w:rsidRPr="008836FB" w:rsidRDefault="008836FB" w:rsidP="00FA72E3">
      <w:pPr>
        <w:rPr>
          <w:sz w:val="16"/>
          <w:szCs w:val="14"/>
        </w:rPr>
      </w:pPr>
      <w:r w:rsidRPr="008836FB">
        <w:rPr>
          <w:b/>
          <w:bCs/>
          <w:sz w:val="20"/>
          <w:szCs w:val="18"/>
        </w:rPr>
        <w:lastRenderedPageBreak/>
        <w:t>KARAN</w:t>
      </w:r>
      <w:r w:rsidRPr="008836FB">
        <w:rPr>
          <w:sz w:val="20"/>
          <w:szCs w:val="18"/>
        </w:rPr>
        <w:t xml:space="preserve">, Hakan/ </w:t>
      </w:r>
      <w:r w:rsidRPr="008836FB">
        <w:rPr>
          <w:b/>
          <w:bCs/>
          <w:sz w:val="20"/>
          <w:szCs w:val="18"/>
        </w:rPr>
        <w:t>KILIÇ</w:t>
      </w:r>
      <w:r w:rsidRPr="008836FB">
        <w:rPr>
          <w:sz w:val="20"/>
          <w:szCs w:val="18"/>
        </w:rPr>
        <w:t xml:space="preserve">, Mehmet, </w:t>
      </w:r>
      <w:r w:rsidRPr="008836FB">
        <w:rPr>
          <w:i/>
          <w:iCs/>
          <w:sz w:val="20"/>
          <w:szCs w:val="18"/>
        </w:rPr>
        <w:t>Markaların Korunması 556 Sayılı KHK Şerhi ve İlgili Mevzuat</w:t>
      </w:r>
      <w:r w:rsidRPr="008836FB">
        <w:rPr>
          <w:sz w:val="20"/>
          <w:szCs w:val="18"/>
        </w:rPr>
        <w:t>, Turhan Kitabevi, Ankara, 2004.</w:t>
      </w:r>
    </w:p>
    <w:p w14:paraId="7792EC91" w14:textId="19B571A8" w:rsidR="003B556D" w:rsidRPr="003B556D" w:rsidRDefault="003B556D" w:rsidP="00FA72E3">
      <w:pPr>
        <w:rPr>
          <w:b/>
          <w:bCs/>
          <w:sz w:val="20"/>
          <w:szCs w:val="20"/>
        </w:rPr>
      </w:pPr>
      <w:r w:rsidRPr="003B556D">
        <w:rPr>
          <w:b/>
          <w:bCs/>
          <w:sz w:val="20"/>
          <w:szCs w:val="20"/>
        </w:rPr>
        <w:t>K</w:t>
      </w:r>
      <w:r>
        <w:rPr>
          <w:b/>
          <w:bCs/>
          <w:sz w:val="20"/>
          <w:szCs w:val="20"/>
        </w:rPr>
        <w:t>AYA</w:t>
      </w:r>
      <w:r w:rsidRPr="003B556D">
        <w:rPr>
          <w:sz w:val="20"/>
          <w:szCs w:val="20"/>
        </w:rPr>
        <w:t xml:space="preserve">, Arslan, </w:t>
      </w:r>
      <w:r w:rsidRPr="003B556D">
        <w:rPr>
          <w:i/>
          <w:iCs/>
          <w:sz w:val="20"/>
          <w:szCs w:val="20"/>
        </w:rPr>
        <w:t>‘Tartışmalar’</w:t>
      </w:r>
      <w:r w:rsidRPr="003B556D">
        <w:rPr>
          <w:sz w:val="20"/>
          <w:szCs w:val="20"/>
        </w:rPr>
        <w:t>, Fikrî ve Sınai Haklar Sempozyumu, ed. Ayşe Kübra Altıparmak, Yetkin Yayınları, Ankara, 2020</w:t>
      </w:r>
      <w:r>
        <w:rPr>
          <w:sz w:val="20"/>
          <w:szCs w:val="20"/>
        </w:rPr>
        <w:t>.</w:t>
      </w:r>
    </w:p>
    <w:p w14:paraId="23BFBC56" w14:textId="3BF491D8" w:rsidR="00AC41AB" w:rsidRDefault="00AC41AB" w:rsidP="00FA72E3">
      <w:pPr>
        <w:rPr>
          <w:sz w:val="20"/>
          <w:szCs w:val="18"/>
        </w:rPr>
      </w:pPr>
      <w:r w:rsidRPr="00AC41AB">
        <w:rPr>
          <w:b/>
          <w:bCs/>
          <w:sz w:val="20"/>
          <w:szCs w:val="18"/>
        </w:rPr>
        <w:t>KAYA</w:t>
      </w:r>
      <w:r w:rsidRPr="00AC41AB">
        <w:rPr>
          <w:sz w:val="20"/>
          <w:szCs w:val="18"/>
        </w:rPr>
        <w:t>,</w:t>
      </w:r>
      <w:r>
        <w:rPr>
          <w:sz w:val="20"/>
          <w:szCs w:val="18"/>
        </w:rPr>
        <w:t xml:space="preserve"> </w:t>
      </w:r>
      <w:r w:rsidRPr="00AC41AB">
        <w:rPr>
          <w:sz w:val="20"/>
          <w:szCs w:val="18"/>
        </w:rPr>
        <w:t>Arslan</w:t>
      </w:r>
      <w:r>
        <w:rPr>
          <w:sz w:val="20"/>
          <w:szCs w:val="18"/>
        </w:rPr>
        <w:t>,</w:t>
      </w:r>
      <w:r w:rsidRPr="00AC41AB">
        <w:rPr>
          <w:sz w:val="20"/>
          <w:szCs w:val="18"/>
        </w:rPr>
        <w:t xml:space="preserve"> </w:t>
      </w:r>
      <w:r w:rsidRPr="00AC41AB">
        <w:rPr>
          <w:i/>
          <w:iCs/>
          <w:sz w:val="20"/>
          <w:szCs w:val="18"/>
        </w:rPr>
        <w:t>Marka Hukuku</w:t>
      </w:r>
      <w:r w:rsidRPr="00AC41AB">
        <w:rPr>
          <w:sz w:val="20"/>
          <w:szCs w:val="18"/>
        </w:rPr>
        <w:t>, Arıkan Yayınları, İstanbul, 2006</w:t>
      </w:r>
      <w:r w:rsidR="00CD30A7">
        <w:rPr>
          <w:sz w:val="20"/>
          <w:szCs w:val="18"/>
        </w:rPr>
        <w:t xml:space="preserve"> (“</w:t>
      </w:r>
      <w:r w:rsidR="00CD30A7" w:rsidRPr="00844D3C">
        <w:rPr>
          <w:i/>
          <w:iCs/>
          <w:sz w:val="20"/>
          <w:szCs w:val="18"/>
        </w:rPr>
        <w:t>Marka</w:t>
      </w:r>
      <w:r w:rsidR="00CD30A7">
        <w:rPr>
          <w:sz w:val="20"/>
          <w:szCs w:val="18"/>
        </w:rPr>
        <w:t>” olarak kısaltılmıştır.)</w:t>
      </w:r>
      <w:r>
        <w:rPr>
          <w:sz w:val="20"/>
          <w:szCs w:val="18"/>
        </w:rPr>
        <w:t>.</w:t>
      </w:r>
    </w:p>
    <w:p w14:paraId="6A0EE83F" w14:textId="1A5784F4" w:rsidR="00E13B42" w:rsidRDefault="001978D6" w:rsidP="00E13B42">
      <w:pPr>
        <w:pStyle w:val="DipnotMetni"/>
      </w:pPr>
      <w:r w:rsidRPr="001978D6">
        <w:rPr>
          <w:b/>
          <w:bCs/>
        </w:rPr>
        <w:t>LEW</w:t>
      </w:r>
      <w:r>
        <w:rPr>
          <w:b/>
          <w:bCs/>
        </w:rPr>
        <w:t>I</w:t>
      </w:r>
      <w:r w:rsidRPr="001978D6">
        <w:rPr>
          <w:b/>
          <w:bCs/>
        </w:rPr>
        <w:t>S</w:t>
      </w:r>
      <w:r>
        <w:t>,</w:t>
      </w:r>
      <w:r w:rsidRPr="001978D6">
        <w:t xml:space="preserve"> </w:t>
      </w:r>
      <w:r>
        <w:t xml:space="preserve">John H., </w:t>
      </w:r>
      <w:r w:rsidRPr="001978D6">
        <w:rPr>
          <w:i/>
          <w:iCs/>
        </w:rPr>
        <w:t>‘</w:t>
      </w:r>
      <w:proofErr w:type="spellStart"/>
      <w:r w:rsidRPr="001978D6">
        <w:rPr>
          <w:i/>
          <w:iCs/>
        </w:rPr>
        <w:t>The</w:t>
      </w:r>
      <w:proofErr w:type="spellEnd"/>
      <w:r w:rsidRPr="001978D6">
        <w:rPr>
          <w:i/>
          <w:iCs/>
        </w:rPr>
        <w:t xml:space="preserve"> </w:t>
      </w:r>
      <w:proofErr w:type="spellStart"/>
      <w:r w:rsidRPr="001978D6">
        <w:rPr>
          <w:i/>
          <w:iCs/>
        </w:rPr>
        <w:t>Need</w:t>
      </w:r>
      <w:proofErr w:type="spellEnd"/>
      <w:r w:rsidRPr="001978D6">
        <w:rPr>
          <w:i/>
          <w:iCs/>
        </w:rPr>
        <w:t xml:space="preserve"> </w:t>
      </w:r>
      <w:proofErr w:type="spellStart"/>
      <w:r w:rsidRPr="001978D6">
        <w:rPr>
          <w:i/>
          <w:iCs/>
        </w:rPr>
        <w:t>for</w:t>
      </w:r>
      <w:proofErr w:type="spellEnd"/>
      <w:r w:rsidRPr="001978D6">
        <w:rPr>
          <w:i/>
          <w:iCs/>
        </w:rPr>
        <w:t xml:space="preserve"> </w:t>
      </w:r>
      <w:proofErr w:type="spellStart"/>
      <w:r w:rsidRPr="001978D6">
        <w:rPr>
          <w:i/>
          <w:iCs/>
        </w:rPr>
        <w:t>Trademark</w:t>
      </w:r>
      <w:proofErr w:type="spellEnd"/>
      <w:r w:rsidRPr="001978D6">
        <w:rPr>
          <w:i/>
          <w:iCs/>
        </w:rPr>
        <w:t xml:space="preserve"> </w:t>
      </w:r>
      <w:proofErr w:type="spellStart"/>
      <w:r w:rsidRPr="001978D6">
        <w:rPr>
          <w:i/>
          <w:iCs/>
        </w:rPr>
        <w:t>Laws</w:t>
      </w:r>
      <w:proofErr w:type="spellEnd"/>
      <w:r w:rsidRPr="001978D6">
        <w:rPr>
          <w:i/>
          <w:iCs/>
        </w:rPr>
        <w:t>’</w:t>
      </w:r>
      <w:r>
        <w:t xml:space="preserve">, Legal </w:t>
      </w:r>
      <w:proofErr w:type="spellStart"/>
      <w:r>
        <w:t>Chatter</w:t>
      </w:r>
      <w:proofErr w:type="spellEnd"/>
      <w:r>
        <w:t xml:space="preserve">, </w:t>
      </w:r>
      <w:proofErr w:type="spellStart"/>
      <w:r>
        <w:t>Vol</w:t>
      </w:r>
      <w:proofErr w:type="spellEnd"/>
      <w:r>
        <w:t>. 2, No. 10, 1939, s. 24-29.</w:t>
      </w:r>
    </w:p>
    <w:p w14:paraId="250C9ACC" w14:textId="77777777" w:rsidR="001978D6" w:rsidRPr="001978D6" w:rsidRDefault="001978D6" w:rsidP="001978D6">
      <w:pPr>
        <w:pStyle w:val="DipnotMetni"/>
      </w:pPr>
    </w:p>
    <w:p w14:paraId="7BE40129" w14:textId="0BFF403D" w:rsidR="00CD30A7" w:rsidRDefault="00CD30A7" w:rsidP="00E13B42">
      <w:pPr>
        <w:rPr>
          <w:sz w:val="20"/>
          <w:szCs w:val="18"/>
        </w:rPr>
      </w:pPr>
      <w:r w:rsidRPr="00CD30A7">
        <w:rPr>
          <w:b/>
          <w:bCs/>
          <w:sz w:val="20"/>
          <w:szCs w:val="18"/>
        </w:rPr>
        <w:t>PASLI</w:t>
      </w:r>
      <w:r w:rsidRPr="00CD30A7">
        <w:rPr>
          <w:sz w:val="20"/>
          <w:szCs w:val="18"/>
        </w:rPr>
        <w:t>, Ali</w:t>
      </w:r>
      <w:r>
        <w:rPr>
          <w:sz w:val="20"/>
          <w:szCs w:val="18"/>
        </w:rPr>
        <w:t>,</w:t>
      </w:r>
      <w:r w:rsidRPr="00CD30A7">
        <w:rPr>
          <w:sz w:val="20"/>
          <w:szCs w:val="18"/>
        </w:rPr>
        <w:t xml:space="preserve"> </w:t>
      </w:r>
      <w:r w:rsidRPr="00CD30A7">
        <w:rPr>
          <w:i/>
          <w:iCs/>
          <w:sz w:val="20"/>
          <w:szCs w:val="18"/>
        </w:rPr>
        <w:t>‘Marka Hukukunda Tescil – Kullanım İlişkisi’</w:t>
      </w:r>
      <w:r w:rsidRPr="00CD30A7">
        <w:rPr>
          <w:sz w:val="20"/>
          <w:szCs w:val="18"/>
        </w:rPr>
        <w:t>, Fikrî ve Sınai Haklar Sempozyumu, ed. Ayşe Kübra Altıparmak, Yetkin Yayınları, Ankara, 2020</w:t>
      </w:r>
      <w:r>
        <w:rPr>
          <w:sz w:val="20"/>
          <w:szCs w:val="18"/>
        </w:rPr>
        <w:t>, s. 105-116.</w:t>
      </w:r>
    </w:p>
    <w:p w14:paraId="5A50232C" w14:textId="47045EF3" w:rsidR="00CD30A7" w:rsidRPr="00CD30A7" w:rsidRDefault="00CD30A7" w:rsidP="00E13B42">
      <w:pPr>
        <w:rPr>
          <w:b/>
          <w:bCs/>
          <w:sz w:val="12"/>
          <w:szCs w:val="10"/>
        </w:rPr>
      </w:pPr>
      <w:r w:rsidRPr="00CD30A7">
        <w:rPr>
          <w:b/>
          <w:bCs/>
          <w:sz w:val="20"/>
          <w:szCs w:val="18"/>
        </w:rPr>
        <w:t>PASLI</w:t>
      </w:r>
      <w:r w:rsidRPr="00CD30A7">
        <w:rPr>
          <w:sz w:val="20"/>
          <w:szCs w:val="18"/>
        </w:rPr>
        <w:t>, Ali</w:t>
      </w:r>
      <w:r w:rsidRPr="00CD30A7">
        <w:rPr>
          <w:i/>
          <w:iCs/>
          <w:sz w:val="20"/>
          <w:szCs w:val="18"/>
        </w:rPr>
        <w:t>, Uluslararası Antlaşmaların Türk Marka Hukukunun Esasına İlişkin Etkileri</w:t>
      </w:r>
      <w:r w:rsidRPr="00CD30A7">
        <w:rPr>
          <w:sz w:val="20"/>
          <w:szCs w:val="18"/>
        </w:rPr>
        <w:t>, Vedat Kitapçılık, İstanbul, 2014</w:t>
      </w:r>
      <w:r>
        <w:rPr>
          <w:sz w:val="20"/>
          <w:szCs w:val="18"/>
        </w:rPr>
        <w:t>.</w:t>
      </w:r>
    </w:p>
    <w:p w14:paraId="30B99EA0" w14:textId="17DFB308" w:rsidR="00E13B42" w:rsidRPr="00E13B42" w:rsidRDefault="007B588E" w:rsidP="00E13B42">
      <w:pPr>
        <w:rPr>
          <w:sz w:val="20"/>
          <w:szCs w:val="18"/>
        </w:rPr>
      </w:pPr>
      <w:r w:rsidRPr="0091259C">
        <w:rPr>
          <w:b/>
          <w:bCs/>
          <w:sz w:val="20"/>
          <w:szCs w:val="18"/>
        </w:rPr>
        <w:t>PATT</w:t>
      </w:r>
      <w:r w:rsidR="00D16EAF">
        <w:rPr>
          <w:b/>
          <w:bCs/>
          <w:sz w:val="20"/>
          <w:szCs w:val="18"/>
        </w:rPr>
        <w:t>I</w:t>
      </w:r>
      <w:r w:rsidRPr="0091259C">
        <w:rPr>
          <w:b/>
          <w:bCs/>
          <w:sz w:val="20"/>
          <w:szCs w:val="18"/>
        </w:rPr>
        <w:t>SHALL</w:t>
      </w:r>
      <w:r w:rsidRPr="0091259C">
        <w:rPr>
          <w:sz w:val="20"/>
          <w:szCs w:val="18"/>
        </w:rPr>
        <w:t xml:space="preserve">, </w:t>
      </w:r>
      <w:proofErr w:type="spellStart"/>
      <w:r w:rsidRPr="0091259C">
        <w:rPr>
          <w:sz w:val="20"/>
          <w:szCs w:val="18"/>
        </w:rPr>
        <w:t>Beverely</w:t>
      </w:r>
      <w:proofErr w:type="spellEnd"/>
      <w:r w:rsidRPr="0091259C">
        <w:rPr>
          <w:sz w:val="20"/>
          <w:szCs w:val="18"/>
        </w:rPr>
        <w:t xml:space="preserve"> W., </w:t>
      </w:r>
      <w:r w:rsidRPr="00330873">
        <w:rPr>
          <w:i/>
          <w:iCs/>
          <w:sz w:val="20"/>
          <w:szCs w:val="18"/>
        </w:rPr>
        <w:t>‘</w:t>
      </w:r>
      <w:proofErr w:type="spellStart"/>
      <w:r w:rsidRPr="00330873">
        <w:rPr>
          <w:i/>
          <w:iCs/>
          <w:sz w:val="20"/>
          <w:szCs w:val="18"/>
        </w:rPr>
        <w:t>The</w:t>
      </w:r>
      <w:proofErr w:type="spellEnd"/>
      <w:r w:rsidRPr="00330873">
        <w:rPr>
          <w:i/>
          <w:iCs/>
          <w:sz w:val="20"/>
          <w:szCs w:val="18"/>
        </w:rPr>
        <w:t xml:space="preserve"> </w:t>
      </w:r>
      <w:proofErr w:type="spellStart"/>
      <w:r w:rsidRPr="00330873">
        <w:rPr>
          <w:i/>
          <w:iCs/>
          <w:sz w:val="20"/>
          <w:szCs w:val="18"/>
        </w:rPr>
        <w:t>Use</w:t>
      </w:r>
      <w:proofErr w:type="spellEnd"/>
      <w:r w:rsidRPr="00330873">
        <w:rPr>
          <w:i/>
          <w:iCs/>
          <w:sz w:val="20"/>
          <w:szCs w:val="18"/>
        </w:rPr>
        <w:t xml:space="preserve"> </w:t>
      </w:r>
      <w:proofErr w:type="spellStart"/>
      <w:r w:rsidRPr="00330873">
        <w:rPr>
          <w:i/>
          <w:iCs/>
          <w:sz w:val="20"/>
          <w:szCs w:val="18"/>
        </w:rPr>
        <w:t>Rationale</w:t>
      </w:r>
      <w:proofErr w:type="spellEnd"/>
      <w:r w:rsidRPr="00330873">
        <w:rPr>
          <w:i/>
          <w:iCs/>
          <w:sz w:val="20"/>
          <w:szCs w:val="18"/>
        </w:rPr>
        <w:t xml:space="preserve"> </w:t>
      </w:r>
      <w:proofErr w:type="spellStart"/>
      <w:r w:rsidRPr="00330873">
        <w:rPr>
          <w:i/>
          <w:iCs/>
          <w:sz w:val="20"/>
          <w:szCs w:val="18"/>
        </w:rPr>
        <w:t>and</w:t>
      </w:r>
      <w:proofErr w:type="spellEnd"/>
      <w:r w:rsidRPr="00330873">
        <w:rPr>
          <w:i/>
          <w:iCs/>
          <w:sz w:val="20"/>
          <w:szCs w:val="18"/>
        </w:rPr>
        <w:t xml:space="preserve"> </w:t>
      </w:r>
      <w:proofErr w:type="spellStart"/>
      <w:r w:rsidRPr="00330873">
        <w:rPr>
          <w:i/>
          <w:iCs/>
          <w:sz w:val="20"/>
          <w:szCs w:val="18"/>
        </w:rPr>
        <w:t>the</w:t>
      </w:r>
      <w:proofErr w:type="spellEnd"/>
      <w:r w:rsidRPr="00330873">
        <w:rPr>
          <w:i/>
          <w:iCs/>
          <w:sz w:val="20"/>
          <w:szCs w:val="18"/>
        </w:rPr>
        <w:t xml:space="preserve"> </w:t>
      </w:r>
      <w:proofErr w:type="spellStart"/>
      <w:r w:rsidRPr="00330873">
        <w:rPr>
          <w:i/>
          <w:iCs/>
          <w:sz w:val="20"/>
          <w:szCs w:val="18"/>
        </w:rPr>
        <w:t>Trademark</w:t>
      </w:r>
      <w:proofErr w:type="spellEnd"/>
      <w:r w:rsidRPr="00330873">
        <w:rPr>
          <w:i/>
          <w:iCs/>
          <w:sz w:val="20"/>
          <w:szCs w:val="18"/>
        </w:rPr>
        <w:t xml:space="preserve"> </w:t>
      </w:r>
      <w:proofErr w:type="spellStart"/>
      <w:r w:rsidRPr="00330873">
        <w:rPr>
          <w:i/>
          <w:iCs/>
          <w:sz w:val="20"/>
          <w:szCs w:val="18"/>
        </w:rPr>
        <w:t>Registration</w:t>
      </w:r>
      <w:proofErr w:type="spellEnd"/>
      <w:r w:rsidRPr="00330873">
        <w:rPr>
          <w:i/>
          <w:iCs/>
          <w:sz w:val="20"/>
          <w:szCs w:val="18"/>
        </w:rPr>
        <w:t xml:space="preserve"> </w:t>
      </w:r>
      <w:proofErr w:type="spellStart"/>
      <w:r w:rsidRPr="00330873">
        <w:rPr>
          <w:i/>
          <w:iCs/>
          <w:sz w:val="20"/>
          <w:szCs w:val="18"/>
        </w:rPr>
        <w:t>Treaty</w:t>
      </w:r>
      <w:proofErr w:type="spellEnd"/>
      <w:r w:rsidRPr="00330873">
        <w:rPr>
          <w:i/>
          <w:iCs/>
          <w:sz w:val="20"/>
          <w:szCs w:val="18"/>
        </w:rPr>
        <w:t>’</w:t>
      </w:r>
      <w:r w:rsidRPr="0091259C">
        <w:rPr>
          <w:sz w:val="20"/>
          <w:szCs w:val="18"/>
        </w:rPr>
        <w:t xml:space="preserve">, ABAJ, </w:t>
      </w:r>
      <w:proofErr w:type="spellStart"/>
      <w:r w:rsidRPr="0091259C">
        <w:rPr>
          <w:sz w:val="20"/>
          <w:szCs w:val="18"/>
        </w:rPr>
        <w:t>Vol</w:t>
      </w:r>
      <w:proofErr w:type="spellEnd"/>
      <w:r w:rsidRPr="0091259C">
        <w:rPr>
          <w:sz w:val="20"/>
          <w:szCs w:val="18"/>
        </w:rPr>
        <w:t>. 61, No. 1, 1975, s. 83-87.</w:t>
      </w:r>
    </w:p>
    <w:p w14:paraId="261A18D7" w14:textId="322CAE4D" w:rsidR="00FA72E3" w:rsidRDefault="00FA72E3" w:rsidP="00FA72E3">
      <w:pPr>
        <w:rPr>
          <w:sz w:val="20"/>
          <w:szCs w:val="18"/>
        </w:rPr>
      </w:pPr>
      <w:r w:rsidRPr="00FA72E3">
        <w:rPr>
          <w:b/>
          <w:bCs/>
          <w:sz w:val="20"/>
          <w:szCs w:val="18"/>
        </w:rPr>
        <w:t>POU</w:t>
      </w:r>
      <w:r w:rsidR="00D16EAF">
        <w:rPr>
          <w:b/>
          <w:bCs/>
          <w:sz w:val="20"/>
          <w:szCs w:val="18"/>
        </w:rPr>
        <w:t>I</w:t>
      </w:r>
      <w:r w:rsidRPr="00FA72E3">
        <w:rPr>
          <w:b/>
          <w:bCs/>
          <w:sz w:val="20"/>
          <w:szCs w:val="18"/>
        </w:rPr>
        <w:t>LLET</w:t>
      </w:r>
      <w:r w:rsidRPr="00FA72E3">
        <w:rPr>
          <w:sz w:val="20"/>
          <w:szCs w:val="18"/>
        </w:rPr>
        <w:t xml:space="preserve">, </w:t>
      </w:r>
      <w:proofErr w:type="spellStart"/>
      <w:r w:rsidRPr="00FA72E3">
        <w:rPr>
          <w:sz w:val="20"/>
          <w:szCs w:val="18"/>
        </w:rPr>
        <w:t>Eugène</w:t>
      </w:r>
      <w:proofErr w:type="spellEnd"/>
      <w:r>
        <w:rPr>
          <w:sz w:val="20"/>
          <w:szCs w:val="18"/>
        </w:rPr>
        <w:t xml:space="preserve">, </w:t>
      </w:r>
      <w:proofErr w:type="spellStart"/>
      <w:r w:rsidRPr="00FA72E3">
        <w:rPr>
          <w:i/>
          <w:iCs/>
          <w:sz w:val="20"/>
          <w:szCs w:val="18"/>
        </w:rPr>
        <w:t>Traité</w:t>
      </w:r>
      <w:proofErr w:type="spellEnd"/>
      <w:r w:rsidRPr="00FA72E3">
        <w:rPr>
          <w:i/>
          <w:iCs/>
          <w:sz w:val="20"/>
          <w:szCs w:val="18"/>
        </w:rPr>
        <w:t xml:space="preserve"> </w:t>
      </w:r>
      <w:proofErr w:type="spellStart"/>
      <w:r w:rsidRPr="00FA72E3">
        <w:rPr>
          <w:i/>
          <w:iCs/>
          <w:sz w:val="20"/>
          <w:szCs w:val="18"/>
        </w:rPr>
        <w:t>des</w:t>
      </w:r>
      <w:proofErr w:type="spellEnd"/>
      <w:r w:rsidRPr="00FA72E3">
        <w:rPr>
          <w:i/>
          <w:iCs/>
          <w:sz w:val="20"/>
          <w:szCs w:val="18"/>
        </w:rPr>
        <w:t xml:space="preserve"> </w:t>
      </w:r>
      <w:proofErr w:type="spellStart"/>
      <w:r w:rsidRPr="00FA72E3">
        <w:rPr>
          <w:i/>
          <w:iCs/>
          <w:sz w:val="20"/>
          <w:szCs w:val="18"/>
        </w:rPr>
        <w:t>Marques</w:t>
      </w:r>
      <w:proofErr w:type="spellEnd"/>
      <w:r w:rsidRPr="00FA72E3">
        <w:rPr>
          <w:i/>
          <w:iCs/>
          <w:sz w:val="20"/>
          <w:szCs w:val="18"/>
        </w:rPr>
        <w:t xml:space="preserve"> de </w:t>
      </w:r>
      <w:proofErr w:type="spellStart"/>
      <w:r w:rsidRPr="00FA72E3">
        <w:rPr>
          <w:i/>
          <w:iCs/>
          <w:sz w:val="20"/>
          <w:szCs w:val="18"/>
        </w:rPr>
        <w:t>Fabrique</w:t>
      </w:r>
      <w:proofErr w:type="spellEnd"/>
      <w:r w:rsidRPr="00FA72E3">
        <w:rPr>
          <w:i/>
          <w:iCs/>
          <w:sz w:val="20"/>
          <w:szCs w:val="18"/>
        </w:rPr>
        <w:t xml:space="preserve"> et da la </w:t>
      </w:r>
      <w:proofErr w:type="spellStart"/>
      <w:r w:rsidRPr="00FA72E3">
        <w:rPr>
          <w:i/>
          <w:iCs/>
          <w:sz w:val="20"/>
          <w:szCs w:val="18"/>
        </w:rPr>
        <w:t>Concurrence</w:t>
      </w:r>
      <w:proofErr w:type="spellEnd"/>
      <w:r w:rsidRPr="00FA72E3">
        <w:rPr>
          <w:i/>
          <w:iCs/>
          <w:sz w:val="20"/>
          <w:szCs w:val="18"/>
        </w:rPr>
        <w:t xml:space="preserve"> </w:t>
      </w:r>
      <w:proofErr w:type="spellStart"/>
      <w:r w:rsidRPr="00FA72E3">
        <w:rPr>
          <w:i/>
          <w:iCs/>
          <w:sz w:val="20"/>
          <w:szCs w:val="18"/>
        </w:rPr>
        <w:t>Déloyale</w:t>
      </w:r>
      <w:proofErr w:type="spellEnd"/>
      <w:r w:rsidRPr="00FA72E3">
        <w:rPr>
          <w:i/>
          <w:iCs/>
          <w:sz w:val="20"/>
          <w:szCs w:val="18"/>
        </w:rPr>
        <w:t xml:space="preserve"> en </w:t>
      </w:r>
      <w:proofErr w:type="spellStart"/>
      <w:r w:rsidRPr="00FA72E3">
        <w:rPr>
          <w:i/>
          <w:iCs/>
          <w:sz w:val="20"/>
          <w:szCs w:val="18"/>
        </w:rPr>
        <w:t>Tout</w:t>
      </w:r>
      <w:proofErr w:type="spellEnd"/>
      <w:r w:rsidRPr="00FA72E3">
        <w:rPr>
          <w:i/>
          <w:iCs/>
          <w:sz w:val="20"/>
          <w:szCs w:val="18"/>
        </w:rPr>
        <w:t xml:space="preserve"> </w:t>
      </w:r>
      <w:proofErr w:type="spellStart"/>
      <w:r w:rsidRPr="00FA72E3">
        <w:rPr>
          <w:i/>
          <w:iCs/>
          <w:sz w:val="20"/>
          <w:szCs w:val="18"/>
        </w:rPr>
        <w:t>Genres</w:t>
      </w:r>
      <w:proofErr w:type="spellEnd"/>
      <w:r w:rsidRPr="00FA72E3">
        <w:rPr>
          <w:sz w:val="20"/>
          <w:szCs w:val="18"/>
        </w:rPr>
        <w:t xml:space="preserve">, </w:t>
      </w:r>
      <w:proofErr w:type="spellStart"/>
      <w:r w:rsidRPr="00FA72E3">
        <w:rPr>
          <w:sz w:val="20"/>
          <w:szCs w:val="18"/>
        </w:rPr>
        <w:t>Imprimerie</w:t>
      </w:r>
      <w:proofErr w:type="spellEnd"/>
      <w:r w:rsidRPr="00FA72E3">
        <w:rPr>
          <w:sz w:val="20"/>
          <w:szCs w:val="18"/>
        </w:rPr>
        <w:t xml:space="preserve"> et </w:t>
      </w:r>
      <w:proofErr w:type="spellStart"/>
      <w:r w:rsidRPr="00FA72E3">
        <w:rPr>
          <w:sz w:val="20"/>
          <w:szCs w:val="18"/>
        </w:rPr>
        <w:t>Libraire</w:t>
      </w:r>
      <w:proofErr w:type="spellEnd"/>
      <w:r w:rsidRPr="00FA72E3">
        <w:rPr>
          <w:sz w:val="20"/>
          <w:szCs w:val="18"/>
        </w:rPr>
        <w:t xml:space="preserve"> </w:t>
      </w:r>
      <w:proofErr w:type="spellStart"/>
      <w:r w:rsidRPr="00FA72E3">
        <w:rPr>
          <w:sz w:val="20"/>
          <w:szCs w:val="18"/>
        </w:rPr>
        <w:t>Générale</w:t>
      </w:r>
      <w:proofErr w:type="spellEnd"/>
      <w:r w:rsidRPr="00FA72E3">
        <w:rPr>
          <w:sz w:val="20"/>
          <w:szCs w:val="18"/>
        </w:rPr>
        <w:t xml:space="preserve"> de </w:t>
      </w:r>
      <w:proofErr w:type="spellStart"/>
      <w:r w:rsidRPr="00FA72E3">
        <w:rPr>
          <w:sz w:val="20"/>
          <w:szCs w:val="18"/>
        </w:rPr>
        <w:t>Jurisprudence</w:t>
      </w:r>
      <w:proofErr w:type="spellEnd"/>
      <w:r w:rsidRPr="00FA72E3">
        <w:rPr>
          <w:sz w:val="20"/>
          <w:szCs w:val="18"/>
        </w:rPr>
        <w:t xml:space="preserve"> </w:t>
      </w:r>
      <w:proofErr w:type="spellStart"/>
      <w:r w:rsidRPr="00FA72E3">
        <w:rPr>
          <w:sz w:val="20"/>
          <w:szCs w:val="18"/>
        </w:rPr>
        <w:t>Marchal</w:t>
      </w:r>
      <w:proofErr w:type="spellEnd"/>
      <w:r w:rsidRPr="00FA72E3">
        <w:rPr>
          <w:sz w:val="20"/>
          <w:szCs w:val="18"/>
        </w:rPr>
        <w:t xml:space="preserve">, </w:t>
      </w:r>
      <w:proofErr w:type="spellStart"/>
      <w:r w:rsidRPr="00FA72E3">
        <w:rPr>
          <w:sz w:val="20"/>
          <w:szCs w:val="18"/>
        </w:rPr>
        <w:t>Billard</w:t>
      </w:r>
      <w:proofErr w:type="spellEnd"/>
      <w:r w:rsidRPr="00FA72E3">
        <w:rPr>
          <w:sz w:val="20"/>
          <w:szCs w:val="18"/>
        </w:rPr>
        <w:t xml:space="preserve"> et </w:t>
      </w:r>
      <w:proofErr w:type="spellStart"/>
      <w:r w:rsidRPr="00FA72E3">
        <w:rPr>
          <w:sz w:val="20"/>
          <w:szCs w:val="18"/>
        </w:rPr>
        <w:t>C</w:t>
      </w:r>
      <w:r w:rsidRPr="00FA72E3">
        <w:rPr>
          <w:sz w:val="20"/>
          <w:szCs w:val="18"/>
          <w:vertAlign w:val="superscript"/>
        </w:rPr>
        <w:t>ie</w:t>
      </w:r>
      <w:proofErr w:type="spellEnd"/>
      <w:r w:rsidRPr="00FA72E3">
        <w:rPr>
          <w:sz w:val="20"/>
          <w:szCs w:val="18"/>
        </w:rPr>
        <w:t xml:space="preserve">, </w:t>
      </w:r>
      <w:proofErr w:type="spellStart"/>
      <w:r w:rsidRPr="00FA72E3">
        <w:rPr>
          <w:sz w:val="20"/>
          <w:szCs w:val="18"/>
        </w:rPr>
        <w:t>Imprimeurs-Éditeurs</w:t>
      </w:r>
      <w:proofErr w:type="spellEnd"/>
      <w:r w:rsidRPr="00FA72E3">
        <w:rPr>
          <w:sz w:val="20"/>
          <w:szCs w:val="18"/>
        </w:rPr>
        <w:t>, Paris, 1875</w:t>
      </w:r>
      <w:r w:rsidR="00B278D9">
        <w:rPr>
          <w:sz w:val="20"/>
          <w:szCs w:val="18"/>
        </w:rPr>
        <w:t>.</w:t>
      </w:r>
    </w:p>
    <w:p w14:paraId="7AD278F8" w14:textId="6E0271F0" w:rsidR="00AC41AB" w:rsidRDefault="00AC41AB" w:rsidP="00FA72E3">
      <w:pPr>
        <w:rPr>
          <w:sz w:val="20"/>
          <w:szCs w:val="18"/>
        </w:rPr>
      </w:pPr>
      <w:r w:rsidRPr="00AC41AB">
        <w:rPr>
          <w:b/>
          <w:bCs/>
          <w:sz w:val="20"/>
          <w:szCs w:val="18"/>
        </w:rPr>
        <w:t>PUTTEMANS</w:t>
      </w:r>
      <w:r w:rsidRPr="00AC41AB">
        <w:rPr>
          <w:sz w:val="20"/>
          <w:szCs w:val="18"/>
        </w:rPr>
        <w:t xml:space="preserve">, </w:t>
      </w:r>
      <w:proofErr w:type="spellStart"/>
      <w:r w:rsidRPr="00AC41AB">
        <w:rPr>
          <w:sz w:val="20"/>
          <w:szCs w:val="18"/>
        </w:rPr>
        <w:t>Andrée</w:t>
      </w:r>
      <w:proofErr w:type="spellEnd"/>
      <w:r>
        <w:rPr>
          <w:sz w:val="20"/>
          <w:szCs w:val="18"/>
        </w:rPr>
        <w:t>,</w:t>
      </w:r>
      <w:r w:rsidRPr="00AC41AB">
        <w:rPr>
          <w:sz w:val="20"/>
          <w:szCs w:val="18"/>
        </w:rPr>
        <w:t xml:space="preserve"> </w:t>
      </w:r>
      <w:proofErr w:type="spellStart"/>
      <w:r w:rsidRPr="00AC41AB">
        <w:rPr>
          <w:i/>
          <w:iCs/>
          <w:sz w:val="20"/>
          <w:szCs w:val="18"/>
        </w:rPr>
        <w:t>Droits</w:t>
      </w:r>
      <w:proofErr w:type="spellEnd"/>
      <w:r w:rsidRPr="00AC41AB">
        <w:rPr>
          <w:i/>
          <w:iCs/>
          <w:sz w:val="20"/>
          <w:szCs w:val="18"/>
        </w:rPr>
        <w:t xml:space="preserve"> </w:t>
      </w:r>
      <w:proofErr w:type="spellStart"/>
      <w:r w:rsidRPr="00AC41AB">
        <w:rPr>
          <w:i/>
          <w:iCs/>
          <w:sz w:val="20"/>
          <w:szCs w:val="18"/>
        </w:rPr>
        <w:t>Intellectuels</w:t>
      </w:r>
      <w:proofErr w:type="spellEnd"/>
      <w:r w:rsidRPr="00AC41AB">
        <w:rPr>
          <w:i/>
          <w:iCs/>
          <w:sz w:val="20"/>
          <w:szCs w:val="18"/>
        </w:rPr>
        <w:t xml:space="preserve"> et </w:t>
      </w:r>
      <w:proofErr w:type="spellStart"/>
      <w:r w:rsidRPr="00AC41AB">
        <w:rPr>
          <w:i/>
          <w:iCs/>
          <w:sz w:val="20"/>
          <w:szCs w:val="18"/>
        </w:rPr>
        <w:t>Concurrence</w:t>
      </w:r>
      <w:proofErr w:type="spellEnd"/>
      <w:r w:rsidRPr="00AC41AB">
        <w:rPr>
          <w:i/>
          <w:iCs/>
          <w:sz w:val="20"/>
          <w:szCs w:val="18"/>
        </w:rPr>
        <w:t xml:space="preserve"> </w:t>
      </w:r>
      <w:proofErr w:type="spellStart"/>
      <w:r w:rsidRPr="00AC41AB">
        <w:rPr>
          <w:i/>
          <w:iCs/>
          <w:sz w:val="20"/>
          <w:szCs w:val="18"/>
        </w:rPr>
        <w:t>Déloyale</w:t>
      </w:r>
      <w:proofErr w:type="spellEnd"/>
      <w:r w:rsidRPr="00AC41AB">
        <w:rPr>
          <w:sz w:val="20"/>
          <w:szCs w:val="18"/>
        </w:rPr>
        <w:t xml:space="preserve">, </w:t>
      </w:r>
      <w:proofErr w:type="spellStart"/>
      <w:r w:rsidRPr="00AC41AB">
        <w:rPr>
          <w:sz w:val="20"/>
          <w:szCs w:val="18"/>
        </w:rPr>
        <w:t>Bruylant</w:t>
      </w:r>
      <w:proofErr w:type="spellEnd"/>
      <w:r w:rsidRPr="00AC41AB">
        <w:rPr>
          <w:sz w:val="20"/>
          <w:szCs w:val="18"/>
        </w:rPr>
        <w:t>, Brüksel, 2000,</w:t>
      </w:r>
    </w:p>
    <w:p w14:paraId="1F4646B2" w14:textId="024472AD" w:rsidR="00E13B42" w:rsidRPr="00E13B42" w:rsidRDefault="00E13B42" w:rsidP="00FA72E3">
      <w:pPr>
        <w:rPr>
          <w:sz w:val="20"/>
          <w:szCs w:val="18"/>
        </w:rPr>
      </w:pPr>
      <w:r w:rsidRPr="00E13B42">
        <w:rPr>
          <w:b/>
          <w:bCs/>
          <w:sz w:val="20"/>
          <w:szCs w:val="18"/>
        </w:rPr>
        <w:t>ME</w:t>
      </w:r>
      <w:r w:rsidR="00D16EAF">
        <w:rPr>
          <w:b/>
          <w:bCs/>
          <w:sz w:val="20"/>
          <w:szCs w:val="18"/>
        </w:rPr>
        <w:t>I</w:t>
      </w:r>
      <w:r w:rsidRPr="00E13B42">
        <w:rPr>
          <w:b/>
          <w:bCs/>
          <w:sz w:val="20"/>
          <w:szCs w:val="18"/>
        </w:rPr>
        <w:t>ER</w:t>
      </w:r>
      <w:r w:rsidRPr="00E13B42">
        <w:rPr>
          <w:sz w:val="20"/>
          <w:szCs w:val="18"/>
        </w:rPr>
        <w:t xml:space="preserve">, </w:t>
      </w:r>
      <w:proofErr w:type="spellStart"/>
      <w:r w:rsidRPr="00E13B42">
        <w:rPr>
          <w:sz w:val="20"/>
          <w:szCs w:val="18"/>
        </w:rPr>
        <w:t>Eric</w:t>
      </w:r>
      <w:proofErr w:type="spellEnd"/>
      <w:r>
        <w:rPr>
          <w:sz w:val="20"/>
          <w:szCs w:val="18"/>
        </w:rPr>
        <w:t>,</w:t>
      </w:r>
      <w:r w:rsidRPr="00E13B42">
        <w:rPr>
          <w:sz w:val="20"/>
          <w:szCs w:val="18"/>
        </w:rPr>
        <w:t xml:space="preserve"> </w:t>
      </w:r>
      <w:proofErr w:type="spellStart"/>
      <w:r w:rsidRPr="00E13B42">
        <w:rPr>
          <w:i/>
          <w:iCs/>
          <w:sz w:val="20"/>
          <w:szCs w:val="18"/>
        </w:rPr>
        <w:t>L’obligation</w:t>
      </w:r>
      <w:proofErr w:type="spellEnd"/>
      <w:r w:rsidRPr="00E13B42">
        <w:rPr>
          <w:i/>
          <w:iCs/>
          <w:sz w:val="20"/>
          <w:szCs w:val="18"/>
        </w:rPr>
        <w:t xml:space="preserve"> </w:t>
      </w:r>
      <w:proofErr w:type="spellStart"/>
      <w:r w:rsidRPr="00E13B42">
        <w:rPr>
          <w:i/>
          <w:iCs/>
          <w:sz w:val="20"/>
          <w:szCs w:val="18"/>
        </w:rPr>
        <w:t>d’Usage</w:t>
      </w:r>
      <w:proofErr w:type="spellEnd"/>
      <w:r w:rsidRPr="00E13B42">
        <w:rPr>
          <w:i/>
          <w:iCs/>
          <w:sz w:val="20"/>
          <w:szCs w:val="18"/>
        </w:rPr>
        <w:t xml:space="preserve"> en </w:t>
      </w:r>
      <w:proofErr w:type="spellStart"/>
      <w:r w:rsidRPr="00E13B42">
        <w:rPr>
          <w:i/>
          <w:iCs/>
          <w:sz w:val="20"/>
          <w:szCs w:val="18"/>
        </w:rPr>
        <w:t>Droit</w:t>
      </w:r>
      <w:proofErr w:type="spellEnd"/>
      <w:r w:rsidRPr="00E13B42">
        <w:rPr>
          <w:i/>
          <w:iCs/>
          <w:sz w:val="20"/>
          <w:szCs w:val="18"/>
        </w:rPr>
        <w:t xml:space="preserve"> </w:t>
      </w:r>
      <w:proofErr w:type="spellStart"/>
      <w:r w:rsidRPr="00E13B42">
        <w:rPr>
          <w:i/>
          <w:iCs/>
          <w:sz w:val="20"/>
          <w:szCs w:val="18"/>
        </w:rPr>
        <w:t>des</w:t>
      </w:r>
      <w:proofErr w:type="spellEnd"/>
      <w:r w:rsidRPr="00E13B42">
        <w:rPr>
          <w:i/>
          <w:iCs/>
          <w:sz w:val="20"/>
          <w:szCs w:val="18"/>
        </w:rPr>
        <w:t xml:space="preserve"> </w:t>
      </w:r>
      <w:proofErr w:type="spellStart"/>
      <w:r w:rsidRPr="00E13B42">
        <w:rPr>
          <w:i/>
          <w:iCs/>
          <w:sz w:val="20"/>
          <w:szCs w:val="18"/>
        </w:rPr>
        <w:t>Marques</w:t>
      </w:r>
      <w:proofErr w:type="spellEnd"/>
      <w:r w:rsidRPr="00E13B42">
        <w:rPr>
          <w:sz w:val="20"/>
          <w:szCs w:val="18"/>
        </w:rPr>
        <w:t xml:space="preserve">, </w:t>
      </w:r>
      <w:proofErr w:type="spellStart"/>
      <w:r w:rsidRPr="00E13B42">
        <w:rPr>
          <w:sz w:val="20"/>
          <w:szCs w:val="18"/>
        </w:rPr>
        <w:t>Schulthess</w:t>
      </w:r>
      <w:proofErr w:type="spellEnd"/>
      <w:r w:rsidRPr="00E13B42">
        <w:rPr>
          <w:sz w:val="20"/>
          <w:szCs w:val="18"/>
        </w:rPr>
        <w:t xml:space="preserve"> </w:t>
      </w:r>
      <w:proofErr w:type="spellStart"/>
      <w:r w:rsidRPr="00E13B42">
        <w:rPr>
          <w:sz w:val="20"/>
          <w:szCs w:val="18"/>
        </w:rPr>
        <w:t>Juristische</w:t>
      </w:r>
      <w:proofErr w:type="spellEnd"/>
      <w:r w:rsidRPr="00E13B42">
        <w:rPr>
          <w:sz w:val="20"/>
          <w:szCs w:val="18"/>
        </w:rPr>
        <w:t xml:space="preserve"> </w:t>
      </w:r>
      <w:proofErr w:type="spellStart"/>
      <w:r w:rsidRPr="00E13B42">
        <w:rPr>
          <w:sz w:val="20"/>
          <w:szCs w:val="18"/>
        </w:rPr>
        <w:t>Medien</w:t>
      </w:r>
      <w:proofErr w:type="spellEnd"/>
      <w:r w:rsidRPr="00E13B42">
        <w:rPr>
          <w:sz w:val="20"/>
          <w:szCs w:val="18"/>
        </w:rPr>
        <w:t xml:space="preserve"> AG, Lozan, 2005</w:t>
      </w:r>
      <w:r>
        <w:rPr>
          <w:sz w:val="20"/>
          <w:szCs w:val="18"/>
        </w:rPr>
        <w:t>.</w:t>
      </w:r>
    </w:p>
    <w:p w14:paraId="2C32B552" w14:textId="31A0540A" w:rsidR="00A50118" w:rsidRDefault="00B278D9" w:rsidP="00FA72E3">
      <w:r w:rsidRPr="00B278D9">
        <w:rPr>
          <w:b/>
          <w:bCs/>
          <w:sz w:val="20"/>
          <w:szCs w:val="18"/>
        </w:rPr>
        <w:t>REYNOARD</w:t>
      </w:r>
      <w:r w:rsidRPr="00B278D9">
        <w:rPr>
          <w:sz w:val="20"/>
          <w:szCs w:val="18"/>
        </w:rPr>
        <w:t xml:space="preserve">, Paul, </w:t>
      </w:r>
      <w:proofErr w:type="spellStart"/>
      <w:r w:rsidRPr="00B278D9">
        <w:rPr>
          <w:i/>
          <w:iCs/>
          <w:sz w:val="20"/>
          <w:szCs w:val="18"/>
        </w:rPr>
        <w:t>Précis</w:t>
      </w:r>
      <w:proofErr w:type="spellEnd"/>
      <w:r w:rsidRPr="00B278D9">
        <w:rPr>
          <w:i/>
          <w:iCs/>
          <w:sz w:val="20"/>
          <w:szCs w:val="18"/>
        </w:rPr>
        <w:t xml:space="preserve"> </w:t>
      </w:r>
      <w:proofErr w:type="spellStart"/>
      <w:r w:rsidRPr="00B278D9">
        <w:rPr>
          <w:i/>
          <w:iCs/>
          <w:sz w:val="20"/>
          <w:szCs w:val="18"/>
        </w:rPr>
        <w:t>Théorique</w:t>
      </w:r>
      <w:proofErr w:type="spellEnd"/>
      <w:r w:rsidRPr="00B278D9">
        <w:rPr>
          <w:i/>
          <w:iCs/>
          <w:sz w:val="20"/>
          <w:szCs w:val="18"/>
        </w:rPr>
        <w:t xml:space="preserve"> et </w:t>
      </w:r>
      <w:proofErr w:type="spellStart"/>
      <w:r w:rsidRPr="00B278D9">
        <w:rPr>
          <w:i/>
          <w:iCs/>
          <w:sz w:val="20"/>
          <w:szCs w:val="18"/>
        </w:rPr>
        <w:t>Pratique</w:t>
      </w:r>
      <w:proofErr w:type="spellEnd"/>
      <w:r w:rsidRPr="00B278D9">
        <w:rPr>
          <w:i/>
          <w:iCs/>
          <w:sz w:val="20"/>
          <w:szCs w:val="18"/>
        </w:rPr>
        <w:t xml:space="preserve"> </w:t>
      </w:r>
      <w:proofErr w:type="spellStart"/>
      <w:r w:rsidRPr="00B278D9">
        <w:rPr>
          <w:i/>
          <w:iCs/>
          <w:sz w:val="20"/>
          <w:szCs w:val="18"/>
        </w:rPr>
        <w:t>des</w:t>
      </w:r>
      <w:proofErr w:type="spellEnd"/>
      <w:r w:rsidRPr="00B278D9">
        <w:rPr>
          <w:i/>
          <w:iCs/>
          <w:sz w:val="20"/>
          <w:szCs w:val="18"/>
        </w:rPr>
        <w:t xml:space="preserve"> </w:t>
      </w:r>
      <w:proofErr w:type="spellStart"/>
      <w:r w:rsidRPr="00B278D9">
        <w:rPr>
          <w:i/>
          <w:iCs/>
          <w:sz w:val="20"/>
          <w:szCs w:val="18"/>
        </w:rPr>
        <w:t>Marques</w:t>
      </w:r>
      <w:proofErr w:type="spellEnd"/>
      <w:r w:rsidRPr="00B278D9">
        <w:rPr>
          <w:i/>
          <w:iCs/>
          <w:sz w:val="20"/>
          <w:szCs w:val="18"/>
        </w:rPr>
        <w:t xml:space="preserve"> de </w:t>
      </w:r>
      <w:proofErr w:type="spellStart"/>
      <w:r w:rsidRPr="00B278D9">
        <w:rPr>
          <w:i/>
          <w:iCs/>
          <w:sz w:val="20"/>
          <w:szCs w:val="18"/>
        </w:rPr>
        <w:t>Fabrique</w:t>
      </w:r>
      <w:proofErr w:type="spellEnd"/>
      <w:r w:rsidRPr="00B278D9">
        <w:rPr>
          <w:sz w:val="20"/>
          <w:szCs w:val="18"/>
        </w:rPr>
        <w:t xml:space="preserve">, </w:t>
      </w:r>
      <w:proofErr w:type="spellStart"/>
      <w:r w:rsidRPr="00B278D9">
        <w:rPr>
          <w:sz w:val="20"/>
          <w:szCs w:val="18"/>
        </w:rPr>
        <w:t>Dunod</w:t>
      </w:r>
      <w:proofErr w:type="spellEnd"/>
      <w:r w:rsidRPr="00B278D9">
        <w:rPr>
          <w:sz w:val="20"/>
          <w:szCs w:val="18"/>
        </w:rPr>
        <w:t>, Paris, 1939.</w:t>
      </w:r>
      <w:r w:rsidR="00A50118" w:rsidRPr="00A50118">
        <w:t xml:space="preserve"> </w:t>
      </w:r>
    </w:p>
    <w:p w14:paraId="6EC4C14C" w14:textId="15BA03DE" w:rsidR="00AC41AB" w:rsidRDefault="00AC41AB" w:rsidP="00FA72E3">
      <w:pPr>
        <w:rPr>
          <w:sz w:val="20"/>
          <w:szCs w:val="18"/>
        </w:rPr>
      </w:pPr>
      <w:r w:rsidRPr="00AC41AB">
        <w:rPr>
          <w:b/>
          <w:bCs/>
          <w:sz w:val="20"/>
          <w:szCs w:val="18"/>
        </w:rPr>
        <w:t>SCHMIDT-SZALEWSKI</w:t>
      </w:r>
      <w:r w:rsidRPr="00AC41AB">
        <w:rPr>
          <w:sz w:val="20"/>
          <w:szCs w:val="18"/>
        </w:rPr>
        <w:t xml:space="preserve">, </w:t>
      </w:r>
      <w:proofErr w:type="spellStart"/>
      <w:r w:rsidRPr="00AC41AB">
        <w:rPr>
          <w:sz w:val="20"/>
          <w:szCs w:val="18"/>
        </w:rPr>
        <w:t>Joanna</w:t>
      </w:r>
      <w:proofErr w:type="spellEnd"/>
      <w:r w:rsidR="006661E4">
        <w:rPr>
          <w:sz w:val="20"/>
          <w:szCs w:val="18"/>
        </w:rPr>
        <w:t>,</w:t>
      </w:r>
      <w:r w:rsidRPr="00AC41AB">
        <w:rPr>
          <w:sz w:val="20"/>
          <w:szCs w:val="18"/>
        </w:rPr>
        <w:t xml:space="preserve"> </w:t>
      </w:r>
      <w:r w:rsidRPr="00AC41AB">
        <w:rPr>
          <w:i/>
          <w:iCs/>
          <w:sz w:val="20"/>
          <w:szCs w:val="18"/>
        </w:rPr>
        <w:t>‘</w:t>
      </w:r>
      <w:proofErr w:type="spellStart"/>
      <w:r w:rsidRPr="00AC41AB">
        <w:rPr>
          <w:i/>
          <w:iCs/>
          <w:sz w:val="20"/>
          <w:szCs w:val="18"/>
        </w:rPr>
        <w:t>Marque</w:t>
      </w:r>
      <w:proofErr w:type="spellEnd"/>
      <w:r w:rsidRPr="00AC41AB">
        <w:rPr>
          <w:i/>
          <w:iCs/>
          <w:sz w:val="20"/>
          <w:szCs w:val="18"/>
        </w:rPr>
        <w:t xml:space="preserve"> de </w:t>
      </w:r>
      <w:proofErr w:type="spellStart"/>
      <w:r w:rsidRPr="00AC41AB">
        <w:rPr>
          <w:i/>
          <w:iCs/>
          <w:sz w:val="20"/>
          <w:szCs w:val="18"/>
        </w:rPr>
        <w:t>Fabrique</w:t>
      </w:r>
      <w:proofErr w:type="spellEnd"/>
      <w:r w:rsidRPr="00AC41AB">
        <w:rPr>
          <w:i/>
          <w:iCs/>
          <w:sz w:val="20"/>
          <w:szCs w:val="18"/>
        </w:rPr>
        <w:t xml:space="preserve">, de Commerce </w:t>
      </w:r>
      <w:proofErr w:type="spellStart"/>
      <w:r w:rsidRPr="00AC41AB">
        <w:rPr>
          <w:i/>
          <w:iCs/>
          <w:sz w:val="20"/>
          <w:szCs w:val="18"/>
        </w:rPr>
        <w:t>ou</w:t>
      </w:r>
      <w:proofErr w:type="spellEnd"/>
      <w:r w:rsidRPr="00AC41AB">
        <w:rPr>
          <w:i/>
          <w:iCs/>
          <w:sz w:val="20"/>
          <w:szCs w:val="18"/>
        </w:rPr>
        <w:t xml:space="preserve"> de Service’</w:t>
      </w:r>
      <w:r w:rsidRPr="00AC41AB">
        <w:rPr>
          <w:sz w:val="20"/>
          <w:szCs w:val="18"/>
        </w:rPr>
        <w:t xml:space="preserve">, </w:t>
      </w:r>
      <w:proofErr w:type="spellStart"/>
      <w:r w:rsidRPr="00AC41AB">
        <w:rPr>
          <w:sz w:val="20"/>
          <w:szCs w:val="18"/>
        </w:rPr>
        <w:t>Répertoire</w:t>
      </w:r>
      <w:proofErr w:type="spellEnd"/>
      <w:r w:rsidRPr="00AC41AB">
        <w:rPr>
          <w:sz w:val="20"/>
          <w:szCs w:val="18"/>
        </w:rPr>
        <w:t xml:space="preserve"> de </w:t>
      </w:r>
      <w:proofErr w:type="spellStart"/>
      <w:r w:rsidRPr="00AC41AB">
        <w:rPr>
          <w:sz w:val="20"/>
          <w:szCs w:val="18"/>
        </w:rPr>
        <w:t>Droit</w:t>
      </w:r>
      <w:proofErr w:type="spellEnd"/>
      <w:r w:rsidRPr="00AC41AB">
        <w:rPr>
          <w:sz w:val="20"/>
          <w:szCs w:val="18"/>
        </w:rPr>
        <w:t xml:space="preserve"> Commercial, </w:t>
      </w:r>
      <w:proofErr w:type="spellStart"/>
      <w:r w:rsidRPr="00AC41AB">
        <w:rPr>
          <w:sz w:val="20"/>
          <w:szCs w:val="18"/>
        </w:rPr>
        <w:t>Dalloz</w:t>
      </w:r>
      <w:proofErr w:type="spellEnd"/>
      <w:r w:rsidRPr="00AC41AB">
        <w:rPr>
          <w:sz w:val="20"/>
          <w:szCs w:val="18"/>
        </w:rPr>
        <w:t>, 2006.</w:t>
      </w:r>
    </w:p>
    <w:p w14:paraId="6BAEE702" w14:textId="2A93EDBB" w:rsidR="008836FB" w:rsidRPr="008836FB" w:rsidRDefault="008836FB" w:rsidP="00FA72E3">
      <w:pPr>
        <w:rPr>
          <w:sz w:val="16"/>
          <w:szCs w:val="14"/>
        </w:rPr>
      </w:pPr>
      <w:r w:rsidRPr="008836FB">
        <w:rPr>
          <w:b/>
          <w:bCs/>
          <w:sz w:val="20"/>
          <w:szCs w:val="18"/>
        </w:rPr>
        <w:t>SİRMEN</w:t>
      </w:r>
      <w:r w:rsidRPr="008836FB">
        <w:rPr>
          <w:sz w:val="20"/>
          <w:szCs w:val="18"/>
        </w:rPr>
        <w:t xml:space="preserve">, A. Lale, </w:t>
      </w:r>
      <w:r w:rsidRPr="008836FB">
        <w:rPr>
          <w:i/>
          <w:iCs/>
          <w:sz w:val="20"/>
          <w:szCs w:val="18"/>
        </w:rPr>
        <w:t>Eşya Hukuku</w:t>
      </w:r>
      <w:r w:rsidRPr="008836FB">
        <w:rPr>
          <w:sz w:val="20"/>
          <w:szCs w:val="18"/>
        </w:rPr>
        <w:t>, 7. Baskı, Yetkin Yayınları, Ankara, 2019.</w:t>
      </w:r>
    </w:p>
    <w:p w14:paraId="6A4191D7" w14:textId="044CB9F6" w:rsidR="00D074D1" w:rsidRDefault="00D074D1" w:rsidP="00FA72E3">
      <w:pPr>
        <w:rPr>
          <w:sz w:val="20"/>
          <w:szCs w:val="18"/>
        </w:rPr>
      </w:pPr>
      <w:r w:rsidRPr="00D074D1">
        <w:rPr>
          <w:b/>
          <w:bCs/>
          <w:sz w:val="20"/>
          <w:szCs w:val="18"/>
        </w:rPr>
        <w:t>ŞEHİRALİ ÇELİK</w:t>
      </w:r>
      <w:r w:rsidRPr="00D074D1">
        <w:rPr>
          <w:sz w:val="20"/>
          <w:szCs w:val="18"/>
        </w:rPr>
        <w:t xml:space="preserve">, Feyzan Hayal, </w:t>
      </w:r>
      <w:r w:rsidRPr="00D074D1">
        <w:rPr>
          <w:i/>
          <w:iCs/>
          <w:sz w:val="20"/>
          <w:szCs w:val="18"/>
        </w:rPr>
        <w:t>‘Tescilli Tasarım Sahibine Karşı Tecavüz Davası Açılabilir Mi? -Yeni Bir Karar, Yeni Bir Ufuk-’</w:t>
      </w:r>
      <w:r w:rsidRPr="00D074D1">
        <w:rPr>
          <w:sz w:val="20"/>
          <w:szCs w:val="18"/>
        </w:rPr>
        <w:t>, FMR, C. 12, S. 1, 2011, s. 39-69</w:t>
      </w:r>
      <w:r>
        <w:rPr>
          <w:sz w:val="20"/>
          <w:szCs w:val="18"/>
        </w:rPr>
        <w:t xml:space="preserve"> (“Tescilli Tasarım”)</w:t>
      </w:r>
      <w:r w:rsidRPr="00D074D1">
        <w:rPr>
          <w:sz w:val="20"/>
          <w:szCs w:val="18"/>
        </w:rPr>
        <w:t>.</w:t>
      </w:r>
    </w:p>
    <w:p w14:paraId="752779F0" w14:textId="7CE1E53F" w:rsidR="00D074D1" w:rsidRDefault="00D074D1" w:rsidP="00FA72E3">
      <w:pPr>
        <w:rPr>
          <w:sz w:val="20"/>
          <w:szCs w:val="18"/>
        </w:rPr>
      </w:pPr>
      <w:r w:rsidRPr="00D074D1">
        <w:rPr>
          <w:b/>
          <w:bCs/>
          <w:sz w:val="20"/>
          <w:szCs w:val="18"/>
        </w:rPr>
        <w:t>ŞEHİRALİ ÇELİK</w:t>
      </w:r>
      <w:r w:rsidRPr="00D074D1">
        <w:rPr>
          <w:sz w:val="20"/>
          <w:szCs w:val="18"/>
        </w:rPr>
        <w:t>, Feyzan Hayal</w:t>
      </w:r>
      <w:r>
        <w:rPr>
          <w:sz w:val="20"/>
          <w:szCs w:val="18"/>
        </w:rPr>
        <w:t xml:space="preserve">, </w:t>
      </w:r>
      <w:r w:rsidRPr="00D074D1">
        <w:rPr>
          <w:i/>
          <w:iCs/>
          <w:sz w:val="20"/>
          <w:szCs w:val="18"/>
        </w:rPr>
        <w:t>‘Sınai Mülkiyet Hakkının Tescilinin Anlamı Üzerine-SMK m. 155 Vesilesiyle Bir İnceleme-’</w:t>
      </w:r>
      <w:r w:rsidRPr="00D074D1">
        <w:rPr>
          <w:sz w:val="20"/>
          <w:szCs w:val="18"/>
        </w:rPr>
        <w:t>, BATİDER, C. XXXIV, S. 2, 2018, s. 3</w:t>
      </w:r>
      <w:r>
        <w:rPr>
          <w:sz w:val="20"/>
          <w:szCs w:val="18"/>
        </w:rPr>
        <w:t>3-90 (“SMK m. 155”).</w:t>
      </w:r>
    </w:p>
    <w:p w14:paraId="01248BFD" w14:textId="4A7C75ED" w:rsidR="00E13B42" w:rsidRPr="00E13B42" w:rsidRDefault="00E13B42" w:rsidP="00FA72E3">
      <w:pPr>
        <w:rPr>
          <w:sz w:val="16"/>
          <w:szCs w:val="14"/>
        </w:rPr>
      </w:pPr>
      <w:r w:rsidRPr="00E13B42">
        <w:rPr>
          <w:b/>
          <w:bCs/>
          <w:sz w:val="20"/>
          <w:szCs w:val="18"/>
        </w:rPr>
        <w:t>SÖNMEZ</w:t>
      </w:r>
      <w:r w:rsidRPr="00E13B42">
        <w:rPr>
          <w:sz w:val="20"/>
          <w:szCs w:val="18"/>
        </w:rPr>
        <w:t xml:space="preserve">, Numan Sabit, </w:t>
      </w:r>
      <w:r w:rsidRPr="00E13B42">
        <w:rPr>
          <w:i/>
          <w:iCs/>
          <w:sz w:val="20"/>
          <w:szCs w:val="18"/>
        </w:rPr>
        <w:t>‘6769 Sayılı Sınai Mülkiyet Kanununa Göre Markanın Kullanılmaması Neticesinde Ortaya Çıkan Sonuçlar’</w:t>
      </w:r>
      <w:r w:rsidRPr="00E13B42">
        <w:rPr>
          <w:sz w:val="20"/>
          <w:szCs w:val="18"/>
        </w:rPr>
        <w:t>, İÜHFM, C. LXXVI, S. 1, 2018, s. 273-304.</w:t>
      </w:r>
    </w:p>
    <w:p w14:paraId="5A742B15" w14:textId="3769F11F" w:rsidR="00A50118" w:rsidRDefault="00A50118" w:rsidP="00FA72E3">
      <w:pPr>
        <w:rPr>
          <w:sz w:val="20"/>
          <w:szCs w:val="18"/>
        </w:rPr>
      </w:pPr>
      <w:r w:rsidRPr="00A50118">
        <w:rPr>
          <w:b/>
          <w:bCs/>
          <w:sz w:val="20"/>
          <w:szCs w:val="18"/>
        </w:rPr>
        <w:t>SULUK</w:t>
      </w:r>
      <w:r w:rsidRPr="00A50118">
        <w:rPr>
          <w:sz w:val="20"/>
          <w:szCs w:val="18"/>
        </w:rPr>
        <w:t xml:space="preserve">, Cahit, </w:t>
      </w:r>
      <w:r w:rsidRPr="00A50118">
        <w:rPr>
          <w:i/>
          <w:iCs/>
          <w:sz w:val="20"/>
          <w:szCs w:val="18"/>
        </w:rPr>
        <w:t>‘Sınai Mülkiyet Hukukunda Tescil ‘Güvenli Liman’ mıdır?’</w:t>
      </w:r>
      <w:r w:rsidRPr="00A50118">
        <w:rPr>
          <w:sz w:val="20"/>
          <w:szCs w:val="18"/>
        </w:rPr>
        <w:t xml:space="preserve">, Fikri Mülkiyet Hukuku Yıllığı 2013, ed. Tekin </w:t>
      </w:r>
      <w:proofErr w:type="spellStart"/>
      <w:r w:rsidRPr="00A50118">
        <w:rPr>
          <w:sz w:val="20"/>
          <w:szCs w:val="18"/>
        </w:rPr>
        <w:t>Memiş</w:t>
      </w:r>
      <w:proofErr w:type="spellEnd"/>
      <w:r w:rsidRPr="00A50118">
        <w:rPr>
          <w:sz w:val="20"/>
          <w:szCs w:val="18"/>
        </w:rPr>
        <w:t>, Yetkin Yayınları, İstanbul, 2015, s. 404-430.</w:t>
      </w:r>
    </w:p>
    <w:p w14:paraId="76541444" w14:textId="60943BAB" w:rsidR="009011B5" w:rsidRPr="009011B5" w:rsidRDefault="009011B5" w:rsidP="00FA72E3">
      <w:pPr>
        <w:rPr>
          <w:sz w:val="16"/>
          <w:szCs w:val="14"/>
        </w:rPr>
      </w:pPr>
      <w:r w:rsidRPr="009011B5">
        <w:rPr>
          <w:b/>
          <w:bCs/>
          <w:sz w:val="20"/>
          <w:szCs w:val="18"/>
        </w:rPr>
        <w:t>TEKİNALP</w:t>
      </w:r>
      <w:r w:rsidRPr="009011B5">
        <w:rPr>
          <w:sz w:val="20"/>
          <w:szCs w:val="18"/>
        </w:rPr>
        <w:t xml:space="preserve">, Ünal/ </w:t>
      </w:r>
      <w:r w:rsidRPr="009011B5">
        <w:rPr>
          <w:b/>
          <w:bCs/>
          <w:sz w:val="20"/>
          <w:szCs w:val="18"/>
        </w:rPr>
        <w:t>ÇAMOĞLU</w:t>
      </w:r>
      <w:r w:rsidRPr="009011B5">
        <w:rPr>
          <w:i/>
          <w:iCs/>
          <w:sz w:val="20"/>
          <w:szCs w:val="18"/>
        </w:rPr>
        <w:t>,</w:t>
      </w:r>
      <w:r w:rsidRPr="009011B5">
        <w:rPr>
          <w:sz w:val="20"/>
          <w:szCs w:val="18"/>
        </w:rPr>
        <w:t xml:space="preserve"> Ersin,</w:t>
      </w:r>
      <w:r w:rsidRPr="009011B5">
        <w:rPr>
          <w:i/>
          <w:iCs/>
          <w:sz w:val="20"/>
          <w:szCs w:val="18"/>
        </w:rPr>
        <w:t xml:space="preserve"> Sınai Mülkiyet Kanunu</w:t>
      </w:r>
      <w:r w:rsidRPr="009011B5">
        <w:rPr>
          <w:sz w:val="20"/>
          <w:szCs w:val="18"/>
        </w:rPr>
        <w:t>, Vedat Kitapçılık, İstanbul, 2017.</w:t>
      </w:r>
    </w:p>
    <w:p w14:paraId="68BA33BC" w14:textId="7DA4C024" w:rsidR="00556A5D" w:rsidRDefault="00556A5D" w:rsidP="00556A5D">
      <w:pPr>
        <w:rPr>
          <w:sz w:val="20"/>
          <w:szCs w:val="18"/>
        </w:rPr>
      </w:pPr>
      <w:r w:rsidRPr="00556A5D">
        <w:rPr>
          <w:b/>
          <w:bCs/>
          <w:sz w:val="20"/>
          <w:szCs w:val="18"/>
        </w:rPr>
        <w:t>TUSHNET</w:t>
      </w:r>
      <w:r w:rsidRPr="00556A5D">
        <w:rPr>
          <w:sz w:val="20"/>
          <w:szCs w:val="18"/>
        </w:rPr>
        <w:t>,</w:t>
      </w:r>
      <w:r>
        <w:rPr>
          <w:sz w:val="20"/>
          <w:szCs w:val="18"/>
        </w:rPr>
        <w:t xml:space="preserve"> </w:t>
      </w:r>
      <w:proofErr w:type="spellStart"/>
      <w:r w:rsidRPr="00556A5D">
        <w:rPr>
          <w:sz w:val="20"/>
          <w:szCs w:val="18"/>
        </w:rPr>
        <w:t>Rebecca</w:t>
      </w:r>
      <w:proofErr w:type="spellEnd"/>
      <w:r>
        <w:rPr>
          <w:sz w:val="20"/>
          <w:szCs w:val="18"/>
        </w:rPr>
        <w:t>,</w:t>
      </w:r>
      <w:r w:rsidRPr="00556A5D">
        <w:rPr>
          <w:sz w:val="20"/>
          <w:szCs w:val="18"/>
        </w:rPr>
        <w:t xml:space="preserve"> </w:t>
      </w:r>
      <w:r w:rsidRPr="00556A5D">
        <w:rPr>
          <w:i/>
          <w:iCs/>
          <w:sz w:val="20"/>
          <w:szCs w:val="18"/>
        </w:rPr>
        <w:t>‘</w:t>
      </w:r>
      <w:proofErr w:type="spellStart"/>
      <w:r w:rsidRPr="00556A5D">
        <w:rPr>
          <w:i/>
          <w:iCs/>
          <w:sz w:val="20"/>
          <w:szCs w:val="18"/>
        </w:rPr>
        <w:t>Registering</w:t>
      </w:r>
      <w:proofErr w:type="spellEnd"/>
      <w:r w:rsidRPr="00556A5D">
        <w:rPr>
          <w:i/>
          <w:iCs/>
          <w:sz w:val="20"/>
          <w:szCs w:val="18"/>
        </w:rPr>
        <w:t xml:space="preserve"> </w:t>
      </w:r>
      <w:proofErr w:type="spellStart"/>
      <w:r w:rsidRPr="00556A5D">
        <w:rPr>
          <w:i/>
          <w:iCs/>
          <w:sz w:val="20"/>
          <w:szCs w:val="18"/>
        </w:rPr>
        <w:t>Disagreement</w:t>
      </w:r>
      <w:proofErr w:type="spellEnd"/>
      <w:r w:rsidRPr="00556A5D">
        <w:rPr>
          <w:i/>
          <w:iCs/>
          <w:sz w:val="20"/>
          <w:szCs w:val="18"/>
        </w:rPr>
        <w:t xml:space="preserve">: </w:t>
      </w:r>
      <w:proofErr w:type="spellStart"/>
      <w:r w:rsidRPr="00556A5D">
        <w:rPr>
          <w:i/>
          <w:iCs/>
          <w:sz w:val="20"/>
          <w:szCs w:val="18"/>
        </w:rPr>
        <w:t>Registration</w:t>
      </w:r>
      <w:proofErr w:type="spellEnd"/>
      <w:r w:rsidRPr="00556A5D">
        <w:rPr>
          <w:i/>
          <w:iCs/>
          <w:sz w:val="20"/>
          <w:szCs w:val="18"/>
        </w:rPr>
        <w:t xml:space="preserve"> in Modern </w:t>
      </w:r>
      <w:proofErr w:type="spellStart"/>
      <w:r w:rsidRPr="00556A5D">
        <w:rPr>
          <w:i/>
          <w:iCs/>
          <w:sz w:val="20"/>
          <w:szCs w:val="18"/>
        </w:rPr>
        <w:t>American</w:t>
      </w:r>
      <w:proofErr w:type="spellEnd"/>
      <w:r w:rsidRPr="00556A5D">
        <w:rPr>
          <w:i/>
          <w:iCs/>
          <w:sz w:val="20"/>
          <w:szCs w:val="18"/>
        </w:rPr>
        <w:t xml:space="preserve"> </w:t>
      </w:r>
      <w:proofErr w:type="spellStart"/>
      <w:r w:rsidRPr="00556A5D">
        <w:rPr>
          <w:i/>
          <w:iCs/>
          <w:sz w:val="20"/>
          <w:szCs w:val="18"/>
        </w:rPr>
        <w:t>Trademark</w:t>
      </w:r>
      <w:proofErr w:type="spellEnd"/>
      <w:r w:rsidRPr="00556A5D">
        <w:rPr>
          <w:i/>
          <w:iCs/>
          <w:sz w:val="20"/>
          <w:szCs w:val="18"/>
        </w:rPr>
        <w:t xml:space="preserve"> </w:t>
      </w:r>
      <w:proofErr w:type="spellStart"/>
      <w:r w:rsidRPr="00556A5D">
        <w:rPr>
          <w:i/>
          <w:iCs/>
          <w:sz w:val="20"/>
          <w:szCs w:val="18"/>
        </w:rPr>
        <w:t>Law</w:t>
      </w:r>
      <w:proofErr w:type="spellEnd"/>
      <w:r w:rsidRPr="00556A5D">
        <w:rPr>
          <w:i/>
          <w:iCs/>
          <w:sz w:val="20"/>
          <w:szCs w:val="18"/>
        </w:rPr>
        <w:t>’</w:t>
      </w:r>
      <w:r w:rsidRPr="00556A5D">
        <w:rPr>
          <w:sz w:val="20"/>
          <w:szCs w:val="18"/>
        </w:rPr>
        <w:t xml:space="preserve">, Harvard </w:t>
      </w:r>
      <w:proofErr w:type="spellStart"/>
      <w:r w:rsidRPr="00556A5D">
        <w:rPr>
          <w:sz w:val="20"/>
          <w:szCs w:val="18"/>
        </w:rPr>
        <w:t>Law</w:t>
      </w:r>
      <w:proofErr w:type="spellEnd"/>
      <w:r w:rsidRPr="00556A5D">
        <w:rPr>
          <w:sz w:val="20"/>
          <w:szCs w:val="18"/>
        </w:rPr>
        <w:t xml:space="preserve"> </w:t>
      </w:r>
      <w:proofErr w:type="spellStart"/>
      <w:r w:rsidRPr="00556A5D">
        <w:rPr>
          <w:sz w:val="20"/>
          <w:szCs w:val="18"/>
        </w:rPr>
        <w:t>Review</w:t>
      </w:r>
      <w:proofErr w:type="spellEnd"/>
      <w:r w:rsidRPr="00556A5D">
        <w:rPr>
          <w:sz w:val="20"/>
          <w:szCs w:val="18"/>
        </w:rPr>
        <w:t xml:space="preserve">, </w:t>
      </w:r>
      <w:proofErr w:type="spellStart"/>
      <w:r w:rsidRPr="00556A5D">
        <w:rPr>
          <w:sz w:val="20"/>
          <w:szCs w:val="18"/>
        </w:rPr>
        <w:t>Vol</w:t>
      </w:r>
      <w:proofErr w:type="spellEnd"/>
      <w:r w:rsidRPr="00556A5D">
        <w:rPr>
          <w:sz w:val="20"/>
          <w:szCs w:val="18"/>
        </w:rPr>
        <w:t>, 130, No. 3, 2017, s. 867-941.</w:t>
      </w:r>
    </w:p>
    <w:p w14:paraId="346C0D9B" w14:textId="08A0B317" w:rsidR="008836FB" w:rsidRDefault="008836FB" w:rsidP="00556A5D">
      <w:pPr>
        <w:rPr>
          <w:sz w:val="20"/>
          <w:szCs w:val="18"/>
        </w:rPr>
      </w:pPr>
      <w:r w:rsidRPr="008836FB">
        <w:rPr>
          <w:b/>
          <w:bCs/>
          <w:sz w:val="20"/>
          <w:szCs w:val="18"/>
        </w:rPr>
        <w:t>UZUNALLI</w:t>
      </w:r>
      <w:r w:rsidRPr="008836FB">
        <w:rPr>
          <w:sz w:val="20"/>
          <w:szCs w:val="18"/>
        </w:rPr>
        <w:t xml:space="preserve">, Sevilay, </w:t>
      </w:r>
      <w:r w:rsidRPr="008836FB">
        <w:rPr>
          <w:i/>
          <w:iCs/>
          <w:sz w:val="20"/>
          <w:szCs w:val="18"/>
        </w:rPr>
        <w:t>Marka Hukuku</w:t>
      </w:r>
      <w:r w:rsidRPr="008836FB">
        <w:rPr>
          <w:sz w:val="20"/>
          <w:szCs w:val="18"/>
        </w:rPr>
        <w:t>, Adalet Yayınevi, Ankara, 2019.</w:t>
      </w:r>
    </w:p>
    <w:p w14:paraId="1803293D" w14:textId="737CEC18" w:rsidR="0093626F" w:rsidRPr="0093626F" w:rsidRDefault="0093626F" w:rsidP="00556A5D">
      <w:pPr>
        <w:rPr>
          <w:sz w:val="20"/>
          <w:szCs w:val="18"/>
        </w:rPr>
      </w:pPr>
      <w:r w:rsidRPr="0093626F">
        <w:rPr>
          <w:b/>
          <w:bCs/>
          <w:sz w:val="20"/>
          <w:szCs w:val="18"/>
        </w:rPr>
        <w:lastRenderedPageBreak/>
        <w:t>ÜNSAL</w:t>
      </w:r>
      <w:r w:rsidRPr="0093626F">
        <w:rPr>
          <w:sz w:val="20"/>
          <w:szCs w:val="18"/>
        </w:rPr>
        <w:t xml:space="preserve">, Önder Erol, </w:t>
      </w:r>
      <w:r w:rsidRPr="0093626F">
        <w:rPr>
          <w:i/>
          <w:iCs/>
          <w:sz w:val="20"/>
          <w:szCs w:val="18"/>
        </w:rPr>
        <w:t>Markaların Tescili Konusunda Uluslararası Nis ve Viyana Sınıflandırmaları: Amaç, İşleyiş ve Uygulamaya İlişkin Değerlendirmeler</w:t>
      </w:r>
      <w:r w:rsidRPr="0093626F">
        <w:rPr>
          <w:sz w:val="20"/>
          <w:szCs w:val="18"/>
        </w:rPr>
        <w:t>, Uzmanlık Tezi, Türk Patent Enstitüsü, Ankara, 2001</w:t>
      </w:r>
      <w:r>
        <w:rPr>
          <w:sz w:val="20"/>
          <w:szCs w:val="18"/>
        </w:rPr>
        <w:t>.</w:t>
      </w:r>
    </w:p>
    <w:p w14:paraId="1E452540" w14:textId="770D31D6" w:rsidR="004944AC" w:rsidRDefault="00FB15A0" w:rsidP="004944AC">
      <w:pPr>
        <w:rPr>
          <w:sz w:val="20"/>
          <w:szCs w:val="18"/>
        </w:rPr>
      </w:pPr>
      <w:r w:rsidRPr="00FB15A0">
        <w:rPr>
          <w:b/>
          <w:bCs/>
          <w:sz w:val="20"/>
          <w:szCs w:val="18"/>
        </w:rPr>
        <w:t>W</w:t>
      </w:r>
      <w:r>
        <w:rPr>
          <w:b/>
          <w:bCs/>
          <w:sz w:val="20"/>
          <w:szCs w:val="18"/>
        </w:rPr>
        <w:t>I</w:t>
      </w:r>
      <w:r w:rsidRPr="00FB15A0">
        <w:rPr>
          <w:b/>
          <w:bCs/>
          <w:sz w:val="20"/>
          <w:szCs w:val="18"/>
        </w:rPr>
        <w:t>NNER</w:t>
      </w:r>
      <w:r w:rsidRPr="00FB15A0">
        <w:rPr>
          <w:sz w:val="20"/>
          <w:szCs w:val="18"/>
        </w:rPr>
        <w:t xml:space="preserve">, Ellen P., </w:t>
      </w:r>
      <w:r w:rsidRPr="00FB15A0">
        <w:rPr>
          <w:i/>
          <w:iCs/>
          <w:sz w:val="20"/>
          <w:szCs w:val="18"/>
        </w:rPr>
        <w:t>‘</w:t>
      </w:r>
      <w:proofErr w:type="spellStart"/>
      <w:r w:rsidRPr="00FB15A0">
        <w:rPr>
          <w:i/>
          <w:iCs/>
          <w:sz w:val="20"/>
          <w:szCs w:val="18"/>
        </w:rPr>
        <w:t>Trademark</w:t>
      </w:r>
      <w:proofErr w:type="spellEnd"/>
      <w:r w:rsidRPr="00FB15A0">
        <w:rPr>
          <w:i/>
          <w:iCs/>
          <w:sz w:val="20"/>
          <w:szCs w:val="18"/>
        </w:rPr>
        <w:t xml:space="preserve"> </w:t>
      </w:r>
      <w:proofErr w:type="spellStart"/>
      <w:r w:rsidRPr="00FB15A0">
        <w:rPr>
          <w:i/>
          <w:iCs/>
          <w:sz w:val="20"/>
          <w:szCs w:val="18"/>
        </w:rPr>
        <w:t>Registration</w:t>
      </w:r>
      <w:proofErr w:type="spellEnd"/>
      <w:r w:rsidRPr="00FB15A0">
        <w:rPr>
          <w:i/>
          <w:iCs/>
          <w:sz w:val="20"/>
          <w:szCs w:val="18"/>
        </w:rPr>
        <w:t xml:space="preserve"> – </w:t>
      </w:r>
      <w:proofErr w:type="spellStart"/>
      <w:r w:rsidRPr="00FB15A0">
        <w:rPr>
          <w:i/>
          <w:iCs/>
          <w:sz w:val="20"/>
          <w:szCs w:val="18"/>
        </w:rPr>
        <w:t>What’s</w:t>
      </w:r>
      <w:proofErr w:type="spellEnd"/>
      <w:r w:rsidRPr="00FB15A0">
        <w:rPr>
          <w:i/>
          <w:iCs/>
          <w:sz w:val="20"/>
          <w:szCs w:val="18"/>
        </w:rPr>
        <w:t xml:space="preserve"> </w:t>
      </w:r>
      <w:proofErr w:type="spellStart"/>
      <w:r w:rsidRPr="00FB15A0">
        <w:rPr>
          <w:i/>
          <w:iCs/>
          <w:sz w:val="20"/>
          <w:szCs w:val="18"/>
        </w:rPr>
        <w:t>the</w:t>
      </w:r>
      <w:proofErr w:type="spellEnd"/>
      <w:r w:rsidRPr="00FB15A0">
        <w:rPr>
          <w:i/>
          <w:iCs/>
          <w:sz w:val="20"/>
          <w:szCs w:val="18"/>
        </w:rPr>
        <w:t xml:space="preserve"> </w:t>
      </w:r>
      <w:proofErr w:type="spellStart"/>
      <w:r w:rsidRPr="00FB15A0">
        <w:rPr>
          <w:i/>
          <w:iCs/>
          <w:sz w:val="20"/>
          <w:szCs w:val="18"/>
        </w:rPr>
        <w:t>Use</w:t>
      </w:r>
      <w:proofErr w:type="spellEnd"/>
      <w:r w:rsidRPr="00FB15A0">
        <w:rPr>
          <w:i/>
          <w:iCs/>
          <w:sz w:val="20"/>
          <w:szCs w:val="18"/>
        </w:rPr>
        <w:t>’</w:t>
      </w:r>
      <w:r w:rsidRPr="00FB15A0">
        <w:rPr>
          <w:sz w:val="20"/>
          <w:szCs w:val="18"/>
        </w:rPr>
        <w:t xml:space="preserve">, IDEA: </w:t>
      </w:r>
      <w:proofErr w:type="spellStart"/>
      <w:r w:rsidRPr="00FB15A0">
        <w:rPr>
          <w:sz w:val="20"/>
          <w:szCs w:val="18"/>
        </w:rPr>
        <w:t>The</w:t>
      </w:r>
      <w:proofErr w:type="spellEnd"/>
      <w:r w:rsidRPr="00FB15A0">
        <w:rPr>
          <w:sz w:val="20"/>
          <w:szCs w:val="18"/>
        </w:rPr>
        <w:t xml:space="preserve"> </w:t>
      </w:r>
      <w:proofErr w:type="spellStart"/>
      <w:r w:rsidRPr="00FB15A0">
        <w:rPr>
          <w:sz w:val="20"/>
          <w:szCs w:val="18"/>
        </w:rPr>
        <w:t>Journal</w:t>
      </w:r>
      <w:proofErr w:type="spellEnd"/>
      <w:r w:rsidRPr="00FB15A0">
        <w:rPr>
          <w:sz w:val="20"/>
          <w:szCs w:val="18"/>
        </w:rPr>
        <w:t xml:space="preserve"> of </w:t>
      </w:r>
      <w:proofErr w:type="spellStart"/>
      <w:r w:rsidRPr="00FB15A0">
        <w:rPr>
          <w:sz w:val="20"/>
          <w:szCs w:val="18"/>
        </w:rPr>
        <w:t>Law</w:t>
      </w:r>
      <w:proofErr w:type="spellEnd"/>
      <w:r w:rsidRPr="00FB15A0">
        <w:rPr>
          <w:sz w:val="20"/>
          <w:szCs w:val="18"/>
        </w:rPr>
        <w:t xml:space="preserve"> </w:t>
      </w:r>
      <w:proofErr w:type="spellStart"/>
      <w:r w:rsidRPr="00FB15A0">
        <w:rPr>
          <w:sz w:val="20"/>
          <w:szCs w:val="18"/>
        </w:rPr>
        <w:t>and</w:t>
      </w:r>
      <w:proofErr w:type="spellEnd"/>
      <w:r w:rsidRPr="00FB15A0">
        <w:rPr>
          <w:sz w:val="20"/>
          <w:szCs w:val="18"/>
        </w:rPr>
        <w:t xml:space="preserve"> </w:t>
      </w:r>
      <w:proofErr w:type="spellStart"/>
      <w:r w:rsidRPr="00FB15A0">
        <w:rPr>
          <w:sz w:val="20"/>
          <w:szCs w:val="18"/>
        </w:rPr>
        <w:t>Technology</w:t>
      </w:r>
      <w:proofErr w:type="spellEnd"/>
      <w:r w:rsidRPr="00FB15A0">
        <w:rPr>
          <w:sz w:val="20"/>
          <w:szCs w:val="18"/>
        </w:rPr>
        <w:t xml:space="preserve">, </w:t>
      </w:r>
      <w:proofErr w:type="spellStart"/>
      <w:r w:rsidRPr="00FB15A0">
        <w:rPr>
          <w:sz w:val="20"/>
          <w:szCs w:val="18"/>
        </w:rPr>
        <w:t>Vol</w:t>
      </w:r>
      <w:proofErr w:type="spellEnd"/>
      <w:r w:rsidRPr="00FB15A0">
        <w:rPr>
          <w:sz w:val="20"/>
          <w:szCs w:val="18"/>
        </w:rPr>
        <w:t>. 23, No. 2, s. 49-68.</w:t>
      </w:r>
    </w:p>
    <w:p w14:paraId="503DD0C8" w14:textId="613AFCE4" w:rsidR="008836FB" w:rsidRPr="008836FB" w:rsidRDefault="008836FB" w:rsidP="004944AC">
      <w:pPr>
        <w:rPr>
          <w:sz w:val="16"/>
          <w:szCs w:val="14"/>
        </w:rPr>
      </w:pPr>
      <w:r w:rsidRPr="008836FB">
        <w:rPr>
          <w:b/>
          <w:bCs/>
          <w:sz w:val="20"/>
          <w:szCs w:val="18"/>
        </w:rPr>
        <w:t>YASAMAN</w:t>
      </w:r>
      <w:r w:rsidRPr="008836FB">
        <w:rPr>
          <w:sz w:val="20"/>
          <w:szCs w:val="18"/>
        </w:rPr>
        <w:t xml:space="preserve">, Hamdi/ </w:t>
      </w:r>
      <w:r w:rsidRPr="008836FB">
        <w:rPr>
          <w:b/>
          <w:bCs/>
          <w:sz w:val="20"/>
          <w:szCs w:val="18"/>
        </w:rPr>
        <w:t>ALTAY</w:t>
      </w:r>
      <w:r w:rsidRPr="008836FB">
        <w:rPr>
          <w:sz w:val="20"/>
          <w:szCs w:val="18"/>
        </w:rPr>
        <w:t xml:space="preserve">, Sıtkı Anlam/ </w:t>
      </w:r>
      <w:r w:rsidRPr="008836FB">
        <w:rPr>
          <w:b/>
          <w:bCs/>
          <w:sz w:val="20"/>
          <w:szCs w:val="18"/>
        </w:rPr>
        <w:t>AYOĞLU</w:t>
      </w:r>
      <w:r w:rsidRPr="008836FB">
        <w:rPr>
          <w:sz w:val="20"/>
          <w:szCs w:val="18"/>
        </w:rPr>
        <w:t>, Tolga</w:t>
      </w:r>
      <w:r w:rsidR="00745892">
        <w:rPr>
          <w:sz w:val="20"/>
          <w:szCs w:val="18"/>
        </w:rPr>
        <w:t xml:space="preserve">/ </w:t>
      </w:r>
      <w:r w:rsidR="00745892">
        <w:rPr>
          <w:b/>
          <w:bCs/>
          <w:sz w:val="20"/>
          <w:szCs w:val="18"/>
        </w:rPr>
        <w:t>YUSUFOĞLU</w:t>
      </w:r>
      <w:r w:rsidR="00745892">
        <w:rPr>
          <w:sz w:val="20"/>
          <w:szCs w:val="18"/>
        </w:rPr>
        <w:t xml:space="preserve">, </w:t>
      </w:r>
      <w:proofErr w:type="spellStart"/>
      <w:r w:rsidR="00745892">
        <w:rPr>
          <w:sz w:val="20"/>
          <w:szCs w:val="18"/>
        </w:rPr>
        <w:t>Fülürya</w:t>
      </w:r>
      <w:proofErr w:type="spellEnd"/>
      <w:r w:rsidR="00745892">
        <w:rPr>
          <w:sz w:val="20"/>
          <w:szCs w:val="18"/>
        </w:rPr>
        <w:t xml:space="preserve">/ </w:t>
      </w:r>
      <w:r w:rsidR="00745892">
        <w:rPr>
          <w:b/>
          <w:bCs/>
          <w:sz w:val="20"/>
          <w:szCs w:val="18"/>
        </w:rPr>
        <w:t>YÜKSEL</w:t>
      </w:r>
      <w:r w:rsidR="00745892">
        <w:rPr>
          <w:sz w:val="20"/>
          <w:szCs w:val="18"/>
        </w:rPr>
        <w:t>, Sinan,</w:t>
      </w:r>
      <w:r w:rsidRPr="008836FB">
        <w:rPr>
          <w:sz w:val="20"/>
          <w:szCs w:val="18"/>
        </w:rPr>
        <w:t xml:space="preserve"> </w:t>
      </w:r>
      <w:r w:rsidRPr="008836FB">
        <w:rPr>
          <w:i/>
          <w:iCs/>
          <w:sz w:val="20"/>
          <w:szCs w:val="18"/>
        </w:rPr>
        <w:t>Marka Hukuku: 556 Sayılı KHK Şerhi</w:t>
      </w:r>
      <w:r w:rsidRPr="008836FB">
        <w:rPr>
          <w:sz w:val="20"/>
          <w:szCs w:val="18"/>
        </w:rPr>
        <w:t xml:space="preserve">, </w:t>
      </w:r>
      <w:r w:rsidR="00745892">
        <w:rPr>
          <w:sz w:val="20"/>
          <w:szCs w:val="18"/>
        </w:rPr>
        <w:t>C. I</w:t>
      </w:r>
      <w:r w:rsidRPr="008836FB">
        <w:rPr>
          <w:sz w:val="20"/>
          <w:szCs w:val="18"/>
        </w:rPr>
        <w:t>, Vedat Kitapçılık, İstanbul, 2004.</w:t>
      </w:r>
    </w:p>
    <w:p w14:paraId="3957BCBD" w14:textId="2A39A4A9" w:rsidR="009011B5" w:rsidRDefault="00585B23" w:rsidP="009011B5">
      <w:pPr>
        <w:ind w:left="0" w:firstLine="0"/>
        <w:rPr>
          <w:sz w:val="20"/>
          <w:szCs w:val="18"/>
        </w:rPr>
      </w:pPr>
      <w:r w:rsidRPr="00585B23">
        <w:rPr>
          <w:sz w:val="20"/>
          <w:szCs w:val="18"/>
        </w:rPr>
        <w:t>www.curia.europa.eu</w:t>
      </w:r>
      <w:r w:rsidR="009011B5" w:rsidRPr="009011B5">
        <w:rPr>
          <w:sz w:val="20"/>
          <w:szCs w:val="18"/>
        </w:rPr>
        <w:t xml:space="preserve"> </w:t>
      </w:r>
    </w:p>
    <w:p w14:paraId="525F280A" w14:textId="323780A5" w:rsidR="00585B23" w:rsidRPr="009011B5" w:rsidRDefault="00585B23" w:rsidP="009011B5">
      <w:pPr>
        <w:ind w:left="0" w:firstLine="0"/>
        <w:rPr>
          <w:sz w:val="20"/>
          <w:szCs w:val="18"/>
        </w:rPr>
      </w:pPr>
      <w:r w:rsidRPr="00585B23">
        <w:rPr>
          <w:sz w:val="20"/>
          <w:szCs w:val="18"/>
        </w:rPr>
        <w:t>www.kazanci.com</w:t>
      </w:r>
      <w:r>
        <w:rPr>
          <w:sz w:val="20"/>
          <w:szCs w:val="18"/>
        </w:rPr>
        <w:t xml:space="preserve"> (“</w:t>
      </w:r>
      <w:r w:rsidRPr="00832C07">
        <w:rPr>
          <w:i/>
          <w:iCs/>
          <w:sz w:val="20"/>
          <w:szCs w:val="18"/>
        </w:rPr>
        <w:t>Kazancı İçtihat Bilgi Bankası</w:t>
      </w:r>
      <w:r>
        <w:rPr>
          <w:sz w:val="20"/>
          <w:szCs w:val="18"/>
        </w:rPr>
        <w:t>”)</w:t>
      </w:r>
    </w:p>
    <w:p w14:paraId="6388CC17" w14:textId="0A576CD5" w:rsidR="00D16EAF" w:rsidRDefault="00CD30A7" w:rsidP="00844D3C">
      <w:pPr>
        <w:ind w:left="0" w:firstLine="0"/>
        <w:rPr>
          <w:sz w:val="20"/>
          <w:szCs w:val="18"/>
        </w:rPr>
      </w:pPr>
      <w:r w:rsidRPr="00CD30A7">
        <w:rPr>
          <w:sz w:val="20"/>
          <w:szCs w:val="18"/>
        </w:rPr>
        <w:t>www.ssrn.com</w:t>
      </w:r>
    </w:p>
    <w:p w14:paraId="323407B4" w14:textId="5E0FB1E9" w:rsidR="00CD30A7" w:rsidRDefault="00CD30A7" w:rsidP="00844D3C">
      <w:pPr>
        <w:ind w:left="0" w:firstLine="0"/>
        <w:rPr>
          <w:sz w:val="20"/>
          <w:szCs w:val="18"/>
        </w:rPr>
      </w:pPr>
    </w:p>
    <w:p w14:paraId="1B29190E" w14:textId="12B2E6A9" w:rsidR="00CD30A7" w:rsidRDefault="00CD30A7" w:rsidP="00844D3C">
      <w:pPr>
        <w:ind w:left="0" w:firstLine="0"/>
        <w:rPr>
          <w:sz w:val="20"/>
          <w:szCs w:val="18"/>
        </w:rPr>
      </w:pPr>
    </w:p>
    <w:p w14:paraId="74479A30" w14:textId="5A82803D" w:rsidR="00CD30A7" w:rsidRDefault="00CD30A7" w:rsidP="00844D3C">
      <w:pPr>
        <w:ind w:left="0" w:firstLine="0"/>
        <w:rPr>
          <w:sz w:val="20"/>
          <w:szCs w:val="18"/>
        </w:rPr>
      </w:pPr>
    </w:p>
    <w:p w14:paraId="5B7E7A67" w14:textId="1E2A9DE2" w:rsidR="00CD30A7" w:rsidRDefault="00CD30A7" w:rsidP="00844D3C">
      <w:pPr>
        <w:ind w:left="0" w:firstLine="0"/>
        <w:rPr>
          <w:sz w:val="20"/>
          <w:szCs w:val="18"/>
        </w:rPr>
      </w:pPr>
    </w:p>
    <w:p w14:paraId="63F7A01F" w14:textId="2DC6A7DE" w:rsidR="00CD30A7" w:rsidRDefault="00CD30A7" w:rsidP="00844D3C">
      <w:pPr>
        <w:ind w:left="0" w:firstLine="0"/>
        <w:rPr>
          <w:sz w:val="20"/>
          <w:szCs w:val="18"/>
        </w:rPr>
      </w:pPr>
    </w:p>
    <w:p w14:paraId="3922CAFD" w14:textId="06D20F80" w:rsidR="00CD30A7" w:rsidRDefault="00CD30A7" w:rsidP="00844D3C">
      <w:pPr>
        <w:ind w:left="0" w:firstLine="0"/>
        <w:rPr>
          <w:sz w:val="20"/>
          <w:szCs w:val="18"/>
        </w:rPr>
      </w:pPr>
    </w:p>
    <w:p w14:paraId="43A94ED5" w14:textId="51421719" w:rsidR="00CD30A7" w:rsidRDefault="00CD30A7" w:rsidP="00844D3C">
      <w:pPr>
        <w:ind w:left="0" w:firstLine="0"/>
        <w:rPr>
          <w:sz w:val="20"/>
          <w:szCs w:val="18"/>
        </w:rPr>
      </w:pPr>
    </w:p>
    <w:p w14:paraId="6F7CEC20" w14:textId="267B83DC" w:rsidR="00CD30A7" w:rsidRDefault="00CD30A7" w:rsidP="00844D3C">
      <w:pPr>
        <w:ind w:left="0" w:firstLine="0"/>
        <w:rPr>
          <w:sz w:val="20"/>
          <w:szCs w:val="18"/>
        </w:rPr>
      </w:pPr>
    </w:p>
    <w:p w14:paraId="6B7E48B0" w14:textId="66B789DC" w:rsidR="00CD30A7" w:rsidRDefault="00CD30A7" w:rsidP="00844D3C">
      <w:pPr>
        <w:ind w:left="0" w:firstLine="0"/>
        <w:rPr>
          <w:sz w:val="20"/>
          <w:szCs w:val="18"/>
        </w:rPr>
      </w:pPr>
    </w:p>
    <w:p w14:paraId="2A30BBED" w14:textId="2AA6485E" w:rsidR="00CD30A7" w:rsidRDefault="00CD30A7" w:rsidP="00844D3C">
      <w:pPr>
        <w:ind w:left="0" w:firstLine="0"/>
        <w:rPr>
          <w:sz w:val="20"/>
          <w:szCs w:val="18"/>
        </w:rPr>
      </w:pPr>
    </w:p>
    <w:p w14:paraId="48330CBF" w14:textId="697CE9FB" w:rsidR="00CD30A7" w:rsidRDefault="00CD30A7" w:rsidP="00844D3C">
      <w:pPr>
        <w:ind w:left="0" w:firstLine="0"/>
        <w:rPr>
          <w:sz w:val="20"/>
          <w:szCs w:val="18"/>
        </w:rPr>
      </w:pPr>
    </w:p>
    <w:p w14:paraId="78291FEA" w14:textId="5CBA5D20" w:rsidR="00CD30A7" w:rsidRDefault="00CD30A7" w:rsidP="00844D3C">
      <w:pPr>
        <w:ind w:left="0" w:firstLine="0"/>
        <w:rPr>
          <w:sz w:val="20"/>
          <w:szCs w:val="18"/>
        </w:rPr>
      </w:pPr>
    </w:p>
    <w:p w14:paraId="74937E0C" w14:textId="59578200" w:rsidR="00CD30A7" w:rsidRDefault="00CD30A7" w:rsidP="00844D3C">
      <w:pPr>
        <w:ind w:left="0" w:firstLine="0"/>
        <w:rPr>
          <w:sz w:val="20"/>
          <w:szCs w:val="18"/>
        </w:rPr>
      </w:pPr>
    </w:p>
    <w:p w14:paraId="0D232CB8" w14:textId="197745D8" w:rsidR="00CD30A7" w:rsidRDefault="00CD30A7" w:rsidP="00844D3C">
      <w:pPr>
        <w:ind w:left="0" w:firstLine="0"/>
        <w:rPr>
          <w:sz w:val="20"/>
          <w:szCs w:val="18"/>
        </w:rPr>
      </w:pPr>
    </w:p>
    <w:p w14:paraId="0FBF2F63" w14:textId="34899A1E" w:rsidR="00CD30A7" w:rsidRDefault="00CD30A7" w:rsidP="00844D3C">
      <w:pPr>
        <w:ind w:left="0" w:firstLine="0"/>
        <w:rPr>
          <w:sz w:val="20"/>
          <w:szCs w:val="18"/>
        </w:rPr>
      </w:pPr>
    </w:p>
    <w:p w14:paraId="1DEA50BC" w14:textId="4127FBFC" w:rsidR="00CD30A7" w:rsidRDefault="00CD30A7" w:rsidP="00844D3C">
      <w:pPr>
        <w:ind w:left="0" w:firstLine="0"/>
        <w:rPr>
          <w:sz w:val="20"/>
          <w:szCs w:val="18"/>
        </w:rPr>
      </w:pPr>
    </w:p>
    <w:p w14:paraId="35FADB86" w14:textId="73C46983" w:rsidR="00CD30A7" w:rsidRDefault="00CD30A7" w:rsidP="00844D3C">
      <w:pPr>
        <w:ind w:left="0" w:firstLine="0"/>
        <w:rPr>
          <w:sz w:val="20"/>
          <w:szCs w:val="18"/>
        </w:rPr>
      </w:pPr>
    </w:p>
    <w:p w14:paraId="5110AB84" w14:textId="0790DA92" w:rsidR="00CD30A7" w:rsidRDefault="00CD30A7" w:rsidP="00844D3C">
      <w:pPr>
        <w:ind w:left="0" w:firstLine="0"/>
        <w:rPr>
          <w:sz w:val="20"/>
          <w:szCs w:val="18"/>
        </w:rPr>
      </w:pPr>
    </w:p>
    <w:p w14:paraId="5B1DD0EE" w14:textId="21E515A7" w:rsidR="00CD30A7" w:rsidRDefault="00CD30A7" w:rsidP="00844D3C">
      <w:pPr>
        <w:ind w:left="0" w:firstLine="0"/>
        <w:rPr>
          <w:sz w:val="20"/>
          <w:szCs w:val="18"/>
        </w:rPr>
      </w:pPr>
    </w:p>
    <w:p w14:paraId="12AEB10A" w14:textId="77777777" w:rsidR="0094695E" w:rsidRPr="0094695E" w:rsidRDefault="0094695E" w:rsidP="00DC0C0D">
      <w:pPr>
        <w:ind w:left="0" w:firstLine="0"/>
      </w:pPr>
    </w:p>
    <w:sectPr w:rsidR="0094695E" w:rsidRPr="0094695E">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26470" w14:textId="77777777" w:rsidR="00AE38FD" w:rsidRDefault="00AE38FD" w:rsidP="00E7435A">
      <w:pPr>
        <w:spacing w:after="0" w:line="240" w:lineRule="auto"/>
      </w:pPr>
      <w:r>
        <w:separator/>
      </w:r>
    </w:p>
  </w:endnote>
  <w:endnote w:type="continuationSeparator" w:id="0">
    <w:p w14:paraId="3512E644" w14:textId="77777777" w:rsidR="00AE38FD" w:rsidRDefault="00AE38FD" w:rsidP="00E7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840242"/>
      <w:docPartObj>
        <w:docPartGallery w:val="Page Numbers (Bottom of Page)"/>
        <w:docPartUnique/>
      </w:docPartObj>
    </w:sdtPr>
    <w:sdtEndPr/>
    <w:sdtContent>
      <w:p w14:paraId="0AF3C3CB" w14:textId="6D58BE84" w:rsidR="00B064BF" w:rsidRDefault="00B064BF">
        <w:pPr>
          <w:pStyle w:val="AltBilgi"/>
          <w:jc w:val="right"/>
        </w:pPr>
        <w:r>
          <w:fldChar w:fldCharType="begin"/>
        </w:r>
        <w:r>
          <w:instrText>PAGE   \* MERGEFORMAT</w:instrText>
        </w:r>
        <w:r>
          <w:fldChar w:fldCharType="separate"/>
        </w:r>
        <w:r>
          <w:t>2</w:t>
        </w:r>
        <w:r>
          <w:fldChar w:fldCharType="end"/>
        </w:r>
      </w:p>
    </w:sdtContent>
  </w:sdt>
  <w:p w14:paraId="11880E95" w14:textId="77777777" w:rsidR="00B064BF" w:rsidRDefault="00B064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6FE65" w14:textId="77777777" w:rsidR="00AE38FD" w:rsidRDefault="00AE38FD" w:rsidP="00E7435A">
      <w:pPr>
        <w:spacing w:after="0" w:line="240" w:lineRule="auto"/>
      </w:pPr>
      <w:r>
        <w:separator/>
      </w:r>
    </w:p>
  </w:footnote>
  <w:footnote w:type="continuationSeparator" w:id="0">
    <w:p w14:paraId="7297AB5B" w14:textId="77777777" w:rsidR="00AE38FD" w:rsidRDefault="00AE38FD" w:rsidP="00E7435A">
      <w:pPr>
        <w:spacing w:after="0" w:line="240" w:lineRule="auto"/>
      </w:pPr>
      <w:r>
        <w:continuationSeparator/>
      </w:r>
    </w:p>
  </w:footnote>
  <w:footnote w:id="1">
    <w:p w14:paraId="15D0A107" w14:textId="278268D9" w:rsidR="00DC0C0D" w:rsidRDefault="00DC0C0D">
      <w:pPr>
        <w:pStyle w:val="DipnotMetni"/>
      </w:pPr>
      <w:r>
        <w:rPr>
          <w:rStyle w:val="DipnotBavurusu"/>
        </w:rPr>
        <w:footnoteRef/>
      </w:r>
      <w:r>
        <w:t xml:space="preserve"> İstanbul Üniversitesi, Hukuk Fakültesi, Ticaret Hukuku Anabilim Dalı, Araştırma Görevlisi</w:t>
      </w:r>
    </w:p>
    <w:p w14:paraId="50FD1B22" w14:textId="0C3ED587" w:rsidR="00DC0C0D" w:rsidRDefault="00DC0C0D">
      <w:pPr>
        <w:pStyle w:val="DipnotMetni"/>
      </w:pPr>
      <w:r>
        <w:t xml:space="preserve">E-posta: </w:t>
      </w:r>
      <w:hyperlink r:id="rId1" w:history="1">
        <w:r w:rsidRPr="00DA6C5D">
          <w:rPr>
            <w:rStyle w:val="Kpr"/>
          </w:rPr>
          <w:t>ma.kocak25@gmail.com</w:t>
        </w:r>
      </w:hyperlink>
    </w:p>
    <w:p w14:paraId="2A2382AC" w14:textId="0C82FB5C" w:rsidR="00DC0C0D" w:rsidRDefault="00DC0C0D">
      <w:pPr>
        <w:pStyle w:val="DipnotMetni"/>
      </w:pPr>
      <w:proofErr w:type="spellStart"/>
      <w:r>
        <w:t>Orcid</w:t>
      </w:r>
      <w:proofErr w:type="spellEnd"/>
      <w:r>
        <w:t xml:space="preserve"> ID: </w:t>
      </w:r>
      <w:hyperlink r:id="rId2" w:history="1">
        <w:r w:rsidRPr="00DA6C5D">
          <w:rPr>
            <w:rStyle w:val="Kpr"/>
          </w:rPr>
          <w:t>https://orcid.org/0000-0001-6570-0014</w:t>
        </w:r>
      </w:hyperlink>
    </w:p>
    <w:p w14:paraId="1B04C784" w14:textId="2E51CEF8" w:rsidR="00DC0C0D" w:rsidRDefault="00DC0C0D">
      <w:pPr>
        <w:pStyle w:val="DipnotMetni"/>
      </w:pPr>
      <w:r>
        <w:t>Makale Gönderim Tarihi: 10.06.2020</w:t>
      </w:r>
    </w:p>
    <w:p w14:paraId="137DBBE4" w14:textId="71F80BBA" w:rsidR="00DC0C0D" w:rsidRDefault="00DC0C0D">
      <w:pPr>
        <w:pStyle w:val="DipnotMetni"/>
      </w:pPr>
      <w:r>
        <w:t>Makale Kabul Tarihi: 30.10.2020</w:t>
      </w:r>
    </w:p>
  </w:footnote>
  <w:footnote w:id="2">
    <w:p w14:paraId="29B94A02" w14:textId="1DBA4939" w:rsidR="00B064BF" w:rsidRDefault="00B064BF">
      <w:pPr>
        <w:pStyle w:val="DipnotMetni"/>
      </w:pPr>
      <w:r>
        <w:rPr>
          <w:rStyle w:val="DipnotBavurusu"/>
        </w:rPr>
        <w:footnoteRef/>
      </w:r>
      <w:r>
        <w:t xml:space="preserve"> </w:t>
      </w:r>
      <w:r>
        <w:tab/>
        <w:t xml:space="preserve">RG, T. </w:t>
      </w:r>
      <w:r>
        <w:t>10.01.2017, S. 29944. Bundan böyle “SMK” olarak anılacaktır.</w:t>
      </w:r>
    </w:p>
  </w:footnote>
  <w:footnote w:id="3">
    <w:p w14:paraId="7D3B5385" w14:textId="2A529433" w:rsidR="00B064BF" w:rsidRPr="00A50118" w:rsidRDefault="00B064BF" w:rsidP="00D074D1">
      <w:pPr>
        <w:pStyle w:val="DipnotMetni"/>
      </w:pPr>
      <w:r>
        <w:rPr>
          <w:rStyle w:val="DipnotBavurusu"/>
        </w:rPr>
        <w:footnoteRef/>
      </w:r>
      <w:r>
        <w:t xml:space="preserve"> </w:t>
      </w:r>
      <w:r>
        <w:tab/>
        <w:t xml:space="preserve">Tescile dayalı kullanım savunması hakkında bkz. Cahit Suluk, </w:t>
      </w:r>
      <w:r w:rsidRPr="00A50118">
        <w:rPr>
          <w:i/>
          <w:iCs/>
        </w:rPr>
        <w:t>‘Sınai Mülkiyet Hukukunda Tescil ‘Güvenli Liman’ mıdır?’</w:t>
      </w:r>
      <w:r>
        <w:t xml:space="preserve">, Fikri Mülkiyet Hukuku Yıllığı 2013, ed. Tekin </w:t>
      </w:r>
      <w:proofErr w:type="spellStart"/>
      <w:r>
        <w:t>Memiş</w:t>
      </w:r>
      <w:proofErr w:type="spellEnd"/>
      <w:r>
        <w:t xml:space="preserve">, Yetkin Yayınları, İstanbul, 2015, s. 404-430; Türkay Alıca, </w:t>
      </w:r>
      <w:r w:rsidRPr="00E82CBF">
        <w:rPr>
          <w:i/>
          <w:iCs/>
        </w:rPr>
        <w:t>‘6769 sayılı Sınai Mülkiyet Kanunu’nda Önceki Tarihli Hakların Etkisi’</w:t>
      </w:r>
      <w:r>
        <w:t xml:space="preserve">, 6769 sayılı Sınai Mülkiyet Kanunu Sempozyumu 9-10 Mart 2017, ed. Feyzan Hayal Şehirali Çelik, Banka ve Ticaret Hukuku Araştırma Enstitüsü, Ankara, 2017, s. 673-736; Feyzan Hayal Şehirali Çelik, </w:t>
      </w:r>
      <w:r w:rsidRPr="00D074D1">
        <w:rPr>
          <w:i/>
          <w:iCs/>
        </w:rPr>
        <w:t>‘Tescilli Tasarım Sahibine Karşı Tecavüz Davası Açılabilir Mi? -Yeni Bir Karar, Yeni Bir Ufuk’</w:t>
      </w:r>
      <w:r>
        <w:t>, FMR, C. 12, S. 1, 2011, s. 39-69. Tescile dayalı kullanım savunmasına yönelik Yargıtay kararları için bkz. Suluk, s. 410 vd</w:t>
      </w:r>
      <w:r w:rsidR="00787DEC">
        <w:t>.</w:t>
      </w:r>
      <w:r>
        <w:t>; Alıca, s. 674, dn. 2.</w:t>
      </w:r>
    </w:p>
  </w:footnote>
  <w:footnote w:id="4">
    <w:p w14:paraId="23E16878" w14:textId="203362C6" w:rsidR="00B064BF" w:rsidRPr="009011B5" w:rsidRDefault="00B064BF">
      <w:pPr>
        <w:pStyle w:val="DipnotMetni"/>
      </w:pPr>
      <w:r>
        <w:rPr>
          <w:rStyle w:val="DipnotBavurusu"/>
        </w:rPr>
        <w:footnoteRef/>
      </w:r>
      <w:r>
        <w:t xml:space="preserve"> </w:t>
      </w:r>
      <w:r>
        <w:tab/>
        <w:t>Hükmün gerekçesi</w:t>
      </w:r>
      <w:r w:rsidR="000C64D3">
        <w:t xml:space="preserve"> </w:t>
      </w:r>
      <w:r>
        <w:t xml:space="preserve">bu hususu açıkça ortaya koymaktadır: </w:t>
      </w:r>
      <w:r w:rsidRPr="009011B5">
        <w:rPr>
          <w:i/>
          <w:iCs/>
        </w:rPr>
        <w:t>“Madde, sınai mülkiyet haklarına ilişkin yürürlükteki Kanun Hükmünde Kararnamelerden yalnız 551 sayılı Kanun Hükmünde Kararnamede bulunan bir maddedir. Doktrindeki görüşler ve yargı kararları ışığında, anılan düzenlemenin markalar ve tasarımlar için de uygulanması gerektiği sonucuna varılmıştır. Maddeyle, başkasının sınai mülkiyet hakkına tecavüz ettikleri tespit edilen kişilerin, o sınai mülkiyet hakkından daha sonraki bir tarihte kendi adlarına yapılan tescile dayanmalarının önü kapatılmıştır. Sonraki tarihli tescil, bir hukuka uygunluk nedeni olarak kabul edilmemiştir. Böylece aradaki kullanımların şartları gerçekleşmişse hakka tecavüz oluşturacağı ve her ne kadar davalı taraf adına tescil mevcut olsa da bu dönemdeki kullanım için de şartları varsa tazminat sorumluluğunun doğacağı kabul edilmiştir.”</w:t>
      </w:r>
      <w:r>
        <w:rPr>
          <w:i/>
          <w:iCs/>
        </w:rPr>
        <w:t xml:space="preserve"> </w:t>
      </w:r>
      <w:r>
        <w:t>(Ünal Tekinalp/ Ersin Çamoğlu</w:t>
      </w:r>
      <w:r w:rsidRPr="009011B5">
        <w:rPr>
          <w:i/>
          <w:iCs/>
        </w:rPr>
        <w:t>, Sınai Mülkiyet Kanunu</w:t>
      </w:r>
      <w:r>
        <w:t>, Vedat Kitapçılık, İstanbul, 2017, s. 240).</w:t>
      </w:r>
    </w:p>
  </w:footnote>
  <w:footnote w:id="5">
    <w:p w14:paraId="684445DA" w14:textId="2858B98C" w:rsidR="00B064BF" w:rsidRDefault="00B064BF">
      <w:pPr>
        <w:pStyle w:val="DipnotMetni"/>
      </w:pPr>
      <w:r>
        <w:rPr>
          <w:rStyle w:val="DipnotBavurusu"/>
        </w:rPr>
        <w:footnoteRef/>
      </w:r>
      <w:r>
        <w:t xml:space="preserve"> </w:t>
      </w:r>
      <w:r>
        <w:tab/>
      </w:r>
      <w:proofErr w:type="spellStart"/>
      <w:r w:rsidRPr="000D1145">
        <w:t>Eugène</w:t>
      </w:r>
      <w:proofErr w:type="spellEnd"/>
      <w:r>
        <w:t xml:space="preserve"> </w:t>
      </w:r>
      <w:proofErr w:type="spellStart"/>
      <w:r>
        <w:t>Pouillet</w:t>
      </w:r>
      <w:proofErr w:type="spellEnd"/>
      <w:r>
        <w:t xml:space="preserve">, </w:t>
      </w:r>
      <w:proofErr w:type="spellStart"/>
      <w:r w:rsidRPr="00861896">
        <w:rPr>
          <w:i/>
          <w:iCs/>
        </w:rPr>
        <w:t>Traité</w:t>
      </w:r>
      <w:proofErr w:type="spellEnd"/>
      <w:r w:rsidRPr="00861896">
        <w:rPr>
          <w:i/>
          <w:iCs/>
        </w:rPr>
        <w:t xml:space="preserve"> </w:t>
      </w:r>
      <w:proofErr w:type="spellStart"/>
      <w:r w:rsidRPr="00861896">
        <w:rPr>
          <w:i/>
          <w:iCs/>
        </w:rPr>
        <w:t>des</w:t>
      </w:r>
      <w:proofErr w:type="spellEnd"/>
      <w:r w:rsidRPr="00861896">
        <w:rPr>
          <w:i/>
          <w:iCs/>
        </w:rPr>
        <w:t xml:space="preserve"> </w:t>
      </w:r>
      <w:proofErr w:type="spellStart"/>
      <w:r w:rsidRPr="00861896">
        <w:rPr>
          <w:i/>
          <w:iCs/>
        </w:rPr>
        <w:t>Marques</w:t>
      </w:r>
      <w:proofErr w:type="spellEnd"/>
      <w:r w:rsidRPr="00861896">
        <w:rPr>
          <w:i/>
          <w:iCs/>
        </w:rPr>
        <w:t xml:space="preserve"> de </w:t>
      </w:r>
      <w:proofErr w:type="spellStart"/>
      <w:r w:rsidRPr="00861896">
        <w:rPr>
          <w:i/>
          <w:iCs/>
        </w:rPr>
        <w:t>Fabrique</w:t>
      </w:r>
      <w:proofErr w:type="spellEnd"/>
      <w:r w:rsidRPr="00861896">
        <w:rPr>
          <w:i/>
          <w:iCs/>
        </w:rPr>
        <w:t xml:space="preserve"> et da la </w:t>
      </w:r>
      <w:proofErr w:type="spellStart"/>
      <w:r w:rsidRPr="00861896">
        <w:rPr>
          <w:i/>
          <w:iCs/>
        </w:rPr>
        <w:t>Concurrence</w:t>
      </w:r>
      <w:proofErr w:type="spellEnd"/>
      <w:r w:rsidRPr="00861896">
        <w:rPr>
          <w:i/>
          <w:iCs/>
        </w:rPr>
        <w:t xml:space="preserve"> </w:t>
      </w:r>
      <w:proofErr w:type="spellStart"/>
      <w:r w:rsidRPr="00861896">
        <w:rPr>
          <w:i/>
          <w:iCs/>
        </w:rPr>
        <w:t>Déloyale</w:t>
      </w:r>
      <w:proofErr w:type="spellEnd"/>
      <w:r w:rsidRPr="00861896">
        <w:rPr>
          <w:i/>
          <w:iCs/>
        </w:rPr>
        <w:t xml:space="preserve"> en </w:t>
      </w:r>
      <w:proofErr w:type="spellStart"/>
      <w:r w:rsidRPr="00861896">
        <w:rPr>
          <w:i/>
          <w:iCs/>
        </w:rPr>
        <w:t>Tout</w:t>
      </w:r>
      <w:proofErr w:type="spellEnd"/>
      <w:r w:rsidRPr="00861896">
        <w:rPr>
          <w:i/>
          <w:iCs/>
        </w:rPr>
        <w:t xml:space="preserve"> </w:t>
      </w:r>
      <w:proofErr w:type="spellStart"/>
      <w:r w:rsidRPr="00861896">
        <w:rPr>
          <w:i/>
          <w:iCs/>
        </w:rPr>
        <w:t>Genres</w:t>
      </w:r>
      <w:proofErr w:type="spellEnd"/>
      <w:r>
        <w:t xml:space="preserve">, </w:t>
      </w:r>
      <w:proofErr w:type="spellStart"/>
      <w:r>
        <w:t>Imprimerie</w:t>
      </w:r>
      <w:proofErr w:type="spellEnd"/>
      <w:r>
        <w:t xml:space="preserve"> et </w:t>
      </w:r>
      <w:proofErr w:type="spellStart"/>
      <w:r>
        <w:t>Libraire</w:t>
      </w:r>
      <w:proofErr w:type="spellEnd"/>
      <w:r>
        <w:t xml:space="preserve"> </w:t>
      </w:r>
      <w:proofErr w:type="spellStart"/>
      <w:r>
        <w:t>Générale</w:t>
      </w:r>
      <w:proofErr w:type="spellEnd"/>
      <w:r>
        <w:t xml:space="preserve"> de </w:t>
      </w:r>
      <w:proofErr w:type="spellStart"/>
      <w:r>
        <w:t>Jurisprudence</w:t>
      </w:r>
      <w:proofErr w:type="spellEnd"/>
      <w:r>
        <w:t xml:space="preserve"> </w:t>
      </w:r>
      <w:proofErr w:type="spellStart"/>
      <w:r>
        <w:t>Marchal</w:t>
      </w:r>
      <w:proofErr w:type="spellEnd"/>
      <w:r>
        <w:t xml:space="preserve">, </w:t>
      </w:r>
      <w:proofErr w:type="spellStart"/>
      <w:r>
        <w:t>Billard</w:t>
      </w:r>
      <w:proofErr w:type="spellEnd"/>
      <w:r>
        <w:t xml:space="preserve"> et </w:t>
      </w:r>
      <w:proofErr w:type="spellStart"/>
      <w:r>
        <w:t>C</w:t>
      </w:r>
      <w:r>
        <w:rPr>
          <w:vertAlign w:val="superscript"/>
        </w:rPr>
        <w:t>ie</w:t>
      </w:r>
      <w:proofErr w:type="spellEnd"/>
      <w:r>
        <w:t xml:space="preserve">, </w:t>
      </w:r>
      <w:proofErr w:type="spellStart"/>
      <w:r>
        <w:t>Imprimeurs-Éditeurs</w:t>
      </w:r>
      <w:proofErr w:type="spellEnd"/>
      <w:r>
        <w:t>, Paris, 1875, s. 1</w:t>
      </w:r>
      <w:r w:rsidR="001554BF">
        <w:t>-2</w:t>
      </w:r>
      <w:r>
        <w:t xml:space="preserve">; </w:t>
      </w:r>
      <w:proofErr w:type="spellStart"/>
      <w:r>
        <w:t>Philippe</w:t>
      </w:r>
      <w:proofErr w:type="spellEnd"/>
      <w:r>
        <w:t xml:space="preserve"> </w:t>
      </w:r>
      <w:proofErr w:type="spellStart"/>
      <w:r>
        <w:t>Dunant</w:t>
      </w:r>
      <w:proofErr w:type="spellEnd"/>
      <w:r>
        <w:t xml:space="preserve">, </w:t>
      </w:r>
      <w:proofErr w:type="spellStart"/>
      <w:r w:rsidRPr="00861896">
        <w:rPr>
          <w:i/>
          <w:iCs/>
        </w:rPr>
        <w:t>Traité</w:t>
      </w:r>
      <w:proofErr w:type="spellEnd"/>
      <w:r w:rsidRPr="00861896">
        <w:rPr>
          <w:i/>
          <w:iCs/>
        </w:rPr>
        <w:t xml:space="preserve"> </w:t>
      </w:r>
      <w:proofErr w:type="spellStart"/>
      <w:r w:rsidRPr="00861896">
        <w:rPr>
          <w:i/>
          <w:iCs/>
        </w:rPr>
        <w:t>des</w:t>
      </w:r>
      <w:proofErr w:type="spellEnd"/>
      <w:r w:rsidRPr="00861896">
        <w:rPr>
          <w:i/>
          <w:iCs/>
        </w:rPr>
        <w:t xml:space="preserve"> </w:t>
      </w:r>
      <w:proofErr w:type="spellStart"/>
      <w:r w:rsidRPr="00861896">
        <w:rPr>
          <w:i/>
          <w:iCs/>
        </w:rPr>
        <w:t>Marques</w:t>
      </w:r>
      <w:proofErr w:type="spellEnd"/>
      <w:r w:rsidRPr="00861896">
        <w:rPr>
          <w:i/>
          <w:iCs/>
        </w:rPr>
        <w:t xml:space="preserve"> de </w:t>
      </w:r>
      <w:proofErr w:type="spellStart"/>
      <w:r w:rsidRPr="00861896">
        <w:rPr>
          <w:i/>
          <w:iCs/>
        </w:rPr>
        <w:t>Fabrique</w:t>
      </w:r>
      <w:proofErr w:type="spellEnd"/>
      <w:r w:rsidRPr="00861896">
        <w:rPr>
          <w:i/>
          <w:iCs/>
        </w:rPr>
        <w:t xml:space="preserve"> et de Commerce</w:t>
      </w:r>
      <w:r w:rsidRPr="00842025">
        <w:t>,</w:t>
      </w:r>
      <w:r>
        <w:t xml:space="preserve"> </w:t>
      </w:r>
      <w:proofErr w:type="spellStart"/>
      <w:r>
        <w:t>Ch</w:t>
      </w:r>
      <w:proofErr w:type="spellEnd"/>
      <w:r>
        <w:t xml:space="preserve">. </w:t>
      </w:r>
      <w:proofErr w:type="spellStart"/>
      <w:r>
        <w:t>Eggiman</w:t>
      </w:r>
      <w:proofErr w:type="spellEnd"/>
      <w:r>
        <w:t xml:space="preserve"> &amp; </w:t>
      </w:r>
      <w:proofErr w:type="spellStart"/>
      <w:r>
        <w:t>Cie</w:t>
      </w:r>
      <w:proofErr w:type="spellEnd"/>
      <w:r>
        <w:t xml:space="preserve"> </w:t>
      </w:r>
      <w:proofErr w:type="spellStart"/>
      <w:r>
        <w:t>Éditeurs</w:t>
      </w:r>
      <w:proofErr w:type="spellEnd"/>
      <w:r>
        <w:t>,</w:t>
      </w:r>
      <w:r w:rsidRPr="004E7F43">
        <w:t xml:space="preserve"> </w:t>
      </w:r>
      <w:r>
        <w:t xml:space="preserve">Cenevre, 1898, s. 1; Paul </w:t>
      </w:r>
      <w:proofErr w:type="spellStart"/>
      <w:r>
        <w:t>Reynoard</w:t>
      </w:r>
      <w:proofErr w:type="spellEnd"/>
      <w:r>
        <w:t>,</w:t>
      </w:r>
      <w:r w:rsidRPr="00121B89">
        <w:t xml:space="preserve"> </w:t>
      </w:r>
      <w:proofErr w:type="spellStart"/>
      <w:r w:rsidRPr="00861896">
        <w:rPr>
          <w:i/>
          <w:iCs/>
        </w:rPr>
        <w:t>Précis</w:t>
      </w:r>
      <w:proofErr w:type="spellEnd"/>
      <w:r w:rsidRPr="00861896">
        <w:rPr>
          <w:i/>
          <w:iCs/>
        </w:rPr>
        <w:t xml:space="preserve"> </w:t>
      </w:r>
      <w:proofErr w:type="spellStart"/>
      <w:r w:rsidRPr="00861896">
        <w:rPr>
          <w:i/>
          <w:iCs/>
        </w:rPr>
        <w:t>Théorique</w:t>
      </w:r>
      <w:proofErr w:type="spellEnd"/>
      <w:r w:rsidRPr="00861896">
        <w:rPr>
          <w:i/>
          <w:iCs/>
        </w:rPr>
        <w:t xml:space="preserve"> et </w:t>
      </w:r>
      <w:proofErr w:type="spellStart"/>
      <w:r w:rsidRPr="00861896">
        <w:rPr>
          <w:i/>
          <w:iCs/>
        </w:rPr>
        <w:t>Pratique</w:t>
      </w:r>
      <w:proofErr w:type="spellEnd"/>
      <w:r w:rsidRPr="00861896">
        <w:rPr>
          <w:i/>
          <w:iCs/>
        </w:rPr>
        <w:t xml:space="preserve"> </w:t>
      </w:r>
      <w:proofErr w:type="spellStart"/>
      <w:r w:rsidRPr="00861896">
        <w:rPr>
          <w:i/>
          <w:iCs/>
        </w:rPr>
        <w:t>des</w:t>
      </w:r>
      <w:proofErr w:type="spellEnd"/>
      <w:r w:rsidRPr="00861896">
        <w:rPr>
          <w:i/>
          <w:iCs/>
        </w:rPr>
        <w:t xml:space="preserve"> </w:t>
      </w:r>
      <w:proofErr w:type="spellStart"/>
      <w:r w:rsidRPr="00861896">
        <w:rPr>
          <w:i/>
          <w:iCs/>
        </w:rPr>
        <w:t>Marques</w:t>
      </w:r>
      <w:proofErr w:type="spellEnd"/>
      <w:r w:rsidRPr="00861896">
        <w:rPr>
          <w:i/>
          <w:iCs/>
        </w:rPr>
        <w:t xml:space="preserve"> de </w:t>
      </w:r>
      <w:proofErr w:type="spellStart"/>
      <w:r w:rsidRPr="00861896">
        <w:rPr>
          <w:i/>
          <w:iCs/>
        </w:rPr>
        <w:t>Fabrique</w:t>
      </w:r>
      <w:proofErr w:type="spellEnd"/>
      <w:r>
        <w:t xml:space="preserve">, </w:t>
      </w:r>
      <w:proofErr w:type="spellStart"/>
      <w:r>
        <w:t>Dunod</w:t>
      </w:r>
      <w:proofErr w:type="spellEnd"/>
      <w:r>
        <w:t xml:space="preserve">, Paris, 1939, s. 1; Haydar </w:t>
      </w:r>
      <w:r w:rsidRPr="00861896">
        <w:t>Arseven,</w:t>
      </w:r>
      <w:r>
        <w:t xml:space="preserve"> </w:t>
      </w:r>
      <w:r w:rsidRPr="00861896">
        <w:rPr>
          <w:bCs/>
          <w:i/>
          <w:iCs/>
        </w:rPr>
        <w:t>Nazari ve Tatbiki Alameti Farika Hukuku</w:t>
      </w:r>
      <w:r>
        <w:rPr>
          <w:bCs/>
        </w:rPr>
        <w:t xml:space="preserve">, İsmail Akgün Matbaası, İstanbul, 1951, s. 2; </w:t>
      </w:r>
      <w:proofErr w:type="spellStart"/>
      <w:r w:rsidRPr="009D5AF9">
        <w:t>Sidney</w:t>
      </w:r>
      <w:proofErr w:type="spellEnd"/>
      <w:r w:rsidRPr="0077423A">
        <w:t xml:space="preserve"> A.</w:t>
      </w:r>
      <w:r>
        <w:t xml:space="preserve"> </w:t>
      </w:r>
      <w:proofErr w:type="spellStart"/>
      <w:r w:rsidRPr="0077423A">
        <w:t>D</w:t>
      </w:r>
      <w:r>
        <w:t>i</w:t>
      </w:r>
      <w:r w:rsidRPr="0077423A">
        <w:t>amond</w:t>
      </w:r>
      <w:proofErr w:type="spellEnd"/>
      <w:r w:rsidRPr="0077423A">
        <w:t>,</w:t>
      </w:r>
      <w:r w:rsidRPr="007047CB">
        <w:t xml:space="preserve"> </w:t>
      </w:r>
      <w:r w:rsidRPr="00861896">
        <w:rPr>
          <w:i/>
          <w:iCs/>
        </w:rPr>
        <w:t>‘</w:t>
      </w:r>
      <w:proofErr w:type="spellStart"/>
      <w:r w:rsidRPr="00861896">
        <w:rPr>
          <w:i/>
          <w:iCs/>
        </w:rPr>
        <w:t>The</w:t>
      </w:r>
      <w:proofErr w:type="spellEnd"/>
      <w:r w:rsidRPr="00861896">
        <w:rPr>
          <w:i/>
          <w:iCs/>
        </w:rPr>
        <w:t xml:space="preserve"> </w:t>
      </w:r>
      <w:proofErr w:type="spellStart"/>
      <w:r w:rsidRPr="00861896">
        <w:rPr>
          <w:i/>
          <w:iCs/>
        </w:rPr>
        <w:t>Historical</w:t>
      </w:r>
      <w:proofErr w:type="spellEnd"/>
      <w:r w:rsidRPr="00861896">
        <w:rPr>
          <w:i/>
          <w:iCs/>
        </w:rPr>
        <w:t xml:space="preserve"> Development of </w:t>
      </w:r>
      <w:proofErr w:type="spellStart"/>
      <w:r w:rsidRPr="00861896">
        <w:rPr>
          <w:i/>
          <w:iCs/>
        </w:rPr>
        <w:t>Trademarks</w:t>
      </w:r>
      <w:proofErr w:type="spellEnd"/>
      <w:r w:rsidRPr="00861896">
        <w:rPr>
          <w:i/>
          <w:iCs/>
        </w:rPr>
        <w:t>’</w:t>
      </w:r>
      <w:r>
        <w:t>,</w:t>
      </w:r>
      <w:r w:rsidRPr="0077423A">
        <w:t xml:space="preserve"> </w:t>
      </w:r>
      <w:r w:rsidRPr="00861896">
        <w:t>TMR</w:t>
      </w:r>
      <w:r w:rsidRPr="0077423A">
        <w:t xml:space="preserve">, </w:t>
      </w:r>
      <w:proofErr w:type="spellStart"/>
      <w:r w:rsidRPr="0077423A">
        <w:t>Vol</w:t>
      </w:r>
      <w:proofErr w:type="spellEnd"/>
      <w:r w:rsidRPr="0077423A">
        <w:t xml:space="preserve">. </w:t>
      </w:r>
      <w:r w:rsidRPr="00E76ECA">
        <w:t>LXV</w:t>
      </w:r>
      <w:r w:rsidRPr="0077423A">
        <w:t xml:space="preserve">, </w:t>
      </w:r>
      <w:r>
        <w:t>No.</w:t>
      </w:r>
      <w:r w:rsidRPr="0077423A">
        <w:t xml:space="preserve"> 4, </w:t>
      </w:r>
      <w:r>
        <w:t>1975, s</w:t>
      </w:r>
      <w:r w:rsidRPr="0077423A">
        <w:t>. 26</w:t>
      </w:r>
      <w:r>
        <w:t xml:space="preserve">6; </w:t>
      </w:r>
      <w:proofErr w:type="spellStart"/>
      <w:r>
        <w:t>Sabih</w:t>
      </w:r>
      <w:proofErr w:type="spellEnd"/>
      <w:r>
        <w:t xml:space="preserve"> Arkan, </w:t>
      </w:r>
      <w:r w:rsidRPr="0048349A">
        <w:rPr>
          <w:i/>
          <w:iCs/>
        </w:rPr>
        <w:t>Marka Hukuku</w:t>
      </w:r>
      <w:r>
        <w:t xml:space="preserve">, </w:t>
      </w:r>
      <w:r w:rsidR="00745892">
        <w:t>C. I</w:t>
      </w:r>
      <w:r>
        <w:t>,</w:t>
      </w:r>
      <w:r w:rsidR="00745892">
        <w:t xml:space="preserve"> </w:t>
      </w:r>
      <w:r>
        <w:t xml:space="preserve">AÜHFY, Ankara, 1998, s. 1; </w:t>
      </w:r>
      <w:proofErr w:type="spellStart"/>
      <w:r>
        <w:t>Andrée</w:t>
      </w:r>
      <w:proofErr w:type="spellEnd"/>
      <w:r>
        <w:t xml:space="preserve"> </w:t>
      </w:r>
      <w:proofErr w:type="spellStart"/>
      <w:r>
        <w:t>Puttemans</w:t>
      </w:r>
      <w:proofErr w:type="spellEnd"/>
      <w:r>
        <w:t xml:space="preserve">, </w:t>
      </w:r>
      <w:proofErr w:type="spellStart"/>
      <w:r w:rsidRPr="0048349A">
        <w:rPr>
          <w:i/>
          <w:iCs/>
        </w:rPr>
        <w:t>Droits</w:t>
      </w:r>
      <w:proofErr w:type="spellEnd"/>
      <w:r w:rsidRPr="0048349A">
        <w:rPr>
          <w:i/>
          <w:iCs/>
        </w:rPr>
        <w:t xml:space="preserve"> </w:t>
      </w:r>
      <w:proofErr w:type="spellStart"/>
      <w:r w:rsidRPr="0048349A">
        <w:rPr>
          <w:i/>
          <w:iCs/>
        </w:rPr>
        <w:t>Intellectuels</w:t>
      </w:r>
      <w:proofErr w:type="spellEnd"/>
      <w:r w:rsidRPr="0048349A">
        <w:rPr>
          <w:i/>
          <w:iCs/>
        </w:rPr>
        <w:t xml:space="preserve"> et </w:t>
      </w:r>
      <w:proofErr w:type="spellStart"/>
      <w:r w:rsidRPr="0048349A">
        <w:rPr>
          <w:i/>
          <w:iCs/>
        </w:rPr>
        <w:t>Concurrence</w:t>
      </w:r>
      <w:proofErr w:type="spellEnd"/>
      <w:r w:rsidRPr="0048349A">
        <w:rPr>
          <w:i/>
          <w:iCs/>
        </w:rPr>
        <w:t xml:space="preserve"> </w:t>
      </w:r>
      <w:proofErr w:type="spellStart"/>
      <w:r w:rsidRPr="0048349A">
        <w:rPr>
          <w:i/>
          <w:iCs/>
        </w:rPr>
        <w:t>Déloyale</w:t>
      </w:r>
      <w:proofErr w:type="spellEnd"/>
      <w:r>
        <w:t xml:space="preserve">, </w:t>
      </w:r>
      <w:proofErr w:type="spellStart"/>
      <w:r>
        <w:t>Bruylant</w:t>
      </w:r>
      <w:proofErr w:type="spellEnd"/>
      <w:r>
        <w:t xml:space="preserve">, Brüksel, 2000, s. 76; </w:t>
      </w:r>
      <w:r w:rsidRPr="007047CB">
        <w:t>Arslan</w:t>
      </w:r>
      <w:r>
        <w:t xml:space="preserve"> </w:t>
      </w:r>
      <w:r w:rsidRPr="007047CB">
        <w:t xml:space="preserve">Kaya, </w:t>
      </w:r>
      <w:r w:rsidRPr="0048349A">
        <w:rPr>
          <w:i/>
          <w:iCs/>
        </w:rPr>
        <w:t>Marka Hukuku</w:t>
      </w:r>
      <w:r w:rsidRPr="007047CB">
        <w:t>, Arıkan Yayınları, İstanbul, 2006, s. 4</w:t>
      </w:r>
      <w:r>
        <w:t xml:space="preserve">; </w:t>
      </w:r>
      <w:proofErr w:type="spellStart"/>
      <w:r>
        <w:t>Joanna</w:t>
      </w:r>
      <w:proofErr w:type="spellEnd"/>
      <w:r>
        <w:t xml:space="preserve"> </w:t>
      </w:r>
      <w:proofErr w:type="spellStart"/>
      <w:r>
        <w:t>Schmidt-Szalewski</w:t>
      </w:r>
      <w:proofErr w:type="spellEnd"/>
      <w:r>
        <w:t>,</w:t>
      </w:r>
      <w:r w:rsidRPr="007047CB">
        <w:t xml:space="preserve"> </w:t>
      </w:r>
      <w:r w:rsidRPr="0048349A">
        <w:rPr>
          <w:i/>
          <w:iCs/>
        </w:rPr>
        <w:t>‘</w:t>
      </w:r>
      <w:proofErr w:type="spellStart"/>
      <w:r w:rsidRPr="0048349A">
        <w:rPr>
          <w:i/>
          <w:iCs/>
        </w:rPr>
        <w:t>Marque</w:t>
      </w:r>
      <w:proofErr w:type="spellEnd"/>
      <w:r w:rsidRPr="0048349A">
        <w:rPr>
          <w:i/>
          <w:iCs/>
        </w:rPr>
        <w:t xml:space="preserve"> de </w:t>
      </w:r>
      <w:proofErr w:type="spellStart"/>
      <w:r w:rsidRPr="0048349A">
        <w:rPr>
          <w:i/>
          <w:iCs/>
        </w:rPr>
        <w:t>Fabrique</w:t>
      </w:r>
      <w:proofErr w:type="spellEnd"/>
      <w:r w:rsidRPr="0048349A">
        <w:rPr>
          <w:i/>
          <w:iCs/>
        </w:rPr>
        <w:t xml:space="preserve">, de Commerce </w:t>
      </w:r>
      <w:proofErr w:type="spellStart"/>
      <w:r w:rsidRPr="0048349A">
        <w:rPr>
          <w:i/>
          <w:iCs/>
        </w:rPr>
        <w:t>ou</w:t>
      </w:r>
      <w:proofErr w:type="spellEnd"/>
      <w:r w:rsidRPr="0048349A">
        <w:rPr>
          <w:i/>
          <w:iCs/>
        </w:rPr>
        <w:t xml:space="preserve"> de Service’</w:t>
      </w:r>
      <w:r>
        <w:t xml:space="preserve">, </w:t>
      </w:r>
      <w:proofErr w:type="spellStart"/>
      <w:r w:rsidRPr="0048349A">
        <w:t>Répertoire</w:t>
      </w:r>
      <w:proofErr w:type="spellEnd"/>
      <w:r w:rsidRPr="0048349A">
        <w:t xml:space="preserve"> de </w:t>
      </w:r>
      <w:proofErr w:type="spellStart"/>
      <w:r w:rsidRPr="0048349A">
        <w:t>Droit</w:t>
      </w:r>
      <w:proofErr w:type="spellEnd"/>
      <w:r w:rsidRPr="0048349A">
        <w:t xml:space="preserve"> Commercial</w:t>
      </w:r>
      <w:r>
        <w:t xml:space="preserve">, </w:t>
      </w:r>
      <w:proofErr w:type="spellStart"/>
      <w:r>
        <w:t>Dalloz</w:t>
      </w:r>
      <w:proofErr w:type="spellEnd"/>
      <w:r>
        <w:t xml:space="preserve">, 2006, N. 16; </w:t>
      </w:r>
      <w:proofErr w:type="spellStart"/>
      <w:r>
        <w:t>Jacques</w:t>
      </w:r>
      <w:proofErr w:type="spellEnd"/>
      <w:r>
        <w:t xml:space="preserve"> </w:t>
      </w:r>
      <w:proofErr w:type="spellStart"/>
      <w:r>
        <w:t>Azéma</w:t>
      </w:r>
      <w:proofErr w:type="spellEnd"/>
      <w:r>
        <w:t>/ Jean-</w:t>
      </w:r>
      <w:proofErr w:type="spellStart"/>
      <w:r>
        <w:t>Christophe</w:t>
      </w:r>
      <w:proofErr w:type="spellEnd"/>
      <w:r>
        <w:t xml:space="preserve"> </w:t>
      </w:r>
      <w:proofErr w:type="spellStart"/>
      <w:r>
        <w:t>Galloux</w:t>
      </w:r>
      <w:proofErr w:type="spellEnd"/>
      <w:r>
        <w:t xml:space="preserve">, </w:t>
      </w:r>
      <w:proofErr w:type="spellStart"/>
      <w:r w:rsidRPr="0048349A">
        <w:rPr>
          <w:i/>
          <w:iCs/>
        </w:rPr>
        <w:t>Droit</w:t>
      </w:r>
      <w:proofErr w:type="spellEnd"/>
      <w:r w:rsidRPr="0048349A">
        <w:rPr>
          <w:i/>
          <w:iCs/>
        </w:rPr>
        <w:t xml:space="preserve"> de la </w:t>
      </w:r>
      <w:proofErr w:type="spellStart"/>
      <w:r w:rsidRPr="0048349A">
        <w:rPr>
          <w:i/>
          <w:iCs/>
        </w:rPr>
        <w:t>Propriété</w:t>
      </w:r>
      <w:proofErr w:type="spellEnd"/>
      <w:r w:rsidRPr="0048349A">
        <w:rPr>
          <w:i/>
          <w:iCs/>
        </w:rPr>
        <w:t xml:space="preserve"> </w:t>
      </w:r>
      <w:proofErr w:type="spellStart"/>
      <w:r w:rsidRPr="0048349A">
        <w:rPr>
          <w:i/>
          <w:iCs/>
        </w:rPr>
        <w:t>Industrielle</w:t>
      </w:r>
      <w:proofErr w:type="spellEnd"/>
      <w:r>
        <w:t xml:space="preserve">, 8. </w:t>
      </w:r>
      <w:proofErr w:type="spellStart"/>
      <w:r>
        <w:t>Édition</w:t>
      </w:r>
      <w:proofErr w:type="spellEnd"/>
      <w:r>
        <w:t>,</w:t>
      </w:r>
      <w:r w:rsidRPr="004E7F43">
        <w:t xml:space="preserve"> </w:t>
      </w:r>
      <w:proofErr w:type="spellStart"/>
      <w:r>
        <w:t>Dalloz</w:t>
      </w:r>
      <w:proofErr w:type="spellEnd"/>
      <w:r>
        <w:t>, Paris, 2017, N. 1549.</w:t>
      </w:r>
    </w:p>
  </w:footnote>
  <w:footnote w:id="6">
    <w:p w14:paraId="106AF71E" w14:textId="4F2C17D8" w:rsidR="00B064BF" w:rsidRPr="00D72732" w:rsidRDefault="00B064BF" w:rsidP="00844D3C">
      <w:pPr>
        <w:pStyle w:val="DipnotMetni"/>
      </w:pPr>
      <w:r>
        <w:rPr>
          <w:rStyle w:val="DipnotBavurusu"/>
        </w:rPr>
        <w:footnoteRef/>
      </w:r>
      <w:r>
        <w:t xml:space="preserve"> </w:t>
      </w:r>
      <w:r>
        <w:tab/>
      </w:r>
      <w:proofErr w:type="spellStart"/>
      <w:r>
        <w:t>Diamond</w:t>
      </w:r>
      <w:proofErr w:type="spellEnd"/>
      <w:r>
        <w:t xml:space="preserve">, s. 266-267; </w:t>
      </w:r>
      <w:proofErr w:type="spellStart"/>
      <w:r>
        <w:t>Puttemans</w:t>
      </w:r>
      <w:proofErr w:type="spellEnd"/>
      <w:r>
        <w:t xml:space="preserve">, s. 81; </w:t>
      </w:r>
      <w:proofErr w:type="spellStart"/>
      <w:r w:rsidRPr="004E7F43">
        <w:t>Salvatore</w:t>
      </w:r>
      <w:proofErr w:type="spellEnd"/>
      <w:r>
        <w:t xml:space="preserve"> </w:t>
      </w:r>
      <w:proofErr w:type="spellStart"/>
      <w:r w:rsidRPr="004E7F43">
        <w:t>Di</w:t>
      </w:r>
      <w:proofErr w:type="spellEnd"/>
      <w:r w:rsidRPr="004E7F43">
        <w:t xml:space="preserve"> </w:t>
      </w:r>
      <w:proofErr w:type="spellStart"/>
      <w:r w:rsidRPr="004E7F43">
        <w:t>Palma</w:t>
      </w:r>
      <w:proofErr w:type="spellEnd"/>
      <w:r w:rsidRPr="004E7F43">
        <w:t xml:space="preserve">, </w:t>
      </w:r>
      <w:proofErr w:type="spellStart"/>
      <w:r w:rsidRPr="00A94806">
        <w:rPr>
          <w:i/>
          <w:iCs/>
        </w:rPr>
        <w:t>L’Histoire</w:t>
      </w:r>
      <w:proofErr w:type="spellEnd"/>
      <w:r w:rsidRPr="00A94806">
        <w:rPr>
          <w:i/>
          <w:iCs/>
        </w:rPr>
        <w:t xml:space="preserve"> </w:t>
      </w:r>
      <w:proofErr w:type="spellStart"/>
      <w:r w:rsidRPr="00A94806">
        <w:rPr>
          <w:i/>
          <w:iCs/>
        </w:rPr>
        <w:t>des</w:t>
      </w:r>
      <w:proofErr w:type="spellEnd"/>
      <w:r w:rsidRPr="00A94806">
        <w:rPr>
          <w:i/>
          <w:iCs/>
        </w:rPr>
        <w:t xml:space="preserve"> </w:t>
      </w:r>
      <w:proofErr w:type="spellStart"/>
      <w:r w:rsidRPr="00A94806">
        <w:rPr>
          <w:i/>
          <w:iCs/>
        </w:rPr>
        <w:t>Marques</w:t>
      </w:r>
      <w:proofErr w:type="spellEnd"/>
      <w:r w:rsidRPr="00A94806">
        <w:rPr>
          <w:i/>
          <w:iCs/>
        </w:rPr>
        <w:t xml:space="preserve"> </w:t>
      </w:r>
      <w:proofErr w:type="spellStart"/>
      <w:r w:rsidRPr="00A94806">
        <w:rPr>
          <w:i/>
          <w:iCs/>
        </w:rPr>
        <w:t>depuis</w:t>
      </w:r>
      <w:proofErr w:type="spellEnd"/>
      <w:r w:rsidRPr="00A94806">
        <w:rPr>
          <w:i/>
          <w:iCs/>
        </w:rPr>
        <w:t xml:space="preserve"> </w:t>
      </w:r>
      <w:proofErr w:type="spellStart"/>
      <w:r w:rsidRPr="00A94806">
        <w:rPr>
          <w:i/>
          <w:iCs/>
        </w:rPr>
        <w:t>l’Antiquité</w:t>
      </w:r>
      <w:proofErr w:type="spellEnd"/>
      <w:r w:rsidRPr="00A94806">
        <w:rPr>
          <w:i/>
          <w:iCs/>
        </w:rPr>
        <w:t xml:space="preserve"> </w:t>
      </w:r>
      <w:proofErr w:type="spellStart"/>
      <w:r w:rsidRPr="00A94806">
        <w:rPr>
          <w:i/>
          <w:iCs/>
        </w:rPr>
        <w:t>jusqu’au</w:t>
      </w:r>
      <w:proofErr w:type="spellEnd"/>
      <w:r w:rsidRPr="00A94806">
        <w:rPr>
          <w:i/>
          <w:iCs/>
        </w:rPr>
        <w:t xml:space="preserve"> </w:t>
      </w:r>
      <w:proofErr w:type="spellStart"/>
      <w:r w:rsidRPr="00A94806">
        <w:rPr>
          <w:i/>
          <w:iCs/>
        </w:rPr>
        <w:t>Moyen</w:t>
      </w:r>
      <w:proofErr w:type="spellEnd"/>
      <w:r w:rsidRPr="00A94806">
        <w:rPr>
          <w:i/>
          <w:iCs/>
        </w:rPr>
        <w:t xml:space="preserve"> </w:t>
      </w:r>
      <w:proofErr w:type="spellStart"/>
      <w:r w:rsidRPr="00A94806">
        <w:rPr>
          <w:i/>
          <w:iCs/>
        </w:rPr>
        <w:t>Âge</w:t>
      </w:r>
      <w:proofErr w:type="spellEnd"/>
      <w:r w:rsidRPr="004E7F43">
        <w:t xml:space="preserve">, </w:t>
      </w:r>
      <w:proofErr w:type="spellStart"/>
      <w:r w:rsidRPr="004E7F43">
        <w:t>Société</w:t>
      </w:r>
      <w:proofErr w:type="spellEnd"/>
      <w:r w:rsidRPr="004E7F43">
        <w:t xml:space="preserve"> </w:t>
      </w:r>
      <w:proofErr w:type="spellStart"/>
      <w:r w:rsidRPr="004E7F43">
        <w:t>des</w:t>
      </w:r>
      <w:proofErr w:type="spellEnd"/>
      <w:r w:rsidRPr="004E7F43">
        <w:t xml:space="preserve"> </w:t>
      </w:r>
      <w:proofErr w:type="spellStart"/>
      <w:r w:rsidRPr="004E7F43">
        <w:t>Écrivains</w:t>
      </w:r>
      <w:proofErr w:type="spellEnd"/>
      <w:r w:rsidRPr="004E7F43">
        <w:t>, Paris, 2014, s. 17</w:t>
      </w:r>
      <w:r>
        <w:t>. İnsanların kişisel eşyalarını/mallarını soygun riskine karşı korumak (</w:t>
      </w:r>
      <w:proofErr w:type="spellStart"/>
      <w:r w:rsidRPr="00D03CDC">
        <w:t>rôle</w:t>
      </w:r>
      <w:proofErr w:type="spellEnd"/>
      <w:r w:rsidRPr="00D03CDC">
        <w:t xml:space="preserve"> de </w:t>
      </w:r>
      <w:proofErr w:type="spellStart"/>
      <w:r w:rsidRPr="00D03CDC">
        <w:t>poli</w:t>
      </w:r>
      <w:r>
        <w:t>c</w:t>
      </w:r>
      <w:r w:rsidRPr="00D03CDC">
        <w:t>e</w:t>
      </w:r>
      <w:proofErr w:type="spellEnd"/>
      <w:r w:rsidRPr="00D03CDC">
        <w:t>)</w:t>
      </w:r>
      <w:r>
        <w:t xml:space="preserve"> </w:t>
      </w:r>
      <w:proofErr w:type="spellStart"/>
      <w:r>
        <w:t>saikiyle</w:t>
      </w:r>
      <w:proofErr w:type="spellEnd"/>
      <w:r>
        <w:t xml:space="preserve"> işaretler kullandığına dair bkz. </w:t>
      </w:r>
      <w:proofErr w:type="spellStart"/>
      <w:r>
        <w:t>Azéma</w:t>
      </w:r>
      <w:proofErr w:type="spellEnd"/>
      <w:r>
        <w:t>/</w:t>
      </w:r>
      <w:proofErr w:type="spellStart"/>
      <w:r>
        <w:t>Galloux</w:t>
      </w:r>
      <w:proofErr w:type="spellEnd"/>
      <w:r>
        <w:t xml:space="preserve">, N. 1549; </w:t>
      </w:r>
      <w:proofErr w:type="spellStart"/>
      <w:r>
        <w:t>Schmidt-Szalewski</w:t>
      </w:r>
      <w:proofErr w:type="spellEnd"/>
      <w:r>
        <w:t>, N. 16.</w:t>
      </w:r>
      <w:r w:rsidR="00B6436B">
        <w:t xml:space="preserve"> Söz gelimi, devekuşu yumurtalarının belirli bir gruba ait olduğunu işaret etmek üzere yapılan çizimler (</w:t>
      </w:r>
      <w:proofErr w:type="spellStart"/>
      <w:r w:rsidR="00B6436B" w:rsidRPr="004E7F43">
        <w:t>Di</w:t>
      </w:r>
      <w:proofErr w:type="spellEnd"/>
      <w:r w:rsidR="00B6436B" w:rsidRPr="004E7F43">
        <w:t xml:space="preserve"> </w:t>
      </w:r>
      <w:proofErr w:type="spellStart"/>
      <w:r w:rsidR="00B6436B" w:rsidRPr="004E7F43">
        <w:t>Palma</w:t>
      </w:r>
      <w:proofErr w:type="spellEnd"/>
      <w:r w:rsidR="00B6436B">
        <w:t xml:space="preserve">, s. 18), </w:t>
      </w:r>
      <w:r w:rsidR="00B6436B">
        <w:rPr>
          <w:szCs w:val="28"/>
        </w:rPr>
        <w:t>kavanoz, vazo, tabak, porselen,</w:t>
      </w:r>
      <w:r w:rsidR="00B6436B" w:rsidRPr="003A05F5">
        <w:rPr>
          <w:szCs w:val="28"/>
        </w:rPr>
        <w:t xml:space="preserve"> </w:t>
      </w:r>
      <w:r w:rsidR="00B6436B">
        <w:rPr>
          <w:szCs w:val="28"/>
        </w:rPr>
        <w:t>çanak, çömlek üzerine konulan çeşitli desenler (</w:t>
      </w:r>
      <w:proofErr w:type="spellStart"/>
      <w:r w:rsidR="00B6436B">
        <w:t>Pouillet</w:t>
      </w:r>
      <w:proofErr w:type="spellEnd"/>
      <w:r w:rsidR="00B6436B">
        <w:t xml:space="preserve">, s. 2; </w:t>
      </w:r>
      <w:proofErr w:type="spellStart"/>
      <w:r w:rsidR="00B6436B">
        <w:t>Dunant</w:t>
      </w:r>
      <w:proofErr w:type="spellEnd"/>
      <w:r w:rsidR="00B6436B">
        <w:t xml:space="preserve">, s. 4; </w:t>
      </w:r>
      <w:proofErr w:type="spellStart"/>
      <w:r w:rsidR="00B6436B">
        <w:t>Diamond</w:t>
      </w:r>
      <w:proofErr w:type="spellEnd"/>
      <w:r w:rsidR="00B6436B">
        <w:t xml:space="preserve">, s. 267; Kaya, </w:t>
      </w:r>
      <w:r w:rsidR="00CD30A7" w:rsidRPr="00CD30A7">
        <w:rPr>
          <w:i/>
          <w:iCs/>
        </w:rPr>
        <w:t>Marka</w:t>
      </w:r>
      <w:r w:rsidR="00CD30A7">
        <w:t xml:space="preserve">, </w:t>
      </w:r>
      <w:r w:rsidR="00B6436B">
        <w:t xml:space="preserve">s. 4; David </w:t>
      </w:r>
      <w:proofErr w:type="spellStart"/>
      <w:r w:rsidR="00B6436B">
        <w:t>Bainbridge</w:t>
      </w:r>
      <w:proofErr w:type="spellEnd"/>
      <w:r w:rsidR="00B6436B">
        <w:t>,</w:t>
      </w:r>
      <w:r w:rsidR="00B6436B" w:rsidRPr="003866EA">
        <w:t xml:space="preserve"> </w:t>
      </w:r>
      <w:proofErr w:type="spellStart"/>
      <w:r w:rsidR="00B6436B" w:rsidRPr="00A94806">
        <w:rPr>
          <w:i/>
          <w:iCs/>
        </w:rPr>
        <w:t>Intellectual</w:t>
      </w:r>
      <w:proofErr w:type="spellEnd"/>
      <w:r w:rsidR="00B6436B" w:rsidRPr="00A94806">
        <w:rPr>
          <w:i/>
          <w:iCs/>
        </w:rPr>
        <w:t xml:space="preserve"> </w:t>
      </w:r>
      <w:proofErr w:type="spellStart"/>
      <w:r w:rsidR="00B6436B" w:rsidRPr="00A94806">
        <w:rPr>
          <w:i/>
          <w:iCs/>
        </w:rPr>
        <w:t>Property</w:t>
      </w:r>
      <w:proofErr w:type="spellEnd"/>
      <w:r w:rsidR="00B6436B">
        <w:t xml:space="preserve">, 5. Edition, </w:t>
      </w:r>
      <w:proofErr w:type="spellStart"/>
      <w:r w:rsidR="00B6436B">
        <w:t>Pearson</w:t>
      </w:r>
      <w:proofErr w:type="spellEnd"/>
      <w:r w:rsidR="00B6436B">
        <w:t xml:space="preserve"> </w:t>
      </w:r>
      <w:proofErr w:type="spellStart"/>
      <w:r w:rsidR="00B6436B">
        <w:t>Longman</w:t>
      </w:r>
      <w:proofErr w:type="spellEnd"/>
      <w:r w:rsidR="00B6436B">
        <w:t xml:space="preserve">, </w:t>
      </w:r>
      <w:proofErr w:type="spellStart"/>
      <w:r w:rsidR="00B6436B">
        <w:t>Essex</w:t>
      </w:r>
      <w:proofErr w:type="spellEnd"/>
      <w:r w:rsidR="00B6436B">
        <w:t xml:space="preserve">, 2002, s. 531), </w:t>
      </w:r>
      <w:r w:rsidR="00B6436B">
        <w:rPr>
          <w:szCs w:val="28"/>
        </w:rPr>
        <w:t>hayvanların kimin olduğunu teşhis etmek için kullanılan damgalar (</w:t>
      </w:r>
      <w:r w:rsidR="00B6436B">
        <w:t xml:space="preserve">Arseven, s. 2; </w:t>
      </w:r>
      <w:proofErr w:type="spellStart"/>
      <w:r w:rsidR="00B6436B">
        <w:t>Diamond</w:t>
      </w:r>
      <w:proofErr w:type="spellEnd"/>
      <w:r w:rsidR="00B6436B">
        <w:t>, s. 266-267).</w:t>
      </w:r>
    </w:p>
  </w:footnote>
  <w:footnote w:id="7">
    <w:p w14:paraId="0F105EEA" w14:textId="470B0A9C" w:rsidR="00B064BF" w:rsidRDefault="00B064BF" w:rsidP="00A94806">
      <w:pPr>
        <w:pStyle w:val="DipnotMetni"/>
      </w:pPr>
      <w:r>
        <w:rPr>
          <w:rStyle w:val="DipnotBavurusu"/>
        </w:rPr>
        <w:footnoteRef/>
      </w:r>
      <w:r>
        <w:t xml:space="preserve"> </w:t>
      </w:r>
      <w:r>
        <w:tab/>
      </w:r>
      <w:proofErr w:type="spellStart"/>
      <w:r w:rsidR="00781B7F">
        <w:t>Pouillet</w:t>
      </w:r>
      <w:proofErr w:type="spellEnd"/>
      <w:r w:rsidR="00781B7F">
        <w:t xml:space="preserve">, s. 9; </w:t>
      </w:r>
      <w:proofErr w:type="spellStart"/>
      <w:r>
        <w:t>Dunant</w:t>
      </w:r>
      <w:proofErr w:type="spellEnd"/>
      <w:r>
        <w:t xml:space="preserve">, s. 9; </w:t>
      </w:r>
      <w:proofErr w:type="spellStart"/>
      <w:r>
        <w:t>Reynoard</w:t>
      </w:r>
      <w:proofErr w:type="spellEnd"/>
      <w:r>
        <w:t xml:space="preserve">, s. 1; </w:t>
      </w:r>
      <w:proofErr w:type="spellStart"/>
      <w:r>
        <w:t>Puttemans</w:t>
      </w:r>
      <w:proofErr w:type="spellEnd"/>
      <w:r>
        <w:t xml:space="preserve">, s. 77; </w:t>
      </w:r>
      <w:proofErr w:type="spellStart"/>
      <w:r w:rsidRPr="00397E39">
        <w:t>Azéma</w:t>
      </w:r>
      <w:proofErr w:type="spellEnd"/>
      <w:r>
        <w:t>/</w:t>
      </w:r>
      <w:proofErr w:type="spellStart"/>
      <w:r w:rsidRPr="00397E39">
        <w:t>Galloux</w:t>
      </w:r>
      <w:proofErr w:type="spellEnd"/>
      <w:r w:rsidRPr="00397E39">
        <w:t>, N. 15</w:t>
      </w:r>
      <w:r>
        <w:t>50</w:t>
      </w:r>
      <w:r w:rsidRPr="00397E39">
        <w:t xml:space="preserve">; </w:t>
      </w:r>
      <w:proofErr w:type="spellStart"/>
      <w:r w:rsidRPr="00397E39">
        <w:t>Schmidt-Szalewski</w:t>
      </w:r>
      <w:proofErr w:type="spellEnd"/>
      <w:r w:rsidRPr="00397E39">
        <w:t>, N. 1</w:t>
      </w:r>
      <w:r>
        <w:t>7</w:t>
      </w:r>
      <w:r w:rsidRPr="00397E39">
        <w:t>.</w:t>
      </w:r>
    </w:p>
  </w:footnote>
  <w:footnote w:id="8">
    <w:p w14:paraId="282C2583" w14:textId="46E98D7C" w:rsidR="00B064BF" w:rsidRDefault="00B064BF" w:rsidP="00B859A1">
      <w:pPr>
        <w:pStyle w:val="DipnotMetni"/>
      </w:pPr>
      <w:r>
        <w:rPr>
          <w:rStyle w:val="DipnotBavurusu"/>
        </w:rPr>
        <w:footnoteRef/>
      </w:r>
      <w:r>
        <w:t xml:space="preserve"> </w:t>
      </w:r>
      <w:r>
        <w:tab/>
        <w:t xml:space="preserve">Arseven, s. 3; </w:t>
      </w:r>
      <w:proofErr w:type="spellStart"/>
      <w:r w:rsidRPr="00397E39">
        <w:t>Azéma</w:t>
      </w:r>
      <w:proofErr w:type="spellEnd"/>
      <w:r>
        <w:t>/</w:t>
      </w:r>
      <w:proofErr w:type="spellStart"/>
      <w:r w:rsidRPr="00397E39">
        <w:t>Galloux</w:t>
      </w:r>
      <w:proofErr w:type="spellEnd"/>
      <w:r w:rsidRPr="00397E39">
        <w:t>, N. 15</w:t>
      </w:r>
      <w:r>
        <w:t>51</w:t>
      </w:r>
      <w:r w:rsidRPr="00397E39">
        <w:t xml:space="preserve">; </w:t>
      </w:r>
      <w:proofErr w:type="spellStart"/>
      <w:r w:rsidRPr="00397E39">
        <w:t>Schmidt-Szalewski</w:t>
      </w:r>
      <w:proofErr w:type="spellEnd"/>
      <w:r w:rsidRPr="00397E39">
        <w:t>, N. 1</w:t>
      </w:r>
      <w:r>
        <w:t xml:space="preserve">8; Benoit </w:t>
      </w:r>
      <w:proofErr w:type="spellStart"/>
      <w:r>
        <w:t>Heilbrunn</w:t>
      </w:r>
      <w:proofErr w:type="spellEnd"/>
      <w:r>
        <w:t xml:space="preserve">, </w:t>
      </w:r>
      <w:r w:rsidRPr="00A94806">
        <w:rPr>
          <w:i/>
          <w:iCs/>
        </w:rPr>
        <w:t>‘</w:t>
      </w:r>
      <w:proofErr w:type="spellStart"/>
      <w:r w:rsidRPr="00A94806">
        <w:rPr>
          <w:i/>
          <w:iCs/>
        </w:rPr>
        <w:t>Histoire</w:t>
      </w:r>
      <w:proofErr w:type="spellEnd"/>
      <w:r w:rsidRPr="00A94806">
        <w:rPr>
          <w:i/>
          <w:iCs/>
        </w:rPr>
        <w:t xml:space="preserve"> et </w:t>
      </w:r>
      <w:proofErr w:type="spellStart"/>
      <w:r w:rsidRPr="00A94806">
        <w:rPr>
          <w:i/>
          <w:iCs/>
        </w:rPr>
        <w:t>Fonctions</w:t>
      </w:r>
      <w:proofErr w:type="spellEnd"/>
      <w:r w:rsidRPr="00A94806">
        <w:rPr>
          <w:i/>
          <w:iCs/>
        </w:rPr>
        <w:t xml:space="preserve"> </w:t>
      </w:r>
      <w:proofErr w:type="spellStart"/>
      <w:r w:rsidRPr="00A94806">
        <w:rPr>
          <w:i/>
          <w:iCs/>
        </w:rPr>
        <w:t>des</w:t>
      </w:r>
      <w:proofErr w:type="spellEnd"/>
      <w:r w:rsidRPr="00A94806">
        <w:rPr>
          <w:i/>
          <w:iCs/>
        </w:rPr>
        <w:t xml:space="preserve"> </w:t>
      </w:r>
      <w:proofErr w:type="spellStart"/>
      <w:r w:rsidRPr="00A94806">
        <w:rPr>
          <w:i/>
          <w:iCs/>
        </w:rPr>
        <w:t>Marques</w:t>
      </w:r>
      <w:proofErr w:type="spellEnd"/>
      <w:r w:rsidRPr="00A94806">
        <w:rPr>
          <w:i/>
          <w:iCs/>
        </w:rPr>
        <w:t>’</w:t>
      </w:r>
      <w:r>
        <w:t xml:space="preserve">, </w:t>
      </w:r>
      <w:r w:rsidRPr="00A94806">
        <w:t xml:space="preserve">La </w:t>
      </w:r>
      <w:proofErr w:type="spellStart"/>
      <w:r w:rsidRPr="00A94806">
        <w:t>Marque</w:t>
      </w:r>
      <w:proofErr w:type="spellEnd"/>
      <w:r>
        <w:t xml:space="preserve">, ed. Benoit </w:t>
      </w:r>
      <w:proofErr w:type="spellStart"/>
      <w:r>
        <w:t>Heilbrunn</w:t>
      </w:r>
      <w:proofErr w:type="spellEnd"/>
      <w:r>
        <w:t xml:space="preserve">, </w:t>
      </w:r>
      <w:proofErr w:type="spellStart"/>
      <w:r>
        <w:t>Presses</w:t>
      </w:r>
      <w:proofErr w:type="spellEnd"/>
      <w:r>
        <w:t xml:space="preserve"> </w:t>
      </w:r>
      <w:proofErr w:type="spellStart"/>
      <w:r>
        <w:t>Universitaires</w:t>
      </w:r>
      <w:proofErr w:type="spellEnd"/>
      <w:r>
        <w:t xml:space="preserve"> de France, Paris, 2010, N. 2.</w:t>
      </w:r>
    </w:p>
  </w:footnote>
  <w:footnote w:id="9">
    <w:p w14:paraId="1E0756F6" w14:textId="36079109" w:rsidR="00B064BF" w:rsidRDefault="00B064BF" w:rsidP="00B859A1">
      <w:pPr>
        <w:pStyle w:val="DipnotMetni"/>
      </w:pPr>
      <w:r>
        <w:rPr>
          <w:rStyle w:val="DipnotBavurusu"/>
        </w:rPr>
        <w:footnoteRef/>
      </w:r>
      <w:r>
        <w:t xml:space="preserve"> </w:t>
      </w:r>
      <w:r>
        <w:tab/>
      </w:r>
      <w:proofErr w:type="spellStart"/>
      <w:r>
        <w:t>Diamond</w:t>
      </w:r>
      <w:proofErr w:type="spellEnd"/>
      <w:r>
        <w:t xml:space="preserve">, s. 280-281; </w:t>
      </w:r>
      <w:proofErr w:type="spellStart"/>
      <w:r>
        <w:t>Puttemans</w:t>
      </w:r>
      <w:proofErr w:type="spellEnd"/>
      <w:r>
        <w:t>, s. 78.</w:t>
      </w:r>
    </w:p>
  </w:footnote>
  <w:footnote w:id="10">
    <w:p w14:paraId="79DB5DFD" w14:textId="05FBAC30" w:rsidR="00B064BF" w:rsidRPr="0024737C" w:rsidRDefault="00B064BF" w:rsidP="00B859A1">
      <w:pPr>
        <w:pStyle w:val="DipnotMetni"/>
      </w:pPr>
      <w:r>
        <w:rPr>
          <w:rStyle w:val="DipnotBavurusu"/>
        </w:rPr>
        <w:footnoteRef/>
      </w:r>
      <w:r>
        <w:t xml:space="preserve"> </w:t>
      </w:r>
      <w:r>
        <w:tab/>
      </w:r>
      <w:proofErr w:type="spellStart"/>
      <w:r w:rsidRPr="00397E39">
        <w:t>Schmidt-Szalewski</w:t>
      </w:r>
      <w:proofErr w:type="spellEnd"/>
      <w:r w:rsidRPr="00397E39">
        <w:t xml:space="preserve">, N. </w:t>
      </w:r>
      <w:r>
        <w:t xml:space="preserve">23. </w:t>
      </w:r>
      <w:r w:rsidR="00CD30A7">
        <w:t xml:space="preserve">Bu meyanda bkz. </w:t>
      </w:r>
      <w:r w:rsidR="00CD30A7" w:rsidRPr="00CD30A7">
        <w:t>Ali Paslı</w:t>
      </w:r>
      <w:r w:rsidR="00CD30A7" w:rsidRPr="00CD30A7">
        <w:rPr>
          <w:i/>
          <w:iCs/>
        </w:rPr>
        <w:t>, Uluslararası Antlaşmaların Türk Marka Hukukunun Esasına İlişkin Etkileri</w:t>
      </w:r>
      <w:r w:rsidR="00CD30A7">
        <w:t xml:space="preserve">, Vedat Kitapçılık, İstanbul, 2014, s. 35-40. </w:t>
      </w:r>
      <w:r>
        <w:t>Marka korumasının şekillenmesinde korunmaya değer 3 temel unsur yatmaktadır: marka sahiplerinin korunması, muhtemel teşebbüslerin korunması ve kamunun korunması (</w:t>
      </w:r>
      <w:r w:rsidR="00964BF0">
        <w:t xml:space="preserve">International </w:t>
      </w:r>
      <w:proofErr w:type="spellStart"/>
      <w:r w:rsidR="00964BF0">
        <w:t>Trademark</w:t>
      </w:r>
      <w:proofErr w:type="spellEnd"/>
      <w:r w:rsidR="00964BF0">
        <w:t xml:space="preserve"> </w:t>
      </w:r>
      <w:proofErr w:type="spellStart"/>
      <w:r w:rsidR="00964BF0">
        <w:t>Association</w:t>
      </w:r>
      <w:proofErr w:type="spellEnd"/>
      <w:r w:rsidR="00964BF0">
        <w:t xml:space="preserve"> (</w:t>
      </w:r>
      <w:r>
        <w:t>INTA</w:t>
      </w:r>
      <w:r w:rsidR="00964BF0">
        <w:t>)</w:t>
      </w:r>
      <w:r>
        <w:t xml:space="preserve">, </w:t>
      </w:r>
      <w:r w:rsidRPr="0024737C">
        <w:rPr>
          <w:i/>
          <w:iCs/>
        </w:rPr>
        <w:t>‘</w:t>
      </w:r>
      <w:proofErr w:type="spellStart"/>
      <w:r w:rsidRPr="0024737C">
        <w:rPr>
          <w:i/>
          <w:iCs/>
        </w:rPr>
        <w:t>The</w:t>
      </w:r>
      <w:proofErr w:type="spellEnd"/>
      <w:r w:rsidRPr="0024737C">
        <w:rPr>
          <w:i/>
          <w:iCs/>
        </w:rPr>
        <w:t xml:space="preserve"> </w:t>
      </w:r>
      <w:proofErr w:type="spellStart"/>
      <w:r w:rsidRPr="0024737C">
        <w:rPr>
          <w:i/>
          <w:iCs/>
        </w:rPr>
        <w:t>Need</w:t>
      </w:r>
      <w:proofErr w:type="spellEnd"/>
      <w:r w:rsidRPr="0024737C">
        <w:rPr>
          <w:i/>
          <w:iCs/>
        </w:rPr>
        <w:t xml:space="preserve"> </w:t>
      </w:r>
      <w:proofErr w:type="spellStart"/>
      <w:r w:rsidRPr="0024737C">
        <w:rPr>
          <w:i/>
          <w:iCs/>
        </w:rPr>
        <w:t>for</w:t>
      </w:r>
      <w:proofErr w:type="spellEnd"/>
      <w:r w:rsidRPr="0024737C">
        <w:rPr>
          <w:i/>
          <w:iCs/>
        </w:rPr>
        <w:t xml:space="preserve"> </w:t>
      </w:r>
      <w:proofErr w:type="spellStart"/>
      <w:r w:rsidRPr="0024737C">
        <w:rPr>
          <w:i/>
          <w:iCs/>
        </w:rPr>
        <w:t>Trade</w:t>
      </w:r>
      <w:proofErr w:type="spellEnd"/>
      <w:r w:rsidRPr="0024737C">
        <w:rPr>
          <w:i/>
          <w:iCs/>
        </w:rPr>
        <w:t xml:space="preserve">-Mark </w:t>
      </w:r>
      <w:proofErr w:type="spellStart"/>
      <w:r w:rsidRPr="0024737C">
        <w:rPr>
          <w:i/>
          <w:iCs/>
        </w:rPr>
        <w:t>Protection</w:t>
      </w:r>
      <w:proofErr w:type="spellEnd"/>
      <w:r w:rsidRPr="0024737C">
        <w:rPr>
          <w:i/>
          <w:iCs/>
        </w:rPr>
        <w:t xml:space="preserve"> </w:t>
      </w:r>
      <w:proofErr w:type="spellStart"/>
      <w:r w:rsidRPr="0024737C">
        <w:rPr>
          <w:i/>
          <w:iCs/>
        </w:rPr>
        <w:t>and</w:t>
      </w:r>
      <w:proofErr w:type="spellEnd"/>
      <w:r w:rsidRPr="0024737C">
        <w:rPr>
          <w:i/>
          <w:iCs/>
        </w:rPr>
        <w:t xml:space="preserve"> </w:t>
      </w:r>
      <w:proofErr w:type="spellStart"/>
      <w:r w:rsidRPr="0024737C">
        <w:rPr>
          <w:i/>
          <w:iCs/>
        </w:rPr>
        <w:t>What</w:t>
      </w:r>
      <w:proofErr w:type="spellEnd"/>
      <w:r w:rsidRPr="0024737C">
        <w:rPr>
          <w:i/>
          <w:iCs/>
        </w:rPr>
        <w:t xml:space="preserve"> </w:t>
      </w:r>
      <w:proofErr w:type="spellStart"/>
      <w:r w:rsidRPr="0024737C">
        <w:rPr>
          <w:i/>
          <w:iCs/>
        </w:rPr>
        <w:t>the</w:t>
      </w:r>
      <w:proofErr w:type="spellEnd"/>
      <w:r w:rsidRPr="0024737C">
        <w:rPr>
          <w:i/>
          <w:iCs/>
        </w:rPr>
        <w:t xml:space="preserve"> Patent Office Can Do </w:t>
      </w:r>
      <w:proofErr w:type="spellStart"/>
      <w:r w:rsidRPr="0024737C">
        <w:rPr>
          <w:i/>
          <w:iCs/>
        </w:rPr>
        <w:t>to</w:t>
      </w:r>
      <w:proofErr w:type="spellEnd"/>
      <w:r w:rsidRPr="0024737C">
        <w:rPr>
          <w:i/>
          <w:iCs/>
        </w:rPr>
        <w:t xml:space="preserve"> </w:t>
      </w:r>
      <w:proofErr w:type="spellStart"/>
      <w:r w:rsidRPr="0024737C">
        <w:rPr>
          <w:i/>
          <w:iCs/>
        </w:rPr>
        <w:t>Furthur</w:t>
      </w:r>
      <w:proofErr w:type="spellEnd"/>
      <w:r w:rsidRPr="0024737C">
        <w:rPr>
          <w:i/>
          <w:iCs/>
        </w:rPr>
        <w:t xml:space="preserve"> </w:t>
      </w:r>
      <w:proofErr w:type="spellStart"/>
      <w:r w:rsidRPr="0024737C">
        <w:rPr>
          <w:i/>
          <w:iCs/>
        </w:rPr>
        <w:t>It</w:t>
      </w:r>
      <w:proofErr w:type="spellEnd"/>
      <w:r w:rsidRPr="0024737C">
        <w:rPr>
          <w:i/>
          <w:iCs/>
        </w:rPr>
        <w:t>’</w:t>
      </w:r>
      <w:r>
        <w:t>, TMR, S. 36, 1946, s. 58).</w:t>
      </w:r>
    </w:p>
  </w:footnote>
  <w:footnote w:id="11">
    <w:p w14:paraId="6FB1B5F5" w14:textId="22CE922F" w:rsidR="00B064BF" w:rsidRDefault="00B064BF" w:rsidP="00FB15A0">
      <w:pPr>
        <w:pStyle w:val="DipnotMetni"/>
      </w:pPr>
      <w:r>
        <w:rPr>
          <w:rStyle w:val="DipnotBavurusu"/>
        </w:rPr>
        <w:footnoteRef/>
      </w:r>
      <w:r>
        <w:t xml:space="preserve"> </w:t>
      </w:r>
      <w:r>
        <w:tab/>
      </w:r>
      <w:proofErr w:type="spellStart"/>
      <w:r>
        <w:t>Pattishall’a</w:t>
      </w:r>
      <w:proofErr w:type="spellEnd"/>
      <w:r>
        <w:t xml:space="preserve"> göre tescil sistemi, ilk kullanım sistemine kıyasla daha etkili, daha basit, daha kesin ve daha belirli bir sistem oluşmasına hizmet etmektedir (</w:t>
      </w:r>
      <w:proofErr w:type="spellStart"/>
      <w:r w:rsidR="00B6436B" w:rsidRPr="007B588E">
        <w:t>Beverely</w:t>
      </w:r>
      <w:proofErr w:type="spellEnd"/>
      <w:r w:rsidR="00B6436B" w:rsidRPr="007B588E">
        <w:t xml:space="preserve"> W. </w:t>
      </w:r>
      <w:proofErr w:type="spellStart"/>
      <w:r w:rsidR="00B6436B" w:rsidRPr="007B588E">
        <w:t>Pattishall</w:t>
      </w:r>
      <w:proofErr w:type="spellEnd"/>
      <w:r w:rsidR="00B6436B">
        <w:t xml:space="preserve">, </w:t>
      </w:r>
      <w:r w:rsidR="00B6436B" w:rsidRPr="007B588E">
        <w:rPr>
          <w:i/>
          <w:iCs/>
        </w:rPr>
        <w:t>‘</w:t>
      </w:r>
      <w:proofErr w:type="spellStart"/>
      <w:r w:rsidR="00B6436B" w:rsidRPr="007B588E">
        <w:rPr>
          <w:i/>
          <w:iCs/>
        </w:rPr>
        <w:t>The</w:t>
      </w:r>
      <w:proofErr w:type="spellEnd"/>
      <w:r w:rsidR="00B6436B" w:rsidRPr="007B588E">
        <w:rPr>
          <w:i/>
          <w:iCs/>
        </w:rPr>
        <w:t xml:space="preserve"> </w:t>
      </w:r>
      <w:proofErr w:type="spellStart"/>
      <w:r w:rsidR="00B6436B" w:rsidRPr="007B588E">
        <w:rPr>
          <w:i/>
          <w:iCs/>
        </w:rPr>
        <w:t>Use</w:t>
      </w:r>
      <w:proofErr w:type="spellEnd"/>
      <w:r w:rsidR="00B6436B" w:rsidRPr="007B588E">
        <w:rPr>
          <w:i/>
          <w:iCs/>
        </w:rPr>
        <w:t xml:space="preserve"> </w:t>
      </w:r>
      <w:proofErr w:type="spellStart"/>
      <w:r w:rsidR="00B6436B" w:rsidRPr="007B588E">
        <w:rPr>
          <w:i/>
          <w:iCs/>
        </w:rPr>
        <w:t>Rationale</w:t>
      </w:r>
      <w:proofErr w:type="spellEnd"/>
      <w:r w:rsidR="00B6436B" w:rsidRPr="007B588E">
        <w:rPr>
          <w:i/>
          <w:iCs/>
        </w:rPr>
        <w:t xml:space="preserve"> </w:t>
      </w:r>
      <w:proofErr w:type="spellStart"/>
      <w:r w:rsidR="00B6436B" w:rsidRPr="007B588E">
        <w:rPr>
          <w:i/>
          <w:iCs/>
        </w:rPr>
        <w:t>and</w:t>
      </w:r>
      <w:proofErr w:type="spellEnd"/>
      <w:r w:rsidR="00B6436B" w:rsidRPr="007B588E">
        <w:rPr>
          <w:i/>
          <w:iCs/>
        </w:rPr>
        <w:t xml:space="preserve"> </w:t>
      </w:r>
      <w:proofErr w:type="spellStart"/>
      <w:r w:rsidR="00B6436B" w:rsidRPr="007B588E">
        <w:rPr>
          <w:i/>
          <w:iCs/>
        </w:rPr>
        <w:t>the</w:t>
      </w:r>
      <w:proofErr w:type="spellEnd"/>
      <w:r w:rsidR="00B6436B" w:rsidRPr="007B588E">
        <w:rPr>
          <w:i/>
          <w:iCs/>
        </w:rPr>
        <w:t xml:space="preserve"> </w:t>
      </w:r>
      <w:proofErr w:type="spellStart"/>
      <w:r w:rsidR="00B6436B" w:rsidRPr="007B588E">
        <w:rPr>
          <w:i/>
          <w:iCs/>
        </w:rPr>
        <w:t>Trademark</w:t>
      </w:r>
      <w:proofErr w:type="spellEnd"/>
      <w:r w:rsidR="00B6436B" w:rsidRPr="007B588E">
        <w:rPr>
          <w:i/>
          <w:iCs/>
        </w:rPr>
        <w:t xml:space="preserve"> </w:t>
      </w:r>
      <w:proofErr w:type="spellStart"/>
      <w:r w:rsidR="00B6436B" w:rsidRPr="007B588E">
        <w:rPr>
          <w:i/>
          <w:iCs/>
        </w:rPr>
        <w:t>Registration</w:t>
      </w:r>
      <w:proofErr w:type="spellEnd"/>
      <w:r w:rsidR="00B6436B" w:rsidRPr="007B588E">
        <w:rPr>
          <w:i/>
          <w:iCs/>
        </w:rPr>
        <w:t xml:space="preserve"> </w:t>
      </w:r>
      <w:proofErr w:type="spellStart"/>
      <w:r w:rsidR="00B6436B" w:rsidRPr="007B588E">
        <w:rPr>
          <w:i/>
          <w:iCs/>
        </w:rPr>
        <w:t>Treaty</w:t>
      </w:r>
      <w:proofErr w:type="spellEnd"/>
      <w:r w:rsidR="00B6436B" w:rsidRPr="007B588E">
        <w:rPr>
          <w:i/>
          <w:iCs/>
        </w:rPr>
        <w:t>’</w:t>
      </w:r>
      <w:r w:rsidR="00B6436B">
        <w:t xml:space="preserve">, ABAJ, </w:t>
      </w:r>
      <w:proofErr w:type="spellStart"/>
      <w:r w:rsidR="00B6436B">
        <w:t>Vol</w:t>
      </w:r>
      <w:proofErr w:type="spellEnd"/>
      <w:r w:rsidR="00B6436B">
        <w:t>. 61, No. 1, 1975, s. 83</w:t>
      </w:r>
      <w:r>
        <w:t xml:space="preserve">). Benzer şekilde </w:t>
      </w:r>
      <w:proofErr w:type="spellStart"/>
      <w:r>
        <w:t>Callman</w:t>
      </w:r>
      <w:proofErr w:type="spellEnd"/>
      <w:r>
        <w:t xml:space="preserve"> da, güvenliğin ve adaletin temini için, bir işaretin korunması noktasında tescilin zorunlu olması gerektiğini belirtmektedir (</w:t>
      </w:r>
      <w:proofErr w:type="spellStart"/>
      <w:r>
        <w:t>Rudolf</w:t>
      </w:r>
      <w:proofErr w:type="spellEnd"/>
      <w:r>
        <w:t xml:space="preserve"> </w:t>
      </w:r>
      <w:proofErr w:type="spellStart"/>
      <w:r>
        <w:t>Callman</w:t>
      </w:r>
      <w:proofErr w:type="spellEnd"/>
      <w:r>
        <w:t xml:space="preserve">, </w:t>
      </w:r>
      <w:r w:rsidRPr="00330873">
        <w:rPr>
          <w:i/>
          <w:iCs/>
        </w:rPr>
        <w:t>‘</w:t>
      </w:r>
      <w:proofErr w:type="spellStart"/>
      <w:r w:rsidRPr="00330873">
        <w:rPr>
          <w:i/>
          <w:iCs/>
        </w:rPr>
        <w:t>Registration</w:t>
      </w:r>
      <w:proofErr w:type="spellEnd"/>
      <w:r w:rsidRPr="00330873">
        <w:rPr>
          <w:i/>
          <w:iCs/>
        </w:rPr>
        <w:t xml:space="preserve"> </w:t>
      </w:r>
      <w:proofErr w:type="spellStart"/>
      <w:r w:rsidRPr="00330873">
        <w:rPr>
          <w:i/>
          <w:iCs/>
        </w:rPr>
        <w:t>and</w:t>
      </w:r>
      <w:proofErr w:type="spellEnd"/>
      <w:r w:rsidRPr="00330873">
        <w:rPr>
          <w:i/>
          <w:iCs/>
        </w:rPr>
        <w:t xml:space="preserve"> </w:t>
      </w:r>
      <w:proofErr w:type="spellStart"/>
      <w:r w:rsidRPr="00330873">
        <w:rPr>
          <w:i/>
          <w:iCs/>
        </w:rPr>
        <w:t>Use</w:t>
      </w:r>
      <w:proofErr w:type="spellEnd"/>
      <w:r w:rsidRPr="00330873">
        <w:rPr>
          <w:i/>
          <w:iCs/>
        </w:rPr>
        <w:t xml:space="preserve"> in </w:t>
      </w:r>
      <w:proofErr w:type="spellStart"/>
      <w:r w:rsidRPr="00330873">
        <w:rPr>
          <w:i/>
          <w:iCs/>
        </w:rPr>
        <w:t>the</w:t>
      </w:r>
      <w:proofErr w:type="spellEnd"/>
      <w:r w:rsidRPr="00330873">
        <w:rPr>
          <w:i/>
          <w:iCs/>
        </w:rPr>
        <w:t xml:space="preserve"> </w:t>
      </w:r>
      <w:proofErr w:type="spellStart"/>
      <w:r w:rsidRPr="00330873">
        <w:rPr>
          <w:i/>
          <w:iCs/>
        </w:rPr>
        <w:t>Trademark</w:t>
      </w:r>
      <w:proofErr w:type="spellEnd"/>
      <w:r w:rsidRPr="00330873">
        <w:rPr>
          <w:i/>
          <w:iCs/>
        </w:rPr>
        <w:t xml:space="preserve"> </w:t>
      </w:r>
      <w:proofErr w:type="spellStart"/>
      <w:r w:rsidRPr="00330873">
        <w:rPr>
          <w:i/>
          <w:iCs/>
        </w:rPr>
        <w:t>Laws</w:t>
      </w:r>
      <w:proofErr w:type="spellEnd"/>
      <w:r w:rsidRPr="00330873">
        <w:rPr>
          <w:i/>
          <w:iCs/>
        </w:rPr>
        <w:t xml:space="preserve"> of </w:t>
      </w:r>
      <w:proofErr w:type="spellStart"/>
      <w:r w:rsidRPr="00330873">
        <w:rPr>
          <w:i/>
          <w:iCs/>
        </w:rPr>
        <w:t>Different</w:t>
      </w:r>
      <w:proofErr w:type="spellEnd"/>
      <w:r w:rsidRPr="00330873">
        <w:rPr>
          <w:i/>
          <w:iCs/>
        </w:rPr>
        <w:t xml:space="preserve"> </w:t>
      </w:r>
      <w:proofErr w:type="spellStart"/>
      <w:r w:rsidRPr="00330873">
        <w:rPr>
          <w:i/>
          <w:iCs/>
        </w:rPr>
        <w:t>Countries</w:t>
      </w:r>
      <w:proofErr w:type="spellEnd"/>
      <w:r w:rsidRPr="00330873">
        <w:rPr>
          <w:i/>
          <w:iCs/>
        </w:rPr>
        <w:t>’</w:t>
      </w:r>
      <w:r>
        <w:t xml:space="preserve">, </w:t>
      </w:r>
      <w:proofErr w:type="spellStart"/>
      <w:r w:rsidRPr="00330873">
        <w:t>Section</w:t>
      </w:r>
      <w:proofErr w:type="spellEnd"/>
      <w:r w:rsidRPr="00330873">
        <w:t xml:space="preserve"> of International </w:t>
      </w:r>
      <w:proofErr w:type="spellStart"/>
      <w:r w:rsidRPr="00330873">
        <w:t>and</w:t>
      </w:r>
      <w:proofErr w:type="spellEnd"/>
      <w:r w:rsidRPr="00330873">
        <w:t xml:space="preserve"> </w:t>
      </w:r>
      <w:proofErr w:type="spellStart"/>
      <w:r w:rsidRPr="00330873">
        <w:t>Comparative</w:t>
      </w:r>
      <w:proofErr w:type="spellEnd"/>
      <w:r w:rsidRPr="00330873">
        <w:t xml:space="preserve"> </w:t>
      </w:r>
      <w:proofErr w:type="spellStart"/>
      <w:r w:rsidRPr="00330873">
        <w:t>Law</w:t>
      </w:r>
      <w:proofErr w:type="spellEnd"/>
      <w:r w:rsidRPr="00330873">
        <w:t xml:space="preserve"> </w:t>
      </w:r>
      <w:proofErr w:type="spellStart"/>
      <w:r w:rsidRPr="00330873">
        <w:t>Bulletin</w:t>
      </w:r>
      <w:proofErr w:type="spellEnd"/>
      <w:r>
        <w:t xml:space="preserve">, </w:t>
      </w:r>
      <w:proofErr w:type="spellStart"/>
      <w:r>
        <w:t>Vol</w:t>
      </w:r>
      <w:proofErr w:type="spellEnd"/>
      <w:r>
        <w:t xml:space="preserve">. 2, No. 2, 1958, s. 23). Bunların yanında, Amerika’da tescilli olmayıp kullanımda bulunan markaların dahi kayıt altına alınmasını önerenler vardır (INTA, s. 59). Buna karşın önemle belirtmek gerekir ki, marka korumasının temelinde tescil olgusu yatsa </w:t>
      </w:r>
      <w:proofErr w:type="gramStart"/>
      <w:r>
        <w:t>da,</w:t>
      </w:r>
      <w:proofErr w:type="gramEnd"/>
      <w:r>
        <w:t xml:space="preserve"> birçok ülke tescilli olmayan markalara da göreceli bir koruma sahası bahşetmektedir (</w:t>
      </w:r>
      <w:bookmarkStart w:id="0" w:name="_Hlk42510376"/>
      <w:r>
        <w:t xml:space="preserve">Robert </w:t>
      </w:r>
      <w:proofErr w:type="spellStart"/>
      <w:r>
        <w:t>Burrell</w:t>
      </w:r>
      <w:proofErr w:type="spellEnd"/>
      <w:r>
        <w:t xml:space="preserve">, </w:t>
      </w:r>
      <w:r w:rsidRPr="00F3298B">
        <w:rPr>
          <w:i/>
          <w:iCs/>
        </w:rPr>
        <w:t>‘</w:t>
      </w:r>
      <w:proofErr w:type="spellStart"/>
      <w:r w:rsidRPr="00F3298B">
        <w:rPr>
          <w:i/>
          <w:iCs/>
        </w:rPr>
        <w:t>Trade</w:t>
      </w:r>
      <w:proofErr w:type="spellEnd"/>
      <w:r w:rsidRPr="00F3298B">
        <w:rPr>
          <w:i/>
          <w:iCs/>
        </w:rPr>
        <w:t xml:space="preserve"> Mark </w:t>
      </w:r>
      <w:proofErr w:type="spellStart"/>
      <w:r w:rsidRPr="00F3298B">
        <w:rPr>
          <w:i/>
          <w:iCs/>
        </w:rPr>
        <w:t>Bureaucracies</w:t>
      </w:r>
      <w:proofErr w:type="spellEnd"/>
      <w:r w:rsidRPr="00F3298B">
        <w:rPr>
          <w:i/>
          <w:iCs/>
        </w:rPr>
        <w:t>’</w:t>
      </w:r>
      <w:r>
        <w:t xml:space="preserve">, </w:t>
      </w:r>
      <w:proofErr w:type="spellStart"/>
      <w:r>
        <w:t>The</w:t>
      </w:r>
      <w:proofErr w:type="spellEnd"/>
      <w:r>
        <w:t xml:space="preserve"> </w:t>
      </w:r>
      <w:proofErr w:type="spellStart"/>
      <w:r>
        <w:t>University</w:t>
      </w:r>
      <w:proofErr w:type="spellEnd"/>
      <w:r>
        <w:t xml:space="preserve"> of </w:t>
      </w:r>
      <w:proofErr w:type="spellStart"/>
      <w:r>
        <w:t>Queensland</w:t>
      </w:r>
      <w:proofErr w:type="spellEnd"/>
      <w:r>
        <w:t xml:space="preserve">, TC </w:t>
      </w:r>
      <w:proofErr w:type="spellStart"/>
      <w:r>
        <w:t>Beirne</w:t>
      </w:r>
      <w:proofErr w:type="spellEnd"/>
      <w:r>
        <w:t xml:space="preserve"> School of </w:t>
      </w:r>
      <w:proofErr w:type="spellStart"/>
      <w:r>
        <w:t>Law</w:t>
      </w:r>
      <w:proofErr w:type="spellEnd"/>
      <w:r>
        <w:t xml:space="preserve"> Legal </w:t>
      </w:r>
      <w:proofErr w:type="spellStart"/>
      <w:r>
        <w:t>Studies</w:t>
      </w:r>
      <w:proofErr w:type="spellEnd"/>
      <w:r>
        <w:t xml:space="preserve"> </w:t>
      </w:r>
      <w:proofErr w:type="spellStart"/>
      <w:r>
        <w:t>Research</w:t>
      </w:r>
      <w:proofErr w:type="spellEnd"/>
      <w:r>
        <w:t xml:space="preserve"> </w:t>
      </w:r>
      <w:proofErr w:type="spellStart"/>
      <w:r>
        <w:t>Paper</w:t>
      </w:r>
      <w:proofErr w:type="spellEnd"/>
      <w:r>
        <w:t xml:space="preserve"> Series, </w:t>
      </w:r>
      <w:proofErr w:type="spellStart"/>
      <w:r>
        <w:t>Research</w:t>
      </w:r>
      <w:proofErr w:type="spellEnd"/>
      <w:r>
        <w:t xml:space="preserve"> </w:t>
      </w:r>
      <w:proofErr w:type="spellStart"/>
      <w:r>
        <w:t>Paper</w:t>
      </w:r>
      <w:proofErr w:type="spellEnd"/>
      <w:r>
        <w:t xml:space="preserve"> No. 07-25, 2007,</w:t>
      </w:r>
      <w:r w:rsidRPr="00145266">
        <w:t xml:space="preserve"> http://ssrn.com/abstract=1027504</w:t>
      </w:r>
      <w:r>
        <w:t xml:space="preserve"> (erişim tarihi, 7 Haziran 2020), </w:t>
      </w:r>
      <w:bookmarkEnd w:id="0"/>
      <w:r>
        <w:t xml:space="preserve">s. 3. Bu çalışma aynı zamanda şu kaynakta yayımlanmıştır: </w:t>
      </w:r>
      <w:proofErr w:type="spellStart"/>
      <w:r w:rsidRPr="004436E4">
        <w:t>Trademark</w:t>
      </w:r>
      <w:proofErr w:type="spellEnd"/>
      <w:r w:rsidRPr="004436E4">
        <w:t xml:space="preserve"> </w:t>
      </w:r>
      <w:proofErr w:type="spellStart"/>
      <w:r w:rsidRPr="004436E4">
        <w:t>Law</w:t>
      </w:r>
      <w:proofErr w:type="spellEnd"/>
      <w:r w:rsidRPr="004436E4">
        <w:t xml:space="preserve"> &amp; </w:t>
      </w:r>
      <w:proofErr w:type="spellStart"/>
      <w:r w:rsidRPr="004436E4">
        <w:t>Theory</w:t>
      </w:r>
      <w:proofErr w:type="spellEnd"/>
      <w:r w:rsidRPr="004436E4">
        <w:t xml:space="preserve">: A </w:t>
      </w:r>
      <w:proofErr w:type="spellStart"/>
      <w:r w:rsidRPr="004436E4">
        <w:t>Handbook</w:t>
      </w:r>
      <w:proofErr w:type="spellEnd"/>
      <w:r w:rsidRPr="004436E4">
        <w:t xml:space="preserve"> of </w:t>
      </w:r>
      <w:proofErr w:type="spellStart"/>
      <w:r w:rsidRPr="004436E4">
        <w:t>Contemporary</w:t>
      </w:r>
      <w:proofErr w:type="spellEnd"/>
      <w:r w:rsidRPr="004436E4">
        <w:t xml:space="preserve"> </w:t>
      </w:r>
      <w:proofErr w:type="spellStart"/>
      <w:r w:rsidRPr="004436E4">
        <w:t>Research</w:t>
      </w:r>
      <w:proofErr w:type="spellEnd"/>
      <w:r w:rsidRPr="004436E4">
        <w:t>,</w:t>
      </w:r>
      <w:r>
        <w:t xml:space="preserve"> ed. Mark D. </w:t>
      </w:r>
      <w:proofErr w:type="spellStart"/>
      <w:r>
        <w:t>Janis</w:t>
      </w:r>
      <w:proofErr w:type="spellEnd"/>
      <w:r>
        <w:t xml:space="preserve">, </w:t>
      </w:r>
      <w:proofErr w:type="spellStart"/>
      <w:r>
        <w:t>Graeme</w:t>
      </w:r>
      <w:proofErr w:type="spellEnd"/>
      <w:r>
        <w:t xml:space="preserve"> B. </w:t>
      </w:r>
      <w:proofErr w:type="spellStart"/>
      <w:r>
        <w:t>Dinwoodie</w:t>
      </w:r>
      <w:proofErr w:type="spellEnd"/>
      <w:r>
        <w:t xml:space="preserve">, Edward </w:t>
      </w:r>
      <w:proofErr w:type="spellStart"/>
      <w:r>
        <w:t>Elgar</w:t>
      </w:r>
      <w:proofErr w:type="spellEnd"/>
      <w:r>
        <w:t>, UK, 2008, s. 95-131).</w:t>
      </w:r>
    </w:p>
  </w:footnote>
  <w:footnote w:id="12">
    <w:p w14:paraId="7CBF787A" w14:textId="019D10FA" w:rsidR="007D621E" w:rsidRPr="00FD425A" w:rsidRDefault="007D621E">
      <w:pPr>
        <w:pStyle w:val="DipnotMetni"/>
      </w:pPr>
      <w:r>
        <w:rPr>
          <w:rStyle w:val="DipnotBavurusu"/>
        </w:rPr>
        <w:footnoteRef/>
      </w:r>
      <w:r>
        <w:t xml:space="preserve"> </w:t>
      </w:r>
      <w:r>
        <w:tab/>
      </w:r>
      <w:r w:rsidR="00CF1351">
        <w:t xml:space="preserve">Bütün bu açıklamalarımızı tevsik eder nitelikte, </w:t>
      </w:r>
      <w:r w:rsidR="00FD425A">
        <w:t xml:space="preserve">1857 tarihli </w:t>
      </w:r>
      <w:r>
        <w:t xml:space="preserve">Fransız </w:t>
      </w:r>
      <w:r w:rsidRPr="00C51589">
        <w:t>Fabrika ve Ticaret Markaları Hakkında Kanun</w:t>
      </w:r>
      <w:r w:rsidR="00FD425A">
        <w:t xml:space="preserve"> (</w:t>
      </w:r>
      <w:proofErr w:type="spellStart"/>
      <w:r w:rsidR="00FD425A" w:rsidRPr="00FD425A">
        <w:t>Loi</w:t>
      </w:r>
      <w:proofErr w:type="spellEnd"/>
      <w:r w:rsidR="00FD425A" w:rsidRPr="00FD425A">
        <w:t xml:space="preserve"> </w:t>
      </w:r>
      <w:proofErr w:type="spellStart"/>
      <w:r w:rsidR="00FD425A" w:rsidRPr="00FD425A">
        <w:t>du</w:t>
      </w:r>
      <w:proofErr w:type="spellEnd"/>
      <w:r w:rsidR="00FD425A" w:rsidRPr="00FD425A">
        <w:t xml:space="preserve"> 23 </w:t>
      </w:r>
      <w:proofErr w:type="spellStart"/>
      <w:r w:rsidR="00FD425A" w:rsidRPr="00FD425A">
        <w:t>juin</w:t>
      </w:r>
      <w:proofErr w:type="spellEnd"/>
      <w:r w:rsidR="00FD425A" w:rsidRPr="00FD425A">
        <w:t xml:space="preserve"> 1857 sur </w:t>
      </w:r>
      <w:proofErr w:type="spellStart"/>
      <w:r w:rsidR="00FD425A" w:rsidRPr="00FD425A">
        <w:t>les</w:t>
      </w:r>
      <w:proofErr w:type="spellEnd"/>
      <w:r w:rsidR="00FD425A" w:rsidRPr="00FD425A">
        <w:t xml:space="preserve"> </w:t>
      </w:r>
      <w:proofErr w:type="spellStart"/>
      <w:r w:rsidR="00FD425A">
        <w:t>M</w:t>
      </w:r>
      <w:r w:rsidR="00FD425A" w:rsidRPr="00FD425A">
        <w:t>arques</w:t>
      </w:r>
      <w:proofErr w:type="spellEnd"/>
      <w:r w:rsidR="00FD425A" w:rsidRPr="00FD425A">
        <w:t xml:space="preserve"> de </w:t>
      </w:r>
      <w:proofErr w:type="spellStart"/>
      <w:r w:rsidR="00FD425A">
        <w:t>F</w:t>
      </w:r>
      <w:r w:rsidR="00FD425A" w:rsidRPr="00FD425A">
        <w:t>abrique</w:t>
      </w:r>
      <w:proofErr w:type="spellEnd"/>
      <w:r w:rsidR="00FD425A" w:rsidRPr="00FD425A">
        <w:t xml:space="preserve"> et de </w:t>
      </w:r>
      <w:r w:rsidR="00FD425A">
        <w:t>C</w:t>
      </w:r>
      <w:r w:rsidR="00FD425A" w:rsidRPr="00FD425A">
        <w:t>ommerce</w:t>
      </w:r>
      <w:r w:rsidR="00FD425A">
        <w:t>)</w:t>
      </w:r>
      <w:r w:rsidRPr="00FD425A">
        <w:t xml:space="preserve">’da </w:t>
      </w:r>
      <w:r w:rsidR="00C4227D">
        <w:t>tadil yapılmasına dair</w:t>
      </w:r>
      <w:r>
        <w:t xml:space="preserve"> komisyon raporu</w:t>
      </w:r>
      <w:r w:rsidR="00C4227D">
        <w:t>ndan bir alıntı yapalım</w:t>
      </w:r>
      <w:r>
        <w:t xml:space="preserve">: </w:t>
      </w:r>
      <w:r w:rsidRPr="007D621E">
        <w:rPr>
          <w:i/>
          <w:iCs/>
        </w:rPr>
        <w:t>“</w:t>
      </w:r>
      <w:proofErr w:type="spellStart"/>
      <w:r w:rsidRPr="007D621E">
        <w:rPr>
          <w:i/>
          <w:iCs/>
        </w:rPr>
        <w:t>Il</w:t>
      </w:r>
      <w:proofErr w:type="spellEnd"/>
      <w:r w:rsidRPr="007D621E">
        <w:rPr>
          <w:i/>
          <w:iCs/>
        </w:rPr>
        <w:t xml:space="preserve"> </w:t>
      </w:r>
      <w:proofErr w:type="spellStart"/>
      <w:r w:rsidRPr="007D621E">
        <w:rPr>
          <w:i/>
          <w:iCs/>
        </w:rPr>
        <w:t>est</w:t>
      </w:r>
      <w:proofErr w:type="spellEnd"/>
      <w:r w:rsidRPr="007D621E">
        <w:rPr>
          <w:i/>
          <w:iCs/>
        </w:rPr>
        <w:t xml:space="preserve"> </w:t>
      </w:r>
      <w:proofErr w:type="spellStart"/>
      <w:r w:rsidRPr="007D621E">
        <w:rPr>
          <w:i/>
          <w:iCs/>
        </w:rPr>
        <w:t>évident</w:t>
      </w:r>
      <w:proofErr w:type="spellEnd"/>
      <w:r w:rsidRPr="007D621E">
        <w:rPr>
          <w:i/>
          <w:iCs/>
        </w:rPr>
        <w:t xml:space="preserve"> </w:t>
      </w:r>
      <w:proofErr w:type="spellStart"/>
      <w:r w:rsidRPr="007D621E">
        <w:rPr>
          <w:i/>
          <w:iCs/>
        </w:rPr>
        <w:t>que</w:t>
      </w:r>
      <w:proofErr w:type="spellEnd"/>
      <w:r w:rsidRPr="007D621E">
        <w:rPr>
          <w:i/>
          <w:iCs/>
        </w:rPr>
        <w:t xml:space="preserve"> la </w:t>
      </w:r>
      <w:proofErr w:type="spellStart"/>
      <w:r w:rsidRPr="007D621E">
        <w:rPr>
          <w:i/>
          <w:iCs/>
        </w:rPr>
        <w:t>législation</w:t>
      </w:r>
      <w:proofErr w:type="spellEnd"/>
      <w:r w:rsidRPr="007D621E">
        <w:rPr>
          <w:i/>
          <w:iCs/>
        </w:rPr>
        <w:t xml:space="preserve"> </w:t>
      </w:r>
      <w:proofErr w:type="spellStart"/>
      <w:r w:rsidRPr="007D621E">
        <w:rPr>
          <w:i/>
          <w:iCs/>
        </w:rPr>
        <w:t>devenait</w:t>
      </w:r>
      <w:proofErr w:type="spellEnd"/>
      <w:r w:rsidRPr="007D621E">
        <w:rPr>
          <w:i/>
          <w:iCs/>
        </w:rPr>
        <w:t xml:space="preserve"> </w:t>
      </w:r>
      <w:proofErr w:type="spellStart"/>
      <w:r w:rsidRPr="007D621E">
        <w:rPr>
          <w:i/>
          <w:iCs/>
        </w:rPr>
        <w:t>insuffisante</w:t>
      </w:r>
      <w:proofErr w:type="spellEnd"/>
      <w:r w:rsidRPr="007D621E">
        <w:rPr>
          <w:i/>
          <w:iCs/>
        </w:rPr>
        <w:t xml:space="preserve">, car il </w:t>
      </w:r>
      <w:proofErr w:type="spellStart"/>
      <w:r w:rsidRPr="007D621E">
        <w:rPr>
          <w:i/>
          <w:iCs/>
        </w:rPr>
        <w:t>était</w:t>
      </w:r>
      <w:proofErr w:type="spellEnd"/>
      <w:r w:rsidRPr="007D621E">
        <w:rPr>
          <w:i/>
          <w:iCs/>
        </w:rPr>
        <w:t xml:space="preserve"> </w:t>
      </w:r>
      <w:proofErr w:type="spellStart"/>
      <w:r w:rsidRPr="007D621E">
        <w:rPr>
          <w:i/>
          <w:iCs/>
        </w:rPr>
        <w:t>bien</w:t>
      </w:r>
      <w:proofErr w:type="spellEnd"/>
      <w:r w:rsidRPr="007D621E">
        <w:rPr>
          <w:i/>
          <w:iCs/>
        </w:rPr>
        <w:t xml:space="preserve"> </w:t>
      </w:r>
      <w:proofErr w:type="spellStart"/>
      <w:r w:rsidRPr="007D621E">
        <w:rPr>
          <w:i/>
          <w:iCs/>
        </w:rPr>
        <w:t>difficile</w:t>
      </w:r>
      <w:proofErr w:type="spellEnd"/>
      <w:r w:rsidRPr="007D621E">
        <w:rPr>
          <w:i/>
          <w:iCs/>
        </w:rPr>
        <w:t xml:space="preserve"> de </w:t>
      </w:r>
      <w:proofErr w:type="spellStart"/>
      <w:r w:rsidRPr="007D621E">
        <w:rPr>
          <w:i/>
          <w:iCs/>
        </w:rPr>
        <w:t>s’assurer</w:t>
      </w:r>
      <w:proofErr w:type="spellEnd"/>
      <w:r w:rsidRPr="007D621E">
        <w:rPr>
          <w:i/>
          <w:iCs/>
        </w:rPr>
        <w:t xml:space="preserve"> </w:t>
      </w:r>
      <w:proofErr w:type="spellStart"/>
      <w:r w:rsidRPr="007D621E">
        <w:rPr>
          <w:i/>
          <w:iCs/>
        </w:rPr>
        <w:t>qu’une</w:t>
      </w:r>
      <w:proofErr w:type="spellEnd"/>
      <w:r w:rsidRPr="007D621E">
        <w:rPr>
          <w:i/>
          <w:iCs/>
        </w:rPr>
        <w:t xml:space="preserve"> </w:t>
      </w:r>
      <w:proofErr w:type="spellStart"/>
      <w:r w:rsidRPr="007D621E">
        <w:rPr>
          <w:i/>
          <w:iCs/>
        </w:rPr>
        <w:t>marque</w:t>
      </w:r>
      <w:proofErr w:type="spellEnd"/>
      <w:r w:rsidRPr="007D621E">
        <w:rPr>
          <w:i/>
          <w:iCs/>
        </w:rPr>
        <w:t xml:space="preserve"> </w:t>
      </w:r>
      <w:proofErr w:type="spellStart"/>
      <w:r w:rsidRPr="007D621E">
        <w:rPr>
          <w:i/>
          <w:iCs/>
        </w:rPr>
        <w:t>déterminés</w:t>
      </w:r>
      <w:proofErr w:type="spellEnd"/>
      <w:r w:rsidRPr="007D621E">
        <w:rPr>
          <w:i/>
          <w:iCs/>
        </w:rPr>
        <w:t xml:space="preserve"> </w:t>
      </w:r>
      <w:proofErr w:type="spellStart"/>
      <w:r w:rsidRPr="007D621E">
        <w:rPr>
          <w:i/>
          <w:iCs/>
        </w:rPr>
        <w:t>n’avait</w:t>
      </w:r>
      <w:proofErr w:type="spellEnd"/>
      <w:r w:rsidRPr="007D621E">
        <w:rPr>
          <w:i/>
          <w:iCs/>
        </w:rPr>
        <w:t xml:space="preserve"> pas </w:t>
      </w:r>
      <w:proofErr w:type="spellStart"/>
      <w:r w:rsidRPr="007D621E">
        <w:rPr>
          <w:i/>
          <w:iCs/>
        </w:rPr>
        <w:t>déja</w:t>
      </w:r>
      <w:proofErr w:type="spellEnd"/>
      <w:r w:rsidRPr="007D621E">
        <w:rPr>
          <w:i/>
          <w:iCs/>
        </w:rPr>
        <w:t xml:space="preserve"> </w:t>
      </w:r>
      <w:proofErr w:type="spellStart"/>
      <w:r w:rsidRPr="007D621E">
        <w:rPr>
          <w:i/>
          <w:iCs/>
        </w:rPr>
        <w:t>fait</w:t>
      </w:r>
      <w:proofErr w:type="spellEnd"/>
      <w:r w:rsidRPr="007D621E">
        <w:rPr>
          <w:i/>
          <w:iCs/>
        </w:rPr>
        <w:t xml:space="preserve"> </w:t>
      </w:r>
      <w:proofErr w:type="spellStart"/>
      <w:r w:rsidRPr="007D621E">
        <w:rPr>
          <w:i/>
          <w:iCs/>
        </w:rPr>
        <w:t>l’objet</w:t>
      </w:r>
      <w:proofErr w:type="spellEnd"/>
      <w:r w:rsidRPr="007D621E">
        <w:rPr>
          <w:i/>
          <w:iCs/>
        </w:rPr>
        <w:t xml:space="preserve"> </w:t>
      </w:r>
      <w:proofErr w:type="spellStart"/>
      <w:r w:rsidRPr="007D621E">
        <w:rPr>
          <w:i/>
          <w:iCs/>
        </w:rPr>
        <w:t>d’un</w:t>
      </w:r>
      <w:proofErr w:type="spellEnd"/>
      <w:r w:rsidRPr="007D621E">
        <w:rPr>
          <w:i/>
          <w:iCs/>
        </w:rPr>
        <w:t xml:space="preserve"> </w:t>
      </w:r>
      <w:proofErr w:type="spellStart"/>
      <w:r w:rsidRPr="007D621E">
        <w:rPr>
          <w:i/>
          <w:iCs/>
        </w:rPr>
        <w:t>dépôt</w:t>
      </w:r>
      <w:proofErr w:type="spellEnd"/>
      <w:r w:rsidRPr="007D621E">
        <w:rPr>
          <w:i/>
          <w:iCs/>
        </w:rPr>
        <w:t xml:space="preserve"> </w:t>
      </w:r>
      <w:proofErr w:type="spellStart"/>
      <w:r w:rsidRPr="007D621E">
        <w:rPr>
          <w:i/>
          <w:iCs/>
        </w:rPr>
        <w:t>au</w:t>
      </w:r>
      <w:proofErr w:type="spellEnd"/>
      <w:r w:rsidRPr="007D621E">
        <w:rPr>
          <w:i/>
          <w:iCs/>
        </w:rPr>
        <w:t xml:space="preserve"> </w:t>
      </w:r>
      <w:proofErr w:type="spellStart"/>
      <w:r w:rsidRPr="007D621E">
        <w:rPr>
          <w:i/>
          <w:iCs/>
        </w:rPr>
        <w:t>greffe</w:t>
      </w:r>
      <w:proofErr w:type="spellEnd"/>
      <w:r w:rsidRPr="007D621E">
        <w:rPr>
          <w:i/>
          <w:iCs/>
        </w:rPr>
        <w:t xml:space="preserve"> de </w:t>
      </w:r>
      <w:proofErr w:type="spellStart"/>
      <w:r w:rsidRPr="007D621E">
        <w:rPr>
          <w:i/>
          <w:iCs/>
        </w:rPr>
        <w:t>l’un</w:t>
      </w:r>
      <w:proofErr w:type="spellEnd"/>
      <w:r w:rsidRPr="007D621E">
        <w:rPr>
          <w:i/>
          <w:iCs/>
        </w:rPr>
        <w:t xml:space="preserve"> </w:t>
      </w:r>
      <w:proofErr w:type="spellStart"/>
      <w:r w:rsidRPr="007D621E">
        <w:rPr>
          <w:i/>
          <w:iCs/>
        </w:rPr>
        <w:t>des</w:t>
      </w:r>
      <w:proofErr w:type="spellEnd"/>
      <w:r w:rsidRPr="007D621E">
        <w:rPr>
          <w:i/>
          <w:iCs/>
        </w:rPr>
        <w:t xml:space="preserve"> </w:t>
      </w:r>
      <w:proofErr w:type="spellStart"/>
      <w:r w:rsidRPr="007D621E">
        <w:rPr>
          <w:i/>
          <w:iCs/>
        </w:rPr>
        <w:t>nombreux</w:t>
      </w:r>
      <w:proofErr w:type="spellEnd"/>
      <w:r w:rsidRPr="007D621E">
        <w:rPr>
          <w:i/>
          <w:iCs/>
        </w:rPr>
        <w:t xml:space="preserve"> </w:t>
      </w:r>
      <w:proofErr w:type="spellStart"/>
      <w:r w:rsidRPr="007D621E">
        <w:rPr>
          <w:i/>
          <w:iCs/>
        </w:rPr>
        <w:t>Tribunaux</w:t>
      </w:r>
      <w:proofErr w:type="spellEnd"/>
      <w:r w:rsidRPr="007D621E">
        <w:rPr>
          <w:i/>
          <w:iCs/>
        </w:rPr>
        <w:t xml:space="preserve"> de Commerce de France. Par </w:t>
      </w:r>
      <w:proofErr w:type="spellStart"/>
      <w:r w:rsidRPr="007D621E">
        <w:rPr>
          <w:i/>
          <w:iCs/>
        </w:rPr>
        <w:t>surplus</w:t>
      </w:r>
      <w:proofErr w:type="spellEnd"/>
      <w:r w:rsidRPr="007D621E">
        <w:rPr>
          <w:i/>
          <w:iCs/>
        </w:rPr>
        <w:t xml:space="preserve">, la </w:t>
      </w:r>
      <w:proofErr w:type="spellStart"/>
      <w:r w:rsidRPr="007D621E">
        <w:rPr>
          <w:i/>
          <w:iCs/>
        </w:rPr>
        <w:t>loi</w:t>
      </w:r>
      <w:proofErr w:type="spellEnd"/>
      <w:r w:rsidRPr="007D621E">
        <w:rPr>
          <w:i/>
          <w:iCs/>
        </w:rPr>
        <w:t xml:space="preserve"> de 1857 </w:t>
      </w:r>
      <w:proofErr w:type="spellStart"/>
      <w:r w:rsidRPr="007D621E">
        <w:rPr>
          <w:i/>
          <w:iCs/>
        </w:rPr>
        <w:t>laissant</w:t>
      </w:r>
      <w:proofErr w:type="spellEnd"/>
      <w:r w:rsidRPr="007D621E">
        <w:rPr>
          <w:i/>
          <w:iCs/>
        </w:rPr>
        <w:t xml:space="preserve"> le </w:t>
      </w:r>
      <w:proofErr w:type="spellStart"/>
      <w:r w:rsidRPr="007D621E">
        <w:rPr>
          <w:i/>
          <w:iCs/>
        </w:rPr>
        <w:t>dépôt</w:t>
      </w:r>
      <w:proofErr w:type="spellEnd"/>
      <w:r w:rsidRPr="007D621E">
        <w:rPr>
          <w:i/>
          <w:iCs/>
        </w:rPr>
        <w:t xml:space="preserve"> </w:t>
      </w:r>
      <w:proofErr w:type="spellStart"/>
      <w:r w:rsidRPr="007D621E">
        <w:rPr>
          <w:i/>
          <w:iCs/>
        </w:rPr>
        <w:t>facultatif</w:t>
      </w:r>
      <w:proofErr w:type="spellEnd"/>
      <w:r w:rsidRPr="007D621E">
        <w:rPr>
          <w:i/>
          <w:iCs/>
        </w:rPr>
        <w:t xml:space="preserve"> et ne le </w:t>
      </w:r>
      <w:proofErr w:type="spellStart"/>
      <w:r w:rsidRPr="007D621E">
        <w:rPr>
          <w:i/>
          <w:iCs/>
        </w:rPr>
        <w:t>rendant</w:t>
      </w:r>
      <w:proofErr w:type="spellEnd"/>
      <w:r w:rsidRPr="007D621E">
        <w:rPr>
          <w:i/>
          <w:iCs/>
        </w:rPr>
        <w:t xml:space="preserve"> </w:t>
      </w:r>
      <w:proofErr w:type="spellStart"/>
      <w:r w:rsidRPr="007D621E">
        <w:rPr>
          <w:i/>
          <w:iCs/>
        </w:rPr>
        <w:t>obligatoire</w:t>
      </w:r>
      <w:proofErr w:type="spellEnd"/>
      <w:r w:rsidRPr="007D621E">
        <w:rPr>
          <w:i/>
          <w:iCs/>
        </w:rPr>
        <w:t xml:space="preserve"> </w:t>
      </w:r>
      <w:proofErr w:type="spellStart"/>
      <w:r w:rsidRPr="007D621E">
        <w:rPr>
          <w:i/>
          <w:iCs/>
        </w:rPr>
        <w:t>qu’avant</w:t>
      </w:r>
      <w:proofErr w:type="spellEnd"/>
      <w:r w:rsidRPr="007D621E">
        <w:rPr>
          <w:i/>
          <w:iCs/>
        </w:rPr>
        <w:t xml:space="preserve"> </w:t>
      </w:r>
      <w:proofErr w:type="spellStart"/>
      <w:r w:rsidRPr="007D621E">
        <w:rPr>
          <w:i/>
          <w:iCs/>
        </w:rPr>
        <w:t>des</w:t>
      </w:r>
      <w:proofErr w:type="spellEnd"/>
      <w:r w:rsidRPr="007D621E">
        <w:rPr>
          <w:i/>
          <w:iCs/>
        </w:rPr>
        <w:t xml:space="preserve"> </w:t>
      </w:r>
      <w:proofErr w:type="spellStart"/>
      <w:r w:rsidRPr="007D621E">
        <w:rPr>
          <w:i/>
          <w:iCs/>
        </w:rPr>
        <w:t>poursuites</w:t>
      </w:r>
      <w:proofErr w:type="spellEnd"/>
      <w:r w:rsidRPr="007D621E">
        <w:rPr>
          <w:i/>
          <w:iCs/>
        </w:rPr>
        <w:t xml:space="preserve"> en </w:t>
      </w:r>
      <w:proofErr w:type="spellStart"/>
      <w:r w:rsidRPr="007D621E">
        <w:rPr>
          <w:i/>
          <w:iCs/>
        </w:rPr>
        <w:t>contrefaçon</w:t>
      </w:r>
      <w:proofErr w:type="spellEnd"/>
      <w:r w:rsidRPr="007D621E">
        <w:rPr>
          <w:i/>
          <w:iCs/>
        </w:rPr>
        <w:t xml:space="preserve">, il </w:t>
      </w:r>
      <w:proofErr w:type="spellStart"/>
      <w:r w:rsidRPr="007D621E">
        <w:rPr>
          <w:i/>
          <w:iCs/>
        </w:rPr>
        <w:t>devenait</w:t>
      </w:r>
      <w:proofErr w:type="spellEnd"/>
      <w:r w:rsidRPr="007D621E">
        <w:rPr>
          <w:i/>
          <w:iCs/>
        </w:rPr>
        <w:t xml:space="preserve"> </w:t>
      </w:r>
      <w:proofErr w:type="spellStart"/>
      <w:r w:rsidRPr="007D621E">
        <w:rPr>
          <w:i/>
          <w:iCs/>
        </w:rPr>
        <w:t>matériellement</w:t>
      </w:r>
      <w:proofErr w:type="spellEnd"/>
      <w:r w:rsidRPr="007D621E">
        <w:rPr>
          <w:i/>
          <w:iCs/>
        </w:rPr>
        <w:t xml:space="preserve"> </w:t>
      </w:r>
      <w:proofErr w:type="spellStart"/>
      <w:r w:rsidRPr="007D621E">
        <w:rPr>
          <w:i/>
          <w:iCs/>
        </w:rPr>
        <w:t>impossible</w:t>
      </w:r>
      <w:proofErr w:type="spellEnd"/>
      <w:r w:rsidRPr="007D621E">
        <w:rPr>
          <w:i/>
          <w:iCs/>
        </w:rPr>
        <w:t xml:space="preserve"> à un </w:t>
      </w:r>
      <w:proofErr w:type="spellStart"/>
      <w:r w:rsidRPr="007D621E">
        <w:rPr>
          <w:i/>
          <w:iCs/>
        </w:rPr>
        <w:t>industriel</w:t>
      </w:r>
      <w:proofErr w:type="spellEnd"/>
      <w:r w:rsidRPr="007D621E">
        <w:rPr>
          <w:i/>
          <w:iCs/>
        </w:rPr>
        <w:t xml:space="preserve"> de </w:t>
      </w:r>
      <w:proofErr w:type="spellStart"/>
      <w:r w:rsidRPr="007D621E">
        <w:rPr>
          <w:i/>
          <w:iCs/>
        </w:rPr>
        <w:t>savoir</w:t>
      </w:r>
      <w:proofErr w:type="spellEnd"/>
      <w:r w:rsidRPr="007D621E">
        <w:rPr>
          <w:i/>
          <w:iCs/>
        </w:rPr>
        <w:t xml:space="preserve"> si </w:t>
      </w:r>
      <w:proofErr w:type="spellStart"/>
      <w:r w:rsidRPr="007D621E">
        <w:rPr>
          <w:i/>
          <w:iCs/>
        </w:rPr>
        <w:t>une</w:t>
      </w:r>
      <w:proofErr w:type="spellEnd"/>
      <w:r w:rsidRPr="007D621E">
        <w:rPr>
          <w:i/>
          <w:iCs/>
        </w:rPr>
        <w:t xml:space="preserve"> </w:t>
      </w:r>
      <w:proofErr w:type="spellStart"/>
      <w:r w:rsidRPr="007D621E">
        <w:rPr>
          <w:i/>
          <w:iCs/>
        </w:rPr>
        <w:t>marque</w:t>
      </w:r>
      <w:proofErr w:type="spellEnd"/>
      <w:r w:rsidRPr="007D621E">
        <w:rPr>
          <w:i/>
          <w:iCs/>
        </w:rPr>
        <w:t xml:space="preserve"> </w:t>
      </w:r>
      <w:proofErr w:type="spellStart"/>
      <w:r w:rsidRPr="007D621E">
        <w:rPr>
          <w:i/>
          <w:iCs/>
        </w:rPr>
        <w:t>n’existait</w:t>
      </w:r>
      <w:proofErr w:type="spellEnd"/>
      <w:r w:rsidRPr="007D621E">
        <w:rPr>
          <w:i/>
          <w:iCs/>
        </w:rPr>
        <w:t xml:space="preserve"> pas </w:t>
      </w:r>
      <w:proofErr w:type="spellStart"/>
      <w:r w:rsidRPr="007D621E">
        <w:rPr>
          <w:i/>
          <w:iCs/>
        </w:rPr>
        <w:t>déjà</w:t>
      </w:r>
      <w:proofErr w:type="spellEnd"/>
      <w:r w:rsidRPr="007D621E">
        <w:rPr>
          <w:i/>
          <w:iCs/>
        </w:rPr>
        <w:t xml:space="preserve"> </w:t>
      </w:r>
      <w:proofErr w:type="spellStart"/>
      <w:r w:rsidRPr="007D621E">
        <w:rPr>
          <w:i/>
          <w:iCs/>
        </w:rPr>
        <w:t>quelque</w:t>
      </w:r>
      <w:proofErr w:type="spellEnd"/>
      <w:r w:rsidRPr="007D621E">
        <w:rPr>
          <w:i/>
          <w:iCs/>
        </w:rPr>
        <w:t xml:space="preserve"> </w:t>
      </w:r>
      <w:proofErr w:type="spellStart"/>
      <w:r w:rsidRPr="007D621E">
        <w:rPr>
          <w:i/>
          <w:iCs/>
        </w:rPr>
        <w:t>part</w:t>
      </w:r>
      <w:proofErr w:type="spellEnd"/>
      <w:r w:rsidRPr="007D621E">
        <w:rPr>
          <w:i/>
          <w:iCs/>
        </w:rPr>
        <w:t xml:space="preserve">. Ce </w:t>
      </w:r>
      <w:proofErr w:type="spellStart"/>
      <w:r w:rsidRPr="007D621E">
        <w:rPr>
          <w:i/>
          <w:iCs/>
        </w:rPr>
        <w:t>seul</w:t>
      </w:r>
      <w:proofErr w:type="spellEnd"/>
      <w:r w:rsidRPr="007D621E">
        <w:rPr>
          <w:i/>
          <w:iCs/>
        </w:rPr>
        <w:t xml:space="preserve"> </w:t>
      </w:r>
      <w:proofErr w:type="spellStart"/>
      <w:r w:rsidRPr="007D621E">
        <w:rPr>
          <w:i/>
          <w:iCs/>
        </w:rPr>
        <w:t>inconvénient</w:t>
      </w:r>
      <w:proofErr w:type="spellEnd"/>
      <w:r w:rsidRPr="007D621E">
        <w:rPr>
          <w:i/>
          <w:iCs/>
        </w:rPr>
        <w:t xml:space="preserve"> </w:t>
      </w:r>
      <w:proofErr w:type="spellStart"/>
      <w:r w:rsidRPr="007D621E">
        <w:rPr>
          <w:i/>
          <w:iCs/>
        </w:rPr>
        <w:t>suffisait</w:t>
      </w:r>
      <w:proofErr w:type="spellEnd"/>
      <w:r w:rsidRPr="007D621E">
        <w:rPr>
          <w:i/>
          <w:iCs/>
        </w:rPr>
        <w:t xml:space="preserve"> à </w:t>
      </w:r>
      <w:proofErr w:type="spellStart"/>
      <w:r w:rsidRPr="007D621E">
        <w:rPr>
          <w:i/>
          <w:iCs/>
        </w:rPr>
        <w:t>justifier</w:t>
      </w:r>
      <w:proofErr w:type="spellEnd"/>
      <w:r w:rsidRPr="007D621E">
        <w:rPr>
          <w:i/>
          <w:iCs/>
        </w:rPr>
        <w:t xml:space="preserve"> un </w:t>
      </w:r>
      <w:proofErr w:type="spellStart"/>
      <w:r w:rsidRPr="007D621E">
        <w:rPr>
          <w:i/>
          <w:iCs/>
        </w:rPr>
        <w:t>remaniement</w:t>
      </w:r>
      <w:proofErr w:type="spellEnd"/>
      <w:r w:rsidRPr="007D621E">
        <w:rPr>
          <w:i/>
          <w:iCs/>
        </w:rPr>
        <w:t xml:space="preserve"> de la </w:t>
      </w:r>
      <w:proofErr w:type="spellStart"/>
      <w:r w:rsidRPr="007D621E">
        <w:rPr>
          <w:i/>
          <w:iCs/>
        </w:rPr>
        <w:t>loi</w:t>
      </w:r>
      <w:proofErr w:type="spellEnd"/>
      <w:r w:rsidRPr="007D621E">
        <w:rPr>
          <w:i/>
          <w:iCs/>
        </w:rPr>
        <w:t>.”</w:t>
      </w:r>
      <w:r w:rsidR="00FD425A">
        <w:rPr>
          <w:i/>
          <w:iCs/>
        </w:rPr>
        <w:t xml:space="preserve"> </w:t>
      </w:r>
      <w:r w:rsidR="00FD425A">
        <w:t>(</w:t>
      </w:r>
      <w:r w:rsidR="00FD425A" w:rsidRPr="00FD425A">
        <w:t xml:space="preserve">M. </w:t>
      </w:r>
      <w:proofErr w:type="spellStart"/>
      <w:r w:rsidR="00FD425A" w:rsidRPr="00FD425A">
        <w:t>Henri</w:t>
      </w:r>
      <w:proofErr w:type="spellEnd"/>
      <w:r w:rsidR="00FD425A" w:rsidRPr="00FD425A">
        <w:t xml:space="preserve"> </w:t>
      </w:r>
      <w:proofErr w:type="spellStart"/>
      <w:r w:rsidR="00FD425A" w:rsidRPr="00FD425A">
        <w:t>Bastit</w:t>
      </w:r>
      <w:proofErr w:type="spellEnd"/>
      <w:r w:rsidR="00FD425A" w:rsidRPr="00FD425A">
        <w:t xml:space="preserve">, </w:t>
      </w:r>
      <w:proofErr w:type="spellStart"/>
      <w:r w:rsidR="00FD425A" w:rsidRPr="00FD425A">
        <w:rPr>
          <w:i/>
          <w:iCs/>
        </w:rPr>
        <w:t>Projet</w:t>
      </w:r>
      <w:proofErr w:type="spellEnd"/>
      <w:r w:rsidR="00FD425A" w:rsidRPr="00FD425A">
        <w:rPr>
          <w:i/>
          <w:iCs/>
        </w:rPr>
        <w:t xml:space="preserve"> de </w:t>
      </w:r>
      <w:proofErr w:type="spellStart"/>
      <w:r w:rsidR="00FD425A" w:rsidRPr="00FD425A">
        <w:rPr>
          <w:i/>
          <w:iCs/>
        </w:rPr>
        <w:t>Loi</w:t>
      </w:r>
      <w:proofErr w:type="spellEnd"/>
      <w:r w:rsidR="00FD425A" w:rsidRPr="00FD425A">
        <w:rPr>
          <w:i/>
          <w:iCs/>
        </w:rPr>
        <w:t xml:space="preserve"> </w:t>
      </w:r>
      <w:proofErr w:type="spellStart"/>
      <w:r w:rsidR="00FD425A" w:rsidRPr="00FD425A">
        <w:rPr>
          <w:i/>
          <w:iCs/>
        </w:rPr>
        <w:t>Portant</w:t>
      </w:r>
      <w:proofErr w:type="spellEnd"/>
      <w:r w:rsidR="00FD425A" w:rsidRPr="00FD425A">
        <w:rPr>
          <w:i/>
          <w:iCs/>
        </w:rPr>
        <w:t xml:space="preserve"> </w:t>
      </w:r>
      <w:proofErr w:type="spellStart"/>
      <w:r w:rsidR="00FD425A" w:rsidRPr="00FD425A">
        <w:rPr>
          <w:i/>
          <w:iCs/>
        </w:rPr>
        <w:t>Modification</w:t>
      </w:r>
      <w:proofErr w:type="spellEnd"/>
      <w:r w:rsidR="00FD425A" w:rsidRPr="00FD425A">
        <w:rPr>
          <w:i/>
          <w:iCs/>
        </w:rPr>
        <w:t xml:space="preserve"> de la </w:t>
      </w:r>
      <w:proofErr w:type="spellStart"/>
      <w:r w:rsidR="00FD425A" w:rsidRPr="00FD425A">
        <w:rPr>
          <w:i/>
          <w:iCs/>
        </w:rPr>
        <w:t>Loi</w:t>
      </w:r>
      <w:proofErr w:type="spellEnd"/>
      <w:r w:rsidR="00FD425A" w:rsidRPr="00FD425A">
        <w:rPr>
          <w:i/>
          <w:iCs/>
        </w:rPr>
        <w:t xml:space="preserve"> </w:t>
      </w:r>
      <w:proofErr w:type="spellStart"/>
      <w:r w:rsidR="00FD425A" w:rsidRPr="00FD425A">
        <w:rPr>
          <w:i/>
          <w:iCs/>
        </w:rPr>
        <w:t>du</w:t>
      </w:r>
      <w:proofErr w:type="spellEnd"/>
      <w:r w:rsidR="00FD425A" w:rsidRPr="00FD425A">
        <w:rPr>
          <w:i/>
          <w:iCs/>
        </w:rPr>
        <w:t xml:space="preserve"> 23 </w:t>
      </w:r>
      <w:proofErr w:type="spellStart"/>
      <w:r w:rsidR="00FD425A" w:rsidRPr="00FD425A">
        <w:rPr>
          <w:i/>
          <w:iCs/>
        </w:rPr>
        <w:t>juin</w:t>
      </w:r>
      <w:proofErr w:type="spellEnd"/>
      <w:r w:rsidR="00FD425A" w:rsidRPr="00FD425A">
        <w:rPr>
          <w:i/>
          <w:iCs/>
        </w:rPr>
        <w:t xml:space="preserve"> 1857 sur </w:t>
      </w:r>
      <w:proofErr w:type="spellStart"/>
      <w:r w:rsidR="00FD425A" w:rsidRPr="00FD425A">
        <w:rPr>
          <w:i/>
          <w:iCs/>
        </w:rPr>
        <w:t>les</w:t>
      </w:r>
      <w:proofErr w:type="spellEnd"/>
      <w:r w:rsidR="00FD425A" w:rsidRPr="00FD425A">
        <w:rPr>
          <w:i/>
          <w:iCs/>
        </w:rPr>
        <w:t xml:space="preserve"> </w:t>
      </w:r>
      <w:proofErr w:type="spellStart"/>
      <w:r w:rsidR="00FD425A" w:rsidRPr="00FD425A">
        <w:rPr>
          <w:i/>
          <w:iCs/>
        </w:rPr>
        <w:t>Marques</w:t>
      </w:r>
      <w:proofErr w:type="spellEnd"/>
      <w:r w:rsidR="00FD425A" w:rsidRPr="00FD425A">
        <w:rPr>
          <w:i/>
          <w:iCs/>
        </w:rPr>
        <w:t xml:space="preserve"> de </w:t>
      </w:r>
      <w:proofErr w:type="spellStart"/>
      <w:r w:rsidR="00FD425A" w:rsidRPr="00FD425A">
        <w:rPr>
          <w:i/>
          <w:iCs/>
        </w:rPr>
        <w:t>Fabrique</w:t>
      </w:r>
      <w:proofErr w:type="spellEnd"/>
      <w:r w:rsidR="00FD425A" w:rsidRPr="00FD425A">
        <w:rPr>
          <w:i/>
          <w:iCs/>
        </w:rPr>
        <w:t xml:space="preserve"> et de Commerce </w:t>
      </w:r>
      <w:proofErr w:type="spellStart"/>
      <w:r w:rsidR="00FD425A" w:rsidRPr="00FD425A">
        <w:rPr>
          <w:i/>
          <w:iCs/>
        </w:rPr>
        <w:t>Rapport</w:t>
      </w:r>
      <w:proofErr w:type="spellEnd"/>
      <w:r w:rsidR="00FD425A" w:rsidRPr="00FD425A">
        <w:rPr>
          <w:i/>
          <w:iCs/>
        </w:rPr>
        <w:t xml:space="preserve"> </w:t>
      </w:r>
      <w:proofErr w:type="spellStart"/>
      <w:r w:rsidR="00FD425A" w:rsidRPr="00FD425A">
        <w:rPr>
          <w:i/>
          <w:iCs/>
        </w:rPr>
        <w:t>Présenté</w:t>
      </w:r>
      <w:proofErr w:type="spellEnd"/>
      <w:r w:rsidR="00FD425A" w:rsidRPr="00FD425A">
        <w:rPr>
          <w:i/>
          <w:iCs/>
        </w:rPr>
        <w:t xml:space="preserve"> </w:t>
      </w:r>
      <w:proofErr w:type="spellStart"/>
      <w:r w:rsidR="00FD425A" w:rsidRPr="00FD425A">
        <w:rPr>
          <w:i/>
          <w:iCs/>
        </w:rPr>
        <w:t>au</w:t>
      </w:r>
      <w:proofErr w:type="spellEnd"/>
      <w:r w:rsidR="00FD425A" w:rsidRPr="00FD425A">
        <w:rPr>
          <w:i/>
          <w:iCs/>
        </w:rPr>
        <w:t xml:space="preserve"> </w:t>
      </w:r>
      <w:proofErr w:type="spellStart"/>
      <w:r w:rsidR="00FD425A" w:rsidRPr="00FD425A">
        <w:rPr>
          <w:i/>
          <w:iCs/>
        </w:rPr>
        <w:t>Nom</w:t>
      </w:r>
      <w:proofErr w:type="spellEnd"/>
      <w:r w:rsidR="00FD425A" w:rsidRPr="00FD425A">
        <w:rPr>
          <w:i/>
          <w:iCs/>
        </w:rPr>
        <w:t xml:space="preserve"> de la </w:t>
      </w:r>
      <w:proofErr w:type="spellStart"/>
      <w:r w:rsidR="00FD425A" w:rsidRPr="00FD425A">
        <w:rPr>
          <w:i/>
          <w:iCs/>
        </w:rPr>
        <w:t>Commission</w:t>
      </w:r>
      <w:proofErr w:type="spellEnd"/>
      <w:r w:rsidR="00FD425A" w:rsidRPr="00FD425A">
        <w:rPr>
          <w:i/>
          <w:iCs/>
        </w:rPr>
        <w:t xml:space="preserve"> </w:t>
      </w:r>
      <w:proofErr w:type="spellStart"/>
      <w:r w:rsidR="00FD425A" w:rsidRPr="00FD425A">
        <w:rPr>
          <w:i/>
          <w:iCs/>
        </w:rPr>
        <w:t>d’Initiative</w:t>
      </w:r>
      <w:proofErr w:type="spellEnd"/>
      <w:r w:rsidR="00FD425A" w:rsidRPr="00FD425A">
        <w:t xml:space="preserve">, </w:t>
      </w:r>
      <w:proofErr w:type="spellStart"/>
      <w:r w:rsidR="00FD425A" w:rsidRPr="00FD425A">
        <w:t>Typographie</w:t>
      </w:r>
      <w:proofErr w:type="spellEnd"/>
      <w:r w:rsidR="00FD425A" w:rsidRPr="00FD425A">
        <w:t xml:space="preserve"> et </w:t>
      </w:r>
      <w:proofErr w:type="spellStart"/>
      <w:r w:rsidR="00FD425A" w:rsidRPr="00FD425A">
        <w:t>Lithographie</w:t>
      </w:r>
      <w:proofErr w:type="spellEnd"/>
      <w:r w:rsidR="00FD425A" w:rsidRPr="00FD425A">
        <w:t xml:space="preserve"> </w:t>
      </w:r>
      <w:proofErr w:type="spellStart"/>
      <w:r w:rsidR="00FD425A" w:rsidRPr="00FD425A">
        <w:t>Bablatier</w:t>
      </w:r>
      <w:proofErr w:type="spellEnd"/>
      <w:r w:rsidR="00FD425A" w:rsidRPr="00FD425A">
        <w:t xml:space="preserve">, Marsilya, 1907, </w:t>
      </w:r>
      <w:r w:rsidR="00FD425A">
        <w:t>s. 4).</w:t>
      </w:r>
    </w:p>
  </w:footnote>
  <w:footnote w:id="13">
    <w:p w14:paraId="3D16E6BE" w14:textId="3C22D6F1" w:rsidR="00B6436B" w:rsidRDefault="00B6436B">
      <w:pPr>
        <w:pStyle w:val="DipnotMetni"/>
      </w:pPr>
      <w:r>
        <w:rPr>
          <w:rStyle w:val="DipnotBavurusu"/>
        </w:rPr>
        <w:footnoteRef/>
      </w:r>
      <w:r>
        <w:t xml:space="preserve"> </w:t>
      </w:r>
      <w:r>
        <w:tab/>
      </w:r>
      <w:proofErr w:type="spellStart"/>
      <w:r>
        <w:t>Pattishall</w:t>
      </w:r>
      <w:proofErr w:type="spellEnd"/>
      <w:r>
        <w:t xml:space="preserve">, s. 83; Ellen P. </w:t>
      </w:r>
      <w:proofErr w:type="spellStart"/>
      <w:r>
        <w:t>Winner</w:t>
      </w:r>
      <w:proofErr w:type="spellEnd"/>
      <w:r>
        <w:t xml:space="preserve">, </w:t>
      </w:r>
      <w:r w:rsidRPr="00FB15A0">
        <w:rPr>
          <w:i/>
          <w:iCs/>
        </w:rPr>
        <w:t>‘</w:t>
      </w:r>
      <w:proofErr w:type="spellStart"/>
      <w:r w:rsidRPr="00FB15A0">
        <w:rPr>
          <w:i/>
          <w:iCs/>
        </w:rPr>
        <w:t>Trademark</w:t>
      </w:r>
      <w:proofErr w:type="spellEnd"/>
      <w:r w:rsidRPr="00FB15A0">
        <w:rPr>
          <w:i/>
          <w:iCs/>
        </w:rPr>
        <w:t xml:space="preserve"> </w:t>
      </w:r>
      <w:proofErr w:type="spellStart"/>
      <w:r w:rsidRPr="00FB15A0">
        <w:rPr>
          <w:i/>
          <w:iCs/>
        </w:rPr>
        <w:t>Registration</w:t>
      </w:r>
      <w:proofErr w:type="spellEnd"/>
      <w:r w:rsidRPr="00FB15A0">
        <w:rPr>
          <w:i/>
          <w:iCs/>
        </w:rPr>
        <w:t xml:space="preserve"> – </w:t>
      </w:r>
      <w:proofErr w:type="spellStart"/>
      <w:r w:rsidRPr="00FB15A0">
        <w:rPr>
          <w:i/>
          <w:iCs/>
        </w:rPr>
        <w:t>What’s</w:t>
      </w:r>
      <w:proofErr w:type="spellEnd"/>
      <w:r w:rsidRPr="00FB15A0">
        <w:rPr>
          <w:i/>
          <w:iCs/>
        </w:rPr>
        <w:t xml:space="preserve"> </w:t>
      </w:r>
      <w:proofErr w:type="spellStart"/>
      <w:r w:rsidRPr="00FB15A0">
        <w:rPr>
          <w:i/>
          <w:iCs/>
        </w:rPr>
        <w:t>the</w:t>
      </w:r>
      <w:proofErr w:type="spellEnd"/>
      <w:r w:rsidRPr="00FB15A0">
        <w:rPr>
          <w:i/>
          <w:iCs/>
        </w:rPr>
        <w:t xml:space="preserve"> </w:t>
      </w:r>
      <w:proofErr w:type="spellStart"/>
      <w:r w:rsidRPr="00FB15A0">
        <w:rPr>
          <w:i/>
          <w:iCs/>
        </w:rPr>
        <w:t>Use</w:t>
      </w:r>
      <w:proofErr w:type="spellEnd"/>
      <w:r w:rsidRPr="00FB15A0">
        <w:rPr>
          <w:i/>
          <w:iCs/>
        </w:rPr>
        <w:t>’</w:t>
      </w:r>
      <w:r>
        <w:t xml:space="preserve">, IDEA: </w:t>
      </w:r>
      <w:proofErr w:type="spellStart"/>
      <w:r>
        <w:t>The</w:t>
      </w:r>
      <w:proofErr w:type="spellEnd"/>
      <w:r>
        <w:t xml:space="preserve"> </w:t>
      </w:r>
      <w:proofErr w:type="spellStart"/>
      <w:r>
        <w:t>Journal</w:t>
      </w:r>
      <w:proofErr w:type="spellEnd"/>
      <w:r>
        <w:t xml:space="preserve"> of </w:t>
      </w:r>
      <w:proofErr w:type="spellStart"/>
      <w:r>
        <w:t>Law</w:t>
      </w:r>
      <w:proofErr w:type="spellEnd"/>
      <w:r>
        <w:t xml:space="preserve"> </w:t>
      </w:r>
      <w:proofErr w:type="spellStart"/>
      <w:r>
        <w:t>and</w:t>
      </w:r>
      <w:proofErr w:type="spellEnd"/>
      <w:r>
        <w:t xml:space="preserve"> </w:t>
      </w:r>
      <w:proofErr w:type="spellStart"/>
      <w:r>
        <w:t>Technology</w:t>
      </w:r>
      <w:proofErr w:type="spellEnd"/>
      <w:r>
        <w:t xml:space="preserve">, </w:t>
      </w:r>
      <w:proofErr w:type="spellStart"/>
      <w:r>
        <w:t>Vol</w:t>
      </w:r>
      <w:proofErr w:type="spellEnd"/>
      <w:r>
        <w:t>. 23, No. 2, s. 25</w:t>
      </w:r>
    </w:p>
  </w:footnote>
  <w:footnote w:id="14">
    <w:p w14:paraId="7F8C2132" w14:textId="44625496" w:rsidR="00B064BF" w:rsidRDefault="00B064BF" w:rsidP="00417609">
      <w:pPr>
        <w:pStyle w:val="DipnotMetni"/>
      </w:pPr>
      <w:r>
        <w:rPr>
          <w:rStyle w:val="DipnotBavurusu"/>
        </w:rPr>
        <w:footnoteRef/>
      </w:r>
      <w:r>
        <w:t xml:space="preserve"> </w:t>
      </w:r>
      <w:r>
        <w:tab/>
        <w:t xml:space="preserve">Benzer yönde bkz. </w:t>
      </w:r>
      <w:proofErr w:type="spellStart"/>
      <w:r>
        <w:t>Rebecca</w:t>
      </w:r>
      <w:proofErr w:type="spellEnd"/>
      <w:r>
        <w:t xml:space="preserve"> </w:t>
      </w:r>
      <w:proofErr w:type="spellStart"/>
      <w:r>
        <w:t>Tushnet</w:t>
      </w:r>
      <w:proofErr w:type="spellEnd"/>
      <w:r>
        <w:t xml:space="preserve">, </w:t>
      </w:r>
      <w:r w:rsidRPr="008C24DF">
        <w:rPr>
          <w:i/>
          <w:iCs/>
        </w:rPr>
        <w:t>‘</w:t>
      </w:r>
      <w:proofErr w:type="spellStart"/>
      <w:r w:rsidRPr="008C24DF">
        <w:rPr>
          <w:i/>
          <w:iCs/>
        </w:rPr>
        <w:t>Registering</w:t>
      </w:r>
      <w:proofErr w:type="spellEnd"/>
      <w:r w:rsidRPr="008C24DF">
        <w:rPr>
          <w:i/>
          <w:iCs/>
        </w:rPr>
        <w:t xml:space="preserve"> </w:t>
      </w:r>
      <w:proofErr w:type="spellStart"/>
      <w:r w:rsidRPr="008C24DF">
        <w:rPr>
          <w:i/>
          <w:iCs/>
        </w:rPr>
        <w:t>Disagreement</w:t>
      </w:r>
      <w:proofErr w:type="spellEnd"/>
      <w:r w:rsidRPr="008C24DF">
        <w:rPr>
          <w:i/>
          <w:iCs/>
        </w:rPr>
        <w:t xml:space="preserve">: </w:t>
      </w:r>
      <w:proofErr w:type="spellStart"/>
      <w:r w:rsidRPr="008C24DF">
        <w:rPr>
          <w:i/>
          <w:iCs/>
        </w:rPr>
        <w:t>Registration</w:t>
      </w:r>
      <w:proofErr w:type="spellEnd"/>
      <w:r w:rsidRPr="008C24DF">
        <w:rPr>
          <w:i/>
          <w:iCs/>
        </w:rPr>
        <w:t xml:space="preserve"> in Modern </w:t>
      </w:r>
      <w:proofErr w:type="spellStart"/>
      <w:r w:rsidRPr="008C24DF">
        <w:rPr>
          <w:i/>
          <w:iCs/>
        </w:rPr>
        <w:t>American</w:t>
      </w:r>
      <w:proofErr w:type="spellEnd"/>
      <w:r w:rsidRPr="008C24DF">
        <w:rPr>
          <w:i/>
          <w:iCs/>
        </w:rPr>
        <w:t xml:space="preserve"> </w:t>
      </w:r>
      <w:proofErr w:type="spellStart"/>
      <w:r w:rsidRPr="008C24DF">
        <w:rPr>
          <w:i/>
          <w:iCs/>
        </w:rPr>
        <w:t>Trademark</w:t>
      </w:r>
      <w:proofErr w:type="spellEnd"/>
      <w:r w:rsidRPr="008C24DF">
        <w:rPr>
          <w:i/>
          <w:iCs/>
        </w:rPr>
        <w:t xml:space="preserve"> </w:t>
      </w:r>
      <w:proofErr w:type="spellStart"/>
      <w:r w:rsidRPr="008C24DF">
        <w:rPr>
          <w:i/>
          <w:iCs/>
        </w:rPr>
        <w:t>Law</w:t>
      </w:r>
      <w:proofErr w:type="spellEnd"/>
      <w:r w:rsidRPr="008C24DF">
        <w:rPr>
          <w:i/>
          <w:iCs/>
        </w:rPr>
        <w:t>’</w:t>
      </w:r>
      <w:r>
        <w:t xml:space="preserve">, Harvard </w:t>
      </w:r>
      <w:proofErr w:type="spellStart"/>
      <w:r>
        <w:t>Law</w:t>
      </w:r>
      <w:proofErr w:type="spellEnd"/>
      <w:r>
        <w:t xml:space="preserve"> </w:t>
      </w:r>
      <w:proofErr w:type="spellStart"/>
      <w:r>
        <w:t>Review</w:t>
      </w:r>
      <w:proofErr w:type="spellEnd"/>
      <w:r>
        <w:t xml:space="preserve">, </w:t>
      </w:r>
      <w:proofErr w:type="spellStart"/>
      <w:r>
        <w:t>Vol</w:t>
      </w:r>
      <w:proofErr w:type="spellEnd"/>
      <w:r>
        <w:t>, 130, No. 3, 2017, s. 871-872.</w:t>
      </w:r>
    </w:p>
  </w:footnote>
  <w:footnote w:id="15">
    <w:p w14:paraId="07EEF3E2" w14:textId="3CA770BB" w:rsidR="00B064BF" w:rsidRPr="001E3975" w:rsidRDefault="00B064BF" w:rsidP="00924085">
      <w:pPr>
        <w:pStyle w:val="DipnotMetni"/>
      </w:pPr>
      <w:r>
        <w:rPr>
          <w:rStyle w:val="DipnotBavurusu"/>
        </w:rPr>
        <w:footnoteRef/>
      </w:r>
      <w:r>
        <w:t xml:space="preserve"> </w:t>
      </w:r>
      <w:r>
        <w:tab/>
        <w:t xml:space="preserve">Marka olarak tescili talep edilen </w:t>
      </w:r>
      <w:r w:rsidR="005B07EC">
        <w:t xml:space="preserve">işaretin </w:t>
      </w:r>
      <w:r>
        <w:t xml:space="preserve">sicilde açık ve kesin olarak gösterilmesi zaruretinin de tescilin tanımlama fonksiyonuna hizmet ettiği yönünde bkz. Robert </w:t>
      </w:r>
      <w:proofErr w:type="spellStart"/>
      <w:r>
        <w:t>Burrell</w:t>
      </w:r>
      <w:proofErr w:type="spellEnd"/>
      <w:r>
        <w:t xml:space="preserve">/ Michael </w:t>
      </w:r>
      <w:proofErr w:type="spellStart"/>
      <w:r>
        <w:t>Handler</w:t>
      </w:r>
      <w:proofErr w:type="spellEnd"/>
      <w:r>
        <w:t xml:space="preserve">, </w:t>
      </w:r>
      <w:r w:rsidRPr="00924085">
        <w:rPr>
          <w:i/>
          <w:iCs/>
        </w:rPr>
        <w:t>‘</w:t>
      </w:r>
      <w:proofErr w:type="spellStart"/>
      <w:r w:rsidRPr="00924085">
        <w:rPr>
          <w:i/>
          <w:iCs/>
        </w:rPr>
        <w:t>Making</w:t>
      </w:r>
      <w:proofErr w:type="spellEnd"/>
      <w:r w:rsidRPr="00924085">
        <w:rPr>
          <w:i/>
          <w:iCs/>
        </w:rPr>
        <w:t xml:space="preserve"> Sense of </w:t>
      </w:r>
      <w:proofErr w:type="spellStart"/>
      <w:r w:rsidRPr="00924085">
        <w:rPr>
          <w:i/>
          <w:iCs/>
        </w:rPr>
        <w:t>Trade</w:t>
      </w:r>
      <w:proofErr w:type="spellEnd"/>
      <w:r w:rsidRPr="00924085">
        <w:rPr>
          <w:i/>
          <w:iCs/>
        </w:rPr>
        <w:t xml:space="preserve"> Mark </w:t>
      </w:r>
      <w:proofErr w:type="spellStart"/>
      <w:r w:rsidRPr="00924085">
        <w:rPr>
          <w:i/>
          <w:iCs/>
        </w:rPr>
        <w:t>Law</w:t>
      </w:r>
      <w:proofErr w:type="spellEnd"/>
      <w:r w:rsidRPr="00924085">
        <w:rPr>
          <w:i/>
          <w:iCs/>
        </w:rPr>
        <w:t>’</w:t>
      </w:r>
      <w:r>
        <w:t xml:space="preserve"> </w:t>
      </w:r>
      <w:r w:rsidRPr="00924085">
        <w:t>IPQ</w:t>
      </w:r>
      <w:r>
        <w:t>, No. 4,</w:t>
      </w:r>
      <w:r w:rsidRPr="00924085">
        <w:t xml:space="preserve"> </w:t>
      </w:r>
      <w:r>
        <w:t xml:space="preserve">2003, s. 393; </w:t>
      </w:r>
      <w:proofErr w:type="spellStart"/>
      <w:r>
        <w:t>Burrell</w:t>
      </w:r>
      <w:proofErr w:type="spellEnd"/>
      <w:r>
        <w:t xml:space="preserve">, s. 18. Benzer yönde bkz. CJUE, C-273/00, 12 Aralık 2002, </w:t>
      </w:r>
      <w:proofErr w:type="spellStart"/>
      <w:r>
        <w:t>Ralf</w:t>
      </w:r>
      <w:proofErr w:type="spellEnd"/>
      <w:r w:rsidR="00101057">
        <w:t xml:space="preserve"> </w:t>
      </w:r>
      <w:proofErr w:type="spellStart"/>
      <w:r>
        <w:t>Sieckmann</w:t>
      </w:r>
      <w:proofErr w:type="spellEnd"/>
      <w:r>
        <w:t xml:space="preserve">, </w:t>
      </w:r>
      <w:r w:rsidRPr="001523BC">
        <w:t>http://curia.europa.eu/juris/document/document.jsf?docid=47585&amp;mode=req&amp;pageIndex=1&amp;dir=&amp;occ=first&amp;part=1&amp;text=&amp;doclang=EN&amp;cid=2921368</w:t>
      </w:r>
      <w:r>
        <w:t xml:space="preserve"> (erişim tarihi, 6 Haziran 2020), para. 48. </w:t>
      </w:r>
    </w:p>
  </w:footnote>
  <w:footnote w:id="16">
    <w:p w14:paraId="750EE41D" w14:textId="0DB366A5" w:rsidR="00B064BF" w:rsidRDefault="00B064BF" w:rsidP="00924085">
      <w:pPr>
        <w:pStyle w:val="DipnotMetni"/>
      </w:pPr>
      <w:r>
        <w:rPr>
          <w:rStyle w:val="DipnotBavurusu"/>
        </w:rPr>
        <w:footnoteRef/>
      </w:r>
      <w:r>
        <w:t xml:space="preserve"> </w:t>
      </w:r>
      <w:r>
        <w:tab/>
        <w:t xml:space="preserve">Şehirali Çelik, tescilin işlevini hakkın konusu ve süjesi bakımından ikiye ayırarak “hakkın konusu ve kapsamına ilişkin bilgi işlevi” ve “hak sahibini teşhis ve yetkilendirme işlevi” olarak iki başlık altında incelemektedir (Feyzan Hayal Şehirali Çelik, </w:t>
      </w:r>
      <w:r w:rsidRPr="00924085">
        <w:rPr>
          <w:i/>
          <w:iCs/>
        </w:rPr>
        <w:t>‘Sınai Mülkiyet Hakkının Tescilinin Anlamı Üzerine-SMK m. 155 Vesilesiyle Bir İnceleme-</w:t>
      </w:r>
      <w:r>
        <w:rPr>
          <w:i/>
          <w:iCs/>
        </w:rPr>
        <w:t>’,</w:t>
      </w:r>
      <w:r>
        <w:rPr>
          <w:b/>
          <w:bCs/>
        </w:rPr>
        <w:t xml:space="preserve"> </w:t>
      </w:r>
      <w:r w:rsidRPr="00924085">
        <w:t>BATİDER</w:t>
      </w:r>
      <w:r>
        <w:t>, C. XXXIV, S. 2,</w:t>
      </w:r>
      <w:r w:rsidRPr="00924085">
        <w:t xml:space="preserve"> </w:t>
      </w:r>
      <w:r>
        <w:t>2018, s. 36-45).</w:t>
      </w:r>
    </w:p>
  </w:footnote>
  <w:footnote w:id="17">
    <w:p w14:paraId="36F8AC4D" w14:textId="524C2C9A" w:rsidR="00B064BF" w:rsidRDefault="00B064BF" w:rsidP="00924085">
      <w:pPr>
        <w:pStyle w:val="DipnotMetni"/>
      </w:pPr>
      <w:r>
        <w:rPr>
          <w:rStyle w:val="DipnotBavurusu"/>
        </w:rPr>
        <w:footnoteRef/>
      </w:r>
      <w:r>
        <w:t xml:space="preserve"> </w:t>
      </w:r>
      <w:r>
        <w:tab/>
        <w:t xml:space="preserve">Arseven, s. 15; Kaya, </w:t>
      </w:r>
      <w:r w:rsidR="00CD30A7" w:rsidRPr="00CD30A7">
        <w:rPr>
          <w:i/>
          <w:iCs/>
        </w:rPr>
        <w:t>Marka</w:t>
      </w:r>
      <w:r w:rsidR="00CD30A7">
        <w:t xml:space="preserve">, </w:t>
      </w:r>
      <w:r>
        <w:t xml:space="preserve">s. 39; Uğur Çolak, </w:t>
      </w:r>
      <w:r w:rsidRPr="00924085">
        <w:rPr>
          <w:i/>
          <w:iCs/>
        </w:rPr>
        <w:t>Türk Marka Hukuku</w:t>
      </w:r>
      <w:r>
        <w:t xml:space="preserve">, 4. Baskı, On İki Levha Yayıncılık, İstanbul, 2018, s. 11; Sevilay </w:t>
      </w:r>
      <w:proofErr w:type="spellStart"/>
      <w:r>
        <w:t>Uzunallı</w:t>
      </w:r>
      <w:proofErr w:type="spellEnd"/>
      <w:r>
        <w:t xml:space="preserve">, </w:t>
      </w:r>
      <w:r w:rsidRPr="00924085">
        <w:rPr>
          <w:i/>
          <w:iCs/>
        </w:rPr>
        <w:t>Marka Hukuku</w:t>
      </w:r>
      <w:r w:rsidRPr="006D43F0">
        <w:t xml:space="preserve">, </w:t>
      </w:r>
      <w:r>
        <w:t xml:space="preserve">Adalet Yayınevi, Ankara, 2019, s. 23; Hayrettin Çağlar, </w:t>
      </w:r>
      <w:r w:rsidRPr="00924085">
        <w:rPr>
          <w:i/>
          <w:iCs/>
        </w:rPr>
        <w:t>Marka Hukuku</w:t>
      </w:r>
      <w:r>
        <w:t xml:space="preserve">, Adalet Yayınevi, Ankara, 2013, s. 34; Hakan Karan/ Mehmet Kılıç, </w:t>
      </w:r>
      <w:r w:rsidRPr="00924085">
        <w:rPr>
          <w:i/>
          <w:iCs/>
        </w:rPr>
        <w:t>Markaların Korunması 556 Sayılı KHK Şerhi ve İlgili Mevzuat</w:t>
      </w:r>
      <w:r>
        <w:t>, Turhan Kitabevi, Ankara, 2004, s. 28; Hamdi Yasaman/ Sıtkı Anlam</w:t>
      </w:r>
      <w:r w:rsidRPr="00924085">
        <w:t xml:space="preserve"> </w:t>
      </w:r>
      <w:r>
        <w:t>Altay/ Tolga Ayoğlu</w:t>
      </w:r>
      <w:r w:rsidR="00FD6C24">
        <w:t xml:space="preserve">/ </w:t>
      </w:r>
      <w:proofErr w:type="spellStart"/>
      <w:r w:rsidR="00FD6C24">
        <w:t>Fülürya</w:t>
      </w:r>
      <w:proofErr w:type="spellEnd"/>
      <w:r w:rsidR="00FD6C24">
        <w:t xml:space="preserve"> Yusufoğlu/ Sinan Yüksel</w:t>
      </w:r>
      <w:r>
        <w:t xml:space="preserve">, </w:t>
      </w:r>
      <w:r w:rsidRPr="00924085">
        <w:rPr>
          <w:i/>
          <w:iCs/>
        </w:rPr>
        <w:t>Marka Hukuku: 556 Sayılı KHK Şerhi</w:t>
      </w:r>
      <w:r>
        <w:t xml:space="preserve">, </w:t>
      </w:r>
      <w:r w:rsidR="00745892">
        <w:t>C. I</w:t>
      </w:r>
      <w:r>
        <w:t>,</w:t>
      </w:r>
      <w:r w:rsidRPr="00C5501D">
        <w:t xml:space="preserve"> </w:t>
      </w:r>
      <w:r>
        <w:t xml:space="preserve">Vedat Kitapçılık, İstanbul, 2004, s. 175; </w:t>
      </w:r>
      <w:proofErr w:type="spellStart"/>
      <w:r>
        <w:t>Ivan</w:t>
      </w:r>
      <w:proofErr w:type="spellEnd"/>
      <w:r>
        <w:t xml:space="preserve"> </w:t>
      </w:r>
      <w:proofErr w:type="spellStart"/>
      <w:r>
        <w:t>Cherpillod</w:t>
      </w:r>
      <w:proofErr w:type="spellEnd"/>
      <w:r>
        <w:t xml:space="preserve">, </w:t>
      </w:r>
      <w:r w:rsidRPr="00924085">
        <w:rPr>
          <w:i/>
          <w:iCs/>
        </w:rPr>
        <w:t xml:space="preserve">Le </w:t>
      </w:r>
      <w:proofErr w:type="spellStart"/>
      <w:r w:rsidRPr="00924085">
        <w:rPr>
          <w:i/>
          <w:iCs/>
        </w:rPr>
        <w:t>Droit</w:t>
      </w:r>
      <w:proofErr w:type="spellEnd"/>
      <w:r w:rsidRPr="00924085">
        <w:rPr>
          <w:i/>
          <w:iCs/>
        </w:rPr>
        <w:t xml:space="preserve"> </w:t>
      </w:r>
      <w:proofErr w:type="spellStart"/>
      <w:r w:rsidRPr="00924085">
        <w:rPr>
          <w:i/>
          <w:iCs/>
        </w:rPr>
        <w:t>Suisse</w:t>
      </w:r>
      <w:proofErr w:type="spellEnd"/>
      <w:r w:rsidRPr="00924085">
        <w:rPr>
          <w:i/>
          <w:iCs/>
        </w:rPr>
        <w:t xml:space="preserve"> </w:t>
      </w:r>
      <w:proofErr w:type="spellStart"/>
      <w:r w:rsidRPr="00924085">
        <w:rPr>
          <w:i/>
          <w:iCs/>
        </w:rPr>
        <w:t>des</w:t>
      </w:r>
      <w:proofErr w:type="spellEnd"/>
      <w:r w:rsidRPr="00924085">
        <w:rPr>
          <w:i/>
          <w:iCs/>
        </w:rPr>
        <w:t xml:space="preserve"> </w:t>
      </w:r>
      <w:proofErr w:type="spellStart"/>
      <w:r w:rsidRPr="00924085">
        <w:rPr>
          <w:i/>
          <w:iCs/>
        </w:rPr>
        <w:t>Marques</w:t>
      </w:r>
      <w:proofErr w:type="spellEnd"/>
      <w:r>
        <w:t>, CEDIDAC, Lozan, 2007, s. 169;</w:t>
      </w:r>
      <w:r w:rsidRPr="00C5501D">
        <w:t xml:space="preserve"> </w:t>
      </w:r>
      <w:r>
        <w:t>François</w:t>
      </w:r>
      <w:r w:rsidRPr="00924085">
        <w:t xml:space="preserve"> </w:t>
      </w:r>
      <w:proofErr w:type="spellStart"/>
      <w:r>
        <w:t>Dessemontet</w:t>
      </w:r>
      <w:proofErr w:type="spellEnd"/>
      <w:r>
        <w:t>,</w:t>
      </w:r>
      <w:r w:rsidRPr="00C5501D">
        <w:t xml:space="preserve"> </w:t>
      </w:r>
      <w:r>
        <w:t xml:space="preserve"> </w:t>
      </w:r>
      <w:r w:rsidRPr="00924085">
        <w:rPr>
          <w:i/>
          <w:iCs/>
        </w:rPr>
        <w:t xml:space="preserve">La </w:t>
      </w:r>
      <w:proofErr w:type="spellStart"/>
      <w:r w:rsidRPr="00924085">
        <w:rPr>
          <w:i/>
          <w:iCs/>
        </w:rPr>
        <w:t>Propriété</w:t>
      </w:r>
      <w:proofErr w:type="spellEnd"/>
      <w:r w:rsidRPr="00924085">
        <w:rPr>
          <w:i/>
          <w:iCs/>
        </w:rPr>
        <w:t xml:space="preserve"> </w:t>
      </w:r>
      <w:proofErr w:type="spellStart"/>
      <w:r w:rsidRPr="00924085">
        <w:rPr>
          <w:i/>
          <w:iCs/>
        </w:rPr>
        <w:t>Intellectuelle</w:t>
      </w:r>
      <w:proofErr w:type="spellEnd"/>
      <w:r>
        <w:t>,</w:t>
      </w:r>
      <w:r w:rsidRPr="00170C8F">
        <w:t xml:space="preserve"> </w:t>
      </w:r>
      <w:r>
        <w:t>CEDIDAC, Lozan, 2000, s. 229.</w:t>
      </w:r>
    </w:p>
  </w:footnote>
  <w:footnote w:id="18">
    <w:p w14:paraId="7CF6E979" w14:textId="2D8B87E0" w:rsidR="00B064BF" w:rsidRDefault="00B064BF" w:rsidP="00924085">
      <w:pPr>
        <w:pStyle w:val="DipnotMetni"/>
      </w:pPr>
      <w:r>
        <w:rPr>
          <w:rStyle w:val="DipnotBavurusu"/>
        </w:rPr>
        <w:footnoteRef/>
      </w:r>
      <w:r>
        <w:t xml:space="preserve"> </w:t>
      </w:r>
      <w:r>
        <w:tab/>
        <w:t xml:space="preserve">Kaya, </w:t>
      </w:r>
      <w:r w:rsidR="00CD30A7" w:rsidRPr="00CD30A7">
        <w:rPr>
          <w:i/>
          <w:iCs/>
        </w:rPr>
        <w:t>Marka</w:t>
      </w:r>
      <w:r w:rsidR="00CD30A7">
        <w:t xml:space="preserve">, </w:t>
      </w:r>
      <w:r>
        <w:t xml:space="preserve">s. 37; Çolak, s. 11; </w:t>
      </w:r>
      <w:proofErr w:type="spellStart"/>
      <w:r>
        <w:t>Uzunallı</w:t>
      </w:r>
      <w:proofErr w:type="spellEnd"/>
      <w:r>
        <w:t xml:space="preserve">, s. 23; Çağlar, s. 35; </w:t>
      </w:r>
      <w:r w:rsidRPr="001307B4">
        <w:t>Yasaman</w:t>
      </w:r>
      <w:r>
        <w:t>/</w:t>
      </w:r>
      <w:r w:rsidRPr="001307B4">
        <w:t>Altay</w:t>
      </w:r>
      <w:r>
        <w:t>/</w:t>
      </w:r>
      <w:r w:rsidRPr="001307B4">
        <w:t>Ayo</w:t>
      </w:r>
      <w:r w:rsidRPr="001307B4">
        <w:rPr>
          <w:rFonts w:hint="eastAsia"/>
        </w:rPr>
        <w:t>ğ</w:t>
      </w:r>
      <w:r w:rsidRPr="001307B4">
        <w:t>lu</w:t>
      </w:r>
      <w:r w:rsidR="00FD6C24">
        <w:t>/Yusufoğlu/Yüksel</w:t>
      </w:r>
      <w:r>
        <w:t xml:space="preserve">, </w:t>
      </w:r>
      <w:r w:rsidRPr="001307B4">
        <w:t>s. 17</w:t>
      </w:r>
      <w:r>
        <w:t xml:space="preserve">6; Şehirali Çelik, SMK m. 155, s. 64-71; </w:t>
      </w:r>
      <w:proofErr w:type="spellStart"/>
      <w:r>
        <w:t>Cherpillod</w:t>
      </w:r>
      <w:proofErr w:type="spellEnd"/>
      <w:r>
        <w:t>,</w:t>
      </w:r>
      <w:r w:rsidRPr="00C5501D">
        <w:t xml:space="preserve"> </w:t>
      </w:r>
      <w:r>
        <w:t>s. 160.</w:t>
      </w:r>
    </w:p>
  </w:footnote>
  <w:footnote w:id="19">
    <w:p w14:paraId="2767CF8E" w14:textId="568CEF69" w:rsidR="00B064BF" w:rsidRDefault="00B064BF" w:rsidP="00924085">
      <w:pPr>
        <w:pStyle w:val="DipnotMetni"/>
      </w:pPr>
      <w:r>
        <w:rPr>
          <w:rStyle w:val="DipnotBavurusu"/>
        </w:rPr>
        <w:footnoteRef/>
      </w:r>
      <w:r>
        <w:t xml:space="preserve"> </w:t>
      </w:r>
      <w:r>
        <w:tab/>
        <w:t>Bu meyanda eşya hukukuna (ayni haklara) hâkim olan belirlilik (</w:t>
      </w:r>
      <w:proofErr w:type="spellStart"/>
      <w:r>
        <w:t>muayyenlik</w:t>
      </w:r>
      <w:proofErr w:type="spellEnd"/>
      <w:r>
        <w:t xml:space="preserve">) ilkesi de aynı ihtiyaçtan kaynaklanmaktadır. Bu ilke hakkında bkz. A. Lale Sirmen, </w:t>
      </w:r>
      <w:r w:rsidRPr="00924085">
        <w:rPr>
          <w:i/>
          <w:iCs/>
        </w:rPr>
        <w:t>Eşya Hukuku</w:t>
      </w:r>
      <w:r>
        <w:t>, 7. Baskı, Yetkin Yayınları, Ankara, 2019, s. 32 vd. Fakat eşya hukukundaki belirlilik ilkesi, eşyanın “somut” bir varlığının olması sebebiyle hakkın konusu noktasında tam bir kesinlik sağlamaktadır.</w:t>
      </w:r>
    </w:p>
  </w:footnote>
  <w:footnote w:id="20">
    <w:p w14:paraId="146E132F" w14:textId="53B2113D" w:rsidR="00B064BF" w:rsidRDefault="00B064BF" w:rsidP="004944AC">
      <w:pPr>
        <w:pStyle w:val="DipnotMetni"/>
      </w:pPr>
      <w:r>
        <w:rPr>
          <w:rStyle w:val="DipnotBavurusu"/>
        </w:rPr>
        <w:footnoteRef/>
      </w:r>
      <w:r>
        <w:t xml:space="preserve"> </w:t>
      </w:r>
      <w:r>
        <w:tab/>
        <w:t xml:space="preserve">Benzer yönde bkz. Şehirali Çelik, SMK m. 155, s. 39. </w:t>
      </w:r>
    </w:p>
  </w:footnote>
  <w:footnote w:id="21">
    <w:p w14:paraId="5DE2ADB7" w14:textId="316BA2C8" w:rsidR="00B064BF" w:rsidRDefault="00B064BF" w:rsidP="004944AC">
      <w:pPr>
        <w:pStyle w:val="DipnotMetni"/>
      </w:pPr>
      <w:r>
        <w:rPr>
          <w:rStyle w:val="DipnotBavurusu"/>
        </w:rPr>
        <w:footnoteRef/>
      </w:r>
      <w:r>
        <w:t xml:space="preserve"> </w:t>
      </w:r>
      <w:r>
        <w:tab/>
        <w:t xml:space="preserve">Şehirali Çelik, SMK m. 155, s. 41-42; </w:t>
      </w:r>
      <w:r>
        <w:rPr>
          <w:szCs w:val="18"/>
        </w:rPr>
        <w:t xml:space="preserve">Şehirali Çelik, Tescilli Tasarım, s. 42; Alıca, s. 677; </w:t>
      </w:r>
      <w:proofErr w:type="spellStart"/>
      <w:r>
        <w:rPr>
          <w:szCs w:val="18"/>
        </w:rPr>
        <w:t>Tushnet</w:t>
      </w:r>
      <w:proofErr w:type="spellEnd"/>
      <w:r>
        <w:rPr>
          <w:szCs w:val="18"/>
        </w:rPr>
        <w:t>, s. 876.</w:t>
      </w:r>
    </w:p>
  </w:footnote>
  <w:footnote w:id="22">
    <w:p w14:paraId="5C2F35CC" w14:textId="04934DAF" w:rsidR="00B064BF" w:rsidRDefault="00B064BF" w:rsidP="004944AC">
      <w:pPr>
        <w:pStyle w:val="DipnotMetni"/>
      </w:pPr>
      <w:r>
        <w:rPr>
          <w:rStyle w:val="DipnotBavurusu"/>
        </w:rPr>
        <w:footnoteRef/>
      </w:r>
      <w:r>
        <w:t xml:space="preserve"> </w:t>
      </w:r>
      <w:r>
        <w:tab/>
        <w:t>Bu hususta etraflıca bilgi ve örnekler için bkz. Şehirali Çelik, SMK m. 155, s. 42-45; Alıca, s. 687.</w:t>
      </w:r>
      <w:r w:rsidR="00A61215">
        <w:t xml:space="preserve"> SMK m. 7.2. hükmü bu husus şöyle ifade eder: </w:t>
      </w:r>
      <w:r w:rsidR="00A61215" w:rsidRPr="00A61215">
        <w:rPr>
          <w:i/>
          <w:iCs/>
        </w:rPr>
        <w:t>“Marka tescilinden doğan haklar münhasıran marka sahibine aittir.”</w:t>
      </w:r>
    </w:p>
  </w:footnote>
  <w:footnote w:id="23">
    <w:p w14:paraId="7CF0EE2F" w14:textId="3102F577" w:rsidR="00B064BF" w:rsidRDefault="00B064BF" w:rsidP="004944AC">
      <w:pPr>
        <w:pStyle w:val="DipnotMetni"/>
      </w:pPr>
      <w:r>
        <w:rPr>
          <w:rStyle w:val="DipnotBavurusu"/>
        </w:rPr>
        <w:footnoteRef/>
      </w:r>
      <w:r>
        <w:t xml:space="preserve"> </w:t>
      </w:r>
      <w:r>
        <w:tab/>
      </w:r>
      <w:proofErr w:type="spellStart"/>
      <w:r>
        <w:t>Burrell</w:t>
      </w:r>
      <w:proofErr w:type="spellEnd"/>
      <w:r>
        <w:t>/</w:t>
      </w:r>
      <w:proofErr w:type="spellStart"/>
      <w:r>
        <w:t>Handler</w:t>
      </w:r>
      <w:proofErr w:type="spellEnd"/>
      <w:r>
        <w:t>, s. 393; CJUE, C-273/00, para. 50.</w:t>
      </w:r>
    </w:p>
  </w:footnote>
  <w:footnote w:id="24">
    <w:p w14:paraId="65D778D0" w14:textId="4124A928" w:rsidR="00D54F59" w:rsidRDefault="00D54F59" w:rsidP="00A226F7">
      <w:pPr>
        <w:pStyle w:val="DipnotMetni"/>
      </w:pPr>
      <w:r>
        <w:rPr>
          <w:rStyle w:val="DipnotBavurusu"/>
        </w:rPr>
        <w:footnoteRef/>
      </w:r>
      <w:r>
        <w:t xml:space="preserve"> </w:t>
      </w:r>
      <w:r>
        <w:tab/>
      </w:r>
      <w:r w:rsidR="00A226F7">
        <w:t>Bakanlıklara Bağlı, İlgili, İlişkili Kurum ve Kuruluşlar ile Diğer Kurum ve Kuruluşların Teşkilatı Hakkında Cumhurbaşkanlığı Kararnamesi m. 358 uyarınca Türk Patent ve Marka Kurumu’nun kısa adıdır.</w:t>
      </w:r>
      <w:r>
        <w:t xml:space="preserve"> </w:t>
      </w:r>
    </w:p>
  </w:footnote>
  <w:footnote w:id="25">
    <w:p w14:paraId="3EF05CE4" w14:textId="4A4860C2" w:rsidR="00B064BF" w:rsidRDefault="00B064BF">
      <w:pPr>
        <w:pStyle w:val="DipnotMetni"/>
      </w:pPr>
      <w:r>
        <w:rPr>
          <w:rStyle w:val="DipnotBavurusu"/>
        </w:rPr>
        <w:footnoteRef/>
      </w:r>
      <w:r>
        <w:t xml:space="preserve"> </w:t>
      </w:r>
      <w:r>
        <w:tab/>
        <w:t>SMK m. 9.2 hükmü aynen şöyledir:</w:t>
      </w:r>
    </w:p>
    <w:p w14:paraId="55B4D83A" w14:textId="2874DB05" w:rsidR="00B064BF" w:rsidRPr="0038572C" w:rsidRDefault="00B064BF">
      <w:pPr>
        <w:pStyle w:val="DipnotMetni"/>
        <w:rPr>
          <w:i/>
          <w:iCs/>
        </w:rPr>
      </w:pPr>
      <w:r w:rsidRPr="0038572C">
        <w:rPr>
          <w:i/>
          <w:iCs/>
        </w:rPr>
        <w:tab/>
        <w:t>“Aşağıda belirtilen durumlar da birinci fıkra anlamında markayı kullanma kabul edilir:</w:t>
      </w:r>
    </w:p>
    <w:p w14:paraId="2603110E" w14:textId="02BEA95B" w:rsidR="00B064BF" w:rsidRDefault="00B064BF">
      <w:pPr>
        <w:pStyle w:val="DipnotMetni"/>
      </w:pPr>
      <w:r w:rsidRPr="0038572C">
        <w:rPr>
          <w:i/>
          <w:iCs/>
        </w:rPr>
        <w:tab/>
        <w:t>a) Markanın ayırt edici karakteri değiştirilmeden farklı unsurlarla kullanılması…”</w:t>
      </w:r>
    </w:p>
  </w:footnote>
  <w:footnote w:id="26">
    <w:p w14:paraId="1BD6645B" w14:textId="6773C6D9" w:rsidR="00B064BF" w:rsidRDefault="00B064BF" w:rsidP="004944AC">
      <w:pPr>
        <w:pStyle w:val="DipnotMetni"/>
      </w:pPr>
      <w:r>
        <w:rPr>
          <w:rStyle w:val="DipnotBavurusu"/>
        </w:rPr>
        <w:footnoteRef/>
      </w:r>
      <w:r>
        <w:t xml:space="preserve"> </w:t>
      </w:r>
      <w:r>
        <w:tab/>
        <w:t>Bu meyanda yukarıda zikrettiğimiz SMK m. 5 ve 11 hükümleri ile sair hükümler bu amaca hizmet etmektedir.</w:t>
      </w:r>
    </w:p>
  </w:footnote>
  <w:footnote w:id="27">
    <w:p w14:paraId="18D5BA6E" w14:textId="531237E9" w:rsidR="00B064BF" w:rsidRDefault="00B064BF">
      <w:pPr>
        <w:pStyle w:val="DipnotMetni"/>
      </w:pPr>
      <w:r>
        <w:rPr>
          <w:rStyle w:val="DipnotBavurusu"/>
        </w:rPr>
        <w:footnoteRef/>
      </w:r>
      <w:r>
        <w:t xml:space="preserve"> </w:t>
      </w:r>
      <w:r>
        <w:tab/>
      </w:r>
      <w:proofErr w:type="spellStart"/>
      <w:r>
        <w:t>Callman</w:t>
      </w:r>
      <w:proofErr w:type="spellEnd"/>
      <w:r>
        <w:t>, s. 23.</w:t>
      </w:r>
    </w:p>
  </w:footnote>
  <w:footnote w:id="28">
    <w:p w14:paraId="200BA558" w14:textId="446DA769" w:rsidR="00B064BF" w:rsidRDefault="00B064BF" w:rsidP="004944AC">
      <w:pPr>
        <w:pStyle w:val="DipnotMetni"/>
      </w:pPr>
      <w:r>
        <w:rPr>
          <w:rStyle w:val="DipnotBavurusu"/>
        </w:rPr>
        <w:footnoteRef/>
      </w:r>
      <w:r>
        <w:t xml:space="preserve"> </w:t>
      </w:r>
      <w:r>
        <w:tab/>
      </w:r>
      <w:proofErr w:type="spellStart"/>
      <w:r>
        <w:t>Burrell</w:t>
      </w:r>
      <w:proofErr w:type="spellEnd"/>
      <w:r>
        <w:t>/</w:t>
      </w:r>
      <w:proofErr w:type="spellStart"/>
      <w:r>
        <w:t>Handler</w:t>
      </w:r>
      <w:proofErr w:type="spellEnd"/>
      <w:r>
        <w:t xml:space="preserve">, s. 393; </w:t>
      </w:r>
      <w:proofErr w:type="spellStart"/>
      <w:r>
        <w:t>Burrell</w:t>
      </w:r>
      <w:proofErr w:type="spellEnd"/>
      <w:r>
        <w:t xml:space="preserve">, s. 5; </w:t>
      </w:r>
      <w:proofErr w:type="spellStart"/>
      <w:r>
        <w:t>Tushnet</w:t>
      </w:r>
      <w:proofErr w:type="spellEnd"/>
      <w:r>
        <w:t xml:space="preserve">, s. 876-877; Şehirali Çelik, SMK m. 155, s. 36 vd.; Şehirali Çelik, Tescilli Tasarım, s. 42; Alıca, s. 677; CJUE, C-273/00, para. 51. Bununla birlikte, patent ve tasarımın tescil edilmesinin altında, marka hakkının aksine, yeni teknolojilerin kamunun bilgisine sunulması idesi olduğu yönünde bkz. </w:t>
      </w:r>
      <w:proofErr w:type="spellStart"/>
      <w:r>
        <w:t>Burrell</w:t>
      </w:r>
      <w:proofErr w:type="spellEnd"/>
      <w:r>
        <w:t>, s. 6.</w:t>
      </w:r>
    </w:p>
  </w:footnote>
  <w:footnote w:id="29">
    <w:p w14:paraId="79D2D557" w14:textId="7D7B6B83" w:rsidR="00B064BF" w:rsidRDefault="00B064BF" w:rsidP="004944AC">
      <w:pPr>
        <w:pStyle w:val="DipnotMetni"/>
      </w:pPr>
      <w:r>
        <w:rPr>
          <w:rStyle w:val="DipnotBavurusu"/>
        </w:rPr>
        <w:footnoteRef/>
      </w:r>
      <w:r>
        <w:t xml:space="preserve"> </w:t>
      </w:r>
      <w:r>
        <w:tab/>
        <w:t>Hemen belirtelim, bu yönde hukuki bir zorunluluk söz konusu değildir. Daha ziyade, günümüz iktisadi hayatının getirdiği maddi bir zorunluluktan bahsedilebilir. Bununla birlikte marka kullanımının kamu düzeni gerekçesiyle zorunlu tutulması mümkündür</w:t>
      </w:r>
      <w:r w:rsidR="00C737D5">
        <w:t xml:space="preserve"> (551 sayılı Markalar Kanunu, m. 3)</w:t>
      </w:r>
      <w:r>
        <w:t xml:space="preserve">. Bu meyanda bkz. </w:t>
      </w:r>
      <w:proofErr w:type="spellStart"/>
      <w:r>
        <w:t>Schmidt-Szalewski</w:t>
      </w:r>
      <w:proofErr w:type="spellEnd"/>
      <w:r>
        <w:t>, N. 39-40.</w:t>
      </w:r>
      <w:r w:rsidR="00C737D5">
        <w:t xml:space="preserve"> </w:t>
      </w:r>
    </w:p>
  </w:footnote>
  <w:footnote w:id="30">
    <w:p w14:paraId="284F6989" w14:textId="66732F3A" w:rsidR="00B064BF" w:rsidRDefault="00B064BF" w:rsidP="004944AC">
      <w:pPr>
        <w:pStyle w:val="DipnotMetni"/>
      </w:pPr>
      <w:r>
        <w:rPr>
          <w:rStyle w:val="DipnotBavurusu"/>
        </w:rPr>
        <w:footnoteRef/>
      </w:r>
      <w:r>
        <w:t xml:space="preserve"> </w:t>
      </w:r>
      <w:r>
        <w:tab/>
        <w:t xml:space="preserve">Markanın ayırt edicilik fonksiyonu hakkında bkz. Arseven, s. 7; Kaya, </w:t>
      </w:r>
      <w:r w:rsidR="00CD30A7" w:rsidRPr="00CD30A7">
        <w:rPr>
          <w:i/>
          <w:iCs/>
        </w:rPr>
        <w:t>Marka</w:t>
      </w:r>
      <w:r w:rsidR="00CD30A7">
        <w:t xml:space="preserve">, </w:t>
      </w:r>
      <w:r>
        <w:t xml:space="preserve">s. 60; Arkan, </w:t>
      </w:r>
      <w:r w:rsidR="00E14E62" w:rsidRPr="00844D3C">
        <w:rPr>
          <w:i/>
          <w:iCs/>
        </w:rPr>
        <w:t>Marka</w:t>
      </w:r>
      <w:r w:rsidR="00E14E62">
        <w:t xml:space="preserve">, </w:t>
      </w:r>
      <w:r>
        <w:t xml:space="preserve">s. 38; Çolak, s. 17; Çağlar, s. 33; </w:t>
      </w:r>
      <w:proofErr w:type="spellStart"/>
      <w:r>
        <w:t>Uzunallı</w:t>
      </w:r>
      <w:proofErr w:type="spellEnd"/>
      <w:r>
        <w:t xml:space="preserve">, s. 20; </w:t>
      </w:r>
      <w:proofErr w:type="spellStart"/>
      <w:r>
        <w:t>Cherpillod</w:t>
      </w:r>
      <w:proofErr w:type="spellEnd"/>
      <w:r>
        <w:t xml:space="preserve">, s. 60; </w:t>
      </w:r>
      <w:proofErr w:type="spellStart"/>
      <w:r>
        <w:t>Bainbridge</w:t>
      </w:r>
      <w:proofErr w:type="spellEnd"/>
      <w:r>
        <w:t xml:space="preserve">, s. 533; </w:t>
      </w:r>
      <w:proofErr w:type="spellStart"/>
      <w:r>
        <w:t>Schmidt-Szalewski</w:t>
      </w:r>
      <w:proofErr w:type="spellEnd"/>
      <w:r>
        <w:t>, N. 31.</w:t>
      </w:r>
    </w:p>
  </w:footnote>
  <w:footnote w:id="31">
    <w:p w14:paraId="55E98B31" w14:textId="1B74DC22" w:rsidR="00B064BF" w:rsidRDefault="00B064BF">
      <w:pPr>
        <w:pStyle w:val="DipnotMetni"/>
      </w:pPr>
      <w:r>
        <w:rPr>
          <w:rStyle w:val="DipnotBavurusu"/>
        </w:rPr>
        <w:footnoteRef/>
      </w:r>
      <w:r>
        <w:t xml:space="preserve"> </w:t>
      </w:r>
      <w:r>
        <w:tab/>
      </w:r>
      <w:proofErr w:type="spellStart"/>
      <w:r>
        <w:t>Burrell</w:t>
      </w:r>
      <w:proofErr w:type="spellEnd"/>
      <w:r>
        <w:t>, s. 5. Bu meyanda tescilin, muhtemel mütecavizlere yönelik “</w:t>
      </w:r>
      <w:r w:rsidRPr="00B064BF">
        <w:rPr>
          <w:i/>
          <w:iCs/>
        </w:rPr>
        <w:t xml:space="preserve">örtülü ve caydırıcı bir </w:t>
      </w:r>
      <w:r>
        <w:rPr>
          <w:i/>
          <w:iCs/>
        </w:rPr>
        <w:t>ihtar/</w:t>
      </w:r>
      <w:r w:rsidRPr="00B064BF">
        <w:rPr>
          <w:i/>
          <w:iCs/>
        </w:rPr>
        <w:t>uyarı</w:t>
      </w:r>
      <w:r>
        <w:t xml:space="preserve">” niteliğinde olduğu hususunda bkz. </w:t>
      </w:r>
      <w:proofErr w:type="spellStart"/>
      <w:r>
        <w:t>Tushnet</w:t>
      </w:r>
      <w:proofErr w:type="spellEnd"/>
      <w:r>
        <w:t>, s. 877.</w:t>
      </w:r>
    </w:p>
  </w:footnote>
  <w:footnote w:id="32">
    <w:p w14:paraId="5786BC4B" w14:textId="53805633" w:rsidR="00B064BF" w:rsidRDefault="00B064BF">
      <w:pPr>
        <w:pStyle w:val="DipnotMetni"/>
      </w:pPr>
      <w:r>
        <w:rPr>
          <w:rStyle w:val="DipnotBavurusu"/>
        </w:rPr>
        <w:footnoteRef/>
      </w:r>
      <w:r>
        <w:t xml:space="preserve"> </w:t>
      </w:r>
      <w:r>
        <w:tab/>
        <w:t xml:space="preserve">Modern marka hukukunun temelinde tüketicileri karışıklıktan korumak düşüncesinin yattığı yönünde bkz. </w:t>
      </w:r>
      <w:proofErr w:type="spellStart"/>
      <w:r>
        <w:t>Tushnet</w:t>
      </w:r>
      <w:proofErr w:type="spellEnd"/>
      <w:r>
        <w:t xml:space="preserve">, s. 873. Bu görüşe biz de katılmaktayız. Gerçekten de, marka hukukunun temelinde tüketicilerin korunması düşüncesi yatmaktadır. Söz gelimi markalar arasında karıştırılma ihtimalinin olup olmadığının tespiti, tüketicinin nazarından yapılan bir değerlendirmeyi gerekli kılmaktadır (SMK m. 6.1). </w:t>
      </w:r>
    </w:p>
  </w:footnote>
  <w:footnote w:id="33">
    <w:p w14:paraId="06DE9C00" w14:textId="214D95C5" w:rsidR="00B064BF" w:rsidRDefault="00B064BF" w:rsidP="005D0A9F">
      <w:pPr>
        <w:pStyle w:val="DipnotMetni"/>
        <w:tabs>
          <w:tab w:val="left" w:pos="284"/>
        </w:tabs>
      </w:pPr>
      <w:r>
        <w:rPr>
          <w:rStyle w:val="DipnotBavurusu"/>
        </w:rPr>
        <w:footnoteRef/>
      </w:r>
      <w:r>
        <w:t xml:space="preserve"> </w:t>
      </w:r>
      <w:r>
        <w:tab/>
        <w:t>Markanın tekliği ilkesi uyarınca, bir markanın ancak bir tek sahibi olabilir; aynı marka farklı kişiler tarafından ayrı tescillere konu edilemez (</w:t>
      </w:r>
      <w:r w:rsidRPr="001307B4">
        <w:t>Yasaman</w:t>
      </w:r>
      <w:r>
        <w:t>/</w:t>
      </w:r>
      <w:r w:rsidRPr="001307B4">
        <w:t>Altay</w:t>
      </w:r>
      <w:r>
        <w:t>/</w:t>
      </w:r>
      <w:r w:rsidRPr="001307B4">
        <w:t>Ayo</w:t>
      </w:r>
      <w:r w:rsidRPr="001307B4">
        <w:rPr>
          <w:rFonts w:hint="eastAsia"/>
        </w:rPr>
        <w:t>ğ</w:t>
      </w:r>
      <w:r w:rsidRPr="001307B4">
        <w:t>lu</w:t>
      </w:r>
      <w:r w:rsidR="00FD6C24">
        <w:t>/Yusufoğlu/</w:t>
      </w:r>
      <w:r w:rsidR="00745892">
        <w:t>Y</w:t>
      </w:r>
      <w:r w:rsidR="00FD6C24">
        <w:t>üksel</w:t>
      </w:r>
      <w:r>
        <w:t xml:space="preserve">, </w:t>
      </w:r>
      <w:r w:rsidRPr="001307B4">
        <w:t xml:space="preserve">s. </w:t>
      </w:r>
      <w:r>
        <w:t xml:space="preserve">189; Arkan, </w:t>
      </w:r>
      <w:r w:rsidR="00E14E62" w:rsidRPr="00844D3C">
        <w:rPr>
          <w:i/>
          <w:iCs/>
        </w:rPr>
        <w:t>Marka</w:t>
      </w:r>
      <w:r w:rsidR="00E14E62">
        <w:t xml:space="preserve">, </w:t>
      </w:r>
      <w:r>
        <w:t xml:space="preserve">s. 76; Çolak, s. 424; Cafer Eminoğlu, </w:t>
      </w:r>
      <w:r w:rsidRPr="005D0A9F">
        <w:rPr>
          <w:i/>
          <w:iCs/>
        </w:rPr>
        <w:t>‘Marka Sahibinin Tekliği İlkesi ve Bu İlkenin Markanın Devri Bağlamında İncelenmesi: Anayasa Mahkemesi’nin 556 Sayılı KHK’nın m. 16/5 Hükmünü İptal Eden Kararı Bağlamında Bir Değerlendirme’</w:t>
      </w:r>
      <w:r>
        <w:t xml:space="preserve">, </w:t>
      </w:r>
      <w:r w:rsidRPr="005D0A9F">
        <w:t>Yıldırım Beyazıt Hukuk Dergisi</w:t>
      </w:r>
      <w:r>
        <w:t xml:space="preserve">, C. I, S. 1, 2016, s. 231). </w:t>
      </w:r>
      <w:r w:rsidR="00A727D4">
        <w:t xml:space="preserve">Bununla birlikte, SMK ile markanın tekliği ilkesinin esnetildiğini belirtmek gerekir. SMK m. 5.3 hükmü uyarınca marka sahibinin muvafakati ile kendi markası ile aynı veya ayırt edilemeyecek derecede benzer ikinci bir markanın tescili mümkündür. Bu düzenlemenin eleştirisi için bkz. Tekinalp/Çamoğlu, s. XIX-XX; </w:t>
      </w:r>
      <w:proofErr w:type="spellStart"/>
      <w:r w:rsidR="00E14E62">
        <w:t>Sabih</w:t>
      </w:r>
      <w:proofErr w:type="spellEnd"/>
      <w:r w:rsidR="00E14E62">
        <w:t xml:space="preserve"> Arkan, </w:t>
      </w:r>
      <w:r w:rsidR="00E14E62" w:rsidRPr="00844D3C">
        <w:rPr>
          <w:i/>
          <w:iCs/>
        </w:rPr>
        <w:t>‘Sınai Mülkiyet Kanunu’nun 5.3. Maddesiyle İlgili Bazı Düşünceler’</w:t>
      </w:r>
      <w:r w:rsidR="00E14E62">
        <w:t xml:space="preserve">, BATİDER, </w:t>
      </w:r>
      <w:r w:rsidR="00E14E62" w:rsidRPr="00E14E62">
        <w:t>C. XXXIII, S. 3, 2017, s. 1</w:t>
      </w:r>
      <w:r w:rsidR="00E14E62">
        <w:t>0</w:t>
      </w:r>
      <w:r w:rsidR="00E14E62" w:rsidRPr="00E14E62">
        <w:t>-11</w:t>
      </w:r>
      <w:r w:rsidR="00E14E62">
        <w:t>.</w:t>
      </w:r>
    </w:p>
  </w:footnote>
  <w:footnote w:id="34">
    <w:p w14:paraId="2F67711E" w14:textId="43260C11" w:rsidR="00C1135C" w:rsidRDefault="00C1135C">
      <w:pPr>
        <w:pStyle w:val="DipnotMetni"/>
      </w:pPr>
      <w:r>
        <w:rPr>
          <w:rStyle w:val="DipnotBavurusu"/>
        </w:rPr>
        <w:footnoteRef/>
      </w:r>
      <w:r>
        <w:t xml:space="preserve"> </w:t>
      </w:r>
      <w:r>
        <w:tab/>
        <w:t xml:space="preserve">SMK m. 22.3 hükmü bu hususu açıkça tevsik eder: </w:t>
      </w:r>
      <w:r w:rsidRPr="00C1135C">
        <w:rPr>
          <w:i/>
          <w:iCs/>
        </w:rPr>
        <w:t>“Sicil alenidir. Talep edilmesi ve ücretinin ödenmesi şartıyla sicil örneği verilir.”</w:t>
      </w:r>
    </w:p>
  </w:footnote>
  <w:footnote w:id="35">
    <w:p w14:paraId="7213A01D" w14:textId="0CC683C4" w:rsidR="003B556D" w:rsidRDefault="003B556D">
      <w:pPr>
        <w:pStyle w:val="DipnotMetni"/>
      </w:pPr>
      <w:r>
        <w:rPr>
          <w:rStyle w:val="DipnotBavurusu"/>
        </w:rPr>
        <w:footnoteRef/>
      </w:r>
      <w:r>
        <w:t xml:space="preserve"> </w:t>
      </w:r>
      <w:r>
        <w:tab/>
        <w:t xml:space="preserve">Bu yönde bilgi için bkz. </w:t>
      </w:r>
      <w:r w:rsidRPr="007047CB">
        <w:t>Arslan</w:t>
      </w:r>
      <w:r>
        <w:t xml:space="preserve"> </w:t>
      </w:r>
      <w:r w:rsidRPr="007047CB">
        <w:t xml:space="preserve">Kaya, </w:t>
      </w:r>
      <w:r>
        <w:rPr>
          <w:i/>
          <w:iCs/>
        </w:rPr>
        <w:t>‘Tartışmalar’</w:t>
      </w:r>
      <w:r w:rsidRPr="007047CB">
        <w:t xml:space="preserve">, </w:t>
      </w:r>
      <w:r>
        <w:t>Fikrî ve Sınai Haklar Sempozyumu, ed. Ayşe Kübra Altıparmak, Yetkin</w:t>
      </w:r>
      <w:r w:rsidRPr="007047CB">
        <w:t xml:space="preserve"> Yayınları, </w:t>
      </w:r>
      <w:r>
        <w:t>Ankara</w:t>
      </w:r>
      <w:r w:rsidRPr="007047CB">
        <w:t>, 20</w:t>
      </w:r>
      <w:r>
        <w:t>20, s. 114-116.</w:t>
      </w:r>
    </w:p>
  </w:footnote>
  <w:footnote w:id="36">
    <w:p w14:paraId="07F8E2C8" w14:textId="5EBBA3FD" w:rsidR="00B064BF" w:rsidRDefault="00B064BF">
      <w:pPr>
        <w:pStyle w:val="DipnotMetni"/>
      </w:pPr>
      <w:r>
        <w:rPr>
          <w:rStyle w:val="DipnotBavurusu"/>
        </w:rPr>
        <w:footnoteRef/>
      </w:r>
      <w:r>
        <w:t xml:space="preserve"> </w:t>
      </w:r>
      <w:r>
        <w:tab/>
        <w:t xml:space="preserve">Benzer yönde </w:t>
      </w:r>
      <w:proofErr w:type="spellStart"/>
      <w:r>
        <w:t>Burrell</w:t>
      </w:r>
      <w:proofErr w:type="spellEnd"/>
      <w:r>
        <w:t>, s. 2, 7. Aynı veya ayırt edilemeyecek derecede benze</w:t>
      </w:r>
      <w:r w:rsidR="00DD5246">
        <w:t>r</w:t>
      </w:r>
      <w:r>
        <w:t xml:space="preserve"> işaretlerin, aynı ve aynı türdeki mal veya hizmetlere yönelik tescilini engelleyen SMK m. 5.1.ç hükmü marka sicilinin işlerliğini ve </w:t>
      </w:r>
      <w:r w:rsidR="00EE575B">
        <w:t xml:space="preserve">tescilin </w:t>
      </w:r>
      <w:r>
        <w:t>bilgi fonksiyonunu korumaya yönelik önlem olarak kabul edilebilir. Ancak bu madde bağlamında yapılan inceleme işaretlerin “aynı” olması üzerinde şekillendiğinden ve benze</w:t>
      </w:r>
      <w:r w:rsidR="00DD5246">
        <w:t>r</w:t>
      </w:r>
      <w:r>
        <w:t xml:space="preserve"> olmasını (karıştırılma ihtimali bulunmasını) inceleme dışı bıraktığından (SMK m. 6.1) etkisinin sınırlı olduğu rahatlıkla savlanabilir. </w:t>
      </w:r>
    </w:p>
  </w:footnote>
  <w:footnote w:id="37">
    <w:p w14:paraId="6437FF80" w14:textId="12691B86" w:rsidR="00B064BF" w:rsidRDefault="00B064BF">
      <w:pPr>
        <w:pStyle w:val="DipnotMetni"/>
      </w:pPr>
      <w:r>
        <w:rPr>
          <w:rStyle w:val="DipnotBavurusu"/>
        </w:rPr>
        <w:footnoteRef/>
      </w:r>
      <w:r>
        <w:t xml:space="preserve"> </w:t>
      </w:r>
      <w:r>
        <w:tab/>
        <w:t xml:space="preserve">Tescile dayalı kullanım savunması sebebiyle, tasarım ve faydalı model açısından benzer sorun için bkz. Suluk, s. 414. </w:t>
      </w:r>
      <w:r w:rsidR="002D5791">
        <w:t xml:space="preserve">Nitekim, bu durumun marka hukukundaki en somut örneği, sessiz kalma suretiyle hak kaybı ilkesinin çok sık uygulanır olmasıdır. Esasen temelini dürüstlük kuralı ve hakkın kötüye kullanılması yasağından alan bu ilkenin, SMK ile pozitif düzenlemeye kavuşturulmuş olması (SMK m. 25.6), marka hukukunda aynı veya benzer işaretler üzerinde ne denli fazla kişinin hak sahibi olduğuna işaret etmektedir. </w:t>
      </w:r>
    </w:p>
  </w:footnote>
  <w:footnote w:id="38">
    <w:p w14:paraId="6B594956" w14:textId="1D1AB4ED" w:rsidR="00B064BF" w:rsidRPr="008C24DF" w:rsidRDefault="00B064BF" w:rsidP="008C24DF">
      <w:pPr>
        <w:pStyle w:val="DipnotMetni"/>
      </w:pPr>
      <w:r>
        <w:rPr>
          <w:rStyle w:val="DipnotBavurusu"/>
        </w:rPr>
        <w:footnoteRef/>
      </w:r>
      <w:r>
        <w:t xml:space="preserve"> </w:t>
      </w:r>
      <w:r>
        <w:tab/>
        <w:t xml:space="preserve">Bu meyanda kamunun ne denli olumsuz etkilenebileceğini ilişkin güzel bir örnek için bkz. John H. </w:t>
      </w:r>
      <w:proofErr w:type="spellStart"/>
      <w:r>
        <w:t>Lewis</w:t>
      </w:r>
      <w:proofErr w:type="spellEnd"/>
      <w:r>
        <w:t xml:space="preserve">, </w:t>
      </w:r>
      <w:r w:rsidRPr="001978D6">
        <w:rPr>
          <w:i/>
          <w:iCs/>
        </w:rPr>
        <w:t>‘</w:t>
      </w:r>
      <w:proofErr w:type="spellStart"/>
      <w:r w:rsidRPr="001978D6">
        <w:rPr>
          <w:i/>
          <w:iCs/>
        </w:rPr>
        <w:t>The</w:t>
      </w:r>
      <w:proofErr w:type="spellEnd"/>
      <w:r w:rsidRPr="001978D6">
        <w:rPr>
          <w:i/>
          <w:iCs/>
        </w:rPr>
        <w:t xml:space="preserve"> </w:t>
      </w:r>
      <w:proofErr w:type="spellStart"/>
      <w:r w:rsidRPr="001978D6">
        <w:rPr>
          <w:i/>
          <w:iCs/>
        </w:rPr>
        <w:t>Need</w:t>
      </w:r>
      <w:proofErr w:type="spellEnd"/>
      <w:r w:rsidRPr="001978D6">
        <w:rPr>
          <w:i/>
          <w:iCs/>
        </w:rPr>
        <w:t xml:space="preserve"> </w:t>
      </w:r>
      <w:proofErr w:type="spellStart"/>
      <w:r w:rsidRPr="001978D6">
        <w:rPr>
          <w:i/>
          <w:iCs/>
        </w:rPr>
        <w:t>for</w:t>
      </w:r>
      <w:proofErr w:type="spellEnd"/>
      <w:r w:rsidRPr="001978D6">
        <w:rPr>
          <w:i/>
          <w:iCs/>
        </w:rPr>
        <w:t xml:space="preserve"> </w:t>
      </w:r>
      <w:proofErr w:type="spellStart"/>
      <w:r w:rsidRPr="001978D6">
        <w:rPr>
          <w:i/>
          <w:iCs/>
        </w:rPr>
        <w:t>Trademark</w:t>
      </w:r>
      <w:proofErr w:type="spellEnd"/>
      <w:r w:rsidRPr="001978D6">
        <w:rPr>
          <w:i/>
          <w:iCs/>
        </w:rPr>
        <w:t xml:space="preserve"> </w:t>
      </w:r>
      <w:proofErr w:type="spellStart"/>
      <w:r w:rsidRPr="001978D6">
        <w:rPr>
          <w:i/>
          <w:iCs/>
        </w:rPr>
        <w:t>Laws</w:t>
      </w:r>
      <w:proofErr w:type="spellEnd"/>
      <w:r w:rsidRPr="001978D6">
        <w:rPr>
          <w:i/>
          <w:iCs/>
        </w:rPr>
        <w:t>’</w:t>
      </w:r>
      <w:r>
        <w:t xml:space="preserve">, Legal </w:t>
      </w:r>
      <w:proofErr w:type="spellStart"/>
      <w:r>
        <w:t>Chatter</w:t>
      </w:r>
      <w:proofErr w:type="spellEnd"/>
      <w:r>
        <w:t xml:space="preserve">, </w:t>
      </w:r>
      <w:proofErr w:type="spellStart"/>
      <w:r>
        <w:t>Vol</w:t>
      </w:r>
      <w:proofErr w:type="spellEnd"/>
      <w:r>
        <w:t xml:space="preserve">. 2, No. 10, 1939, s. 24. Marka tescili prosedürlerinin, marka sisteminin işlerliği noktasında büyük bir önemi haiz olduğuna ilişkin etraflıca bir çalışma için bkz. </w:t>
      </w:r>
      <w:proofErr w:type="spellStart"/>
      <w:r>
        <w:t>Tushnet</w:t>
      </w:r>
      <w:proofErr w:type="spellEnd"/>
      <w:r>
        <w:t xml:space="preserve">, s. 867-941. </w:t>
      </w:r>
    </w:p>
  </w:footnote>
  <w:footnote w:id="39">
    <w:p w14:paraId="510C7C40" w14:textId="69E37E4B" w:rsidR="00B53922" w:rsidRDefault="00B53922">
      <w:pPr>
        <w:pStyle w:val="DipnotMetni"/>
      </w:pPr>
      <w:r>
        <w:rPr>
          <w:rStyle w:val="DipnotBavurusu"/>
        </w:rPr>
        <w:footnoteRef/>
      </w:r>
      <w:r>
        <w:t xml:space="preserve"> </w:t>
      </w:r>
      <w:r>
        <w:tab/>
        <w:t>Bu durumun yarattığı olumsuzluklara bu başlık altında ayrıca yer ver</w:t>
      </w:r>
      <w:r w:rsidR="00D73D91">
        <w:t>ilmemiştir.</w:t>
      </w:r>
      <w:r>
        <w:t xml:space="preserve"> Zira son başlık (IV) altında SMK m. 155 hükmünün ortaya çıkaracağı olumlu sonuçlar belirtilirken, esasen burada bahsedilen olumsuzluklara da dolaylı olarak işaret edilmiştir. </w:t>
      </w:r>
    </w:p>
  </w:footnote>
  <w:footnote w:id="40">
    <w:p w14:paraId="2256CA37" w14:textId="4259AAF7" w:rsidR="00D73D91" w:rsidRPr="00617771" w:rsidRDefault="00D73D91" w:rsidP="00617771">
      <w:pPr>
        <w:pStyle w:val="DipnotMetni"/>
      </w:pPr>
      <w:r>
        <w:rPr>
          <w:rStyle w:val="DipnotBavurusu"/>
        </w:rPr>
        <w:footnoteRef/>
      </w:r>
      <w:r>
        <w:t xml:space="preserve"> </w:t>
      </w:r>
      <w:r>
        <w:tab/>
        <w:t xml:space="preserve">Bu meyanda marka tescilini zorlaştırma noktasında Türk kanun koyucusunun geçmişte yapmış olduğu bir değişikliği zikretmek yerinde olacaktır. </w:t>
      </w:r>
      <w:r w:rsidR="00C737D5">
        <w:t xml:space="preserve">551 sayılı Markalar Kanunu döneminde, mal veya hizmetler arasındaki benzerlik incelemesi “aynı emtia” düzeyinde kalmakta idi (m. 5.c). Söz gelimi, </w:t>
      </w:r>
      <w:r w:rsidR="00617771">
        <w:t>bir</w:t>
      </w:r>
      <w:r w:rsidR="00C737D5">
        <w:t xml:space="preserve"> </w:t>
      </w:r>
      <w:r w:rsidR="00617771">
        <w:t>işaret “su” emtiası için tescilli iken aynı işaret “soda” için de başkası tarafından tescil edilebilmekteydi. Bu durumun, marka başvurularını bir hayli kolaylaştıracağı rahatlıkla söylenebilir. Böyle bir tescil sisteminde marka tescilinin yukarıda zikrettiğimiz fonksiyonları taşıyamayacağı aşikardır. Zira birbiriyle aynı tür denilebilecek emtialar</w:t>
      </w:r>
      <w:r w:rsidR="001B1119">
        <w:t xml:space="preserve"> nazarında</w:t>
      </w:r>
      <w:r w:rsidR="00617771">
        <w:t xml:space="preserve"> tescilli çok sayıda aynı işaret</w:t>
      </w:r>
      <w:r w:rsidR="001B1119">
        <w:t>,</w:t>
      </w:r>
      <w:r w:rsidR="00617771">
        <w:t xml:space="preserve"> markaların temelinde yatan ayırt etme fonksiyonunu zedeleyecek ve tescilin bilgi fonksiyonunu olumsuz etkileyecektir. Nitekim, Türk kanun koyucusu 556 sayılı Markaların Korunması Hakkındaki Kanun Hükmünde Kararname ile benzerlik incelemesinin kapsamını genişleterek</w:t>
      </w:r>
      <w:r w:rsidR="00F05678">
        <w:t xml:space="preserve"> (m. 7.1.b; 8.1)</w:t>
      </w:r>
      <w:r w:rsidR="00617771">
        <w:t xml:space="preserve">, bu soruna çözüm bulma noktasında önemli bir adım atmıştır. Benzerlik incelemesinin kapsamının genişlemesi, haliyle yeni marka başvurusu yapacak olanların mal veya hizmet listesini belirlerken daha fazla masraf ve mesai yapmasına sebep olmuştur. Bu süreç hakkında bilgi için bkz. Önder Erol Ünsal, </w:t>
      </w:r>
      <w:r w:rsidR="00617771" w:rsidRPr="00617771">
        <w:rPr>
          <w:i/>
          <w:iCs/>
        </w:rPr>
        <w:t xml:space="preserve">Markaların Tescili Konusunda Uluslararası Nis </w:t>
      </w:r>
      <w:r w:rsidR="00617771">
        <w:rPr>
          <w:i/>
          <w:iCs/>
        </w:rPr>
        <w:t>v</w:t>
      </w:r>
      <w:r w:rsidR="00617771" w:rsidRPr="00617771">
        <w:rPr>
          <w:i/>
          <w:iCs/>
        </w:rPr>
        <w:t xml:space="preserve">e Viyana Sınıflandırmaları: Amaç, İşleyiş </w:t>
      </w:r>
      <w:r w:rsidR="0093626F">
        <w:rPr>
          <w:i/>
          <w:iCs/>
        </w:rPr>
        <w:t>v</w:t>
      </w:r>
      <w:r w:rsidR="00617771" w:rsidRPr="00617771">
        <w:rPr>
          <w:i/>
          <w:iCs/>
        </w:rPr>
        <w:t>e Uygulamaya İlişkin Değerlendirmeler</w:t>
      </w:r>
      <w:r w:rsidR="00617771">
        <w:t>, Uzmanlık Tezi, Türk Patent Enstitüsü, Ankara, 2001</w:t>
      </w:r>
      <w:r w:rsidR="0093626F">
        <w:t>, s. 53-55</w:t>
      </w:r>
      <w:r w:rsidR="001B1119">
        <w:t>.</w:t>
      </w:r>
    </w:p>
  </w:footnote>
  <w:footnote w:id="41">
    <w:p w14:paraId="416C6E07" w14:textId="563A9A13" w:rsidR="0080643B" w:rsidRDefault="0080643B">
      <w:pPr>
        <w:pStyle w:val="DipnotMetni"/>
      </w:pPr>
      <w:r>
        <w:rPr>
          <w:rStyle w:val="DipnotBavurusu"/>
        </w:rPr>
        <w:footnoteRef/>
      </w:r>
      <w:r>
        <w:t xml:space="preserve"> </w:t>
      </w:r>
      <w:r>
        <w:tab/>
      </w:r>
      <w:r w:rsidRPr="0080643B">
        <w:t>Hemen belirtelim, yayıma itiraz sürecinin marka tescil sisteminin işlerliğini temin noktasında yeterli ve ölçülü bir enstrüman olmadığı kanaatindeyiz</w:t>
      </w:r>
      <w:r>
        <w:t>. Kanaatimizce, tescilli marka sistemine girmek isteyenler karşısında halihazırda bu sisteme dahil olanlara daha büyük önem atfedilmeli ve bu iki menfaat arasındaki çatışma halihazırda tescilli marka sahipleri lehine enstrümanlar getirilerek dengelenmelidir. İşte, SMK m. 155 hükmü bu minvalde getirilmiş bir enstrüman olarak görülmelidir. Bu konudaki açıklamalarımız için bkz.</w:t>
      </w:r>
      <w:r w:rsidR="005504F3">
        <w:t xml:space="preserve"> aş. </w:t>
      </w:r>
      <w:r>
        <w:t>IV. Türk marka hukukunda TÜRKPATENT incelemesinin sadece mutlak ret nedenleri ile sınırlı olduğu ve yayıma itiraz süresinin kaçırılması halinde esasen tescil edilemeyecek markaların kolaylıkla tescil edilebildiği yönünde bkz. Alıca, s. 696.</w:t>
      </w:r>
      <w:r w:rsidR="00322217">
        <w:t xml:space="preserve"> İptal müessesesi hakkında bkz. aş. dn.</w:t>
      </w:r>
      <w:r w:rsidR="005504F3">
        <w:t xml:space="preserve"> 48.</w:t>
      </w:r>
    </w:p>
  </w:footnote>
  <w:footnote w:id="42">
    <w:p w14:paraId="19E821A7" w14:textId="330B72D3" w:rsidR="00790CD7" w:rsidRDefault="00790CD7">
      <w:pPr>
        <w:pStyle w:val="DipnotMetni"/>
      </w:pPr>
      <w:r>
        <w:rPr>
          <w:rStyle w:val="DipnotBavurusu"/>
        </w:rPr>
        <w:footnoteRef/>
      </w:r>
      <w:r>
        <w:t xml:space="preserve"> </w:t>
      </w:r>
      <w:r>
        <w:tab/>
        <w:t>Yargıtay 11. HD, T. 19.04.2002, E. 2001/9903, K. 2002/3699 (Kazancı İçtihat Bilgi Bankası).</w:t>
      </w:r>
    </w:p>
  </w:footnote>
  <w:footnote w:id="43">
    <w:p w14:paraId="7CC89727" w14:textId="44D57F30" w:rsidR="00B064BF" w:rsidRPr="005F2ECD" w:rsidRDefault="00B064BF" w:rsidP="005F2ECD">
      <w:pPr>
        <w:pStyle w:val="DipnotMetni"/>
      </w:pPr>
      <w:r>
        <w:rPr>
          <w:rStyle w:val="DipnotBavurusu"/>
        </w:rPr>
        <w:footnoteRef/>
      </w:r>
      <w:r>
        <w:t xml:space="preserve"> </w:t>
      </w:r>
      <w:r>
        <w:tab/>
      </w:r>
      <w:proofErr w:type="spellStart"/>
      <w:r>
        <w:t>Burrell</w:t>
      </w:r>
      <w:proofErr w:type="spellEnd"/>
      <w:r>
        <w:t xml:space="preserve"> şöyle yazar: </w:t>
      </w:r>
      <w:r w:rsidRPr="005F2ECD">
        <w:rPr>
          <w:i/>
          <w:iCs/>
        </w:rPr>
        <w:t>“</w:t>
      </w:r>
      <w:proofErr w:type="spellStart"/>
      <w:r w:rsidRPr="005F2ECD">
        <w:rPr>
          <w:i/>
          <w:iCs/>
        </w:rPr>
        <w:t>Although</w:t>
      </w:r>
      <w:proofErr w:type="spellEnd"/>
      <w:r w:rsidRPr="005F2ECD">
        <w:rPr>
          <w:i/>
          <w:iCs/>
        </w:rPr>
        <w:t xml:space="preserve"> </w:t>
      </w:r>
      <w:proofErr w:type="spellStart"/>
      <w:r w:rsidRPr="005F2ECD">
        <w:rPr>
          <w:i/>
          <w:iCs/>
        </w:rPr>
        <w:t>there</w:t>
      </w:r>
      <w:proofErr w:type="spellEnd"/>
      <w:r w:rsidRPr="005F2ECD">
        <w:rPr>
          <w:i/>
          <w:iCs/>
        </w:rPr>
        <w:t xml:space="preserve"> is a </w:t>
      </w:r>
      <w:proofErr w:type="spellStart"/>
      <w:r w:rsidRPr="005F2ECD">
        <w:rPr>
          <w:i/>
          <w:iCs/>
        </w:rPr>
        <w:t>need</w:t>
      </w:r>
      <w:proofErr w:type="spellEnd"/>
      <w:r w:rsidRPr="005F2ECD">
        <w:rPr>
          <w:i/>
          <w:iCs/>
        </w:rPr>
        <w:t xml:space="preserve"> </w:t>
      </w:r>
      <w:proofErr w:type="spellStart"/>
      <w:r w:rsidRPr="005F2ECD">
        <w:rPr>
          <w:i/>
          <w:iCs/>
        </w:rPr>
        <w:t>for</w:t>
      </w:r>
      <w:proofErr w:type="spellEnd"/>
      <w:r w:rsidRPr="005F2ECD">
        <w:rPr>
          <w:i/>
          <w:iCs/>
        </w:rPr>
        <w:t xml:space="preserve"> </w:t>
      </w:r>
      <w:proofErr w:type="spellStart"/>
      <w:r w:rsidRPr="005F2ECD">
        <w:rPr>
          <w:i/>
          <w:iCs/>
        </w:rPr>
        <w:t>more</w:t>
      </w:r>
      <w:proofErr w:type="spellEnd"/>
      <w:r w:rsidRPr="005F2ECD">
        <w:rPr>
          <w:i/>
          <w:iCs/>
        </w:rPr>
        <w:t xml:space="preserve"> </w:t>
      </w:r>
      <w:proofErr w:type="spellStart"/>
      <w:r w:rsidRPr="005F2ECD">
        <w:rPr>
          <w:i/>
          <w:iCs/>
        </w:rPr>
        <w:t>empirical</w:t>
      </w:r>
      <w:proofErr w:type="spellEnd"/>
      <w:r w:rsidRPr="005F2ECD">
        <w:rPr>
          <w:i/>
          <w:iCs/>
        </w:rPr>
        <w:t xml:space="preserve"> </w:t>
      </w:r>
      <w:proofErr w:type="spellStart"/>
      <w:r w:rsidRPr="005F2ECD">
        <w:rPr>
          <w:i/>
          <w:iCs/>
        </w:rPr>
        <w:t>research</w:t>
      </w:r>
      <w:proofErr w:type="spellEnd"/>
      <w:r w:rsidRPr="005F2ECD">
        <w:rPr>
          <w:i/>
          <w:iCs/>
        </w:rPr>
        <w:t xml:space="preserve"> </w:t>
      </w:r>
      <w:proofErr w:type="spellStart"/>
      <w:r w:rsidRPr="005F2ECD">
        <w:rPr>
          <w:i/>
          <w:iCs/>
        </w:rPr>
        <w:t>to</w:t>
      </w:r>
      <w:proofErr w:type="spellEnd"/>
      <w:r w:rsidRPr="005F2ECD">
        <w:rPr>
          <w:i/>
          <w:iCs/>
        </w:rPr>
        <w:t xml:space="preserve"> be </w:t>
      </w:r>
      <w:proofErr w:type="spellStart"/>
      <w:r w:rsidRPr="005F2ECD">
        <w:rPr>
          <w:i/>
          <w:iCs/>
        </w:rPr>
        <w:t>conducted</w:t>
      </w:r>
      <w:proofErr w:type="spellEnd"/>
      <w:r w:rsidRPr="005F2ECD">
        <w:rPr>
          <w:i/>
          <w:iCs/>
        </w:rPr>
        <w:t xml:space="preserve"> </w:t>
      </w:r>
      <w:proofErr w:type="spellStart"/>
      <w:r w:rsidRPr="005F2ECD">
        <w:rPr>
          <w:i/>
          <w:iCs/>
        </w:rPr>
        <w:t>into</w:t>
      </w:r>
      <w:proofErr w:type="spellEnd"/>
      <w:r w:rsidRPr="005F2ECD">
        <w:rPr>
          <w:i/>
          <w:iCs/>
        </w:rPr>
        <w:t xml:space="preserve"> how </w:t>
      </w:r>
      <w:proofErr w:type="spellStart"/>
      <w:r w:rsidRPr="005F2ECD">
        <w:rPr>
          <w:i/>
          <w:iCs/>
        </w:rPr>
        <w:t>different</w:t>
      </w:r>
      <w:proofErr w:type="spellEnd"/>
      <w:r w:rsidRPr="005F2ECD">
        <w:rPr>
          <w:i/>
          <w:iCs/>
        </w:rPr>
        <w:t xml:space="preserve"> </w:t>
      </w:r>
      <w:proofErr w:type="spellStart"/>
      <w:r w:rsidRPr="005F2ECD">
        <w:rPr>
          <w:i/>
          <w:iCs/>
        </w:rPr>
        <w:t>types</w:t>
      </w:r>
      <w:proofErr w:type="spellEnd"/>
      <w:r w:rsidRPr="005F2ECD">
        <w:rPr>
          <w:i/>
          <w:iCs/>
        </w:rPr>
        <w:t xml:space="preserve"> of </w:t>
      </w:r>
      <w:proofErr w:type="spellStart"/>
      <w:r w:rsidRPr="005F2ECD">
        <w:rPr>
          <w:i/>
          <w:iCs/>
        </w:rPr>
        <w:t>business</w:t>
      </w:r>
      <w:proofErr w:type="spellEnd"/>
      <w:r w:rsidRPr="005F2ECD">
        <w:rPr>
          <w:i/>
          <w:iCs/>
        </w:rPr>
        <w:t xml:space="preserve"> </w:t>
      </w:r>
      <w:proofErr w:type="spellStart"/>
      <w:r w:rsidRPr="005F2ECD">
        <w:rPr>
          <w:i/>
          <w:iCs/>
        </w:rPr>
        <w:t>use</w:t>
      </w:r>
      <w:proofErr w:type="spellEnd"/>
      <w:r w:rsidRPr="005F2ECD">
        <w:rPr>
          <w:i/>
          <w:iCs/>
        </w:rPr>
        <w:t xml:space="preserve"> </w:t>
      </w:r>
      <w:proofErr w:type="spellStart"/>
      <w:r w:rsidRPr="005F2ECD">
        <w:rPr>
          <w:i/>
          <w:iCs/>
        </w:rPr>
        <w:t>registered</w:t>
      </w:r>
      <w:proofErr w:type="spellEnd"/>
      <w:r w:rsidRPr="005F2ECD">
        <w:rPr>
          <w:i/>
          <w:iCs/>
        </w:rPr>
        <w:t xml:space="preserve"> </w:t>
      </w:r>
      <w:proofErr w:type="spellStart"/>
      <w:r w:rsidRPr="005F2ECD">
        <w:rPr>
          <w:i/>
          <w:iCs/>
        </w:rPr>
        <w:t>trade</w:t>
      </w:r>
      <w:proofErr w:type="spellEnd"/>
      <w:r w:rsidRPr="005F2ECD">
        <w:rPr>
          <w:i/>
          <w:iCs/>
        </w:rPr>
        <w:t xml:space="preserve"> mark </w:t>
      </w:r>
      <w:proofErr w:type="spellStart"/>
      <w:r w:rsidRPr="005F2ECD">
        <w:rPr>
          <w:i/>
          <w:iCs/>
        </w:rPr>
        <w:t>systems</w:t>
      </w:r>
      <w:proofErr w:type="spellEnd"/>
      <w:r w:rsidRPr="005F2ECD">
        <w:rPr>
          <w:i/>
          <w:iCs/>
        </w:rPr>
        <w:t xml:space="preserve">, </w:t>
      </w:r>
      <w:proofErr w:type="spellStart"/>
      <w:r w:rsidRPr="005F2ECD">
        <w:rPr>
          <w:i/>
          <w:iCs/>
        </w:rPr>
        <w:t>the</w:t>
      </w:r>
      <w:proofErr w:type="spellEnd"/>
      <w:r w:rsidRPr="005F2ECD">
        <w:rPr>
          <w:i/>
          <w:iCs/>
        </w:rPr>
        <w:t xml:space="preserve"> </w:t>
      </w:r>
      <w:proofErr w:type="spellStart"/>
      <w:r w:rsidRPr="005F2ECD">
        <w:rPr>
          <w:i/>
          <w:iCs/>
        </w:rPr>
        <w:t>evidence</w:t>
      </w:r>
      <w:proofErr w:type="spellEnd"/>
      <w:r w:rsidRPr="005F2ECD">
        <w:rPr>
          <w:i/>
          <w:iCs/>
        </w:rPr>
        <w:t xml:space="preserve"> </w:t>
      </w:r>
      <w:proofErr w:type="spellStart"/>
      <w:r w:rsidRPr="005F2ECD">
        <w:rPr>
          <w:i/>
          <w:iCs/>
        </w:rPr>
        <w:t>that</w:t>
      </w:r>
      <w:proofErr w:type="spellEnd"/>
      <w:r w:rsidRPr="005F2ECD">
        <w:rPr>
          <w:i/>
          <w:iCs/>
        </w:rPr>
        <w:t xml:space="preserve"> is </w:t>
      </w:r>
      <w:proofErr w:type="spellStart"/>
      <w:r w:rsidRPr="005F2ECD">
        <w:rPr>
          <w:i/>
          <w:iCs/>
        </w:rPr>
        <w:t>available</w:t>
      </w:r>
      <w:proofErr w:type="spellEnd"/>
      <w:r w:rsidRPr="005F2ECD">
        <w:rPr>
          <w:i/>
          <w:iCs/>
        </w:rPr>
        <w:t xml:space="preserve"> </w:t>
      </w:r>
      <w:proofErr w:type="spellStart"/>
      <w:r w:rsidRPr="005F2ECD">
        <w:rPr>
          <w:i/>
          <w:iCs/>
        </w:rPr>
        <w:t>suggests</w:t>
      </w:r>
      <w:proofErr w:type="spellEnd"/>
      <w:r w:rsidRPr="005F2ECD">
        <w:rPr>
          <w:i/>
          <w:iCs/>
        </w:rPr>
        <w:t xml:space="preserve"> </w:t>
      </w:r>
      <w:proofErr w:type="spellStart"/>
      <w:r w:rsidRPr="005F2ECD">
        <w:rPr>
          <w:i/>
          <w:iCs/>
        </w:rPr>
        <w:t>that</w:t>
      </w:r>
      <w:proofErr w:type="spellEnd"/>
      <w:r w:rsidRPr="005F2ECD">
        <w:rPr>
          <w:i/>
          <w:iCs/>
        </w:rPr>
        <w:t xml:space="preserve"> </w:t>
      </w:r>
      <w:proofErr w:type="spellStart"/>
      <w:r w:rsidRPr="005F2ECD">
        <w:rPr>
          <w:i/>
          <w:iCs/>
        </w:rPr>
        <w:t>many</w:t>
      </w:r>
      <w:proofErr w:type="spellEnd"/>
      <w:r w:rsidRPr="005F2ECD">
        <w:rPr>
          <w:i/>
          <w:iCs/>
        </w:rPr>
        <w:t xml:space="preserve"> </w:t>
      </w:r>
      <w:proofErr w:type="spellStart"/>
      <w:r w:rsidRPr="005F2ECD">
        <w:rPr>
          <w:i/>
          <w:iCs/>
        </w:rPr>
        <w:t>small</w:t>
      </w:r>
      <w:proofErr w:type="spellEnd"/>
      <w:r w:rsidRPr="005F2ECD">
        <w:rPr>
          <w:i/>
          <w:iCs/>
        </w:rPr>
        <w:t xml:space="preserve"> </w:t>
      </w:r>
      <w:proofErr w:type="spellStart"/>
      <w:r w:rsidRPr="005F2ECD">
        <w:rPr>
          <w:i/>
          <w:iCs/>
        </w:rPr>
        <w:t>and</w:t>
      </w:r>
      <w:proofErr w:type="spellEnd"/>
      <w:r w:rsidRPr="005F2ECD">
        <w:rPr>
          <w:i/>
          <w:iCs/>
        </w:rPr>
        <w:t xml:space="preserve"> </w:t>
      </w:r>
      <w:proofErr w:type="spellStart"/>
      <w:r w:rsidRPr="005F2ECD">
        <w:rPr>
          <w:i/>
          <w:iCs/>
        </w:rPr>
        <w:t>medium</w:t>
      </w:r>
      <w:proofErr w:type="spellEnd"/>
      <w:r w:rsidRPr="005F2ECD">
        <w:rPr>
          <w:i/>
          <w:iCs/>
        </w:rPr>
        <w:t xml:space="preserve">-size </w:t>
      </w:r>
      <w:proofErr w:type="spellStart"/>
      <w:r w:rsidRPr="005F2ECD">
        <w:rPr>
          <w:i/>
          <w:iCs/>
        </w:rPr>
        <w:t>enterprises</w:t>
      </w:r>
      <w:proofErr w:type="spellEnd"/>
      <w:r w:rsidRPr="005F2ECD">
        <w:rPr>
          <w:i/>
          <w:iCs/>
        </w:rPr>
        <w:t xml:space="preserve"> </w:t>
      </w:r>
      <w:proofErr w:type="spellStart"/>
      <w:r w:rsidRPr="005F2ECD">
        <w:rPr>
          <w:i/>
          <w:iCs/>
        </w:rPr>
        <w:t>undertake</w:t>
      </w:r>
      <w:proofErr w:type="spellEnd"/>
      <w:r w:rsidRPr="005F2ECD">
        <w:rPr>
          <w:i/>
          <w:iCs/>
        </w:rPr>
        <w:t xml:space="preserve"> </w:t>
      </w:r>
      <w:proofErr w:type="spellStart"/>
      <w:r w:rsidRPr="005F2ECD">
        <w:rPr>
          <w:i/>
          <w:iCs/>
        </w:rPr>
        <w:t>few</w:t>
      </w:r>
      <w:proofErr w:type="spellEnd"/>
      <w:r w:rsidRPr="005F2ECD">
        <w:rPr>
          <w:i/>
          <w:iCs/>
        </w:rPr>
        <w:t xml:space="preserve"> </w:t>
      </w:r>
      <w:proofErr w:type="spellStart"/>
      <w:r w:rsidRPr="005F2ECD">
        <w:rPr>
          <w:i/>
          <w:iCs/>
        </w:rPr>
        <w:t>formal</w:t>
      </w:r>
      <w:proofErr w:type="spellEnd"/>
      <w:r w:rsidRPr="005F2ECD">
        <w:rPr>
          <w:i/>
          <w:iCs/>
        </w:rPr>
        <w:t xml:space="preserve"> </w:t>
      </w:r>
      <w:proofErr w:type="spellStart"/>
      <w:r w:rsidRPr="005F2ECD">
        <w:rPr>
          <w:i/>
          <w:iCs/>
        </w:rPr>
        <w:t>steps</w:t>
      </w:r>
      <w:proofErr w:type="spellEnd"/>
      <w:r w:rsidRPr="005F2ECD">
        <w:rPr>
          <w:i/>
          <w:iCs/>
        </w:rPr>
        <w:t xml:space="preserve"> </w:t>
      </w:r>
      <w:proofErr w:type="spellStart"/>
      <w:r w:rsidRPr="005F2ECD">
        <w:rPr>
          <w:i/>
          <w:iCs/>
        </w:rPr>
        <w:t>to</w:t>
      </w:r>
      <w:proofErr w:type="spellEnd"/>
      <w:r w:rsidRPr="005F2ECD">
        <w:rPr>
          <w:i/>
          <w:iCs/>
        </w:rPr>
        <w:t xml:space="preserve"> </w:t>
      </w:r>
      <w:proofErr w:type="spellStart"/>
      <w:r w:rsidRPr="005F2ECD">
        <w:rPr>
          <w:i/>
          <w:iCs/>
        </w:rPr>
        <w:t>check</w:t>
      </w:r>
      <w:proofErr w:type="spellEnd"/>
      <w:r w:rsidRPr="005F2ECD">
        <w:rPr>
          <w:i/>
          <w:iCs/>
        </w:rPr>
        <w:t xml:space="preserve"> </w:t>
      </w:r>
      <w:proofErr w:type="spellStart"/>
      <w:r w:rsidRPr="005F2ECD">
        <w:rPr>
          <w:i/>
          <w:iCs/>
        </w:rPr>
        <w:t>for</w:t>
      </w:r>
      <w:proofErr w:type="spellEnd"/>
      <w:r w:rsidRPr="005F2ECD">
        <w:rPr>
          <w:i/>
          <w:iCs/>
        </w:rPr>
        <w:t xml:space="preserve"> </w:t>
      </w:r>
      <w:proofErr w:type="spellStart"/>
      <w:r w:rsidRPr="005F2ECD">
        <w:rPr>
          <w:i/>
          <w:iCs/>
        </w:rPr>
        <w:t>the</w:t>
      </w:r>
      <w:proofErr w:type="spellEnd"/>
      <w:r w:rsidRPr="005F2ECD">
        <w:rPr>
          <w:i/>
          <w:iCs/>
        </w:rPr>
        <w:t xml:space="preserve"> </w:t>
      </w:r>
      <w:proofErr w:type="spellStart"/>
      <w:r w:rsidRPr="005F2ECD">
        <w:rPr>
          <w:i/>
          <w:iCs/>
        </w:rPr>
        <w:t>existence</w:t>
      </w:r>
      <w:proofErr w:type="spellEnd"/>
      <w:r w:rsidRPr="005F2ECD">
        <w:rPr>
          <w:i/>
          <w:iCs/>
        </w:rPr>
        <w:t xml:space="preserve"> of </w:t>
      </w:r>
      <w:proofErr w:type="spellStart"/>
      <w:r w:rsidRPr="005F2ECD">
        <w:rPr>
          <w:i/>
          <w:iCs/>
        </w:rPr>
        <w:t>prior</w:t>
      </w:r>
      <w:proofErr w:type="spellEnd"/>
      <w:r w:rsidRPr="005F2ECD">
        <w:rPr>
          <w:i/>
          <w:iCs/>
        </w:rPr>
        <w:t xml:space="preserve"> </w:t>
      </w:r>
      <w:proofErr w:type="spellStart"/>
      <w:r w:rsidRPr="005F2ECD">
        <w:rPr>
          <w:i/>
          <w:iCs/>
        </w:rPr>
        <w:t>conflicting</w:t>
      </w:r>
      <w:proofErr w:type="spellEnd"/>
      <w:r w:rsidRPr="005F2ECD">
        <w:rPr>
          <w:i/>
          <w:iCs/>
        </w:rPr>
        <w:t xml:space="preserve"> </w:t>
      </w:r>
      <w:proofErr w:type="spellStart"/>
      <w:r w:rsidRPr="005F2ECD">
        <w:rPr>
          <w:i/>
          <w:iCs/>
        </w:rPr>
        <w:t>trade</w:t>
      </w:r>
      <w:proofErr w:type="spellEnd"/>
      <w:r w:rsidRPr="005F2ECD">
        <w:rPr>
          <w:i/>
          <w:iCs/>
        </w:rPr>
        <w:t xml:space="preserve"> </w:t>
      </w:r>
      <w:proofErr w:type="spellStart"/>
      <w:r w:rsidRPr="005F2ECD">
        <w:rPr>
          <w:i/>
          <w:iCs/>
        </w:rPr>
        <w:t>marks</w:t>
      </w:r>
      <w:proofErr w:type="spellEnd"/>
      <w:r w:rsidRPr="005F2ECD">
        <w:rPr>
          <w:i/>
          <w:iCs/>
        </w:rPr>
        <w:t xml:space="preserve">. </w:t>
      </w:r>
      <w:proofErr w:type="spellStart"/>
      <w:r w:rsidRPr="005F2ECD">
        <w:rPr>
          <w:i/>
          <w:iCs/>
        </w:rPr>
        <w:t>Rather</w:t>
      </w:r>
      <w:proofErr w:type="spellEnd"/>
      <w:r w:rsidRPr="005F2ECD">
        <w:rPr>
          <w:i/>
          <w:iCs/>
        </w:rPr>
        <w:t xml:space="preserve">, </w:t>
      </w:r>
      <w:proofErr w:type="spellStart"/>
      <w:r w:rsidRPr="005F2ECD">
        <w:rPr>
          <w:i/>
          <w:iCs/>
        </w:rPr>
        <w:t>firms</w:t>
      </w:r>
      <w:proofErr w:type="spellEnd"/>
      <w:r w:rsidRPr="005F2ECD">
        <w:rPr>
          <w:i/>
          <w:iCs/>
        </w:rPr>
        <w:t xml:space="preserve"> </w:t>
      </w:r>
      <w:proofErr w:type="spellStart"/>
      <w:r w:rsidRPr="005F2ECD">
        <w:rPr>
          <w:i/>
          <w:iCs/>
        </w:rPr>
        <w:t>often</w:t>
      </w:r>
      <w:proofErr w:type="spellEnd"/>
      <w:r w:rsidRPr="005F2ECD">
        <w:rPr>
          <w:i/>
          <w:iCs/>
        </w:rPr>
        <w:t xml:space="preserve"> </w:t>
      </w:r>
      <w:proofErr w:type="spellStart"/>
      <w:r w:rsidRPr="005F2ECD">
        <w:rPr>
          <w:i/>
          <w:iCs/>
        </w:rPr>
        <w:t>assume</w:t>
      </w:r>
      <w:proofErr w:type="spellEnd"/>
      <w:r w:rsidRPr="005F2ECD">
        <w:rPr>
          <w:i/>
          <w:iCs/>
        </w:rPr>
        <w:t xml:space="preserve"> </w:t>
      </w:r>
      <w:proofErr w:type="spellStart"/>
      <w:r w:rsidRPr="005F2ECD">
        <w:rPr>
          <w:i/>
          <w:iCs/>
        </w:rPr>
        <w:t>that</w:t>
      </w:r>
      <w:proofErr w:type="spellEnd"/>
      <w:r w:rsidRPr="005F2ECD">
        <w:rPr>
          <w:i/>
          <w:iCs/>
        </w:rPr>
        <w:t xml:space="preserve"> </w:t>
      </w:r>
      <w:proofErr w:type="spellStart"/>
      <w:r w:rsidRPr="005F2ECD">
        <w:rPr>
          <w:i/>
          <w:iCs/>
        </w:rPr>
        <w:t>registration</w:t>
      </w:r>
      <w:proofErr w:type="spellEnd"/>
      <w:r w:rsidRPr="005F2ECD">
        <w:rPr>
          <w:i/>
          <w:iCs/>
        </w:rPr>
        <w:t xml:space="preserve"> of a </w:t>
      </w:r>
      <w:proofErr w:type="spellStart"/>
      <w:r w:rsidRPr="005F2ECD">
        <w:rPr>
          <w:i/>
          <w:iCs/>
        </w:rPr>
        <w:t>business</w:t>
      </w:r>
      <w:proofErr w:type="spellEnd"/>
      <w:r w:rsidRPr="005F2ECD">
        <w:rPr>
          <w:i/>
          <w:iCs/>
        </w:rPr>
        <w:t xml:space="preserve"> </w:t>
      </w:r>
      <w:proofErr w:type="spellStart"/>
      <w:r w:rsidRPr="005F2ECD">
        <w:rPr>
          <w:i/>
          <w:iCs/>
        </w:rPr>
        <w:t>or</w:t>
      </w:r>
      <w:proofErr w:type="spellEnd"/>
      <w:r w:rsidRPr="005F2ECD">
        <w:rPr>
          <w:i/>
          <w:iCs/>
        </w:rPr>
        <w:t xml:space="preserve"> </w:t>
      </w:r>
      <w:proofErr w:type="spellStart"/>
      <w:r w:rsidRPr="005F2ECD">
        <w:rPr>
          <w:i/>
          <w:iCs/>
        </w:rPr>
        <w:t>company</w:t>
      </w:r>
      <w:proofErr w:type="spellEnd"/>
      <w:r w:rsidRPr="005F2ECD">
        <w:rPr>
          <w:i/>
          <w:iCs/>
        </w:rPr>
        <w:t xml:space="preserve"> name </w:t>
      </w:r>
      <w:proofErr w:type="spellStart"/>
      <w:r w:rsidRPr="005F2ECD">
        <w:rPr>
          <w:i/>
          <w:iCs/>
        </w:rPr>
        <w:t>provides</w:t>
      </w:r>
      <w:proofErr w:type="spellEnd"/>
      <w:r w:rsidRPr="005F2ECD">
        <w:rPr>
          <w:i/>
          <w:iCs/>
        </w:rPr>
        <w:t xml:space="preserve"> </w:t>
      </w:r>
      <w:proofErr w:type="spellStart"/>
      <w:r w:rsidRPr="005F2ECD">
        <w:rPr>
          <w:i/>
          <w:iCs/>
        </w:rPr>
        <w:t>immunity</w:t>
      </w:r>
      <w:proofErr w:type="spellEnd"/>
      <w:r w:rsidRPr="005F2ECD">
        <w:rPr>
          <w:i/>
          <w:iCs/>
        </w:rPr>
        <w:t xml:space="preserve"> </w:t>
      </w:r>
      <w:proofErr w:type="spellStart"/>
      <w:r w:rsidRPr="005F2ECD">
        <w:rPr>
          <w:i/>
          <w:iCs/>
        </w:rPr>
        <w:t>from</w:t>
      </w:r>
      <w:proofErr w:type="spellEnd"/>
      <w:r w:rsidRPr="005F2ECD">
        <w:rPr>
          <w:i/>
          <w:iCs/>
        </w:rPr>
        <w:t xml:space="preserve"> a </w:t>
      </w:r>
      <w:proofErr w:type="spellStart"/>
      <w:r w:rsidRPr="005F2ECD">
        <w:rPr>
          <w:i/>
          <w:iCs/>
        </w:rPr>
        <w:t>claim</w:t>
      </w:r>
      <w:proofErr w:type="spellEnd"/>
      <w:r w:rsidRPr="005F2ECD">
        <w:rPr>
          <w:i/>
          <w:iCs/>
        </w:rPr>
        <w:t xml:space="preserve"> of </w:t>
      </w:r>
      <w:proofErr w:type="spellStart"/>
      <w:r w:rsidRPr="005F2ECD">
        <w:rPr>
          <w:i/>
          <w:iCs/>
        </w:rPr>
        <w:t>trade</w:t>
      </w:r>
      <w:proofErr w:type="spellEnd"/>
      <w:r w:rsidRPr="005F2ECD">
        <w:rPr>
          <w:i/>
          <w:iCs/>
        </w:rPr>
        <w:t xml:space="preserve"> mark </w:t>
      </w:r>
      <w:proofErr w:type="spellStart"/>
      <w:r w:rsidRPr="005F2ECD">
        <w:rPr>
          <w:i/>
          <w:iCs/>
        </w:rPr>
        <w:t>infringement</w:t>
      </w:r>
      <w:proofErr w:type="spellEnd"/>
      <w:r w:rsidRPr="005F2ECD">
        <w:rPr>
          <w:i/>
          <w:iCs/>
        </w:rPr>
        <w:t xml:space="preserve">, </w:t>
      </w:r>
      <w:proofErr w:type="spellStart"/>
      <w:r w:rsidRPr="005F2ECD">
        <w:rPr>
          <w:i/>
          <w:iCs/>
        </w:rPr>
        <w:t>reflecting</w:t>
      </w:r>
      <w:proofErr w:type="spellEnd"/>
      <w:r w:rsidRPr="005F2ECD">
        <w:rPr>
          <w:i/>
          <w:iCs/>
        </w:rPr>
        <w:t xml:space="preserve"> </w:t>
      </w:r>
      <w:proofErr w:type="spellStart"/>
      <w:r w:rsidRPr="005F2ECD">
        <w:rPr>
          <w:i/>
          <w:iCs/>
        </w:rPr>
        <w:t>considerable</w:t>
      </w:r>
      <w:proofErr w:type="spellEnd"/>
      <w:r w:rsidRPr="005F2ECD">
        <w:rPr>
          <w:i/>
          <w:iCs/>
        </w:rPr>
        <w:t xml:space="preserve"> </w:t>
      </w:r>
      <w:proofErr w:type="spellStart"/>
      <w:r w:rsidRPr="005F2ECD">
        <w:rPr>
          <w:i/>
          <w:iCs/>
        </w:rPr>
        <w:t>confusion</w:t>
      </w:r>
      <w:proofErr w:type="spellEnd"/>
      <w:r w:rsidRPr="005F2ECD">
        <w:rPr>
          <w:i/>
          <w:iCs/>
        </w:rPr>
        <w:t xml:space="preserve"> </w:t>
      </w:r>
      <w:proofErr w:type="spellStart"/>
      <w:r w:rsidRPr="005F2ECD">
        <w:rPr>
          <w:i/>
          <w:iCs/>
        </w:rPr>
        <w:t>about</w:t>
      </w:r>
      <w:proofErr w:type="spellEnd"/>
      <w:r w:rsidRPr="005F2ECD">
        <w:rPr>
          <w:i/>
          <w:iCs/>
        </w:rPr>
        <w:t xml:space="preserve"> </w:t>
      </w:r>
      <w:proofErr w:type="spellStart"/>
      <w:r w:rsidRPr="005F2ECD">
        <w:rPr>
          <w:i/>
          <w:iCs/>
        </w:rPr>
        <w:t>the</w:t>
      </w:r>
      <w:proofErr w:type="spellEnd"/>
      <w:r w:rsidRPr="005F2ECD">
        <w:rPr>
          <w:i/>
          <w:iCs/>
        </w:rPr>
        <w:t xml:space="preserve"> </w:t>
      </w:r>
      <w:proofErr w:type="spellStart"/>
      <w:r w:rsidRPr="005F2ECD">
        <w:rPr>
          <w:i/>
          <w:iCs/>
        </w:rPr>
        <w:t>rules</w:t>
      </w:r>
      <w:proofErr w:type="spellEnd"/>
      <w:r w:rsidRPr="005F2ECD">
        <w:rPr>
          <w:i/>
          <w:iCs/>
        </w:rPr>
        <w:t xml:space="preserve"> of </w:t>
      </w:r>
      <w:proofErr w:type="spellStart"/>
      <w:r w:rsidRPr="005F2ECD">
        <w:rPr>
          <w:i/>
          <w:iCs/>
        </w:rPr>
        <w:t>both</w:t>
      </w:r>
      <w:proofErr w:type="spellEnd"/>
      <w:r w:rsidRPr="005F2ECD">
        <w:rPr>
          <w:i/>
          <w:iCs/>
        </w:rPr>
        <w:t xml:space="preserve"> </w:t>
      </w:r>
      <w:proofErr w:type="spellStart"/>
      <w:r w:rsidRPr="005F2ECD">
        <w:rPr>
          <w:i/>
          <w:iCs/>
        </w:rPr>
        <w:t>trade</w:t>
      </w:r>
      <w:proofErr w:type="spellEnd"/>
      <w:r w:rsidRPr="005F2ECD">
        <w:rPr>
          <w:i/>
          <w:iCs/>
        </w:rPr>
        <w:t xml:space="preserve"> mark </w:t>
      </w:r>
      <w:proofErr w:type="spellStart"/>
      <w:r w:rsidRPr="005F2ECD">
        <w:rPr>
          <w:i/>
          <w:iCs/>
        </w:rPr>
        <w:t>acquisition</w:t>
      </w:r>
      <w:proofErr w:type="spellEnd"/>
      <w:r w:rsidRPr="005F2ECD">
        <w:rPr>
          <w:i/>
          <w:iCs/>
        </w:rPr>
        <w:t xml:space="preserve"> </w:t>
      </w:r>
      <w:proofErr w:type="spellStart"/>
      <w:r w:rsidRPr="005F2ECD">
        <w:rPr>
          <w:i/>
          <w:iCs/>
        </w:rPr>
        <w:t>and</w:t>
      </w:r>
      <w:proofErr w:type="spellEnd"/>
      <w:r w:rsidRPr="005F2ECD">
        <w:rPr>
          <w:i/>
          <w:iCs/>
        </w:rPr>
        <w:t xml:space="preserve"> </w:t>
      </w:r>
      <w:proofErr w:type="spellStart"/>
      <w:r w:rsidRPr="005F2ECD">
        <w:rPr>
          <w:i/>
          <w:iCs/>
        </w:rPr>
        <w:t>trade</w:t>
      </w:r>
      <w:proofErr w:type="spellEnd"/>
      <w:r w:rsidRPr="005F2ECD">
        <w:rPr>
          <w:i/>
          <w:iCs/>
        </w:rPr>
        <w:t xml:space="preserve"> mark </w:t>
      </w:r>
      <w:proofErr w:type="spellStart"/>
      <w:r w:rsidRPr="005F2ECD">
        <w:rPr>
          <w:i/>
          <w:iCs/>
        </w:rPr>
        <w:t>infringement</w:t>
      </w:r>
      <w:proofErr w:type="spellEnd"/>
      <w:r w:rsidRPr="005F2ECD">
        <w:rPr>
          <w:i/>
          <w:iCs/>
        </w:rPr>
        <w:t>.</w:t>
      </w:r>
      <w:r w:rsidRPr="005F2ECD">
        <w:rPr>
          <w:rFonts w:cs="Times New Roman"/>
          <w:szCs w:val="24"/>
        </w:rPr>
        <w:t xml:space="preserve"> </w:t>
      </w:r>
      <w:proofErr w:type="spellStart"/>
      <w:r w:rsidRPr="005F2ECD">
        <w:rPr>
          <w:rFonts w:cs="Times New Roman"/>
          <w:i/>
          <w:iCs/>
          <w:szCs w:val="24"/>
        </w:rPr>
        <w:t>The</w:t>
      </w:r>
      <w:proofErr w:type="spellEnd"/>
      <w:r w:rsidRPr="005F2ECD">
        <w:rPr>
          <w:rFonts w:cs="Times New Roman"/>
          <w:i/>
          <w:iCs/>
          <w:szCs w:val="24"/>
        </w:rPr>
        <w:t xml:space="preserve"> </w:t>
      </w:r>
      <w:proofErr w:type="spellStart"/>
      <w:r w:rsidRPr="005F2ECD">
        <w:rPr>
          <w:rFonts w:cs="Times New Roman"/>
          <w:i/>
          <w:iCs/>
          <w:szCs w:val="24"/>
        </w:rPr>
        <w:t>fact</w:t>
      </w:r>
      <w:proofErr w:type="spellEnd"/>
      <w:r w:rsidRPr="005F2ECD">
        <w:rPr>
          <w:rFonts w:cs="Times New Roman"/>
          <w:i/>
          <w:iCs/>
          <w:szCs w:val="24"/>
        </w:rPr>
        <w:t xml:space="preserve"> </w:t>
      </w:r>
      <w:proofErr w:type="spellStart"/>
      <w:r w:rsidRPr="005F2ECD">
        <w:rPr>
          <w:rFonts w:cs="Times New Roman"/>
          <w:i/>
          <w:iCs/>
          <w:szCs w:val="24"/>
        </w:rPr>
        <w:t>that</w:t>
      </w:r>
      <w:proofErr w:type="spellEnd"/>
      <w:r w:rsidRPr="005F2ECD">
        <w:rPr>
          <w:rFonts w:cs="Times New Roman"/>
          <w:i/>
          <w:iCs/>
          <w:szCs w:val="24"/>
        </w:rPr>
        <w:t xml:space="preserve"> </w:t>
      </w:r>
      <w:proofErr w:type="spellStart"/>
      <w:r w:rsidRPr="005F2ECD">
        <w:rPr>
          <w:rFonts w:cs="Times New Roman"/>
          <w:i/>
          <w:iCs/>
          <w:szCs w:val="24"/>
        </w:rPr>
        <w:t>small</w:t>
      </w:r>
      <w:proofErr w:type="spellEnd"/>
      <w:r w:rsidRPr="005F2ECD">
        <w:rPr>
          <w:rFonts w:cs="Times New Roman"/>
          <w:i/>
          <w:iCs/>
          <w:szCs w:val="24"/>
        </w:rPr>
        <w:t xml:space="preserve"> </w:t>
      </w:r>
      <w:proofErr w:type="spellStart"/>
      <w:r w:rsidRPr="005F2ECD">
        <w:rPr>
          <w:rFonts w:cs="Times New Roman"/>
          <w:i/>
          <w:iCs/>
          <w:szCs w:val="24"/>
        </w:rPr>
        <w:t>and</w:t>
      </w:r>
      <w:proofErr w:type="spellEnd"/>
      <w:r w:rsidRPr="005F2ECD">
        <w:rPr>
          <w:rFonts w:cs="Times New Roman"/>
          <w:i/>
          <w:iCs/>
          <w:szCs w:val="24"/>
        </w:rPr>
        <w:t xml:space="preserve"> </w:t>
      </w:r>
      <w:proofErr w:type="spellStart"/>
      <w:r w:rsidRPr="005F2ECD">
        <w:rPr>
          <w:rFonts w:cs="Times New Roman"/>
          <w:i/>
          <w:iCs/>
          <w:szCs w:val="24"/>
        </w:rPr>
        <w:t>medium</w:t>
      </w:r>
      <w:proofErr w:type="spellEnd"/>
      <w:r w:rsidRPr="005F2ECD">
        <w:rPr>
          <w:rFonts w:cs="Times New Roman"/>
          <w:i/>
          <w:iCs/>
          <w:szCs w:val="24"/>
        </w:rPr>
        <w:t xml:space="preserve">-size </w:t>
      </w:r>
      <w:proofErr w:type="spellStart"/>
      <w:r w:rsidRPr="005F2ECD">
        <w:rPr>
          <w:rFonts w:cs="Times New Roman"/>
          <w:i/>
          <w:iCs/>
          <w:szCs w:val="24"/>
        </w:rPr>
        <w:t>enterprises</w:t>
      </w:r>
      <w:proofErr w:type="spellEnd"/>
      <w:r w:rsidRPr="005F2ECD">
        <w:rPr>
          <w:rFonts w:cs="Times New Roman"/>
          <w:i/>
          <w:iCs/>
          <w:szCs w:val="24"/>
        </w:rPr>
        <w:t xml:space="preserve"> </w:t>
      </w:r>
      <w:proofErr w:type="spellStart"/>
      <w:r w:rsidRPr="005F2ECD">
        <w:rPr>
          <w:rFonts w:cs="Times New Roman"/>
          <w:i/>
          <w:iCs/>
          <w:szCs w:val="24"/>
        </w:rPr>
        <w:t>often</w:t>
      </w:r>
      <w:proofErr w:type="spellEnd"/>
      <w:r w:rsidRPr="005F2ECD">
        <w:rPr>
          <w:rFonts w:cs="Times New Roman"/>
          <w:i/>
          <w:iCs/>
          <w:szCs w:val="24"/>
        </w:rPr>
        <w:t xml:space="preserve"> </w:t>
      </w:r>
      <w:proofErr w:type="spellStart"/>
      <w:r w:rsidRPr="005F2ECD">
        <w:rPr>
          <w:rFonts w:cs="Times New Roman"/>
          <w:i/>
          <w:iCs/>
          <w:szCs w:val="24"/>
        </w:rPr>
        <w:t>have</w:t>
      </w:r>
      <w:proofErr w:type="spellEnd"/>
      <w:r w:rsidRPr="005F2ECD">
        <w:rPr>
          <w:rFonts w:cs="Times New Roman"/>
          <w:i/>
          <w:iCs/>
          <w:szCs w:val="24"/>
        </w:rPr>
        <w:t xml:space="preserve"> </w:t>
      </w:r>
      <w:proofErr w:type="spellStart"/>
      <w:r w:rsidRPr="005F2ECD">
        <w:rPr>
          <w:rFonts w:cs="Times New Roman"/>
          <w:i/>
          <w:iCs/>
          <w:szCs w:val="24"/>
        </w:rPr>
        <w:t>little</w:t>
      </w:r>
      <w:proofErr w:type="spellEnd"/>
      <w:r w:rsidRPr="005F2ECD">
        <w:rPr>
          <w:rFonts w:cs="Times New Roman"/>
          <w:i/>
          <w:iCs/>
          <w:szCs w:val="24"/>
        </w:rPr>
        <w:t xml:space="preserve"> </w:t>
      </w:r>
      <w:proofErr w:type="spellStart"/>
      <w:r w:rsidRPr="005F2ECD">
        <w:rPr>
          <w:rFonts w:cs="Times New Roman"/>
          <w:i/>
          <w:iCs/>
          <w:szCs w:val="24"/>
        </w:rPr>
        <w:t>understanding</w:t>
      </w:r>
      <w:proofErr w:type="spellEnd"/>
      <w:r w:rsidRPr="005F2ECD">
        <w:rPr>
          <w:rFonts w:cs="Times New Roman"/>
          <w:i/>
          <w:iCs/>
          <w:szCs w:val="24"/>
        </w:rPr>
        <w:t xml:space="preserve"> of </w:t>
      </w:r>
      <w:proofErr w:type="spellStart"/>
      <w:r w:rsidRPr="005F2ECD">
        <w:rPr>
          <w:rFonts w:cs="Times New Roman"/>
          <w:i/>
          <w:iCs/>
          <w:szCs w:val="24"/>
        </w:rPr>
        <w:t>the</w:t>
      </w:r>
      <w:proofErr w:type="spellEnd"/>
      <w:r w:rsidRPr="005F2ECD">
        <w:rPr>
          <w:rFonts w:cs="Times New Roman"/>
          <w:i/>
          <w:iCs/>
          <w:szCs w:val="24"/>
        </w:rPr>
        <w:t xml:space="preserve"> </w:t>
      </w:r>
      <w:proofErr w:type="spellStart"/>
      <w:r w:rsidRPr="005F2ECD">
        <w:rPr>
          <w:rFonts w:cs="Times New Roman"/>
          <w:i/>
          <w:iCs/>
          <w:szCs w:val="24"/>
        </w:rPr>
        <w:t>mechanics</w:t>
      </w:r>
      <w:proofErr w:type="spellEnd"/>
      <w:r w:rsidRPr="005F2ECD">
        <w:rPr>
          <w:rFonts w:cs="Times New Roman"/>
          <w:i/>
          <w:iCs/>
          <w:szCs w:val="24"/>
        </w:rPr>
        <w:t xml:space="preserve"> of </w:t>
      </w:r>
      <w:proofErr w:type="spellStart"/>
      <w:r w:rsidRPr="005F2ECD">
        <w:rPr>
          <w:rFonts w:cs="Times New Roman"/>
          <w:i/>
          <w:iCs/>
          <w:szCs w:val="24"/>
        </w:rPr>
        <w:t>trade</w:t>
      </w:r>
      <w:proofErr w:type="spellEnd"/>
      <w:r w:rsidRPr="005F2ECD">
        <w:rPr>
          <w:rFonts w:cs="Times New Roman"/>
          <w:i/>
          <w:iCs/>
          <w:szCs w:val="24"/>
        </w:rPr>
        <w:t xml:space="preserve"> mark </w:t>
      </w:r>
      <w:proofErr w:type="spellStart"/>
      <w:r w:rsidRPr="005F2ECD">
        <w:rPr>
          <w:rFonts w:cs="Times New Roman"/>
          <w:i/>
          <w:iCs/>
          <w:szCs w:val="24"/>
        </w:rPr>
        <w:t>protection</w:t>
      </w:r>
      <w:proofErr w:type="spellEnd"/>
      <w:r w:rsidRPr="005F2ECD">
        <w:rPr>
          <w:rFonts w:cs="Times New Roman"/>
          <w:i/>
          <w:iCs/>
          <w:szCs w:val="24"/>
        </w:rPr>
        <w:t xml:space="preserve"> </w:t>
      </w:r>
      <w:proofErr w:type="spellStart"/>
      <w:r w:rsidRPr="005F2ECD">
        <w:rPr>
          <w:rFonts w:cs="Times New Roman"/>
          <w:i/>
          <w:iCs/>
          <w:szCs w:val="24"/>
        </w:rPr>
        <w:t>casts</w:t>
      </w:r>
      <w:proofErr w:type="spellEnd"/>
      <w:r w:rsidRPr="005F2ECD">
        <w:rPr>
          <w:rFonts w:cs="Times New Roman"/>
          <w:i/>
          <w:iCs/>
          <w:szCs w:val="24"/>
        </w:rPr>
        <w:t xml:space="preserve"> </w:t>
      </w:r>
      <w:proofErr w:type="spellStart"/>
      <w:r w:rsidRPr="005F2ECD">
        <w:rPr>
          <w:rFonts w:cs="Times New Roman"/>
          <w:i/>
          <w:iCs/>
          <w:szCs w:val="24"/>
        </w:rPr>
        <w:t>further</w:t>
      </w:r>
      <w:proofErr w:type="spellEnd"/>
      <w:r w:rsidRPr="005F2ECD">
        <w:rPr>
          <w:rFonts w:cs="Times New Roman"/>
          <w:i/>
          <w:iCs/>
          <w:szCs w:val="24"/>
        </w:rPr>
        <w:t xml:space="preserve"> </w:t>
      </w:r>
      <w:proofErr w:type="spellStart"/>
      <w:r w:rsidRPr="005F2ECD">
        <w:rPr>
          <w:rFonts w:cs="Times New Roman"/>
          <w:i/>
          <w:iCs/>
          <w:szCs w:val="24"/>
        </w:rPr>
        <w:t>doubt</w:t>
      </w:r>
      <w:proofErr w:type="spellEnd"/>
      <w:r w:rsidRPr="005F2ECD">
        <w:rPr>
          <w:rFonts w:cs="Times New Roman"/>
          <w:i/>
          <w:iCs/>
          <w:szCs w:val="24"/>
        </w:rPr>
        <w:t xml:space="preserve"> on </w:t>
      </w:r>
      <w:proofErr w:type="spellStart"/>
      <w:r w:rsidRPr="005F2ECD">
        <w:rPr>
          <w:rFonts w:cs="Times New Roman"/>
          <w:i/>
          <w:iCs/>
          <w:szCs w:val="24"/>
        </w:rPr>
        <w:t>the</w:t>
      </w:r>
      <w:proofErr w:type="spellEnd"/>
      <w:r w:rsidRPr="005F2ECD">
        <w:rPr>
          <w:rFonts w:cs="Times New Roman"/>
          <w:i/>
          <w:iCs/>
          <w:szCs w:val="24"/>
        </w:rPr>
        <w:t xml:space="preserve"> </w:t>
      </w:r>
      <w:proofErr w:type="spellStart"/>
      <w:r w:rsidRPr="005F2ECD">
        <w:rPr>
          <w:rFonts w:cs="Times New Roman"/>
          <w:i/>
          <w:iCs/>
          <w:szCs w:val="24"/>
        </w:rPr>
        <w:t>usefulness</w:t>
      </w:r>
      <w:proofErr w:type="spellEnd"/>
      <w:r w:rsidRPr="005F2ECD">
        <w:rPr>
          <w:rFonts w:cs="Times New Roman"/>
          <w:i/>
          <w:iCs/>
          <w:szCs w:val="24"/>
        </w:rPr>
        <w:t xml:space="preserve"> of </w:t>
      </w:r>
      <w:proofErr w:type="spellStart"/>
      <w:r w:rsidRPr="005F2ECD">
        <w:rPr>
          <w:rFonts w:cs="Times New Roman"/>
          <w:i/>
          <w:iCs/>
          <w:szCs w:val="24"/>
        </w:rPr>
        <w:t>the</w:t>
      </w:r>
      <w:proofErr w:type="spellEnd"/>
      <w:r w:rsidRPr="005F2ECD">
        <w:rPr>
          <w:rFonts w:cs="Times New Roman"/>
          <w:i/>
          <w:iCs/>
          <w:szCs w:val="24"/>
        </w:rPr>
        <w:t xml:space="preserve"> </w:t>
      </w:r>
      <w:proofErr w:type="spellStart"/>
      <w:r w:rsidRPr="005F2ECD">
        <w:rPr>
          <w:rFonts w:cs="Times New Roman"/>
          <w:i/>
          <w:iCs/>
          <w:szCs w:val="24"/>
        </w:rPr>
        <w:t>register</w:t>
      </w:r>
      <w:proofErr w:type="spellEnd"/>
      <w:r w:rsidRPr="005F2ECD">
        <w:rPr>
          <w:rFonts w:cs="Times New Roman"/>
          <w:i/>
          <w:iCs/>
          <w:szCs w:val="24"/>
        </w:rPr>
        <w:t xml:space="preserve"> as a </w:t>
      </w:r>
      <w:proofErr w:type="spellStart"/>
      <w:r w:rsidRPr="005F2ECD">
        <w:rPr>
          <w:rFonts w:cs="Times New Roman"/>
          <w:i/>
          <w:iCs/>
          <w:szCs w:val="24"/>
        </w:rPr>
        <w:t>source</w:t>
      </w:r>
      <w:proofErr w:type="spellEnd"/>
      <w:r w:rsidRPr="005F2ECD">
        <w:rPr>
          <w:rFonts w:cs="Times New Roman"/>
          <w:i/>
          <w:iCs/>
          <w:szCs w:val="24"/>
        </w:rPr>
        <w:t xml:space="preserve"> of </w:t>
      </w:r>
      <w:proofErr w:type="spellStart"/>
      <w:r w:rsidRPr="005F2ECD">
        <w:rPr>
          <w:rFonts w:cs="Times New Roman"/>
          <w:i/>
          <w:iCs/>
          <w:szCs w:val="24"/>
        </w:rPr>
        <w:t>information</w:t>
      </w:r>
      <w:proofErr w:type="spellEnd"/>
      <w:r w:rsidRPr="005F2ECD">
        <w:rPr>
          <w:i/>
          <w:iCs/>
        </w:rPr>
        <w:t>”</w:t>
      </w:r>
      <w:r>
        <w:rPr>
          <w:i/>
          <w:iCs/>
        </w:rPr>
        <w:t xml:space="preserve"> </w:t>
      </w:r>
      <w:r>
        <w:t>(</w:t>
      </w:r>
      <w:proofErr w:type="spellStart"/>
      <w:r>
        <w:t>Burrell</w:t>
      </w:r>
      <w:proofErr w:type="spellEnd"/>
      <w:r>
        <w:t>, s. 8-9).</w:t>
      </w:r>
    </w:p>
  </w:footnote>
  <w:footnote w:id="44">
    <w:p w14:paraId="05C353CB" w14:textId="23EFCC68" w:rsidR="00B064BF" w:rsidRPr="0033417B" w:rsidRDefault="00B064BF" w:rsidP="0033417B">
      <w:pPr>
        <w:pStyle w:val="DipnotMetni"/>
      </w:pPr>
      <w:r>
        <w:rPr>
          <w:rStyle w:val="DipnotBavurusu"/>
        </w:rPr>
        <w:footnoteRef/>
      </w:r>
      <w:r>
        <w:t xml:space="preserve"> </w:t>
      </w:r>
      <w:r>
        <w:tab/>
      </w:r>
      <w:proofErr w:type="spellStart"/>
      <w:r>
        <w:t>Burrell</w:t>
      </w:r>
      <w:proofErr w:type="spellEnd"/>
      <w:r>
        <w:t xml:space="preserve"> bu noktada şöyle yazar: </w:t>
      </w:r>
      <w:r w:rsidRPr="0033417B">
        <w:rPr>
          <w:i/>
          <w:iCs/>
        </w:rPr>
        <w:t>“</w:t>
      </w:r>
      <w:proofErr w:type="spellStart"/>
      <w:r w:rsidRPr="0033417B">
        <w:rPr>
          <w:i/>
          <w:iCs/>
        </w:rPr>
        <w:t>In</w:t>
      </w:r>
      <w:proofErr w:type="spellEnd"/>
      <w:r w:rsidRPr="0033417B">
        <w:rPr>
          <w:i/>
          <w:iCs/>
        </w:rPr>
        <w:t xml:space="preserve"> </w:t>
      </w:r>
      <w:proofErr w:type="spellStart"/>
      <w:r w:rsidRPr="0033417B">
        <w:rPr>
          <w:i/>
          <w:iCs/>
        </w:rPr>
        <w:t>the</w:t>
      </w:r>
      <w:proofErr w:type="spellEnd"/>
      <w:r w:rsidRPr="0033417B">
        <w:rPr>
          <w:i/>
          <w:iCs/>
        </w:rPr>
        <w:t xml:space="preserve"> </w:t>
      </w:r>
      <w:proofErr w:type="spellStart"/>
      <w:r w:rsidRPr="0033417B">
        <w:rPr>
          <w:i/>
          <w:iCs/>
        </w:rPr>
        <w:t>trade</w:t>
      </w:r>
      <w:proofErr w:type="spellEnd"/>
      <w:r w:rsidRPr="0033417B">
        <w:rPr>
          <w:i/>
          <w:iCs/>
        </w:rPr>
        <w:t xml:space="preserve"> mark </w:t>
      </w:r>
      <w:proofErr w:type="spellStart"/>
      <w:r w:rsidRPr="0033417B">
        <w:rPr>
          <w:i/>
          <w:iCs/>
        </w:rPr>
        <w:t>context</w:t>
      </w:r>
      <w:proofErr w:type="spellEnd"/>
      <w:r w:rsidRPr="0033417B">
        <w:rPr>
          <w:i/>
          <w:iCs/>
        </w:rPr>
        <w:t xml:space="preserve">, </w:t>
      </w:r>
      <w:proofErr w:type="spellStart"/>
      <w:r w:rsidRPr="0033417B">
        <w:rPr>
          <w:i/>
          <w:iCs/>
        </w:rPr>
        <w:t>however</w:t>
      </w:r>
      <w:proofErr w:type="spellEnd"/>
      <w:r w:rsidRPr="0033417B">
        <w:rPr>
          <w:i/>
          <w:iCs/>
        </w:rPr>
        <w:t xml:space="preserve">, </w:t>
      </w:r>
      <w:proofErr w:type="spellStart"/>
      <w:r w:rsidRPr="0033417B">
        <w:rPr>
          <w:i/>
          <w:iCs/>
        </w:rPr>
        <w:t>deferring</w:t>
      </w:r>
      <w:proofErr w:type="spellEnd"/>
      <w:r w:rsidRPr="0033417B">
        <w:rPr>
          <w:i/>
          <w:iCs/>
        </w:rPr>
        <w:t xml:space="preserve"> </w:t>
      </w:r>
      <w:proofErr w:type="spellStart"/>
      <w:r w:rsidRPr="0033417B">
        <w:rPr>
          <w:i/>
          <w:iCs/>
        </w:rPr>
        <w:t>questions</w:t>
      </w:r>
      <w:proofErr w:type="spellEnd"/>
      <w:r w:rsidRPr="0033417B">
        <w:rPr>
          <w:i/>
          <w:iCs/>
        </w:rPr>
        <w:t xml:space="preserve"> of </w:t>
      </w:r>
      <w:proofErr w:type="spellStart"/>
      <w:r w:rsidRPr="0033417B">
        <w:rPr>
          <w:i/>
          <w:iCs/>
        </w:rPr>
        <w:t>validity</w:t>
      </w:r>
      <w:proofErr w:type="spellEnd"/>
      <w:r w:rsidRPr="0033417B">
        <w:rPr>
          <w:i/>
          <w:iCs/>
        </w:rPr>
        <w:t xml:space="preserve"> in </w:t>
      </w:r>
      <w:proofErr w:type="spellStart"/>
      <w:r w:rsidRPr="0033417B">
        <w:rPr>
          <w:i/>
          <w:iCs/>
        </w:rPr>
        <w:t>this</w:t>
      </w:r>
      <w:proofErr w:type="spellEnd"/>
      <w:r w:rsidRPr="0033417B">
        <w:rPr>
          <w:i/>
          <w:iCs/>
        </w:rPr>
        <w:t xml:space="preserve"> </w:t>
      </w:r>
      <w:proofErr w:type="spellStart"/>
      <w:r w:rsidRPr="0033417B">
        <w:rPr>
          <w:i/>
          <w:iCs/>
        </w:rPr>
        <w:t>way</w:t>
      </w:r>
      <w:proofErr w:type="spellEnd"/>
      <w:r w:rsidRPr="0033417B">
        <w:rPr>
          <w:i/>
          <w:iCs/>
        </w:rPr>
        <w:t xml:space="preserve"> </w:t>
      </w:r>
      <w:proofErr w:type="spellStart"/>
      <w:r w:rsidRPr="0033417B">
        <w:rPr>
          <w:i/>
          <w:iCs/>
        </w:rPr>
        <w:t>would</w:t>
      </w:r>
      <w:proofErr w:type="spellEnd"/>
      <w:r w:rsidRPr="0033417B">
        <w:rPr>
          <w:i/>
          <w:iCs/>
        </w:rPr>
        <w:t xml:space="preserve"> </w:t>
      </w:r>
      <w:proofErr w:type="spellStart"/>
      <w:r w:rsidRPr="0033417B">
        <w:rPr>
          <w:i/>
          <w:iCs/>
        </w:rPr>
        <w:t>largely</w:t>
      </w:r>
      <w:proofErr w:type="spellEnd"/>
      <w:r w:rsidRPr="0033417B">
        <w:rPr>
          <w:i/>
          <w:iCs/>
        </w:rPr>
        <w:t xml:space="preserve"> </w:t>
      </w:r>
      <w:proofErr w:type="spellStart"/>
      <w:r w:rsidRPr="0033417B">
        <w:rPr>
          <w:i/>
          <w:iCs/>
        </w:rPr>
        <w:t>remove</w:t>
      </w:r>
      <w:proofErr w:type="spellEnd"/>
      <w:r w:rsidRPr="0033417B">
        <w:rPr>
          <w:i/>
          <w:iCs/>
        </w:rPr>
        <w:t xml:space="preserve"> </w:t>
      </w:r>
      <w:proofErr w:type="spellStart"/>
      <w:r w:rsidRPr="0033417B">
        <w:rPr>
          <w:i/>
          <w:iCs/>
        </w:rPr>
        <w:t>the</w:t>
      </w:r>
      <w:proofErr w:type="spellEnd"/>
      <w:r w:rsidRPr="0033417B">
        <w:rPr>
          <w:i/>
          <w:iCs/>
        </w:rPr>
        <w:t xml:space="preserve"> </w:t>
      </w:r>
      <w:proofErr w:type="spellStart"/>
      <w:r w:rsidRPr="0033417B">
        <w:rPr>
          <w:i/>
          <w:iCs/>
        </w:rPr>
        <w:t>benefits</w:t>
      </w:r>
      <w:proofErr w:type="spellEnd"/>
      <w:r w:rsidRPr="0033417B">
        <w:rPr>
          <w:i/>
          <w:iCs/>
        </w:rPr>
        <w:t xml:space="preserve"> of </w:t>
      </w:r>
      <w:proofErr w:type="spellStart"/>
      <w:r w:rsidRPr="0033417B">
        <w:rPr>
          <w:i/>
          <w:iCs/>
        </w:rPr>
        <w:t>registration</w:t>
      </w:r>
      <w:proofErr w:type="spellEnd"/>
      <w:r w:rsidRPr="0033417B">
        <w:rPr>
          <w:i/>
          <w:iCs/>
        </w:rPr>
        <w:t xml:space="preserve"> </w:t>
      </w:r>
      <w:proofErr w:type="spellStart"/>
      <w:r w:rsidRPr="0033417B">
        <w:rPr>
          <w:i/>
          <w:iCs/>
        </w:rPr>
        <w:t>for</w:t>
      </w:r>
      <w:proofErr w:type="spellEnd"/>
      <w:r w:rsidRPr="0033417B">
        <w:rPr>
          <w:i/>
          <w:iCs/>
        </w:rPr>
        <w:t xml:space="preserve"> </w:t>
      </w:r>
      <w:proofErr w:type="spellStart"/>
      <w:r w:rsidRPr="0033417B">
        <w:rPr>
          <w:i/>
          <w:iCs/>
        </w:rPr>
        <w:t>both</w:t>
      </w:r>
      <w:proofErr w:type="spellEnd"/>
      <w:r w:rsidRPr="0033417B">
        <w:rPr>
          <w:i/>
          <w:iCs/>
        </w:rPr>
        <w:t xml:space="preserve"> </w:t>
      </w:r>
      <w:proofErr w:type="spellStart"/>
      <w:r w:rsidRPr="0033417B">
        <w:rPr>
          <w:i/>
          <w:iCs/>
        </w:rPr>
        <w:t>third</w:t>
      </w:r>
      <w:proofErr w:type="spellEnd"/>
      <w:r w:rsidRPr="0033417B">
        <w:rPr>
          <w:i/>
          <w:iCs/>
        </w:rPr>
        <w:t xml:space="preserve"> </w:t>
      </w:r>
      <w:proofErr w:type="spellStart"/>
      <w:r w:rsidRPr="0033417B">
        <w:rPr>
          <w:i/>
          <w:iCs/>
        </w:rPr>
        <w:t>parties</w:t>
      </w:r>
      <w:proofErr w:type="spellEnd"/>
      <w:r w:rsidRPr="0033417B">
        <w:rPr>
          <w:i/>
          <w:iCs/>
        </w:rPr>
        <w:t xml:space="preserve"> </w:t>
      </w:r>
      <w:proofErr w:type="spellStart"/>
      <w:r w:rsidRPr="0033417B">
        <w:rPr>
          <w:i/>
          <w:iCs/>
        </w:rPr>
        <w:t>and</w:t>
      </w:r>
      <w:proofErr w:type="spellEnd"/>
      <w:r w:rsidRPr="0033417B">
        <w:rPr>
          <w:i/>
          <w:iCs/>
        </w:rPr>
        <w:t xml:space="preserve"> </w:t>
      </w:r>
      <w:proofErr w:type="spellStart"/>
      <w:r w:rsidRPr="0033417B">
        <w:rPr>
          <w:i/>
          <w:iCs/>
        </w:rPr>
        <w:t>owners</w:t>
      </w:r>
      <w:proofErr w:type="spellEnd"/>
      <w:r w:rsidRPr="0033417B">
        <w:rPr>
          <w:i/>
          <w:iCs/>
        </w:rPr>
        <w:t>”</w:t>
      </w:r>
      <w:r>
        <w:rPr>
          <w:i/>
          <w:iCs/>
        </w:rPr>
        <w:t xml:space="preserve"> </w:t>
      </w:r>
      <w:r>
        <w:t>(</w:t>
      </w:r>
      <w:proofErr w:type="spellStart"/>
      <w:r>
        <w:t>Burrell</w:t>
      </w:r>
      <w:proofErr w:type="spellEnd"/>
      <w:r>
        <w:t>, s. 7).</w:t>
      </w:r>
    </w:p>
  </w:footnote>
  <w:footnote w:id="45">
    <w:p w14:paraId="70B48D39" w14:textId="133C0B88" w:rsidR="00B064BF" w:rsidRDefault="00B064BF">
      <w:pPr>
        <w:pStyle w:val="DipnotMetni"/>
      </w:pPr>
      <w:r>
        <w:rPr>
          <w:rStyle w:val="DipnotBavurusu"/>
        </w:rPr>
        <w:footnoteRef/>
      </w:r>
      <w:r>
        <w:t xml:space="preserve"> </w:t>
      </w:r>
      <w:r>
        <w:tab/>
        <w:t>Bu husus ise başlı başına, tescil sisteminin benimsenmesinin altında yatan ihtiyacın tatminine hizmet eder. Zira marka hakkının tescille kazanıldığı ve tescilden önce kullanımın şart olmadığı sistemlerde temel amaç, müstakbel teşebbüslerin rahat bir şekilde ve başkalarının marka haklarına tecavüz edemeyeceğini bilerek yatırım yapmalarının kolaylaştırılmasıdır (</w:t>
      </w:r>
      <w:proofErr w:type="spellStart"/>
      <w:r>
        <w:t>Winner</w:t>
      </w:r>
      <w:proofErr w:type="spellEnd"/>
      <w:r>
        <w:t xml:space="preserve">, s. 53).  </w:t>
      </w:r>
    </w:p>
  </w:footnote>
  <w:footnote w:id="46">
    <w:p w14:paraId="5896D952" w14:textId="3F886AB2" w:rsidR="00B064BF" w:rsidRDefault="00B064BF">
      <w:pPr>
        <w:pStyle w:val="DipnotMetni"/>
      </w:pPr>
      <w:r>
        <w:rPr>
          <w:rStyle w:val="DipnotBavurusu"/>
        </w:rPr>
        <w:footnoteRef/>
      </w:r>
      <w:r>
        <w:t xml:space="preserve"> </w:t>
      </w:r>
      <w:r>
        <w:tab/>
        <w:t>Öğretide marka korumasının temelinde, markaların ayırt ediciliğinin muhafazası olduğu da savlanmaktadır (</w:t>
      </w:r>
      <w:proofErr w:type="spellStart"/>
      <w:r>
        <w:t>Tushnet</w:t>
      </w:r>
      <w:proofErr w:type="spellEnd"/>
      <w:r>
        <w:t>, s. 875).</w:t>
      </w:r>
    </w:p>
  </w:footnote>
  <w:footnote w:id="47">
    <w:p w14:paraId="1F4F6189" w14:textId="249BAB9C" w:rsidR="00B064BF" w:rsidRDefault="00B064BF">
      <w:pPr>
        <w:pStyle w:val="DipnotMetni"/>
      </w:pPr>
      <w:r>
        <w:rPr>
          <w:rStyle w:val="DipnotBavurusu"/>
        </w:rPr>
        <w:footnoteRef/>
      </w:r>
      <w:r>
        <w:t xml:space="preserve"> </w:t>
      </w:r>
      <w:r>
        <w:tab/>
        <w:t xml:space="preserve">Marka sicilinin, gerçek hak durumunu yansıtması durumunda marka sisteminin daha işler olacağı yönünde bkz. </w:t>
      </w:r>
      <w:proofErr w:type="spellStart"/>
      <w:r>
        <w:t>Burrell</w:t>
      </w:r>
      <w:proofErr w:type="spellEnd"/>
      <w:r>
        <w:t xml:space="preserve"> s. 7.</w:t>
      </w:r>
    </w:p>
  </w:footnote>
  <w:footnote w:id="48">
    <w:p w14:paraId="3B3D7E24" w14:textId="6DAD9F9A" w:rsidR="00B064BF" w:rsidRPr="00F05793" w:rsidRDefault="00B064BF" w:rsidP="00F05793">
      <w:pPr>
        <w:pStyle w:val="DipnotMetni"/>
      </w:pPr>
      <w:r>
        <w:rPr>
          <w:rStyle w:val="DipnotBavurusu"/>
        </w:rPr>
        <w:footnoteRef/>
      </w:r>
      <w:r>
        <w:t xml:space="preserve"> </w:t>
      </w:r>
      <w:r>
        <w:tab/>
      </w:r>
      <w:r w:rsidR="00A727D4">
        <w:t>B</w:t>
      </w:r>
      <w:r>
        <w:t>u durumu önlemek amacıyla marka iptali müessesesi öngörülmüştür (</w:t>
      </w:r>
      <w:r w:rsidRPr="000F6107">
        <w:t xml:space="preserve">Hanife </w:t>
      </w:r>
      <w:proofErr w:type="spellStart"/>
      <w:r w:rsidRPr="000F6107">
        <w:t>Dirikkan</w:t>
      </w:r>
      <w:proofErr w:type="spellEnd"/>
      <w:r w:rsidRPr="000F6107">
        <w:t xml:space="preserve">, </w:t>
      </w:r>
      <w:r w:rsidRPr="000F6107">
        <w:rPr>
          <w:i/>
          <w:iCs/>
        </w:rPr>
        <w:t>‘Tescilli Markayı Kullanma Külfeti’</w:t>
      </w:r>
      <w:r w:rsidRPr="000F6107">
        <w:t xml:space="preserve">, Prof. Dr. Oğuz </w:t>
      </w:r>
      <w:proofErr w:type="spellStart"/>
      <w:r w:rsidRPr="000F6107">
        <w:t>İmregün’e</w:t>
      </w:r>
      <w:proofErr w:type="spellEnd"/>
      <w:r w:rsidRPr="000F6107">
        <w:t xml:space="preserve"> Armağan, Vedat Kitapçılık, İstanbul, 1998, s. 2</w:t>
      </w:r>
      <w:r>
        <w:t xml:space="preserve">22-223; </w:t>
      </w:r>
      <w:r w:rsidRPr="000F6107">
        <w:t xml:space="preserve">Gizem </w:t>
      </w:r>
      <w:proofErr w:type="spellStart"/>
      <w:r w:rsidRPr="000F6107">
        <w:t>Coşgun</w:t>
      </w:r>
      <w:proofErr w:type="spellEnd"/>
      <w:r w:rsidRPr="000F6107">
        <w:t xml:space="preserve">, </w:t>
      </w:r>
      <w:r w:rsidRPr="00E13B42">
        <w:rPr>
          <w:i/>
          <w:iCs/>
        </w:rPr>
        <w:t>Sınai Mülkiyet Kanunu Kapsamında Markanın Kullanılması</w:t>
      </w:r>
      <w:r w:rsidRPr="000F6107">
        <w:t>, Seçkin Yayıncılık,</w:t>
      </w:r>
      <w:r>
        <w:t xml:space="preserve"> </w:t>
      </w:r>
      <w:r w:rsidRPr="000F6107">
        <w:t>Ankara, 2018</w:t>
      </w:r>
      <w:r>
        <w:t xml:space="preserve">, s. 28; </w:t>
      </w:r>
      <w:r w:rsidRPr="000F6107">
        <w:t xml:space="preserve">Numan Sabit Sönmez, </w:t>
      </w:r>
      <w:r w:rsidRPr="000F6107">
        <w:rPr>
          <w:i/>
          <w:iCs/>
        </w:rPr>
        <w:t>‘6769 Sayılı Sınai Mülkiyet Kanununa Göre Markanın Kullanılmaması Neticesinde Ortaya Çıkan Sonuçlar’</w:t>
      </w:r>
      <w:r w:rsidRPr="000F6107">
        <w:t>, İÜHFM, C. LXXVI, S. 1, 2018, s. 27</w:t>
      </w:r>
      <w:r>
        <w:t>9;</w:t>
      </w:r>
      <w:r w:rsidRPr="000F6107">
        <w:t xml:space="preserve"> </w:t>
      </w:r>
      <w:r>
        <w:t xml:space="preserve"> </w:t>
      </w:r>
      <w:proofErr w:type="spellStart"/>
      <w:r w:rsidRPr="000F6107">
        <w:t>Eric</w:t>
      </w:r>
      <w:proofErr w:type="spellEnd"/>
      <w:r w:rsidRPr="000F6107">
        <w:t xml:space="preserve"> </w:t>
      </w:r>
      <w:proofErr w:type="spellStart"/>
      <w:r w:rsidRPr="000F6107">
        <w:t>Meier</w:t>
      </w:r>
      <w:proofErr w:type="spellEnd"/>
      <w:r w:rsidRPr="000F6107">
        <w:t xml:space="preserve">, </w:t>
      </w:r>
      <w:proofErr w:type="spellStart"/>
      <w:r w:rsidRPr="000F6107">
        <w:rPr>
          <w:i/>
          <w:iCs/>
        </w:rPr>
        <w:t>L’obligation</w:t>
      </w:r>
      <w:proofErr w:type="spellEnd"/>
      <w:r w:rsidRPr="000F6107">
        <w:rPr>
          <w:i/>
          <w:iCs/>
        </w:rPr>
        <w:t xml:space="preserve"> </w:t>
      </w:r>
      <w:proofErr w:type="spellStart"/>
      <w:r w:rsidRPr="000F6107">
        <w:rPr>
          <w:i/>
          <w:iCs/>
        </w:rPr>
        <w:t>d’Usage</w:t>
      </w:r>
      <w:proofErr w:type="spellEnd"/>
      <w:r w:rsidRPr="000F6107">
        <w:rPr>
          <w:i/>
          <w:iCs/>
        </w:rPr>
        <w:t xml:space="preserve"> en </w:t>
      </w:r>
      <w:proofErr w:type="spellStart"/>
      <w:r w:rsidRPr="000F6107">
        <w:rPr>
          <w:i/>
          <w:iCs/>
        </w:rPr>
        <w:t>Droit</w:t>
      </w:r>
      <w:proofErr w:type="spellEnd"/>
      <w:r w:rsidRPr="000F6107">
        <w:rPr>
          <w:i/>
          <w:iCs/>
        </w:rPr>
        <w:t xml:space="preserve"> </w:t>
      </w:r>
      <w:proofErr w:type="spellStart"/>
      <w:r w:rsidRPr="000F6107">
        <w:rPr>
          <w:i/>
          <w:iCs/>
        </w:rPr>
        <w:t>des</w:t>
      </w:r>
      <w:proofErr w:type="spellEnd"/>
      <w:r w:rsidRPr="000F6107">
        <w:rPr>
          <w:i/>
          <w:iCs/>
        </w:rPr>
        <w:t xml:space="preserve"> </w:t>
      </w:r>
      <w:proofErr w:type="spellStart"/>
      <w:r w:rsidRPr="000F6107">
        <w:rPr>
          <w:i/>
          <w:iCs/>
        </w:rPr>
        <w:t>Marques</w:t>
      </w:r>
      <w:proofErr w:type="spellEnd"/>
      <w:r w:rsidRPr="000F6107">
        <w:t xml:space="preserve">, </w:t>
      </w:r>
      <w:proofErr w:type="spellStart"/>
      <w:r w:rsidRPr="000F6107">
        <w:t>Schulthess</w:t>
      </w:r>
      <w:proofErr w:type="spellEnd"/>
      <w:r w:rsidRPr="000F6107">
        <w:t xml:space="preserve"> </w:t>
      </w:r>
      <w:proofErr w:type="spellStart"/>
      <w:r w:rsidRPr="000F6107">
        <w:t>Juristische</w:t>
      </w:r>
      <w:proofErr w:type="spellEnd"/>
      <w:r w:rsidRPr="000F6107">
        <w:t xml:space="preserve"> </w:t>
      </w:r>
      <w:proofErr w:type="spellStart"/>
      <w:r w:rsidRPr="000F6107">
        <w:t>Medien</w:t>
      </w:r>
      <w:proofErr w:type="spellEnd"/>
      <w:r w:rsidRPr="000F6107">
        <w:t xml:space="preserve"> AG, Lozan, 2005</w:t>
      </w:r>
      <w:r>
        <w:t xml:space="preserve">, s. 8; </w:t>
      </w:r>
      <w:proofErr w:type="spellStart"/>
      <w:r>
        <w:t>Dessemontet</w:t>
      </w:r>
      <w:proofErr w:type="spellEnd"/>
      <w:r>
        <w:t>, s. 48</w:t>
      </w:r>
      <w:r w:rsidR="002D5791">
        <w:t>)</w:t>
      </w:r>
      <w:r>
        <w:t xml:space="preserve">. </w:t>
      </w:r>
    </w:p>
  </w:footnote>
  <w:footnote w:id="49">
    <w:p w14:paraId="49C8CF09" w14:textId="6F171414" w:rsidR="00A727D4" w:rsidRDefault="00A727D4" w:rsidP="00844D3C">
      <w:pPr>
        <w:pStyle w:val="DipnotMetni"/>
      </w:pPr>
      <w:r>
        <w:rPr>
          <w:rStyle w:val="DipnotBavurusu"/>
        </w:rPr>
        <w:footnoteRef/>
      </w:r>
      <w:r>
        <w:t xml:space="preserve"> </w:t>
      </w:r>
      <w:r>
        <w:tab/>
        <w:t xml:space="preserve">Bununla birlikte, marka her ne kadar kullanılmaması durumunda iptal yaptırımı ile karşı karşıya kalıyor olsa da, iptal edilmediği müddetçe sicilde kayıtlı kalmaya devam etmektedir. Yine, bu aşamada da sicili kullanılmayan markalardan temizleme görevi başta tescilli marka sahipleri olmak üzere üçüncü kişilere yüklenmiştir. Haliyle, marka iptali müessesesinin marka sicilini kalabalıklaşmaktan korumak noktasındaki işlevi son derece cüzidir. Bunu gören Türk kanun koyucusu, bir nebze de olsa olumsuzlukları gidermek için SMK ile kullanmama def’i kurumunu ittihaz etme ihtiyacı hissetmiştir. Kullanmama def’i hakkında bkz. Çolak, s. 685-687; Sönmez, s. 290-294. </w:t>
      </w:r>
      <w:proofErr w:type="spellStart"/>
      <w:r>
        <w:t>Burrell</w:t>
      </w:r>
      <w:proofErr w:type="spellEnd"/>
      <w:r>
        <w:t xml:space="preserve">, kullanılmayan markaların yarattığı olumsuzluğu ve etkisini şöyle ifade eder: </w:t>
      </w:r>
      <w:r w:rsidRPr="00F05793">
        <w:rPr>
          <w:i/>
          <w:iCs/>
        </w:rPr>
        <w:t>“</w:t>
      </w:r>
      <w:proofErr w:type="spellStart"/>
      <w:r w:rsidRPr="00F05793">
        <w:rPr>
          <w:i/>
          <w:iCs/>
        </w:rPr>
        <w:t>In</w:t>
      </w:r>
      <w:proofErr w:type="spellEnd"/>
      <w:r w:rsidRPr="00F05793">
        <w:rPr>
          <w:i/>
          <w:iCs/>
        </w:rPr>
        <w:t xml:space="preserve"> </w:t>
      </w:r>
      <w:proofErr w:type="spellStart"/>
      <w:r w:rsidRPr="00F05793">
        <w:rPr>
          <w:i/>
          <w:iCs/>
        </w:rPr>
        <w:t>the</w:t>
      </w:r>
      <w:proofErr w:type="spellEnd"/>
      <w:r w:rsidRPr="00F05793">
        <w:rPr>
          <w:i/>
          <w:iCs/>
        </w:rPr>
        <w:t xml:space="preserve"> </w:t>
      </w:r>
      <w:proofErr w:type="spellStart"/>
      <w:r w:rsidRPr="00F05793">
        <w:rPr>
          <w:i/>
          <w:iCs/>
        </w:rPr>
        <w:t>period</w:t>
      </w:r>
      <w:proofErr w:type="spellEnd"/>
      <w:r w:rsidRPr="00F05793">
        <w:rPr>
          <w:i/>
          <w:iCs/>
        </w:rPr>
        <w:t xml:space="preserve"> </w:t>
      </w:r>
      <w:proofErr w:type="spellStart"/>
      <w:r w:rsidRPr="00F05793">
        <w:rPr>
          <w:i/>
          <w:iCs/>
        </w:rPr>
        <w:t>between</w:t>
      </w:r>
      <w:proofErr w:type="spellEnd"/>
      <w:r w:rsidRPr="00F05793">
        <w:rPr>
          <w:i/>
          <w:iCs/>
        </w:rPr>
        <w:t xml:space="preserve"> a mark </w:t>
      </w:r>
      <w:proofErr w:type="spellStart"/>
      <w:r w:rsidRPr="00F05793">
        <w:rPr>
          <w:i/>
          <w:iCs/>
        </w:rPr>
        <w:t>being</w:t>
      </w:r>
      <w:proofErr w:type="spellEnd"/>
      <w:r w:rsidRPr="00F05793">
        <w:rPr>
          <w:i/>
          <w:iCs/>
        </w:rPr>
        <w:t xml:space="preserve"> </w:t>
      </w:r>
      <w:proofErr w:type="spellStart"/>
      <w:r w:rsidRPr="00F05793">
        <w:rPr>
          <w:i/>
          <w:iCs/>
        </w:rPr>
        <w:t>entered</w:t>
      </w:r>
      <w:proofErr w:type="spellEnd"/>
      <w:r w:rsidRPr="00F05793">
        <w:rPr>
          <w:i/>
          <w:iCs/>
        </w:rPr>
        <w:t xml:space="preserve"> on </w:t>
      </w:r>
      <w:proofErr w:type="spellStart"/>
      <w:r w:rsidRPr="00F05793">
        <w:rPr>
          <w:i/>
          <w:iCs/>
        </w:rPr>
        <w:t>to</w:t>
      </w:r>
      <w:proofErr w:type="spellEnd"/>
      <w:r w:rsidRPr="00F05793">
        <w:rPr>
          <w:i/>
          <w:iCs/>
        </w:rPr>
        <w:t xml:space="preserve"> </w:t>
      </w:r>
      <w:proofErr w:type="spellStart"/>
      <w:r w:rsidRPr="00F05793">
        <w:rPr>
          <w:i/>
          <w:iCs/>
        </w:rPr>
        <w:t>the</w:t>
      </w:r>
      <w:proofErr w:type="spellEnd"/>
      <w:r w:rsidRPr="00F05793">
        <w:rPr>
          <w:i/>
          <w:iCs/>
        </w:rPr>
        <w:t xml:space="preserve"> </w:t>
      </w:r>
      <w:proofErr w:type="spellStart"/>
      <w:r w:rsidRPr="00F05793">
        <w:rPr>
          <w:i/>
          <w:iCs/>
        </w:rPr>
        <w:t>register</w:t>
      </w:r>
      <w:proofErr w:type="spellEnd"/>
      <w:r w:rsidRPr="00F05793">
        <w:rPr>
          <w:i/>
          <w:iCs/>
        </w:rPr>
        <w:t xml:space="preserve"> </w:t>
      </w:r>
      <w:proofErr w:type="spellStart"/>
      <w:r w:rsidRPr="00F05793">
        <w:rPr>
          <w:i/>
          <w:iCs/>
        </w:rPr>
        <w:t>and</w:t>
      </w:r>
      <w:proofErr w:type="spellEnd"/>
      <w:r w:rsidRPr="00F05793">
        <w:rPr>
          <w:i/>
          <w:iCs/>
        </w:rPr>
        <w:t xml:space="preserve"> it </w:t>
      </w:r>
      <w:proofErr w:type="spellStart"/>
      <w:r w:rsidRPr="00F05793">
        <w:rPr>
          <w:i/>
          <w:iCs/>
        </w:rPr>
        <w:t>being</w:t>
      </w:r>
      <w:proofErr w:type="spellEnd"/>
      <w:r w:rsidRPr="00F05793">
        <w:rPr>
          <w:i/>
          <w:iCs/>
        </w:rPr>
        <w:t xml:space="preserve"> </w:t>
      </w:r>
      <w:proofErr w:type="spellStart"/>
      <w:r w:rsidRPr="00F05793">
        <w:rPr>
          <w:i/>
          <w:iCs/>
        </w:rPr>
        <w:t>removed</w:t>
      </w:r>
      <w:proofErr w:type="spellEnd"/>
      <w:r w:rsidRPr="00F05793">
        <w:rPr>
          <w:i/>
          <w:iCs/>
        </w:rPr>
        <w:t xml:space="preserve"> at </w:t>
      </w:r>
      <w:proofErr w:type="spellStart"/>
      <w:r w:rsidRPr="00F05793">
        <w:rPr>
          <w:i/>
          <w:iCs/>
        </w:rPr>
        <w:t>the</w:t>
      </w:r>
      <w:proofErr w:type="spellEnd"/>
      <w:r w:rsidRPr="00F05793">
        <w:rPr>
          <w:i/>
          <w:iCs/>
        </w:rPr>
        <w:t xml:space="preserve"> </w:t>
      </w:r>
      <w:proofErr w:type="spellStart"/>
      <w:r w:rsidRPr="00F05793">
        <w:rPr>
          <w:i/>
          <w:iCs/>
        </w:rPr>
        <w:t>conclusion</w:t>
      </w:r>
      <w:proofErr w:type="spellEnd"/>
      <w:r w:rsidRPr="00F05793">
        <w:rPr>
          <w:i/>
          <w:iCs/>
        </w:rPr>
        <w:t xml:space="preserve"> of </w:t>
      </w:r>
      <w:proofErr w:type="spellStart"/>
      <w:r w:rsidRPr="00F05793">
        <w:rPr>
          <w:i/>
          <w:iCs/>
        </w:rPr>
        <w:t>cancellation</w:t>
      </w:r>
      <w:proofErr w:type="spellEnd"/>
      <w:r w:rsidRPr="00F05793">
        <w:rPr>
          <w:i/>
          <w:iCs/>
        </w:rPr>
        <w:t xml:space="preserve"> </w:t>
      </w:r>
      <w:proofErr w:type="spellStart"/>
      <w:r w:rsidRPr="00F05793">
        <w:rPr>
          <w:i/>
          <w:iCs/>
        </w:rPr>
        <w:t>proceedings</w:t>
      </w:r>
      <w:proofErr w:type="spellEnd"/>
      <w:r w:rsidRPr="00F05793">
        <w:rPr>
          <w:i/>
          <w:iCs/>
        </w:rPr>
        <w:t xml:space="preserve">, it </w:t>
      </w:r>
      <w:proofErr w:type="spellStart"/>
      <w:r w:rsidRPr="00F05793">
        <w:rPr>
          <w:i/>
          <w:iCs/>
        </w:rPr>
        <w:t>will</w:t>
      </w:r>
      <w:proofErr w:type="spellEnd"/>
      <w:r w:rsidRPr="00F05793">
        <w:rPr>
          <w:i/>
          <w:iCs/>
        </w:rPr>
        <w:t xml:space="preserve"> be </w:t>
      </w:r>
      <w:proofErr w:type="spellStart"/>
      <w:r w:rsidRPr="00F05793">
        <w:rPr>
          <w:i/>
          <w:iCs/>
        </w:rPr>
        <w:t>capable</w:t>
      </w:r>
      <w:proofErr w:type="spellEnd"/>
      <w:r w:rsidRPr="00F05793">
        <w:rPr>
          <w:i/>
          <w:iCs/>
        </w:rPr>
        <w:t xml:space="preserve"> of </w:t>
      </w:r>
      <w:proofErr w:type="spellStart"/>
      <w:r w:rsidRPr="00F05793">
        <w:rPr>
          <w:i/>
          <w:iCs/>
        </w:rPr>
        <w:t>generating</w:t>
      </w:r>
      <w:proofErr w:type="spellEnd"/>
      <w:r w:rsidRPr="00F05793">
        <w:rPr>
          <w:i/>
          <w:iCs/>
        </w:rPr>
        <w:t xml:space="preserve"> </w:t>
      </w:r>
      <w:proofErr w:type="spellStart"/>
      <w:r w:rsidRPr="00F05793">
        <w:rPr>
          <w:i/>
          <w:iCs/>
        </w:rPr>
        <w:t>false</w:t>
      </w:r>
      <w:proofErr w:type="spellEnd"/>
      <w:r w:rsidRPr="00F05793">
        <w:rPr>
          <w:i/>
          <w:iCs/>
        </w:rPr>
        <w:t xml:space="preserve"> </w:t>
      </w:r>
      <w:proofErr w:type="spellStart"/>
      <w:r w:rsidRPr="00F05793">
        <w:rPr>
          <w:i/>
          <w:iCs/>
        </w:rPr>
        <w:t>positive</w:t>
      </w:r>
      <w:proofErr w:type="spellEnd"/>
      <w:r w:rsidRPr="00F05793">
        <w:rPr>
          <w:i/>
          <w:iCs/>
        </w:rPr>
        <w:t xml:space="preserve"> </w:t>
      </w:r>
      <w:proofErr w:type="spellStart"/>
      <w:r w:rsidRPr="00F05793">
        <w:rPr>
          <w:i/>
          <w:iCs/>
        </w:rPr>
        <w:t>results</w:t>
      </w:r>
      <w:proofErr w:type="spellEnd"/>
      <w:r w:rsidRPr="00F05793">
        <w:rPr>
          <w:i/>
          <w:iCs/>
        </w:rPr>
        <w:t xml:space="preserve"> </w:t>
      </w:r>
      <w:proofErr w:type="spellStart"/>
      <w:r w:rsidRPr="00F05793">
        <w:rPr>
          <w:i/>
          <w:iCs/>
        </w:rPr>
        <w:t>that</w:t>
      </w:r>
      <w:proofErr w:type="spellEnd"/>
      <w:r w:rsidRPr="00F05793">
        <w:rPr>
          <w:i/>
          <w:iCs/>
        </w:rPr>
        <w:t xml:space="preserve"> </w:t>
      </w:r>
      <w:proofErr w:type="spellStart"/>
      <w:r w:rsidRPr="00F05793">
        <w:rPr>
          <w:i/>
          <w:iCs/>
        </w:rPr>
        <w:t>will</w:t>
      </w:r>
      <w:proofErr w:type="spellEnd"/>
      <w:r w:rsidRPr="00F05793">
        <w:rPr>
          <w:i/>
          <w:iCs/>
        </w:rPr>
        <w:t xml:space="preserve"> </w:t>
      </w:r>
      <w:proofErr w:type="spellStart"/>
      <w:r w:rsidRPr="00F05793">
        <w:rPr>
          <w:i/>
          <w:iCs/>
        </w:rPr>
        <w:t>shape</w:t>
      </w:r>
      <w:proofErr w:type="spellEnd"/>
      <w:r w:rsidRPr="00F05793">
        <w:rPr>
          <w:i/>
          <w:iCs/>
        </w:rPr>
        <w:t xml:space="preserve"> </w:t>
      </w:r>
      <w:proofErr w:type="spellStart"/>
      <w:r w:rsidRPr="00F05793">
        <w:rPr>
          <w:i/>
          <w:iCs/>
        </w:rPr>
        <w:t>the</w:t>
      </w:r>
      <w:proofErr w:type="spellEnd"/>
      <w:r w:rsidRPr="00F05793">
        <w:rPr>
          <w:i/>
          <w:iCs/>
        </w:rPr>
        <w:t xml:space="preserve"> </w:t>
      </w:r>
      <w:proofErr w:type="spellStart"/>
      <w:r w:rsidRPr="00F05793">
        <w:rPr>
          <w:i/>
          <w:iCs/>
        </w:rPr>
        <w:t>decisions</w:t>
      </w:r>
      <w:proofErr w:type="spellEnd"/>
      <w:r w:rsidRPr="00F05793">
        <w:rPr>
          <w:i/>
          <w:iCs/>
        </w:rPr>
        <w:t xml:space="preserve"> of </w:t>
      </w:r>
      <w:proofErr w:type="spellStart"/>
      <w:r w:rsidRPr="00F05793">
        <w:rPr>
          <w:i/>
          <w:iCs/>
        </w:rPr>
        <w:t>parties</w:t>
      </w:r>
      <w:proofErr w:type="spellEnd"/>
      <w:r w:rsidRPr="00F05793">
        <w:rPr>
          <w:i/>
          <w:iCs/>
        </w:rPr>
        <w:t xml:space="preserve"> </w:t>
      </w:r>
      <w:proofErr w:type="spellStart"/>
      <w:r w:rsidRPr="00F05793">
        <w:rPr>
          <w:i/>
          <w:iCs/>
        </w:rPr>
        <w:t>searching</w:t>
      </w:r>
      <w:proofErr w:type="spellEnd"/>
      <w:r w:rsidRPr="00F05793">
        <w:rPr>
          <w:i/>
          <w:iCs/>
        </w:rPr>
        <w:t xml:space="preserve"> </w:t>
      </w:r>
      <w:proofErr w:type="spellStart"/>
      <w:r w:rsidRPr="00F05793">
        <w:rPr>
          <w:i/>
          <w:iCs/>
        </w:rPr>
        <w:t>the</w:t>
      </w:r>
      <w:proofErr w:type="spellEnd"/>
      <w:r w:rsidRPr="00F05793">
        <w:rPr>
          <w:i/>
          <w:iCs/>
        </w:rPr>
        <w:t xml:space="preserve"> </w:t>
      </w:r>
      <w:proofErr w:type="spellStart"/>
      <w:r w:rsidRPr="00F05793">
        <w:rPr>
          <w:i/>
          <w:iCs/>
        </w:rPr>
        <w:t>register</w:t>
      </w:r>
      <w:proofErr w:type="spellEnd"/>
      <w:r w:rsidRPr="00F05793">
        <w:rPr>
          <w:i/>
          <w:iCs/>
        </w:rPr>
        <w:t>.”</w:t>
      </w:r>
      <w:r>
        <w:rPr>
          <w:i/>
          <w:iCs/>
        </w:rPr>
        <w:t xml:space="preserve"> </w:t>
      </w:r>
      <w:r>
        <w:t>(</w:t>
      </w:r>
      <w:proofErr w:type="spellStart"/>
      <w:r>
        <w:t>Burrell</w:t>
      </w:r>
      <w:proofErr w:type="spellEnd"/>
      <w:r>
        <w:t>, s. 17).</w:t>
      </w:r>
    </w:p>
  </w:footnote>
  <w:footnote w:id="50">
    <w:p w14:paraId="3D43C1EE" w14:textId="7AAAA8FE" w:rsidR="003B556D" w:rsidRPr="00CD30A7" w:rsidRDefault="003B556D">
      <w:pPr>
        <w:pStyle w:val="DipnotMetni"/>
      </w:pPr>
      <w:r>
        <w:rPr>
          <w:rStyle w:val="DipnotBavurusu"/>
        </w:rPr>
        <w:footnoteRef/>
      </w:r>
      <w:r>
        <w:t xml:space="preserve"> </w:t>
      </w:r>
      <w:r w:rsidR="00CD30A7">
        <w:tab/>
        <w:t xml:space="preserve">Ali Paslı, </w:t>
      </w:r>
      <w:r w:rsidR="00CD30A7" w:rsidRPr="00CD30A7">
        <w:rPr>
          <w:i/>
          <w:iCs/>
        </w:rPr>
        <w:t>‘Marka Hukukunda Tescil – Kullanım İlişkisi’</w:t>
      </w:r>
      <w:r w:rsidR="00CD30A7">
        <w:t>, Fikrî ve Sınai Haklar Sempozyumu, ed. Ayşe Kübra Altıparmak, Yetkin</w:t>
      </w:r>
      <w:r w:rsidR="00CD30A7" w:rsidRPr="007047CB">
        <w:t xml:space="preserve"> Yayınları, </w:t>
      </w:r>
      <w:r w:rsidR="00CD30A7">
        <w:t>Ankara</w:t>
      </w:r>
      <w:r w:rsidR="00CD30A7" w:rsidRPr="007047CB">
        <w:t>, 20</w:t>
      </w:r>
      <w:r w:rsidR="00CD30A7">
        <w:t>20, s. 114.</w:t>
      </w:r>
    </w:p>
  </w:footnote>
  <w:footnote w:id="51">
    <w:p w14:paraId="4A3A7454" w14:textId="1F55ED79" w:rsidR="00B064BF" w:rsidRDefault="00B064BF">
      <w:pPr>
        <w:pStyle w:val="DipnotMetni"/>
      </w:pPr>
      <w:r>
        <w:rPr>
          <w:rStyle w:val="DipnotBavurusu"/>
        </w:rPr>
        <w:footnoteRef/>
      </w:r>
      <w:r>
        <w:t xml:space="preserve"> </w:t>
      </w:r>
      <w:r>
        <w:tab/>
        <w:t xml:space="preserve">Tescile dayalı kullanım savunması sebebiyle önceki tarihli hak sahipleri, </w:t>
      </w:r>
      <w:r w:rsidR="003C425C">
        <w:t xml:space="preserve">sonraki tarihli hak sahiplerine karşı tecavüz davası açmadan önce veyahut tecavüz davası ile birlikte </w:t>
      </w:r>
      <w:r>
        <w:t xml:space="preserve">hükümsüzlük davası açmak zorunda kalıyor idi. </w:t>
      </w:r>
      <w:r w:rsidR="003C425C">
        <w:t>Bu noktada ö</w:t>
      </w:r>
      <w:r>
        <w:t>zellikle yargılamaların uzun sürmesi ve yıpratıcı olması önceki hak sahiplerini zor duruma sokmakta idi. Bu meyanda bkz. Suluk, s. 415.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773AB"/>
    <w:multiLevelType w:val="hybridMultilevel"/>
    <w:tmpl w:val="4EA8E78A"/>
    <w:lvl w:ilvl="0" w:tplc="35546624">
      <w:start w:val="1"/>
      <w:numFmt w:val="decimal"/>
      <w:pStyle w:val="Balk3"/>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568A2560"/>
    <w:multiLevelType w:val="hybridMultilevel"/>
    <w:tmpl w:val="4D2AC634"/>
    <w:lvl w:ilvl="0" w:tplc="28966AF8">
      <w:start w:val="1"/>
      <w:numFmt w:val="upperLetter"/>
      <w:pStyle w:val="Balk2"/>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190028"/>
    <w:multiLevelType w:val="hybridMultilevel"/>
    <w:tmpl w:val="9A728CB2"/>
    <w:lvl w:ilvl="0" w:tplc="F2B46E68">
      <w:start w:val="1"/>
      <w:numFmt w:val="lowerLetter"/>
      <w:pStyle w:val="Balk4"/>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708B5885"/>
    <w:multiLevelType w:val="hybridMultilevel"/>
    <w:tmpl w:val="D2047ECE"/>
    <w:lvl w:ilvl="0" w:tplc="26E80BDC">
      <w:start w:val="1"/>
      <w:numFmt w:val="upperRoman"/>
      <w:pStyle w:val="Balk1"/>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F0"/>
    <w:rsid w:val="000069F8"/>
    <w:rsid w:val="00032CBB"/>
    <w:rsid w:val="00067F12"/>
    <w:rsid w:val="000C5C3C"/>
    <w:rsid w:val="000C64D3"/>
    <w:rsid w:val="000D45A5"/>
    <w:rsid w:val="000D5EC4"/>
    <w:rsid w:val="000F6107"/>
    <w:rsid w:val="00101057"/>
    <w:rsid w:val="00103A61"/>
    <w:rsid w:val="00133C18"/>
    <w:rsid w:val="00145266"/>
    <w:rsid w:val="001523BC"/>
    <w:rsid w:val="001554BF"/>
    <w:rsid w:val="001619C8"/>
    <w:rsid w:val="001870D8"/>
    <w:rsid w:val="001978D6"/>
    <w:rsid w:val="001B1119"/>
    <w:rsid w:val="001C3E7F"/>
    <w:rsid w:val="001E1642"/>
    <w:rsid w:val="001F325A"/>
    <w:rsid w:val="001F53B9"/>
    <w:rsid w:val="002123DC"/>
    <w:rsid w:val="00232638"/>
    <w:rsid w:val="0024737C"/>
    <w:rsid w:val="002566F8"/>
    <w:rsid w:val="002646F0"/>
    <w:rsid w:val="002A0CD2"/>
    <w:rsid w:val="002C7276"/>
    <w:rsid w:val="002D5791"/>
    <w:rsid w:val="002E39C0"/>
    <w:rsid w:val="00304E83"/>
    <w:rsid w:val="00322217"/>
    <w:rsid w:val="00330873"/>
    <w:rsid w:val="0033417B"/>
    <w:rsid w:val="0034429A"/>
    <w:rsid w:val="0034563B"/>
    <w:rsid w:val="0035510E"/>
    <w:rsid w:val="00355AA3"/>
    <w:rsid w:val="00356959"/>
    <w:rsid w:val="00357B8C"/>
    <w:rsid w:val="003629D9"/>
    <w:rsid w:val="0037080E"/>
    <w:rsid w:val="0038572C"/>
    <w:rsid w:val="00390B01"/>
    <w:rsid w:val="003A05F5"/>
    <w:rsid w:val="003B1B89"/>
    <w:rsid w:val="003B556D"/>
    <w:rsid w:val="003C425C"/>
    <w:rsid w:val="003D0916"/>
    <w:rsid w:val="003D469C"/>
    <w:rsid w:val="003F6A34"/>
    <w:rsid w:val="00417609"/>
    <w:rsid w:val="00441ED4"/>
    <w:rsid w:val="004436E4"/>
    <w:rsid w:val="00444919"/>
    <w:rsid w:val="0047025B"/>
    <w:rsid w:val="00473C73"/>
    <w:rsid w:val="0048349A"/>
    <w:rsid w:val="004944AC"/>
    <w:rsid w:val="004B6FA6"/>
    <w:rsid w:val="00503A79"/>
    <w:rsid w:val="005124CC"/>
    <w:rsid w:val="005430BD"/>
    <w:rsid w:val="005504F3"/>
    <w:rsid w:val="005515D1"/>
    <w:rsid w:val="00554A47"/>
    <w:rsid w:val="00556A5D"/>
    <w:rsid w:val="00566E49"/>
    <w:rsid w:val="00567CB0"/>
    <w:rsid w:val="00585B23"/>
    <w:rsid w:val="00591B0C"/>
    <w:rsid w:val="00597A02"/>
    <w:rsid w:val="005A005A"/>
    <w:rsid w:val="005B07EC"/>
    <w:rsid w:val="005D0A9F"/>
    <w:rsid w:val="005D5556"/>
    <w:rsid w:val="005E3FF3"/>
    <w:rsid w:val="005F0066"/>
    <w:rsid w:val="005F2ECD"/>
    <w:rsid w:val="005F39EE"/>
    <w:rsid w:val="00601299"/>
    <w:rsid w:val="00601E38"/>
    <w:rsid w:val="006158C3"/>
    <w:rsid w:val="00617771"/>
    <w:rsid w:val="0062154A"/>
    <w:rsid w:val="00662DCA"/>
    <w:rsid w:val="006661E4"/>
    <w:rsid w:val="006F1E9E"/>
    <w:rsid w:val="00720A60"/>
    <w:rsid w:val="00721764"/>
    <w:rsid w:val="00736A84"/>
    <w:rsid w:val="0074319E"/>
    <w:rsid w:val="00743341"/>
    <w:rsid w:val="00745892"/>
    <w:rsid w:val="00761E69"/>
    <w:rsid w:val="007634FC"/>
    <w:rsid w:val="00766874"/>
    <w:rsid w:val="007705A2"/>
    <w:rsid w:val="00781B7F"/>
    <w:rsid w:val="00787DEC"/>
    <w:rsid w:val="00790CD7"/>
    <w:rsid w:val="00791E23"/>
    <w:rsid w:val="007973AC"/>
    <w:rsid w:val="007A31D1"/>
    <w:rsid w:val="007B588E"/>
    <w:rsid w:val="007D621E"/>
    <w:rsid w:val="007E32C0"/>
    <w:rsid w:val="0080643B"/>
    <w:rsid w:val="00822C08"/>
    <w:rsid w:val="00827277"/>
    <w:rsid w:val="00832C07"/>
    <w:rsid w:val="00844110"/>
    <w:rsid w:val="00844D3C"/>
    <w:rsid w:val="00857EE5"/>
    <w:rsid w:val="008750BD"/>
    <w:rsid w:val="008836FB"/>
    <w:rsid w:val="008877BE"/>
    <w:rsid w:val="008A2C4B"/>
    <w:rsid w:val="008B1366"/>
    <w:rsid w:val="008C24DF"/>
    <w:rsid w:val="008C6F36"/>
    <w:rsid w:val="008D1F66"/>
    <w:rsid w:val="009011B5"/>
    <w:rsid w:val="0091259C"/>
    <w:rsid w:val="00924085"/>
    <w:rsid w:val="00925204"/>
    <w:rsid w:val="0093626F"/>
    <w:rsid w:val="0094695E"/>
    <w:rsid w:val="00964BF0"/>
    <w:rsid w:val="009B006B"/>
    <w:rsid w:val="009D2021"/>
    <w:rsid w:val="00A226F7"/>
    <w:rsid w:val="00A42E9B"/>
    <w:rsid w:val="00A50118"/>
    <w:rsid w:val="00A61215"/>
    <w:rsid w:val="00A727D4"/>
    <w:rsid w:val="00A84EBD"/>
    <w:rsid w:val="00A94533"/>
    <w:rsid w:val="00A94806"/>
    <w:rsid w:val="00AC41AB"/>
    <w:rsid w:val="00AE38FD"/>
    <w:rsid w:val="00AF49D2"/>
    <w:rsid w:val="00B064BF"/>
    <w:rsid w:val="00B25706"/>
    <w:rsid w:val="00B278D9"/>
    <w:rsid w:val="00B41CD2"/>
    <w:rsid w:val="00B53922"/>
    <w:rsid w:val="00B6436B"/>
    <w:rsid w:val="00B859A1"/>
    <w:rsid w:val="00B94FC8"/>
    <w:rsid w:val="00BB267B"/>
    <w:rsid w:val="00BE5B1A"/>
    <w:rsid w:val="00C1135C"/>
    <w:rsid w:val="00C4227D"/>
    <w:rsid w:val="00C66C74"/>
    <w:rsid w:val="00C737D5"/>
    <w:rsid w:val="00C87844"/>
    <w:rsid w:val="00CB6F23"/>
    <w:rsid w:val="00CD30A7"/>
    <w:rsid w:val="00CD6A39"/>
    <w:rsid w:val="00CE2A9C"/>
    <w:rsid w:val="00CF1351"/>
    <w:rsid w:val="00CF68F0"/>
    <w:rsid w:val="00D074D1"/>
    <w:rsid w:val="00D11792"/>
    <w:rsid w:val="00D16EAF"/>
    <w:rsid w:val="00D51EDF"/>
    <w:rsid w:val="00D54F59"/>
    <w:rsid w:val="00D73D91"/>
    <w:rsid w:val="00DC0C0D"/>
    <w:rsid w:val="00DD5246"/>
    <w:rsid w:val="00DE06D3"/>
    <w:rsid w:val="00DE3C53"/>
    <w:rsid w:val="00E13B42"/>
    <w:rsid w:val="00E14E62"/>
    <w:rsid w:val="00E17B61"/>
    <w:rsid w:val="00E20340"/>
    <w:rsid w:val="00E20C9A"/>
    <w:rsid w:val="00E23E19"/>
    <w:rsid w:val="00E62E8E"/>
    <w:rsid w:val="00E63029"/>
    <w:rsid w:val="00E7435A"/>
    <w:rsid w:val="00E74401"/>
    <w:rsid w:val="00E80335"/>
    <w:rsid w:val="00E82CBF"/>
    <w:rsid w:val="00EA4A74"/>
    <w:rsid w:val="00EC195E"/>
    <w:rsid w:val="00EE04AA"/>
    <w:rsid w:val="00EE33A8"/>
    <w:rsid w:val="00EE3CCE"/>
    <w:rsid w:val="00EE575B"/>
    <w:rsid w:val="00F05678"/>
    <w:rsid w:val="00F05793"/>
    <w:rsid w:val="00F1242C"/>
    <w:rsid w:val="00F3272B"/>
    <w:rsid w:val="00F3298B"/>
    <w:rsid w:val="00FA72E3"/>
    <w:rsid w:val="00FB15A0"/>
    <w:rsid w:val="00FC0773"/>
    <w:rsid w:val="00FD0D8D"/>
    <w:rsid w:val="00FD425A"/>
    <w:rsid w:val="00FD6C24"/>
    <w:rsid w:val="00FF4642"/>
    <w:rsid w:val="00FF6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D1A7"/>
  <w15:chartTrackingRefBased/>
  <w15:docId w15:val="{7E1A3AB7-F2A3-4647-96D7-67860EB2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tr-TR" w:eastAsia="en-US" w:bidi="ar-SA"/>
      </w:rPr>
    </w:rPrDefault>
    <w:pPrDefault>
      <w:pPr>
        <w:spacing w:after="160" w:line="360" w:lineRule="auto"/>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ListeParagraf"/>
    <w:next w:val="Normal"/>
    <w:link w:val="Balk1Char"/>
    <w:uiPriority w:val="9"/>
    <w:qFormat/>
    <w:rsid w:val="00E7435A"/>
    <w:pPr>
      <w:numPr>
        <w:numId w:val="1"/>
      </w:numPr>
      <w:ind w:left="284" w:hanging="284"/>
      <w:outlineLvl w:val="0"/>
    </w:pPr>
    <w:rPr>
      <w:b/>
      <w:bCs/>
    </w:rPr>
  </w:style>
  <w:style w:type="paragraph" w:styleId="Balk2">
    <w:name w:val="heading 2"/>
    <w:basedOn w:val="ListeParagraf"/>
    <w:next w:val="Normal"/>
    <w:link w:val="Balk2Char"/>
    <w:uiPriority w:val="9"/>
    <w:unhideWhenUsed/>
    <w:qFormat/>
    <w:rsid w:val="00E7435A"/>
    <w:pPr>
      <w:numPr>
        <w:numId w:val="2"/>
      </w:numPr>
      <w:outlineLvl w:val="1"/>
    </w:pPr>
    <w:rPr>
      <w:b/>
      <w:bCs/>
    </w:rPr>
  </w:style>
  <w:style w:type="paragraph" w:styleId="Balk3">
    <w:name w:val="heading 3"/>
    <w:basedOn w:val="ListeParagraf"/>
    <w:next w:val="Normal"/>
    <w:link w:val="Balk3Char"/>
    <w:uiPriority w:val="9"/>
    <w:unhideWhenUsed/>
    <w:qFormat/>
    <w:rsid w:val="00E7435A"/>
    <w:pPr>
      <w:numPr>
        <w:numId w:val="3"/>
      </w:numPr>
      <w:ind w:left="284" w:hanging="284"/>
      <w:outlineLvl w:val="2"/>
    </w:pPr>
    <w:rPr>
      <w:b/>
      <w:bCs/>
    </w:rPr>
  </w:style>
  <w:style w:type="paragraph" w:styleId="Balk4">
    <w:name w:val="heading 4"/>
    <w:basedOn w:val="ListeParagraf"/>
    <w:next w:val="Normal"/>
    <w:link w:val="Balk4Char"/>
    <w:uiPriority w:val="9"/>
    <w:unhideWhenUsed/>
    <w:qFormat/>
    <w:rsid w:val="00E7435A"/>
    <w:pPr>
      <w:numPr>
        <w:numId w:val="4"/>
      </w:numPr>
      <w:ind w:left="284" w:hanging="284"/>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435A"/>
    <w:pPr>
      <w:ind w:left="720"/>
      <w:contextualSpacing/>
    </w:pPr>
  </w:style>
  <w:style w:type="character" w:customStyle="1" w:styleId="Balk1Char">
    <w:name w:val="Başlık 1 Char"/>
    <w:basedOn w:val="VarsaylanParagrafYazTipi"/>
    <w:link w:val="Balk1"/>
    <w:uiPriority w:val="9"/>
    <w:rsid w:val="00E7435A"/>
    <w:rPr>
      <w:b/>
      <w:bCs/>
    </w:rPr>
  </w:style>
  <w:style w:type="character" w:customStyle="1" w:styleId="Balk2Char">
    <w:name w:val="Başlık 2 Char"/>
    <w:basedOn w:val="VarsaylanParagrafYazTipi"/>
    <w:link w:val="Balk2"/>
    <w:uiPriority w:val="9"/>
    <w:rsid w:val="00E7435A"/>
    <w:rPr>
      <w:b/>
      <w:bCs/>
    </w:rPr>
  </w:style>
  <w:style w:type="character" w:customStyle="1" w:styleId="Balk3Char">
    <w:name w:val="Başlık 3 Char"/>
    <w:basedOn w:val="VarsaylanParagrafYazTipi"/>
    <w:link w:val="Balk3"/>
    <w:uiPriority w:val="9"/>
    <w:rsid w:val="00E7435A"/>
    <w:rPr>
      <w:b/>
      <w:bCs/>
    </w:rPr>
  </w:style>
  <w:style w:type="character" w:customStyle="1" w:styleId="Balk4Char">
    <w:name w:val="Başlık 4 Char"/>
    <w:basedOn w:val="VarsaylanParagrafYazTipi"/>
    <w:link w:val="Balk4"/>
    <w:uiPriority w:val="9"/>
    <w:rsid w:val="00E7435A"/>
    <w:rPr>
      <w:b/>
      <w:bCs/>
    </w:rPr>
  </w:style>
  <w:style w:type="paragraph" w:styleId="KonuBal">
    <w:name w:val="Title"/>
    <w:basedOn w:val="Normal"/>
    <w:next w:val="Normal"/>
    <w:link w:val="KonuBalChar"/>
    <w:uiPriority w:val="10"/>
    <w:qFormat/>
    <w:rsid w:val="00E7435A"/>
    <w:rPr>
      <w:b/>
      <w:bCs/>
    </w:rPr>
  </w:style>
  <w:style w:type="character" w:customStyle="1" w:styleId="KonuBalChar">
    <w:name w:val="Konu Başlığı Char"/>
    <w:basedOn w:val="VarsaylanParagrafYazTipi"/>
    <w:link w:val="KonuBal"/>
    <w:uiPriority w:val="10"/>
    <w:rsid w:val="00E7435A"/>
    <w:rPr>
      <w:b/>
      <w:bCs/>
    </w:rPr>
  </w:style>
  <w:style w:type="paragraph" w:styleId="DipnotMetni">
    <w:name w:val="footnote text"/>
    <w:basedOn w:val="Normal"/>
    <w:link w:val="DipnotMetniChar"/>
    <w:uiPriority w:val="99"/>
    <w:unhideWhenUsed/>
    <w:qFormat/>
    <w:rsid w:val="001523BC"/>
    <w:pPr>
      <w:spacing w:after="40" w:line="240" w:lineRule="auto"/>
    </w:pPr>
    <w:rPr>
      <w:sz w:val="20"/>
      <w:szCs w:val="20"/>
    </w:rPr>
  </w:style>
  <w:style w:type="character" w:customStyle="1" w:styleId="DipnotMetniChar">
    <w:name w:val="Dipnot Metni Char"/>
    <w:basedOn w:val="VarsaylanParagrafYazTipi"/>
    <w:link w:val="DipnotMetni"/>
    <w:uiPriority w:val="99"/>
    <w:rsid w:val="001523BC"/>
    <w:rPr>
      <w:sz w:val="20"/>
      <w:szCs w:val="20"/>
    </w:rPr>
  </w:style>
  <w:style w:type="character" w:styleId="DipnotBavurusu">
    <w:name w:val="footnote reference"/>
    <w:basedOn w:val="VarsaylanParagrafYazTipi"/>
    <w:uiPriority w:val="99"/>
    <w:semiHidden/>
    <w:unhideWhenUsed/>
    <w:rsid w:val="00E7435A"/>
    <w:rPr>
      <w:vertAlign w:val="superscript"/>
    </w:rPr>
  </w:style>
  <w:style w:type="paragraph" w:styleId="Alnt">
    <w:name w:val="Quote"/>
    <w:basedOn w:val="DipnotMetni"/>
    <w:next w:val="Normal"/>
    <w:link w:val="AlntChar"/>
    <w:uiPriority w:val="29"/>
    <w:qFormat/>
    <w:rsid w:val="00E7435A"/>
    <w:pPr>
      <w:tabs>
        <w:tab w:val="left" w:pos="284"/>
      </w:tabs>
    </w:pPr>
  </w:style>
  <w:style w:type="character" w:customStyle="1" w:styleId="AlntChar">
    <w:name w:val="Alıntı Char"/>
    <w:basedOn w:val="VarsaylanParagrafYazTipi"/>
    <w:link w:val="Alnt"/>
    <w:uiPriority w:val="29"/>
    <w:rsid w:val="00E7435A"/>
    <w:rPr>
      <w:sz w:val="20"/>
      <w:szCs w:val="20"/>
    </w:rPr>
  </w:style>
  <w:style w:type="character" w:styleId="Kpr">
    <w:name w:val="Hyperlink"/>
    <w:basedOn w:val="VarsaylanParagrafYazTipi"/>
    <w:uiPriority w:val="99"/>
    <w:unhideWhenUsed/>
    <w:rsid w:val="00E7435A"/>
    <w:rPr>
      <w:color w:val="0000FF"/>
      <w:u w:val="single"/>
    </w:rPr>
  </w:style>
  <w:style w:type="character" w:styleId="zmlenmeyenBahsetme">
    <w:name w:val="Unresolved Mention"/>
    <w:basedOn w:val="VarsaylanParagrafYazTipi"/>
    <w:uiPriority w:val="99"/>
    <w:semiHidden/>
    <w:unhideWhenUsed/>
    <w:rsid w:val="00924085"/>
    <w:rPr>
      <w:color w:val="605E5C"/>
      <w:shd w:val="clear" w:color="auto" w:fill="E1DFDD"/>
    </w:rPr>
  </w:style>
  <w:style w:type="paragraph" w:styleId="stBilgi">
    <w:name w:val="header"/>
    <w:basedOn w:val="Normal"/>
    <w:link w:val="stBilgiChar"/>
    <w:uiPriority w:val="99"/>
    <w:unhideWhenUsed/>
    <w:rsid w:val="00FA72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72E3"/>
  </w:style>
  <w:style w:type="paragraph" w:styleId="AltBilgi">
    <w:name w:val="footer"/>
    <w:basedOn w:val="Normal"/>
    <w:link w:val="AltBilgiChar"/>
    <w:uiPriority w:val="99"/>
    <w:unhideWhenUsed/>
    <w:rsid w:val="00FA72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72E3"/>
  </w:style>
  <w:style w:type="character" w:styleId="Gl">
    <w:name w:val="Strong"/>
    <w:basedOn w:val="VarsaylanParagrafYazTipi"/>
    <w:uiPriority w:val="22"/>
    <w:qFormat/>
    <w:rsid w:val="00FD425A"/>
    <w:rPr>
      <w:b/>
      <w:bCs/>
    </w:rPr>
  </w:style>
  <w:style w:type="paragraph" w:styleId="BalonMetni">
    <w:name w:val="Balloon Text"/>
    <w:basedOn w:val="Normal"/>
    <w:link w:val="BalonMetniChar"/>
    <w:uiPriority w:val="99"/>
    <w:semiHidden/>
    <w:unhideWhenUsed/>
    <w:rsid w:val="00DD52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5246"/>
    <w:rPr>
      <w:rFonts w:ascii="Segoe UI" w:hAnsi="Segoe UI" w:cs="Segoe UI"/>
      <w:sz w:val="18"/>
      <w:szCs w:val="18"/>
    </w:rPr>
  </w:style>
  <w:style w:type="character" w:styleId="AklamaBavurusu">
    <w:name w:val="annotation reference"/>
    <w:basedOn w:val="VarsaylanParagrafYazTipi"/>
    <w:uiPriority w:val="99"/>
    <w:semiHidden/>
    <w:unhideWhenUsed/>
    <w:rsid w:val="00E74401"/>
    <w:rPr>
      <w:sz w:val="16"/>
      <w:szCs w:val="16"/>
    </w:rPr>
  </w:style>
  <w:style w:type="paragraph" w:styleId="AklamaMetni">
    <w:name w:val="annotation text"/>
    <w:basedOn w:val="Normal"/>
    <w:link w:val="AklamaMetniChar"/>
    <w:uiPriority w:val="99"/>
    <w:semiHidden/>
    <w:unhideWhenUsed/>
    <w:rsid w:val="00E744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4401"/>
    <w:rPr>
      <w:sz w:val="20"/>
      <w:szCs w:val="20"/>
    </w:rPr>
  </w:style>
  <w:style w:type="paragraph" w:styleId="AklamaKonusu">
    <w:name w:val="annotation subject"/>
    <w:basedOn w:val="AklamaMetni"/>
    <w:next w:val="AklamaMetni"/>
    <w:link w:val="AklamaKonusuChar"/>
    <w:uiPriority w:val="99"/>
    <w:semiHidden/>
    <w:unhideWhenUsed/>
    <w:rsid w:val="00E74401"/>
    <w:rPr>
      <w:b/>
      <w:bCs/>
    </w:rPr>
  </w:style>
  <w:style w:type="character" w:customStyle="1" w:styleId="AklamaKonusuChar">
    <w:name w:val="Açıklama Konusu Char"/>
    <w:basedOn w:val="AklamaMetniChar"/>
    <w:link w:val="AklamaKonusu"/>
    <w:uiPriority w:val="99"/>
    <w:semiHidden/>
    <w:rsid w:val="00E74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1-6570-0014" TargetMode="External"/><Relationship Id="rId1" Type="http://schemas.openxmlformats.org/officeDocument/2006/relationships/hyperlink" Target="mailto:ma.kocak25@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71D61DB-30D2-4102-A34A-71A3A912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4747</Words>
  <Characters>27063</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Arif KOÇAK</dc:creator>
  <cp:keywords/>
  <dc:description/>
  <cp:lastModifiedBy>Damla Timur</cp:lastModifiedBy>
  <cp:revision>2</cp:revision>
  <dcterms:created xsi:type="dcterms:W3CDTF">2020-11-04T12:09:00Z</dcterms:created>
  <dcterms:modified xsi:type="dcterms:W3CDTF">2020-11-04T12:09:00Z</dcterms:modified>
</cp:coreProperties>
</file>