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2206E" w14:textId="77777777" w:rsidR="00205A40" w:rsidRDefault="005B1A10" w:rsidP="00953A36">
      <w:pPr>
        <w:spacing w:after="0" w:line="360" w:lineRule="auto"/>
        <w:jc w:val="center"/>
        <w:rPr>
          <w:b/>
        </w:rPr>
      </w:pPr>
      <w:r w:rsidRPr="00953A36">
        <w:rPr>
          <w:b/>
        </w:rPr>
        <w:t>Fransız Banka Hukukunda Müşteri Sırrını Saklama Yükümlülüğü Ve Özel Hayatın Korunması İle İlişkisi</w:t>
      </w:r>
      <w:r w:rsidR="0024480B">
        <w:rPr>
          <w:rStyle w:val="FootnoteReference"/>
          <w:b/>
        </w:rPr>
        <w:footnoteReference w:id="1"/>
      </w:r>
    </w:p>
    <w:p w14:paraId="0162E4F2" w14:textId="77777777" w:rsidR="005B1A10" w:rsidRDefault="005B1A10" w:rsidP="0093262F">
      <w:pPr>
        <w:spacing w:line="360" w:lineRule="auto"/>
        <w:jc w:val="center"/>
        <w:rPr>
          <w:lang w:val="en-US"/>
        </w:rPr>
      </w:pPr>
      <w:r w:rsidRPr="002766E6">
        <w:rPr>
          <w:lang w:val="en-US"/>
        </w:rPr>
        <w:t xml:space="preserve">The Obligation To Keep A </w:t>
      </w:r>
      <w:r w:rsidR="00857489" w:rsidRPr="002766E6">
        <w:rPr>
          <w:lang w:val="en-US"/>
        </w:rPr>
        <w:t>Customer's Secret And Its Relation To The Protecti</w:t>
      </w:r>
      <w:r w:rsidRPr="002766E6">
        <w:rPr>
          <w:lang w:val="en-US"/>
        </w:rPr>
        <w:t>on Of Privacy In French Banking Law</w:t>
      </w:r>
    </w:p>
    <w:p w14:paraId="49F5C83E" w14:textId="77777777" w:rsidR="00432630" w:rsidRPr="00432630" w:rsidRDefault="00432630" w:rsidP="00432630">
      <w:pPr>
        <w:spacing w:line="360" w:lineRule="auto"/>
        <w:jc w:val="right"/>
        <w:rPr>
          <w:lang w:val="en-US"/>
        </w:rPr>
      </w:pPr>
      <w:r>
        <w:t>Arş. Gör. Dr.</w:t>
      </w:r>
      <w:r>
        <w:t xml:space="preserve"> İlknur KAYA</w:t>
      </w:r>
      <w:r w:rsidRPr="004E03B0">
        <w:rPr>
          <w:rStyle w:val="FootnoteReference"/>
        </w:rPr>
        <w:footnoteReference w:customMarkFollows="1" w:id="2"/>
        <w:t>**</w:t>
      </w:r>
    </w:p>
    <w:p w14:paraId="750FD26E" w14:textId="77777777" w:rsidR="00E93E01" w:rsidRPr="002766E6" w:rsidRDefault="00E93E01" w:rsidP="0093262F">
      <w:pPr>
        <w:spacing w:line="360" w:lineRule="auto"/>
        <w:jc w:val="center"/>
        <w:rPr>
          <w:lang w:val="en-US"/>
        </w:rPr>
      </w:pPr>
    </w:p>
    <w:p w14:paraId="7B08BE71" w14:textId="77777777" w:rsidR="00866DC2" w:rsidRPr="00D26621" w:rsidRDefault="0050635E" w:rsidP="00D26621">
      <w:pPr>
        <w:rPr>
          <w:b/>
          <w:sz w:val="20"/>
          <w:szCs w:val="20"/>
        </w:rPr>
      </w:pPr>
      <w:r>
        <w:t xml:space="preserve"> </w:t>
      </w:r>
      <w:r w:rsidR="00866DC2">
        <w:t xml:space="preserve"> </w:t>
      </w:r>
      <w:r w:rsidR="004D55F3">
        <w:t xml:space="preserve">        </w:t>
      </w:r>
      <w:r w:rsidR="004D55F3" w:rsidRPr="00D26621">
        <w:rPr>
          <w:b/>
          <w:sz w:val="20"/>
          <w:szCs w:val="20"/>
        </w:rPr>
        <w:t>Öz:</w:t>
      </w:r>
    </w:p>
    <w:p w14:paraId="197EF841" w14:textId="77777777" w:rsidR="00866DC2" w:rsidRDefault="00866DC2" w:rsidP="002766E6">
      <w:pPr>
        <w:autoSpaceDE w:val="0"/>
        <w:autoSpaceDN w:val="0"/>
        <w:adjustRightInd w:val="0"/>
        <w:spacing w:line="360" w:lineRule="auto"/>
        <w:ind w:firstLine="567"/>
        <w:jc w:val="both"/>
        <w:rPr>
          <w:sz w:val="20"/>
          <w:szCs w:val="20"/>
        </w:rPr>
      </w:pPr>
      <w:r w:rsidRPr="000474DB">
        <w:rPr>
          <w:sz w:val="20"/>
          <w:szCs w:val="20"/>
        </w:rPr>
        <w:t>Fransız hukukunda müşteri sırrının saklanması yükümlülüğü 14.12.2000 tarih ve 2000-2013 sayılı Para ve Finans Kanunu’nun (</w:t>
      </w:r>
      <w:proofErr w:type="spellStart"/>
      <w:r w:rsidRPr="000474DB">
        <w:rPr>
          <w:sz w:val="20"/>
          <w:szCs w:val="20"/>
        </w:rPr>
        <w:t>Code</w:t>
      </w:r>
      <w:proofErr w:type="spellEnd"/>
      <w:r w:rsidRPr="000474DB">
        <w:rPr>
          <w:sz w:val="20"/>
          <w:szCs w:val="20"/>
        </w:rPr>
        <w:t xml:space="preserve"> </w:t>
      </w:r>
      <w:proofErr w:type="spellStart"/>
      <w:r w:rsidRPr="000474DB">
        <w:rPr>
          <w:sz w:val="20"/>
          <w:szCs w:val="20"/>
        </w:rPr>
        <w:t>monétaire</w:t>
      </w:r>
      <w:proofErr w:type="spellEnd"/>
      <w:r w:rsidRPr="000474DB">
        <w:rPr>
          <w:sz w:val="20"/>
          <w:szCs w:val="20"/>
        </w:rPr>
        <w:t xml:space="preserve"> et </w:t>
      </w:r>
      <w:proofErr w:type="spellStart"/>
      <w:r w:rsidRPr="000474DB">
        <w:rPr>
          <w:sz w:val="20"/>
          <w:szCs w:val="20"/>
        </w:rPr>
        <w:t>financiere</w:t>
      </w:r>
      <w:proofErr w:type="spellEnd"/>
      <w:r w:rsidRPr="000474DB">
        <w:rPr>
          <w:sz w:val="20"/>
          <w:szCs w:val="20"/>
        </w:rPr>
        <w:t>, CMF) “mesleki sır” başlıklı L. 511-33. maddesinde yer almaktadır. Söz konusu maddede; kredi kuruluşu ve finansman şirketlerinin yönetim veya gözetim kurulu üyeleri, bu şirketlerin herhangi bir şekilde yönetimine katılanlar veya bu kuruluşlarda çalışanlar müşteri sırrını saklama yükümlülüğüne tâbi olan kişiler olarak sayılmıştır. Ayrıca aynı maddede sırrın açıklanabileceği hâllerle ilgili önemli bazı istisnalara da yer verilmiştir. Ancak maddede sır saklama yükümlülüğünün ihlâli hâlinde uygulanacak yaptırımlarla ilgili bir düzenleme bulunmadığından, genel hükümlerde yer alan düzenlemelerin dikkate alınması gerekmektedir. Hemen hemen tüm hukuk sistemlerinde sırrın saklanması ile özel hayatın korunmasının bağlantılı olduğu kabul edilmektedir. Fransız hukukunda özel hayatın korunması ile ilgili temel düzenleme ise Fransız Medeni Kanunu’nun (</w:t>
      </w:r>
      <w:proofErr w:type="spellStart"/>
      <w:r w:rsidRPr="000474DB">
        <w:rPr>
          <w:sz w:val="20"/>
          <w:szCs w:val="20"/>
        </w:rPr>
        <w:t>Code</w:t>
      </w:r>
      <w:proofErr w:type="spellEnd"/>
      <w:r w:rsidRPr="000474DB">
        <w:rPr>
          <w:sz w:val="20"/>
          <w:szCs w:val="20"/>
        </w:rPr>
        <w:t xml:space="preserve"> </w:t>
      </w:r>
      <w:proofErr w:type="spellStart"/>
      <w:r w:rsidRPr="000474DB">
        <w:rPr>
          <w:sz w:val="20"/>
          <w:szCs w:val="20"/>
        </w:rPr>
        <w:t>Civil</w:t>
      </w:r>
      <w:proofErr w:type="spellEnd"/>
      <w:r w:rsidRPr="000474DB">
        <w:rPr>
          <w:sz w:val="20"/>
          <w:szCs w:val="20"/>
        </w:rPr>
        <w:t>, CC) 9. maddesinde yer almaktadır. Mad</w:t>
      </w:r>
      <w:r w:rsidR="002766E6">
        <w:rPr>
          <w:sz w:val="20"/>
          <w:szCs w:val="20"/>
        </w:rPr>
        <w:t xml:space="preserve">deye göre; herkes özel hayatına saygı gösterilmesini isteme hakkına sahiptir. </w:t>
      </w:r>
      <w:r w:rsidRPr="002766E6">
        <w:rPr>
          <w:sz w:val="20"/>
          <w:szCs w:val="20"/>
        </w:rPr>
        <w:t>H</w:t>
      </w:r>
      <w:r w:rsidRPr="000474DB">
        <w:rPr>
          <w:color w:val="000000"/>
          <w:sz w:val="20"/>
          <w:szCs w:val="20"/>
        </w:rPr>
        <w:t xml:space="preserve">âkim özel hayatın mahremiyetine dair saldırıyı durdurmak veya engellemek için yediemine tevdi, el koyma gibi gerekli tüm tedbirlere karar verebilir. Eğer bir zarar meydana gelmişse bu zararın haksız fiil hükümlerince tazminine ve kararın yayımlanmasına da karar verilebilir. </w:t>
      </w:r>
      <w:r w:rsidRPr="000474DB">
        <w:rPr>
          <w:sz w:val="20"/>
          <w:szCs w:val="20"/>
        </w:rPr>
        <w:t xml:space="preserve">Biz bu çalışmada genel hükümler kapsamında yer alan özel hayatın korunması hükümlerinin müşteri sırrı ile ilişkisini inceleyeceğiz. </w:t>
      </w:r>
    </w:p>
    <w:p w14:paraId="37068B30" w14:textId="77777777" w:rsidR="004D55F3" w:rsidRPr="00D26621" w:rsidRDefault="00197BAC" w:rsidP="00D26621">
      <w:pPr>
        <w:ind w:firstLine="567"/>
        <w:rPr>
          <w:b/>
          <w:sz w:val="20"/>
          <w:szCs w:val="20"/>
        </w:rPr>
      </w:pPr>
      <w:r w:rsidRPr="00D26621">
        <w:rPr>
          <w:b/>
          <w:sz w:val="20"/>
          <w:szCs w:val="20"/>
        </w:rPr>
        <w:t>Anahtar K</w:t>
      </w:r>
      <w:r w:rsidR="00866DC2" w:rsidRPr="00D26621">
        <w:rPr>
          <w:b/>
          <w:sz w:val="20"/>
          <w:szCs w:val="20"/>
        </w:rPr>
        <w:t xml:space="preserve">elimeler: </w:t>
      </w:r>
    </w:p>
    <w:p w14:paraId="11168569" w14:textId="77777777" w:rsidR="00866DC2" w:rsidRDefault="00227FD0" w:rsidP="006D21EB">
      <w:pPr>
        <w:spacing w:line="360" w:lineRule="auto"/>
        <w:ind w:firstLine="567"/>
        <w:rPr>
          <w:sz w:val="20"/>
          <w:szCs w:val="20"/>
        </w:rPr>
      </w:pPr>
      <w:r w:rsidRPr="006D21EB">
        <w:rPr>
          <w:sz w:val="20"/>
          <w:szCs w:val="20"/>
        </w:rPr>
        <w:t xml:space="preserve">Sır, </w:t>
      </w:r>
      <w:r w:rsidR="00866DC2" w:rsidRPr="006D21EB">
        <w:rPr>
          <w:sz w:val="20"/>
          <w:szCs w:val="20"/>
        </w:rPr>
        <w:t>Müşteri</w:t>
      </w:r>
      <w:r w:rsidR="000474DB" w:rsidRPr="006D21EB">
        <w:rPr>
          <w:sz w:val="20"/>
          <w:szCs w:val="20"/>
        </w:rPr>
        <w:t xml:space="preserve"> </w:t>
      </w:r>
      <w:r w:rsidR="004D55F3" w:rsidRPr="006D21EB">
        <w:rPr>
          <w:sz w:val="20"/>
          <w:szCs w:val="20"/>
        </w:rPr>
        <w:t xml:space="preserve">Sırrı, </w:t>
      </w:r>
      <w:r w:rsidR="000474DB" w:rsidRPr="006D21EB">
        <w:rPr>
          <w:sz w:val="20"/>
          <w:szCs w:val="20"/>
        </w:rPr>
        <w:t xml:space="preserve">Banka </w:t>
      </w:r>
      <w:r w:rsidR="004D55F3" w:rsidRPr="006D21EB">
        <w:rPr>
          <w:sz w:val="20"/>
          <w:szCs w:val="20"/>
        </w:rPr>
        <w:t xml:space="preserve">Sırrı, </w:t>
      </w:r>
      <w:r w:rsidR="000474DB" w:rsidRPr="006D21EB">
        <w:rPr>
          <w:sz w:val="20"/>
          <w:szCs w:val="20"/>
        </w:rPr>
        <w:t xml:space="preserve">Fransız </w:t>
      </w:r>
      <w:r w:rsidR="004D55F3" w:rsidRPr="006D21EB">
        <w:rPr>
          <w:sz w:val="20"/>
          <w:szCs w:val="20"/>
        </w:rPr>
        <w:t xml:space="preserve">Hukuku, </w:t>
      </w:r>
      <w:r w:rsidR="000474DB" w:rsidRPr="006D21EB">
        <w:rPr>
          <w:sz w:val="20"/>
          <w:szCs w:val="20"/>
        </w:rPr>
        <w:t xml:space="preserve">Özel </w:t>
      </w:r>
      <w:r w:rsidRPr="006D21EB">
        <w:rPr>
          <w:sz w:val="20"/>
          <w:szCs w:val="20"/>
        </w:rPr>
        <w:t>Hayatın Korunması.</w:t>
      </w:r>
    </w:p>
    <w:p w14:paraId="2808BFDF" w14:textId="77777777" w:rsidR="00E93E01" w:rsidRPr="006D21EB" w:rsidRDefault="00E93E01" w:rsidP="006D21EB">
      <w:pPr>
        <w:spacing w:line="360" w:lineRule="auto"/>
        <w:ind w:firstLine="567"/>
        <w:rPr>
          <w:sz w:val="20"/>
          <w:szCs w:val="20"/>
        </w:rPr>
      </w:pPr>
    </w:p>
    <w:p w14:paraId="72B5A6B9" w14:textId="77777777" w:rsidR="005B1A10" w:rsidRPr="006D21EB" w:rsidRDefault="00B81E1E" w:rsidP="006D21EB">
      <w:pPr>
        <w:spacing w:line="360" w:lineRule="auto"/>
        <w:rPr>
          <w:b/>
          <w:sz w:val="20"/>
          <w:szCs w:val="20"/>
        </w:rPr>
      </w:pPr>
      <w:r w:rsidRPr="006D21EB">
        <w:rPr>
          <w:b/>
          <w:sz w:val="20"/>
          <w:szCs w:val="20"/>
        </w:rPr>
        <w:t xml:space="preserve">           </w:t>
      </w:r>
      <w:proofErr w:type="spellStart"/>
      <w:r w:rsidR="005B1A10" w:rsidRPr="006D21EB">
        <w:rPr>
          <w:b/>
          <w:sz w:val="20"/>
          <w:szCs w:val="20"/>
        </w:rPr>
        <w:t>Abstract</w:t>
      </w:r>
      <w:proofErr w:type="spellEnd"/>
      <w:r w:rsidRPr="006D21EB">
        <w:rPr>
          <w:b/>
          <w:sz w:val="20"/>
          <w:szCs w:val="20"/>
        </w:rPr>
        <w:t>:</w:t>
      </w:r>
    </w:p>
    <w:p w14:paraId="3DCA09CF" w14:textId="77777777" w:rsidR="0080536E" w:rsidRPr="002766E6" w:rsidRDefault="0080536E" w:rsidP="002766E6">
      <w:pPr>
        <w:autoSpaceDE w:val="0"/>
        <w:autoSpaceDN w:val="0"/>
        <w:adjustRightInd w:val="0"/>
        <w:spacing w:line="360" w:lineRule="auto"/>
        <w:ind w:firstLine="567"/>
        <w:jc w:val="both"/>
        <w:rPr>
          <w:b/>
          <w:bCs/>
          <w:color w:val="000000"/>
          <w:sz w:val="20"/>
          <w:szCs w:val="20"/>
          <w:shd w:val="clear" w:color="auto" w:fill="FFFFFF"/>
          <w:lang w:val="en-US"/>
        </w:rPr>
      </w:pPr>
      <w:r w:rsidRPr="002766E6">
        <w:rPr>
          <w:sz w:val="20"/>
          <w:szCs w:val="20"/>
          <w:lang w:val="en-US"/>
        </w:rPr>
        <w:t xml:space="preserve">The obligation to keep the customer's secret in French law is governed by the article L. 511-33 titled as "professional secret" of the Monetary and Financial Law (Code </w:t>
      </w:r>
      <w:proofErr w:type="spellStart"/>
      <w:r w:rsidRPr="002766E6">
        <w:rPr>
          <w:sz w:val="20"/>
          <w:szCs w:val="20"/>
          <w:lang w:val="en-US"/>
        </w:rPr>
        <w:t>monétaire</w:t>
      </w:r>
      <w:proofErr w:type="spellEnd"/>
      <w:r w:rsidRPr="002766E6">
        <w:rPr>
          <w:sz w:val="20"/>
          <w:szCs w:val="20"/>
          <w:lang w:val="en-US"/>
        </w:rPr>
        <w:t xml:space="preserve"> et </w:t>
      </w:r>
      <w:proofErr w:type="spellStart"/>
      <w:r w:rsidRPr="002766E6">
        <w:rPr>
          <w:sz w:val="20"/>
          <w:szCs w:val="20"/>
          <w:lang w:val="en-US"/>
        </w:rPr>
        <w:t>financiere</w:t>
      </w:r>
      <w:proofErr w:type="spellEnd"/>
      <w:r w:rsidRPr="002766E6">
        <w:rPr>
          <w:sz w:val="20"/>
          <w:szCs w:val="20"/>
          <w:lang w:val="en-US"/>
        </w:rPr>
        <w:t xml:space="preserve">, CMF) dated 14.12.2000 and numbered 2000-2013. In this article, the members of the administrative or supervisory board of the credit institutions and financing companies, those who participate in the management of these companies in any way or those who work in these organizations are deemed as persons subject to the obligation to keep the customer secret. In addition, some </w:t>
      </w:r>
      <w:r w:rsidRPr="002766E6">
        <w:rPr>
          <w:sz w:val="20"/>
          <w:szCs w:val="20"/>
          <w:lang w:val="en-US"/>
        </w:rPr>
        <w:lastRenderedPageBreak/>
        <w:t xml:space="preserve">important exceptions are included in the same article regarding the cases in which the secret can be disclosed. However, since there is no regulation on the sanctions to be applied in case of violation of the obligation to keep secrets in the article, the regulations contained in the general provisions need to be taken into account. In almost all judicial systems, it is acknowledged that the keeping of the secret and the protection of privacy are linked. The basic regulation for the protection of privacy in French law is the Article 9 of the French Civil Code (Code Civil, CC). According to the article, everyone has the right to ask that his/her privacy be respected. A judge may decide on all necessary measures, such as </w:t>
      </w:r>
      <w:proofErr w:type="spellStart"/>
      <w:r w:rsidRPr="002766E6">
        <w:rPr>
          <w:sz w:val="20"/>
          <w:szCs w:val="20"/>
          <w:lang w:val="en-US"/>
        </w:rPr>
        <w:t>intrust</w:t>
      </w:r>
      <w:proofErr w:type="spellEnd"/>
      <w:r w:rsidRPr="002766E6">
        <w:rPr>
          <w:sz w:val="20"/>
          <w:szCs w:val="20"/>
          <w:lang w:val="en-US"/>
        </w:rPr>
        <w:t xml:space="preserve"> or distrainment, to stop or prevent a violation on the privacy. If a loss has occurred, it may be decided that the damages will be compensated s per the tort provisions and that the decision will be published.</w:t>
      </w:r>
      <w:r w:rsidR="002766E6" w:rsidRPr="002766E6">
        <w:rPr>
          <w:rStyle w:val="Strong"/>
          <w:color w:val="000000"/>
          <w:sz w:val="20"/>
          <w:szCs w:val="20"/>
          <w:shd w:val="clear" w:color="auto" w:fill="FFFFFF"/>
          <w:lang w:val="en-US"/>
        </w:rPr>
        <w:t xml:space="preserve"> </w:t>
      </w:r>
      <w:r w:rsidRPr="002766E6">
        <w:rPr>
          <w:sz w:val="20"/>
          <w:szCs w:val="20"/>
          <w:lang w:val="en-US"/>
        </w:rPr>
        <w:t xml:space="preserve">In this study, we investigate the relationship between the protection of privacy provisions within the scope of the general provisions and the customer secret. </w:t>
      </w:r>
    </w:p>
    <w:p w14:paraId="0AE714C2" w14:textId="77777777" w:rsidR="00B81E1E" w:rsidRPr="002766E6" w:rsidRDefault="005B1A10" w:rsidP="00B81E1E">
      <w:pPr>
        <w:spacing w:after="0" w:line="360" w:lineRule="auto"/>
        <w:ind w:firstLine="567"/>
        <w:jc w:val="both"/>
        <w:rPr>
          <w:sz w:val="20"/>
          <w:szCs w:val="20"/>
          <w:lang w:val="en-US"/>
        </w:rPr>
      </w:pPr>
      <w:r w:rsidRPr="002766E6">
        <w:rPr>
          <w:b/>
          <w:sz w:val="20"/>
          <w:szCs w:val="20"/>
          <w:lang w:val="en-US"/>
        </w:rPr>
        <w:t>Keywords:</w:t>
      </w:r>
      <w:r w:rsidRPr="002766E6">
        <w:rPr>
          <w:sz w:val="20"/>
          <w:szCs w:val="20"/>
          <w:lang w:val="en-US"/>
        </w:rPr>
        <w:t xml:space="preserve"> </w:t>
      </w:r>
    </w:p>
    <w:p w14:paraId="5E13FFB0" w14:textId="77777777" w:rsidR="005B1A10" w:rsidRPr="002766E6" w:rsidRDefault="00227FD0" w:rsidP="00B81E1E">
      <w:pPr>
        <w:spacing w:after="0" w:line="360" w:lineRule="auto"/>
        <w:ind w:firstLine="567"/>
        <w:jc w:val="both"/>
        <w:rPr>
          <w:sz w:val="20"/>
          <w:szCs w:val="20"/>
          <w:lang w:val="en-US"/>
        </w:rPr>
      </w:pPr>
      <w:proofErr w:type="gramStart"/>
      <w:r w:rsidRPr="002766E6">
        <w:rPr>
          <w:sz w:val="20"/>
          <w:szCs w:val="20"/>
          <w:lang w:val="en-US"/>
        </w:rPr>
        <w:t xml:space="preserve">Secret, </w:t>
      </w:r>
      <w:r w:rsidR="00B81E1E" w:rsidRPr="002766E6">
        <w:rPr>
          <w:sz w:val="20"/>
          <w:szCs w:val="20"/>
          <w:lang w:val="en-US"/>
        </w:rPr>
        <w:t xml:space="preserve">Customer Secret, Bank Secret, </w:t>
      </w:r>
      <w:r w:rsidR="005B1A10" w:rsidRPr="002766E6">
        <w:rPr>
          <w:sz w:val="20"/>
          <w:szCs w:val="20"/>
          <w:lang w:val="en-US"/>
        </w:rPr>
        <w:t xml:space="preserve">French </w:t>
      </w:r>
      <w:r w:rsidR="00B81E1E" w:rsidRPr="002766E6">
        <w:rPr>
          <w:sz w:val="20"/>
          <w:szCs w:val="20"/>
          <w:lang w:val="en-US"/>
        </w:rPr>
        <w:t xml:space="preserve">Law, Protection </w:t>
      </w:r>
      <w:r w:rsidRPr="002766E6">
        <w:rPr>
          <w:sz w:val="20"/>
          <w:szCs w:val="20"/>
          <w:lang w:val="en-US"/>
        </w:rPr>
        <w:t>Of Privacy.</w:t>
      </w:r>
      <w:proofErr w:type="gramEnd"/>
    </w:p>
    <w:p w14:paraId="4044D908" w14:textId="77777777" w:rsidR="0050635E" w:rsidRDefault="0050635E" w:rsidP="004F167A">
      <w:pPr>
        <w:rPr>
          <w:b/>
        </w:rPr>
      </w:pPr>
    </w:p>
    <w:p w14:paraId="2C46D66F" w14:textId="77777777" w:rsidR="00866DC2" w:rsidRDefault="004D55F3" w:rsidP="004F167A">
      <w:pPr>
        <w:rPr>
          <w:b/>
        </w:rPr>
      </w:pPr>
      <w:r w:rsidRPr="004F167A">
        <w:rPr>
          <w:b/>
        </w:rPr>
        <w:t xml:space="preserve">          </w:t>
      </w:r>
      <w:r w:rsidR="00866DC2" w:rsidRPr="004F167A">
        <w:rPr>
          <w:b/>
        </w:rPr>
        <w:t>GİRİŞ</w:t>
      </w:r>
    </w:p>
    <w:p w14:paraId="349D2196" w14:textId="77777777" w:rsidR="00866DC2" w:rsidRDefault="00866DC2" w:rsidP="00866DC2">
      <w:pPr>
        <w:tabs>
          <w:tab w:val="left" w:pos="3828"/>
          <w:tab w:val="left" w:pos="4253"/>
        </w:tabs>
        <w:spacing w:line="360" w:lineRule="auto"/>
        <w:ind w:firstLine="567"/>
        <w:jc w:val="both"/>
      </w:pPr>
      <w:r>
        <w:t xml:space="preserve">Bankalar yürüttükleri mesleki faaliyet dolayısıyla gerek müşterileri gerekse üçüncü kişiler hakkında şahsi ve ekonomik nitelikte çok sayıda bilgiye sahip olurlar. Bu bilgilerin banka nezdinde kaldığı sürece, yetkili olmayan kurum veya kişilerle paylaşılmaması gerekmektedir. Müşteri sırrı niteliğinde olan bilgilerin korunması, banka müşterilerinin ve bankanın hakkında bilgi sahibi olduğu üçüncü kişilerin gizlilik alanının korunmasını sağlamaya hizmet etmektedir. Müşteri sırrını saklama yükümlülüğü ise, müşterinin veya bankayla iş bağlantısı bulunan üçüncü kişinin, gizli nitelikteki bilgilerin açıklanmayacağına ilişkin bankaya duyduğu güvenin neticesinde doğmuştur. Böylece, mesleki bir faaliyet yürüten bankalara duyulan güven sarsılmadığı gibi, bankaların faaliyetlerinin devamı sağlanarak, ekonomik istikrar da dolaylı olarak güvence altına alınmaktadır. </w:t>
      </w:r>
      <w:r w:rsidR="00305464">
        <w:t xml:space="preserve"> </w:t>
      </w:r>
    </w:p>
    <w:p w14:paraId="0B1E595A" w14:textId="77777777" w:rsidR="00866DC2" w:rsidRPr="00992842" w:rsidRDefault="00866DC2" w:rsidP="00866DC2">
      <w:pPr>
        <w:autoSpaceDE w:val="0"/>
        <w:autoSpaceDN w:val="0"/>
        <w:adjustRightInd w:val="0"/>
        <w:spacing w:line="360" w:lineRule="auto"/>
        <w:ind w:firstLine="567"/>
        <w:jc w:val="both"/>
      </w:pPr>
      <w:r>
        <w:rPr>
          <w:bCs/>
          <w:color w:val="000000"/>
          <w:shd w:val="clear" w:color="auto" w:fill="FFFFFF"/>
        </w:rPr>
        <w:t xml:space="preserve">Türk hukukunda </w:t>
      </w:r>
      <w:r>
        <w:t>kişinin maddi, manevi, ticari ve ekonomik alanları Türk Medeni Kanunu’nun kişiliğin korunmasına ilişkin 24 ve 25. maddeleri ile korunmaktadır. Kişinin gizli alanının da aynı hükümler kapsamında yer aldığı kabul edilmektedir. Fransız Me</w:t>
      </w:r>
      <w:r w:rsidR="00AE3494">
        <w:t>deni Kanunu’nda ise (</w:t>
      </w:r>
      <w:proofErr w:type="spellStart"/>
      <w:r w:rsidR="00AE3494">
        <w:t>Code</w:t>
      </w:r>
      <w:proofErr w:type="spellEnd"/>
      <w:r w:rsidR="00AE3494">
        <w:t xml:space="preserve"> </w:t>
      </w:r>
      <w:proofErr w:type="spellStart"/>
      <w:r w:rsidR="00AE3494">
        <w:t>civil</w:t>
      </w:r>
      <w:proofErr w:type="spellEnd"/>
      <w:r w:rsidR="00AE3494">
        <w:t xml:space="preserve">, </w:t>
      </w:r>
      <w:r>
        <w:t xml:space="preserve">CC) kişinin gizlilik alanının korunması “özel hayata saygı” ilkesi çerçevesinde düzenlenmiştir. </w:t>
      </w:r>
    </w:p>
    <w:p w14:paraId="26568DB7" w14:textId="77777777" w:rsidR="00BE4732" w:rsidRDefault="00866DC2" w:rsidP="00E65184">
      <w:pPr>
        <w:autoSpaceDE w:val="0"/>
        <w:autoSpaceDN w:val="0"/>
        <w:adjustRightInd w:val="0"/>
        <w:spacing w:line="360" w:lineRule="auto"/>
        <w:ind w:firstLine="567"/>
        <w:jc w:val="both"/>
        <w:sectPr w:rsidR="00BE4732" w:rsidSect="00B93BF4">
          <w:footnotePr>
            <w:numFmt w:val="chicago"/>
            <w:numRestart w:val="eachSect"/>
          </w:footnotePr>
          <w:pgSz w:w="11906" w:h="16838"/>
          <w:pgMar w:top="1418" w:right="1134" w:bottom="1418" w:left="1134" w:header="708" w:footer="708" w:gutter="0"/>
          <w:pgNumType w:start="2"/>
          <w:cols w:space="708"/>
          <w:docGrid w:linePitch="360"/>
        </w:sectPr>
      </w:pPr>
      <w:r>
        <w:t xml:space="preserve">Bu çalışmada Fransız banka hukukunda müşteri sırrının saklanması yükümlülüğünün, genel hükümler kapsamında yer alan özel hayatın korunmasına dair CC art. 9 hükmü ile ilişkisi incelenecektir. </w:t>
      </w:r>
    </w:p>
    <w:p w14:paraId="61876BE9" w14:textId="77777777" w:rsidR="004F167A" w:rsidRPr="00E65184" w:rsidRDefault="00E80C3A" w:rsidP="00E65184">
      <w:pPr>
        <w:autoSpaceDE w:val="0"/>
        <w:autoSpaceDN w:val="0"/>
        <w:adjustRightInd w:val="0"/>
        <w:spacing w:line="360" w:lineRule="auto"/>
        <w:ind w:firstLine="567"/>
        <w:jc w:val="both"/>
      </w:pPr>
      <w:r w:rsidRPr="004F167A">
        <w:rPr>
          <w:b/>
        </w:rPr>
        <w:lastRenderedPageBreak/>
        <w:t xml:space="preserve">I. MÜŞTERİ SIRRINA İLİŞKİN TEMEL HUKUKİ DÜZENLEME </w:t>
      </w:r>
    </w:p>
    <w:p w14:paraId="2343BFF5" w14:textId="77777777" w:rsidR="00E0116A" w:rsidRDefault="00E80C3A" w:rsidP="00E0116A">
      <w:pPr>
        <w:autoSpaceDE w:val="0"/>
        <w:autoSpaceDN w:val="0"/>
        <w:adjustRightInd w:val="0"/>
        <w:spacing w:line="360" w:lineRule="auto"/>
        <w:ind w:firstLine="567"/>
        <w:jc w:val="both"/>
      </w:pPr>
      <w:r w:rsidRPr="004F167A">
        <w:t>Fransız banka hukukunda müşteri sırrı 14.12.2000 tarih ve 2000-2013 sayılı Para ve Finans Kanunu’nun</w:t>
      </w:r>
      <w:r w:rsidR="00047397">
        <w:t xml:space="preserve"> (</w:t>
      </w:r>
      <w:proofErr w:type="spellStart"/>
      <w:r w:rsidR="00047397">
        <w:t>Code</w:t>
      </w:r>
      <w:proofErr w:type="spellEnd"/>
      <w:r w:rsidR="00047397">
        <w:t xml:space="preserve"> </w:t>
      </w:r>
      <w:proofErr w:type="spellStart"/>
      <w:r w:rsidR="00047397">
        <w:t>monétaire</w:t>
      </w:r>
      <w:proofErr w:type="spellEnd"/>
      <w:r w:rsidR="00047397">
        <w:t xml:space="preserve"> et </w:t>
      </w:r>
      <w:proofErr w:type="spellStart"/>
      <w:r w:rsidR="00047397">
        <w:t>financiere</w:t>
      </w:r>
      <w:proofErr w:type="spellEnd"/>
      <w:r w:rsidR="00047397">
        <w:t>, CMF)</w:t>
      </w:r>
      <w:r>
        <w:rPr>
          <w:rStyle w:val="FootnoteReference"/>
        </w:rPr>
        <w:footnoteReference w:id="3"/>
      </w:r>
      <w:r>
        <w:t xml:space="preserve"> “mesleki sır” başlıklı L. 511-33. maddesiyle</w:t>
      </w:r>
      <w:r>
        <w:rPr>
          <w:rStyle w:val="FootnoteReference"/>
        </w:rPr>
        <w:footnoteReference w:id="4"/>
      </w:r>
      <w:r>
        <w:t xml:space="preserve"> korunmaktadır</w:t>
      </w:r>
      <w:r w:rsidRPr="0013573D">
        <w:rPr>
          <w:rStyle w:val="FootnoteReference"/>
        </w:rPr>
        <w:footnoteReference w:id="5"/>
      </w:r>
      <w:r>
        <w:t xml:space="preserve">. Belirtilen </w:t>
      </w:r>
      <w:r w:rsidRPr="00792B47">
        <w:t>maddede</w:t>
      </w:r>
      <w:r>
        <w:t xml:space="preserve"> müşteri sırrını saklamakla yükümlü olanlar sayılmıştır. K</w:t>
      </w:r>
      <w:r w:rsidRPr="00792B47">
        <w:t xml:space="preserve">redi </w:t>
      </w:r>
      <w:r w:rsidRPr="00792B47">
        <w:lastRenderedPageBreak/>
        <w:t>kuruluşu ve finansman şirketlerinin yönetim</w:t>
      </w:r>
      <w:r>
        <w:t xml:space="preserve"> veya gözetim kurulu üyeleri, </w:t>
      </w:r>
      <w:r w:rsidRPr="00792B47">
        <w:t xml:space="preserve">herhangi </w:t>
      </w:r>
      <w:r>
        <w:t>bir şekilde yönetimine</w:t>
      </w:r>
      <w:r w:rsidRPr="00792B47">
        <w:t xml:space="preserve"> katılan</w:t>
      </w:r>
      <w:r>
        <w:t xml:space="preserve">lar ile belirtilen şirketlerde çalışanlar </w:t>
      </w:r>
      <w:r w:rsidRPr="00792B47">
        <w:t xml:space="preserve">müşteri sırrını saklama </w:t>
      </w:r>
      <w:r>
        <w:t xml:space="preserve">yükümlülüğüne tâbi olan kişilerdir. </w:t>
      </w:r>
    </w:p>
    <w:p w14:paraId="7927EC92" w14:textId="77777777" w:rsidR="00E80C3A" w:rsidRDefault="00E80C3A" w:rsidP="00E0116A">
      <w:pPr>
        <w:autoSpaceDE w:val="0"/>
        <w:autoSpaceDN w:val="0"/>
        <w:adjustRightInd w:val="0"/>
        <w:spacing w:line="360" w:lineRule="auto"/>
        <w:ind w:firstLine="567"/>
        <w:jc w:val="both"/>
      </w:pPr>
      <w:r w:rsidRPr="00792B47">
        <w:t xml:space="preserve">Ayrıca </w:t>
      </w:r>
      <w:r>
        <w:t xml:space="preserve">aynı </w:t>
      </w:r>
      <w:r w:rsidRPr="00792B47">
        <w:t>madde</w:t>
      </w:r>
      <w:r>
        <w:t>de</w:t>
      </w:r>
      <w:r w:rsidRPr="00792B47">
        <w:t xml:space="preserve"> sırrın </w:t>
      </w:r>
      <w:r w:rsidR="0000057C">
        <w:t xml:space="preserve">açıklanabileceği bazı banka </w:t>
      </w:r>
      <w:r>
        <w:t xml:space="preserve">işlemleri de sıralanmış ve yine bazı yetkili kurumlara karşı müşteri sırrına ilişkin hükmün ileri sürülemeyeceği belirtilmiştir. Buna göre sır saklama yükümlülüğü </w:t>
      </w:r>
      <w:r w:rsidRPr="00A66244">
        <w:t xml:space="preserve">İhtiyati Denetim ve Çözümleme Kurumu’na, Fransa Merkez Bankası’na, Fransa Deniz Aşırı Bölgesi Merkez Bankasına, ceza soruşturması veya yargılamasını yürüten makama, meclis soruşturma komisyonuna karşı ileri sürülemez. </w:t>
      </w:r>
    </w:p>
    <w:p w14:paraId="0BABA3B0" w14:textId="77777777" w:rsidR="00E80C3A" w:rsidRDefault="00E80C3A" w:rsidP="00E80C3A">
      <w:pPr>
        <w:tabs>
          <w:tab w:val="left" w:pos="3828"/>
          <w:tab w:val="left" w:pos="4253"/>
        </w:tabs>
        <w:spacing w:line="360" w:lineRule="auto"/>
        <w:ind w:firstLine="567"/>
        <w:jc w:val="both"/>
      </w:pPr>
      <w:r w:rsidRPr="00A66244">
        <w:t xml:space="preserve">Ancak kredi kuruluşu ve finansman şirketleri sır kapsamındaki bilgileri, kredi derecelendirme kuruluşlarıyla derecelendirme işlemlerinin yapılması amacıyla paylaşabilir. </w:t>
      </w:r>
    </w:p>
    <w:p w14:paraId="52B35A26" w14:textId="77777777" w:rsidR="00A105E7" w:rsidRDefault="00742325" w:rsidP="00A105E7">
      <w:pPr>
        <w:autoSpaceDE w:val="0"/>
        <w:autoSpaceDN w:val="0"/>
        <w:adjustRightInd w:val="0"/>
        <w:spacing w:line="360" w:lineRule="auto"/>
        <w:ind w:firstLine="567"/>
        <w:jc w:val="both"/>
      </w:pPr>
      <w:r>
        <w:t xml:space="preserve">Bankaların </w:t>
      </w:r>
      <w:r w:rsidR="00E80C3A" w:rsidRPr="00A66244">
        <w:t>sözleşme öncesi görüşme yaptığı, sözleşme imzaladığı veya işlemini gerçekleştirdiği kişilere, söz konusu işlem veya sözleşmenin yapılması için zorunlu olarak verilmesi gereken bilgiler sebebiyle, müşteri sırrı hükümleri ihlâl edilmiş olmayacaktır. Maddede tahdidi olarak sayılan işlem veya sözleşmeler; doğrudan veya dolaylı olarak bir veya daha fazla kredi kuruluşu veya finansman şirketince gerçekleştirilen kredi işlemleri, finansal araçlara ilişkin işlemler, kredi rizikosu için yapılan teminat veya sigorta işlemleri, bir kredi kuruluşu veya finansman şirketinde yönetim hâkimiyetini sağlayan veya sermayenin çoğunluğunu temsil eden payların devri, malvarlığının veya ticari işletmenin devri, alacağın veya sözleşmenin devri, önemli bazı işlemlerin yapılmasının üçüncü kişilere bırakıldığı hizmet sözleşmeleri, müşteriyle ilgili bankacılık işlem ve sözleşmelerinin, şirketler topluluğunca incelenmesi ve hazırlanması işlemleridir.</w:t>
      </w:r>
    </w:p>
    <w:p w14:paraId="45963B05" w14:textId="77777777" w:rsidR="00A82D42" w:rsidRDefault="00A82D42" w:rsidP="00271868">
      <w:pPr>
        <w:autoSpaceDE w:val="0"/>
        <w:autoSpaceDN w:val="0"/>
        <w:adjustRightInd w:val="0"/>
        <w:spacing w:line="360" w:lineRule="auto"/>
        <w:ind w:firstLine="567"/>
        <w:jc w:val="both"/>
        <w:rPr>
          <w:b/>
        </w:rPr>
      </w:pPr>
    </w:p>
    <w:p w14:paraId="2F631924" w14:textId="77777777" w:rsidR="00271868" w:rsidRDefault="009622DF" w:rsidP="00271868">
      <w:pPr>
        <w:autoSpaceDE w:val="0"/>
        <w:autoSpaceDN w:val="0"/>
        <w:adjustRightInd w:val="0"/>
        <w:spacing w:line="360" w:lineRule="auto"/>
        <w:ind w:firstLine="567"/>
        <w:jc w:val="both"/>
        <w:rPr>
          <w:b/>
        </w:rPr>
      </w:pPr>
      <w:r w:rsidRPr="003B3DA2">
        <w:rPr>
          <w:b/>
        </w:rPr>
        <w:t>II</w:t>
      </w:r>
      <w:r w:rsidR="00AC3EA9" w:rsidRPr="003B3DA2">
        <w:rPr>
          <w:b/>
        </w:rPr>
        <w:t xml:space="preserve">. MÜŞTERİ SIRRININ TANIMI </w:t>
      </w:r>
    </w:p>
    <w:p w14:paraId="07C84A41" w14:textId="77777777" w:rsidR="00271868" w:rsidRPr="00271868" w:rsidRDefault="00AC3EA9" w:rsidP="00271868">
      <w:pPr>
        <w:autoSpaceDE w:val="0"/>
        <w:autoSpaceDN w:val="0"/>
        <w:adjustRightInd w:val="0"/>
        <w:spacing w:line="360" w:lineRule="auto"/>
        <w:ind w:firstLine="567"/>
        <w:jc w:val="both"/>
        <w:rPr>
          <w:b/>
        </w:rPr>
      </w:pPr>
      <w:r w:rsidRPr="00007030">
        <w:t>CMF art. L. 511-33’te müşteri sırrı tanımlanmamıştır.  Hükmün madde başl</w:t>
      </w:r>
      <w:r w:rsidR="00BC0039">
        <w:t>ığında ve metninde “mesleki sır (</w:t>
      </w:r>
      <w:proofErr w:type="spellStart"/>
      <w:r w:rsidR="00BC0039">
        <w:t>secret</w:t>
      </w:r>
      <w:proofErr w:type="spellEnd"/>
      <w:r w:rsidR="00BC0039">
        <w:t xml:space="preserve"> </w:t>
      </w:r>
      <w:proofErr w:type="spellStart"/>
      <w:r w:rsidR="00BC0039">
        <w:t>professionnel</w:t>
      </w:r>
      <w:proofErr w:type="spellEnd"/>
      <w:r w:rsidR="00BC0039">
        <w:t xml:space="preserve">)” </w:t>
      </w:r>
      <w:r w:rsidRPr="00007030">
        <w:t xml:space="preserve">kavramı yer almakla birlikte, mesleki sır </w:t>
      </w:r>
      <w:r w:rsidR="00E17815">
        <w:t xml:space="preserve">saklama yükümlülüğünün konusunu </w:t>
      </w:r>
      <w:r w:rsidRPr="00007030">
        <w:t>bankanın müşterilerine veya hakkında bilgi sahibi olduğu üçüncü</w:t>
      </w:r>
      <w:r w:rsidR="0084231E">
        <w:t xml:space="preserve"> </w:t>
      </w:r>
      <w:r w:rsidRPr="00007030">
        <w:lastRenderedPageBreak/>
        <w:t>kişilere</w:t>
      </w:r>
      <w:r w:rsidR="00047397">
        <w:t xml:space="preserve"> </w:t>
      </w:r>
      <w:r w:rsidRPr="00007030">
        <w:t>ait sırlar</w:t>
      </w:r>
      <w:r w:rsidR="00A105E7">
        <w:t xml:space="preserve"> </w:t>
      </w:r>
      <w:r w:rsidR="002020F0">
        <w:t>oluşturmaktadır</w:t>
      </w:r>
      <w:r w:rsidR="00271868">
        <w:rPr>
          <w:rStyle w:val="FootnoteReference"/>
        </w:rPr>
        <w:footnoteReference w:id="6"/>
      </w:r>
      <w:r w:rsidR="00E17815">
        <w:t xml:space="preserve">. Bir başka deyişle bankanın </w:t>
      </w:r>
      <w:r>
        <w:t xml:space="preserve">müşteri sırrını </w:t>
      </w:r>
      <w:r w:rsidRPr="006B4C5C">
        <w:t>(</w:t>
      </w:r>
      <w:proofErr w:type="spellStart"/>
      <w:r w:rsidRPr="006B4C5C">
        <w:t>secret</w:t>
      </w:r>
      <w:proofErr w:type="spellEnd"/>
      <w:r w:rsidRPr="006B4C5C">
        <w:t xml:space="preserve"> </w:t>
      </w:r>
      <w:proofErr w:type="spellStart"/>
      <w:r w:rsidRPr="006B4C5C">
        <w:t>bancaire</w:t>
      </w:r>
      <w:proofErr w:type="spellEnd"/>
      <w:r w:rsidRPr="006B4C5C">
        <w:t>)</w:t>
      </w:r>
      <w:r w:rsidR="00271868">
        <w:rPr>
          <w:rStyle w:val="FootnoteReference"/>
        </w:rPr>
        <w:footnoteReference w:id="7"/>
      </w:r>
      <w:r w:rsidR="00E17815">
        <w:t xml:space="preserve"> </w:t>
      </w:r>
      <w:r w:rsidR="00271868">
        <w:rPr>
          <w:rStyle w:val="FootnoteReference"/>
        </w:rPr>
        <w:footnoteReference w:id="8"/>
      </w:r>
      <w:r w:rsidR="00271868">
        <w:t xml:space="preserve"> </w:t>
      </w:r>
      <w:r>
        <w:t>saklama yükümlülüğü, mesleki sır saklama yükümlülüğünün özel bir türüdür</w:t>
      </w:r>
      <w:r w:rsidR="00142F54">
        <w:rPr>
          <w:rStyle w:val="FootnoteReference"/>
        </w:rPr>
        <w:footnoteReference w:id="9"/>
      </w:r>
      <w:r w:rsidR="00271868">
        <w:t xml:space="preserve">. </w:t>
      </w:r>
    </w:p>
    <w:p w14:paraId="29D560BA" w14:textId="77777777" w:rsidR="00AC3EA9" w:rsidRDefault="00AC3EA9" w:rsidP="00AC3EA9">
      <w:pPr>
        <w:autoSpaceDE w:val="0"/>
        <w:autoSpaceDN w:val="0"/>
        <w:adjustRightInd w:val="0"/>
        <w:spacing w:line="360" w:lineRule="auto"/>
        <w:ind w:firstLine="567"/>
        <w:jc w:val="both"/>
      </w:pPr>
      <w:r>
        <w:t xml:space="preserve">Buradan hareketle </w:t>
      </w:r>
      <w:proofErr w:type="spellStart"/>
      <w:r w:rsidRPr="00C235F7">
        <w:rPr>
          <w:i/>
        </w:rPr>
        <w:t>Farhat</w:t>
      </w:r>
      <w:proofErr w:type="spellEnd"/>
      <w:r w:rsidRPr="00F07469">
        <w:t xml:space="preserve"> müşteri sırrının, </w:t>
      </w:r>
      <w:r>
        <w:t>bankacılık faaliyetinin yürütülmesi sırasında öğrenilen bilgilerden ibaret olduğunu ifade etmiştir</w:t>
      </w:r>
      <w:r w:rsidRPr="00F07469">
        <w:rPr>
          <w:rStyle w:val="FootnoteReference"/>
        </w:rPr>
        <w:footnoteReference w:id="10"/>
      </w:r>
      <w:r w:rsidRPr="00F07469">
        <w:t xml:space="preserve">. </w:t>
      </w:r>
    </w:p>
    <w:p w14:paraId="79EC937D" w14:textId="77777777" w:rsidR="00AC3EA9" w:rsidRDefault="00AC3EA9" w:rsidP="00AC3EA9">
      <w:pPr>
        <w:autoSpaceDE w:val="0"/>
        <w:autoSpaceDN w:val="0"/>
        <w:adjustRightInd w:val="0"/>
        <w:spacing w:line="360" w:lineRule="auto"/>
        <w:ind w:firstLine="567"/>
        <w:jc w:val="both"/>
      </w:pPr>
      <w:proofErr w:type="spellStart"/>
      <w:r w:rsidRPr="00C235F7">
        <w:rPr>
          <w:i/>
        </w:rPr>
        <w:t>Alavi</w:t>
      </w:r>
      <w:proofErr w:type="spellEnd"/>
      <w:r w:rsidRPr="00F07469">
        <w:t xml:space="preserve"> müşteri sırrını; bankanın yönetici, temsilci ve çalışanlarının mesleki faaliyetlerini yürütürken </w:t>
      </w:r>
      <w:r>
        <w:t>öğrendikleri</w:t>
      </w:r>
      <w:r w:rsidRPr="00F07469">
        <w:t xml:space="preserve">, müşteri veya bankayla </w:t>
      </w:r>
      <w:proofErr w:type="spellStart"/>
      <w:r w:rsidRPr="00F07469">
        <w:t>işbağlantısı</w:t>
      </w:r>
      <w:proofErr w:type="spellEnd"/>
      <w:r w:rsidRPr="00F07469">
        <w:t xml:space="preserve"> olan kişiler hakkındaki kişisel veya ekonomik özellikli </w:t>
      </w:r>
      <w:r>
        <w:t xml:space="preserve">ve </w:t>
      </w:r>
      <w:r w:rsidRPr="00F07469">
        <w:t>gizli nite</w:t>
      </w:r>
      <w:r>
        <w:t>likteki bilgiler olarak tanımlamıştır</w:t>
      </w:r>
      <w:r w:rsidRPr="00F07469">
        <w:rPr>
          <w:rStyle w:val="FootnoteReference"/>
        </w:rPr>
        <w:footnoteReference w:id="11"/>
      </w:r>
      <w:r w:rsidRPr="00F07469">
        <w:t>.</w:t>
      </w:r>
      <w:r>
        <w:t xml:space="preserve"> </w:t>
      </w:r>
    </w:p>
    <w:p w14:paraId="03E30D0A" w14:textId="77777777" w:rsidR="00AC3EA9" w:rsidRDefault="00AC3EA9" w:rsidP="00AC3EA9">
      <w:pPr>
        <w:autoSpaceDE w:val="0"/>
        <w:autoSpaceDN w:val="0"/>
        <w:adjustRightInd w:val="0"/>
        <w:spacing w:line="360" w:lineRule="auto"/>
        <w:ind w:firstLine="567"/>
        <w:jc w:val="both"/>
      </w:pPr>
      <w:proofErr w:type="spellStart"/>
      <w:r w:rsidRPr="00C235F7">
        <w:rPr>
          <w:i/>
        </w:rPr>
        <w:t>Lasserre-Capdeville</w:t>
      </w:r>
      <w:r>
        <w:rPr>
          <w:i/>
        </w:rPr>
        <w:t>’e</w:t>
      </w:r>
      <w:proofErr w:type="spellEnd"/>
      <w:r>
        <w:t xml:space="preserve"> göre ise müşteri sırrı</w:t>
      </w:r>
      <w:r w:rsidRPr="00F07469">
        <w:t xml:space="preserve">; kredi kuruluşlarının yönetim, denetim organı üyeleri ile kuruluşun çalışanlarının mesleki faaliyetlerini yerine getirirken üçüncü kişilerden öğrendikleri, gözlem ya da sonuç çıkarma yoluyla edindikleri veya kendilerine açıklanmış olan, </w:t>
      </w:r>
      <w:r w:rsidRPr="00F07469">
        <w:lastRenderedPageBreak/>
        <w:t>müşteri</w:t>
      </w:r>
      <w:r>
        <w:t>lerle veya bankayla a</w:t>
      </w:r>
      <w:r w:rsidRPr="00F07469">
        <w:t xml:space="preserve">ralarında </w:t>
      </w:r>
      <w:proofErr w:type="spellStart"/>
      <w:r w:rsidRPr="00F07469">
        <w:t>sözleşmesel</w:t>
      </w:r>
      <w:proofErr w:type="spellEnd"/>
      <w:r w:rsidRPr="00F07469">
        <w:t xml:space="preserve"> ilişki bulunmayan üçüncü kişilerle ilgili belirli</w:t>
      </w:r>
      <w:r>
        <w:t xml:space="preserve"> ve</w:t>
      </w:r>
      <w:r w:rsidRPr="00F07469">
        <w:t xml:space="preserve"> </w:t>
      </w:r>
      <w:r>
        <w:t xml:space="preserve">kamuya açıklanmamış olan bilgilerdir </w:t>
      </w:r>
      <w:r w:rsidRPr="00F07469">
        <w:rPr>
          <w:rStyle w:val="FootnoteReference"/>
        </w:rPr>
        <w:footnoteReference w:id="12"/>
      </w:r>
      <w:r w:rsidRPr="00F07469">
        <w:t xml:space="preserve">. </w:t>
      </w:r>
    </w:p>
    <w:p w14:paraId="3877D807" w14:textId="77777777" w:rsidR="0032516E" w:rsidRDefault="0032516E" w:rsidP="0032516E">
      <w:pPr>
        <w:autoSpaceDE w:val="0"/>
        <w:autoSpaceDN w:val="0"/>
        <w:adjustRightInd w:val="0"/>
        <w:spacing w:line="360" w:lineRule="auto"/>
        <w:jc w:val="both"/>
        <w:rPr>
          <w:b/>
        </w:rPr>
      </w:pPr>
      <w:r>
        <w:rPr>
          <w:b/>
        </w:rPr>
        <w:t>III</w:t>
      </w:r>
      <w:r w:rsidRPr="004D7C3C">
        <w:rPr>
          <w:b/>
        </w:rPr>
        <w:t xml:space="preserve">. MÜŞTERİ SIRRI KAPSAMINDA YER ALAN BİLGİLER </w:t>
      </w:r>
    </w:p>
    <w:p w14:paraId="68A76280" w14:textId="77777777" w:rsidR="0032516E" w:rsidRPr="0013573D" w:rsidRDefault="0032516E" w:rsidP="0032516E">
      <w:pPr>
        <w:autoSpaceDE w:val="0"/>
        <w:autoSpaceDN w:val="0"/>
        <w:adjustRightInd w:val="0"/>
        <w:spacing w:line="360" w:lineRule="auto"/>
        <w:ind w:firstLine="567"/>
        <w:jc w:val="both"/>
      </w:pPr>
      <w:r>
        <w:t xml:space="preserve">Fransız hukukunda müşteri sırrını </w:t>
      </w:r>
      <w:r w:rsidRPr="0013573D">
        <w:t xml:space="preserve">saklama yükümlülüğü </w:t>
      </w:r>
      <w:r>
        <w:t>bankacılık mesleğinin/faaliyetinin ifası sırasında öğrenilen gizli nitelikteki bilgilerle ilgilidir. Doktrinde bazı y</w:t>
      </w:r>
      <w:r w:rsidRPr="0013573D">
        <w:t>azarlar, gizli nitelikte</w:t>
      </w:r>
      <w:r>
        <w:t xml:space="preserve">ki </w:t>
      </w:r>
      <w:r w:rsidRPr="0013573D">
        <w:t>bilgilerin teker teker sayılarak gösterilmesi ge</w:t>
      </w:r>
      <w:r>
        <w:t xml:space="preserve">rektiğini ifade etmişlerdir. Böylece, </w:t>
      </w:r>
      <w:r w:rsidRPr="0013573D">
        <w:t xml:space="preserve">sır saklama yükümlülüğü kapsamında yer alan bilgilere </w:t>
      </w:r>
      <w:r>
        <w:t xml:space="preserve">ilişkin sıralama </w:t>
      </w:r>
      <w:r w:rsidRPr="0013573D">
        <w:t>oluşturmuşlardır</w:t>
      </w:r>
      <w:r>
        <w:t>. Bu kapsamda; m</w:t>
      </w:r>
      <w:r w:rsidRPr="0018673B">
        <w:t>üşterinin kimlik bilgileri, hesaplarının durumu ve sayısı, hesap hareketleri, menkul kıymetlerle ilgili işlemleri, banka hesabının açılması veya kredi sözleşmeleri</w:t>
      </w:r>
      <w:r w:rsidRPr="0013573D">
        <w:t xml:space="preserve"> ile ilgili olarak başvuruyu yapan müşterinin ekonomik durumu hakkında bir başka banka veya müşteri tarafından verilen bilgiler, şirketin cirosu, mal veya hizmet sağlayıcıları, </w:t>
      </w:r>
      <w:proofErr w:type="spellStart"/>
      <w:r w:rsidRPr="0013573D">
        <w:t>iskonto</w:t>
      </w:r>
      <w:proofErr w:type="spellEnd"/>
      <w:r w:rsidRPr="0013573D">
        <w:t xml:space="preserve"> veya </w:t>
      </w:r>
      <w:r>
        <w:t xml:space="preserve">ödenen </w:t>
      </w:r>
      <w:r w:rsidRPr="0013573D">
        <w:t>kambiyo se</w:t>
      </w:r>
      <w:r>
        <w:t xml:space="preserve">netlerinin toplamı ve mahiyeti, kasa kirasına </w:t>
      </w:r>
      <w:r w:rsidRPr="0013573D">
        <w:t>ait bilgiler, müşteri tarafından yapılan ödeme</w:t>
      </w:r>
      <w:r>
        <w:t>ler</w:t>
      </w:r>
      <w:r w:rsidRPr="0013573D">
        <w:t xml:space="preserve"> ve havale </w:t>
      </w:r>
      <w:r>
        <w:t>talimatları, şahsi ve ayni</w:t>
      </w:r>
      <w:r w:rsidRPr="0013573D">
        <w:t xml:space="preserve"> teminat sözleşmeleri, </w:t>
      </w:r>
      <w:r>
        <w:t xml:space="preserve"> </w:t>
      </w:r>
      <w:r w:rsidRPr="0013573D">
        <w:t>müşterinin bankacılık işleminin karşı tarafı olan üçüncü kişilerin kimlik</w:t>
      </w:r>
      <w:r>
        <w:t xml:space="preserve"> ve hesap</w:t>
      </w:r>
      <w:r w:rsidRPr="0013573D">
        <w:t xml:space="preserve"> bilgileri, </w:t>
      </w:r>
      <w:r>
        <w:t xml:space="preserve"> </w:t>
      </w:r>
      <w:r w:rsidRPr="0013573D">
        <w:t>üçüncü kişilerin bir başka banka aracılığı ile gerçekleştirmiş oldukları işlemler neticesinde banka tarafından elde edilen bilgiler</w:t>
      </w:r>
      <w:r>
        <w:t xml:space="preserve">, </w:t>
      </w:r>
      <w:r w:rsidRPr="0013573D">
        <w:t>ticari sırra ilişkin bilgiler, işletmenin organizasyonu, üretim yöntemi, buluş, diğer işletmelerle ilgili sözleşme veya anlaşma, işlet</w:t>
      </w:r>
      <w:r>
        <w:t>meyle ilgili finansal projeler, müşteri sırrı sayılmıştır</w:t>
      </w:r>
      <w:r w:rsidRPr="0013573D">
        <w:rPr>
          <w:rStyle w:val="FootnoteReference"/>
        </w:rPr>
        <w:footnoteReference w:id="13"/>
      </w:r>
      <w:r w:rsidRPr="0013573D">
        <w:t xml:space="preserve">. </w:t>
      </w:r>
    </w:p>
    <w:p w14:paraId="787AC028" w14:textId="77777777" w:rsidR="0032516E" w:rsidRDefault="0032516E" w:rsidP="0032516E">
      <w:pPr>
        <w:autoSpaceDE w:val="0"/>
        <w:autoSpaceDN w:val="0"/>
        <w:adjustRightInd w:val="0"/>
        <w:spacing w:line="360" w:lineRule="auto"/>
        <w:ind w:firstLine="567"/>
        <w:jc w:val="both"/>
      </w:pPr>
      <w:r w:rsidRPr="0013573D">
        <w:t xml:space="preserve"> </w:t>
      </w:r>
      <w:r>
        <w:t xml:space="preserve">Sözü edilen yöntem, müşterilerle ilgili </w:t>
      </w:r>
      <w:r w:rsidRPr="0013573D">
        <w:t>bilgilerin belirlenmesi</w:t>
      </w:r>
      <w:r>
        <w:t>ne</w:t>
      </w:r>
      <w:r w:rsidRPr="0013573D">
        <w:t xml:space="preserve"> yardımcı olmakla beraber, tek başına tüm belirsizlikleri ortadan </w:t>
      </w:r>
      <w:r>
        <w:t>kaldıramayacağı gerekçesiyle eleştirilmektedir. Bankacılık sektörünün hızlı gelişimi karşısında, müşterilerin gerçekleştirebileceği işlemlerin tamamının teker teker sayılması neredeyse imkânsızdır</w:t>
      </w:r>
      <w:r w:rsidRPr="0013573D">
        <w:rPr>
          <w:rStyle w:val="FootnoteReference"/>
        </w:rPr>
        <w:footnoteReference w:id="14"/>
      </w:r>
      <w:r>
        <w:t xml:space="preserve">. O hâlde, müşteri sırrı niteliğinde olan bilgilerle ilgili genel ölçütlerin belirlendiği bir yöntemi tercih ederek, müşteri sırrının konu bakımından kapsamını belirlemek gerekmektedir. Söz konusu yönteme </w:t>
      </w:r>
      <w:r w:rsidRPr="0013573D">
        <w:t>göre</w:t>
      </w:r>
      <w:r>
        <w:t xml:space="preserve">; </w:t>
      </w:r>
      <w:r w:rsidRPr="0013573D">
        <w:t>“</w:t>
      </w:r>
      <w:r>
        <w:t xml:space="preserve">mesleki faaliyet dolayısıyla </w:t>
      </w:r>
      <w:r w:rsidRPr="0013573D">
        <w:t>öğrenilmiş olan</w:t>
      </w:r>
      <w:r>
        <w:t xml:space="preserve">”, “gizli olan” ve “belirli nitelikte olan” bilgiler müşteri sırrıdır. </w:t>
      </w:r>
    </w:p>
    <w:p w14:paraId="19C41A82" w14:textId="77777777" w:rsidR="00145914" w:rsidRDefault="00145914" w:rsidP="0032516E">
      <w:pPr>
        <w:autoSpaceDE w:val="0"/>
        <w:autoSpaceDN w:val="0"/>
        <w:adjustRightInd w:val="0"/>
        <w:spacing w:line="360" w:lineRule="auto"/>
        <w:ind w:firstLine="567"/>
        <w:jc w:val="both"/>
      </w:pPr>
    </w:p>
    <w:p w14:paraId="182AC1CF" w14:textId="77777777" w:rsidR="002D4E3A" w:rsidRDefault="002D4E3A" w:rsidP="0032516E">
      <w:pPr>
        <w:autoSpaceDE w:val="0"/>
        <w:autoSpaceDN w:val="0"/>
        <w:adjustRightInd w:val="0"/>
        <w:spacing w:line="360" w:lineRule="auto"/>
        <w:ind w:firstLine="567"/>
        <w:jc w:val="both"/>
      </w:pPr>
    </w:p>
    <w:p w14:paraId="3B59DEAB" w14:textId="77777777" w:rsidR="00DD40EF" w:rsidRDefault="00DD40EF" w:rsidP="00DD40EF">
      <w:pPr>
        <w:autoSpaceDE w:val="0"/>
        <w:autoSpaceDN w:val="0"/>
        <w:adjustRightInd w:val="0"/>
        <w:spacing w:line="360" w:lineRule="auto"/>
        <w:jc w:val="both"/>
        <w:rPr>
          <w:b/>
        </w:rPr>
      </w:pPr>
      <w:r>
        <w:rPr>
          <w:b/>
        </w:rPr>
        <w:lastRenderedPageBreak/>
        <w:t>A. Mesleki Faaliyet Dolayısıyla Öğrenilen B</w:t>
      </w:r>
      <w:r w:rsidRPr="00A9111C">
        <w:rPr>
          <w:b/>
        </w:rPr>
        <w:t>ilgi</w:t>
      </w:r>
    </w:p>
    <w:p w14:paraId="01C01001" w14:textId="77777777" w:rsidR="00DD40EF" w:rsidRDefault="00DD40EF" w:rsidP="00DD40EF">
      <w:pPr>
        <w:autoSpaceDE w:val="0"/>
        <w:autoSpaceDN w:val="0"/>
        <w:adjustRightInd w:val="0"/>
        <w:spacing w:line="360" w:lineRule="auto"/>
        <w:ind w:firstLine="567"/>
        <w:jc w:val="both"/>
      </w:pPr>
      <w:r>
        <w:t>Müşteri sırrı kapsamındaki bilgi</w:t>
      </w:r>
      <w:r w:rsidRPr="0013573D">
        <w:t xml:space="preserve"> </w:t>
      </w:r>
      <w:r>
        <w:t>mesleki faaliyet dolayısıyla</w:t>
      </w:r>
      <w:r w:rsidRPr="0013573D">
        <w:rPr>
          <w:rStyle w:val="FootnoteReference"/>
        </w:rPr>
        <w:footnoteReference w:id="15"/>
      </w:r>
      <w:r>
        <w:t xml:space="preserve"> öğrenilmiş olmalıdır. Nitekim </w:t>
      </w:r>
      <w:r w:rsidRPr="0013573D">
        <w:t>Fransız</w:t>
      </w:r>
      <w:r>
        <w:t xml:space="preserve"> hukukunda, CMF art. L. 511-33’ün</w:t>
      </w:r>
      <w:r w:rsidRPr="0013573D">
        <w:t xml:space="preserve"> </w:t>
      </w:r>
      <w:r>
        <w:t xml:space="preserve">müşteri sırrını saklama yükümlülüğüne aykırı hareket </w:t>
      </w:r>
      <w:r w:rsidRPr="00493568">
        <w:t xml:space="preserve">edilmesi hâlinde uygulanacak ceza yaptırımları konusunda atıf yaptığı </w:t>
      </w:r>
      <w:r>
        <w:t>Ceza Kanunu’nun (</w:t>
      </w:r>
      <w:proofErr w:type="spellStart"/>
      <w:r>
        <w:t>Code</w:t>
      </w:r>
      <w:proofErr w:type="spellEnd"/>
      <w:r>
        <w:t xml:space="preserve"> </w:t>
      </w:r>
      <w:proofErr w:type="spellStart"/>
      <w:r>
        <w:t>pénal</w:t>
      </w:r>
      <w:proofErr w:type="spellEnd"/>
      <w:r>
        <w:t xml:space="preserve">, </w:t>
      </w:r>
      <w:r w:rsidRPr="00493568">
        <w:t>CP</w:t>
      </w:r>
      <w:r>
        <w:t>) 226-13. maddesine</w:t>
      </w:r>
      <w:r w:rsidRPr="00493568">
        <w:t xml:space="preserve"> göre; </w:t>
      </w:r>
      <w:r>
        <w:t>“</w:t>
      </w:r>
      <w:r w:rsidRPr="00493568">
        <w:rPr>
          <w:i/>
        </w:rPr>
        <w:t>bir durum, meslek, sürekli veya geçici görev nedeniyle gizli nitelikteki bilgileri saklayan, söz konusu bilgileri açıklarsa, bir yıl hapis cezası ve 15.000 Avro para cezası ile cezalandırılır”.</w:t>
      </w:r>
      <w:r w:rsidRPr="00493568">
        <w:t xml:space="preserve"> </w:t>
      </w:r>
    </w:p>
    <w:p w14:paraId="4032AD96" w14:textId="77777777" w:rsidR="00DD40EF" w:rsidRDefault="00DD40EF" w:rsidP="00DD40EF">
      <w:pPr>
        <w:autoSpaceDE w:val="0"/>
        <w:autoSpaceDN w:val="0"/>
        <w:adjustRightInd w:val="0"/>
        <w:spacing w:line="360" w:lineRule="auto"/>
        <w:ind w:firstLine="567"/>
        <w:jc w:val="both"/>
      </w:pPr>
      <w:r>
        <w:t>Fransız doktrini ve mahkemelerince, mesleki faaliyet neticesinde öğrenilen bilgilerin ne şekilde elde edilmesi gerektiği hususu uzun yıllar tartışılmıştır. Gerçekten Eski CP art. 378’de</w:t>
      </w:r>
      <w:r w:rsidRPr="0013573D">
        <w:t xml:space="preserve"> </w:t>
      </w:r>
      <w:r w:rsidRPr="00E37E5F">
        <w:rPr>
          <w:i/>
        </w:rPr>
        <w:t>“verilen bilgiler”</w:t>
      </w:r>
      <w:r w:rsidRPr="0013573D">
        <w:t xml:space="preserve"> ifadesi yer almış, doktrin</w:t>
      </w:r>
      <w:r>
        <w:t>de</w:t>
      </w:r>
      <w:r w:rsidRPr="0013573D">
        <w:t xml:space="preserve"> </w:t>
      </w:r>
      <w:r>
        <w:t xml:space="preserve">ve mahkeme kararlarında </w:t>
      </w:r>
      <w:r w:rsidRPr="0013573D">
        <w:t>ilgili madde dar yorumlanmış ve yalnızca “müşterinin iradesi ile bankacıya verdiği” bilgilerin gizli bilgi olduğu kabul edil</w:t>
      </w:r>
      <w:r>
        <w:t xml:space="preserve">mişti. </w:t>
      </w:r>
    </w:p>
    <w:p w14:paraId="733A2850" w14:textId="77777777" w:rsidR="00DD40EF" w:rsidRDefault="00DD40EF" w:rsidP="00EC544E">
      <w:pPr>
        <w:autoSpaceDE w:val="0"/>
        <w:autoSpaceDN w:val="0"/>
        <w:adjustRightInd w:val="0"/>
        <w:spacing w:line="360" w:lineRule="auto"/>
        <w:ind w:firstLine="567"/>
        <w:jc w:val="both"/>
        <w:rPr>
          <w:b/>
        </w:rPr>
      </w:pPr>
      <w:r>
        <w:t>Tarihsel süreç içinde bilgilerin</w:t>
      </w:r>
      <w:r w:rsidRPr="0013573D">
        <w:t xml:space="preserve"> </w:t>
      </w:r>
      <w:r>
        <w:t xml:space="preserve">kapsamı, </w:t>
      </w:r>
      <w:r w:rsidRPr="00062AB8">
        <w:rPr>
          <w:i/>
        </w:rPr>
        <w:t>“gözlemleme, sonuç çıkarma ve üçüncü kişilerden öğrenme”</w:t>
      </w:r>
      <w:r>
        <w:t xml:space="preserve"> şeklinde elde edilmiş </w:t>
      </w:r>
      <w:r w:rsidRPr="0013573D">
        <w:t>tüm bilgileri kapsayacak şekilde genişlemişti</w:t>
      </w:r>
      <w:r>
        <w:t>r</w:t>
      </w:r>
      <w:r w:rsidRPr="0013573D">
        <w:rPr>
          <w:rStyle w:val="FootnoteReference"/>
        </w:rPr>
        <w:footnoteReference w:id="16"/>
      </w:r>
      <w:r>
        <w:t>. Bu durum</w:t>
      </w:r>
      <w:r w:rsidRPr="0013573D">
        <w:t xml:space="preserve"> </w:t>
      </w:r>
      <w:r>
        <w:t>“</w:t>
      </w:r>
      <w:r w:rsidRPr="002C595F">
        <w:rPr>
          <w:i/>
        </w:rPr>
        <w:t>mesleki faaliyet"</w:t>
      </w:r>
      <w:r>
        <w:t xml:space="preserve"> sebebiyle </w:t>
      </w:r>
      <w:r w:rsidRPr="0013573D">
        <w:t>müşteriyle</w:t>
      </w:r>
      <w:r>
        <w:t xml:space="preserve"> veya üçüncü kişilerle ilgili bilgilerin, diğer bankalardan, bankanın </w:t>
      </w:r>
      <w:r w:rsidRPr="0013573D">
        <w:t>istihbarat biriminden veya üçüncü kişilerden öğren</w:t>
      </w:r>
      <w:r>
        <w:t>il</w:t>
      </w:r>
      <w:r w:rsidRPr="0013573D">
        <w:t>mesinin m</w:t>
      </w:r>
      <w:r>
        <w:t>ümkün olmasıyla açıklanmıştır. Zira banka çalışanı</w:t>
      </w:r>
      <w:r w:rsidRPr="0013573D">
        <w:t xml:space="preserve"> müşteri tarafından kendisine açıkça teslim edilen bilgilerden, eriştiği finansal raporlardan, müşterinin tüm ticari ve bireysel işlemlerini de inceleyerek sonuç çıkarabilecekti</w:t>
      </w:r>
      <w:r>
        <w:t>r</w:t>
      </w:r>
      <w:r w:rsidRPr="0013573D">
        <w:rPr>
          <w:rStyle w:val="FootnoteReference"/>
        </w:rPr>
        <w:footnoteReference w:id="17"/>
      </w:r>
      <w:r>
        <w:t xml:space="preserve">. </w:t>
      </w:r>
      <w:r w:rsidRPr="0013573D">
        <w:t xml:space="preserve">Fransız </w:t>
      </w:r>
      <w:r>
        <w:t xml:space="preserve">Kanun Koyucusu da, CP art. 226-13’te </w:t>
      </w:r>
      <w:r w:rsidRPr="0013573D">
        <w:t>bir değişiklik yaparak, “verilen bilgi” yerine “gizli nitelikteki bilgiler”</w:t>
      </w:r>
      <w:r w:rsidRPr="0013573D">
        <w:rPr>
          <w:rStyle w:val="FootnoteReference"/>
        </w:rPr>
        <w:footnoteReference w:id="18"/>
      </w:r>
      <w:r w:rsidRPr="0013573D">
        <w:t xml:space="preserve"> ifadesini getirerek Fransız mahkeme kararlarına</w:t>
      </w:r>
      <w:r>
        <w:t xml:space="preserve"> ve doktrinine</w:t>
      </w:r>
      <w:r w:rsidRPr="0013573D">
        <w:t xml:space="preserve"> uygun bir düzenleme yapmıştır</w:t>
      </w:r>
      <w:r w:rsidRPr="0013573D">
        <w:rPr>
          <w:rStyle w:val="FootnoteReference"/>
        </w:rPr>
        <w:footnoteReference w:id="19"/>
      </w:r>
      <w:r w:rsidRPr="0013573D">
        <w:t xml:space="preserve">. </w:t>
      </w:r>
    </w:p>
    <w:p w14:paraId="19296739" w14:textId="77777777" w:rsidR="00DD40EF" w:rsidRDefault="00DD40EF" w:rsidP="00DD40EF">
      <w:pPr>
        <w:autoSpaceDE w:val="0"/>
        <w:autoSpaceDN w:val="0"/>
        <w:adjustRightInd w:val="0"/>
        <w:spacing w:line="360" w:lineRule="auto"/>
        <w:jc w:val="both"/>
        <w:rPr>
          <w:b/>
        </w:rPr>
      </w:pPr>
      <w:r>
        <w:rPr>
          <w:b/>
        </w:rPr>
        <w:t xml:space="preserve">B. Gizli </w:t>
      </w:r>
      <w:r w:rsidRPr="001C3433">
        <w:rPr>
          <w:b/>
        </w:rPr>
        <w:t xml:space="preserve">Bilgi </w:t>
      </w:r>
    </w:p>
    <w:p w14:paraId="6469A762" w14:textId="77777777" w:rsidR="00DD40EF" w:rsidRDefault="00DD40EF" w:rsidP="00DD40EF">
      <w:pPr>
        <w:autoSpaceDE w:val="0"/>
        <w:autoSpaceDN w:val="0"/>
        <w:adjustRightInd w:val="0"/>
        <w:spacing w:line="360" w:lineRule="auto"/>
        <w:ind w:firstLine="567"/>
        <w:jc w:val="both"/>
      </w:pPr>
      <w:r>
        <w:t>Herkesin</w:t>
      </w:r>
      <w:r w:rsidRPr="0013573D">
        <w:t xml:space="preserve"> bildiği veya g</w:t>
      </w:r>
      <w:r>
        <w:t>azetelerde yayımlanmış vakıalar gizli nitelikte değildir. T</w:t>
      </w:r>
      <w:r w:rsidRPr="0013573D">
        <w:t xml:space="preserve">icari işletmeler, anonim veya </w:t>
      </w:r>
      <w:proofErr w:type="spellStart"/>
      <w:r w:rsidRPr="0013573D">
        <w:t>limited</w:t>
      </w:r>
      <w:proofErr w:type="spellEnd"/>
      <w:r w:rsidRPr="0013573D">
        <w:t xml:space="preserve"> şirketlerle ilgi</w:t>
      </w:r>
      <w:r>
        <w:t>li herkese açık olan ve talep hâ</w:t>
      </w:r>
      <w:r w:rsidRPr="0013573D">
        <w:t xml:space="preserve">linde ticaret sicili </w:t>
      </w:r>
      <w:r w:rsidRPr="0013573D">
        <w:lastRenderedPageBreak/>
        <w:t>m</w:t>
      </w:r>
      <w:r>
        <w:t xml:space="preserve">üdürlüklerince verilen belge ve bilgiler </w:t>
      </w:r>
      <w:r w:rsidRPr="0013573D">
        <w:t xml:space="preserve">gizli değildir. </w:t>
      </w:r>
      <w:r>
        <w:t>M</w:t>
      </w:r>
      <w:r w:rsidRPr="0013573D">
        <w:t>üşteri sırrının saklanması yükümlülüğünü</w:t>
      </w:r>
      <w:r>
        <w:t xml:space="preserve">n ihlali, </w:t>
      </w:r>
      <w:r w:rsidRPr="0013573D">
        <w:t>açıklanma anına kad</w:t>
      </w:r>
      <w:r>
        <w:t xml:space="preserve">ar kimsenin bilmediği bilgileri açıklamaktan ibaret de değildir. Bazı </w:t>
      </w:r>
      <w:r w:rsidRPr="0013573D">
        <w:t>bilgiler genel hatları ile biliniyor</w:t>
      </w:r>
      <w:r>
        <w:t>,</w:t>
      </w:r>
      <w:r w:rsidRPr="0013573D">
        <w:t xml:space="preserve"> fakat ayrıntılar hakkında kamuya açıklama yapılm</w:t>
      </w:r>
      <w:r>
        <w:t>amış olabilir. Bu son durumda da</w:t>
      </w:r>
      <w:r w:rsidRPr="0013573D">
        <w:t>, müşteri sırrının saklanması gerekmektedir</w:t>
      </w:r>
      <w:r w:rsidRPr="0013573D">
        <w:rPr>
          <w:rStyle w:val="FootnoteReference"/>
        </w:rPr>
        <w:footnoteReference w:id="20"/>
      </w:r>
      <w:r>
        <w:t xml:space="preserve">.  </w:t>
      </w:r>
    </w:p>
    <w:p w14:paraId="444744DA" w14:textId="77777777" w:rsidR="00DD40EF" w:rsidRDefault="00DD40EF" w:rsidP="00DD40EF">
      <w:pPr>
        <w:autoSpaceDE w:val="0"/>
        <w:autoSpaceDN w:val="0"/>
        <w:adjustRightInd w:val="0"/>
        <w:spacing w:line="360" w:lineRule="auto"/>
        <w:ind w:firstLine="567"/>
        <w:jc w:val="both"/>
      </w:pPr>
      <w:r>
        <w:t>Banka çalışanı</w:t>
      </w:r>
      <w:r w:rsidRPr="0013573D">
        <w:t xml:space="preserve"> bir müşterisi hakkında bazı kişiler</w:t>
      </w:r>
      <w:r>
        <w:t>ce ortaya atılan söylentileri</w:t>
      </w:r>
      <w:r w:rsidRPr="0013573D">
        <w:t>, kamuya açıklanmış olduğu gerekçesiyle olumlu veya ol</w:t>
      </w:r>
      <w:r>
        <w:t>umsuz şekilde cevaplayamaz</w:t>
      </w:r>
      <w:r w:rsidRPr="0013573D">
        <w:rPr>
          <w:rStyle w:val="FootnoteReference"/>
        </w:rPr>
        <w:footnoteReference w:id="21"/>
      </w:r>
      <w:r w:rsidRPr="0013573D">
        <w:t xml:space="preserve">. </w:t>
      </w:r>
      <w:r>
        <w:t xml:space="preserve">Belirtilen husus </w:t>
      </w:r>
      <w:r w:rsidRPr="0013573D">
        <w:t>müşteri sırrının korunması açısından</w:t>
      </w:r>
      <w:r>
        <w:t xml:space="preserve"> önem arz etmektedir. Zira</w:t>
      </w:r>
      <w:r w:rsidRPr="0013573D">
        <w:t xml:space="preserve"> </w:t>
      </w:r>
      <w:r>
        <w:t xml:space="preserve">aksinin kabulü </w:t>
      </w:r>
      <w:r w:rsidRPr="0013573D">
        <w:t xml:space="preserve">söz konusu bilgilerin tartışılmalı </w:t>
      </w:r>
      <w:r>
        <w:t xml:space="preserve">hâle </w:t>
      </w:r>
      <w:r w:rsidRPr="0013573D">
        <w:t>getirilerek kamuya açıklanması</w:t>
      </w:r>
      <w:r>
        <w:t xml:space="preserve"> yolunun kullanılmasına sebep olabilir. B</w:t>
      </w:r>
      <w:r w:rsidRPr="0013573D">
        <w:t>ir basın kuruluşu tarafından kamuya açı</w:t>
      </w:r>
      <w:r>
        <w:t>klanan bilgilerle ilgili banka çalışanınca bilgi verilmesi,</w:t>
      </w:r>
      <w:r w:rsidRPr="0013573D">
        <w:t xml:space="preserve"> müşteri sırrına dair kanunla öngörülmeyen bir istisnanın yaratılması anlamına gelecektir</w:t>
      </w:r>
      <w:r>
        <w:rPr>
          <w:rStyle w:val="FootnoteReference"/>
        </w:rPr>
        <w:footnoteReference w:id="22"/>
      </w:r>
      <w:r>
        <w:t>.</w:t>
      </w:r>
    </w:p>
    <w:p w14:paraId="7D292866" w14:textId="77777777" w:rsidR="00DD40EF" w:rsidRPr="00896AEA" w:rsidRDefault="00DD40EF" w:rsidP="00DD40EF">
      <w:pPr>
        <w:autoSpaceDE w:val="0"/>
        <w:autoSpaceDN w:val="0"/>
        <w:adjustRightInd w:val="0"/>
        <w:spacing w:line="360" w:lineRule="auto"/>
        <w:jc w:val="both"/>
        <w:rPr>
          <w:b/>
        </w:rPr>
      </w:pPr>
      <w:r>
        <w:rPr>
          <w:b/>
        </w:rPr>
        <w:t>C.</w:t>
      </w:r>
      <w:r w:rsidRPr="00896AEA">
        <w:rPr>
          <w:b/>
        </w:rPr>
        <w:t xml:space="preserve"> Belirli Bilgi </w:t>
      </w:r>
    </w:p>
    <w:p w14:paraId="2EFFBCA7" w14:textId="77777777" w:rsidR="00DD40EF" w:rsidRDefault="00DD40EF" w:rsidP="00DD40EF">
      <w:pPr>
        <w:autoSpaceDE w:val="0"/>
        <w:autoSpaceDN w:val="0"/>
        <w:adjustRightInd w:val="0"/>
        <w:spacing w:line="360" w:lineRule="auto"/>
        <w:ind w:firstLine="567"/>
        <w:jc w:val="both"/>
      </w:pPr>
      <w:r w:rsidRPr="0013573D">
        <w:rPr>
          <w:i/>
        </w:rPr>
        <w:t>“Belirli bilgi”</w:t>
      </w:r>
      <w:r w:rsidRPr="0013573D">
        <w:t xml:space="preserve"> kavramı doktrinde, “özel ve ekonomik hayatın gizliliğine dair belirli veriler” olarak tanımlanmaktadır</w:t>
      </w:r>
      <w:r w:rsidRPr="0013573D">
        <w:rPr>
          <w:rStyle w:val="FootnoteReference"/>
        </w:rPr>
        <w:footnoteReference w:id="23"/>
      </w:r>
      <w:r>
        <w:t>. Yani</w:t>
      </w:r>
      <w:r w:rsidRPr="0013573D">
        <w:t xml:space="preserve"> yapılan işlemin türünü, isim ve sayısal</w:t>
      </w:r>
      <w:r>
        <w:t xml:space="preserve"> verilerini </w:t>
      </w:r>
      <w:r w:rsidRPr="0013573D">
        <w:t>içeren bilgiler gizli olarak kabul edilmektedir</w:t>
      </w:r>
      <w:r w:rsidRPr="0013573D">
        <w:rPr>
          <w:rStyle w:val="FootnoteReference"/>
        </w:rPr>
        <w:footnoteReference w:id="24"/>
      </w:r>
      <w:r w:rsidRPr="0013573D">
        <w:t>.</w:t>
      </w:r>
      <w:r>
        <w:t xml:space="preserve"> </w:t>
      </w:r>
      <w:r w:rsidRPr="0013573D">
        <w:rPr>
          <w:i/>
        </w:rPr>
        <w:t xml:space="preserve">Belirli </w:t>
      </w:r>
      <w:proofErr w:type="spellStart"/>
      <w:r w:rsidRPr="0013573D">
        <w:rPr>
          <w:i/>
        </w:rPr>
        <w:t>bilgi’nin</w:t>
      </w:r>
      <w:proofErr w:type="spellEnd"/>
      <w:r w:rsidRPr="0013573D">
        <w:rPr>
          <w:i/>
        </w:rPr>
        <w:t xml:space="preserve"> </w:t>
      </w:r>
      <w:r w:rsidRPr="0013573D">
        <w:t>açıklanması;</w:t>
      </w:r>
      <w:r w:rsidRPr="0013573D">
        <w:rPr>
          <w:i/>
        </w:rPr>
        <w:t xml:space="preserve"> </w:t>
      </w:r>
      <w:r w:rsidRPr="0013573D">
        <w:t>banka</w:t>
      </w:r>
      <w:r>
        <w:t xml:space="preserve"> </w:t>
      </w:r>
      <w:r w:rsidRPr="0013573D">
        <w:t>işlemlerinin ayrıntıları ile açıklanması ya da ilgili tüm diğer işlemlerle birlikte açıklanarak bir hesabın varlığının onaylanması şeklinde gerçekleşebilir. Daha somut bir ö</w:t>
      </w:r>
      <w:r>
        <w:t>rnekle</w:t>
      </w:r>
      <w:r w:rsidRPr="0013573D">
        <w:t xml:space="preserve"> Fransız Yargıtay</w:t>
      </w:r>
      <w:r>
        <w:t>’ı</w:t>
      </w:r>
      <w:r w:rsidRPr="0013573D">
        <w:t>nın 21.02.2012 tarihinde verdiği bir kararla belirtmek gerekirse; bir tescil kaydının veya bir tüzel kişinin merkezinin açıklanması, banka tarafından gerçekleştirilen bir havale işleminin alıcısı olan müşterisinin açıklanmasına neden oluyorsa müşteri sırrının ihlali söz konusudur</w:t>
      </w:r>
      <w:r w:rsidRPr="0013573D">
        <w:rPr>
          <w:rStyle w:val="FootnoteReference"/>
        </w:rPr>
        <w:footnoteReference w:id="25"/>
      </w:r>
      <w:r>
        <w:t>.</w:t>
      </w:r>
    </w:p>
    <w:p w14:paraId="23F52637" w14:textId="77777777" w:rsidR="00DD40EF" w:rsidRDefault="00DD40EF" w:rsidP="00DD40EF">
      <w:pPr>
        <w:autoSpaceDE w:val="0"/>
        <w:autoSpaceDN w:val="0"/>
        <w:adjustRightInd w:val="0"/>
        <w:spacing w:line="360" w:lineRule="auto"/>
        <w:ind w:firstLine="567"/>
        <w:jc w:val="both"/>
      </w:pPr>
      <w:r>
        <w:t xml:space="preserve">Dolayısıyla belirli bilgi niteliğinde olmayan </w:t>
      </w:r>
      <w:r w:rsidRPr="0013573D">
        <w:t>müşterinin “</w:t>
      </w:r>
      <w:r w:rsidRPr="0013573D">
        <w:rPr>
          <w:i/>
        </w:rPr>
        <w:t>genel mali durumu ile ilgili bilgiler”</w:t>
      </w:r>
      <w:r w:rsidRPr="0013573D">
        <w:t xml:space="preserve"> gizli bilgi olarak kabul edilmemektedir. Genel nitelikte kabul edilen </w:t>
      </w:r>
      <w:r>
        <w:t xml:space="preserve">bu bilgilerden bazılar </w:t>
      </w:r>
      <w:r w:rsidRPr="0013573D">
        <w:t xml:space="preserve">düzenli </w:t>
      </w:r>
      <w:r>
        <w:t xml:space="preserve">ödemeler, ödenmemiş çekler </w:t>
      </w:r>
      <w:r w:rsidRPr="0013573D">
        <w:t>vs.</w:t>
      </w:r>
      <w:r>
        <w:t xml:space="preserve"> olabilir</w:t>
      </w:r>
      <w:r w:rsidRPr="0013573D">
        <w:rPr>
          <w:rStyle w:val="FootnoteReference"/>
        </w:rPr>
        <w:footnoteReference w:id="26"/>
      </w:r>
      <w:r>
        <w:t xml:space="preserve">. Genel nitelikli bilgilerin bankalar arası bilgi paylaşımı </w:t>
      </w:r>
      <w:r>
        <w:lastRenderedPageBreak/>
        <w:t>için kullanılması noktasında bir tereddüt bulunmazken, banka çalışanının bir müşterisini bilgilendirmek, tavsiyelerde bulunmak üzere bir başka müşterisiyle ilgili gizli bir bilgiden yararlanıp yararlanamayacağı konusu özellik arz etmektedir. Yani banka çalışanının sır saklama yükümlülüğü ile aydınlatma yükümlülüğünün çatışmasında, hangi müşterinin menfaatine üstünlük tanınması gerektiği önemlidir. Belirtmek gerekir ki, banka çalışanının bilgi verme yükümlülüğü ile müşteri sırrını koruma yükümlülüğü arasındaki çatışmanın, her somut vakıada tarafların menfaatleri- menfaat dengeleri göz önünde bulundurularak çözülmesine gerek yoktur.  Zira düzenli ödemeler, ödenmemiş çekler gibi bir müşteriyle ilgili genel nitelikteki bilgilerin üçüncü kişilerle paylaşılması mümkündür. Sözü edilen bilgiler gizli bilgi olarak kabul edilmezler</w:t>
      </w:r>
      <w:r>
        <w:rPr>
          <w:rStyle w:val="FootnoteReference"/>
        </w:rPr>
        <w:footnoteReference w:id="27"/>
      </w:r>
      <w:r>
        <w:t>.</w:t>
      </w:r>
    </w:p>
    <w:p w14:paraId="0EC7D3C4" w14:textId="77777777" w:rsidR="00DD40EF" w:rsidRPr="0013573D" w:rsidRDefault="00DD40EF" w:rsidP="00DD40EF">
      <w:pPr>
        <w:autoSpaceDE w:val="0"/>
        <w:autoSpaceDN w:val="0"/>
        <w:adjustRightInd w:val="0"/>
        <w:spacing w:line="360" w:lineRule="auto"/>
        <w:ind w:firstLine="851"/>
        <w:jc w:val="both"/>
      </w:pPr>
      <w:r w:rsidRPr="0013573D">
        <w:t>Gizlilik kapsamında yer alan belirli bilgil</w:t>
      </w:r>
      <w:r>
        <w:t xml:space="preserve">er çoğunlukla; hesap işlemleri, </w:t>
      </w:r>
      <w:r w:rsidRPr="0013573D">
        <w:t>portföy, kredi i</w:t>
      </w:r>
      <w:r>
        <w:t>şlemleri gibi çeşitli banka</w:t>
      </w:r>
      <w:r w:rsidRPr="0013573D">
        <w:t xml:space="preserve"> işlemleri türleri ile ilgilidir. Benzer şekilde, müşterinin mali durumu ile ilgili açıklamalar, ödemeler</w:t>
      </w:r>
      <w:r>
        <w:t>i</w:t>
      </w:r>
      <w:r w:rsidRPr="0013573D">
        <w:t>, para çekme işlemleri, havale talimatları, hesap hareketleri, hesap türü, hesap numarası da bu kapsamda yer almaktadır. İşlemin gerçekleşmiş olmasının gizliliğe etkisi bulunmamaktadır. Örneğin kredi başvurusu ile ilgili görüşmeler neticesinde öğrenilen bilgiler de, görüşmeler bir sonuca ulaşmış olmasa da bankacının sır saklama yükümlülüğü kapsamında yer alacaktır</w:t>
      </w:r>
      <w:r w:rsidRPr="0013573D">
        <w:rPr>
          <w:rStyle w:val="FootnoteReference"/>
        </w:rPr>
        <w:footnoteReference w:id="28"/>
      </w:r>
      <w:r w:rsidRPr="0013573D">
        <w:t>. Müşterinin gerçekleştirmiş olduğu işlemin ulusal veya uluslararası olmasının bir önemi bulunmamaktadır</w:t>
      </w:r>
      <w:r w:rsidRPr="0013573D">
        <w:rPr>
          <w:rStyle w:val="FootnoteReference"/>
        </w:rPr>
        <w:footnoteReference w:id="29"/>
      </w:r>
      <w:r w:rsidRPr="0013573D">
        <w:t>. Müşterinin ticari sırlarına, işletmenin organizasyonuna, üretim yöntem ve süreçlerine, müşterilerin ve sağlayıcılarının banka hesapları ve yatırım projelerine dair bilgiler de müşteri sırrı bağlamında korunan gizli bilgilerdendir</w:t>
      </w:r>
      <w:r w:rsidRPr="0013573D">
        <w:rPr>
          <w:rStyle w:val="FootnoteReference"/>
        </w:rPr>
        <w:footnoteReference w:id="30"/>
      </w:r>
      <w:r w:rsidRPr="0013573D">
        <w:t xml:space="preserve">.  </w:t>
      </w:r>
    </w:p>
    <w:p w14:paraId="2313BA21" w14:textId="77777777" w:rsidR="00DD40EF" w:rsidRDefault="00DD40EF" w:rsidP="00DD40EF">
      <w:pPr>
        <w:autoSpaceDE w:val="0"/>
        <w:autoSpaceDN w:val="0"/>
        <w:adjustRightInd w:val="0"/>
        <w:spacing w:line="360" w:lineRule="auto"/>
        <w:ind w:firstLine="851"/>
        <w:jc w:val="both"/>
      </w:pPr>
      <w:r>
        <w:t>M</w:t>
      </w:r>
      <w:r w:rsidRPr="0013573D">
        <w:t xml:space="preserve">üşteri sırrı olarak kabul edilen bilgiler yalnızca malvarlığı değerleri ile sınırlı değildir. </w:t>
      </w:r>
      <w:r>
        <w:t xml:space="preserve">Müşterinin ailesi, sağlığı ve özel hayatıyla ilgili bilgiler bu kapsamda yer almaktadır. </w:t>
      </w:r>
      <w:r w:rsidRPr="0013573D">
        <w:t xml:space="preserve">Bankacı, kendisine sözleşme ile bağlı olmayan bir kişinin veya müşterisinin </w:t>
      </w:r>
      <w:r w:rsidRPr="0013573D">
        <w:rPr>
          <w:i/>
        </w:rPr>
        <w:t>“özel hayatını etkileyecek bilgileri</w:t>
      </w:r>
      <w:r>
        <w:rPr>
          <w:i/>
        </w:rPr>
        <w:t xml:space="preserve">n anlamlandırılmasına </w:t>
      </w:r>
      <w:r w:rsidRPr="0013573D">
        <w:rPr>
          <w:i/>
        </w:rPr>
        <w:t xml:space="preserve">olanak </w:t>
      </w:r>
      <w:r>
        <w:rPr>
          <w:i/>
        </w:rPr>
        <w:t>sağlayan sayısal verileri</w:t>
      </w:r>
      <w:r w:rsidRPr="0013573D">
        <w:rPr>
          <w:i/>
        </w:rPr>
        <w:t>”</w:t>
      </w:r>
      <w:r w:rsidRPr="0013573D">
        <w:t xml:space="preserve"> </w:t>
      </w:r>
      <w:r>
        <w:t>açıklamama yükümlülüğüne tâ</w:t>
      </w:r>
      <w:r w:rsidRPr="0013573D">
        <w:t>bidir</w:t>
      </w:r>
      <w:r w:rsidRPr="0013573D">
        <w:rPr>
          <w:rStyle w:val="FootnoteReference"/>
        </w:rPr>
        <w:footnoteReference w:id="31"/>
      </w:r>
      <w:r>
        <w:t xml:space="preserve">. Örneğin </w:t>
      </w:r>
      <w:r w:rsidRPr="0013573D">
        <w:t>bir kişinin düzenli ödemelerinin olup olmadığı sorusunu cevaplamak Fransız hukuku açısından mümkün iken;</w:t>
      </w:r>
      <w:r>
        <w:t xml:space="preserve"> </w:t>
      </w:r>
      <w:r w:rsidRPr="0013573D">
        <w:t>evli bir müşteri tarafından evlilik dışı çocuğuna yapılan düzenli ödemeleri</w:t>
      </w:r>
      <w:r>
        <w:t>n</w:t>
      </w:r>
      <w:r w:rsidRPr="0013573D">
        <w:t xml:space="preserve"> </w:t>
      </w:r>
      <w:r>
        <w:t>öğrenilmesine sebep olacak şekilde açıklama yapmak</w:t>
      </w:r>
      <w:r w:rsidRPr="0013573D">
        <w:t xml:space="preserve"> müşt</w:t>
      </w:r>
      <w:r>
        <w:t xml:space="preserve">eri sırrına dair hükümlerin </w:t>
      </w:r>
      <w:r>
        <w:lastRenderedPageBreak/>
        <w:t xml:space="preserve">ihlal </w:t>
      </w:r>
      <w:r w:rsidRPr="0013573D">
        <w:t>edildiği anlamına gelmektedir</w:t>
      </w:r>
      <w:r>
        <w:t xml:space="preserve">. Benzer şekilde müşterinin bir </w:t>
      </w:r>
      <w:r w:rsidRPr="0013573D">
        <w:t>siyas</w:t>
      </w:r>
      <w:r>
        <w:t>i partiye sağladığı fonları açıklamak da müşteri sırrının saklanması yükümlülüğüne aykırılık teşkil eder</w:t>
      </w:r>
      <w:r w:rsidRPr="0013573D">
        <w:rPr>
          <w:rStyle w:val="FootnoteReference"/>
        </w:rPr>
        <w:footnoteReference w:id="32"/>
      </w:r>
      <w:r w:rsidRPr="0013573D">
        <w:t xml:space="preserve">. </w:t>
      </w:r>
    </w:p>
    <w:p w14:paraId="46D8591B" w14:textId="77777777" w:rsidR="00E93E01" w:rsidRDefault="00E93E01" w:rsidP="00DD40EF">
      <w:pPr>
        <w:autoSpaceDE w:val="0"/>
        <w:autoSpaceDN w:val="0"/>
        <w:adjustRightInd w:val="0"/>
        <w:spacing w:line="360" w:lineRule="auto"/>
        <w:ind w:firstLine="851"/>
        <w:jc w:val="both"/>
      </w:pPr>
    </w:p>
    <w:p w14:paraId="74DF47D5" w14:textId="77777777" w:rsidR="007318C0" w:rsidRPr="00B54089" w:rsidRDefault="007318C0" w:rsidP="007318C0">
      <w:pPr>
        <w:autoSpaceDE w:val="0"/>
        <w:autoSpaceDN w:val="0"/>
        <w:adjustRightInd w:val="0"/>
        <w:spacing w:line="360" w:lineRule="auto"/>
        <w:jc w:val="both"/>
        <w:rPr>
          <w:b/>
        </w:rPr>
      </w:pPr>
      <w:r>
        <w:rPr>
          <w:b/>
        </w:rPr>
        <w:t xml:space="preserve">IV. MÜŞTERİ SIRRININ ÖZEL HAYATIN KORUNMASI HÜKÜMLERİYLE İLİŞKİSİ </w:t>
      </w:r>
    </w:p>
    <w:p w14:paraId="34D3AD37" w14:textId="77777777" w:rsidR="007318C0" w:rsidRDefault="007318C0" w:rsidP="007318C0">
      <w:pPr>
        <w:autoSpaceDE w:val="0"/>
        <w:autoSpaceDN w:val="0"/>
        <w:adjustRightInd w:val="0"/>
        <w:spacing w:line="360" w:lineRule="auto"/>
        <w:ind w:firstLine="567"/>
        <w:jc w:val="both"/>
      </w:pPr>
      <w:r w:rsidRPr="00416A71">
        <w:t>CMF art. L. 511-33’</w:t>
      </w:r>
      <w:r>
        <w:t>te,</w:t>
      </w:r>
      <w:r w:rsidRPr="00416A71">
        <w:t xml:space="preserve"> kredi kuruluşu ve finansman şirketlerinin yönetim veya gözetim kurulu üyesi olan veya herhangi bir şekilde yönetime katılan veya bu kuruluşlarda çalışan kişiler </w:t>
      </w:r>
      <w:r>
        <w:t xml:space="preserve">müşteri </w:t>
      </w:r>
      <w:r w:rsidRPr="00416A71">
        <w:t>sır</w:t>
      </w:r>
      <w:r>
        <w:t xml:space="preserve">rını saklama yükümlülüğüne tâbi olan kişiler olarak sayılmıştır. </w:t>
      </w:r>
    </w:p>
    <w:p w14:paraId="37A8F41E" w14:textId="77777777" w:rsidR="007318C0" w:rsidRDefault="007318C0" w:rsidP="007318C0">
      <w:pPr>
        <w:autoSpaceDE w:val="0"/>
        <w:autoSpaceDN w:val="0"/>
        <w:adjustRightInd w:val="0"/>
        <w:spacing w:line="360" w:lineRule="auto"/>
        <w:ind w:firstLine="567"/>
        <w:jc w:val="both"/>
      </w:pPr>
      <w:r>
        <w:t>CMF art. L. 511-33’te, sır saklama yükümlülüğüne tâbi olanların hukuka aykırı olarak sırrı açıklamaları durumunda uygulanacak yaptırımlarla ilgili bir düzenleme bulunmadığından</w:t>
      </w:r>
      <w:r>
        <w:rPr>
          <w:rStyle w:val="FootnoteReference"/>
        </w:rPr>
        <w:footnoteReference w:id="33"/>
      </w:r>
      <w:r>
        <w:t xml:space="preserve">, genel hükümlerde yer alan hükümlerin dikkate alınması gerekecektir. </w:t>
      </w:r>
    </w:p>
    <w:p w14:paraId="67A9F445" w14:textId="77777777" w:rsidR="002D4E3A" w:rsidRDefault="007318C0" w:rsidP="002D4E3A">
      <w:pPr>
        <w:autoSpaceDE w:val="0"/>
        <w:autoSpaceDN w:val="0"/>
        <w:adjustRightInd w:val="0"/>
        <w:spacing w:line="360" w:lineRule="auto"/>
        <w:ind w:firstLine="567"/>
        <w:jc w:val="both"/>
      </w:pPr>
      <w:r>
        <w:t>Fransız hukukunda özel hayatın korunmasına ilişkin olarak Anayasa’da açık bir hüküm bulunmamaktadır</w:t>
      </w:r>
      <w:r>
        <w:rPr>
          <w:rStyle w:val="FootnoteReference"/>
        </w:rPr>
        <w:footnoteReference w:id="34"/>
      </w:r>
      <w:r>
        <w:t>. Ancak özel hayatın uluslararası alanda pek çok bildirge ve sözleşme ile güvence altına alınmış olduğuna işaret edilir</w:t>
      </w:r>
      <w:r>
        <w:rPr>
          <w:rStyle w:val="FootnoteReference"/>
        </w:rPr>
        <w:footnoteReference w:id="35"/>
      </w:r>
      <w:r>
        <w:t xml:space="preserve">. Konuya ilişkin temel ulusal düzenleme ise Fransız Medeni Kanunu’nun </w:t>
      </w:r>
      <w:r w:rsidRPr="007318C0">
        <w:rPr>
          <w:rStyle w:val="Strong"/>
          <w:b w:val="0"/>
          <w:color w:val="000000"/>
          <w:shd w:val="clear" w:color="auto" w:fill="FFFFFF"/>
        </w:rPr>
        <w:t>9. maddesinde bulunmaktadır. Maddeye göre;</w:t>
      </w:r>
      <w:r w:rsidRPr="007318C0">
        <w:rPr>
          <w:rStyle w:val="FootnoteReference"/>
          <w:bCs/>
          <w:color w:val="000000"/>
          <w:shd w:val="clear" w:color="auto" w:fill="FFFFFF"/>
        </w:rPr>
        <w:footnoteReference w:id="36"/>
      </w:r>
      <w:r w:rsidRPr="007318C0">
        <w:rPr>
          <w:rStyle w:val="Strong"/>
          <w:b w:val="0"/>
          <w:color w:val="000000"/>
          <w:shd w:val="clear" w:color="auto" w:fill="FFFFFF"/>
        </w:rPr>
        <w:t xml:space="preserve"> “</w:t>
      </w:r>
      <w:r w:rsidRPr="007318C0">
        <w:rPr>
          <w:rStyle w:val="Strong"/>
          <w:b w:val="0"/>
          <w:i/>
          <w:color w:val="000000"/>
          <w:shd w:val="clear" w:color="auto" w:fill="FFFFFF"/>
        </w:rPr>
        <w:t>herkes özel hayatına saygı gösterilmesini isteme hakkına sahiptir. H</w:t>
      </w:r>
      <w:r w:rsidRPr="00A83AE2">
        <w:rPr>
          <w:i/>
          <w:color w:val="000000"/>
        </w:rPr>
        <w:t>âkim özel hayatın mahremiyetine dair saldırıyı durdurmak veya engellemek için yediemine tevdi, el koyma gibi gerekli tüm tedbirlere karar verebilir. Eğer bir zarar meydana gelmişse bu zararın haksız fiil hükümlerince tazminine ve kararın yayımlanmasına da karar verilebilir</w:t>
      </w:r>
      <w:r w:rsidR="002D4E3A">
        <w:rPr>
          <w:i/>
          <w:color w:val="000000"/>
        </w:rPr>
        <w:t>”</w:t>
      </w:r>
      <w:r>
        <w:rPr>
          <w:color w:val="000000"/>
        </w:rPr>
        <w:t>.</w:t>
      </w:r>
    </w:p>
    <w:p w14:paraId="7E0CDEF1" w14:textId="77777777" w:rsidR="007318C0" w:rsidRPr="002D4E3A" w:rsidRDefault="007318C0" w:rsidP="002D4E3A">
      <w:pPr>
        <w:autoSpaceDE w:val="0"/>
        <w:autoSpaceDN w:val="0"/>
        <w:adjustRightInd w:val="0"/>
        <w:spacing w:line="360" w:lineRule="auto"/>
        <w:ind w:firstLine="567"/>
        <w:jc w:val="both"/>
        <w:rPr>
          <w:rStyle w:val="Strong"/>
          <w:b w:val="0"/>
          <w:bCs w:val="0"/>
        </w:rPr>
      </w:pPr>
      <w:r>
        <w:rPr>
          <w:color w:val="000000"/>
        </w:rPr>
        <w:t xml:space="preserve">Çalışmamız kapsamında yer alan temel sorun müşteri sırrı niteliğindeki bilgilerin özel hayatın bir parçası olarak değerlendirilip değerlendirilemeyeceği ve mahkemece CC art. 9’da yer alan tedbirlere karar verilip verilemeyeceği noktasında toplanmaktadır.  </w:t>
      </w:r>
    </w:p>
    <w:p w14:paraId="4ED1C89F" w14:textId="77777777" w:rsidR="007318C0" w:rsidRDefault="007318C0" w:rsidP="007318C0">
      <w:pPr>
        <w:autoSpaceDE w:val="0"/>
        <w:autoSpaceDN w:val="0"/>
        <w:adjustRightInd w:val="0"/>
        <w:spacing w:line="360" w:lineRule="auto"/>
        <w:ind w:firstLine="567"/>
        <w:jc w:val="both"/>
      </w:pPr>
      <w:r w:rsidRPr="007318C0">
        <w:rPr>
          <w:rStyle w:val="Strong"/>
          <w:b w:val="0"/>
          <w:color w:val="000000"/>
          <w:shd w:val="clear" w:color="auto" w:fill="FFFFFF"/>
        </w:rPr>
        <w:lastRenderedPageBreak/>
        <w:t xml:space="preserve">Kişilerin </w:t>
      </w:r>
      <w:r>
        <w:t xml:space="preserve">maddi ve manevi bütünlüğüne, sağlığına, onuruna, özel yaşamın gizliliğine dair bilgilerin kişilik haklarının kapsamında yer aldığı konusunda tartışma bulunmamaktadır. Fakat </w:t>
      </w:r>
      <w:r w:rsidRPr="006365FA">
        <w:rPr>
          <w:i/>
        </w:rPr>
        <w:t>malvarlığına dair bilgilerin</w:t>
      </w:r>
      <w:r>
        <w:rPr>
          <w:i/>
        </w:rPr>
        <w:t>,</w:t>
      </w:r>
      <w:r>
        <w:t xml:space="preserve"> kişilerin gizlilik alanı içinde olup olmadığı ve bu bilgilerin hukuka aykırı olarak açıklanmasının kişilik haklarının ihlali anlamına gelip gelmediği hususunda uzun yıllar görüş birliği sağlanamamıştır. Önceleri </w:t>
      </w:r>
      <w:r w:rsidRPr="007318C0">
        <w:rPr>
          <w:rStyle w:val="Strong"/>
          <w:b w:val="0"/>
          <w:color w:val="000000"/>
          <w:shd w:val="clear" w:color="auto" w:fill="FFFFFF"/>
        </w:rPr>
        <w:t>bankanın müşterisi ile yapmış olduğu işlemi açıklamasının, sır saklama yükümlülüğünün ihlali anlamına geldiği ve fakat aynı açıklamanın kişilik haklarına aykırılık teşkil etmesinin istisnai bir durum olacağı ifade edilmiştir. Belirtilen istisnai duruma bankanın, e</w:t>
      </w:r>
      <w:r w:rsidRPr="002E784A">
        <w:t xml:space="preserve">vli bir müşterisi tarafından evlilik dışı çocuğuna yapılan </w:t>
      </w:r>
      <w:r>
        <w:t xml:space="preserve">düzenli ödemeleri açıklaması örnek olarak gösterilmiştir. Söz konusu bilginin verilmesi </w:t>
      </w:r>
      <w:r w:rsidRPr="002E784A">
        <w:t>kişinin özel hayatına dair mahrem bilgilerin</w:t>
      </w:r>
      <w:r>
        <w:t>in</w:t>
      </w:r>
      <w:r w:rsidRPr="002E784A">
        <w:t xml:space="preserve"> onayı olmadan açıklanması anlamına geleceğinden, </w:t>
      </w:r>
      <w:r>
        <w:t xml:space="preserve">sır saklama yükümlülüğüne dair hükümlerle birlikte CC art. 9’un da </w:t>
      </w:r>
      <w:r w:rsidRPr="002E784A">
        <w:t>ihlal</w:t>
      </w:r>
      <w:r>
        <w:t xml:space="preserve"> edilmiş olacağı söylenmiştir</w:t>
      </w:r>
      <w:r>
        <w:rPr>
          <w:rStyle w:val="FootnoteReference"/>
        </w:rPr>
        <w:footnoteReference w:id="37"/>
      </w:r>
      <w:r w:rsidRPr="002E784A">
        <w:t>.</w:t>
      </w:r>
      <w:r>
        <w:rPr>
          <w:sz w:val="20"/>
          <w:szCs w:val="20"/>
        </w:rPr>
        <w:t xml:space="preserve"> </w:t>
      </w:r>
    </w:p>
    <w:p w14:paraId="610A6C61" w14:textId="77777777" w:rsidR="007318C0" w:rsidRDefault="007318C0" w:rsidP="007318C0">
      <w:pPr>
        <w:autoSpaceDE w:val="0"/>
        <w:autoSpaceDN w:val="0"/>
        <w:adjustRightInd w:val="0"/>
        <w:spacing w:line="360" w:lineRule="auto"/>
        <w:ind w:firstLine="567"/>
        <w:jc w:val="both"/>
        <w:rPr>
          <w:rStyle w:val="Strong"/>
          <w:b w:val="0"/>
          <w:color w:val="000000"/>
          <w:shd w:val="clear" w:color="auto" w:fill="FFFFFF"/>
        </w:rPr>
      </w:pPr>
      <w:r>
        <w:t xml:space="preserve">Oysa gizlilik alanının tespiti ve kişilik haklarının ihlali nedeniyle meydana gelen zarar, çoğu kez verilen örnekteki kadar belirgin değildir. </w:t>
      </w:r>
      <w:r w:rsidRPr="007318C0">
        <w:rPr>
          <w:rStyle w:val="Strong"/>
          <w:b w:val="0"/>
          <w:color w:val="000000"/>
          <w:shd w:val="clear" w:color="auto" w:fill="FFFFFF"/>
        </w:rPr>
        <w:t>Fakat malvarlığı yönetimi veya malvarlığı ile ilgili işlemler gerçekleştiren bankalar gibi meslek grupları için mesleki sır saklama yükümlülüğünün düzenlenmiş olduğu açıktır. Bu faaliyetleri yürüten kişiler için kanuni düzenlemelerle ceza yaptırımları da öngörülmüştür. Ayrıca kişisel verilerin korunması ile ilgili düzenlemelerden</w:t>
      </w:r>
      <w:r>
        <w:rPr>
          <w:rStyle w:val="Strong"/>
          <w:color w:val="000000"/>
          <w:shd w:val="clear" w:color="auto" w:fill="FFFFFF"/>
        </w:rPr>
        <w:t xml:space="preserve"> </w:t>
      </w:r>
      <w:r w:rsidRPr="007318C0">
        <w:rPr>
          <w:rStyle w:val="Strong"/>
          <w:b w:val="0"/>
          <w:color w:val="000000"/>
          <w:shd w:val="clear" w:color="auto" w:fill="FFFFFF"/>
        </w:rPr>
        <w:t>biri olan</w:t>
      </w:r>
      <w:r>
        <w:rPr>
          <w:rStyle w:val="Strong"/>
          <w:color w:val="000000"/>
          <w:shd w:val="clear" w:color="auto" w:fill="FFFFFF"/>
        </w:rPr>
        <w:t xml:space="preserve"> </w:t>
      </w:r>
      <w:r w:rsidRPr="007318C0">
        <w:rPr>
          <w:rStyle w:val="Strong"/>
          <w:b w:val="0"/>
          <w:color w:val="000000"/>
          <w:shd w:val="clear" w:color="auto" w:fill="FFFFFF"/>
        </w:rPr>
        <w:t xml:space="preserve">“Veri Kayıt Sistemi Hakkında </w:t>
      </w:r>
      <w:proofErr w:type="spellStart"/>
      <w:r w:rsidRPr="007318C0">
        <w:rPr>
          <w:rStyle w:val="Strong"/>
          <w:b w:val="0"/>
          <w:color w:val="000000"/>
          <w:shd w:val="clear" w:color="auto" w:fill="FFFFFF"/>
        </w:rPr>
        <w:t>Kanun”un</w:t>
      </w:r>
      <w:proofErr w:type="spellEnd"/>
      <w:r w:rsidRPr="007318C0">
        <w:rPr>
          <w:rStyle w:val="FootnoteReference"/>
          <w:b/>
          <w:bCs/>
          <w:color w:val="000000"/>
          <w:shd w:val="clear" w:color="auto" w:fill="FFFFFF"/>
        </w:rPr>
        <w:footnoteReference w:id="38"/>
      </w:r>
      <w:r w:rsidRPr="007318C0">
        <w:rPr>
          <w:rStyle w:val="Strong"/>
          <w:b w:val="0"/>
          <w:color w:val="000000"/>
          <w:shd w:val="clear" w:color="auto" w:fill="FFFFFF"/>
        </w:rPr>
        <w:t xml:space="preserve"> 1. maddesinde yer alan “… gerçek kişilerin</w:t>
      </w:r>
      <w:r w:rsidRPr="007318C0">
        <w:rPr>
          <w:rStyle w:val="Strong"/>
          <w:b w:val="0"/>
          <w:i/>
          <w:color w:val="000000"/>
          <w:shd w:val="clear" w:color="auto" w:fill="FFFFFF"/>
        </w:rPr>
        <w:t xml:space="preserve"> malvarlığı unsurları </w:t>
      </w:r>
      <w:r w:rsidRPr="007318C0">
        <w:rPr>
          <w:rStyle w:val="Strong"/>
          <w:b w:val="0"/>
          <w:color w:val="000000"/>
          <w:shd w:val="clear" w:color="auto" w:fill="FFFFFF"/>
        </w:rPr>
        <w:t>ve özel hayatları ilgili diğer bilgileri içeren veri kayıt sistemi…” hükmü bu yöndeki görüşü güçlendirmiştir</w:t>
      </w:r>
      <w:r w:rsidRPr="007318C0">
        <w:rPr>
          <w:rStyle w:val="FootnoteReference"/>
          <w:bCs/>
          <w:color w:val="000000"/>
          <w:shd w:val="clear" w:color="auto" w:fill="FFFFFF"/>
        </w:rPr>
        <w:footnoteReference w:id="39"/>
      </w:r>
      <w:r w:rsidRPr="007318C0">
        <w:rPr>
          <w:rStyle w:val="Strong"/>
          <w:b w:val="0"/>
          <w:color w:val="000000"/>
          <w:shd w:val="clear" w:color="auto" w:fill="FFFFFF"/>
        </w:rPr>
        <w:t xml:space="preserve">. </w:t>
      </w:r>
    </w:p>
    <w:p w14:paraId="67EC9F4D" w14:textId="77777777" w:rsidR="007318C0" w:rsidRPr="007318C0" w:rsidRDefault="007318C0" w:rsidP="007318C0">
      <w:pPr>
        <w:autoSpaceDE w:val="0"/>
        <w:autoSpaceDN w:val="0"/>
        <w:adjustRightInd w:val="0"/>
        <w:spacing w:line="360" w:lineRule="auto"/>
        <w:ind w:firstLine="567"/>
        <w:jc w:val="both"/>
        <w:rPr>
          <w:rStyle w:val="Strong"/>
          <w:b w:val="0"/>
          <w:color w:val="000000"/>
          <w:shd w:val="clear" w:color="auto" w:fill="FFFFFF"/>
        </w:rPr>
      </w:pPr>
      <w:r w:rsidRPr="007318C0">
        <w:rPr>
          <w:rStyle w:val="Strong"/>
          <w:b w:val="0"/>
          <w:color w:val="000000"/>
          <w:shd w:val="clear" w:color="auto" w:fill="FFFFFF"/>
        </w:rPr>
        <w:t xml:space="preserve">Malvarlığına dair bilgilerin özel hayatın bir parçası olarak kabul edilip edilemeyeceği hususu Fransız mahkeme kararlarında da tartışılmıştır. Fransız </w:t>
      </w:r>
      <w:proofErr w:type="spellStart"/>
      <w:r w:rsidRPr="007318C0">
        <w:rPr>
          <w:rStyle w:val="Strong"/>
          <w:b w:val="0"/>
          <w:color w:val="000000"/>
          <w:shd w:val="clear" w:color="auto" w:fill="FFFFFF"/>
        </w:rPr>
        <w:t>Yargıtayı</w:t>
      </w:r>
      <w:proofErr w:type="spellEnd"/>
      <w:r w:rsidRPr="007318C0">
        <w:rPr>
          <w:rStyle w:val="Strong"/>
          <w:b w:val="0"/>
          <w:color w:val="000000"/>
          <w:shd w:val="clear" w:color="auto" w:fill="FFFFFF"/>
        </w:rPr>
        <w:t xml:space="preserve"> Hukuk Dairesi bazı kararlarında, kişilerin malvarlığına dair bilgilerin özel hayatın bir parçası olduğuna</w:t>
      </w:r>
      <w:r w:rsidRPr="007318C0">
        <w:rPr>
          <w:rStyle w:val="FootnoteReference"/>
          <w:bCs/>
          <w:color w:val="000000"/>
          <w:shd w:val="clear" w:color="auto" w:fill="FFFFFF"/>
        </w:rPr>
        <w:footnoteReference w:id="40"/>
      </w:r>
      <w:r w:rsidR="0046342C">
        <w:rPr>
          <w:rStyle w:val="Strong"/>
          <w:b w:val="0"/>
          <w:color w:val="000000"/>
          <w:shd w:val="clear" w:color="auto" w:fill="FFFFFF"/>
        </w:rPr>
        <w:t xml:space="preserve">, </w:t>
      </w:r>
      <w:r w:rsidRPr="007318C0">
        <w:rPr>
          <w:rStyle w:val="Strong"/>
          <w:b w:val="0"/>
          <w:color w:val="000000"/>
          <w:shd w:val="clear" w:color="auto" w:fill="FFFFFF"/>
        </w:rPr>
        <w:t xml:space="preserve">bazı kararlarında söz konusu bilgilerin açıklanmasının kamu yararı gerektirdikçe ve bu yararla orantılı oldukça mümkün </w:t>
      </w:r>
      <w:r w:rsidRPr="007318C0">
        <w:rPr>
          <w:rStyle w:val="Strong"/>
          <w:b w:val="0"/>
          <w:color w:val="000000"/>
          <w:shd w:val="clear" w:color="auto" w:fill="FFFFFF"/>
        </w:rPr>
        <w:lastRenderedPageBreak/>
        <w:t>olduğuna, politika ve iş dünyasından kişilerle ilgili bilgilerin öğrenilmesinin kamu yararına olduğuna</w:t>
      </w:r>
      <w:r>
        <w:rPr>
          <w:rStyle w:val="FootnoteReference"/>
          <w:bCs/>
          <w:color w:val="000000"/>
          <w:shd w:val="clear" w:color="auto" w:fill="FFFFFF"/>
        </w:rPr>
        <w:footnoteReference w:id="41"/>
      </w:r>
      <w:r>
        <w:rPr>
          <w:rStyle w:val="Strong"/>
          <w:color w:val="000000"/>
          <w:shd w:val="clear" w:color="auto" w:fill="FFFFFF"/>
        </w:rPr>
        <w:t xml:space="preserve"> </w:t>
      </w:r>
      <w:r w:rsidRPr="007318C0">
        <w:rPr>
          <w:rStyle w:val="Strong"/>
          <w:b w:val="0"/>
          <w:color w:val="000000"/>
          <w:shd w:val="clear" w:color="auto" w:fill="FFFFFF"/>
        </w:rPr>
        <w:t xml:space="preserve">hükmetmiştir. </w:t>
      </w:r>
    </w:p>
    <w:p w14:paraId="7BA8338C" w14:textId="77777777" w:rsidR="007318C0" w:rsidRPr="00BC1E3B" w:rsidRDefault="007318C0" w:rsidP="007318C0">
      <w:pPr>
        <w:autoSpaceDE w:val="0"/>
        <w:autoSpaceDN w:val="0"/>
        <w:adjustRightInd w:val="0"/>
        <w:spacing w:line="360" w:lineRule="auto"/>
        <w:ind w:firstLine="567"/>
        <w:jc w:val="both"/>
      </w:pPr>
      <w:r w:rsidRPr="007318C0">
        <w:rPr>
          <w:rStyle w:val="Strong"/>
          <w:b w:val="0"/>
          <w:shd w:val="clear" w:color="auto" w:fill="FFFFFF"/>
        </w:rPr>
        <w:t xml:space="preserve">Fransız </w:t>
      </w:r>
      <w:proofErr w:type="spellStart"/>
      <w:r w:rsidRPr="007318C0">
        <w:rPr>
          <w:rStyle w:val="Strong"/>
          <w:b w:val="0"/>
          <w:shd w:val="clear" w:color="auto" w:fill="FFFFFF"/>
        </w:rPr>
        <w:t>Yargıtayı</w:t>
      </w:r>
      <w:proofErr w:type="spellEnd"/>
      <w:r w:rsidRPr="007318C0">
        <w:rPr>
          <w:rStyle w:val="Strong"/>
          <w:b w:val="0"/>
          <w:shd w:val="clear" w:color="auto" w:fill="FFFFFF"/>
        </w:rPr>
        <w:t xml:space="preserve"> Ticaret Dairesi</w:t>
      </w:r>
      <w:r w:rsidRPr="00BC1E3B">
        <w:rPr>
          <w:rStyle w:val="Strong"/>
          <w:shd w:val="clear" w:color="auto" w:fill="FFFFFF"/>
        </w:rPr>
        <w:t xml:space="preserve"> </w:t>
      </w:r>
      <w:r w:rsidRPr="00BC1E3B">
        <w:t>08.07.2003 tarih ve 00-11.993 sayılı kararında</w:t>
      </w:r>
      <w:r w:rsidRPr="00BC1E3B">
        <w:rPr>
          <w:rStyle w:val="FootnoteReference"/>
        </w:rPr>
        <w:footnoteReference w:id="42"/>
      </w:r>
      <w:r w:rsidRPr="00BC1E3B">
        <w:t xml:space="preserve">, malvarlığına ilişkin bilgilerin özel hayatın korunması kapsamında yer aldığına karar vermiştir. Karara konu olan olayda; müşteri banka tarafından ödenen çeklerin arka yüzlerinin fotokopisinin teslimini istemiştir. Talebi reddedilen müşteri bankaya karşı sorumluluk davası açmış ve çekin hukuka uygun şekilde ödenmiş olup olmadığının anlaşılması için çeklerin mahkemeye teslimini talep etmiştir. </w:t>
      </w:r>
      <w:proofErr w:type="spellStart"/>
      <w:r w:rsidRPr="00BC1E3B">
        <w:t>Nimes</w:t>
      </w:r>
      <w:proofErr w:type="spellEnd"/>
      <w:r w:rsidRPr="00BC1E3B">
        <w:t xml:space="preserve"> İstinaf Mahkemesi, “çekin arka yüzünde yer alan üçüncü kişilerle ilgili bilgilerin gizli nitelikte olmadığına” karar vermiştir. Yargıtay Ticaret </w:t>
      </w:r>
      <w:r w:rsidRPr="007318C0">
        <w:rPr>
          <w:rStyle w:val="Strong"/>
          <w:b w:val="0"/>
          <w:shd w:val="clear" w:color="auto" w:fill="FFFFFF"/>
        </w:rPr>
        <w:t xml:space="preserve">Dairesi </w:t>
      </w:r>
      <w:r w:rsidRPr="00BC1E3B">
        <w:t>söz konusu kararı bozmuştur. Mahkeme,  CMF art. L. 511-33,</w:t>
      </w:r>
      <w:r>
        <w:t xml:space="preserve"> CC art. 10</w:t>
      </w:r>
      <w:r>
        <w:rPr>
          <w:rStyle w:val="FootnoteReference"/>
        </w:rPr>
        <w:footnoteReference w:id="43"/>
      </w:r>
      <w:r>
        <w:t xml:space="preserve"> ve CPC art. 11</w:t>
      </w:r>
      <w:r>
        <w:rPr>
          <w:rStyle w:val="FootnoteReference"/>
        </w:rPr>
        <w:footnoteReference w:id="44"/>
      </w:r>
      <w:r>
        <w:t xml:space="preserve"> ile </w:t>
      </w:r>
      <w:r w:rsidRPr="00BC1E3B">
        <w:t>birlikte özellikle CC art. 9’a atıf yaparak; “bankanın, üzerinde üçüncü kişilerin kimlik ve hesap numarası bilgileri bulunan çekin arka yüzünü davacıya ve mahkemeye</w:t>
      </w:r>
      <w:r w:rsidRPr="00BC1E3B">
        <w:rPr>
          <w:rStyle w:val="FootnoteReference"/>
        </w:rPr>
        <w:footnoteReference w:id="45"/>
      </w:r>
      <w:r w:rsidRPr="00BC1E3B">
        <w:t xml:space="preserve"> teslim edemeyeceğine, aksi takdirde müşteri sırrını saklama yükümlülüğüne aykırı hareket et</w:t>
      </w:r>
      <w:r>
        <w:t xml:space="preserve">miş olacağına” karar vermiştir. </w:t>
      </w:r>
      <w:r w:rsidRPr="00F7728F">
        <w:t xml:space="preserve">Çekin arka yüzünde, lehtarın ismi, imzası ve ödemeler çoğunlukla hesaba ödeme şeklinde olduğu için lehtarın </w:t>
      </w:r>
      <w:r w:rsidRPr="0088723B">
        <w:rPr>
          <w:i/>
        </w:rPr>
        <w:t>banka hesap numarası</w:t>
      </w:r>
      <w:r w:rsidRPr="00F7728F">
        <w:t xml:space="preserve"> yer almaktadır. Bu yönüyle karar açık şekilde; malvarlığı değerlerinin özel hayatın korunması kapsamında yer aldığına işaret etmektedir</w:t>
      </w:r>
      <w:r w:rsidRPr="00BC1E3B">
        <w:rPr>
          <w:rStyle w:val="FootnoteReference"/>
        </w:rPr>
        <w:footnoteReference w:id="46"/>
      </w:r>
      <w:r w:rsidRPr="00F7728F">
        <w:t>.</w:t>
      </w:r>
    </w:p>
    <w:p w14:paraId="7ECE753F" w14:textId="77777777" w:rsidR="007318C0" w:rsidRDefault="007318C0" w:rsidP="007318C0">
      <w:pPr>
        <w:autoSpaceDE w:val="0"/>
        <w:autoSpaceDN w:val="0"/>
        <w:adjustRightInd w:val="0"/>
        <w:spacing w:line="360" w:lineRule="auto"/>
        <w:ind w:firstLine="567"/>
        <w:jc w:val="both"/>
      </w:pPr>
      <w:r w:rsidRPr="00BC1E3B">
        <w:t xml:space="preserve">Fransız </w:t>
      </w:r>
      <w:proofErr w:type="spellStart"/>
      <w:r w:rsidRPr="00BC1E3B">
        <w:t>Yargıtayı</w:t>
      </w:r>
      <w:proofErr w:type="spellEnd"/>
      <w:r w:rsidRPr="00BC1E3B">
        <w:t xml:space="preserve"> Ticaret Dairesi 15.05.2019 tarih ve 18-10.491 sayılı kararında da</w:t>
      </w:r>
      <w:r w:rsidRPr="00BC1E3B">
        <w:rPr>
          <w:rStyle w:val="FootnoteReference"/>
        </w:rPr>
        <w:footnoteReference w:id="47"/>
      </w:r>
      <w:r w:rsidRPr="00BC1E3B">
        <w:t xml:space="preserve"> “çekin arka yüzünde yer alan kimlik ve hesap numarası bilgilerinin özel hayatın korunması kapsamında yer aldığına karar vermiştir. Karara konu olan olayda müşteri, banka tarafından ödenen dört adet çekin fotokopisinin teslimini talep etmiştir. Talebi reddedilen müşteri bankaya karşı sorumluluk davası açmış ve çekin hukuka uygun şekilde ödenmiş olup olmadığının anlaşılması için çeklerin mahkemeye teslimini talep etmiştir. Bordeaux İstinaf Mahkemesi; CMF art. L. 511-33 ve CC art. 9’a atıf yaparak “bankanın çekin arka yüzünde ismi yazılı olan üçüncü kişilerle ilgili bilgileri mahkemeye teslim edemeyeceğine aksi takdirde müşteri sırrını saklama yükümlülüğüne aykırı </w:t>
      </w:r>
      <w:r w:rsidRPr="00BC1E3B">
        <w:lastRenderedPageBreak/>
        <w:t xml:space="preserve">hareket etmiş olacağına” hükmetmiştir. Yargıtay Ticaret Dairesi de; CMF art. L. 511-33 ve CC art. 9’a uygun olarak bankanın çekin arka yüzünde yer alan üçüncü kişilerle ilgili tüm bilgileri saklamakla yükümlü olduğuna, bu yükümlülüğünün hukuk mahkemesine karşı da ileri sürülebileceğine karar vermiştir. Ancak aynı kararda mahkeme; müşteri sırrının korunması hükümlerinden </w:t>
      </w:r>
      <w:r w:rsidRPr="00BC1E3B">
        <w:rPr>
          <w:i/>
        </w:rPr>
        <w:t>müşteri ve üçüncü kişilerin</w:t>
      </w:r>
      <w:r w:rsidRPr="00BC1E3B">
        <w:t xml:space="preserve"> yararlanabileceğine, </w:t>
      </w:r>
      <w:r w:rsidRPr="00115E1B">
        <w:rPr>
          <w:i/>
        </w:rPr>
        <w:t>bankanın bu korumadan yararlanmasının mümkün olmadığına</w:t>
      </w:r>
      <w:r w:rsidRPr="00BC1E3B">
        <w:t xml:space="preserve">, dolayısıyla </w:t>
      </w:r>
      <w:r w:rsidRPr="00CE393B">
        <w:rPr>
          <w:i/>
        </w:rPr>
        <w:t>bankaya karşı açılan sorumluluk davasında</w:t>
      </w:r>
      <w:r w:rsidRPr="00BC1E3B">
        <w:t xml:space="preserve"> müşteri sırrının saklan</w:t>
      </w:r>
      <w:r>
        <w:t>ması yükümlülüğünün ileri sürülemeyeceğine hükmetmiştir.</w:t>
      </w:r>
    </w:p>
    <w:p w14:paraId="5174E799" w14:textId="77777777" w:rsidR="007318C0" w:rsidRPr="00115E1B" w:rsidRDefault="007318C0" w:rsidP="007318C0">
      <w:pPr>
        <w:autoSpaceDE w:val="0"/>
        <w:autoSpaceDN w:val="0"/>
        <w:adjustRightInd w:val="0"/>
        <w:spacing w:line="360" w:lineRule="auto"/>
        <w:ind w:firstLine="567"/>
        <w:jc w:val="both"/>
      </w:pPr>
      <w:r w:rsidRPr="00115E1B">
        <w:t>Doktrinde ise çekte yer alan bilgilerin malvarlığı değerlerinden sayılıp sayılamayacağı hususunda ikili bir ayrım yapılmıştır. Eğer emre yazılı çek söz konusu ise, banka çekin ön yüzünün fotokopisini çeki düzenleyene teslim edebilir. Bu hâlde banka, müşteri sırrını saklama yükümlülüğüne aykırı hareket etmemektedir. Zira çeki düzenleyen lehtarın kimliği hakkında bilgi sahibidir. Ön kısmının fotokopisinin alınması çekin ödendiği konusunda delil teşkil edecektir. Çekin arka yüzü içinse, içerdiği bilgiler nedeniyle aynı sonuca ulaşılması mümkün değildir. Yani lehtarın banka hesabına dair bilgiler, çeki düzenleyen tarafından en başta bilinmediği için, gizli niteliktedir ve bir uyuşmazlık hâlinde çeki düzenleyene verilemez. Sonuç olarak, çeki düzenleyen çekin arka yüzünün fotokopisini almak istiyorsa, ismini bildiği lehtarın yazılı iznini almalıdır</w:t>
      </w:r>
      <w:r w:rsidRPr="00115E1B">
        <w:rPr>
          <w:rStyle w:val="FootnoteReference"/>
        </w:rPr>
        <w:footnoteReference w:id="48"/>
      </w:r>
      <w:r w:rsidRPr="00115E1B">
        <w:t xml:space="preserve">. </w:t>
      </w:r>
    </w:p>
    <w:p w14:paraId="0CE5C036" w14:textId="77777777" w:rsidR="007318C0" w:rsidRPr="00097BF0" w:rsidRDefault="007318C0" w:rsidP="007318C0">
      <w:pPr>
        <w:autoSpaceDE w:val="0"/>
        <w:autoSpaceDN w:val="0"/>
        <w:adjustRightInd w:val="0"/>
        <w:spacing w:line="360" w:lineRule="auto"/>
        <w:ind w:firstLine="567"/>
        <w:jc w:val="both"/>
        <w:rPr>
          <w:color w:val="C00000"/>
        </w:rPr>
      </w:pPr>
      <w:r w:rsidRPr="00F85F61">
        <w:t xml:space="preserve">Hamiline yazılı çeklerde, müşterinin kimlik bilgileri gizli nitelikte bilgi olarak kabul edilmektedir. Zira çeki düzenleyen hamili tam anlamıyla tanımıyor olabilir. Üstelik çekin arka yüzünde cirantanın imzası olduğu gibi hesap numarası da olabilir. </w:t>
      </w:r>
      <w:proofErr w:type="spellStart"/>
      <w:r w:rsidRPr="00F85F61">
        <w:t>Crédot</w:t>
      </w:r>
      <w:proofErr w:type="spellEnd"/>
      <w:r w:rsidRPr="00F85F61">
        <w:t xml:space="preserve"> ve </w:t>
      </w:r>
      <w:proofErr w:type="spellStart"/>
      <w:r w:rsidRPr="00F85F61">
        <w:t>Gerard’a</w:t>
      </w:r>
      <w:proofErr w:type="spellEnd"/>
      <w:r w:rsidRPr="00F85F61">
        <w:t xml:space="preserve"> göre artık tedavüle çıkmış olması dolayısıyla hesap numarasının müşteri sırrı kapsamında olmadığı düşünülmelidir. Üstelik bu bilgiler ilgili kişi tarafından kanuni bir zorunluluk olmadan yazılmaktadır</w:t>
      </w:r>
      <w:r w:rsidRPr="00F85F61">
        <w:rPr>
          <w:rStyle w:val="FootnoteReference"/>
        </w:rPr>
        <w:footnoteReference w:id="49"/>
      </w:r>
      <w:r w:rsidRPr="00F85F61">
        <w:t xml:space="preserve">. </w:t>
      </w:r>
      <w:proofErr w:type="spellStart"/>
      <w:r w:rsidRPr="00F85F61">
        <w:t>Lasserre</w:t>
      </w:r>
      <w:proofErr w:type="spellEnd"/>
      <w:r w:rsidRPr="00F85F61">
        <w:t xml:space="preserve">- </w:t>
      </w:r>
      <w:proofErr w:type="spellStart"/>
      <w:r w:rsidRPr="00F85F61">
        <w:t>Capdeville’e</w:t>
      </w:r>
      <w:proofErr w:type="spellEnd"/>
      <w:r w:rsidRPr="00F85F61">
        <w:t xml:space="preserve"> göre ise; hamiline yazılı çeklerin ön ve arka yüzlerinin fotokopilerinin verilmesinin müşteri sırrının saklanmasına dair hükümleri ihlal edeceği açıktır. Zira hamil, hamiline yazılı çekin sağladığı avantajdan yararlanarak, kimliğinin çeki düzenleyen tarafından bilinmesinin önemi olmadığını ileri sürebilecektir. Üstelik hamilin çekin arkasına hesap numarasını yazmasının nedeni, hakkındaki bilgilerin banka tarafından açıklanması için değil, çekin ödenmesi içindir. Yani çekin arkasında hesap numarası bulunan kişi, bilgilerinin açıklanmasını </w:t>
      </w:r>
      <w:r w:rsidRPr="00F85F61">
        <w:lastRenderedPageBreak/>
        <w:t>onaylamadığı sürece bu bilgilerin üçüncü kişilere verilmemesi gerekir</w:t>
      </w:r>
      <w:r w:rsidRPr="00F85F61">
        <w:rPr>
          <w:rStyle w:val="FootnoteReference"/>
        </w:rPr>
        <w:footnoteReference w:id="50"/>
      </w:r>
      <w:r w:rsidRPr="00F85F61">
        <w:t>. Bununla birlikte çeki düzenleyen, çeki ödeme için ibraz eden hamilin ismini biliyorsa, kendisinden müşteri sırrının sağladığı korumanın sona ermesi için, yazılı izin talep edebilir</w:t>
      </w:r>
      <w:r w:rsidRPr="00F85F61">
        <w:rPr>
          <w:rStyle w:val="FootnoteReference"/>
        </w:rPr>
        <w:footnoteReference w:id="51"/>
      </w:r>
      <w:r w:rsidRPr="00F85F61">
        <w:t>.  Ancak, çekin çalınması veya kaybolması sonrasında, ödemenin gerçekleşmiş olması nedeniyle, hamilin izninin alınması mümkün olmayabilir. Bu durumda çeki düzenleyenin, çekteki tahrifatı tespit ettirme hakkına sahip olduğu kabul edilmektedir</w:t>
      </w:r>
      <w:r w:rsidRPr="00F85F61">
        <w:rPr>
          <w:rStyle w:val="FootnoteReference"/>
        </w:rPr>
        <w:footnoteReference w:id="52"/>
      </w:r>
      <w:r w:rsidRPr="00F85F61">
        <w:t xml:space="preserve"> </w:t>
      </w:r>
    </w:p>
    <w:p w14:paraId="650B931C" w14:textId="77777777" w:rsidR="007318C0" w:rsidRDefault="007318C0" w:rsidP="007318C0">
      <w:pPr>
        <w:autoSpaceDE w:val="0"/>
        <w:autoSpaceDN w:val="0"/>
        <w:adjustRightInd w:val="0"/>
        <w:spacing w:line="360" w:lineRule="auto"/>
        <w:ind w:firstLine="567"/>
        <w:jc w:val="both"/>
      </w:pPr>
      <w:r>
        <w:t xml:space="preserve">Fransız hukukunda tüzel kişi müşterilere ait gizli nitelikteki bilgilerin de CC art. 9 kapsamında yer alıp almayacağı tartışılmıştır. Azınlıkta kalan bir görüşe göre tüzel kişilere ait ticari sırların özel hayata dair hükümlerle korunması mümkün değildir. </w:t>
      </w:r>
      <w:proofErr w:type="spellStart"/>
      <w:r>
        <w:t>CC’in</w:t>
      </w:r>
      <w:proofErr w:type="spellEnd"/>
      <w:r>
        <w:t xml:space="preserve"> amaçlarından biri </w:t>
      </w:r>
      <w:r w:rsidRPr="00EC29D2">
        <w:t>“vatandaşlarının”</w:t>
      </w:r>
      <w:r>
        <w:t xml:space="preserve"> kişisel haklarının güçlendirilmesine yönelik olmasıdır. Buradan yola çıkarak, tüzel kişilerin özel hayatlarının CC art. 9 kapsamında olmayacağı söylenebilir. Zira Kanun gerçek kişilerin fiilleri, kişisel ve ailevi durumları ile ilgilenmektedir. Üstelik Anayasa Mahkemesi’nin</w:t>
      </w:r>
      <w:r w:rsidRPr="00EF7632">
        <w:t xml:space="preserve"> </w:t>
      </w:r>
      <w:r>
        <w:t>11.10.1984 tarihli kararında</w:t>
      </w:r>
      <w:r>
        <w:rPr>
          <w:rStyle w:val="FootnoteReference"/>
        </w:rPr>
        <w:footnoteReference w:id="53"/>
      </w:r>
      <w:r w:rsidR="002954A7">
        <w:t xml:space="preserve"> </w:t>
      </w:r>
      <w:r>
        <w:t>“basın işletmelerinin şeffaflığına dair bir kanunun, bazı kişilere işletmenin hesaplarını inceleme hakkını vermesinin anayasal değerlere ilişkin kurallara aykırılık teşkil etmeyeceğine” hükmedilmiştir</w:t>
      </w:r>
      <w:r>
        <w:rPr>
          <w:rStyle w:val="FootnoteReference"/>
        </w:rPr>
        <w:footnoteReference w:id="54"/>
      </w:r>
      <w:r>
        <w:t xml:space="preserve">. </w:t>
      </w:r>
    </w:p>
    <w:p w14:paraId="08177B8E" w14:textId="77777777" w:rsidR="007318C0" w:rsidRDefault="007318C0" w:rsidP="007D3198">
      <w:pPr>
        <w:autoSpaceDE w:val="0"/>
        <w:autoSpaceDN w:val="0"/>
        <w:adjustRightInd w:val="0"/>
        <w:spacing w:line="360" w:lineRule="auto"/>
        <w:ind w:firstLine="567"/>
        <w:jc w:val="both"/>
      </w:pPr>
      <w:r>
        <w:t>Doktri</w:t>
      </w:r>
      <w:r w:rsidR="007D3198">
        <w:t xml:space="preserve">nde hâkim olan görüşe göre ise, </w:t>
      </w:r>
      <w:r>
        <w:t xml:space="preserve">tüzel kişilerin </w:t>
      </w:r>
      <w:r w:rsidR="007D3198">
        <w:t xml:space="preserve">müşteri sırlarının </w:t>
      </w:r>
      <w:r>
        <w:t xml:space="preserve">CC art. 9 kapsamında yer alamayacağına dair açık bir ifade bulunmamaktadır. Ayrıca </w:t>
      </w:r>
      <w:proofErr w:type="spellStart"/>
      <w:r>
        <w:t>CC’nin</w:t>
      </w:r>
      <w:proofErr w:type="spellEnd"/>
      <w:r>
        <w:t xml:space="preserve"> yalnızca gerçek kişilerin fiilleri, kişisel ve ailevi durumlarını düzenlediği görüşü, gerçek kişilerin malvarlıkları ile bilgilerin</w:t>
      </w:r>
      <w:r w:rsidR="007D3198">
        <w:t>in</w:t>
      </w:r>
      <w:r>
        <w:t xml:space="preserve"> de art. 9 kapsamı dışında kalacağı sonucunu doğurabilir. O hâlde tüzel kişiler</w:t>
      </w:r>
      <w:r w:rsidR="007D3198">
        <w:t xml:space="preserve"> de</w:t>
      </w:r>
      <w:r>
        <w:t xml:space="preserve">, tıpkı gerçek kişiler gibi, </w:t>
      </w:r>
      <w:r w:rsidR="007D3198">
        <w:t xml:space="preserve">sırlarına, isim, şeref ve itibarlarına saygı gösterilmesini talep hakkına ve belirtilen hakkın korunması için CC art. 9’dan yararlanma hakkına sahiptir. </w:t>
      </w:r>
      <w:r>
        <w:t>Zira tüzel kişilerin iç işleyişlerine dair hayatları olabilir, bu hayatları dış dünyaya açık olan hayatlarından bağımsız olduğundan CC art. 9 kapsamında yer alabilir</w:t>
      </w:r>
      <w:r>
        <w:rPr>
          <w:rStyle w:val="FootnoteReference"/>
        </w:rPr>
        <w:footnoteReference w:id="55"/>
      </w:r>
      <w:r>
        <w:t xml:space="preserve">. </w:t>
      </w:r>
    </w:p>
    <w:p w14:paraId="07EBBD06" w14:textId="77777777" w:rsidR="007318C0" w:rsidRDefault="007318C0" w:rsidP="007318C0">
      <w:pPr>
        <w:autoSpaceDE w:val="0"/>
        <w:autoSpaceDN w:val="0"/>
        <w:adjustRightInd w:val="0"/>
        <w:spacing w:line="360" w:lineRule="auto"/>
        <w:ind w:firstLine="567"/>
        <w:jc w:val="both"/>
      </w:pPr>
      <w:r w:rsidRPr="004D4FCA">
        <w:t xml:space="preserve">Tüzel kişilerin özel hayatlarının CC art. 9 kapsamında korunabileceğine dair </w:t>
      </w:r>
      <w:r>
        <w:t xml:space="preserve">mahkeme kararları mevcuttur. Bir derneğin şubesine dinleme cihazı yerleştirmek suretiyle, özel hayatının gizliliğinin ihlal edildiğine dair </w:t>
      </w:r>
      <w:proofErr w:type="spellStart"/>
      <w:r>
        <w:t>Limoges</w:t>
      </w:r>
      <w:proofErr w:type="spellEnd"/>
      <w:r>
        <w:t xml:space="preserve"> İstinaf Mahkemesi’nin 04.03.1988 tarihli kararı ile tüzel </w:t>
      </w:r>
      <w:r>
        <w:lastRenderedPageBreak/>
        <w:t xml:space="preserve">kişilerin adları veya iç işleyişlerine yönelik saldırıların CC. art. 9 kapsamında yer aldığına dair </w:t>
      </w:r>
      <w:proofErr w:type="spellStart"/>
      <w:r>
        <w:t>Aix</w:t>
      </w:r>
      <w:proofErr w:type="spellEnd"/>
      <w:r>
        <w:t>-en-</w:t>
      </w:r>
      <w:proofErr w:type="spellStart"/>
      <w:r>
        <w:t>Provence</w:t>
      </w:r>
      <w:proofErr w:type="spellEnd"/>
      <w:r>
        <w:t xml:space="preserve"> İstinaf Mahkemesi’nin 10.05.2001 tarihli kararı belirtilen görüş </w:t>
      </w:r>
      <w:r w:rsidR="007D3198">
        <w:t>yönündedir</w:t>
      </w:r>
      <w:r>
        <w:t xml:space="preserve"> </w:t>
      </w:r>
      <w:r>
        <w:rPr>
          <w:rStyle w:val="FootnoteReference"/>
        </w:rPr>
        <w:footnoteReference w:id="56"/>
      </w:r>
      <w:r>
        <w:t xml:space="preserve">. </w:t>
      </w:r>
    </w:p>
    <w:p w14:paraId="79BF38C3" w14:textId="77777777" w:rsidR="001F35C3" w:rsidRDefault="007318C0" w:rsidP="001F35C3">
      <w:pPr>
        <w:autoSpaceDE w:val="0"/>
        <w:autoSpaceDN w:val="0"/>
        <w:adjustRightInd w:val="0"/>
        <w:spacing w:line="360" w:lineRule="auto"/>
        <w:ind w:firstLine="567"/>
        <w:jc w:val="both"/>
      </w:pPr>
      <w:r>
        <w:t>Ayrıca Paris Ticaret Mahkemesi 12.02.2004 tarihinde verdiği Louis Vuitton kararında da</w:t>
      </w:r>
      <w:r>
        <w:rPr>
          <w:rStyle w:val="FootnoteReference"/>
        </w:rPr>
        <w:footnoteReference w:id="57"/>
      </w:r>
      <w:r>
        <w:t xml:space="preserve"> tüzel kişi şirketin, şeref, haysiyeti ve saygınlığına yönelik saldırılar karşısında CC art. 9 kapsamında koruma altında olduğuna hükmetmiştir. Karara konu olayda; Morgan </w:t>
      </w:r>
      <w:proofErr w:type="spellStart"/>
      <w:r>
        <w:t>Stanley</w:t>
      </w:r>
      <w:proofErr w:type="spellEnd"/>
      <w:r>
        <w:t xml:space="preserve"> Yatırım Bankası’nın bir yöneticisi, Financial Times ile gerçekleştirdiği röportajında, “</w:t>
      </w:r>
      <w:r w:rsidRPr="00811D49">
        <w:t>Louis Vuitton</w:t>
      </w:r>
      <w:r>
        <w:t xml:space="preserve"> </w:t>
      </w:r>
      <w:proofErr w:type="spellStart"/>
      <w:r w:rsidRPr="00811D49">
        <w:t>Moët</w:t>
      </w:r>
      <w:proofErr w:type="spellEnd"/>
      <w:r w:rsidRPr="00811D49">
        <w:t xml:space="preserve"> </w:t>
      </w:r>
      <w:proofErr w:type="spellStart"/>
      <w:r w:rsidRPr="00811D49">
        <w:t>Hennessy</w:t>
      </w:r>
      <w:proofErr w:type="spellEnd"/>
      <w:r>
        <w:t xml:space="preserve"> Anonim Şirketi’nin (LVMH) mali durumuyla ilgili, yanlış bilgilerle yapılan finansal analizleri açıklamıştır. Açıklamada rakip şirket “Gucci” ile karşılaştırma da yapılmıştır. Üstelik bankanın finansal analizleri dünya genelinde yayın yapan başka bir dergide de yayımlanmıştır. Mahkeme; bankanın yatırım danışmanlığı ve finansal analiz hizmetlerini birlikte yürüttüğüne, bu durumun yatırımcıların karar alma süreçlerini doğrudan etkilediğine, bankanın rakip şirket “Gucci” ile 1999-2002 yılları arasında iş bağlantısının olduğuna, bu yönüyle yapılan finansal analizlerin objektif olmaktan uzak olduğuna, bankanın finansal analizlerini tarafsız şekilde yapma yükümlülüğü ile analize konu olan verilerin güncelliğini, doğruluğunu kontrol etme yükümlülüğüne aykırı hareket ettiğine karar vererek, 30.000.000 Avro manevi tazminata hükmetmiştir. Kararda yapılan analizlerden </w:t>
      </w:r>
      <w:proofErr w:type="spellStart"/>
      <w:r>
        <w:t>LVMH’nin</w:t>
      </w:r>
      <w:proofErr w:type="spellEnd"/>
      <w:r>
        <w:t xml:space="preserve"> kredibilitesi ile saygınlığının önemli ölçüde etkilendiği ve şirketin saygınlığının korunması için pahalı iletişim yöntemlerine başvurulmak zorunda kalındığı vurgulanmıştır</w:t>
      </w:r>
      <w:r>
        <w:rPr>
          <w:rStyle w:val="FootnoteReference"/>
        </w:rPr>
        <w:footnoteReference w:id="58"/>
      </w:r>
      <w:r>
        <w:t>. Söz konusu karar Paris İstinaf Mahkemesi’nce de onanmıştır</w:t>
      </w:r>
      <w:r>
        <w:rPr>
          <w:rStyle w:val="FootnoteReference"/>
        </w:rPr>
        <w:footnoteReference w:id="59"/>
      </w:r>
      <w:r>
        <w:t xml:space="preserve">. </w:t>
      </w:r>
      <w:r w:rsidR="001F35C3">
        <w:t xml:space="preserve"> </w:t>
      </w:r>
    </w:p>
    <w:p w14:paraId="37F189C6" w14:textId="77777777" w:rsidR="001F35C3" w:rsidRDefault="001F35C3" w:rsidP="001F35C3">
      <w:pPr>
        <w:autoSpaceDE w:val="0"/>
        <w:autoSpaceDN w:val="0"/>
        <w:adjustRightInd w:val="0"/>
        <w:spacing w:line="360" w:lineRule="auto"/>
        <w:ind w:firstLine="567"/>
        <w:jc w:val="both"/>
      </w:pPr>
      <w:r>
        <w:t>Fransız doktrininde hâkim olan görüş ve mahkeme kararları incelendiğinde hem gerçek kişilerin hem de tüzel kişilerin isim, şeref ve itibarlarına saygı gösterilmesini isteme hakkına sahip oldukları ve bu hakkın korunması için CC art. 9’un uygulanacağı anlaşılmaktadır. Müşteri sırrının</w:t>
      </w:r>
      <w:r w:rsidR="008C5F52">
        <w:t xml:space="preserve"> da, </w:t>
      </w:r>
      <w:r>
        <w:t xml:space="preserve">gerçek </w:t>
      </w:r>
      <w:r w:rsidR="008C5F52">
        <w:t>ve tüzel kişiler ayrımı yapılmadan,</w:t>
      </w:r>
      <w:r>
        <w:t xml:space="preserve"> sahip ol</w:t>
      </w:r>
      <w:r w:rsidR="008C5F52">
        <w:t xml:space="preserve">unan gizlilik alanı ile ilişkilendirilerek özel hayatın korunması bağlamında değerlendirildiği görülmektedir. </w:t>
      </w:r>
    </w:p>
    <w:p w14:paraId="1339AB0C" w14:textId="77777777" w:rsidR="00145914" w:rsidRDefault="00145914" w:rsidP="001F35C3">
      <w:pPr>
        <w:autoSpaceDE w:val="0"/>
        <w:autoSpaceDN w:val="0"/>
        <w:adjustRightInd w:val="0"/>
        <w:spacing w:line="360" w:lineRule="auto"/>
        <w:ind w:firstLine="567"/>
        <w:jc w:val="both"/>
      </w:pPr>
      <w:bookmarkStart w:id="0" w:name="_GoBack"/>
      <w:bookmarkEnd w:id="0"/>
    </w:p>
    <w:p w14:paraId="483F515D" w14:textId="77777777" w:rsidR="002D4E3A" w:rsidRDefault="002D4E3A" w:rsidP="001F35C3">
      <w:pPr>
        <w:autoSpaceDE w:val="0"/>
        <w:autoSpaceDN w:val="0"/>
        <w:adjustRightInd w:val="0"/>
        <w:spacing w:line="360" w:lineRule="auto"/>
        <w:ind w:firstLine="567"/>
        <w:jc w:val="both"/>
      </w:pPr>
    </w:p>
    <w:p w14:paraId="40212DDC" w14:textId="77777777" w:rsidR="00A644BE" w:rsidRDefault="00A644BE" w:rsidP="00A644BE">
      <w:pPr>
        <w:autoSpaceDE w:val="0"/>
        <w:autoSpaceDN w:val="0"/>
        <w:adjustRightInd w:val="0"/>
        <w:spacing w:line="360" w:lineRule="auto"/>
        <w:jc w:val="both"/>
        <w:rPr>
          <w:b/>
        </w:rPr>
      </w:pPr>
      <w:r w:rsidRPr="00DE181C">
        <w:rPr>
          <w:b/>
        </w:rPr>
        <w:lastRenderedPageBreak/>
        <w:t xml:space="preserve">SONUÇ </w:t>
      </w:r>
    </w:p>
    <w:p w14:paraId="53E918ED" w14:textId="77777777" w:rsidR="00A644BE" w:rsidRDefault="00A644BE" w:rsidP="00A644BE">
      <w:pPr>
        <w:autoSpaceDE w:val="0"/>
        <w:autoSpaceDN w:val="0"/>
        <w:adjustRightInd w:val="0"/>
        <w:spacing w:line="360" w:lineRule="auto"/>
        <w:ind w:firstLine="567"/>
        <w:jc w:val="both"/>
      </w:pPr>
      <w:r w:rsidRPr="00A644BE">
        <w:rPr>
          <w:rStyle w:val="Strong"/>
          <w:b w:val="0"/>
          <w:color w:val="000000"/>
          <w:shd w:val="clear" w:color="auto" w:fill="FFFFFF"/>
        </w:rPr>
        <w:t>Fransız hukukunda müşteri sırrının saklanması yükümlülüğü CMF art. L. 511-33’te düzenlenmiştir. Maddede</w:t>
      </w:r>
      <w:r>
        <w:rPr>
          <w:rStyle w:val="Strong"/>
          <w:color w:val="000000"/>
          <w:shd w:val="clear" w:color="auto" w:fill="FFFFFF"/>
        </w:rPr>
        <w:t xml:space="preserve"> </w:t>
      </w:r>
      <w:r w:rsidRPr="00416A71">
        <w:t xml:space="preserve">kredi kuruluşu ve finansman şirketlerinin yönetim veya gözetim kurulu </w:t>
      </w:r>
      <w:r>
        <w:t xml:space="preserve">üyelerinin, </w:t>
      </w:r>
      <w:r w:rsidRPr="00416A71">
        <w:t xml:space="preserve">herhangi bir şekilde </w:t>
      </w:r>
      <w:r>
        <w:t>bu şirketlerin yönetimine</w:t>
      </w:r>
      <w:r w:rsidRPr="00416A71">
        <w:t xml:space="preserve"> katılan</w:t>
      </w:r>
      <w:r>
        <w:t xml:space="preserve">ların veya bu kuruluşlarda çalışanların müşteri </w:t>
      </w:r>
      <w:r w:rsidRPr="00416A71">
        <w:t>sır</w:t>
      </w:r>
      <w:r>
        <w:t>rını saklama yükümlülüğüne tâbi olan kişiler olduğu düzenlenmiş ve aynı maddede sırrın açıklanabileceği hâllerle ilgili istisnalara yer vermiştir.</w:t>
      </w:r>
    </w:p>
    <w:p w14:paraId="306E2B4B" w14:textId="77777777" w:rsidR="00A644BE" w:rsidRPr="002F0E8C" w:rsidRDefault="00A644BE" w:rsidP="00A644BE">
      <w:pPr>
        <w:autoSpaceDE w:val="0"/>
        <w:autoSpaceDN w:val="0"/>
        <w:adjustRightInd w:val="0"/>
        <w:spacing w:line="360" w:lineRule="auto"/>
        <w:ind w:firstLine="567"/>
        <w:jc w:val="both"/>
        <w:rPr>
          <w:bCs/>
          <w:color w:val="000000"/>
          <w:shd w:val="clear" w:color="auto" w:fill="FFFFFF"/>
        </w:rPr>
      </w:pPr>
      <w:r>
        <w:t xml:space="preserve">Fakat CMF art. L. 511-33’te, sır saklama yükümlülüğünün ihlâli hâlinde uygulanacak yaptırımlarla ilgili hüküm bulunmamaktadır. Bu sebeple genel hükümlerde yer alan düzenlemelerin dikkate alınması gerekmektedir. </w:t>
      </w:r>
    </w:p>
    <w:p w14:paraId="0D7FA501" w14:textId="77777777" w:rsidR="00A644BE" w:rsidRDefault="00A644BE" w:rsidP="00A644BE">
      <w:pPr>
        <w:autoSpaceDE w:val="0"/>
        <w:autoSpaceDN w:val="0"/>
        <w:adjustRightInd w:val="0"/>
        <w:spacing w:line="360" w:lineRule="auto"/>
        <w:ind w:firstLine="567"/>
        <w:jc w:val="both"/>
        <w:rPr>
          <w:color w:val="000000"/>
        </w:rPr>
      </w:pPr>
      <w:r w:rsidRPr="00A644BE">
        <w:rPr>
          <w:rStyle w:val="Strong"/>
          <w:b w:val="0"/>
          <w:color w:val="000000"/>
          <w:shd w:val="clear" w:color="auto" w:fill="FFFFFF"/>
        </w:rPr>
        <w:t>CC art. 9’daki; “</w:t>
      </w:r>
      <w:r w:rsidRPr="00A644BE">
        <w:rPr>
          <w:rStyle w:val="Strong"/>
          <w:b w:val="0"/>
          <w:i/>
          <w:color w:val="000000"/>
          <w:shd w:val="clear" w:color="auto" w:fill="FFFFFF"/>
        </w:rPr>
        <w:t>herkes özel hayatına saygı gösterilmesini isteme hakkına sahiptir. H</w:t>
      </w:r>
      <w:r w:rsidRPr="00A83AE2">
        <w:rPr>
          <w:i/>
          <w:color w:val="000000"/>
        </w:rPr>
        <w:t>âkim özel hayatın mahremiyetine dair saldırıyı durdurmak veya engellemek için yediemine tevdi, el koyma gibi gerekli tüm tedbirlere karar verebilir. Eğer bir zarar meydana gelmişse bu zararın haksız fiil hükümlerince tazminine ve kararın yayımlanmasına da karar verilebilir</w:t>
      </w:r>
      <w:r>
        <w:rPr>
          <w:i/>
          <w:color w:val="000000"/>
        </w:rPr>
        <w:t xml:space="preserve">” </w:t>
      </w:r>
      <w:r>
        <w:rPr>
          <w:color w:val="000000"/>
        </w:rPr>
        <w:t xml:space="preserve">hükmü kişilerin gizlilik alanına dâhil olan maddi, manevi veya ekonomik bilgilerinin tümüne uygulanabilir. Zira müşteri sırrının kapsamında, belirli olmak kaydıyla kişinin özel hayatıyla, ailesiyle, sağlığıyla ve malvarlığıyla ilgili bilgileri yer almaktadır. Ayrıca banka müşterisinin gerçek veya tüzel kişi olması arasında da fark bulunmamaktadır. Tüzel kişiler de gerçek kişiler gibi gizlilik alanlarına yapılan hukuka aykırı saldırılar nedeniyle manevi zarara uğrayabilir. Söz konusu zararın mahkemece verilen karar ile giderilmesi mümkündür. </w:t>
      </w:r>
    </w:p>
    <w:p w14:paraId="74E9D926" w14:textId="77777777" w:rsidR="00750226" w:rsidRDefault="00750226" w:rsidP="00A644BE">
      <w:pPr>
        <w:tabs>
          <w:tab w:val="left" w:pos="3828"/>
          <w:tab w:val="left" w:pos="4253"/>
        </w:tabs>
        <w:ind w:left="567" w:right="432" w:hanging="567"/>
        <w:jc w:val="both"/>
        <w:rPr>
          <w:b/>
        </w:rPr>
      </w:pPr>
    </w:p>
    <w:p w14:paraId="4A3C7313" w14:textId="77777777" w:rsidR="00A644BE" w:rsidRPr="00145D52" w:rsidRDefault="00A644BE" w:rsidP="00A644BE">
      <w:pPr>
        <w:tabs>
          <w:tab w:val="left" w:pos="3828"/>
          <w:tab w:val="left" w:pos="4253"/>
        </w:tabs>
        <w:ind w:left="567" w:right="432" w:hanging="567"/>
        <w:jc w:val="both"/>
        <w:rPr>
          <w:b/>
        </w:rPr>
      </w:pPr>
      <w:r w:rsidRPr="00145D52">
        <w:rPr>
          <w:b/>
        </w:rPr>
        <w:t xml:space="preserve">KAYNAKÇA </w:t>
      </w:r>
    </w:p>
    <w:p w14:paraId="0C178BE1" w14:textId="77777777" w:rsidR="00A644BE" w:rsidRDefault="00A644BE" w:rsidP="000A7280">
      <w:pPr>
        <w:tabs>
          <w:tab w:val="left" w:pos="3828"/>
          <w:tab w:val="left" w:pos="4253"/>
        </w:tabs>
        <w:spacing w:line="360" w:lineRule="auto"/>
        <w:ind w:left="567" w:right="431" w:hanging="567"/>
        <w:jc w:val="both"/>
      </w:pPr>
      <w:r w:rsidRPr="00A644BE">
        <w:rPr>
          <w:b/>
        </w:rPr>
        <w:t>ABDEL HAMİD</w:t>
      </w:r>
      <w:r w:rsidR="00C55A38">
        <w:t xml:space="preserve">, </w:t>
      </w:r>
      <w:proofErr w:type="spellStart"/>
      <w:r w:rsidR="00C55A38">
        <w:t>Reda</w:t>
      </w:r>
      <w:proofErr w:type="spellEnd"/>
      <w:r w:rsidR="00C55A38">
        <w:t>,</w:t>
      </w:r>
      <w:r>
        <w:t xml:space="preserve"> </w:t>
      </w:r>
      <w:r w:rsidRPr="00050112">
        <w:rPr>
          <w:i/>
        </w:rPr>
        <w:t xml:space="preserve">Le </w:t>
      </w:r>
      <w:proofErr w:type="spellStart"/>
      <w:r w:rsidRPr="00050112">
        <w:rPr>
          <w:i/>
        </w:rPr>
        <w:t>Secret</w:t>
      </w:r>
      <w:proofErr w:type="spellEnd"/>
      <w:r w:rsidRPr="00050112">
        <w:rPr>
          <w:i/>
        </w:rPr>
        <w:t xml:space="preserve"> </w:t>
      </w:r>
      <w:proofErr w:type="spellStart"/>
      <w:r w:rsidRPr="00050112">
        <w:rPr>
          <w:i/>
        </w:rPr>
        <w:t>Bancaire</w:t>
      </w:r>
      <w:proofErr w:type="spellEnd"/>
      <w:r w:rsidRPr="00050112">
        <w:rPr>
          <w:i/>
        </w:rPr>
        <w:t xml:space="preserve">: </w:t>
      </w:r>
      <w:proofErr w:type="spellStart"/>
      <w:r w:rsidRPr="00050112">
        <w:rPr>
          <w:i/>
        </w:rPr>
        <w:t>Étude</w:t>
      </w:r>
      <w:proofErr w:type="spellEnd"/>
      <w:r w:rsidRPr="00050112">
        <w:rPr>
          <w:i/>
        </w:rPr>
        <w:t xml:space="preserve"> De </w:t>
      </w:r>
      <w:proofErr w:type="spellStart"/>
      <w:r w:rsidRPr="00050112">
        <w:rPr>
          <w:i/>
        </w:rPr>
        <w:t>Droit</w:t>
      </w:r>
      <w:proofErr w:type="spellEnd"/>
      <w:r w:rsidRPr="00050112">
        <w:rPr>
          <w:i/>
        </w:rPr>
        <w:t xml:space="preserve"> </w:t>
      </w:r>
      <w:proofErr w:type="spellStart"/>
      <w:r w:rsidRPr="00050112">
        <w:rPr>
          <w:i/>
        </w:rPr>
        <w:t>Comparé</w:t>
      </w:r>
      <w:proofErr w:type="spellEnd"/>
      <w:r w:rsidRPr="00050112">
        <w:rPr>
          <w:i/>
        </w:rPr>
        <w:t xml:space="preserve">. France, </w:t>
      </w:r>
      <w:proofErr w:type="spellStart"/>
      <w:r w:rsidRPr="00050112">
        <w:rPr>
          <w:i/>
        </w:rPr>
        <w:t>Egypte</w:t>
      </w:r>
      <w:proofErr w:type="spellEnd"/>
      <w:r>
        <w:t xml:space="preserve">, </w:t>
      </w:r>
      <w:proofErr w:type="spellStart"/>
      <w:r>
        <w:t>Université</w:t>
      </w:r>
      <w:proofErr w:type="spellEnd"/>
      <w:r>
        <w:t xml:space="preserve"> de </w:t>
      </w:r>
      <w:proofErr w:type="spellStart"/>
      <w:r>
        <w:t>Rennes</w:t>
      </w:r>
      <w:proofErr w:type="spellEnd"/>
      <w:r>
        <w:t xml:space="preserve"> 1, </w:t>
      </w:r>
      <w:proofErr w:type="spellStart"/>
      <w:r w:rsidRPr="00050112">
        <w:t>Thèse</w:t>
      </w:r>
      <w:proofErr w:type="spellEnd"/>
      <w:r w:rsidRPr="00050112">
        <w:t xml:space="preserve"> de </w:t>
      </w:r>
      <w:proofErr w:type="spellStart"/>
      <w:r w:rsidRPr="00050112">
        <w:t>doctorat</w:t>
      </w:r>
      <w:proofErr w:type="spellEnd"/>
      <w:r w:rsidRPr="00050112">
        <w:t>,</w:t>
      </w:r>
      <w:r>
        <w:t xml:space="preserve"> 1989. </w:t>
      </w:r>
    </w:p>
    <w:p w14:paraId="7E5DE065" w14:textId="77777777" w:rsidR="00A644BE" w:rsidRDefault="00A644BE" w:rsidP="000A7280">
      <w:pPr>
        <w:tabs>
          <w:tab w:val="left" w:pos="3828"/>
          <w:tab w:val="left" w:pos="4253"/>
        </w:tabs>
        <w:spacing w:line="360" w:lineRule="auto"/>
        <w:ind w:left="567" w:right="432" w:hanging="567"/>
        <w:jc w:val="both"/>
      </w:pPr>
      <w:r w:rsidRPr="00A644BE">
        <w:rPr>
          <w:b/>
        </w:rPr>
        <w:t>ALAVİ</w:t>
      </w:r>
      <w:r w:rsidRPr="00902AF7">
        <w:t xml:space="preserve">, </w:t>
      </w:r>
      <w:proofErr w:type="spellStart"/>
      <w:r w:rsidRPr="00902AF7">
        <w:t>Alexandre</w:t>
      </w:r>
      <w:proofErr w:type="spellEnd"/>
      <w:r>
        <w:t xml:space="preserve">, </w:t>
      </w:r>
      <w:r w:rsidRPr="00902AF7">
        <w:rPr>
          <w:i/>
        </w:rPr>
        <w:t xml:space="preserve">Le </w:t>
      </w:r>
      <w:proofErr w:type="spellStart"/>
      <w:r w:rsidRPr="00902AF7">
        <w:rPr>
          <w:i/>
        </w:rPr>
        <w:t>secret</w:t>
      </w:r>
      <w:proofErr w:type="spellEnd"/>
      <w:r w:rsidRPr="00902AF7">
        <w:rPr>
          <w:i/>
        </w:rPr>
        <w:t xml:space="preserve"> </w:t>
      </w:r>
      <w:proofErr w:type="spellStart"/>
      <w:r w:rsidRPr="00902AF7">
        <w:rPr>
          <w:i/>
        </w:rPr>
        <w:t>bancaire</w:t>
      </w:r>
      <w:proofErr w:type="spellEnd"/>
      <w:r w:rsidRPr="00902AF7">
        <w:rPr>
          <w:i/>
        </w:rPr>
        <w:t xml:space="preserve"> </w:t>
      </w:r>
      <w:proofErr w:type="spellStart"/>
      <w:r w:rsidRPr="00902AF7">
        <w:rPr>
          <w:i/>
        </w:rPr>
        <w:t>Etude</w:t>
      </w:r>
      <w:proofErr w:type="spellEnd"/>
      <w:r w:rsidRPr="00902AF7">
        <w:rPr>
          <w:i/>
        </w:rPr>
        <w:t xml:space="preserve"> de </w:t>
      </w:r>
      <w:proofErr w:type="spellStart"/>
      <w:r w:rsidRPr="00902AF7">
        <w:rPr>
          <w:i/>
        </w:rPr>
        <w:t>Droit</w:t>
      </w:r>
      <w:proofErr w:type="spellEnd"/>
      <w:r w:rsidRPr="00902AF7">
        <w:rPr>
          <w:i/>
        </w:rPr>
        <w:t xml:space="preserve"> </w:t>
      </w:r>
      <w:proofErr w:type="spellStart"/>
      <w:r w:rsidRPr="00902AF7">
        <w:rPr>
          <w:i/>
        </w:rPr>
        <w:t>Comparé</w:t>
      </w:r>
      <w:proofErr w:type="spellEnd"/>
      <w:r w:rsidRPr="00902AF7">
        <w:rPr>
          <w:i/>
        </w:rPr>
        <w:t xml:space="preserve"> (France-</w:t>
      </w:r>
      <w:proofErr w:type="spellStart"/>
      <w:r w:rsidRPr="00902AF7">
        <w:rPr>
          <w:i/>
        </w:rPr>
        <w:t>Suisse</w:t>
      </w:r>
      <w:proofErr w:type="spellEnd"/>
      <w:r w:rsidRPr="00902AF7">
        <w:rPr>
          <w:i/>
        </w:rPr>
        <w:t>),</w:t>
      </w:r>
      <w:r w:rsidRPr="00902AF7">
        <w:t xml:space="preserve"> </w:t>
      </w:r>
      <w:proofErr w:type="spellStart"/>
      <w:r w:rsidRPr="00902AF7">
        <w:t>Thèse</w:t>
      </w:r>
      <w:proofErr w:type="spellEnd"/>
      <w:r w:rsidRPr="00902AF7">
        <w:t xml:space="preserve"> </w:t>
      </w:r>
      <w:proofErr w:type="spellStart"/>
      <w:r w:rsidRPr="00902AF7">
        <w:t>Doctorat</w:t>
      </w:r>
      <w:proofErr w:type="spellEnd"/>
      <w:r w:rsidRPr="00902AF7">
        <w:t xml:space="preserve">, </w:t>
      </w:r>
      <w:proofErr w:type="spellStart"/>
      <w:r w:rsidRPr="00902AF7">
        <w:t>Université</w:t>
      </w:r>
      <w:proofErr w:type="spellEnd"/>
      <w:r w:rsidRPr="00902AF7">
        <w:t xml:space="preserve"> Paris </w:t>
      </w:r>
      <w:proofErr w:type="spellStart"/>
      <w:r w:rsidRPr="00902AF7">
        <w:t>Est</w:t>
      </w:r>
      <w:proofErr w:type="spellEnd"/>
      <w:r w:rsidRPr="00902AF7">
        <w:t>, Paris, 2017</w:t>
      </w:r>
      <w:r>
        <w:t>.</w:t>
      </w:r>
    </w:p>
    <w:p w14:paraId="72768297" w14:textId="77777777" w:rsidR="00A644BE" w:rsidRDefault="00A644BE" w:rsidP="000A7280">
      <w:pPr>
        <w:tabs>
          <w:tab w:val="left" w:pos="3828"/>
          <w:tab w:val="left" w:pos="4253"/>
        </w:tabs>
        <w:spacing w:line="360" w:lineRule="auto"/>
        <w:ind w:left="567" w:right="432" w:hanging="567"/>
        <w:jc w:val="both"/>
      </w:pPr>
      <w:r w:rsidRPr="00A644BE">
        <w:rPr>
          <w:b/>
        </w:rPr>
        <w:t>CRÉDOT</w:t>
      </w:r>
      <w:r>
        <w:t>, Francis,</w:t>
      </w:r>
      <w:r w:rsidRPr="00C55A38">
        <w:rPr>
          <w:i/>
        </w:rPr>
        <w:t xml:space="preserve"> </w:t>
      </w:r>
      <w:r w:rsidR="00C55A38" w:rsidRPr="00C55A38">
        <w:rPr>
          <w:i/>
        </w:rPr>
        <w:t>“</w:t>
      </w:r>
      <w:r w:rsidRPr="00C55A38">
        <w:rPr>
          <w:i/>
        </w:rPr>
        <w:t xml:space="preserve">Le </w:t>
      </w:r>
      <w:proofErr w:type="spellStart"/>
      <w:r w:rsidRPr="00C55A38">
        <w:rPr>
          <w:i/>
        </w:rPr>
        <w:t>Secret</w:t>
      </w:r>
      <w:proofErr w:type="spellEnd"/>
      <w:r w:rsidRPr="00C55A38">
        <w:rPr>
          <w:i/>
        </w:rPr>
        <w:t xml:space="preserve"> </w:t>
      </w:r>
      <w:proofErr w:type="spellStart"/>
      <w:r w:rsidRPr="00C55A38">
        <w:rPr>
          <w:i/>
        </w:rPr>
        <w:t>Bancaire</w:t>
      </w:r>
      <w:proofErr w:type="spellEnd"/>
      <w:r w:rsidRPr="00C55A38">
        <w:rPr>
          <w:i/>
        </w:rPr>
        <w:t xml:space="preserve"> Son </w:t>
      </w:r>
      <w:proofErr w:type="spellStart"/>
      <w:r w:rsidRPr="00C55A38">
        <w:rPr>
          <w:i/>
        </w:rPr>
        <w:t>Étendue</w:t>
      </w:r>
      <w:proofErr w:type="spellEnd"/>
      <w:r w:rsidRPr="00C55A38">
        <w:rPr>
          <w:i/>
        </w:rPr>
        <w:t xml:space="preserve"> et Ses </w:t>
      </w:r>
      <w:proofErr w:type="spellStart"/>
      <w:r w:rsidRPr="00C55A38">
        <w:rPr>
          <w:i/>
        </w:rPr>
        <w:t>Limites</w:t>
      </w:r>
      <w:proofErr w:type="spellEnd"/>
      <w:r w:rsidRPr="00C55A38">
        <w:rPr>
          <w:i/>
        </w:rPr>
        <w:t xml:space="preserve">. </w:t>
      </w:r>
      <w:proofErr w:type="spellStart"/>
      <w:r w:rsidRPr="00C55A38">
        <w:rPr>
          <w:i/>
        </w:rPr>
        <w:t>Les</w:t>
      </w:r>
      <w:proofErr w:type="spellEnd"/>
      <w:r w:rsidRPr="00C55A38">
        <w:rPr>
          <w:i/>
        </w:rPr>
        <w:t xml:space="preserve"> </w:t>
      </w:r>
      <w:proofErr w:type="spellStart"/>
      <w:r w:rsidRPr="00C55A38">
        <w:rPr>
          <w:i/>
        </w:rPr>
        <w:t>Petites</w:t>
      </w:r>
      <w:proofErr w:type="spellEnd"/>
      <w:r w:rsidRPr="00C55A38">
        <w:rPr>
          <w:i/>
        </w:rPr>
        <w:t xml:space="preserve"> </w:t>
      </w:r>
      <w:proofErr w:type="spellStart"/>
      <w:r w:rsidRPr="00C55A38">
        <w:rPr>
          <w:i/>
        </w:rPr>
        <w:t>Affiches</w:t>
      </w:r>
      <w:proofErr w:type="spellEnd"/>
      <w:r w:rsidR="00C55A38" w:rsidRPr="00C55A38">
        <w:rPr>
          <w:i/>
        </w:rPr>
        <w:t>”</w:t>
      </w:r>
      <w:r w:rsidRPr="00C55A38">
        <w:rPr>
          <w:i/>
        </w:rPr>
        <w:t xml:space="preserve">, </w:t>
      </w:r>
      <w:r>
        <w:rPr>
          <w:i/>
        </w:rPr>
        <w:t xml:space="preserve">1994, </w:t>
      </w:r>
      <w:proofErr w:type="spellStart"/>
      <w:r w:rsidRPr="0013573D">
        <w:rPr>
          <w:i/>
        </w:rPr>
        <w:t>no</w:t>
      </w:r>
      <w:proofErr w:type="spellEnd"/>
      <w:r w:rsidRPr="0013573D">
        <w:rPr>
          <w:i/>
        </w:rPr>
        <w:t>: 35</w:t>
      </w:r>
      <w:r>
        <w:rPr>
          <w:i/>
        </w:rPr>
        <w:t xml:space="preserve">, s. 8-15. </w:t>
      </w:r>
    </w:p>
    <w:p w14:paraId="477CDD75" w14:textId="77777777" w:rsidR="00A644BE" w:rsidRDefault="00A644BE" w:rsidP="000A7280">
      <w:pPr>
        <w:tabs>
          <w:tab w:val="left" w:pos="3828"/>
          <w:tab w:val="left" w:pos="4253"/>
        </w:tabs>
        <w:spacing w:line="360" w:lineRule="auto"/>
        <w:ind w:left="567" w:right="432" w:hanging="567"/>
        <w:jc w:val="both"/>
      </w:pPr>
      <w:r w:rsidRPr="00A644BE">
        <w:rPr>
          <w:b/>
        </w:rPr>
        <w:t>CRÉDOT</w:t>
      </w:r>
      <w:r>
        <w:t xml:space="preserve">, Francis / </w:t>
      </w:r>
      <w:r w:rsidRPr="00A644BE">
        <w:rPr>
          <w:b/>
        </w:rPr>
        <w:t>GÉRARD</w:t>
      </w:r>
      <w:r>
        <w:t xml:space="preserve">, </w:t>
      </w:r>
      <w:proofErr w:type="spellStart"/>
      <w:r>
        <w:t>Yves</w:t>
      </w:r>
      <w:proofErr w:type="spellEnd"/>
      <w:r>
        <w:t xml:space="preserve">, </w:t>
      </w:r>
      <w:r w:rsidRPr="003912D8">
        <w:rPr>
          <w:i/>
        </w:rPr>
        <w:t xml:space="preserve"> </w:t>
      </w:r>
      <w:proofErr w:type="spellStart"/>
      <w:r w:rsidRPr="003912D8">
        <w:rPr>
          <w:i/>
        </w:rPr>
        <w:t>Observations</w:t>
      </w:r>
      <w:proofErr w:type="spellEnd"/>
      <w:r w:rsidRPr="003912D8">
        <w:rPr>
          <w:i/>
        </w:rPr>
        <w:t xml:space="preserve"> </w:t>
      </w:r>
      <w:proofErr w:type="spellStart"/>
      <w:r>
        <w:rPr>
          <w:i/>
        </w:rPr>
        <w:t>Sous</w:t>
      </w:r>
      <w:proofErr w:type="spellEnd"/>
      <w:r>
        <w:rPr>
          <w:i/>
        </w:rPr>
        <w:t xml:space="preserve"> </w:t>
      </w:r>
      <w:proofErr w:type="spellStart"/>
      <w:r>
        <w:rPr>
          <w:i/>
        </w:rPr>
        <w:t>Cour</w:t>
      </w:r>
      <w:proofErr w:type="spellEnd"/>
      <w:r>
        <w:rPr>
          <w:i/>
        </w:rPr>
        <w:t xml:space="preserve"> </w:t>
      </w:r>
      <w:proofErr w:type="spellStart"/>
      <w:r>
        <w:rPr>
          <w:i/>
        </w:rPr>
        <w:t>d’appel</w:t>
      </w:r>
      <w:proofErr w:type="spellEnd"/>
      <w:r>
        <w:rPr>
          <w:i/>
        </w:rPr>
        <w:t xml:space="preserve"> d</w:t>
      </w:r>
      <w:r w:rsidRPr="003912D8">
        <w:rPr>
          <w:i/>
        </w:rPr>
        <w:t xml:space="preserve">e </w:t>
      </w:r>
      <w:proofErr w:type="spellStart"/>
      <w:r w:rsidRPr="003912D8">
        <w:rPr>
          <w:i/>
        </w:rPr>
        <w:t>Nimes</w:t>
      </w:r>
      <w:proofErr w:type="spellEnd"/>
      <w:r w:rsidRPr="003912D8">
        <w:rPr>
          <w:i/>
        </w:rPr>
        <w:t xml:space="preserve">, 9 </w:t>
      </w:r>
      <w:proofErr w:type="spellStart"/>
      <w:r w:rsidRPr="003912D8">
        <w:rPr>
          <w:i/>
        </w:rPr>
        <w:t>Decembre</w:t>
      </w:r>
      <w:proofErr w:type="spellEnd"/>
      <w:r w:rsidRPr="003912D8">
        <w:rPr>
          <w:i/>
        </w:rPr>
        <w:t xml:space="preserve"> 1999</w:t>
      </w:r>
      <w:r>
        <w:t xml:space="preserve">, </w:t>
      </w:r>
      <w:proofErr w:type="spellStart"/>
      <w:r>
        <w:t>Revue</w:t>
      </w:r>
      <w:proofErr w:type="spellEnd"/>
      <w:r>
        <w:t xml:space="preserve"> de </w:t>
      </w:r>
      <w:proofErr w:type="spellStart"/>
      <w:r>
        <w:t>Droit</w:t>
      </w:r>
      <w:proofErr w:type="spellEnd"/>
      <w:r>
        <w:t xml:space="preserve"> </w:t>
      </w:r>
      <w:proofErr w:type="spellStart"/>
      <w:r>
        <w:t>Bancaire</w:t>
      </w:r>
      <w:proofErr w:type="spellEnd"/>
      <w:r>
        <w:t xml:space="preserve"> et </w:t>
      </w:r>
      <w:proofErr w:type="spellStart"/>
      <w:r>
        <w:t>Financier</w:t>
      </w:r>
      <w:proofErr w:type="spellEnd"/>
      <w:r>
        <w:t xml:space="preserve">, 2001, n. 3, s. </w:t>
      </w:r>
      <w:r w:rsidRPr="0013573D">
        <w:t>151</w:t>
      </w:r>
      <w:r>
        <w:t xml:space="preserve">-153. </w:t>
      </w:r>
    </w:p>
    <w:p w14:paraId="1C489C0F" w14:textId="77777777" w:rsidR="00A644BE" w:rsidRDefault="00A644BE" w:rsidP="000A7280">
      <w:pPr>
        <w:tabs>
          <w:tab w:val="left" w:pos="3828"/>
          <w:tab w:val="left" w:pos="4253"/>
        </w:tabs>
        <w:spacing w:line="360" w:lineRule="auto"/>
        <w:ind w:left="567" w:right="431" w:hanging="567"/>
        <w:jc w:val="both"/>
        <w:rPr>
          <w:sz w:val="20"/>
          <w:szCs w:val="20"/>
        </w:rPr>
      </w:pPr>
      <w:r w:rsidRPr="00A644BE">
        <w:rPr>
          <w:b/>
        </w:rPr>
        <w:lastRenderedPageBreak/>
        <w:t>EREM</w:t>
      </w:r>
      <w:r w:rsidRPr="00986BF7">
        <w:t>, Faruk /</w:t>
      </w:r>
      <w:r w:rsidRPr="00A644BE">
        <w:rPr>
          <w:b/>
        </w:rPr>
        <w:t>ALTINOK</w:t>
      </w:r>
      <w:r w:rsidRPr="00986BF7">
        <w:t>, Akın/</w:t>
      </w:r>
      <w:r w:rsidRPr="00A644BE">
        <w:rPr>
          <w:b/>
        </w:rPr>
        <w:t>TANDOĞAN</w:t>
      </w:r>
      <w:r w:rsidRPr="00986BF7">
        <w:t xml:space="preserve">, Haluk, </w:t>
      </w:r>
      <w:r w:rsidRPr="00986BF7">
        <w:rPr>
          <w:i/>
        </w:rPr>
        <w:t>Bankalar Kanunu Şerhi</w:t>
      </w:r>
      <w:r w:rsidRPr="00986BF7">
        <w:t>, 7. Baskı, BTHAE Yayınları, Ankara, 1989.</w:t>
      </w:r>
    </w:p>
    <w:p w14:paraId="2897BB06" w14:textId="77777777" w:rsidR="000A7280" w:rsidRDefault="00A644BE" w:rsidP="000A7280">
      <w:pPr>
        <w:tabs>
          <w:tab w:val="left" w:pos="3828"/>
          <w:tab w:val="left" w:pos="4253"/>
        </w:tabs>
        <w:spacing w:line="360" w:lineRule="auto"/>
        <w:ind w:left="567" w:right="431" w:hanging="567"/>
        <w:jc w:val="both"/>
      </w:pPr>
      <w:r w:rsidRPr="007B3A5D">
        <w:rPr>
          <w:b/>
        </w:rPr>
        <w:t>FARHAT</w:t>
      </w:r>
      <w:r w:rsidRPr="007B3A5D">
        <w:t xml:space="preserve">, </w:t>
      </w:r>
      <w:proofErr w:type="spellStart"/>
      <w:r w:rsidRPr="007B3A5D">
        <w:t>Raymond</w:t>
      </w:r>
      <w:proofErr w:type="spellEnd"/>
      <w:r w:rsidRPr="007B3A5D">
        <w:t xml:space="preserve">, </w:t>
      </w:r>
      <w:r w:rsidRPr="007B3A5D">
        <w:rPr>
          <w:i/>
        </w:rPr>
        <w:t xml:space="preserve">Le </w:t>
      </w:r>
      <w:proofErr w:type="spellStart"/>
      <w:r w:rsidRPr="007B3A5D">
        <w:rPr>
          <w:i/>
        </w:rPr>
        <w:t>Secret</w:t>
      </w:r>
      <w:proofErr w:type="spellEnd"/>
      <w:r w:rsidRPr="007B3A5D">
        <w:rPr>
          <w:i/>
        </w:rPr>
        <w:t xml:space="preserve"> </w:t>
      </w:r>
      <w:proofErr w:type="spellStart"/>
      <w:r w:rsidRPr="007B3A5D">
        <w:rPr>
          <w:i/>
        </w:rPr>
        <w:t>Bancaire</w:t>
      </w:r>
      <w:proofErr w:type="spellEnd"/>
      <w:r w:rsidRPr="007B3A5D">
        <w:rPr>
          <w:i/>
        </w:rPr>
        <w:t xml:space="preserve">: </w:t>
      </w:r>
      <w:proofErr w:type="spellStart"/>
      <w:r w:rsidRPr="007B3A5D">
        <w:rPr>
          <w:i/>
        </w:rPr>
        <w:t>Etude</w:t>
      </w:r>
      <w:proofErr w:type="spellEnd"/>
      <w:r w:rsidRPr="007B3A5D">
        <w:rPr>
          <w:i/>
        </w:rPr>
        <w:t xml:space="preserve"> de </w:t>
      </w:r>
      <w:proofErr w:type="spellStart"/>
      <w:r w:rsidRPr="007B3A5D">
        <w:rPr>
          <w:i/>
        </w:rPr>
        <w:t>Droit</w:t>
      </w:r>
      <w:proofErr w:type="spellEnd"/>
      <w:r w:rsidRPr="007B3A5D">
        <w:rPr>
          <w:i/>
        </w:rPr>
        <w:t xml:space="preserve"> </w:t>
      </w:r>
      <w:proofErr w:type="spellStart"/>
      <w:r w:rsidRPr="007B3A5D">
        <w:rPr>
          <w:i/>
        </w:rPr>
        <w:t>Comparé</w:t>
      </w:r>
      <w:proofErr w:type="spellEnd"/>
      <w:r w:rsidRPr="007B3A5D">
        <w:rPr>
          <w:i/>
        </w:rPr>
        <w:t xml:space="preserve"> (France, </w:t>
      </w:r>
      <w:proofErr w:type="spellStart"/>
      <w:r w:rsidRPr="007B3A5D">
        <w:rPr>
          <w:i/>
        </w:rPr>
        <w:t>Suisse</w:t>
      </w:r>
      <w:proofErr w:type="spellEnd"/>
      <w:r w:rsidRPr="007B3A5D">
        <w:rPr>
          <w:i/>
        </w:rPr>
        <w:t xml:space="preserve">, </w:t>
      </w:r>
      <w:proofErr w:type="spellStart"/>
      <w:r w:rsidRPr="007B3A5D">
        <w:rPr>
          <w:i/>
        </w:rPr>
        <w:t>Liban</w:t>
      </w:r>
      <w:proofErr w:type="spellEnd"/>
      <w:r w:rsidRPr="007B3A5D">
        <w:rPr>
          <w:i/>
        </w:rPr>
        <w:t>)</w:t>
      </w:r>
      <w:r w:rsidR="00C55A38">
        <w:t>, Paris, LGDJ, 1980.</w:t>
      </w:r>
    </w:p>
    <w:p w14:paraId="5FEEAB45" w14:textId="77777777" w:rsidR="000A7280" w:rsidRDefault="00A644BE" w:rsidP="000A7280">
      <w:pPr>
        <w:tabs>
          <w:tab w:val="left" w:pos="3828"/>
          <w:tab w:val="left" w:pos="4253"/>
        </w:tabs>
        <w:spacing w:line="360" w:lineRule="auto"/>
        <w:ind w:left="567" w:right="431" w:hanging="567"/>
        <w:jc w:val="both"/>
      </w:pPr>
      <w:r w:rsidRPr="00A644BE">
        <w:rPr>
          <w:b/>
        </w:rPr>
        <w:t>HAMEL</w:t>
      </w:r>
      <w:r w:rsidRPr="00802B45">
        <w:t xml:space="preserve">, Joseph, </w:t>
      </w:r>
      <w:proofErr w:type="spellStart"/>
      <w:r w:rsidRPr="00802B45">
        <w:rPr>
          <w:i/>
        </w:rPr>
        <w:t>Banques</w:t>
      </w:r>
      <w:proofErr w:type="spellEnd"/>
      <w:r w:rsidRPr="00802B45">
        <w:rPr>
          <w:i/>
        </w:rPr>
        <w:t xml:space="preserve"> et </w:t>
      </w:r>
      <w:proofErr w:type="spellStart"/>
      <w:r w:rsidRPr="00802B45">
        <w:rPr>
          <w:i/>
        </w:rPr>
        <w:t>Opérations</w:t>
      </w:r>
      <w:proofErr w:type="spellEnd"/>
      <w:r w:rsidRPr="00802B45">
        <w:rPr>
          <w:i/>
        </w:rPr>
        <w:t xml:space="preserve"> </w:t>
      </w:r>
      <w:proofErr w:type="spellStart"/>
      <w:r w:rsidRPr="00802B45">
        <w:rPr>
          <w:i/>
        </w:rPr>
        <w:t>des</w:t>
      </w:r>
      <w:proofErr w:type="spellEnd"/>
      <w:r w:rsidRPr="00802B45">
        <w:rPr>
          <w:i/>
        </w:rPr>
        <w:t xml:space="preserve"> </w:t>
      </w:r>
      <w:proofErr w:type="spellStart"/>
      <w:r w:rsidRPr="00802B45">
        <w:rPr>
          <w:i/>
        </w:rPr>
        <w:t>Banques</w:t>
      </w:r>
      <w:proofErr w:type="spellEnd"/>
      <w:r w:rsidRPr="00802B45">
        <w:t xml:space="preserve">, Ed. Rousseau, </w:t>
      </w:r>
      <w:r w:rsidR="007B3A5D" w:rsidRPr="00802B45">
        <w:t xml:space="preserve">Paris, </w:t>
      </w:r>
      <w:r w:rsidRPr="00802B45">
        <w:t xml:space="preserve">1933.  </w:t>
      </w:r>
    </w:p>
    <w:p w14:paraId="622D6AF4" w14:textId="77777777" w:rsidR="000A7280" w:rsidRDefault="00A644BE" w:rsidP="000A7280">
      <w:pPr>
        <w:tabs>
          <w:tab w:val="left" w:pos="3828"/>
          <w:tab w:val="left" w:pos="4253"/>
        </w:tabs>
        <w:spacing w:line="360" w:lineRule="auto"/>
        <w:ind w:left="567" w:right="431" w:hanging="567"/>
        <w:jc w:val="both"/>
      </w:pPr>
      <w:r w:rsidRPr="00A644BE">
        <w:rPr>
          <w:b/>
        </w:rPr>
        <w:t>JEREZ</w:t>
      </w:r>
      <w:r w:rsidRPr="00802B45">
        <w:t xml:space="preserve">, </w:t>
      </w:r>
      <w:proofErr w:type="spellStart"/>
      <w:r w:rsidRPr="00802B45">
        <w:t>Olivier</w:t>
      </w:r>
      <w:proofErr w:type="spellEnd"/>
      <w:r w:rsidRPr="00802B45">
        <w:t xml:space="preserve">, </w:t>
      </w:r>
      <w:r w:rsidRPr="00802B45">
        <w:rPr>
          <w:i/>
        </w:rPr>
        <w:t xml:space="preserve">Le </w:t>
      </w:r>
      <w:proofErr w:type="spellStart"/>
      <w:r w:rsidRPr="00802B45">
        <w:rPr>
          <w:i/>
        </w:rPr>
        <w:t>Secret</w:t>
      </w:r>
      <w:proofErr w:type="spellEnd"/>
      <w:r w:rsidRPr="00802B45">
        <w:rPr>
          <w:i/>
        </w:rPr>
        <w:t xml:space="preserve"> </w:t>
      </w:r>
      <w:proofErr w:type="spellStart"/>
      <w:r w:rsidRPr="00802B45">
        <w:rPr>
          <w:i/>
        </w:rPr>
        <w:t>Bancaire</w:t>
      </w:r>
      <w:proofErr w:type="spellEnd"/>
      <w:r w:rsidRPr="00802B45">
        <w:rPr>
          <w:i/>
        </w:rPr>
        <w:t>,</w:t>
      </w:r>
      <w:r w:rsidRPr="00802B45">
        <w:t xml:space="preserve"> </w:t>
      </w:r>
      <w:proofErr w:type="spellStart"/>
      <w:r w:rsidRPr="00802B45">
        <w:t>Revue</w:t>
      </w:r>
      <w:proofErr w:type="spellEnd"/>
      <w:r w:rsidRPr="00802B45">
        <w:t xml:space="preserve"> </w:t>
      </w:r>
      <w:proofErr w:type="spellStart"/>
      <w:r w:rsidRPr="00802B45">
        <w:t>Banque</w:t>
      </w:r>
      <w:proofErr w:type="spellEnd"/>
      <w:r w:rsidRPr="00802B45">
        <w:t xml:space="preserve">, </w:t>
      </w:r>
      <w:r w:rsidR="007B3A5D" w:rsidRPr="00802B45">
        <w:t xml:space="preserve">Paris, </w:t>
      </w:r>
      <w:r w:rsidRPr="00802B45">
        <w:t xml:space="preserve">2000. </w:t>
      </w:r>
    </w:p>
    <w:p w14:paraId="036CFA45" w14:textId="77777777" w:rsidR="000A7280" w:rsidRDefault="00A644BE" w:rsidP="000A7280">
      <w:pPr>
        <w:tabs>
          <w:tab w:val="left" w:pos="3828"/>
          <w:tab w:val="left" w:pos="4253"/>
        </w:tabs>
        <w:spacing w:line="360" w:lineRule="auto"/>
        <w:ind w:left="567" w:right="431" w:hanging="567"/>
        <w:jc w:val="both"/>
      </w:pPr>
      <w:r w:rsidRPr="00A644BE">
        <w:rPr>
          <w:b/>
        </w:rPr>
        <w:t>KANDIRALIOĞLU</w:t>
      </w:r>
      <w:r w:rsidRPr="006C710A">
        <w:t xml:space="preserve">, </w:t>
      </w:r>
      <w:r>
        <w:t xml:space="preserve">Pınar Çağla, </w:t>
      </w:r>
      <w:r w:rsidRPr="006C710A">
        <w:rPr>
          <w:i/>
        </w:rPr>
        <w:t>Türk Hukukunda Bankaların Sır Saklama Yükümlülüğü</w:t>
      </w:r>
      <w:r w:rsidRPr="006C710A">
        <w:t>, On iki Levha Yayıncılık,</w:t>
      </w:r>
      <w:r w:rsidR="007B3A5D" w:rsidRPr="007B3A5D">
        <w:t xml:space="preserve"> </w:t>
      </w:r>
      <w:r w:rsidR="007B3A5D" w:rsidRPr="006C710A">
        <w:t xml:space="preserve">İstanbul, </w:t>
      </w:r>
      <w:r w:rsidR="000A7280">
        <w:t xml:space="preserve"> 2011.</w:t>
      </w:r>
    </w:p>
    <w:p w14:paraId="06C9E490" w14:textId="77777777" w:rsidR="000A7280" w:rsidRDefault="00A644BE" w:rsidP="000A7280">
      <w:pPr>
        <w:tabs>
          <w:tab w:val="left" w:pos="3828"/>
          <w:tab w:val="left" w:pos="4253"/>
        </w:tabs>
        <w:spacing w:line="360" w:lineRule="auto"/>
        <w:ind w:left="567" w:right="431" w:hanging="567"/>
        <w:jc w:val="both"/>
      </w:pPr>
      <w:r w:rsidRPr="006C710A">
        <w:t xml:space="preserve"> </w:t>
      </w:r>
      <w:r w:rsidRPr="00A644BE">
        <w:rPr>
          <w:b/>
        </w:rPr>
        <w:t>KAPLAN</w:t>
      </w:r>
      <w:r w:rsidRPr="006C710A">
        <w:t xml:space="preserve">, İbrahim, </w:t>
      </w:r>
      <w:r w:rsidR="007B3A5D" w:rsidRPr="007B3A5D">
        <w:rPr>
          <w:i/>
        </w:rPr>
        <w:t>“</w:t>
      </w:r>
      <w:r w:rsidRPr="007B3A5D">
        <w:rPr>
          <w:i/>
        </w:rPr>
        <w:t>Banka Gizliliği-Bankanın Sır Saklama Borcu</w:t>
      </w:r>
      <w:r w:rsidR="007B3A5D" w:rsidRPr="007B3A5D">
        <w:rPr>
          <w:i/>
        </w:rPr>
        <w:t>”</w:t>
      </w:r>
      <w:r w:rsidR="00B31AE5">
        <w:t xml:space="preserve">, </w:t>
      </w:r>
      <w:proofErr w:type="spellStart"/>
      <w:r w:rsidR="007B3A5D">
        <w:t>Batider</w:t>
      </w:r>
      <w:proofErr w:type="spellEnd"/>
      <w:r w:rsidR="007B3A5D">
        <w:t>, Cilt:15, Sayı:</w:t>
      </w:r>
      <w:r w:rsidRPr="006C710A">
        <w:t xml:space="preserve">4, </w:t>
      </w:r>
      <w:r w:rsidR="003848E0">
        <w:t>Yıl:</w:t>
      </w:r>
      <w:r w:rsidR="007B3A5D">
        <w:t xml:space="preserve">1990, </w:t>
      </w:r>
      <w:r w:rsidR="000A7280">
        <w:t>s.3-22.</w:t>
      </w:r>
    </w:p>
    <w:p w14:paraId="0A522455" w14:textId="77777777" w:rsidR="000A7280" w:rsidRDefault="006B4DBA" w:rsidP="000A7280">
      <w:pPr>
        <w:tabs>
          <w:tab w:val="left" w:pos="3828"/>
          <w:tab w:val="left" w:pos="4253"/>
        </w:tabs>
        <w:spacing w:line="360" w:lineRule="auto"/>
        <w:ind w:left="567" w:right="431" w:hanging="567"/>
        <w:jc w:val="both"/>
      </w:pPr>
      <w:r w:rsidRPr="006B4DBA">
        <w:rPr>
          <w:b/>
        </w:rPr>
        <w:t>LASSERRE-CAPDEVİLLE</w:t>
      </w:r>
      <w:r w:rsidR="00A644BE" w:rsidRPr="00325C1C">
        <w:t xml:space="preserve">, </w:t>
      </w:r>
      <w:proofErr w:type="spellStart"/>
      <w:r w:rsidR="00A644BE" w:rsidRPr="00325C1C">
        <w:t>J</w:t>
      </w:r>
      <w:r w:rsidR="00A644BE">
        <w:t>érôme</w:t>
      </w:r>
      <w:proofErr w:type="spellEnd"/>
      <w:r w:rsidR="00A644BE">
        <w:t xml:space="preserve">, </w:t>
      </w:r>
      <w:r w:rsidR="00A644BE" w:rsidRPr="00325C1C">
        <w:rPr>
          <w:i/>
        </w:rPr>
        <w:t xml:space="preserve">Le </w:t>
      </w:r>
      <w:proofErr w:type="spellStart"/>
      <w:r w:rsidR="00A644BE" w:rsidRPr="00325C1C">
        <w:rPr>
          <w:i/>
        </w:rPr>
        <w:t>Secret</w:t>
      </w:r>
      <w:proofErr w:type="spellEnd"/>
      <w:r w:rsidR="00A644BE" w:rsidRPr="00325C1C">
        <w:rPr>
          <w:i/>
        </w:rPr>
        <w:t xml:space="preserve"> </w:t>
      </w:r>
      <w:proofErr w:type="spellStart"/>
      <w:r w:rsidR="00A644BE" w:rsidRPr="00325C1C">
        <w:rPr>
          <w:i/>
        </w:rPr>
        <w:t>Bancaire</w:t>
      </w:r>
      <w:proofErr w:type="spellEnd"/>
      <w:r w:rsidR="00A644BE" w:rsidRPr="00325C1C">
        <w:rPr>
          <w:i/>
        </w:rPr>
        <w:t xml:space="preserve">, </w:t>
      </w:r>
      <w:proofErr w:type="spellStart"/>
      <w:r w:rsidR="00A644BE" w:rsidRPr="00325C1C">
        <w:rPr>
          <w:i/>
        </w:rPr>
        <w:t>Etude</w:t>
      </w:r>
      <w:proofErr w:type="spellEnd"/>
      <w:r w:rsidR="00A644BE" w:rsidRPr="00325C1C">
        <w:rPr>
          <w:i/>
        </w:rPr>
        <w:t xml:space="preserve"> de </w:t>
      </w:r>
      <w:proofErr w:type="spellStart"/>
      <w:r w:rsidR="00A644BE" w:rsidRPr="00325C1C">
        <w:rPr>
          <w:i/>
        </w:rPr>
        <w:t>Droit</w:t>
      </w:r>
      <w:proofErr w:type="spellEnd"/>
      <w:r w:rsidR="00A644BE" w:rsidRPr="00325C1C">
        <w:rPr>
          <w:i/>
        </w:rPr>
        <w:t xml:space="preserve"> </w:t>
      </w:r>
      <w:proofErr w:type="spellStart"/>
      <w:r w:rsidR="00A644BE" w:rsidRPr="00325C1C">
        <w:rPr>
          <w:i/>
        </w:rPr>
        <w:t>Comparé</w:t>
      </w:r>
      <w:proofErr w:type="spellEnd"/>
      <w:r w:rsidR="00A644BE" w:rsidRPr="00325C1C">
        <w:rPr>
          <w:i/>
        </w:rPr>
        <w:t xml:space="preserve"> (France, </w:t>
      </w:r>
      <w:proofErr w:type="spellStart"/>
      <w:r w:rsidR="00A644BE" w:rsidRPr="00325C1C">
        <w:rPr>
          <w:i/>
        </w:rPr>
        <w:t>Suisse</w:t>
      </w:r>
      <w:proofErr w:type="spellEnd"/>
      <w:r w:rsidR="00A644BE" w:rsidRPr="00325C1C">
        <w:rPr>
          <w:i/>
        </w:rPr>
        <w:t xml:space="preserve">, </w:t>
      </w:r>
      <w:proofErr w:type="spellStart"/>
      <w:r w:rsidR="00A644BE" w:rsidRPr="00325C1C">
        <w:rPr>
          <w:i/>
        </w:rPr>
        <w:t>Luxembourg</w:t>
      </w:r>
      <w:proofErr w:type="spellEnd"/>
      <w:r w:rsidR="00A644BE" w:rsidRPr="00325C1C">
        <w:rPr>
          <w:i/>
        </w:rPr>
        <w:t>)</w:t>
      </w:r>
      <w:r w:rsidR="003848E0">
        <w:t xml:space="preserve">, </w:t>
      </w:r>
      <w:proofErr w:type="spellStart"/>
      <w:r w:rsidR="00A644BE" w:rsidRPr="00325C1C">
        <w:t>Presses</w:t>
      </w:r>
      <w:proofErr w:type="spellEnd"/>
      <w:r w:rsidR="00A644BE" w:rsidRPr="00325C1C">
        <w:t xml:space="preserve"> </w:t>
      </w:r>
      <w:proofErr w:type="spellStart"/>
      <w:r w:rsidR="00A644BE" w:rsidRPr="00325C1C">
        <w:t>Universitaire</w:t>
      </w:r>
      <w:proofErr w:type="spellEnd"/>
      <w:r w:rsidR="00A644BE" w:rsidRPr="00325C1C">
        <w:t xml:space="preserve"> </w:t>
      </w:r>
      <w:proofErr w:type="spellStart"/>
      <w:r w:rsidR="00A644BE" w:rsidRPr="00325C1C">
        <w:t>D’aix-Marseille</w:t>
      </w:r>
      <w:proofErr w:type="spellEnd"/>
      <w:r w:rsidR="00A644BE" w:rsidRPr="00325C1C">
        <w:t>,</w:t>
      </w:r>
      <w:r w:rsidR="003848E0" w:rsidRPr="003848E0">
        <w:t xml:space="preserve"> </w:t>
      </w:r>
      <w:proofErr w:type="spellStart"/>
      <w:r w:rsidR="003848E0" w:rsidRPr="00325C1C">
        <w:t>Aix</w:t>
      </w:r>
      <w:proofErr w:type="spellEnd"/>
      <w:r w:rsidR="003848E0" w:rsidRPr="00325C1C">
        <w:t xml:space="preserve"> En </w:t>
      </w:r>
      <w:proofErr w:type="spellStart"/>
      <w:r w:rsidR="003848E0" w:rsidRPr="00325C1C">
        <w:t>Provence</w:t>
      </w:r>
      <w:proofErr w:type="spellEnd"/>
      <w:r w:rsidR="003848E0" w:rsidRPr="00325C1C">
        <w:t xml:space="preserve">, </w:t>
      </w:r>
      <w:r w:rsidR="00A644BE" w:rsidRPr="00325C1C">
        <w:t xml:space="preserve"> 2006.</w:t>
      </w:r>
    </w:p>
    <w:p w14:paraId="0C489751" w14:textId="77777777" w:rsidR="000A7280" w:rsidRDefault="006B4DBA" w:rsidP="000A7280">
      <w:pPr>
        <w:tabs>
          <w:tab w:val="left" w:pos="3828"/>
          <w:tab w:val="left" w:pos="4253"/>
        </w:tabs>
        <w:spacing w:line="360" w:lineRule="auto"/>
        <w:ind w:left="567" w:right="431" w:hanging="567"/>
        <w:jc w:val="both"/>
      </w:pPr>
      <w:r w:rsidRPr="006B4DBA">
        <w:rPr>
          <w:b/>
        </w:rPr>
        <w:t>LASSERRE-CAPDEVİLLE</w:t>
      </w:r>
      <w:r w:rsidR="00A644BE" w:rsidRPr="00145D52">
        <w:t>,</w:t>
      </w:r>
      <w:r w:rsidR="00A644BE">
        <w:t xml:space="preserve"> </w:t>
      </w:r>
      <w:proofErr w:type="spellStart"/>
      <w:r w:rsidR="00A644BE" w:rsidRPr="00325C1C">
        <w:t>Jérôme</w:t>
      </w:r>
      <w:proofErr w:type="spellEnd"/>
      <w:r w:rsidR="00A644BE">
        <w:t>,</w:t>
      </w:r>
      <w:r w:rsidR="00A644BE" w:rsidRPr="00145D52">
        <w:t xml:space="preserve"> </w:t>
      </w:r>
      <w:r w:rsidR="00A644BE">
        <w:rPr>
          <w:i/>
        </w:rPr>
        <w:t xml:space="preserve">Le </w:t>
      </w:r>
      <w:proofErr w:type="spellStart"/>
      <w:r w:rsidR="00A644BE">
        <w:rPr>
          <w:i/>
        </w:rPr>
        <w:t>Secret</w:t>
      </w:r>
      <w:proofErr w:type="spellEnd"/>
      <w:r w:rsidR="00A644BE">
        <w:rPr>
          <w:i/>
        </w:rPr>
        <w:t xml:space="preserve"> </w:t>
      </w:r>
      <w:proofErr w:type="spellStart"/>
      <w:r w:rsidR="00A644BE">
        <w:rPr>
          <w:i/>
        </w:rPr>
        <w:t>Bancaire</w:t>
      </w:r>
      <w:proofErr w:type="spellEnd"/>
      <w:r w:rsidR="00A644BE">
        <w:rPr>
          <w:i/>
        </w:rPr>
        <w:t xml:space="preserve">: </w:t>
      </w:r>
      <w:proofErr w:type="spellStart"/>
      <w:r w:rsidR="00A644BE">
        <w:rPr>
          <w:i/>
        </w:rPr>
        <w:t>Approche</w:t>
      </w:r>
      <w:proofErr w:type="spellEnd"/>
      <w:r w:rsidR="00A644BE">
        <w:rPr>
          <w:i/>
        </w:rPr>
        <w:t xml:space="preserve"> </w:t>
      </w:r>
      <w:proofErr w:type="spellStart"/>
      <w:r w:rsidR="00A644BE">
        <w:rPr>
          <w:i/>
        </w:rPr>
        <w:t>Nationale</w:t>
      </w:r>
      <w:proofErr w:type="spellEnd"/>
      <w:r w:rsidR="00A644BE">
        <w:rPr>
          <w:i/>
        </w:rPr>
        <w:t xml:space="preserve"> et </w:t>
      </w:r>
      <w:proofErr w:type="spellStart"/>
      <w:r w:rsidR="00A644BE">
        <w:rPr>
          <w:i/>
        </w:rPr>
        <w:t>İ</w:t>
      </w:r>
      <w:r w:rsidR="00A644BE" w:rsidRPr="00145D52">
        <w:rPr>
          <w:i/>
        </w:rPr>
        <w:t>nternationale</w:t>
      </w:r>
      <w:proofErr w:type="spellEnd"/>
      <w:r w:rsidR="00A644BE">
        <w:t>, Paris,</w:t>
      </w:r>
      <w:r w:rsidR="0083497C">
        <w:t xml:space="preserve"> Edition </w:t>
      </w:r>
      <w:proofErr w:type="spellStart"/>
      <w:r w:rsidR="0083497C">
        <w:t>Revue</w:t>
      </w:r>
      <w:proofErr w:type="spellEnd"/>
      <w:r w:rsidR="0083497C">
        <w:t xml:space="preserve"> </w:t>
      </w:r>
      <w:proofErr w:type="spellStart"/>
      <w:r w:rsidR="0083497C">
        <w:t>Banque</w:t>
      </w:r>
      <w:proofErr w:type="spellEnd"/>
      <w:r w:rsidR="0083497C">
        <w:t>, 2013.</w:t>
      </w:r>
    </w:p>
    <w:p w14:paraId="57E1A803" w14:textId="77777777" w:rsidR="000A7280" w:rsidRDefault="006B4DBA" w:rsidP="000A7280">
      <w:pPr>
        <w:tabs>
          <w:tab w:val="left" w:pos="3828"/>
          <w:tab w:val="left" w:pos="4253"/>
        </w:tabs>
        <w:spacing w:line="360" w:lineRule="auto"/>
        <w:ind w:left="567" w:right="431" w:hanging="567"/>
        <w:jc w:val="both"/>
      </w:pPr>
      <w:r w:rsidRPr="006B4DBA">
        <w:rPr>
          <w:b/>
        </w:rPr>
        <w:t>LASSERRE-CAPDEVİLLE</w:t>
      </w:r>
      <w:r w:rsidR="00A644BE">
        <w:t xml:space="preserve">, </w:t>
      </w:r>
      <w:proofErr w:type="spellStart"/>
      <w:r w:rsidR="00A644BE" w:rsidRPr="006F41FA">
        <w:t>J</w:t>
      </w:r>
      <w:r w:rsidR="00A644BE">
        <w:t>érôme</w:t>
      </w:r>
      <w:proofErr w:type="spellEnd"/>
      <w:r w:rsidR="00A644BE">
        <w:t xml:space="preserve">, </w:t>
      </w:r>
      <w:r w:rsidR="00A644BE" w:rsidRPr="006F41FA">
        <w:rPr>
          <w:i/>
        </w:rPr>
        <w:t xml:space="preserve">Le </w:t>
      </w:r>
      <w:proofErr w:type="spellStart"/>
      <w:r w:rsidR="00A644BE" w:rsidRPr="006F41FA">
        <w:rPr>
          <w:i/>
        </w:rPr>
        <w:t>Secret</w:t>
      </w:r>
      <w:proofErr w:type="spellEnd"/>
      <w:r w:rsidR="00A644BE" w:rsidRPr="006F41FA">
        <w:rPr>
          <w:i/>
        </w:rPr>
        <w:t xml:space="preserve"> </w:t>
      </w:r>
      <w:proofErr w:type="spellStart"/>
      <w:r w:rsidR="00A644BE" w:rsidRPr="006F41FA">
        <w:rPr>
          <w:i/>
        </w:rPr>
        <w:t>Bancaire</w:t>
      </w:r>
      <w:proofErr w:type="spellEnd"/>
      <w:r w:rsidR="00A644BE">
        <w:t xml:space="preserve">, </w:t>
      </w:r>
      <w:proofErr w:type="spellStart"/>
      <w:r w:rsidR="00A644BE" w:rsidRPr="006F41FA">
        <w:t>Banque</w:t>
      </w:r>
      <w:proofErr w:type="spellEnd"/>
      <w:r w:rsidR="00A644BE" w:rsidRPr="006F41FA">
        <w:t xml:space="preserve">&amp; </w:t>
      </w:r>
      <w:proofErr w:type="spellStart"/>
      <w:r w:rsidR="00A644BE" w:rsidRPr="006F41FA">
        <w:t>Droit</w:t>
      </w:r>
      <w:proofErr w:type="spellEnd"/>
      <w:r w:rsidR="00A644BE" w:rsidRPr="006F41FA">
        <w:t xml:space="preserve">, </w:t>
      </w:r>
      <w:proofErr w:type="spellStart"/>
      <w:r w:rsidR="00A644BE" w:rsidRPr="006F41FA">
        <w:t>Hors</w:t>
      </w:r>
      <w:proofErr w:type="spellEnd"/>
      <w:r w:rsidR="00A644BE" w:rsidRPr="006F41FA">
        <w:t xml:space="preserve"> Series, 30 </w:t>
      </w:r>
      <w:proofErr w:type="spellStart"/>
      <w:r w:rsidR="00A644BE" w:rsidRPr="006F41FA">
        <w:t>Ans</w:t>
      </w:r>
      <w:proofErr w:type="spellEnd"/>
      <w:r w:rsidR="00A644BE" w:rsidRPr="006F41FA">
        <w:t xml:space="preserve"> de </w:t>
      </w:r>
      <w:proofErr w:type="spellStart"/>
      <w:r w:rsidR="00A644BE" w:rsidRPr="006F41FA">
        <w:t>Loi</w:t>
      </w:r>
      <w:proofErr w:type="spellEnd"/>
      <w:r w:rsidR="00A644BE" w:rsidRPr="006F41FA">
        <w:t xml:space="preserve"> </w:t>
      </w:r>
      <w:proofErr w:type="spellStart"/>
      <w:r w:rsidR="00A644BE" w:rsidRPr="006F41FA">
        <w:t>bancaire</w:t>
      </w:r>
      <w:proofErr w:type="spellEnd"/>
      <w:r w:rsidR="00A644BE" w:rsidRPr="006F41FA">
        <w:t>, mars 2014</w:t>
      </w:r>
      <w:r w:rsidR="00A644BE" w:rsidRPr="00145D52">
        <w:rPr>
          <w:i/>
        </w:rPr>
        <w:t>,</w:t>
      </w:r>
      <w:r w:rsidR="00A644BE" w:rsidRPr="00145D52">
        <w:t xml:space="preserve"> s.16-20. </w:t>
      </w:r>
      <w:r w:rsidR="00A644BE">
        <w:t xml:space="preserve">(Anılış: Le </w:t>
      </w:r>
      <w:proofErr w:type="spellStart"/>
      <w:r w:rsidR="00A644BE">
        <w:t>secret</w:t>
      </w:r>
      <w:proofErr w:type="spellEnd"/>
      <w:r w:rsidR="00A644BE">
        <w:t xml:space="preserve"> </w:t>
      </w:r>
      <w:proofErr w:type="spellStart"/>
      <w:r w:rsidR="00A644BE">
        <w:t>bancaire</w:t>
      </w:r>
      <w:proofErr w:type="spellEnd"/>
      <w:r w:rsidR="00A644BE">
        <w:t>)</w:t>
      </w:r>
    </w:p>
    <w:p w14:paraId="06F74DAA" w14:textId="77777777" w:rsidR="000A7280" w:rsidRDefault="006B4DBA" w:rsidP="000A7280">
      <w:pPr>
        <w:tabs>
          <w:tab w:val="left" w:pos="3828"/>
          <w:tab w:val="left" w:pos="4253"/>
        </w:tabs>
        <w:spacing w:line="360" w:lineRule="auto"/>
        <w:ind w:left="567" w:right="431" w:hanging="567"/>
        <w:jc w:val="both"/>
      </w:pPr>
      <w:r w:rsidRPr="006B4DBA">
        <w:rPr>
          <w:b/>
        </w:rPr>
        <w:t>RAPPO</w:t>
      </w:r>
      <w:r w:rsidR="00A644BE" w:rsidRPr="000E4B90">
        <w:t xml:space="preserve">, </w:t>
      </w:r>
      <w:proofErr w:type="spellStart"/>
      <w:r w:rsidR="00A644BE" w:rsidRPr="000E4B90">
        <w:t>Aurélia</w:t>
      </w:r>
      <w:proofErr w:type="spellEnd"/>
      <w:r w:rsidR="00A644BE" w:rsidRPr="000E4B90">
        <w:t xml:space="preserve"> Joyce</w:t>
      </w:r>
      <w:r w:rsidR="003848E0">
        <w:t>,</w:t>
      </w:r>
      <w:r w:rsidR="00A644BE" w:rsidRPr="000E4B90">
        <w:t xml:space="preserve"> </w:t>
      </w:r>
      <w:r w:rsidR="00A644BE" w:rsidRPr="000E4B90">
        <w:rPr>
          <w:i/>
        </w:rPr>
        <w:t xml:space="preserve">Le </w:t>
      </w:r>
      <w:proofErr w:type="spellStart"/>
      <w:r w:rsidR="00A644BE" w:rsidRPr="000E4B90">
        <w:rPr>
          <w:i/>
        </w:rPr>
        <w:t>Secret</w:t>
      </w:r>
      <w:proofErr w:type="spellEnd"/>
      <w:r w:rsidR="00A644BE" w:rsidRPr="000E4B90">
        <w:rPr>
          <w:i/>
        </w:rPr>
        <w:t xml:space="preserve"> </w:t>
      </w:r>
      <w:proofErr w:type="spellStart"/>
      <w:r w:rsidR="00A644BE" w:rsidRPr="000E4B90">
        <w:rPr>
          <w:i/>
        </w:rPr>
        <w:t>Bancaire</w:t>
      </w:r>
      <w:proofErr w:type="spellEnd"/>
      <w:r w:rsidR="00A644BE" w:rsidRPr="000E4B90">
        <w:rPr>
          <w:i/>
        </w:rPr>
        <w:t xml:space="preserve">, </w:t>
      </w:r>
      <w:proofErr w:type="spellStart"/>
      <w:r w:rsidR="00A644BE" w:rsidRPr="000E4B90">
        <w:rPr>
          <w:i/>
        </w:rPr>
        <w:t>Sa</w:t>
      </w:r>
      <w:proofErr w:type="spellEnd"/>
      <w:r w:rsidR="00A644BE" w:rsidRPr="000E4B90">
        <w:rPr>
          <w:i/>
        </w:rPr>
        <w:t xml:space="preserve"> </w:t>
      </w:r>
      <w:proofErr w:type="spellStart"/>
      <w:r w:rsidR="00A644BE" w:rsidRPr="000E4B90">
        <w:rPr>
          <w:i/>
        </w:rPr>
        <w:t>Portée</w:t>
      </w:r>
      <w:proofErr w:type="spellEnd"/>
      <w:r w:rsidR="00A644BE" w:rsidRPr="000E4B90">
        <w:rPr>
          <w:i/>
        </w:rPr>
        <w:t xml:space="preserve"> Dans Le </w:t>
      </w:r>
      <w:proofErr w:type="spellStart"/>
      <w:r w:rsidR="00A644BE" w:rsidRPr="000E4B90">
        <w:rPr>
          <w:i/>
        </w:rPr>
        <w:t>Temps</w:t>
      </w:r>
      <w:proofErr w:type="spellEnd"/>
      <w:r w:rsidR="00A644BE" w:rsidRPr="000E4B90">
        <w:rPr>
          <w:i/>
        </w:rPr>
        <w:t xml:space="preserve">, Dans </w:t>
      </w:r>
      <w:proofErr w:type="spellStart"/>
      <w:r w:rsidR="00A644BE" w:rsidRPr="000E4B90">
        <w:rPr>
          <w:i/>
        </w:rPr>
        <w:t>L’espace</w:t>
      </w:r>
      <w:proofErr w:type="spellEnd"/>
      <w:r w:rsidR="00A644BE" w:rsidRPr="000E4B90">
        <w:rPr>
          <w:i/>
        </w:rPr>
        <w:t xml:space="preserve"> et Dans </w:t>
      </w:r>
      <w:proofErr w:type="spellStart"/>
      <w:r w:rsidR="00A644BE" w:rsidRPr="000E4B90">
        <w:rPr>
          <w:i/>
        </w:rPr>
        <w:t>Les</w:t>
      </w:r>
      <w:proofErr w:type="spellEnd"/>
      <w:r w:rsidR="00A644BE" w:rsidRPr="000E4B90">
        <w:rPr>
          <w:i/>
        </w:rPr>
        <w:t xml:space="preserve"> </w:t>
      </w:r>
      <w:proofErr w:type="spellStart"/>
      <w:r w:rsidR="00A644BE" w:rsidRPr="000E4B90">
        <w:rPr>
          <w:i/>
        </w:rPr>
        <w:t>Groupes</w:t>
      </w:r>
      <w:proofErr w:type="spellEnd"/>
      <w:r w:rsidR="00A644BE" w:rsidRPr="000E4B90">
        <w:rPr>
          <w:i/>
        </w:rPr>
        <w:t xml:space="preserve"> De </w:t>
      </w:r>
      <w:proofErr w:type="spellStart"/>
      <w:r w:rsidR="00A644BE" w:rsidRPr="000E4B90">
        <w:rPr>
          <w:i/>
        </w:rPr>
        <w:t>Sociétés</w:t>
      </w:r>
      <w:proofErr w:type="spellEnd"/>
      <w:r w:rsidR="00A644BE" w:rsidRPr="000E4B90">
        <w:rPr>
          <w:i/>
        </w:rPr>
        <w:t>,</w:t>
      </w:r>
      <w:r w:rsidR="00A644BE" w:rsidRPr="000E4B90">
        <w:t xml:space="preserve"> </w:t>
      </w:r>
      <w:proofErr w:type="spellStart"/>
      <w:r w:rsidR="00A644BE" w:rsidRPr="000E4B90">
        <w:rPr>
          <w:color w:val="333333"/>
        </w:rPr>
        <w:t>Staempfli</w:t>
      </w:r>
      <w:proofErr w:type="spellEnd"/>
      <w:r w:rsidR="00A644BE" w:rsidRPr="000E4B90">
        <w:t xml:space="preserve">, </w:t>
      </w:r>
      <w:proofErr w:type="spellStart"/>
      <w:r w:rsidR="003848E0" w:rsidRPr="000E4B90">
        <w:t>Berne</w:t>
      </w:r>
      <w:proofErr w:type="spellEnd"/>
      <w:r w:rsidR="003848E0" w:rsidRPr="000E4B90">
        <w:t xml:space="preserve">, </w:t>
      </w:r>
      <w:r w:rsidR="00A644BE" w:rsidRPr="000E4B90">
        <w:t>2002</w:t>
      </w:r>
      <w:r w:rsidR="00A644BE">
        <w:t>.</w:t>
      </w:r>
    </w:p>
    <w:p w14:paraId="586B2CAD" w14:textId="77777777" w:rsidR="000A7280" w:rsidRDefault="006B4DBA" w:rsidP="000A7280">
      <w:pPr>
        <w:tabs>
          <w:tab w:val="left" w:pos="3828"/>
          <w:tab w:val="left" w:pos="4253"/>
        </w:tabs>
        <w:spacing w:line="360" w:lineRule="auto"/>
        <w:ind w:left="567" w:right="431" w:hanging="567"/>
        <w:jc w:val="both"/>
      </w:pPr>
      <w:r w:rsidRPr="006B4DBA">
        <w:rPr>
          <w:b/>
        </w:rPr>
        <w:t>REİSOĞLU</w:t>
      </w:r>
      <w:r w:rsidR="00A644BE" w:rsidRPr="00986BF7">
        <w:t xml:space="preserve">, Seza, </w:t>
      </w:r>
      <w:r w:rsidR="00A644BE" w:rsidRPr="00986BF7">
        <w:rPr>
          <w:i/>
        </w:rPr>
        <w:t>Bankacılık Kanunu Şerhi</w:t>
      </w:r>
      <w:r w:rsidR="003848E0">
        <w:rPr>
          <w:i/>
        </w:rPr>
        <w:t>,</w:t>
      </w:r>
      <w:r w:rsidR="003848E0">
        <w:t xml:space="preserve"> </w:t>
      </w:r>
      <w:r w:rsidR="00A644BE" w:rsidRPr="00986BF7">
        <w:t>Cilt</w:t>
      </w:r>
      <w:r w:rsidR="003848E0">
        <w:t>:2</w:t>
      </w:r>
      <w:r w:rsidR="00A644BE" w:rsidRPr="00986BF7">
        <w:t xml:space="preserve">, </w:t>
      </w:r>
      <w:r w:rsidR="00AB1E82">
        <w:t xml:space="preserve">2. Baskı, </w:t>
      </w:r>
      <w:r w:rsidR="00A644BE" w:rsidRPr="00986BF7">
        <w:t xml:space="preserve">Yaklaşım Yayınları, </w:t>
      </w:r>
      <w:r w:rsidR="003848E0" w:rsidRPr="00986BF7">
        <w:t xml:space="preserve">Ankara, </w:t>
      </w:r>
      <w:r w:rsidR="00A644BE" w:rsidRPr="00986BF7">
        <w:t>2015.</w:t>
      </w:r>
    </w:p>
    <w:p w14:paraId="229DD259" w14:textId="77777777" w:rsidR="000A7280" w:rsidRDefault="006B4DBA" w:rsidP="000A7280">
      <w:pPr>
        <w:tabs>
          <w:tab w:val="left" w:pos="3828"/>
          <w:tab w:val="left" w:pos="4253"/>
        </w:tabs>
        <w:spacing w:line="360" w:lineRule="auto"/>
        <w:ind w:left="567" w:right="431" w:hanging="567"/>
        <w:jc w:val="both"/>
      </w:pPr>
      <w:r w:rsidRPr="006B4DBA">
        <w:rPr>
          <w:b/>
          <w:lang w:val="fr-FR"/>
        </w:rPr>
        <w:t>RONTCHEVSKY</w:t>
      </w:r>
      <w:r w:rsidR="003848E0">
        <w:rPr>
          <w:lang w:val="fr-FR"/>
        </w:rPr>
        <w:t xml:space="preserve">, Nicolas, </w:t>
      </w:r>
      <w:r w:rsidR="003848E0" w:rsidRPr="003848E0">
        <w:rPr>
          <w:i/>
        </w:rPr>
        <w:t>“</w:t>
      </w:r>
      <w:proofErr w:type="spellStart"/>
      <w:r w:rsidR="00A644BE" w:rsidRPr="003848E0">
        <w:rPr>
          <w:i/>
        </w:rPr>
        <w:t>Du</w:t>
      </w:r>
      <w:proofErr w:type="spellEnd"/>
      <w:r w:rsidR="00A644BE" w:rsidRPr="003848E0">
        <w:rPr>
          <w:i/>
        </w:rPr>
        <w:t xml:space="preserve"> </w:t>
      </w:r>
      <w:proofErr w:type="spellStart"/>
      <w:r w:rsidR="00A644BE" w:rsidRPr="003848E0">
        <w:rPr>
          <w:i/>
        </w:rPr>
        <w:t>Coût</w:t>
      </w:r>
      <w:proofErr w:type="spellEnd"/>
      <w:r w:rsidR="00A644BE" w:rsidRPr="003848E0">
        <w:rPr>
          <w:i/>
        </w:rPr>
        <w:t xml:space="preserve"> </w:t>
      </w:r>
      <w:proofErr w:type="spellStart"/>
      <w:r w:rsidR="00A644BE" w:rsidRPr="003848E0">
        <w:rPr>
          <w:i/>
        </w:rPr>
        <w:t>D'un</w:t>
      </w:r>
      <w:proofErr w:type="spellEnd"/>
      <w:r w:rsidR="00A644BE" w:rsidRPr="003848E0">
        <w:rPr>
          <w:i/>
        </w:rPr>
        <w:t xml:space="preserve"> </w:t>
      </w:r>
      <w:proofErr w:type="spellStart"/>
      <w:r w:rsidR="00A644BE" w:rsidRPr="003848E0">
        <w:rPr>
          <w:i/>
        </w:rPr>
        <w:t>Conflit</w:t>
      </w:r>
      <w:proofErr w:type="spellEnd"/>
      <w:r w:rsidR="00A644BE" w:rsidRPr="003848E0">
        <w:rPr>
          <w:i/>
        </w:rPr>
        <w:t xml:space="preserve"> </w:t>
      </w:r>
      <w:proofErr w:type="spellStart"/>
      <w:r w:rsidR="00A644BE" w:rsidRPr="003848E0">
        <w:rPr>
          <w:i/>
        </w:rPr>
        <w:t>D'intérêts</w:t>
      </w:r>
      <w:proofErr w:type="spellEnd"/>
      <w:r w:rsidR="00A644BE" w:rsidRPr="003848E0">
        <w:rPr>
          <w:i/>
        </w:rPr>
        <w:t xml:space="preserve"> </w:t>
      </w:r>
      <w:proofErr w:type="spellStart"/>
      <w:r w:rsidR="00A644BE" w:rsidRPr="003848E0">
        <w:rPr>
          <w:i/>
        </w:rPr>
        <w:t>Non</w:t>
      </w:r>
      <w:proofErr w:type="spellEnd"/>
      <w:r w:rsidR="00A644BE" w:rsidRPr="003848E0">
        <w:rPr>
          <w:i/>
        </w:rPr>
        <w:t xml:space="preserve"> </w:t>
      </w:r>
      <w:proofErr w:type="spellStart"/>
      <w:r w:rsidR="00A644BE" w:rsidRPr="003848E0">
        <w:rPr>
          <w:i/>
        </w:rPr>
        <w:t>Révélé</w:t>
      </w:r>
      <w:proofErr w:type="spellEnd"/>
      <w:r w:rsidR="00A644BE" w:rsidRPr="003848E0">
        <w:rPr>
          <w:i/>
        </w:rPr>
        <w:t xml:space="preserve">: Le </w:t>
      </w:r>
      <w:proofErr w:type="spellStart"/>
      <w:r w:rsidR="00A644BE" w:rsidRPr="003848E0">
        <w:rPr>
          <w:i/>
        </w:rPr>
        <w:t>Tribunal</w:t>
      </w:r>
      <w:proofErr w:type="spellEnd"/>
      <w:r w:rsidR="00A644BE" w:rsidRPr="003848E0">
        <w:rPr>
          <w:i/>
        </w:rPr>
        <w:t xml:space="preserve"> De Commerce De Paris </w:t>
      </w:r>
      <w:proofErr w:type="spellStart"/>
      <w:r w:rsidR="00A644BE" w:rsidRPr="003848E0">
        <w:rPr>
          <w:i/>
        </w:rPr>
        <w:t>Condamne</w:t>
      </w:r>
      <w:proofErr w:type="spellEnd"/>
      <w:r w:rsidR="00A644BE" w:rsidRPr="003848E0">
        <w:rPr>
          <w:i/>
        </w:rPr>
        <w:t xml:space="preserve"> </w:t>
      </w:r>
      <w:proofErr w:type="spellStart"/>
      <w:r w:rsidR="00A644BE" w:rsidRPr="003848E0">
        <w:rPr>
          <w:i/>
        </w:rPr>
        <w:t>Une</w:t>
      </w:r>
      <w:proofErr w:type="spellEnd"/>
      <w:r w:rsidR="00A644BE" w:rsidRPr="003848E0">
        <w:rPr>
          <w:i/>
        </w:rPr>
        <w:t xml:space="preserve"> </w:t>
      </w:r>
      <w:proofErr w:type="spellStart"/>
      <w:r w:rsidR="00A644BE" w:rsidRPr="003848E0">
        <w:rPr>
          <w:i/>
        </w:rPr>
        <w:t>Banque</w:t>
      </w:r>
      <w:proofErr w:type="spellEnd"/>
      <w:r w:rsidR="00A644BE" w:rsidRPr="003848E0">
        <w:rPr>
          <w:i/>
        </w:rPr>
        <w:t xml:space="preserve"> </w:t>
      </w:r>
      <w:proofErr w:type="spellStart"/>
      <w:r w:rsidR="00A644BE" w:rsidRPr="003848E0">
        <w:rPr>
          <w:i/>
        </w:rPr>
        <w:t>D'affaires</w:t>
      </w:r>
      <w:proofErr w:type="spellEnd"/>
      <w:r w:rsidR="00A644BE" w:rsidRPr="003848E0">
        <w:rPr>
          <w:i/>
        </w:rPr>
        <w:t xml:space="preserve"> À </w:t>
      </w:r>
      <w:proofErr w:type="spellStart"/>
      <w:r w:rsidR="00A644BE" w:rsidRPr="003848E0">
        <w:rPr>
          <w:i/>
        </w:rPr>
        <w:t>Payer</w:t>
      </w:r>
      <w:proofErr w:type="spellEnd"/>
      <w:r w:rsidR="00A644BE" w:rsidRPr="003848E0">
        <w:rPr>
          <w:i/>
        </w:rPr>
        <w:t xml:space="preserve"> </w:t>
      </w:r>
      <w:proofErr w:type="spellStart"/>
      <w:r w:rsidR="00A644BE" w:rsidRPr="003848E0">
        <w:rPr>
          <w:i/>
        </w:rPr>
        <w:t>Des</w:t>
      </w:r>
      <w:proofErr w:type="spellEnd"/>
      <w:r w:rsidR="00A644BE" w:rsidRPr="003848E0">
        <w:rPr>
          <w:i/>
        </w:rPr>
        <w:t xml:space="preserve"> </w:t>
      </w:r>
      <w:proofErr w:type="spellStart"/>
      <w:r w:rsidR="00A644BE" w:rsidRPr="003848E0">
        <w:rPr>
          <w:i/>
        </w:rPr>
        <w:t>Dommages-İntérêts</w:t>
      </w:r>
      <w:proofErr w:type="spellEnd"/>
      <w:r w:rsidR="00A644BE" w:rsidRPr="003848E0">
        <w:rPr>
          <w:i/>
        </w:rPr>
        <w:t xml:space="preserve"> </w:t>
      </w:r>
      <w:proofErr w:type="spellStart"/>
      <w:r w:rsidR="00A644BE" w:rsidRPr="003848E0">
        <w:rPr>
          <w:i/>
        </w:rPr>
        <w:t>Considérables</w:t>
      </w:r>
      <w:proofErr w:type="spellEnd"/>
      <w:r w:rsidR="00A644BE" w:rsidRPr="003848E0">
        <w:rPr>
          <w:i/>
        </w:rPr>
        <w:t xml:space="preserve"> À </w:t>
      </w:r>
      <w:proofErr w:type="spellStart"/>
      <w:r w:rsidR="00A644BE" w:rsidRPr="003848E0">
        <w:rPr>
          <w:i/>
        </w:rPr>
        <w:t>Une</w:t>
      </w:r>
      <w:proofErr w:type="spellEnd"/>
      <w:r w:rsidR="00A644BE" w:rsidRPr="003848E0">
        <w:rPr>
          <w:i/>
        </w:rPr>
        <w:t xml:space="preserve"> </w:t>
      </w:r>
      <w:proofErr w:type="spellStart"/>
      <w:r w:rsidR="00A644BE" w:rsidRPr="003848E0">
        <w:rPr>
          <w:i/>
        </w:rPr>
        <w:t>Société</w:t>
      </w:r>
      <w:proofErr w:type="spellEnd"/>
      <w:r w:rsidR="00A644BE" w:rsidRPr="003848E0">
        <w:rPr>
          <w:i/>
        </w:rPr>
        <w:t xml:space="preserve"> </w:t>
      </w:r>
      <w:proofErr w:type="spellStart"/>
      <w:r w:rsidR="00A644BE" w:rsidRPr="003848E0">
        <w:rPr>
          <w:i/>
        </w:rPr>
        <w:t>Cotée</w:t>
      </w:r>
      <w:proofErr w:type="spellEnd"/>
      <w:r w:rsidR="00A644BE" w:rsidRPr="003848E0">
        <w:rPr>
          <w:i/>
        </w:rPr>
        <w:t xml:space="preserve"> </w:t>
      </w:r>
      <w:proofErr w:type="spellStart"/>
      <w:r w:rsidR="00A644BE" w:rsidRPr="003848E0">
        <w:rPr>
          <w:i/>
        </w:rPr>
        <w:t>Pour</w:t>
      </w:r>
      <w:proofErr w:type="spellEnd"/>
      <w:r w:rsidR="00A644BE" w:rsidRPr="003848E0">
        <w:rPr>
          <w:i/>
        </w:rPr>
        <w:t xml:space="preserve"> </w:t>
      </w:r>
      <w:proofErr w:type="spellStart"/>
      <w:r w:rsidR="00A644BE" w:rsidRPr="003848E0">
        <w:rPr>
          <w:i/>
        </w:rPr>
        <w:t>Avoir</w:t>
      </w:r>
      <w:proofErr w:type="spellEnd"/>
      <w:r w:rsidR="00A644BE" w:rsidRPr="003848E0">
        <w:rPr>
          <w:i/>
        </w:rPr>
        <w:t xml:space="preserve"> </w:t>
      </w:r>
      <w:proofErr w:type="spellStart"/>
      <w:r w:rsidR="00A644BE" w:rsidRPr="003848E0">
        <w:rPr>
          <w:i/>
        </w:rPr>
        <w:t>Manqué</w:t>
      </w:r>
      <w:proofErr w:type="spellEnd"/>
      <w:r w:rsidR="00A644BE" w:rsidRPr="003848E0">
        <w:rPr>
          <w:i/>
        </w:rPr>
        <w:t xml:space="preserve"> </w:t>
      </w:r>
      <w:proofErr w:type="spellStart"/>
      <w:r w:rsidR="00A644BE" w:rsidRPr="003848E0">
        <w:rPr>
          <w:i/>
        </w:rPr>
        <w:t>Gravement</w:t>
      </w:r>
      <w:proofErr w:type="spellEnd"/>
      <w:r w:rsidR="00A644BE" w:rsidRPr="003848E0">
        <w:rPr>
          <w:i/>
        </w:rPr>
        <w:t xml:space="preserve"> Et À De </w:t>
      </w:r>
      <w:proofErr w:type="spellStart"/>
      <w:r w:rsidR="00A644BE" w:rsidRPr="003848E0">
        <w:rPr>
          <w:i/>
        </w:rPr>
        <w:t>Multiples</w:t>
      </w:r>
      <w:proofErr w:type="spellEnd"/>
      <w:r w:rsidR="00A644BE" w:rsidRPr="003848E0">
        <w:rPr>
          <w:i/>
        </w:rPr>
        <w:t xml:space="preserve"> </w:t>
      </w:r>
      <w:proofErr w:type="spellStart"/>
      <w:r w:rsidR="00A644BE" w:rsidRPr="003848E0">
        <w:rPr>
          <w:i/>
        </w:rPr>
        <w:t>Reprises</w:t>
      </w:r>
      <w:proofErr w:type="spellEnd"/>
      <w:r w:rsidR="00A644BE" w:rsidRPr="003848E0">
        <w:rPr>
          <w:i/>
        </w:rPr>
        <w:t xml:space="preserve"> À Ses </w:t>
      </w:r>
      <w:proofErr w:type="spellStart"/>
      <w:r w:rsidR="00A644BE" w:rsidRPr="003848E0">
        <w:rPr>
          <w:i/>
        </w:rPr>
        <w:t>Devoirs</w:t>
      </w:r>
      <w:proofErr w:type="spellEnd"/>
      <w:r w:rsidR="00A644BE" w:rsidRPr="003848E0">
        <w:rPr>
          <w:i/>
        </w:rPr>
        <w:t xml:space="preserve"> </w:t>
      </w:r>
      <w:proofErr w:type="spellStart"/>
      <w:r w:rsidR="00A644BE" w:rsidRPr="003848E0">
        <w:rPr>
          <w:i/>
        </w:rPr>
        <w:t>D'indépendance</w:t>
      </w:r>
      <w:proofErr w:type="spellEnd"/>
      <w:r w:rsidR="00A644BE" w:rsidRPr="003848E0">
        <w:rPr>
          <w:i/>
        </w:rPr>
        <w:t xml:space="preserve">, </w:t>
      </w:r>
      <w:proofErr w:type="spellStart"/>
      <w:r w:rsidR="00A644BE" w:rsidRPr="003848E0">
        <w:rPr>
          <w:i/>
        </w:rPr>
        <w:t>D'impartialité</w:t>
      </w:r>
      <w:proofErr w:type="spellEnd"/>
      <w:r w:rsidR="00A644BE" w:rsidRPr="003848E0">
        <w:rPr>
          <w:i/>
        </w:rPr>
        <w:t xml:space="preserve"> Et De </w:t>
      </w:r>
      <w:proofErr w:type="spellStart"/>
      <w:r w:rsidR="00A644BE" w:rsidRPr="003848E0">
        <w:rPr>
          <w:i/>
        </w:rPr>
        <w:t>Rigueu</w:t>
      </w:r>
      <w:r w:rsidR="00D05842">
        <w:rPr>
          <w:i/>
        </w:rPr>
        <w:t>r</w:t>
      </w:r>
      <w:proofErr w:type="spellEnd"/>
      <w:r w:rsidR="00D05842">
        <w:rPr>
          <w:i/>
        </w:rPr>
        <w:t xml:space="preserve"> Dans Ses </w:t>
      </w:r>
      <w:proofErr w:type="spellStart"/>
      <w:r w:rsidR="00D05842">
        <w:rPr>
          <w:i/>
        </w:rPr>
        <w:t>Analyses</w:t>
      </w:r>
      <w:proofErr w:type="spellEnd"/>
      <w:r w:rsidR="00D05842">
        <w:rPr>
          <w:i/>
        </w:rPr>
        <w:t xml:space="preserve"> </w:t>
      </w:r>
      <w:proofErr w:type="spellStart"/>
      <w:r w:rsidR="00D05842">
        <w:rPr>
          <w:i/>
        </w:rPr>
        <w:t>Financières</w:t>
      </w:r>
      <w:proofErr w:type="spellEnd"/>
      <w:r w:rsidR="00D05842">
        <w:rPr>
          <w:i/>
        </w:rPr>
        <w:t>”</w:t>
      </w:r>
      <w:r w:rsidR="00A644BE" w:rsidRPr="003848E0">
        <w:rPr>
          <w:i/>
        </w:rPr>
        <w:t xml:space="preserve"> </w:t>
      </w:r>
      <w:proofErr w:type="spellStart"/>
      <w:r w:rsidR="00A644BE" w:rsidRPr="00D05842">
        <w:t>Revue</w:t>
      </w:r>
      <w:proofErr w:type="spellEnd"/>
      <w:r w:rsidR="00A644BE" w:rsidRPr="00D05842">
        <w:t xml:space="preserve"> </w:t>
      </w:r>
      <w:proofErr w:type="spellStart"/>
      <w:r w:rsidR="00A644BE" w:rsidRPr="00D05842">
        <w:t>trimestrielle</w:t>
      </w:r>
      <w:proofErr w:type="spellEnd"/>
      <w:r w:rsidR="00A644BE" w:rsidRPr="00D05842">
        <w:t xml:space="preserve"> de </w:t>
      </w:r>
      <w:proofErr w:type="spellStart"/>
      <w:r w:rsidR="00A644BE" w:rsidRPr="00D05842">
        <w:t>droit</w:t>
      </w:r>
      <w:proofErr w:type="spellEnd"/>
      <w:r w:rsidR="00A644BE" w:rsidRPr="00D05842">
        <w:t xml:space="preserve"> </w:t>
      </w:r>
      <w:proofErr w:type="spellStart"/>
      <w:r w:rsidR="00A644BE" w:rsidRPr="00D05842">
        <w:t>commercial</w:t>
      </w:r>
      <w:proofErr w:type="spellEnd"/>
      <w:r w:rsidR="00A644BE" w:rsidRPr="003848E0">
        <w:rPr>
          <w:i/>
        </w:rPr>
        <w:t>,</w:t>
      </w:r>
      <w:r w:rsidR="00A644BE" w:rsidRPr="00145D52">
        <w:t xml:space="preserve"> 2004(2), s.337-348. </w:t>
      </w:r>
    </w:p>
    <w:p w14:paraId="1B9B7095" w14:textId="77777777" w:rsidR="000A7280" w:rsidRDefault="006B4DBA" w:rsidP="000A7280">
      <w:pPr>
        <w:tabs>
          <w:tab w:val="left" w:pos="3828"/>
          <w:tab w:val="left" w:pos="4253"/>
        </w:tabs>
        <w:spacing w:line="360" w:lineRule="auto"/>
        <w:ind w:left="567" w:right="431" w:hanging="567"/>
        <w:jc w:val="both"/>
      </w:pPr>
      <w:r w:rsidRPr="006B4DBA">
        <w:rPr>
          <w:b/>
          <w:lang w:val="fr-FR"/>
        </w:rPr>
        <w:t>RONTCHEVSKY</w:t>
      </w:r>
      <w:r w:rsidR="003848E0">
        <w:rPr>
          <w:lang w:val="fr-FR"/>
        </w:rPr>
        <w:t>, Nicolas</w:t>
      </w:r>
      <w:r w:rsidR="003848E0">
        <w:t xml:space="preserve">, </w:t>
      </w:r>
      <w:r w:rsidR="0089248F" w:rsidRPr="0089248F">
        <w:rPr>
          <w:i/>
        </w:rPr>
        <w:t>“</w:t>
      </w:r>
      <w:r w:rsidR="00A644BE" w:rsidRPr="0089248F">
        <w:rPr>
          <w:i/>
        </w:rPr>
        <w:t xml:space="preserve">LVMH C/ Morgan </w:t>
      </w:r>
      <w:proofErr w:type="spellStart"/>
      <w:r w:rsidR="00A644BE" w:rsidRPr="0089248F">
        <w:rPr>
          <w:i/>
        </w:rPr>
        <w:t>Stanley</w:t>
      </w:r>
      <w:proofErr w:type="spellEnd"/>
      <w:r w:rsidR="00A644BE" w:rsidRPr="0089248F">
        <w:rPr>
          <w:i/>
        </w:rPr>
        <w:t xml:space="preserve">: </w:t>
      </w:r>
      <w:proofErr w:type="spellStart"/>
      <w:r w:rsidR="00A644BE" w:rsidRPr="0089248F">
        <w:rPr>
          <w:i/>
        </w:rPr>
        <w:t>Retour</w:t>
      </w:r>
      <w:proofErr w:type="spellEnd"/>
      <w:r w:rsidR="00A644BE" w:rsidRPr="0089248F">
        <w:rPr>
          <w:i/>
        </w:rPr>
        <w:t xml:space="preserve"> À </w:t>
      </w:r>
      <w:proofErr w:type="spellStart"/>
      <w:r w:rsidR="00A644BE" w:rsidRPr="0089248F">
        <w:rPr>
          <w:i/>
        </w:rPr>
        <w:t>L'orthodoxie</w:t>
      </w:r>
      <w:proofErr w:type="spellEnd"/>
      <w:r w:rsidR="00A644BE" w:rsidRPr="0089248F">
        <w:rPr>
          <w:i/>
        </w:rPr>
        <w:t xml:space="preserve"> </w:t>
      </w:r>
      <w:proofErr w:type="spellStart"/>
      <w:r w:rsidR="00A644BE" w:rsidRPr="0089248F">
        <w:rPr>
          <w:i/>
        </w:rPr>
        <w:t>Juridique</w:t>
      </w:r>
      <w:proofErr w:type="spellEnd"/>
      <w:r w:rsidR="00A644BE" w:rsidRPr="0089248F">
        <w:rPr>
          <w:i/>
        </w:rPr>
        <w:t xml:space="preserve">: La </w:t>
      </w:r>
      <w:proofErr w:type="spellStart"/>
      <w:r w:rsidR="00A644BE" w:rsidRPr="0089248F">
        <w:rPr>
          <w:i/>
        </w:rPr>
        <w:t>Cour</w:t>
      </w:r>
      <w:proofErr w:type="spellEnd"/>
      <w:r w:rsidR="00A644BE" w:rsidRPr="0089248F">
        <w:rPr>
          <w:i/>
        </w:rPr>
        <w:t xml:space="preserve"> </w:t>
      </w:r>
      <w:proofErr w:type="spellStart"/>
      <w:r w:rsidR="00A644BE" w:rsidRPr="0089248F">
        <w:rPr>
          <w:i/>
        </w:rPr>
        <w:t>D'appel</w:t>
      </w:r>
      <w:proofErr w:type="spellEnd"/>
      <w:r w:rsidR="00A644BE" w:rsidRPr="0089248F">
        <w:rPr>
          <w:i/>
        </w:rPr>
        <w:t xml:space="preserve"> De Paris </w:t>
      </w:r>
      <w:proofErr w:type="spellStart"/>
      <w:r w:rsidR="00A644BE" w:rsidRPr="0089248F">
        <w:rPr>
          <w:i/>
        </w:rPr>
        <w:t>İnfirme</w:t>
      </w:r>
      <w:proofErr w:type="spellEnd"/>
      <w:r w:rsidR="00A644BE" w:rsidRPr="0089248F">
        <w:rPr>
          <w:i/>
        </w:rPr>
        <w:t xml:space="preserve"> Sur </w:t>
      </w:r>
      <w:proofErr w:type="spellStart"/>
      <w:r w:rsidR="00A644BE" w:rsidRPr="0089248F">
        <w:rPr>
          <w:i/>
        </w:rPr>
        <w:t>L'essentiel</w:t>
      </w:r>
      <w:proofErr w:type="spellEnd"/>
      <w:r w:rsidR="00A644BE" w:rsidRPr="0089248F">
        <w:rPr>
          <w:i/>
        </w:rPr>
        <w:t xml:space="preserve"> Le </w:t>
      </w:r>
      <w:proofErr w:type="spellStart"/>
      <w:r w:rsidR="00A644BE" w:rsidRPr="0089248F">
        <w:rPr>
          <w:i/>
        </w:rPr>
        <w:t>Jugement</w:t>
      </w:r>
      <w:proofErr w:type="spellEnd"/>
      <w:r w:rsidR="00A644BE" w:rsidRPr="0089248F">
        <w:rPr>
          <w:i/>
        </w:rPr>
        <w:t xml:space="preserve"> </w:t>
      </w:r>
      <w:proofErr w:type="spellStart"/>
      <w:r w:rsidR="00A644BE" w:rsidRPr="0089248F">
        <w:rPr>
          <w:i/>
        </w:rPr>
        <w:t>Du</w:t>
      </w:r>
      <w:proofErr w:type="spellEnd"/>
      <w:r w:rsidR="00A644BE" w:rsidRPr="0089248F">
        <w:rPr>
          <w:i/>
        </w:rPr>
        <w:t xml:space="preserve"> </w:t>
      </w:r>
      <w:proofErr w:type="spellStart"/>
      <w:r w:rsidR="00A644BE" w:rsidRPr="0089248F">
        <w:rPr>
          <w:i/>
        </w:rPr>
        <w:t>Tribunal</w:t>
      </w:r>
      <w:proofErr w:type="spellEnd"/>
      <w:r w:rsidR="00A644BE" w:rsidRPr="0089248F">
        <w:rPr>
          <w:i/>
        </w:rPr>
        <w:t xml:space="preserve"> De Commerce De Paris </w:t>
      </w:r>
      <w:proofErr w:type="spellStart"/>
      <w:r w:rsidR="00A644BE" w:rsidRPr="0089248F">
        <w:rPr>
          <w:i/>
        </w:rPr>
        <w:t>Du</w:t>
      </w:r>
      <w:proofErr w:type="spellEnd"/>
      <w:r w:rsidR="00A644BE" w:rsidRPr="0089248F">
        <w:rPr>
          <w:i/>
        </w:rPr>
        <w:t xml:space="preserve"> 12 </w:t>
      </w:r>
      <w:proofErr w:type="spellStart"/>
      <w:r w:rsidR="00A644BE" w:rsidRPr="0089248F">
        <w:rPr>
          <w:i/>
        </w:rPr>
        <w:t>Janvier</w:t>
      </w:r>
      <w:proofErr w:type="spellEnd"/>
      <w:r w:rsidR="00A644BE" w:rsidRPr="0089248F">
        <w:rPr>
          <w:i/>
        </w:rPr>
        <w:t xml:space="preserve"> 2004</w:t>
      </w:r>
      <w:r w:rsidR="0089248F" w:rsidRPr="0089248F">
        <w:rPr>
          <w:i/>
        </w:rPr>
        <w:t>”</w:t>
      </w:r>
      <w:r w:rsidR="00A644BE">
        <w:t xml:space="preserve">, </w:t>
      </w:r>
      <w:proofErr w:type="spellStart"/>
      <w:r w:rsidR="00A644BE" w:rsidRPr="004E6B1C">
        <w:t>Revue</w:t>
      </w:r>
      <w:proofErr w:type="spellEnd"/>
      <w:r w:rsidR="00A644BE" w:rsidRPr="004E6B1C">
        <w:t xml:space="preserve"> </w:t>
      </w:r>
      <w:proofErr w:type="spellStart"/>
      <w:r w:rsidR="00A644BE" w:rsidRPr="004E6B1C">
        <w:t>tr</w:t>
      </w:r>
      <w:r w:rsidR="00A644BE">
        <w:t>imestrielle</w:t>
      </w:r>
      <w:proofErr w:type="spellEnd"/>
      <w:r w:rsidR="00A644BE">
        <w:t xml:space="preserve"> de </w:t>
      </w:r>
      <w:proofErr w:type="spellStart"/>
      <w:r w:rsidR="00A644BE">
        <w:t>droit</w:t>
      </w:r>
      <w:proofErr w:type="spellEnd"/>
      <w:r w:rsidR="00A644BE">
        <w:t xml:space="preserve"> </w:t>
      </w:r>
      <w:proofErr w:type="spellStart"/>
      <w:r w:rsidR="00A644BE">
        <w:t>commercial</w:t>
      </w:r>
      <w:proofErr w:type="spellEnd"/>
      <w:r w:rsidR="00A644BE">
        <w:t xml:space="preserve">, </w:t>
      </w:r>
      <w:r w:rsidR="0089248F">
        <w:t>2006 (4),</w:t>
      </w:r>
      <w:r w:rsidR="00A644BE" w:rsidRPr="00145D52">
        <w:t xml:space="preserve"> s. 875</w:t>
      </w:r>
      <w:r w:rsidR="000A7280">
        <w:t>-887.</w:t>
      </w:r>
    </w:p>
    <w:p w14:paraId="353ACC36" w14:textId="77777777" w:rsidR="000A7280" w:rsidRDefault="006B4DBA" w:rsidP="000A7280">
      <w:pPr>
        <w:tabs>
          <w:tab w:val="left" w:pos="3828"/>
          <w:tab w:val="left" w:pos="4253"/>
        </w:tabs>
        <w:spacing w:line="360" w:lineRule="auto"/>
        <w:ind w:left="567" w:right="431" w:hanging="567"/>
        <w:jc w:val="both"/>
      </w:pPr>
      <w:r w:rsidRPr="006B4DBA">
        <w:rPr>
          <w:b/>
        </w:rPr>
        <w:lastRenderedPageBreak/>
        <w:t>SACKER</w:t>
      </w:r>
      <w:r w:rsidR="00A644BE" w:rsidRPr="006D0418">
        <w:t>,</w:t>
      </w:r>
      <w:r w:rsidR="00A644BE" w:rsidRPr="0097405E">
        <w:t xml:space="preserve"> </w:t>
      </w:r>
      <w:proofErr w:type="spellStart"/>
      <w:r w:rsidR="00A644BE" w:rsidRPr="006D0418">
        <w:t>Anatole</w:t>
      </w:r>
      <w:proofErr w:type="spellEnd"/>
      <w:r w:rsidR="00A644BE">
        <w:t>,</w:t>
      </w:r>
      <w:r w:rsidR="00A644BE" w:rsidRPr="006D0418">
        <w:t xml:space="preserve"> </w:t>
      </w:r>
      <w:r w:rsidR="00A644BE" w:rsidRPr="006D0418">
        <w:rPr>
          <w:i/>
        </w:rPr>
        <w:t xml:space="preserve">Le </w:t>
      </w:r>
      <w:proofErr w:type="spellStart"/>
      <w:r w:rsidR="00A644BE" w:rsidRPr="006D0418">
        <w:rPr>
          <w:i/>
        </w:rPr>
        <w:t>Secret</w:t>
      </w:r>
      <w:proofErr w:type="spellEnd"/>
      <w:r w:rsidR="00A644BE" w:rsidRPr="006D0418">
        <w:rPr>
          <w:i/>
        </w:rPr>
        <w:t xml:space="preserve"> </w:t>
      </w:r>
      <w:proofErr w:type="spellStart"/>
      <w:r w:rsidR="00A644BE" w:rsidRPr="006D0418">
        <w:rPr>
          <w:i/>
        </w:rPr>
        <w:t>Professionnel</w:t>
      </w:r>
      <w:proofErr w:type="spellEnd"/>
      <w:r w:rsidR="00A644BE" w:rsidRPr="006D0418">
        <w:rPr>
          <w:i/>
        </w:rPr>
        <w:t xml:space="preserve"> </w:t>
      </w:r>
      <w:proofErr w:type="spellStart"/>
      <w:r w:rsidR="00A644BE" w:rsidRPr="006D0418">
        <w:rPr>
          <w:i/>
        </w:rPr>
        <w:t>du</w:t>
      </w:r>
      <w:proofErr w:type="spellEnd"/>
      <w:r w:rsidR="00A644BE" w:rsidRPr="006D0418">
        <w:rPr>
          <w:i/>
        </w:rPr>
        <w:t xml:space="preserve"> </w:t>
      </w:r>
      <w:proofErr w:type="spellStart"/>
      <w:r w:rsidR="00A644BE" w:rsidRPr="006D0418">
        <w:rPr>
          <w:i/>
        </w:rPr>
        <w:t>Banquier</w:t>
      </w:r>
      <w:proofErr w:type="spellEnd"/>
      <w:r w:rsidR="00A644BE" w:rsidRPr="006D0418">
        <w:t xml:space="preserve">, Ed. Rousseau, </w:t>
      </w:r>
      <w:r w:rsidR="003848E0" w:rsidRPr="006D0418">
        <w:t xml:space="preserve">Paris, </w:t>
      </w:r>
      <w:r w:rsidR="00A644BE" w:rsidRPr="006D0418">
        <w:t>1933.</w:t>
      </w:r>
    </w:p>
    <w:p w14:paraId="2BB9036B" w14:textId="77777777" w:rsidR="000A7280" w:rsidRDefault="006B4DBA" w:rsidP="000A7280">
      <w:pPr>
        <w:tabs>
          <w:tab w:val="left" w:pos="3828"/>
          <w:tab w:val="left" w:pos="4253"/>
        </w:tabs>
        <w:spacing w:line="360" w:lineRule="auto"/>
        <w:ind w:left="567" w:right="431" w:hanging="567"/>
        <w:jc w:val="both"/>
      </w:pPr>
      <w:r w:rsidRPr="006B4DBA">
        <w:rPr>
          <w:b/>
        </w:rPr>
        <w:t>TEİSSİER</w:t>
      </w:r>
      <w:r w:rsidR="00A644BE" w:rsidRPr="006D0418">
        <w:t>,</w:t>
      </w:r>
      <w:r w:rsidR="00A644BE" w:rsidRPr="00561685">
        <w:t xml:space="preserve"> </w:t>
      </w:r>
      <w:r w:rsidR="00A644BE" w:rsidRPr="006D0418">
        <w:t>Anne</w:t>
      </w:r>
      <w:r w:rsidR="00A644BE">
        <w:t xml:space="preserve">, </w:t>
      </w:r>
      <w:r w:rsidR="00A644BE" w:rsidRPr="00561685">
        <w:rPr>
          <w:i/>
        </w:rPr>
        <w:t xml:space="preserve">Le </w:t>
      </w:r>
      <w:proofErr w:type="spellStart"/>
      <w:r w:rsidR="00A644BE" w:rsidRPr="00561685">
        <w:rPr>
          <w:i/>
        </w:rPr>
        <w:t>Secret</w:t>
      </w:r>
      <w:proofErr w:type="spellEnd"/>
      <w:r w:rsidR="00A644BE" w:rsidRPr="00561685">
        <w:rPr>
          <w:i/>
        </w:rPr>
        <w:t xml:space="preserve"> </w:t>
      </w:r>
      <w:proofErr w:type="spellStart"/>
      <w:r w:rsidR="00A644BE" w:rsidRPr="00561685">
        <w:rPr>
          <w:i/>
        </w:rPr>
        <w:t>Professionnel</w:t>
      </w:r>
      <w:proofErr w:type="spellEnd"/>
      <w:r w:rsidR="00A644BE" w:rsidRPr="00561685">
        <w:rPr>
          <w:i/>
        </w:rPr>
        <w:t xml:space="preserve"> </w:t>
      </w:r>
      <w:proofErr w:type="spellStart"/>
      <w:r w:rsidR="00A644BE" w:rsidRPr="00561685">
        <w:rPr>
          <w:i/>
        </w:rPr>
        <w:t>du</w:t>
      </w:r>
      <w:proofErr w:type="spellEnd"/>
      <w:r w:rsidR="00A644BE" w:rsidRPr="00561685">
        <w:rPr>
          <w:i/>
        </w:rPr>
        <w:t xml:space="preserve"> </w:t>
      </w:r>
      <w:proofErr w:type="spellStart"/>
      <w:r w:rsidR="00A644BE" w:rsidRPr="00561685">
        <w:rPr>
          <w:i/>
        </w:rPr>
        <w:t>Banquier</w:t>
      </w:r>
      <w:proofErr w:type="spellEnd"/>
      <w:r w:rsidR="00A644BE" w:rsidRPr="006D0418">
        <w:t xml:space="preserve">, </w:t>
      </w:r>
      <w:proofErr w:type="spellStart"/>
      <w:r w:rsidR="00A644BE" w:rsidRPr="006D0418">
        <w:t>Presses</w:t>
      </w:r>
      <w:proofErr w:type="spellEnd"/>
      <w:r w:rsidR="00A644BE" w:rsidRPr="006D0418">
        <w:t xml:space="preserve"> </w:t>
      </w:r>
      <w:proofErr w:type="spellStart"/>
      <w:r w:rsidR="00A644BE" w:rsidRPr="006D0418">
        <w:t>Universitaire</w:t>
      </w:r>
      <w:proofErr w:type="spellEnd"/>
      <w:r w:rsidR="00A644BE" w:rsidRPr="006D0418">
        <w:t xml:space="preserve"> </w:t>
      </w:r>
      <w:proofErr w:type="spellStart"/>
      <w:r w:rsidR="00A644BE" w:rsidRPr="006D0418">
        <w:t>D’aix-Marseille</w:t>
      </w:r>
      <w:proofErr w:type="spellEnd"/>
      <w:r w:rsidR="00A644BE" w:rsidRPr="006D0418">
        <w:t xml:space="preserve">, </w:t>
      </w:r>
      <w:proofErr w:type="spellStart"/>
      <w:r w:rsidR="003848E0" w:rsidRPr="006D0418">
        <w:t>Aix</w:t>
      </w:r>
      <w:proofErr w:type="spellEnd"/>
      <w:r w:rsidR="003848E0" w:rsidRPr="006D0418">
        <w:t xml:space="preserve"> En </w:t>
      </w:r>
      <w:proofErr w:type="spellStart"/>
      <w:r w:rsidR="003848E0" w:rsidRPr="006D0418">
        <w:t>Provence</w:t>
      </w:r>
      <w:proofErr w:type="spellEnd"/>
      <w:r w:rsidR="003848E0" w:rsidRPr="006D0418">
        <w:t xml:space="preserve">, </w:t>
      </w:r>
      <w:r w:rsidR="00A644BE" w:rsidRPr="006D0418">
        <w:t>1999</w:t>
      </w:r>
      <w:r w:rsidR="001606EF">
        <w:t>.</w:t>
      </w:r>
      <w:r w:rsidR="00A644BE" w:rsidRPr="006D0418">
        <w:t xml:space="preserve"> </w:t>
      </w:r>
    </w:p>
    <w:p w14:paraId="73C4E481" w14:textId="77777777" w:rsidR="000A7280" w:rsidRDefault="006B4DBA" w:rsidP="000A7280">
      <w:pPr>
        <w:tabs>
          <w:tab w:val="left" w:pos="3828"/>
          <w:tab w:val="left" w:pos="4253"/>
        </w:tabs>
        <w:spacing w:line="360" w:lineRule="auto"/>
        <w:ind w:left="567" w:right="431" w:hanging="567"/>
        <w:jc w:val="both"/>
      </w:pPr>
      <w:r w:rsidRPr="006B4DBA">
        <w:rPr>
          <w:b/>
        </w:rPr>
        <w:t>TEKİNALP</w:t>
      </w:r>
      <w:r w:rsidR="00A644BE" w:rsidRPr="00561685">
        <w:t xml:space="preserve">, Ünal, </w:t>
      </w:r>
      <w:r w:rsidR="00A644BE" w:rsidRPr="00561685">
        <w:rPr>
          <w:i/>
        </w:rPr>
        <w:t>Banka Hukukunun Esasları</w:t>
      </w:r>
      <w:r w:rsidR="003848E0">
        <w:t xml:space="preserve">, </w:t>
      </w:r>
      <w:r w:rsidR="000B32D5">
        <w:t xml:space="preserve">2. Baskı, </w:t>
      </w:r>
      <w:r w:rsidR="00A644BE" w:rsidRPr="00561685">
        <w:t xml:space="preserve">Vedat Kitapçılık, </w:t>
      </w:r>
      <w:r w:rsidR="003848E0" w:rsidRPr="00561685">
        <w:t xml:space="preserve">İstanbul, </w:t>
      </w:r>
      <w:r w:rsidR="00A644BE" w:rsidRPr="00561685">
        <w:t xml:space="preserve">2009. </w:t>
      </w:r>
    </w:p>
    <w:p w14:paraId="637F1163" w14:textId="77777777" w:rsidR="000A7280" w:rsidRDefault="006B4DBA" w:rsidP="000A7280">
      <w:pPr>
        <w:tabs>
          <w:tab w:val="left" w:pos="3828"/>
          <w:tab w:val="left" w:pos="4253"/>
        </w:tabs>
        <w:spacing w:line="360" w:lineRule="auto"/>
        <w:ind w:left="567" w:right="431" w:hanging="567"/>
        <w:jc w:val="both"/>
      </w:pPr>
      <w:r w:rsidRPr="006B4DBA">
        <w:rPr>
          <w:b/>
        </w:rPr>
        <w:t>ULUSOY</w:t>
      </w:r>
      <w:r w:rsidR="00A644BE" w:rsidRPr="00986BF7">
        <w:t xml:space="preserve">, Erol, </w:t>
      </w:r>
      <w:r w:rsidR="003848E0" w:rsidRPr="003848E0">
        <w:rPr>
          <w:i/>
        </w:rPr>
        <w:t>“</w:t>
      </w:r>
      <w:r w:rsidR="00A644BE" w:rsidRPr="003848E0">
        <w:rPr>
          <w:i/>
        </w:rPr>
        <w:t>Bankacılık Sırrı Kavramı, Hukuki Niteliği ve Korunması</w:t>
      </w:r>
      <w:r w:rsidR="003848E0" w:rsidRPr="003848E0">
        <w:rPr>
          <w:i/>
        </w:rPr>
        <w:t>”,</w:t>
      </w:r>
      <w:r w:rsidR="00A644BE" w:rsidRPr="00986BF7">
        <w:t xml:space="preserve"> Ersin Çamoğlu’na Armağan</w:t>
      </w:r>
      <w:r w:rsidR="003848E0">
        <w:t>, Cilt:</w:t>
      </w:r>
      <w:r w:rsidR="00A644BE" w:rsidRPr="00986BF7">
        <w:t xml:space="preserve">1, Vedat Kitapçılık, </w:t>
      </w:r>
      <w:r w:rsidR="003848E0" w:rsidRPr="00986BF7">
        <w:t xml:space="preserve">İstanbul, </w:t>
      </w:r>
      <w:r w:rsidR="00A644BE" w:rsidRPr="00986BF7">
        <w:t xml:space="preserve">2013, s. 509-543. </w:t>
      </w:r>
    </w:p>
    <w:p w14:paraId="1CCAEBCB" w14:textId="77777777" w:rsidR="00E7103C" w:rsidRDefault="006B4DBA" w:rsidP="000A7280">
      <w:pPr>
        <w:tabs>
          <w:tab w:val="left" w:pos="3828"/>
          <w:tab w:val="left" w:pos="4253"/>
        </w:tabs>
        <w:spacing w:line="360" w:lineRule="auto"/>
        <w:ind w:left="567" w:right="431" w:hanging="567"/>
        <w:jc w:val="both"/>
      </w:pPr>
      <w:r w:rsidRPr="006B4DBA">
        <w:rPr>
          <w:b/>
        </w:rPr>
        <w:t>YÜKSEL</w:t>
      </w:r>
      <w:r w:rsidR="00A644BE" w:rsidRPr="006C710A">
        <w:t xml:space="preserve">, A. Sait/ </w:t>
      </w:r>
      <w:r w:rsidRPr="006B4DBA">
        <w:rPr>
          <w:b/>
        </w:rPr>
        <w:t>YÜKSEL</w:t>
      </w:r>
      <w:r w:rsidR="00A644BE" w:rsidRPr="006C710A">
        <w:t xml:space="preserve">, Aslı/ </w:t>
      </w:r>
      <w:r w:rsidRPr="006B4DBA">
        <w:rPr>
          <w:b/>
        </w:rPr>
        <w:t>YÜKSEL</w:t>
      </w:r>
      <w:r w:rsidR="00A644BE" w:rsidRPr="006C710A">
        <w:t xml:space="preserve">, Ülkü, </w:t>
      </w:r>
      <w:r w:rsidR="00A644BE" w:rsidRPr="006C710A">
        <w:rPr>
          <w:i/>
        </w:rPr>
        <w:t>Bankacılık Hukuku ve İşletmesi</w:t>
      </w:r>
      <w:r w:rsidR="00A644BE" w:rsidRPr="006C710A">
        <w:t xml:space="preserve">, </w:t>
      </w:r>
      <w:r w:rsidR="000B32D5">
        <w:t xml:space="preserve">10. Baskı, </w:t>
      </w:r>
      <w:r w:rsidR="00A644BE" w:rsidRPr="006C710A">
        <w:t>Beta Basım Yayım Dağıtım A.Ş</w:t>
      </w:r>
      <w:r w:rsidR="00A644BE">
        <w:t xml:space="preserve">, </w:t>
      </w:r>
      <w:r w:rsidR="003848E0" w:rsidRPr="006C710A">
        <w:t xml:space="preserve">İstanbul, </w:t>
      </w:r>
      <w:r w:rsidR="00A644BE">
        <w:t>2004.</w:t>
      </w:r>
    </w:p>
    <w:p w14:paraId="2FC482A5" w14:textId="77777777" w:rsidR="00B52D33" w:rsidRDefault="00B52D33" w:rsidP="00C3008E">
      <w:pPr>
        <w:spacing w:after="0" w:line="360" w:lineRule="auto"/>
        <w:rPr>
          <w:b/>
        </w:rPr>
      </w:pPr>
    </w:p>
    <w:p w14:paraId="20D4BAC0" w14:textId="77777777" w:rsidR="00C3008E" w:rsidRPr="00B06C95" w:rsidRDefault="00C3008E" w:rsidP="00C3008E">
      <w:pPr>
        <w:spacing w:after="0" w:line="360" w:lineRule="auto"/>
        <w:rPr>
          <w:b/>
        </w:rPr>
      </w:pPr>
      <w:r w:rsidRPr="00B06C95">
        <w:rPr>
          <w:b/>
        </w:rPr>
        <w:t xml:space="preserve">Yazar’ın İletişim Bilgileri </w:t>
      </w:r>
    </w:p>
    <w:p w14:paraId="1C0D242E" w14:textId="77777777" w:rsidR="00DB4C6A" w:rsidRDefault="005A25E3" w:rsidP="00C3008E">
      <w:pPr>
        <w:spacing w:after="0" w:line="360" w:lineRule="auto"/>
      </w:pPr>
      <w:r>
        <w:t xml:space="preserve">Arş. Gör. Dr., </w:t>
      </w:r>
      <w:r w:rsidR="00C3008E">
        <w:t>İlknur KAYA</w:t>
      </w:r>
      <w:r>
        <w:t xml:space="preserve">, </w:t>
      </w:r>
      <w:r w:rsidR="00C3008E">
        <w:t>Anadolu Üniversitesi Hukuk Fakülte</w:t>
      </w:r>
      <w:r>
        <w:t>si</w:t>
      </w:r>
      <w:r w:rsidR="00432F91">
        <w:t>,</w:t>
      </w:r>
      <w:r>
        <w:t xml:space="preserve"> Ticaret Hukuku Anabilim </w:t>
      </w:r>
    </w:p>
    <w:p w14:paraId="3F31B6AD" w14:textId="77777777" w:rsidR="00E7103C" w:rsidRDefault="005A25E3" w:rsidP="00C3008E">
      <w:pPr>
        <w:spacing w:after="0" w:line="360" w:lineRule="auto"/>
      </w:pPr>
      <w:r>
        <w:t xml:space="preserve">Dalı, </w:t>
      </w:r>
      <w:proofErr w:type="spellStart"/>
      <w:r>
        <w:t>Orcid</w:t>
      </w:r>
      <w:proofErr w:type="spellEnd"/>
      <w:r>
        <w:t xml:space="preserve"> </w:t>
      </w:r>
      <w:proofErr w:type="spellStart"/>
      <w:r>
        <w:t>Id</w:t>
      </w:r>
      <w:proofErr w:type="spellEnd"/>
      <w:r>
        <w:t xml:space="preserve">: </w:t>
      </w:r>
      <w:hyperlink r:id="rId9" w:history="1">
        <w:r w:rsidR="00E7103C" w:rsidRPr="00BE7771">
          <w:rPr>
            <w:rStyle w:val="Hyperlink"/>
          </w:rPr>
          <w:t>http://orcid.org/0000-0002-9218-5473</w:t>
        </w:r>
      </w:hyperlink>
      <w:r w:rsidR="00E7103C">
        <w:t xml:space="preserve">, </w:t>
      </w:r>
    </w:p>
    <w:p w14:paraId="7139ED00" w14:textId="77777777" w:rsidR="00C92820" w:rsidRDefault="00432F91" w:rsidP="00C3008E">
      <w:pPr>
        <w:spacing w:after="0" w:line="360" w:lineRule="auto"/>
        <w:rPr>
          <w:rStyle w:val="Hyperlink"/>
          <w:color w:val="auto"/>
        </w:rPr>
      </w:pPr>
      <w:r>
        <w:t>E</w:t>
      </w:r>
      <w:r w:rsidR="00E7103C">
        <w:t>-mail:</w:t>
      </w:r>
      <w:r w:rsidR="00E7103C" w:rsidRPr="00E7103C">
        <w:t xml:space="preserve"> </w:t>
      </w:r>
      <w:hyperlink r:id="rId10" w:history="1">
        <w:r w:rsidR="00E7103C" w:rsidRPr="00E81D60">
          <w:rPr>
            <w:rStyle w:val="Hyperlink"/>
            <w:color w:val="auto"/>
          </w:rPr>
          <w:t>ilknurkaya@anadolu.edu.tr</w:t>
        </w:r>
      </w:hyperlink>
    </w:p>
    <w:p w14:paraId="56461741" w14:textId="77777777" w:rsidR="00DB4C6A" w:rsidRPr="00BC41B1" w:rsidRDefault="00DB4C6A" w:rsidP="00C3008E">
      <w:pPr>
        <w:spacing w:after="0" w:line="360" w:lineRule="auto"/>
        <w:rPr>
          <w:rStyle w:val="Hyperlink"/>
          <w:color w:val="auto"/>
        </w:rPr>
      </w:pPr>
      <w:r w:rsidRPr="00BC41B1">
        <w:rPr>
          <w:color w:val="000000"/>
          <w:shd w:val="clear" w:color="auto" w:fill="FFFFFF"/>
        </w:rPr>
        <w:t>Anadolu üniversitesi Hukuk Fakültesi Yunus Emre Kampüsü Tepebaşı Eskişehir </w:t>
      </w:r>
    </w:p>
    <w:p w14:paraId="59F6F500" w14:textId="77777777" w:rsidR="00C3008E" w:rsidRPr="00C3008E" w:rsidRDefault="00C3008E" w:rsidP="00C3008E">
      <w:pPr>
        <w:spacing w:after="0" w:line="360" w:lineRule="auto"/>
      </w:pPr>
    </w:p>
    <w:sectPr w:rsidR="00C3008E" w:rsidRPr="00C3008E" w:rsidSect="00B93BF4">
      <w:footnotePr>
        <w:numRestart w:val="eachSect"/>
      </w:footnotePr>
      <w:pgSz w:w="11906" w:h="16838"/>
      <w:pgMar w:top="1418" w:right="1134" w:bottom="1418" w:left="1134" w:header="708" w:footer="708" w:gutter="0"/>
      <w:pgNumType w:start="2"/>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AE71B" w14:textId="77777777" w:rsidR="0023743C" w:rsidRDefault="0023743C" w:rsidP="009C22D8">
      <w:pPr>
        <w:spacing w:after="0" w:line="240" w:lineRule="auto"/>
      </w:pPr>
      <w:r>
        <w:separator/>
      </w:r>
    </w:p>
  </w:endnote>
  <w:endnote w:type="continuationSeparator" w:id="0">
    <w:p w14:paraId="3CB9ABAD" w14:textId="77777777" w:rsidR="0023743C" w:rsidRDefault="0023743C" w:rsidP="009C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1D96A" w14:textId="77777777" w:rsidR="0023743C" w:rsidRDefault="0023743C" w:rsidP="009C22D8">
      <w:pPr>
        <w:spacing w:after="0" w:line="240" w:lineRule="auto"/>
      </w:pPr>
      <w:r>
        <w:separator/>
      </w:r>
    </w:p>
  </w:footnote>
  <w:footnote w:type="continuationSeparator" w:id="0">
    <w:p w14:paraId="3B293ED6" w14:textId="77777777" w:rsidR="0023743C" w:rsidRDefault="0023743C" w:rsidP="009C22D8">
      <w:pPr>
        <w:spacing w:after="0" w:line="240" w:lineRule="auto"/>
      </w:pPr>
      <w:r>
        <w:continuationSeparator/>
      </w:r>
    </w:p>
  </w:footnote>
  <w:footnote w:id="1">
    <w:p w14:paraId="0BD2578D" w14:textId="77777777" w:rsidR="0024480B" w:rsidRPr="0024480B" w:rsidRDefault="0024480B" w:rsidP="0024480B">
      <w:pPr>
        <w:spacing w:after="120" w:line="240" w:lineRule="auto"/>
        <w:jc w:val="both"/>
        <w:rPr>
          <w:sz w:val="20"/>
          <w:szCs w:val="20"/>
        </w:rPr>
      </w:pPr>
      <w:r w:rsidRPr="0024480B">
        <w:rPr>
          <w:rStyle w:val="FootnoteReference"/>
          <w:sz w:val="20"/>
          <w:szCs w:val="20"/>
        </w:rPr>
        <w:footnoteRef/>
      </w:r>
      <w:r w:rsidRPr="0024480B">
        <w:rPr>
          <w:sz w:val="20"/>
          <w:szCs w:val="20"/>
        </w:rPr>
        <w:t xml:space="preserve"> Bu çalışma Yazar’ın “Banka Hukukunda Müşteri Sırrını Saklama Yükümlülüğü (Fransız İsviçre ve Türk Hukukunda) adlı doktora tezine dayanmaktadır.</w:t>
      </w:r>
    </w:p>
  </w:footnote>
  <w:footnote w:id="2">
    <w:p w14:paraId="17097512" w14:textId="77777777" w:rsidR="004B5E94" w:rsidRDefault="00432630" w:rsidP="004B5E94">
      <w:pPr>
        <w:spacing w:after="0" w:line="240" w:lineRule="auto"/>
        <w:jc w:val="both"/>
        <w:rPr>
          <w:sz w:val="20"/>
          <w:szCs w:val="20"/>
        </w:rPr>
      </w:pPr>
      <w:r>
        <w:rPr>
          <w:rStyle w:val="FootnoteReference"/>
        </w:rPr>
        <w:t>**</w:t>
      </w:r>
      <w:r>
        <w:t xml:space="preserve"> </w:t>
      </w:r>
      <w:r w:rsidR="004B5E94" w:rsidRPr="004B5E94">
        <w:rPr>
          <w:sz w:val="20"/>
          <w:szCs w:val="20"/>
        </w:rPr>
        <w:t>Anadolu Üniversitesi Hukuk Fakültesi, Ticaret Hukuku Anabilim Dalı</w:t>
      </w:r>
      <w:r w:rsidR="004B5E94">
        <w:rPr>
          <w:sz w:val="20"/>
          <w:szCs w:val="20"/>
        </w:rPr>
        <w:t xml:space="preserve"> Araştırma Görevlisi</w:t>
      </w:r>
      <w:r w:rsidR="004B5E94" w:rsidRPr="004B5E94">
        <w:rPr>
          <w:sz w:val="20"/>
          <w:szCs w:val="20"/>
        </w:rPr>
        <w:t xml:space="preserve">, </w:t>
      </w:r>
      <w:r w:rsidR="004B5E94">
        <w:rPr>
          <w:sz w:val="20"/>
          <w:szCs w:val="20"/>
        </w:rPr>
        <w:t>ORCI</w:t>
      </w:r>
      <w:r w:rsidR="004B5E94" w:rsidRPr="004B5E94">
        <w:rPr>
          <w:sz w:val="20"/>
          <w:szCs w:val="20"/>
        </w:rPr>
        <w:t xml:space="preserve">D </w:t>
      </w:r>
      <w:r w:rsidR="004B5E94">
        <w:rPr>
          <w:sz w:val="20"/>
          <w:szCs w:val="20"/>
        </w:rPr>
        <w:t xml:space="preserve">No. </w:t>
      </w:r>
      <w:hyperlink r:id="rId1" w:history="1">
        <w:r w:rsidR="004B5E94" w:rsidRPr="004B5E94">
          <w:rPr>
            <w:sz w:val="20"/>
            <w:szCs w:val="20"/>
          </w:rPr>
          <w:t>http://orcid.org/0000-0002-92</w:t>
        </w:r>
        <w:r w:rsidR="004B5E94" w:rsidRPr="004B5E94">
          <w:rPr>
            <w:sz w:val="20"/>
            <w:szCs w:val="20"/>
          </w:rPr>
          <w:t>1</w:t>
        </w:r>
        <w:r w:rsidR="004B5E94" w:rsidRPr="004B5E94">
          <w:rPr>
            <w:sz w:val="20"/>
            <w:szCs w:val="20"/>
          </w:rPr>
          <w:t>8-5473</w:t>
        </w:r>
      </w:hyperlink>
      <w:r w:rsidR="004B5E94" w:rsidRPr="004B5E94">
        <w:rPr>
          <w:sz w:val="20"/>
          <w:szCs w:val="20"/>
        </w:rPr>
        <w:t>, E</w:t>
      </w:r>
      <w:r w:rsidR="004B5E94">
        <w:rPr>
          <w:sz w:val="20"/>
          <w:szCs w:val="20"/>
        </w:rPr>
        <w:t>-posta</w:t>
      </w:r>
      <w:r w:rsidR="004B5E94" w:rsidRPr="004B5E94">
        <w:rPr>
          <w:sz w:val="20"/>
          <w:szCs w:val="20"/>
        </w:rPr>
        <w:t xml:space="preserve">: </w:t>
      </w:r>
      <w:hyperlink r:id="rId2" w:history="1">
        <w:r w:rsidR="004B5E94" w:rsidRPr="004B5E94">
          <w:rPr>
            <w:sz w:val="20"/>
            <w:szCs w:val="20"/>
          </w:rPr>
          <w:t>ilknurkaya@anadolu.edu.tr</w:t>
        </w:r>
      </w:hyperlink>
      <w:r w:rsidR="004B5E94">
        <w:rPr>
          <w:sz w:val="20"/>
          <w:szCs w:val="20"/>
        </w:rPr>
        <w:t xml:space="preserve">. </w:t>
      </w:r>
    </w:p>
    <w:p w14:paraId="14A02140" w14:textId="1E172B3B" w:rsidR="004B5E94" w:rsidRDefault="004B5E94" w:rsidP="004B5E94">
      <w:pPr>
        <w:spacing w:after="0" w:line="240" w:lineRule="auto"/>
        <w:jc w:val="both"/>
        <w:rPr>
          <w:sz w:val="20"/>
          <w:szCs w:val="20"/>
        </w:rPr>
      </w:pPr>
      <w:r>
        <w:rPr>
          <w:sz w:val="20"/>
          <w:szCs w:val="20"/>
        </w:rPr>
        <w:t xml:space="preserve">Makale Gönderim Tarihi: 26.06.2020 </w:t>
      </w:r>
    </w:p>
    <w:p w14:paraId="703F0512" w14:textId="5E28506A" w:rsidR="004B5E94" w:rsidRPr="004B5E94" w:rsidRDefault="004B5E94" w:rsidP="004B5E94">
      <w:pPr>
        <w:spacing w:after="0" w:line="240" w:lineRule="auto"/>
        <w:jc w:val="both"/>
        <w:rPr>
          <w:sz w:val="20"/>
          <w:szCs w:val="20"/>
        </w:rPr>
      </w:pPr>
      <w:r>
        <w:rPr>
          <w:sz w:val="20"/>
          <w:szCs w:val="20"/>
        </w:rPr>
        <w:t>Makale Kabul Tarihi: 22.10.2020.</w:t>
      </w:r>
    </w:p>
    <w:p w14:paraId="1F756CB4" w14:textId="1578B609" w:rsidR="00432630" w:rsidRPr="004524D1" w:rsidRDefault="00432630" w:rsidP="00432630">
      <w:pPr>
        <w:pStyle w:val="FootnoteText"/>
        <w:jc w:val="both"/>
      </w:pPr>
    </w:p>
  </w:footnote>
  <w:footnote w:id="3">
    <w:p w14:paraId="76D7FCDF" w14:textId="77777777" w:rsidR="00E80C3A" w:rsidRPr="0093262F" w:rsidRDefault="00E80C3A" w:rsidP="00D3172F">
      <w:pPr>
        <w:spacing w:after="120" w:line="240" w:lineRule="auto"/>
        <w:jc w:val="both"/>
        <w:rPr>
          <w:sz w:val="20"/>
          <w:szCs w:val="20"/>
        </w:rPr>
      </w:pPr>
      <w:r w:rsidRPr="0093262F">
        <w:rPr>
          <w:rStyle w:val="FootnoteReference"/>
          <w:sz w:val="20"/>
          <w:szCs w:val="20"/>
        </w:rPr>
        <w:footnoteRef/>
      </w:r>
      <w:r w:rsidRPr="0093262F">
        <w:rPr>
          <w:sz w:val="20"/>
          <w:szCs w:val="20"/>
        </w:rPr>
        <w:t xml:space="preserve"> </w:t>
      </w:r>
      <w:r w:rsidRPr="0093262F">
        <w:rPr>
          <w:sz w:val="20"/>
          <w:szCs w:val="20"/>
        </w:rPr>
        <w:t>Kanun için bkz., https://www.legifrance.gouv.fr/affichCode.do?</w:t>
      </w:r>
      <w:r w:rsidR="009C39B8" w:rsidRPr="0093262F">
        <w:rPr>
          <w:sz w:val="20"/>
          <w:szCs w:val="20"/>
        </w:rPr>
        <w:t>cidTexte=LEGITEXT000006072026 (e</w:t>
      </w:r>
      <w:r w:rsidRPr="0093262F">
        <w:rPr>
          <w:sz w:val="20"/>
          <w:szCs w:val="20"/>
        </w:rPr>
        <w:t>rişim tarihi: 19.04.2019).</w:t>
      </w:r>
    </w:p>
  </w:footnote>
  <w:footnote w:id="4">
    <w:p w14:paraId="570CDBCA" w14:textId="77777777" w:rsidR="00E80C3A" w:rsidRPr="0093262F" w:rsidRDefault="00E80C3A" w:rsidP="00D3172F">
      <w:pPr>
        <w:spacing w:after="120" w:line="240" w:lineRule="auto"/>
        <w:jc w:val="both"/>
        <w:rPr>
          <w:sz w:val="20"/>
          <w:szCs w:val="20"/>
        </w:rPr>
      </w:pPr>
      <w:r w:rsidRPr="0093262F">
        <w:rPr>
          <w:rStyle w:val="FootnoteReference"/>
          <w:sz w:val="20"/>
          <w:szCs w:val="20"/>
        </w:rPr>
        <w:footnoteRef/>
      </w:r>
      <w:r w:rsidRPr="0093262F">
        <w:rPr>
          <w:sz w:val="20"/>
          <w:szCs w:val="20"/>
        </w:rPr>
        <w:t xml:space="preserve"> </w:t>
      </w:r>
      <w:r w:rsidRPr="0093262F">
        <w:rPr>
          <w:i/>
          <w:sz w:val="20"/>
          <w:szCs w:val="20"/>
        </w:rPr>
        <w:t>“I. Kredi kuruluşu ve finansman şirketleri ile Kanun’un L. 511-6 maddesinin 5. ve 8. bendinde sayılan kuruluşların yönetim veya gözetim kurulu üyesi olan veya herhangi bir şekilde yönetime katılan veya bu kuruluşlarda çalışan kişiler mesleki sır saklama yükümlülüğüne tâbidir.</w:t>
      </w:r>
    </w:p>
    <w:p w14:paraId="2358BA10" w14:textId="77777777" w:rsidR="00C11D34" w:rsidRDefault="00E80C3A" w:rsidP="00ED1612">
      <w:pPr>
        <w:spacing w:after="120" w:line="240" w:lineRule="auto"/>
        <w:ind w:firstLine="426"/>
        <w:jc w:val="both"/>
        <w:rPr>
          <w:i/>
          <w:sz w:val="20"/>
          <w:szCs w:val="20"/>
        </w:rPr>
      </w:pPr>
      <w:r w:rsidRPr="0093262F">
        <w:rPr>
          <w:i/>
          <w:sz w:val="20"/>
          <w:szCs w:val="20"/>
        </w:rPr>
        <w:t xml:space="preserve">Mesleki sır, İhtiyati Denetim ve Çözümleme Kurumu’na, Fransa Merkez Bankası’na, Fransa Deniz Aşırı Bölgesi Merkez Bankasına, ceza soruşturması veya yargılamasını yürüten makama, 17.11.1958 tarih ve 58-1100 sayılı Parlamenterler Meclisi’nin </w:t>
      </w:r>
      <w:proofErr w:type="spellStart"/>
      <w:r w:rsidRPr="0093262F">
        <w:rPr>
          <w:i/>
          <w:sz w:val="20"/>
          <w:szCs w:val="20"/>
        </w:rPr>
        <w:t>İşleyişi’ne</w:t>
      </w:r>
      <w:proofErr w:type="spellEnd"/>
      <w:r w:rsidRPr="0093262F">
        <w:rPr>
          <w:i/>
          <w:sz w:val="20"/>
          <w:szCs w:val="20"/>
        </w:rPr>
        <w:t xml:space="preserve"> Dair Kararname’nin 6. maddesince açılan meclis soruşturma komisyonuna karşı ileri sürülemez. </w:t>
      </w:r>
    </w:p>
    <w:p w14:paraId="1DE6BDF3" w14:textId="77777777" w:rsidR="004C05C9" w:rsidRPr="0093262F" w:rsidRDefault="00E80C3A" w:rsidP="00ED1612">
      <w:pPr>
        <w:spacing w:after="120" w:line="240" w:lineRule="auto"/>
        <w:ind w:firstLine="567"/>
        <w:jc w:val="both"/>
        <w:rPr>
          <w:i/>
          <w:sz w:val="20"/>
          <w:szCs w:val="20"/>
        </w:rPr>
      </w:pPr>
      <w:r w:rsidRPr="0093262F">
        <w:rPr>
          <w:i/>
          <w:sz w:val="20"/>
          <w:szCs w:val="20"/>
        </w:rPr>
        <w:t>Kredi kuruluşu ve finansman şirketleri mesleki sır kapsamındaki bilgileri, kredi derecelendirme kuruluşlarıyla derecelendirme işlemlerinin yapılması amacıyla paylaşabilir. Ayrıca söz konusu bilgiler aşağıda sayılan işlemlerin yapılması için zorunlu olduğu takdirde, kendisiyle görüşme yapılan, sözleşme imzalanan veya işlemi gerçekleştirilen kişilerle paylaşılabilir</w:t>
      </w:r>
      <w:r w:rsidRPr="0093262F">
        <w:rPr>
          <w:sz w:val="20"/>
          <w:szCs w:val="20"/>
        </w:rPr>
        <w:t xml:space="preserve">. </w:t>
      </w:r>
    </w:p>
    <w:p w14:paraId="3811C75A" w14:textId="77777777" w:rsidR="004C05C9" w:rsidRPr="0093262F" w:rsidRDefault="004C05C9" w:rsidP="00ED1612">
      <w:pPr>
        <w:spacing w:after="120" w:line="240" w:lineRule="auto"/>
        <w:ind w:firstLine="567"/>
        <w:jc w:val="both"/>
        <w:rPr>
          <w:i/>
          <w:sz w:val="20"/>
          <w:szCs w:val="20"/>
        </w:rPr>
      </w:pPr>
      <w:r w:rsidRPr="0093262F">
        <w:rPr>
          <w:i/>
          <w:sz w:val="20"/>
          <w:szCs w:val="20"/>
        </w:rPr>
        <w:t xml:space="preserve">1. </w:t>
      </w:r>
      <w:r w:rsidR="00E80C3A" w:rsidRPr="0093262F">
        <w:rPr>
          <w:i/>
          <w:sz w:val="20"/>
          <w:szCs w:val="20"/>
        </w:rPr>
        <w:t>Doğrudan veya dolaylı olarak bir veya daha fazla kredi kuruluşu veya finansman şirketince gerçekleştirilen kredi işlemleri</w:t>
      </w:r>
    </w:p>
    <w:p w14:paraId="1D19AAC1" w14:textId="77777777" w:rsidR="004C05C9" w:rsidRPr="0093262F" w:rsidRDefault="004C05C9" w:rsidP="00ED1612">
      <w:pPr>
        <w:spacing w:after="120" w:line="240" w:lineRule="auto"/>
        <w:ind w:firstLine="567"/>
        <w:jc w:val="both"/>
        <w:rPr>
          <w:i/>
          <w:sz w:val="20"/>
          <w:szCs w:val="20"/>
        </w:rPr>
      </w:pPr>
      <w:r w:rsidRPr="0093262F">
        <w:rPr>
          <w:i/>
          <w:sz w:val="20"/>
          <w:szCs w:val="20"/>
        </w:rPr>
        <w:t xml:space="preserve">2. </w:t>
      </w:r>
      <w:r w:rsidR="00E80C3A" w:rsidRPr="0093262F">
        <w:rPr>
          <w:i/>
          <w:sz w:val="20"/>
          <w:szCs w:val="20"/>
        </w:rPr>
        <w:t>Finansal araçlara ilişkin işlemler, kredi rizikosu için yapılan teminat veya sigorta işlemleri</w:t>
      </w:r>
    </w:p>
    <w:p w14:paraId="7CB86688" w14:textId="77777777" w:rsidR="004C05C9" w:rsidRPr="0093262F" w:rsidRDefault="004C05C9" w:rsidP="00ED1612">
      <w:pPr>
        <w:spacing w:after="120" w:line="240" w:lineRule="auto"/>
        <w:ind w:firstLine="567"/>
        <w:jc w:val="both"/>
        <w:rPr>
          <w:i/>
          <w:sz w:val="20"/>
          <w:szCs w:val="20"/>
        </w:rPr>
      </w:pPr>
      <w:r w:rsidRPr="0093262F">
        <w:rPr>
          <w:i/>
          <w:sz w:val="20"/>
          <w:szCs w:val="20"/>
        </w:rPr>
        <w:t xml:space="preserve">3. </w:t>
      </w:r>
      <w:r w:rsidR="00E80C3A" w:rsidRPr="0093262F">
        <w:rPr>
          <w:i/>
          <w:sz w:val="20"/>
          <w:szCs w:val="20"/>
        </w:rPr>
        <w:t>Bir kredi kuruluşu veya finansman şirketinde yönetim hâkimiyetini sağlayan veya sermayenin çoğunlu</w:t>
      </w:r>
      <w:r w:rsidRPr="0093262F">
        <w:rPr>
          <w:i/>
          <w:sz w:val="20"/>
          <w:szCs w:val="20"/>
        </w:rPr>
        <w:t>ğunu temsil eden payların devri</w:t>
      </w:r>
    </w:p>
    <w:p w14:paraId="494266FE" w14:textId="77777777" w:rsidR="004C05C9" w:rsidRPr="0093262F" w:rsidRDefault="004C05C9" w:rsidP="00ED1612">
      <w:pPr>
        <w:spacing w:after="120" w:line="240" w:lineRule="auto"/>
        <w:ind w:firstLine="567"/>
        <w:jc w:val="both"/>
        <w:rPr>
          <w:i/>
          <w:sz w:val="20"/>
          <w:szCs w:val="20"/>
        </w:rPr>
      </w:pPr>
      <w:r w:rsidRPr="0093262F">
        <w:rPr>
          <w:i/>
          <w:sz w:val="20"/>
          <w:szCs w:val="20"/>
        </w:rPr>
        <w:t xml:space="preserve">4. </w:t>
      </w:r>
      <w:r w:rsidR="00E80C3A" w:rsidRPr="0093262F">
        <w:rPr>
          <w:i/>
          <w:sz w:val="20"/>
          <w:szCs w:val="20"/>
        </w:rPr>
        <w:t xml:space="preserve">Aktiflerin veya ticari işletmenin devri </w:t>
      </w:r>
    </w:p>
    <w:p w14:paraId="1375F438" w14:textId="77777777" w:rsidR="004C05C9" w:rsidRPr="0093262F" w:rsidRDefault="004C05C9" w:rsidP="00ED1612">
      <w:pPr>
        <w:spacing w:after="120" w:line="240" w:lineRule="auto"/>
        <w:ind w:firstLine="567"/>
        <w:jc w:val="both"/>
        <w:rPr>
          <w:i/>
          <w:sz w:val="20"/>
          <w:szCs w:val="20"/>
        </w:rPr>
      </w:pPr>
      <w:r w:rsidRPr="0093262F">
        <w:rPr>
          <w:i/>
          <w:sz w:val="20"/>
          <w:szCs w:val="20"/>
        </w:rPr>
        <w:t xml:space="preserve">5. </w:t>
      </w:r>
      <w:r w:rsidR="00E80C3A" w:rsidRPr="0093262F">
        <w:rPr>
          <w:i/>
          <w:sz w:val="20"/>
          <w:szCs w:val="20"/>
        </w:rPr>
        <w:t xml:space="preserve">Alacağın veya sözleşmenin devri </w:t>
      </w:r>
    </w:p>
    <w:p w14:paraId="2F26C8EF" w14:textId="77777777" w:rsidR="004C05C9" w:rsidRPr="0093262F" w:rsidRDefault="004C05C9" w:rsidP="00ED1612">
      <w:pPr>
        <w:spacing w:after="120" w:line="240" w:lineRule="auto"/>
        <w:ind w:firstLine="567"/>
        <w:jc w:val="both"/>
        <w:rPr>
          <w:i/>
          <w:sz w:val="20"/>
          <w:szCs w:val="20"/>
        </w:rPr>
      </w:pPr>
      <w:r w:rsidRPr="0093262F">
        <w:rPr>
          <w:i/>
          <w:sz w:val="20"/>
          <w:szCs w:val="20"/>
        </w:rPr>
        <w:t xml:space="preserve">6. </w:t>
      </w:r>
      <w:r w:rsidR="00E80C3A" w:rsidRPr="0093262F">
        <w:rPr>
          <w:i/>
          <w:sz w:val="20"/>
          <w:szCs w:val="20"/>
        </w:rPr>
        <w:t xml:space="preserve">Önemli bazı işlemlerin yapılmasının üçüncü kişilere bırakıldığı hizmet sözleşmeleri </w:t>
      </w:r>
    </w:p>
    <w:p w14:paraId="7DF74253" w14:textId="77777777" w:rsidR="00E80C3A" w:rsidRPr="0093262F" w:rsidRDefault="004C05C9" w:rsidP="00ED1612">
      <w:pPr>
        <w:spacing w:after="120" w:line="240" w:lineRule="auto"/>
        <w:ind w:firstLine="567"/>
        <w:jc w:val="both"/>
        <w:rPr>
          <w:i/>
          <w:sz w:val="20"/>
          <w:szCs w:val="20"/>
        </w:rPr>
      </w:pPr>
      <w:r w:rsidRPr="0093262F">
        <w:rPr>
          <w:i/>
          <w:sz w:val="20"/>
          <w:szCs w:val="20"/>
        </w:rPr>
        <w:t xml:space="preserve">7. </w:t>
      </w:r>
      <w:r w:rsidR="00E80C3A" w:rsidRPr="0093262F">
        <w:rPr>
          <w:i/>
          <w:sz w:val="20"/>
          <w:szCs w:val="20"/>
        </w:rPr>
        <w:t>Müşteriyle ilgili banka işlem ve sözleşmelerinin, şirketler topluluğunca incelenmesi ve hazırlanması</w:t>
      </w:r>
    </w:p>
    <w:p w14:paraId="11B871A0" w14:textId="77777777" w:rsidR="00E80C3A" w:rsidRPr="0093262F" w:rsidRDefault="00E80C3A" w:rsidP="00ED1612">
      <w:pPr>
        <w:spacing w:after="120" w:line="240" w:lineRule="auto"/>
        <w:ind w:firstLine="567"/>
        <w:jc w:val="both"/>
        <w:rPr>
          <w:i/>
          <w:sz w:val="20"/>
          <w:szCs w:val="20"/>
        </w:rPr>
      </w:pPr>
      <w:r w:rsidRPr="0093262F">
        <w:rPr>
          <w:i/>
          <w:sz w:val="20"/>
          <w:szCs w:val="20"/>
        </w:rPr>
        <w:t xml:space="preserve">Finansman sözleşmeleriyle ilgili olarak Avrupa Birliği’ne üye olmayan bir Devletin mevzuatı gereği, veri depolama merkezine bildirimin zorunlu olduğu hâllerde, kredi kuruluşu veya finansman şirketi, mesleki sır kapsamında yer alan bilgileri paylaşabilir. Bu bilgiler, 06.01.1978 tarih ve 78-17 sayılı Bilişim, </w:t>
      </w:r>
      <w:r w:rsidRPr="005B5BA3">
        <w:rPr>
          <w:sz w:val="20"/>
          <w:szCs w:val="20"/>
        </w:rPr>
        <w:t>Veri Kayıt Sistemi</w:t>
      </w:r>
      <w:r w:rsidRPr="0093262F">
        <w:rPr>
          <w:rStyle w:val="Strong"/>
          <w:i/>
          <w:sz w:val="20"/>
          <w:szCs w:val="20"/>
          <w:shd w:val="clear" w:color="auto" w:fill="FFFFFF"/>
        </w:rPr>
        <w:t xml:space="preserve"> </w:t>
      </w:r>
      <w:r w:rsidRPr="005B5BA3">
        <w:rPr>
          <w:sz w:val="20"/>
          <w:szCs w:val="20"/>
        </w:rPr>
        <w:t>v</w:t>
      </w:r>
      <w:r w:rsidRPr="0093262F">
        <w:rPr>
          <w:i/>
          <w:sz w:val="20"/>
          <w:szCs w:val="20"/>
        </w:rPr>
        <w:t xml:space="preserve">e Özgürlüklere İlişkin Kanun’a göre kişisel veri niteliğindeyse, bildirim söz konusu Kanun’da öngörülen şekilde gerçekleştirilir. </w:t>
      </w:r>
    </w:p>
    <w:p w14:paraId="6BEBCA2F" w14:textId="77777777" w:rsidR="00E80C3A" w:rsidRPr="0093262F" w:rsidRDefault="00E80C3A" w:rsidP="00ED1612">
      <w:pPr>
        <w:spacing w:after="120" w:line="240" w:lineRule="auto"/>
        <w:ind w:firstLine="567"/>
        <w:jc w:val="both"/>
        <w:rPr>
          <w:i/>
          <w:sz w:val="20"/>
          <w:szCs w:val="20"/>
        </w:rPr>
      </w:pPr>
      <w:r w:rsidRPr="0093262F">
        <w:rPr>
          <w:i/>
          <w:sz w:val="20"/>
          <w:szCs w:val="20"/>
        </w:rPr>
        <w:t xml:space="preserve">Yukarıda belirtilen hâller dışında, kredi kuruluşları ve finansman şirketleri, mesleki sır kapsamında yer alan bilgileri, her somut olayda ve ilgili kişilerin bu yöndeki onayı ile paylaşabilir. </w:t>
      </w:r>
    </w:p>
    <w:p w14:paraId="4FB85CB7" w14:textId="77777777" w:rsidR="00DE2456" w:rsidRPr="0093262F" w:rsidRDefault="00E80C3A" w:rsidP="00ED1612">
      <w:pPr>
        <w:spacing w:after="120" w:line="240" w:lineRule="auto"/>
        <w:ind w:firstLine="567"/>
        <w:jc w:val="both"/>
        <w:rPr>
          <w:sz w:val="20"/>
          <w:szCs w:val="20"/>
        </w:rPr>
      </w:pPr>
      <w:r w:rsidRPr="0093262F">
        <w:rPr>
          <w:i/>
          <w:sz w:val="20"/>
          <w:szCs w:val="20"/>
        </w:rPr>
        <w:t>Yukarıda belirtilen işlemler gerçekleşmiş olsun veya olmasın, mesleki sır kapsamında yer alan bilgileri öğrenen kişiler, bu bilgileri gizlilikle saklamalıdır.</w:t>
      </w:r>
      <w:r w:rsidRPr="0093262F">
        <w:rPr>
          <w:sz w:val="20"/>
          <w:szCs w:val="20"/>
        </w:rPr>
        <w:t xml:space="preserve"> </w:t>
      </w:r>
      <w:r w:rsidRPr="0093262F">
        <w:rPr>
          <w:i/>
          <w:sz w:val="20"/>
          <w:szCs w:val="20"/>
        </w:rPr>
        <w:t xml:space="preserve">Ancak işlem gerçekleşmiş olursa, söz konusu kişiler mesleki sır kapsamında yer alan bilgilerin tümünü, bu maddede sözü edilen kişilerle ve aynı koşullarda paylaşabilirler. </w:t>
      </w:r>
    </w:p>
    <w:p w14:paraId="6EC9CB31" w14:textId="77777777" w:rsidR="00DE2456" w:rsidRPr="0093262F" w:rsidRDefault="00E80C3A" w:rsidP="00ED1612">
      <w:pPr>
        <w:spacing w:after="120" w:line="240" w:lineRule="auto"/>
        <w:ind w:firstLine="567"/>
        <w:jc w:val="both"/>
        <w:rPr>
          <w:sz w:val="20"/>
          <w:szCs w:val="20"/>
        </w:rPr>
      </w:pPr>
      <w:r w:rsidRPr="0093262F">
        <w:rPr>
          <w:i/>
          <w:sz w:val="20"/>
          <w:szCs w:val="20"/>
        </w:rPr>
        <w:t>II. İhtiyati Denetim ve Çözümleme Kurumu’nun denetimine tâbi kredi kuruluşu, finansman şirketi, saf finansal holding şirketi, karma finansal holding şirketi ve finansman şirketinin ana işletmelerinin çalışanları ile bunların hizmet sağlayıcılarının çalışanları, potansiyel veya kesin ihlalleri 26.06.2013 tarih ve 575/2015 sayılı, 15.05.2014 tarih ve 600/2014 sayılı Avrupa Parlamentosu ve Konseyi Tüzüklerine ve bu Kanun’un birinci kitabının mevcut bölümü ile III. bölümlerinde yer alan düzenlemelere uygun olarak Kurum’a bildirmelidir. Bildirimler yazılı olarak yapılmalı ve vakıanın aydınlatılması için gerekli tüm unsurlar bildirime eklenmelidir.</w:t>
      </w:r>
    </w:p>
    <w:p w14:paraId="4E851A86" w14:textId="77777777" w:rsidR="00E80C3A" w:rsidRPr="0093262F" w:rsidRDefault="00E80C3A" w:rsidP="00ED1612">
      <w:pPr>
        <w:spacing w:after="120" w:line="240" w:lineRule="auto"/>
        <w:ind w:firstLine="567"/>
        <w:jc w:val="both"/>
        <w:rPr>
          <w:sz w:val="20"/>
          <w:szCs w:val="20"/>
        </w:rPr>
      </w:pPr>
      <w:r w:rsidRPr="0093262F">
        <w:rPr>
          <w:i/>
          <w:sz w:val="20"/>
          <w:szCs w:val="20"/>
        </w:rPr>
        <w:t>İhtiyati Denetim ve Çözümleme Kurumu, kendisine yapılan bildirimler için, bildirimde bulunan kişinin korunması, özellikle kimliğinin öğrenilmemesi ve bildirimle ilgili diğer kişilerin kişisel verilerinin korunması için gerekli tüm tedbirleri alır.”</w:t>
      </w:r>
    </w:p>
  </w:footnote>
  <w:footnote w:id="5">
    <w:p w14:paraId="63576D1B" w14:textId="77777777" w:rsidR="00E80C3A" w:rsidRPr="0093262F" w:rsidRDefault="00E80C3A" w:rsidP="00D3172F">
      <w:pPr>
        <w:spacing w:after="120" w:line="240" w:lineRule="auto"/>
        <w:jc w:val="both"/>
        <w:rPr>
          <w:sz w:val="20"/>
          <w:szCs w:val="20"/>
        </w:rPr>
      </w:pPr>
      <w:r w:rsidRPr="0093262F">
        <w:rPr>
          <w:rStyle w:val="FootnoteReference"/>
          <w:sz w:val="20"/>
          <w:szCs w:val="20"/>
        </w:rPr>
        <w:footnoteRef/>
      </w:r>
      <w:r w:rsidRPr="0093262F">
        <w:rPr>
          <w:sz w:val="20"/>
          <w:szCs w:val="20"/>
        </w:rPr>
        <w:t xml:space="preserve"> Bununla birlikte </w:t>
      </w:r>
      <w:proofErr w:type="spellStart"/>
      <w:r w:rsidRPr="0093262F">
        <w:rPr>
          <w:sz w:val="20"/>
          <w:szCs w:val="20"/>
        </w:rPr>
        <w:t>CMF’nin</w:t>
      </w:r>
      <w:proofErr w:type="spellEnd"/>
      <w:r w:rsidRPr="0093262F">
        <w:rPr>
          <w:sz w:val="20"/>
          <w:szCs w:val="20"/>
        </w:rPr>
        <w:t xml:space="preserve"> yürürlüğe girmesinden önce de, bankaların banka sözleşmesinden kaynaklanan sır saklama yükümlülüğünün olduğu kabul edilmekteydi. Ayrıca Ceza Kanunu’nun (</w:t>
      </w:r>
      <w:proofErr w:type="spellStart"/>
      <w:r w:rsidRPr="0093262F">
        <w:rPr>
          <w:sz w:val="20"/>
          <w:szCs w:val="20"/>
        </w:rPr>
        <w:t>Code</w:t>
      </w:r>
      <w:proofErr w:type="spellEnd"/>
      <w:r w:rsidRPr="0093262F">
        <w:rPr>
          <w:sz w:val="20"/>
          <w:szCs w:val="20"/>
        </w:rPr>
        <w:t xml:space="preserve"> </w:t>
      </w:r>
      <w:proofErr w:type="spellStart"/>
      <w:r w:rsidRPr="0093262F">
        <w:rPr>
          <w:sz w:val="20"/>
          <w:szCs w:val="20"/>
        </w:rPr>
        <w:t>pénal</w:t>
      </w:r>
      <w:proofErr w:type="spellEnd"/>
      <w:r w:rsidRPr="0093262F">
        <w:rPr>
          <w:sz w:val="20"/>
          <w:szCs w:val="20"/>
        </w:rPr>
        <w:t xml:space="preserve">, CP) 378. maddesinde doktorlar, eczacılar ve avukatlar için öngörülen sır saklama yükümlülüğünün bankacılar için de uygulanabilir olduğu ifade edilmekteydi. Joseph Hamel, </w:t>
      </w:r>
      <w:proofErr w:type="spellStart"/>
      <w:r w:rsidRPr="0093262F">
        <w:rPr>
          <w:i/>
          <w:sz w:val="20"/>
          <w:szCs w:val="20"/>
        </w:rPr>
        <w:t>Ban</w:t>
      </w:r>
      <w:r w:rsidR="00767024" w:rsidRPr="0093262F">
        <w:rPr>
          <w:i/>
          <w:sz w:val="20"/>
          <w:szCs w:val="20"/>
        </w:rPr>
        <w:t>ques</w:t>
      </w:r>
      <w:proofErr w:type="spellEnd"/>
      <w:r w:rsidR="00767024" w:rsidRPr="0093262F">
        <w:rPr>
          <w:i/>
          <w:sz w:val="20"/>
          <w:szCs w:val="20"/>
        </w:rPr>
        <w:t xml:space="preserve"> et </w:t>
      </w:r>
      <w:proofErr w:type="spellStart"/>
      <w:r w:rsidR="00767024" w:rsidRPr="0093262F">
        <w:rPr>
          <w:i/>
          <w:sz w:val="20"/>
          <w:szCs w:val="20"/>
        </w:rPr>
        <w:t>Opérations</w:t>
      </w:r>
      <w:proofErr w:type="spellEnd"/>
      <w:r w:rsidR="00767024" w:rsidRPr="0093262F">
        <w:rPr>
          <w:i/>
          <w:sz w:val="20"/>
          <w:szCs w:val="20"/>
        </w:rPr>
        <w:t xml:space="preserve"> </w:t>
      </w:r>
      <w:proofErr w:type="spellStart"/>
      <w:r w:rsidR="00767024" w:rsidRPr="0093262F">
        <w:rPr>
          <w:i/>
          <w:sz w:val="20"/>
          <w:szCs w:val="20"/>
        </w:rPr>
        <w:t>des</w:t>
      </w:r>
      <w:proofErr w:type="spellEnd"/>
      <w:r w:rsidR="00767024" w:rsidRPr="0093262F">
        <w:rPr>
          <w:i/>
          <w:sz w:val="20"/>
          <w:szCs w:val="20"/>
        </w:rPr>
        <w:t xml:space="preserve"> </w:t>
      </w:r>
      <w:proofErr w:type="spellStart"/>
      <w:r w:rsidR="00767024" w:rsidRPr="0093262F">
        <w:rPr>
          <w:i/>
          <w:sz w:val="20"/>
          <w:szCs w:val="20"/>
        </w:rPr>
        <w:t>Banques</w:t>
      </w:r>
      <w:proofErr w:type="spellEnd"/>
      <w:r w:rsidR="00767024" w:rsidRPr="0093262F">
        <w:rPr>
          <w:sz w:val="20"/>
          <w:szCs w:val="20"/>
        </w:rPr>
        <w:t xml:space="preserve">, Ed. Rousseau, </w:t>
      </w:r>
      <w:r w:rsidRPr="0093262F">
        <w:rPr>
          <w:sz w:val="20"/>
          <w:szCs w:val="20"/>
        </w:rPr>
        <w:t xml:space="preserve">Paris, 1933, s. 141; </w:t>
      </w:r>
      <w:proofErr w:type="spellStart"/>
      <w:r w:rsidRPr="0093262F">
        <w:rPr>
          <w:sz w:val="20"/>
          <w:szCs w:val="20"/>
        </w:rPr>
        <w:t>Anatole</w:t>
      </w:r>
      <w:proofErr w:type="spellEnd"/>
      <w:r w:rsidRPr="0093262F">
        <w:rPr>
          <w:sz w:val="20"/>
          <w:szCs w:val="20"/>
        </w:rPr>
        <w:t xml:space="preserve"> </w:t>
      </w:r>
      <w:proofErr w:type="spellStart"/>
      <w:r w:rsidRPr="0093262F">
        <w:rPr>
          <w:sz w:val="20"/>
          <w:szCs w:val="20"/>
        </w:rPr>
        <w:t>Sacker</w:t>
      </w:r>
      <w:proofErr w:type="spellEnd"/>
      <w:r w:rsidRPr="0093262F">
        <w:rPr>
          <w:sz w:val="20"/>
          <w:szCs w:val="20"/>
        </w:rPr>
        <w:t xml:space="preserve">, </w:t>
      </w:r>
      <w:r w:rsidRPr="0093262F">
        <w:rPr>
          <w:i/>
          <w:sz w:val="20"/>
          <w:szCs w:val="20"/>
        </w:rPr>
        <w:t xml:space="preserve">Le </w:t>
      </w:r>
      <w:proofErr w:type="spellStart"/>
      <w:r w:rsidRPr="0093262F">
        <w:rPr>
          <w:i/>
          <w:sz w:val="20"/>
          <w:szCs w:val="20"/>
        </w:rPr>
        <w:t>Secret</w:t>
      </w:r>
      <w:proofErr w:type="spellEnd"/>
      <w:r w:rsidRPr="0093262F">
        <w:rPr>
          <w:i/>
          <w:sz w:val="20"/>
          <w:szCs w:val="20"/>
        </w:rPr>
        <w:t xml:space="preserve"> </w:t>
      </w:r>
      <w:proofErr w:type="spellStart"/>
      <w:r w:rsidRPr="0093262F">
        <w:rPr>
          <w:i/>
          <w:sz w:val="20"/>
          <w:szCs w:val="20"/>
        </w:rPr>
        <w:t>Professionnel</w:t>
      </w:r>
      <w:proofErr w:type="spellEnd"/>
      <w:r w:rsidRPr="0093262F">
        <w:rPr>
          <w:i/>
          <w:sz w:val="20"/>
          <w:szCs w:val="20"/>
        </w:rPr>
        <w:t xml:space="preserve"> </w:t>
      </w:r>
      <w:proofErr w:type="spellStart"/>
      <w:r w:rsidRPr="0093262F">
        <w:rPr>
          <w:i/>
          <w:sz w:val="20"/>
          <w:szCs w:val="20"/>
        </w:rPr>
        <w:t>du</w:t>
      </w:r>
      <w:proofErr w:type="spellEnd"/>
      <w:r w:rsidRPr="0093262F">
        <w:rPr>
          <w:i/>
          <w:sz w:val="20"/>
          <w:szCs w:val="20"/>
        </w:rPr>
        <w:t xml:space="preserve"> </w:t>
      </w:r>
      <w:proofErr w:type="spellStart"/>
      <w:r w:rsidRPr="0093262F">
        <w:rPr>
          <w:i/>
          <w:sz w:val="20"/>
          <w:szCs w:val="20"/>
        </w:rPr>
        <w:t>Banquier</w:t>
      </w:r>
      <w:proofErr w:type="spellEnd"/>
      <w:r w:rsidRPr="0093262F">
        <w:rPr>
          <w:sz w:val="20"/>
          <w:szCs w:val="20"/>
        </w:rPr>
        <w:t xml:space="preserve">, </w:t>
      </w:r>
      <w:r w:rsidR="00767024" w:rsidRPr="0093262F">
        <w:rPr>
          <w:sz w:val="20"/>
          <w:szCs w:val="20"/>
        </w:rPr>
        <w:t>E</w:t>
      </w:r>
      <w:r w:rsidRPr="0093262F">
        <w:rPr>
          <w:sz w:val="20"/>
          <w:szCs w:val="20"/>
        </w:rPr>
        <w:t xml:space="preserve">d. Rousseau, </w:t>
      </w:r>
      <w:r w:rsidR="00767024" w:rsidRPr="0093262F">
        <w:rPr>
          <w:sz w:val="20"/>
          <w:szCs w:val="20"/>
        </w:rPr>
        <w:t xml:space="preserve">Paris, </w:t>
      </w:r>
      <w:r w:rsidRPr="0093262F">
        <w:rPr>
          <w:sz w:val="20"/>
          <w:szCs w:val="20"/>
        </w:rPr>
        <w:t xml:space="preserve">1933, s. 9; Paris İstinaf Mahkemesi de 17.10.1931 tarihli eski bir kararında, bankaların müşteri sırrını saklama yükümlülüğünün bulunduğuna işaret etmiştir.   </w:t>
      </w:r>
      <w:proofErr w:type="spellStart"/>
      <w:r w:rsidRPr="0093262F">
        <w:rPr>
          <w:sz w:val="20"/>
          <w:szCs w:val="20"/>
        </w:rPr>
        <w:t>Jérôme</w:t>
      </w:r>
      <w:proofErr w:type="spellEnd"/>
      <w:r w:rsidRPr="0093262F">
        <w:rPr>
          <w:sz w:val="20"/>
          <w:szCs w:val="20"/>
        </w:rPr>
        <w:t xml:space="preserve"> </w:t>
      </w:r>
      <w:proofErr w:type="spellStart"/>
      <w:r w:rsidRPr="0093262F">
        <w:rPr>
          <w:sz w:val="20"/>
          <w:szCs w:val="20"/>
        </w:rPr>
        <w:t>Lasserre-Capdeville</w:t>
      </w:r>
      <w:proofErr w:type="spellEnd"/>
      <w:r w:rsidRPr="0093262F">
        <w:rPr>
          <w:sz w:val="20"/>
          <w:szCs w:val="20"/>
        </w:rPr>
        <w:t xml:space="preserve">, </w:t>
      </w:r>
      <w:r w:rsidRPr="0093262F">
        <w:rPr>
          <w:i/>
          <w:sz w:val="20"/>
          <w:szCs w:val="20"/>
        </w:rPr>
        <w:t xml:space="preserve">Le </w:t>
      </w:r>
      <w:proofErr w:type="spellStart"/>
      <w:r w:rsidRPr="0093262F">
        <w:rPr>
          <w:i/>
          <w:sz w:val="20"/>
          <w:szCs w:val="20"/>
        </w:rPr>
        <w:t>Secret</w:t>
      </w:r>
      <w:proofErr w:type="spellEnd"/>
      <w:r w:rsidRPr="0093262F">
        <w:rPr>
          <w:i/>
          <w:sz w:val="20"/>
          <w:szCs w:val="20"/>
        </w:rPr>
        <w:t xml:space="preserve"> </w:t>
      </w:r>
      <w:proofErr w:type="spellStart"/>
      <w:r w:rsidRPr="0093262F">
        <w:rPr>
          <w:i/>
          <w:sz w:val="20"/>
          <w:szCs w:val="20"/>
        </w:rPr>
        <w:t>Banca</w:t>
      </w:r>
      <w:r w:rsidR="00767024" w:rsidRPr="0093262F">
        <w:rPr>
          <w:i/>
          <w:sz w:val="20"/>
          <w:szCs w:val="20"/>
        </w:rPr>
        <w:t>ire</w:t>
      </w:r>
      <w:proofErr w:type="spellEnd"/>
      <w:r w:rsidR="00767024" w:rsidRPr="0093262F">
        <w:rPr>
          <w:sz w:val="20"/>
          <w:szCs w:val="20"/>
        </w:rPr>
        <w:t>,</w:t>
      </w:r>
      <w:r w:rsidRPr="0093262F">
        <w:rPr>
          <w:sz w:val="20"/>
          <w:szCs w:val="20"/>
        </w:rPr>
        <w:t xml:space="preserve"> </w:t>
      </w:r>
      <w:proofErr w:type="spellStart"/>
      <w:r w:rsidRPr="0093262F">
        <w:rPr>
          <w:sz w:val="20"/>
          <w:szCs w:val="20"/>
        </w:rPr>
        <w:t>Banque</w:t>
      </w:r>
      <w:proofErr w:type="spellEnd"/>
      <w:r w:rsidRPr="0093262F">
        <w:rPr>
          <w:sz w:val="20"/>
          <w:szCs w:val="20"/>
        </w:rPr>
        <w:t xml:space="preserve">&amp; </w:t>
      </w:r>
      <w:proofErr w:type="spellStart"/>
      <w:r w:rsidRPr="0093262F">
        <w:rPr>
          <w:sz w:val="20"/>
          <w:szCs w:val="20"/>
        </w:rPr>
        <w:t>Droit</w:t>
      </w:r>
      <w:proofErr w:type="spellEnd"/>
      <w:r w:rsidRPr="0093262F">
        <w:rPr>
          <w:sz w:val="20"/>
          <w:szCs w:val="20"/>
        </w:rPr>
        <w:t xml:space="preserve">, </w:t>
      </w:r>
      <w:proofErr w:type="spellStart"/>
      <w:r w:rsidRPr="0093262F">
        <w:rPr>
          <w:sz w:val="20"/>
          <w:szCs w:val="20"/>
        </w:rPr>
        <w:t>Hors</w:t>
      </w:r>
      <w:proofErr w:type="spellEnd"/>
      <w:r w:rsidRPr="0093262F">
        <w:rPr>
          <w:sz w:val="20"/>
          <w:szCs w:val="20"/>
        </w:rPr>
        <w:t xml:space="preserve"> Series, 30 </w:t>
      </w:r>
      <w:proofErr w:type="spellStart"/>
      <w:r w:rsidRPr="0093262F">
        <w:rPr>
          <w:sz w:val="20"/>
          <w:szCs w:val="20"/>
        </w:rPr>
        <w:t>Ans</w:t>
      </w:r>
      <w:proofErr w:type="spellEnd"/>
      <w:r w:rsidRPr="0093262F">
        <w:rPr>
          <w:sz w:val="20"/>
          <w:szCs w:val="20"/>
        </w:rPr>
        <w:t xml:space="preserve"> de </w:t>
      </w:r>
      <w:proofErr w:type="spellStart"/>
      <w:r w:rsidRPr="0093262F">
        <w:rPr>
          <w:sz w:val="20"/>
          <w:szCs w:val="20"/>
        </w:rPr>
        <w:t>Loi</w:t>
      </w:r>
      <w:proofErr w:type="spellEnd"/>
      <w:r w:rsidRPr="0093262F">
        <w:rPr>
          <w:sz w:val="20"/>
          <w:szCs w:val="20"/>
        </w:rPr>
        <w:t xml:space="preserve"> </w:t>
      </w:r>
      <w:proofErr w:type="spellStart"/>
      <w:r w:rsidRPr="0093262F">
        <w:rPr>
          <w:sz w:val="20"/>
          <w:szCs w:val="20"/>
        </w:rPr>
        <w:t>bancaire</w:t>
      </w:r>
      <w:proofErr w:type="spellEnd"/>
      <w:r w:rsidRPr="0093262F">
        <w:rPr>
          <w:sz w:val="20"/>
          <w:szCs w:val="20"/>
        </w:rPr>
        <w:t>, mars 2014, s. 16.</w:t>
      </w:r>
    </w:p>
  </w:footnote>
  <w:footnote w:id="6">
    <w:p w14:paraId="2C018A43" w14:textId="77777777" w:rsidR="00271868" w:rsidRDefault="00271868" w:rsidP="00271868">
      <w:pPr>
        <w:spacing w:after="120" w:line="240" w:lineRule="auto"/>
        <w:jc w:val="both"/>
      </w:pPr>
      <w:r>
        <w:rPr>
          <w:rStyle w:val="FootnoteReference"/>
        </w:rPr>
        <w:footnoteRef/>
      </w:r>
      <w:r>
        <w:t xml:space="preserve"> </w:t>
      </w:r>
      <w:proofErr w:type="spellStart"/>
      <w:r w:rsidRPr="0093262F">
        <w:rPr>
          <w:sz w:val="20"/>
          <w:szCs w:val="20"/>
        </w:rPr>
        <w:t>Alexandre</w:t>
      </w:r>
      <w:proofErr w:type="spellEnd"/>
      <w:r w:rsidRPr="0093262F">
        <w:rPr>
          <w:sz w:val="20"/>
          <w:szCs w:val="20"/>
        </w:rPr>
        <w:t xml:space="preserve"> </w:t>
      </w:r>
      <w:proofErr w:type="spellStart"/>
      <w:r w:rsidRPr="0093262F">
        <w:rPr>
          <w:sz w:val="20"/>
          <w:szCs w:val="20"/>
        </w:rPr>
        <w:t>Alavi</w:t>
      </w:r>
      <w:proofErr w:type="spellEnd"/>
      <w:r w:rsidRPr="0093262F">
        <w:rPr>
          <w:sz w:val="20"/>
          <w:szCs w:val="20"/>
        </w:rPr>
        <w:t xml:space="preserve">, </w:t>
      </w:r>
      <w:r w:rsidRPr="0093262F">
        <w:rPr>
          <w:i/>
          <w:sz w:val="20"/>
          <w:szCs w:val="20"/>
        </w:rPr>
        <w:t xml:space="preserve">Le </w:t>
      </w:r>
      <w:proofErr w:type="spellStart"/>
      <w:r w:rsidRPr="0093262F">
        <w:rPr>
          <w:i/>
          <w:sz w:val="20"/>
          <w:szCs w:val="20"/>
        </w:rPr>
        <w:t>secret</w:t>
      </w:r>
      <w:proofErr w:type="spellEnd"/>
      <w:r w:rsidRPr="0093262F">
        <w:rPr>
          <w:i/>
          <w:sz w:val="20"/>
          <w:szCs w:val="20"/>
        </w:rPr>
        <w:t xml:space="preserve"> </w:t>
      </w:r>
      <w:proofErr w:type="spellStart"/>
      <w:r w:rsidRPr="0093262F">
        <w:rPr>
          <w:i/>
          <w:sz w:val="20"/>
          <w:szCs w:val="20"/>
        </w:rPr>
        <w:t>bancaire</w:t>
      </w:r>
      <w:proofErr w:type="spellEnd"/>
      <w:r w:rsidRPr="0093262F">
        <w:rPr>
          <w:i/>
          <w:sz w:val="20"/>
          <w:szCs w:val="20"/>
        </w:rPr>
        <w:t xml:space="preserve"> </w:t>
      </w:r>
      <w:proofErr w:type="spellStart"/>
      <w:r w:rsidRPr="0093262F">
        <w:rPr>
          <w:i/>
          <w:sz w:val="20"/>
          <w:szCs w:val="20"/>
        </w:rPr>
        <w:t>Etude</w:t>
      </w:r>
      <w:proofErr w:type="spellEnd"/>
      <w:r w:rsidRPr="0093262F">
        <w:rPr>
          <w:i/>
          <w:sz w:val="20"/>
          <w:szCs w:val="20"/>
        </w:rPr>
        <w:t xml:space="preserve"> de </w:t>
      </w:r>
      <w:proofErr w:type="spellStart"/>
      <w:r w:rsidRPr="0093262F">
        <w:rPr>
          <w:i/>
          <w:sz w:val="20"/>
          <w:szCs w:val="20"/>
        </w:rPr>
        <w:t>Droit</w:t>
      </w:r>
      <w:proofErr w:type="spellEnd"/>
      <w:r w:rsidRPr="0093262F">
        <w:rPr>
          <w:i/>
          <w:sz w:val="20"/>
          <w:szCs w:val="20"/>
        </w:rPr>
        <w:t xml:space="preserve"> </w:t>
      </w:r>
      <w:proofErr w:type="spellStart"/>
      <w:r w:rsidRPr="0093262F">
        <w:rPr>
          <w:i/>
          <w:sz w:val="20"/>
          <w:szCs w:val="20"/>
        </w:rPr>
        <w:t>Comparé</w:t>
      </w:r>
      <w:proofErr w:type="spellEnd"/>
      <w:r w:rsidRPr="0093262F">
        <w:rPr>
          <w:i/>
          <w:sz w:val="20"/>
          <w:szCs w:val="20"/>
        </w:rPr>
        <w:t xml:space="preserve"> (France-</w:t>
      </w:r>
      <w:proofErr w:type="spellStart"/>
      <w:r w:rsidRPr="0093262F">
        <w:rPr>
          <w:i/>
          <w:sz w:val="20"/>
          <w:szCs w:val="20"/>
        </w:rPr>
        <w:t>Suisse</w:t>
      </w:r>
      <w:proofErr w:type="spellEnd"/>
      <w:r w:rsidRPr="0093262F">
        <w:rPr>
          <w:i/>
          <w:sz w:val="20"/>
          <w:szCs w:val="20"/>
        </w:rPr>
        <w:t>)</w:t>
      </w:r>
      <w:r w:rsidRPr="0093262F">
        <w:rPr>
          <w:sz w:val="20"/>
          <w:szCs w:val="20"/>
        </w:rPr>
        <w:t xml:space="preserve">, </w:t>
      </w:r>
      <w:proofErr w:type="spellStart"/>
      <w:r w:rsidRPr="0093262F">
        <w:rPr>
          <w:sz w:val="20"/>
          <w:szCs w:val="20"/>
        </w:rPr>
        <w:t>Thèse</w:t>
      </w:r>
      <w:proofErr w:type="spellEnd"/>
      <w:r w:rsidRPr="0093262F">
        <w:rPr>
          <w:sz w:val="20"/>
          <w:szCs w:val="20"/>
        </w:rPr>
        <w:t xml:space="preserve"> </w:t>
      </w:r>
      <w:proofErr w:type="spellStart"/>
      <w:r w:rsidRPr="0093262F">
        <w:rPr>
          <w:sz w:val="20"/>
          <w:szCs w:val="20"/>
        </w:rPr>
        <w:t>Doctorat</w:t>
      </w:r>
      <w:proofErr w:type="spellEnd"/>
      <w:r w:rsidRPr="0093262F">
        <w:rPr>
          <w:sz w:val="20"/>
          <w:szCs w:val="20"/>
        </w:rPr>
        <w:t xml:space="preserve">, Paris, </w:t>
      </w:r>
      <w:proofErr w:type="spellStart"/>
      <w:r w:rsidRPr="0093262F">
        <w:rPr>
          <w:sz w:val="20"/>
          <w:szCs w:val="20"/>
        </w:rPr>
        <w:t>Université</w:t>
      </w:r>
      <w:proofErr w:type="spellEnd"/>
      <w:r w:rsidRPr="0093262F">
        <w:rPr>
          <w:sz w:val="20"/>
          <w:szCs w:val="20"/>
        </w:rPr>
        <w:t xml:space="preserve"> Paris </w:t>
      </w:r>
      <w:proofErr w:type="spellStart"/>
      <w:r w:rsidRPr="0093262F">
        <w:rPr>
          <w:sz w:val="20"/>
          <w:szCs w:val="20"/>
        </w:rPr>
        <w:t>Est</w:t>
      </w:r>
      <w:proofErr w:type="spellEnd"/>
      <w:r w:rsidRPr="0093262F">
        <w:rPr>
          <w:sz w:val="20"/>
          <w:szCs w:val="20"/>
        </w:rPr>
        <w:t xml:space="preserve">, 2017,  s.10; </w:t>
      </w:r>
      <w:proofErr w:type="spellStart"/>
      <w:r w:rsidRPr="0093262F">
        <w:rPr>
          <w:sz w:val="20"/>
          <w:szCs w:val="20"/>
        </w:rPr>
        <w:t>Jérôme</w:t>
      </w:r>
      <w:proofErr w:type="spellEnd"/>
      <w:r w:rsidRPr="0093262F">
        <w:rPr>
          <w:sz w:val="20"/>
          <w:szCs w:val="20"/>
        </w:rPr>
        <w:t xml:space="preserve"> </w:t>
      </w:r>
      <w:proofErr w:type="spellStart"/>
      <w:r w:rsidRPr="0093262F">
        <w:rPr>
          <w:sz w:val="20"/>
          <w:szCs w:val="20"/>
        </w:rPr>
        <w:t>Lasserre-Capdeville</w:t>
      </w:r>
      <w:proofErr w:type="spellEnd"/>
      <w:r w:rsidRPr="0093262F">
        <w:rPr>
          <w:sz w:val="20"/>
          <w:szCs w:val="20"/>
        </w:rPr>
        <w:t xml:space="preserve">, </w:t>
      </w:r>
      <w:r w:rsidRPr="0093262F">
        <w:rPr>
          <w:i/>
          <w:sz w:val="20"/>
          <w:szCs w:val="20"/>
        </w:rPr>
        <w:t xml:space="preserve">Le </w:t>
      </w:r>
      <w:proofErr w:type="spellStart"/>
      <w:r w:rsidRPr="0093262F">
        <w:rPr>
          <w:i/>
          <w:sz w:val="20"/>
          <w:szCs w:val="20"/>
        </w:rPr>
        <w:t>Secret</w:t>
      </w:r>
      <w:proofErr w:type="spellEnd"/>
      <w:r w:rsidRPr="0093262F">
        <w:rPr>
          <w:i/>
          <w:sz w:val="20"/>
          <w:szCs w:val="20"/>
        </w:rPr>
        <w:t xml:space="preserve"> </w:t>
      </w:r>
      <w:proofErr w:type="spellStart"/>
      <w:r w:rsidRPr="0093262F">
        <w:rPr>
          <w:i/>
          <w:sz w:val="20"/>
          <w:szCs w:val="20"/>
        </w:rPr>
        <w:t>Bancaire</w:t>
      </w:r>
      <w:proofErr w:type="spellEnd"/>
      <w:r w:rsidRPr="0093262F">
        <w:rPr>
          <w:i/>
          <w:sz w:val="20"/>
          <w:szCs w:val="20"/>
        </w:rPr>
        <w:t xml:space="preserve">, </w:t>
      </w:r>
      <w:proofErr w:type="spellStart"/>
      <w:r w:rsidRPr="0093262F">
        <w:rPr>
          <w:i/>
          <w:sz w:val="20"/>
          <w:szCs w:val="20"/>
        </w:rPr>
        <w:t>Etude</w:t>
      </w:r>
      <w:proofErr w:type="spellEnd"/>
      <w:r w:rsidRPr="0093262F">
        <w:rPr>
          <w:i/>
          <w:sz w:val="20"/>
          <w:szCs w:val="20"/>
        </w:rPr>
        <w:t xml:space="preserve"> de </w:t>
      </w:r>
      <w:proofErr w:type="spellStart"/>
      <w:r w:rsidRPr="0093262F">
        <w:rPr>
          <w:i/>
          <w:sz w:val="20"/>
          <w:szCs w:val="20"/>
        </w:rPr>
        <w:t>Droit</w:t>
      </w:r>
      <w:proofErr w:type="spellEnd"/>
      <w:r w:rsidRPr="0093262F">
        <w:rPr>
          <w:i/>
          <w:sz w:val="20"/>
          <w:szCs w:val="20"/>
        </w:rPr>
        <w:t xml:space="preserve"> </w:t>
      </w:r>
      <w:proofErr w:type="spellStart"/>
      <w:r w:rsidRPr="0093262F">
        <w:rPr>
          <w:i/>
          <w:sz w:val="20"/>
          <w:szCs w:val="20"/>
        </w:rPr>
        <w:t>Comparé</w:t>
      </w:r>
      <w:proofErr w:type="spellEnd"/>
      <w:r w:rsidRPr="0093262F">
        <w:rPr>
          <w:i/>
          <w:sz w:val="20"/>
          <w:szCs w:val="20"/>
        </w:rPr>
        <w:t xml:space="preserve"> (France, </w:t>
      </w:r>
      <w:proofErr w:type="spellStart"/>
      <w:r w:rsidRPr="0093262F">
        <w:rPr>
          <w:i/>
          <w:sz w:val="20"/>
          <w:szCs w:val="20"/>
        </w:rPr>
        <w:t>Suisse</w:t>
      </w:r>
      <w:proofErr w:type="spellEnd"/>
      <w:r w:rsidRPr="0093262F">
        <w:rPr>
          <w:i/>
          <w:sz w:val="20"/>
          <w:szCs w:val="20"/>
        </w:rPr>
        <w:t xml:space="preserve">, </w:t>
      </w:r>
      <w:proofErr w:type="spellStart"/>
      <w:r w:rsidRPr="0093262F">
        <w:rPr>
          <w:i/>
          <w:sz w:val="20"/>
          <w:szCs w:val="20"/>
        </w:rPr>
        <w:t>Luxembourg</w:t>
      </w:r>
      <w:proofErr w:type="spellEnd"/>
      <w:r w:rsidRPr="0093262F">
        <w:rPr>
          <w:i/>
          <w:sz w:val="20"/>
          <w:szCs w:val="20"/>
        </w:rPr>
        <w:t>),</w:t>
      </w:r>
      <w:r w:rsidRPr="0093262F">
        <w:rPr>
          <w:sz w:val="20"/>
          <w:szCs w:val="20"/>
        </w:rPr>
        <w:t xml:space="preserve"> </w:t>
      </w:r>
      <w:proofErr w:type="spellStart"/>
      <w:r w:rsidRPr="0093262F">
        <w:rPr>
          <w:sz w:val="20"/>
          <w:szCs w:val="20"/>
        </w:rPr>
        <w:t>Aix</w:t>
      </w:r>
      <w:proofErr w:type="spellEnd"/>
      <w:r w:rsidRPr="0093262F">
        <w:rPr>
          <w:sz w:val="20"/>
          <w:szCs w:val="20"/>
        </w:rPr>
        <w:t xml:space="preserve"> En </w:t>
      </w:r>
      <w:proofErr w:type="spellStart"/>
      <w:r w:rsidRPr="0093262F">
        <w:rPr>
          <w:sz w:val="20"/>
          <w:szCs w:val="20"/>
        </w:rPr>
        <w:t>Provence</w:t>
      </w:r>
      <w:proofErr w:type="spellEnd"/>
      <w:r w:rsidRPr="0093262F">
        <w:rPr>
          <w:sz w:val="20"/>
          <w:szCs w:val="20"/>
        </w:rPr>
        <w:t xml:space="preserve">, </w:t>
      </w:r>
      <w:proofErr w:type="spellStart"/>
      <w:r w:rsidRPr="0093262F">
        <w:rPr>
          <w:sz w:val="20"/>
          <w:szCs w:val="20"/>
        </w:rPr>
        <w:t>Presses</w:t>
      </w:r>
      <w:proofErr w:type="spellEnd"/>
      <w:r w:rsidRPr="0093262F">
        <w:rPr>
          <w:sz w:val="20"/>
          <w:szCs w:val="20"/>
        </w:rPr>
        <w:t xml:space="preserve"> </w:t>
      </w:r>
      <w:proofErr w:type="spellStart"/>
      <w:r w:rsidRPr="0093262F">
        <w:rPr>
          <w:sz w:val="20"/>
          <w:szCs w:val="20"/>
        </w:rPr>
        <w:t>Universitaire</w:t>
      </w:r>
      <w:proofErr w:type="spellEnd"/>
      <w:r w:rsidRPr="0093262F">
        <w:rPr>
          <w:sz w:val="20"/>
          <w:szCs w:val="20"/>
        </w:rPr>
        <w:t xml:space="preserve"> </w:t>
      </w:r>
      <w:proofErr w:type="spellStart"/>
      <w:r w:rsidRPr="0093262F">
        <w:rPr>
          <w:sz w:val="20"/>
          <w:szCs w:val="20"/>
        </w:rPr>
        <w:t>D’aix-Marseille</w:t>
      </w:r>
      <w:proofErr w:type="spellEnd"/>
      <w:r w:rsidRPr="0093262F">
        <w:rPr>
          <w:sz w:val="20"/>
          <w:szCs w:val="20"/>
        </w:rPr>
        <w:t xml:space="preserve">, 2006, s. 31; </w:t>
      </w:r>
      <w:proofErr w:type="spellStart"/>
      <w:r w:rsidRPr="0093262F">
        <w:rPr>
          <w:sz w:val="20"/>
          <w:szCs w:val="20"/>
        </w:rPr>
        <w:t>Raymond</w:t>
      </w:r>
      <w:proofErr w:type="spellEnd"/>
      <w:r w:rsidRPr="0093262F">
        <w:rPr>
          <w:sz w:val="20"/>
          <w:szCs w:val="20"/>
        </w:rPr>
        <w:t xml:space="preserve"> </w:t>
      </w:r>
      <w:proofErr w:type="spellStart"/>
      <w:r w:rsidRPr="0093262F">
        <w:rPr>
          <w:sz w:val="20"/>
          <w:szCs w:val="20"/>
        </w:rPr>
        <w:t>Farhat</w:t>
      </w:r>
      <w:proofErr w:type="spellEnd"/>
      <w:r w:rsidRPr="0093262F">
        <w:rPr>
          <w:sz w:val="20"/>
          <w:szCs w:val="20"/>
        </w:rPr>
        <w:t xml:space="preserve">, </w:t>
      </w:r>
      <w:r w:rsidRPr="0093262F">
        <w:rPr>
          <w:i/>
          <w:sz w:val="20"/>
          <w:szCs w:val="20"/>
        </w:rPr>
        <w:t xml:space="preserve">Le </w:t>
      </w:r>
      <w:proofErr w:type="spellStart"/>
      <w:r w:rsidRPr="0093262F">
        <w:rPr>
          <w:i/>
          <w:sz w:val="20"/>
          <w:szCs w:val="20"/>
        </w:rPr>
        <w:t>Secret</w:t>
      </w:r>
      <w:proofErr w:type="spellEnd"/>
      <w:r w:rsidRPr="0093262F">
        <w:rPr>
          <w:i/>
          <w:sz w:val="20"/>
          <w:szCs w:val="20"/>
        </w:rPr>
        <w:t xml:space="preserve"> </w:t>
      </w:r>
      <w:proofErr w:type="spellStart"/>
      <w:r w:rsidRPr="0093262F">
        <w:rPr>
          <w:i/>
          <w:sz w:val="20"/>
          <w:szCs w:val="20"/>
        </w:rPr>
        <w:t>Bancaire</w:t>
      </w:r>
      <w:proofErr w:type="spellEnd"/>
      <w:r w:rsidRPr="0093262F">
        <w:rPr>
          <w:i/>
          <w:sz w:val="20"/>
          <w:szCs w:val="20"/>
        </w:rPr>
        <w:t xml:space="preserve">: </w:t>
      </w:r>
      <w:proofErr w:type="spellStart"/>
      <w:r w:rsidRPr="0093262F">
        <w:rPr>
          <w:i/>
          <w:sz w:val="20"/>
          <w:szCs w:val="20"/>
        </w:rPr>
        <w:t>Etude</w:t>
      </w:r>
      <w:proofErr w:type="spellEnd"/>
      <w:r w:rsidRPr="0093262F">
        <w:rPr>
          <w:i/>
          <w:sz w:val="20"/>
          <w:szCs w:val="20"/>
        </w:rPr>
        <w:t xml:space="preserve"> de </w:t>
      </w:r>
      <w:proofErr w:type="spellStart"/>
      <w:r w:rsidRPr="0093262F">
        <w:rPr>
          <w:i/>
          <w:sz w:val="20"/>
          <w:szCs w:val="20"/>
        </w:rPr>
        <w:t>Droit</w:t>
      </w:r>
      <w:proofErr w:type="spellEnd"/>
      <w:r w:rsidRPr="0093262F">
        <w:rPr>
          <w:i/>
          <w:sz w:val="20"/>
          <w:szCs w:val="20"/>
        </w:rPr>
        <w:t xml:space="preserve"> </w:t>
      </w:r>
      <w:proofErr w:type="spellStart"/>
      <w:r w:rsidRPr="0093262F">
        <w:rPr>
          <w:i/>
          <w:sz w:val="20"/>
          <w:szCs w:val="20"/>
        </w:rPr>
        <w:t>Comparé</w:t>
      </w:r>
      <w:proofErr w:type="spellEnd"/>
      <w:r w:rsidRPr="0093262F">
        <w:rPr>
          <w:i/>
          <w:sz w:val="20"/>
          <w:szCs w:val="20"/>
        </w:rPr>
        <w:t xml:space="preserve"> (France, </w:t>
      </w:r>
      <w:proofErr w:type="spellStart"/>
      <w:r w:rsidRPr="0093262F">
        <w:rPr>
          <w:i/>
          <w:sz w:val="20"/>
          <w:szCs w:val="20"/>
        </w:rPr>
        <w:t>Suisse</w:t>
      </w:r>
      <w:proofErr w:type="spellEnd"/>
      <w:r w:rsidRPr="0093262F">
        <w:rPr>
          <w:i/>
          <w:sz w:val="20"/>
          <w:szCs w:val="20"/>
        </w:rPr>
        <w:t xml:space="preserve">, </w:t>
      </w:r>
      <w:proofErr w:type="spellStart"/>
      <w:r w:rsidRPr="0093262F">
        <w:rPr>
          <w:i/>
          <w:sz w:val="20"/>
          <w:szCs w:val="20"/>
        </w:rPr>
        <w:t>Liban</w:t>
      </w:r>
      <w:proofErr w:type="spellEnd"/>
      <w:r w:rsidRPr="0093262F">
        <w:rPr>
          <w:i/>
          <w:sz w:val="20"/>
          <w:szCs w:val="20"/>
        </w:rPr>
        <w:t>)</w:t>
      </w:r>
      <w:r w:rsidRPr="0093262F">
        <w:rPr>
          <w:sz w:val="20"/>
          <w:szCs w:val="20"/>
        </w:rPr>
        <w:t>, LGDJ, Paris, 1980, s. 11.</w:t>
      </w:r>
    </w:p>
  </w:footnote>
  <w:footnote w:id="7">
    <w:p w14:paraId="522203EE" w14:textId="77777777" w:rsidR="00271868" w:rsidRDefault="00271868" w:rsidP="00271868">
      <w:pPr>
        <w:spacing w:after="120" w:line="240" w:lineRule="auto"/>
        <w:jc w:val="both"/>
      </w:pPr>
      <w:r>
        <w:rPr>
          <w:rStyle w:val="FootnoteReference"/>
        </w:rPr>
        <w:footnoteRef/>
      </w:r>
      <w:r>
        <w:t xml:space="preserve"> </w:t>
      </w:r>
      <w:r w:rsidRPr="0093262F">
        <w:rPr>
          <w:sz w:val="20"/>
          <w:szCs w:val="20"/>
        </w:rPr>
        <w:t>Fransız hukukunda bankanın müşterileri ve hakkında bilgi sahibi olduğu üçüncü kişilerle ilgili sırlar için “</w:t>
      </w:r>
      <w:proofErr w:type="spellStart"/>
      <w:r w:rsidRPr="0093262F">
        <w:rPr>
          <w:sz w:val="20"/>
          <w:szCs w:val="20"/>
        </w:rPr>
        <w:t>secret</w:t>
      </w:r>
      <w:proofErr w:type="spellEnd"/>
      <w:r w:rsidRPr="0093262F">
        <w:rPr>
          <w:sz w:val="20"/>
          <w:szCs w:val="20"/>
        </w:rPr>
        <w:t xml:space="preserve"> </w:t>
      </w:r>
      <w:proofErr w:type="spellStart"/>
      <w:r w:rsidRPr="0093262F">
        <w:rPr>
          <w:sz w:val="20"/>
          <w:szCs w:val="20"/>
        </w:rPr>
        <w:t>bancaire</w:t>
      </w:r>
      <w:proofErr w:type="spellEnd"/>
      <w:r w:rsidRPr="0093262F">
        <w:rPr>
          <w:sz w:val="20"/>
          <w:szCs w:val="20"/>
        </w:rPr>
        <w:t xml:space="preserve">” kavramının kullanıldığı görülmektedir. Esasen bu kavramın kelime karşılığı “banka </w:t>
      </w:r>
      <w:proofErr w:type="spellStart"/>
      <w:r w:rsidRPr="0093262F">
        <w:rPr>
          <w:sz w:val="20"/>
          <w:szCs w:val="20"/>
        </w:rPr>
        <w:t>sırrı”dır</w:t>
      </w:r>
      <w:proofErr w:type="spellEnd"/>
      <w:r w:rsidRPr="0093262F">
        <w:rPr>
          <w:sz w:val="20"/>
          <w:szCs w:val="20"/>
        </w:rPr>
        <w:t>. Ancak kavram müşterilerin ve üçüncü kişilerin sırlarının saklanmasında kullanılmakta ve bankanın kendi sırları ise “iş sırrına (</w:t>
      </w:r>
      <w:proofErr w:type="spellStart"/>
      <w:r w:rsidRPr="0093262F">
        <w:rPr>
          <w:sz w:val="20"/>
          <w:szCs w:val="20"/>
        </w:rPr>
        <w:t>secret</w:t>
      </w:r>
      <w:proofErr w:type="spellEnd"/>
      <w:r w:rsidRPr="0093262F">
        <w:rPr>
          <w:sz w:val="20"/>
          <w:szCs w:val="20"/>
        </w:rPr>
        <w:t xml:space="preserve"> </w:t>
      </w:r>
      <w:proofErr w:type="spellStart"/>
      <w:r w:rsidRPr="0093262F">
        <w:rPr>
          <w:sz w:val="20"/>
          <w:szCs w:val="20"/>
        </w:rPr>
        <w:t>des</w:t>
      </w:r>
      <w:proofErr w:type="spellEnd"/>
      <w:r w:rsidRPr="0093262F">
        <w:rPr>
          <w:sz w:val="20"/>
          <w:szCs w:val="20"/>
        </w:rPr>
        <w:t xml:space="preserve"> </w:t>
      </w:r>
      <w:proofErr w:type="spellStart"/>
      <w:r w:rsidRPr="0093262F">
        <w:rPr>
          <w:sz w:val="20"/>
          <w:szCs w:val="20"/>
        </w:rPr>
        <w:t>affaires</w:t>
      </w:r>
      <w:proofErr w:type="spellEnd"/>
      <w:r w:rsidRPr="0093262F">
        <w:rPr>
          <w:sz w:val="20"/>
          <w:szCs w:val="20"/>
        </w:rPr>
        <w:t xml:space="preserve">)” ilişkin hükümlerle korunmaktadır. Yani Türk hukukundan farklı olarak Fransız hukukunda, bankanın kendisine, bir başka deyişle iç işleyişine dair sırlar için “banka sırrı” kavramı kullanılmamakta ve “bankanın iş sırrı” denmekle yetinilmektedir. </w:t>
      </w:r>
      <w:proofErr w:type="spellStart"/>
      <w:r w:rsidRPr="0093262F">
        <w:rPr>
          <w:sz w:val="20"/>
          <w:szCs w:val="20"/>
        </w:rPr>
        <w:t>Alavi</w:t>
      </w:r>
      <w:proofErr w:type="spellEnd"/>
      <w:r w:rsidRPr="0093262F">
        <w:rPr>
          <w:sz w:val="20"/>
          <w:szCs w:val="20"/>
        </w:rPr>
        <w:t xml:space="preserve">, s.14; </w:t>
      </w:r>
      <w:proofErr w:type="spellStart"/>
      <w:r w:rsidRPr="0093262F">
        <w:rPr>
          <w:sz w:val="20"/>
          <w:szCs w:val="20"/>
        </w:rPr>
        <w:t>Jérôme</w:t>
      </w:r>
      <w:proofErr w:type="spellEnd"/>
      <w:r w:rsidRPr="0093262F">
        <w:rPr>
          <w:sz w:val="20"/>
          <w:szCs w:val="20"/>
        </w:rPr>
        <w:t xml:space="preserve"> </w:t>
      </w:r>
      <w:proofErr w:type="spellStart"/>
      <w:r w:rsidRPr="0093262F">
        <w:rPr>
          <w:sz w:val="20"/>
          <w:szCs w:val="20"/>
        </w:rPr>
        <w:t>Lasserre-Capdeville</w:t>
      </w:r>
      <w:proofErr w:type="spellEnd"/>
      <w:r w:rsidRPr="0093262F">
        <w:rPr>
          <w:sz w:val="20"/>
          <w:szCs w:val="20"/>
        </w:rPr>
        <w:t xml:space="preserve">, </w:t>
      </w:r>
      <w:r w:rsidRPr="0093262F">
        <w:rPr>
          <w:i/>
          <w:sz w:val="20"/>
          <w:szCs w:val="20"/>
        </w:rPr>
        <w:t xml:space="preserve">Le </w:t>
      </w:r>
      <w:proofErr w:type="spellStart"/>
      <w:r w:rsidRPr="0093262F">
        <w:rPr>
          <w:i/>
          <w:sz w:val="20"/>
          <w:szCs w:val="20"/>
        </w:rPr>
        <w:t>Secret</w:t>
      </w:r>
      <w:proofErr w:type="spellEnd"/>
      <w:r w:rsidRPr="0093262F">
        <w:rPr>
          <w:i/>
          <w:sz w:val="20"/>
          <w:szCs w:val="20"/>
        </w:rPr>
        <w:t xml:space="preserve"> </w:t>
      </w:r>
      <w:proofErr w:type="spellStart"/>
      <w:r w:rsidRPr="0093262F">
        <w:rPr>
          <w:i/>
          <w:sz w:val="20"/>
          <w:szCs w:val="20"/>
        </w:rPr>
        <w:t>Bancaire</w:t>
      </w:r>
      <w:proofErr w:type="spellEnd"/>
      <w:r w:rsidRPr="0093262F">
        <w:rPr>
          <w:i/>
          <w:sz w:val="20"/>
          <w:szCs w:val="20"/>
        </w:rPr>
        <w:t xml:space="preserve">: </w:t>
      </w:r>
      <w:proofErr w:type="spellStart"/>
      <w:r w:rsidRPr="0093262F">
        <w:rPr>
          <w:i/>
          <w:sz w:val="20"/>
          <w:szCs w:val="20"/>
        </w:rPr>
        <w:t>Approche</w:t>
      </w:r>
      <w:proofErr w:type="spellEnd"/>
      <w:r w:rsidRPr="0093262F">
        <w:rPr>
          <w:i/>
          <w:sz w:val="20"/>
          <w:szCs w:val="20"/>
        </w:rPr>
        <w:t xml:space="preserve"> </w:t>
      </w:r>
      <w:proofErr w:type="spellStart"/>
      <w:r w:rsidRPr="0093262F">
        <w:rPr>
          <w:i/>
          <w:sz w:val="20"/>
          <w:szCs w:val="20"/>
        </w:rPr>
        <w:t>Nationale</w:t>
      </w:r>
      <w:proofErr w:type="spellEnd"/>
      <w:r w:rsidRPr="0093262F">
        <w:rPr>
          <w:i/>
          <w:sz w:val="20"/>
          <w:szCs w:val="20"/>
        </w:rPr>
        <w:t xml:space="preserve"> et </w:t>
      </w:r>
      <w:proofErr w:type="spellStart"/>
      <w:r w:rsidRPr="0093262F">
        <w:rPr>
          <w:i/>
          <w:sz w:val="20"/>
          <w:szCs w:val="20"/>
        </w:rPr>
        <w:t>İnternationale</w:t>
      </w:r>
      <w:proofErr w:type="spellEnd"/>
      <w:r w:rsidRPr="0093262F">
        <w:rPr>
          <w:sz w:val="20"/>
          <w:szCs w:val="20"/>
        </w:rPr>
        <w:t xml:space="preserve">, Edition </w:t>
      </w:r>
      <w:proofErr w:type="spellStart"/>
      <w:r w:rsidRPr="0093262F">
        <w:rPr>
          <w:sz w:val="20"/>
          <w:szCs w:val="20"/>
        </w:rPr>
        <w:t>Revue</w:t>
      </w:r>
      <w:proofErr w:type="spellEnd"/>
      <w:r w:rsidRPr="0093262F">
        <w:rPr>
          <w:sz w:val="20"/>
          <w:szCs w:val="20"/>
        </w:rPr>
        <w:t xml:space="preserve"> </w:t>
      </w:r>
      <w:proofErr w:type="spellStart"/>
      <w:r w:rsidRPr="0093262F">
        <w:rPr>
          <w:sz w:val="20"/>
          <w:szCs w:val="20"/>
        </w:rPr>
        <w:t>Banque</w:t>
      </w:r>
      <w:proofErr w:type="spellEnd"/>
      <w:r w:rsidRPr="0093262F">
        <w:rPr>
          <w:sz w:val="20"/>
          <w:szCs w:val="20"/>
        </w:rPr>
        <w:t xml:space="preserve">, Paris, 2013, s.15; Anne </w:t>
      </w:r>
      <w:proofErr w:type="spellStart"/>
      <w:r w:rsidRPr="0093262F">
        <w:rPr>
          <w:sz w:val="20"/>
          <w:szCs w:val="20"/>
        </w:rPr>
        <w:t>Teissier</w:t>
      </w:r>
      <w:proofErr w:type="spellEnd"/>
      <w:r w:rsidRPr="0093262F">
        <w:rPr>
          <w:sz w:val="20"/>
          <w:szCs w:val="20"/>
        </w:rPr>
        <w:t xml:space="preserve">, </w:t>
      </w:r>
      <w:r w:rsidRPr="0093262F">
        <w:rPr>
          <w:i/>
          <w:sz w:val="20"/>
          <w:szCs w:val="20"/>
        </w:rPr>
        <w:t xml:space="preserve">Le </w:t>
      </w:r>
      <w:proofErr w:type="spellStart"/>
      <w:r w:rsidRPr="0093262F">
        <w:rPr>
          <w:i/>
          <w:sz w:val="20"/>
          <w:szCs w:val="20"/>
        </w:rPr>
        <w:t>Secret</w:t>
      </w:r>
      <w:proofErr w:type="spellEnd"/>
      <w:r w:rsidRPr="0093262F">
        <w:rPr>
          <w:i/>
          <w:sz w:val="20"/>
          <w:szCs w:val="20"/>
        </w:rPr>
        <w:t xml:space="preserve"> </w:t>
      </w:r>
      <w:proofErr w:type="spellStart"/>
      <w:r w:rsidRPr="0093262F">
        <w:rPr>
          <w:i/>
          <w:sz w:val="20"/>
          <w:szCs w:val="20"/>
        </w:rPr>
        <w:t>Professionnel</w:t>
      </w:r>
      <w:proofErr w:type="spellEnd"/>
      <w:r w:rsidRPr="0093262F">
        <w:rPr>
          <w:i/>
          <w:sz w:val="20"/>
          <w:szCs w:val="20"/>
        </w:rPr>
        <w:t xml:space="preserve"> </w:t>
      </w:r>
      <w:proofErr w:type="spellStart"/>
      <w:r w:rsidRPr="0093262F">
        <w:rPr>
          <w:i/>
          <w:sz w:val="20"/>
          <w:szCs w:val="20"/>
        </w:rPr>
        <w:t>du</w:t>
      </w:r>
      <w:proofErr w:type="spellEnd"/>
      <w:r w:rsidRPr="0093262F">
        <w:rPr>
          <w:i/>
          <w:sz w:val="20"/>
          <w:szCs w:val="20"/>
        </w:rPr>
        <w:t xml:space="preserve"> </w:t>
      </w:r>
      <w:proofErr w:type="spellStart"/>
      <w:r w:rsidRPr="0093262F">
        <w:rPr>
          <w:i/>
          <w:sz w:val="20"/>
          <w:szCs w:val="20"/>
        </w:rPr>
        <w:t>Banquier</w:t>
      </w:r>
      <w:proofErr w:type="spellEnd"/>
      <w:r w:rsidRPr="0093262F">
        <w:rPr>
          <w:sz w:val="20"/>
          <w:szCs w:val="20"/>
        </w:rPr>
        <w:t xml:space="preserve">, </w:t>
      </w:r>
      <w:proofErr w:type="spellStart"/>
      <w:r w:rsidRPr="0093262F">
        <w:rPr>
          <w:sz w:val="20"/>
          <w:szCs w:val="20"/>
        </w:rPr>
        <w:t>Aix</w:t>
      </w:r>
      <w:proofErr w:type="spellEnd"/>
      <w:r w:rsidRPr="0093262F">
        <w:rPr>
          <w:sz w:val="20"/>
          <w:szCs w:val="20"/>
        </w:rPr>
        <w:t xml:space="preserve"> En </w:t>
      </w:r>
      <w:proofErr w:type="spellStart"/>
      <w:r w:rsidRPr="0093262F">
        <w:rPr>
          <w:sz w:val="20"/>
          <w:szCs w:val="20"/>
        </w:rPr>
        <w:t>Provence</w:t>
      </w:r>
      <w:proofErr w:type="spellEnd"/>
      <w:r w:rsidRPr="0093262F">
        <w:rPr>
          <w:sz w:val="20"/>
          <w:szCs w:val="20"/>
        </w:rPr>
        <w:t xml:space="preserve">, </w:t>
      </w:r>
      <w:proofErr w:type="spellStart"/>
      <w:r w:rsidRPr="0093262F">
        <w:rPr>
          <w:sz w:val="20"/>
          <w:szCs w:val="20"/>
        </w:rPr>
        <w:t>Presses</w:t>
      </w:r>
      <w:proofErr w:type="spellEnd"/>
      <w:r w:rsidRPr="0093262F">
        <w:rPr>
          <w:sz w:val="20"/>
          <w:szCs w:val="20"/>
        </w:rPr>
        <w:t xml:space="preserve"> </w:t>
      </w:r>
      <w:proofErr w:type="spellStart"/>
      <w:r w:rsidRPr="0093262F">
        <w:rPr>
          <w:sz w:val="20"/>
          <w:szCs w:val="20"/>
        </w:rPr>
        <w:t>Universitai</w:t>
      </w:r>
      <w:r>
        <w:rPr>
          <w:sz w:val="20"/>
          <w:szCs w:val="20"/>
        </w:rPr>
        <w:t>re</w:t>
      </w:r>
      <w:proofErr w:type="spellEnd"/>
      <w:r>
        <w:rPr>
          <w:sz w:val="20"/>
          <w:szCs w:val="20"/>
        </w:rPr>
        <w:t xml:space="preserve"> </w:t>
      </w:r>
      <w:proofErr w:type="spellStart"/>
      <w:r>
        <w:rPr>
          <w:sz w:val="20"/>
          <w:szCs w:val="20"/>
        </w:rPr>
        <w:t>D’aix-Marseille</w:t>
      </w:r>
      <w:proofErr w:type="spellEnd"/>
      <w:r>
        <w:rPr>
          <w:sz w:val="20"/>
          <w:szCs w:val="20"/>
        </w:rPr>
        <w:t xml:space="preserve">, 1999, s.18; </w:t>
      </w:r>
    </w:p>
  </w:footnote>
  <w:footnote w:id="8">
    <w:p w14:paraId="7DFDA842" w14:textId="77777777" w:rsidR="00271868" w:rsidRPr="006E5DB3" w:rsidRDefault="00271868" w:rsidP="006E5DB3">
      <w:pPr>
        <w:spacing w:after="120" w:line="240" w:lineRule="auto"/>
        <w:jc w:val="both"/>
        <w:rPr>
          <w:sz w:val="20"/>
          <w:szCs w:val="20"/>
        </w:rPr>
      </w:pPr>
      <w:r w:rsidRPr="006E5DB3">
        <w:rPr>
          <w:rStyle w:val="FootnoteReference"/>
          <w:sz w:val="20"/>
          <w:szCs w:val="20"/>
        </w:rPr>
        <w:footnoteRef/>
      </w:r>
      <w:r w:rsidRPr="006E5DB3">
        <w:rPr>
          <w:sz w:val="20"/>
          <w:szCs w:val="20"/>
        </w:rPr>
        <w:t xml:space="preserve"> Türk hukukunda ise Bankacılık Kanunu’nun “sırların korunması” başlıklı 73. maddesinde, “banka ve müşterilere” ait sırları öğrenenlerin söz konusu sırları saklamakla yükümlü oldukları hükme bağlanmıştır. Madde metninde iki farklı sır türünün düzenlenmiş olması doktrinde “banka sırrı”, “bankacılık sırrı” ve “müşteri sırrı” gibi kavramların benimsenmesine sebep olmuştur. Bir görüşe göre, geniş anlamda “banka sırrının” kapsamında hem bankaya hem de müşterilere ait sırlar yer almaktadır. </w:t>
      </w:r>
      <w:r w:rsidRPr="006E5DB3">
        <w:rPr>
          <w:sz w:val="20"/>
          <w:szCs w:val="20"/>
        </w:rPr>
        <w:t xml:space="preserve">Ünal Tekinalp, Banka Hukukunun Esasları, 2. Baskı, Vedat Kitapçılık, İstanbul, 2009, s. 411; A. Sait Yüksel/Aslı Yüksel/Ülkü Yüksel, Bankacılık Hukuku ve İşletmesi, 10. Baskı, Beta Basım Yayım Dağıtım A.Ş, İstanbul, 2004, s. 193; Pınar Çağla </w:t>
      </w:r>
      <w:proofErr w:type="spellStart"/>
      <w:r w:rsidRPr="006E5DB3">
        <w:rPr>
          <w:sz w:val="20"/>
          <w:szCs w:val="20"/>
        </w:rPr>
        <w:t>Kandıralıoğlu</w:t>
      </w:r>
      <w:proofErr w:type="spellEnd"/>
      <w:r w:rsidRPr="006E5DB3">
        <w:rPr>
          <w:sz w:val="20"/>
          <w:szCs w:val="20"/>
        </w:rPr>
        <w:t xml:space="preserve">, Türk Hukukunda Bankaların Sır Saklama Yükümlülüğü, On iki Levha Yayıncılık, İstanbul,  2011, s. 84; İbrahim Kaplan, “Banka Gizliliği-Bankanın Sır Saklama Borcu”, </w:t>
      </w:r>
      <w:proofErr w:type="spellStart"/>
      <w:r w:rsidRPr="006E5DB3">
        <w:rPr>
          <w:sz w:val="20"/>
          <w:szCs w:val="20"/>
        </w:rPr>
        <w:t>Batider</w:t>
      </w:r>
      <w:proofErr w:type="spellEnd"/>
      <w:r w:rsidRPr="006E5DB3">
        <w:rPr>
          <w:sz w:val="20"/>
          <w:szCs w:val="20"/>
        </w:rPr>
        <w:t>, Cilt:15, Sayı:4, Yıl:1990, Ankara, s. 4; Faruk Erem/Akın Altınok/Haluk Tandoğan, Bankalar Kanunu Şerhi, 7. Baskı, BTHAE Yayınları, Ankara, 1989, s. 176; Doktrinde bir başka görüşe göre ise, bankanın kendisine ait olan sırlar için “banka sırrı” müşterilerine ait olan sırlar için “müşteri sırrı” kavramını kullanmak gerekmektedir. Seza Reisoğlu, Bankacılık Kanunu Şerhi, 2. Cilt, 2. Baskı, Yaklaşım Yayınları, Ankara, 2015, s. 1498; Ulusoy ise; banka sırrı kavramının bankaya ait sırları, müşteri sırrının müşteriye ait sırları, bankacılık sırrının ise, her iki sır türünü de kapsayan üst kavram olduğunu söylemektedir. Erol Ulusoy, “Bankacılık Sırrı Kavramı, Hukuki Niteliği Ve Korunması,  Ersin Çamoğlu’na Armağan, C.1, Vedat Kitapçılık, İstanbul, 2013, s. 509-511; Biz çalışmamızda, bankanın müşterilerine dair sırlarına karşılık olarak “banka sırrı” değil “müşteri sırrı” kavramını kullanıyoruz.</w:t>
      </w:r>
    </w:p>
  </w:footnote>
  <w:footnote w:id="9">
    <w:p w14:paraId="072CF446" w14:textId="77777777" w:rsidR="00142F54" w:rsidRDefault="00142F54" w:rsidP="00142F54">
      <w:pPr>
        <w:pStyle w:val="FootnoteText"/>
        <w:spacing w:after="120"/>
      </w:pPr>
      <w:r>
        <w:rPr>
          <w:rStyle w:val="FootnoteReference"/>
        </w:rPr>
        <w:footnoteRef/>
      </w:r>
      <w:r>
        <w:t xml:space="preserve"> </w:t>
      </w:r>
      <w:proofErr w:type="spellStart"/>
      <w:r w:rsidRPr="0093262F">
        <w:t>Alavi</w:t>
      </w:r>
      <w:proofErr w:type="spellEnd"/>
      <w:r w:rsidRPr="0093262F">
        <w:t xml:space="preserve">, s.10; </w:t>
      </w:r>
      <w:proofErr w:type="spellStart"/>
      <w:r w:rsidRPr="0093262F">
        <w:t>Lasserre-Capdeville</w:t>
      </w:r>
      <w:proofErr w:type="spellEnd"/>
      <w:r w:rsidRPr="0093262F">
        <w:t>, s. 31.</w:t>
      </w:r>
    </w:p>
  </w:footnote>
  <w:footnote w:id="10">
    <w:p w14:paraId="62A3E47D" w14:textId="77777777" w:rsidR="00AC3EA9" w:rsidRPr="0093262F" w:rsidRDefault="00AC3EA9" w:rsidP="00142F54">
      <w:pPr>
        <w:spacing w:after="120" w:line="240" w:lineRule="auto"/>
        <w:jc w:val="both"/>
        <w:rPr>
          <w:sz w:val="20"/>
          <w:szCs w:val="20"/>
        </w:rPr>
      </w:pPr>
      <w:r w:rsidRPr="0093262F">
        <w:rPr>
          <w:rStyle w:val="FootnoteReference"/>
          <w:sz w:val="20"/>
          <w:szCs w:val="20"/>
        </w:rPr>
        <w:footnoteRef/>
      </w:r>
      <w:r w:rsidRPr="0093262F">
        <w:rPr>
          <w:sz w:val="20"/>
          <w:szCs w:val="20"/>
        </w:rPr>
        <w:t xml:space="preserve"> </w:t>
      </w:r>
      <w:proofErr w:type="spellStart"/>
      <w:r w:rsidR="00FB5532" w:rsidRPr="0093262F">
        <w:rPr>
          <w:sz w:val="20"/>
          <w:szCs w:val="20"/>
        </w:rPr>
        <w:t>Farhat</w:t>
      </w:r>
      <w:proofErr w:type="spellEnd"/>
      <w:r w:rsidR="00FB5532" w:rsidRPr="0093262F">
        <w:rPr>
          <w:sz w:val="20"/>
          <w:szCs w:val="20"/>
        </w:rPr>
        <w:t xml:space="preserve">, </w:t>
      </w:r>
      <w:r w:rsidRPr="0093262F">
        <w:rPr>
          <w:sz w:val="20"/>
          <w:szCs w:val="20"/>
        </w:rPr>
        <w:t>s. 65.</w:t>
      </w:r>
    </w:p>
  </w:footnote>
  <w:footnote w:id="11">
    <w:p w14:paraId="44817F0E" w14:textId="77777777" w:rsidR="00AC3EA9" w:rsidRPr="0093262F" w:rsidRDefault="00AC3EA9" w:rsidP="00142F54">
      <w:pPr>
        <w:spacing w:after="120" w:line="240" w:lineRule="auto"/>
        <w:jc w:val="both"/>
        <w:rPr>
          <w:sz w:val="20"/>
          <w:szCs w:val="20"/>
        </w:rPr>
      </w:pPr>
      <w:r w:rsidRPr="0093262F">
        <w:rPr>
          <w:rStyle w:val="FootnoteReference"/>
          <w:sz w:val="20"/>
          <w:szCs w:val="20"/>
        </w:rPr>
        <w:footnoteRef/>
      </w:r>
      <w:r w:rsidR="00743BB5" w:rsidRPr="0093262F">
        <w:rPr>
          <w:sz w:val="20"/>
          <w:szCs w:val="20"/>
        </w:rPr>
        <w:t xml:space="preserve"> </w:t>
      </w:r>
      <w:proofErr w:type="spellStart"/>
      <w:r w:rsidR="00743BB5" w:rsidRPr="0093262F">
        <w:rPr>
          <w:sz w:val="20"/>
          <w:szCs w:val="20"/>
        </w:rPr>
        <w:t>Alavi</w:t>
      </w:r>
      <w:proofErr w:type="spellEnd"/>
      <w:r w:rsidR="00743BB5" w:rsidRPr="0093262F">
        <w:rPr>
          <w:sz w:val="20"/>
          <w:szCs w:val="20"/>
        </w:rPr>
        <w:t>,</w:t>
      </w:r>
      <w:r w:rsidRPr="0093262F">
        <w:rPr>
          <w:sz w:val="20"/>
          <w:szCs w:val="20"/>
        </w:rPr>
        <w:t xml:space="preserve"> </w:t>
      </w:r>
      <w:r w:rsidR="00743BB5" w:rsidRPr="0093262F">
        <w:rPr>
          <w:sz w:val="20"/>
          <w:szCs w:val="20"/>
        </w:rPr>
        <w:t xml:space="preserve">s. </w:t>
      </w:r>
      <w:r w:rsidRPr="0093262F">
        <w:rPr>
          <w:sz w:val="20"/>
          <w:szCs w:val="20"/>
        </w:rPr>
        <w:t xml:space="preserve">38. </w:t>
      </w:r>
    </w:p>
  </w:footnote>
  <w:footnote w:id="12">
    <w:p w14:paraId="36F4084A" w14:textId="77777777" w:rsidR="00805176" w:rsidRPr="0093262F" w:rsidRDefault="00AC3EA9" w:rsidP="004F04BE">
      <w:pPr>
        <w:spacing w:after="120" w:line="240" w:lineRule="auto"/>
        <w:jc w:val="both"/>
        <w:rPr>
          <w:sz w:val="20"/>
          <w:szCs w:val="20"/>
        </w:rPr>
      </w:pPr>
      <w:r w:rsidRPr="0093262F">
        <w:rPr>
          <w:rStyle w:val="FootnoteReference"/>
          <w:sz w:val="20"/>
          <w:szCs w:val="20"/>
        </w:rPr>
        <w:footnoteRef/>
      </w:r>
      <w:r w:rsidR="00743BB5" w:rsidRPr="0093262F">
        <w:rPr>
          <w:sz w:val="20"/>
          <w:szCs w:val="20"/>
        </w:rPr>
        <w:t xml:space="preserve"> </w:t>
      </w:r>
      <w:proofErr w:type="spellStart"/>
      <w:r w:rsidR="00743BB5" w:rsidRPr="0093262F">
        <w:rPr>
          <w:sz w:val="20"/>
          <w:szCs w:val="20"/>
        </w:rPr>
        <w:t>Lasserre-Capdeville</w:t>
      </w:r>
      <w:proofErr w:type="spellEnd"/>
      <w:r w:rsidR="00743BB5" w:rsidRPr="0093262F">
        <w:rPr>
          <w:sz w:val="20"/>
          <w:szCs w:val="20"/>
        </w:rPr>
        <w:t xml:space="preserve">, s. </w:t>
      </w:r>
      <w:r w:rsidRPr="0093262F">
        <w:rPr>
          <w:sz w:val="20"/>
          <w:szCs w:val="20"/>
        </w:rPr>
        <w:t xml:space="preserve">416. </w:t>
      </w:r>
    </w:p>
  </w:footnote>
  <w:footnote w:id="13">
    <w:p w14:paraId="4AEECE4E" w14:textId="77777777" w:rsidR="00805176" w:rsidRPr="0093262F" w:rsidRDefault="0032516E" w:rsidP="0093262F">
      <w:pPr>
        <w:spacing w:after="120" w:line="240" w:lineRule="auto"/>
        <w:rPr>
          <w:sz w:val="20"/>
          <w:szCs w:val="20"/>
        </w:rPr>
      </w:pPr>
      <w:r w:rsidRPr="0093262F">
        <w:rPr>
          <w:rStyle w:val="FootnoteReference"/>
          <w:sz w:val="20"/>
          <w:szCs w:val="20"/>
        </w:rPr>
        <w:footnoteRef/>
      </w:r>
      <w:r w:rsidRPr="0093262F">
        <w:rPr>
          <w:sz w:val="20"/>
          <w:szCs w:val="20"/>
        </w:rPr>
        <w:t xml:space="preserve"> </w:t>
      </w:r>
      <w:proofErr w:type="spellStart"/>
      <w:r w:rsidRPr="0093262F">
        <w:rPr>
          <w:sz w:val="20"/>
          <w:szCs w:val="20"/>
        </w:rPr>
        <w:t>Farhat</w:t>
      </w:r>
      <w:proofErr w:type="spellEnd"/>
      <w:r w:rsidRPr="0093262F">
        <w:rPr>
          <w:sz w:val="20"/>
          <w:szCs w:val="20"/>
        </w:rPr>
        <w:t xml:space="preserve">, s. 84; </w:t>
      </w:r>
      <w:proofErr w:type="spellStart"/>
      <w:r w:rsidRPr="0093262F">
        <w:rPr>
          <w:sz w:val="20"/>
          <w:szCs w:val="20"/>
        </w:rPr>
        <w:t>Sacker</w:t>
      </w:r>
      <w:proofErr w:type="spellEnd"/>
      <w:r w:rsidRPr="0093262F">
        <w:rPr>
          <w:sz w:val="20"/>
          <w:szCs w:val="20"/>
        </w:rPr>
        <w:t xml:space="preserve">, s.19. </w:t>
      </w:r>
    </w:p>
  </w:footnote>
  <w:footnote w:id="14">
    <w:p w14:paraId="466D74DB" w14:textId="77777777" w:rsidR="00EC544E" w:rsidRPr="0093262F" w:rsidRDefault="0032516E" w:rsidP="0093262F">
      <w:pPr>
        <w:spacing w:after="120" w:line="240" w:lineRule="auto"/>
        <w:jc w:val="both"/>
        <w:rPr>
          <w:sz w:val="20"/>
          <w:szCs w:val="20"/>
        </w:rPr>
      </w:pPr>
      <w:r w:rsidRPr="0093262F">
        <w:rPr>
          <w:rStyle w:val="FootnoteReference"/>
          <w:sz w:val="20"/>
          <w:szCs w:val="20"/>
        </w:rPr>
        <w:footnoteRef/>
      </w:r>
      <w:r w:rsidRPr="0093262F">
        <w:rPr>
          <w:sz w:val="20"/>
          <w:szCs w:val="20"/>
        </w:rPr>
        <w:t xml:space="preserve"> </w:t>
      </w:r>
      <w:proofErr w:type="spellStart"/>
      <w:r w:rsidRPr="0093262F">
        <w:rPr>
          <w:sz w:val="20"/>
          <w:szCs w:val="20"/>
        </w:rPr>
        <w:t>Lasserre-Capdeville</w:t>
      </w:r>
      <w:proofErr w:type="spellEnd"/>
      <w:r w:rsidRPr="0093262F">
        <w:rPr>
          <w:sz w:val="20"/>
          <w:szCs w:val="20"/>
        </w:rPr>
        <w:t>, s. 257</w:t>
      </w:r>
      <w:r w:rsidR="00DD40EF" w:rsidRPr="0093262F">
        <w:rPr>
          <w:sz w:val="20"/>
          <w:szCs w:val="20"/>
        </w:rPr>
        <w:t xml:space="preserve">; </w:t>
      </w:r>
      <w:proofErr w:type="spellStart"/>
      <w:r w:rsidR="00DD40EF" w:rsidRPr="0093262F">
        <w:rPr>
          <w:sz w:val="20"/>
          <w:szCs w:val="20"/>
        </w:rPr>
        <w:t>Teissier</w:t>
      </w:r>
      <w:proofErr w:type="spellEnd"/>
      <w:r w:rsidRPr="0093262F">
        <w:rPr>
          <w:sz w:val="20"/>
          <w:szCs w:val="20"/>
        </w:rPr>
        <w:t xml:space="preserve">, s. 81; </w:t>
      </w:r>
      <w:proofErr w:type="spellStart"/>
      <w:r w:rsidRPr="0093262F">
        <w:rPr>
          <w:sz w:val="20"/>
          <w:szCs w:val="20"/>
        </w:rPr>
        <w:t>Olivier</w:t>
      </w:r>
      <w:proofErr w:type="spellEnd"/>
      <w:r w:rsidRPr="0093262F">
        <w:rPr>
          <w:sz w:val="20"/>
          <w:szCs w:val="20"/>
        </w:rPr>
        <w:t xml:space="preserve"> </w:t>
      </w:r>
      <w:proofErr w:type="spellStart"/>
      <w:r w:rsidRPr="0093262F">
        <w:rPr>
          <w:sz w:val="20"/>
          <w:szCs w:val="20"/>
        </w:rPr>
        <w:t>Jerez</w:t>
      </w:r>
      <w:proofErr w:type="spellEnd"/>
      <w:r w:rsidRPr="0093262F">
        <w:rPr>
          <w:sz w:val="20"/>
          <w:szCs w:val="20"/>
        </w:rPr>
        <w:t xml:space="preserve">, </w:t>
      </w:r>
      <w:r w:rsidRPr="0093262F">
        <w:rPr>
          <w:i/>
          <w:sz w:val="20"/>
          <w:szCs w:val="20"/>
        </w:rPr>
        <w:t xml:space="preserve">Le </w:t>
      </w:r>
      <w:proofErr w:type="spellStart"/>
      <w:r w:rsidRPr="0093262F">
        <w:rPr>
          <w:i/>
          <w:sz w:val="20"/>
          <w:szCs w:val="20"/>
        </w:rPr>
        <w:t>Secret</w:t>
      </w:r>
      <w:proofErr w:type="spellEnd"/>
      <w:r w:rsidRPr="0093262F">
        <w:rPr>
          <w:i/>
          <w:sz w:val="20"/>
          <w:szCs w:val="20"/>
        </w:rPr>
        <w:t xml:space="preserve"> </w:t>
      </w:r>
      <w:proofErr w:type="spellStart"/>
      <w:r w:rsidRPr="0093262F">
        <w:rPr>
          <w:i/>
          <w:sz w:val="20"/>
          <w:szCs w:val="20"/>
        </w:rPr>
        <w:t>Bancaire</w:t>
      </w:r>
      <w:proofErr w:type="spellEnd"/>
      <w:r w:rsidRPr="0093262F">
        <w:rPr>
          <w:i/>
          <w:sz w:val="20"/>
          <w:szCs w:val="20"/>
        </w:rPr>
        <w:t>,</w:t>
      </w:r>
      <w:r w:rsidRPr="0093262F">
        <w:rPr>
          <w:sz w:val="20"/>
          <w:szCs w:val="20"/>
        </w:rPr>
        <w:t xml:space="preserve"> </w:t>
      </w:r>
      <w:proofErr w:type="spellStart"/>
      <w:r w:rsidRPr="0093262F">
        <w:rPr>
          <w:sz w:val="20"/>
          <w:szCs w:val="20"/>
        </w:rPr>
        <w:t>Revue</w:t>
      </w:r>
      <w:proofErr w:type="spellEnd"/>
      <w:r w:rsidRPr="0093262F">
        <w:rPr>
          <w:sz w:val="20"/>
          <w:szCs w:val="20"/>
        </w:rPr>
        <w:t xml:space="preserve"> </w:t>
      </w:r>
      <w:proofErr w:type="spellStart"/>
      <w:r w:rsidRPr="0093262F">
        <w:rPr>
          <w:sz w:val="20"/>
          <w:szCs w:val="20"/>
        </w:rPr>
        <w:t>Banque</w:t>
      </w:r>
      <w:proofErr w:type="spellEnd"/>
      <w:r w:rsidRPr="0093262F">
        <w:rPr>
          <w:sz w:val="20"/>
          <w:szCs w:val="20"/>
        </w:rPr>
        <w:t xml:space="preserve">, Paris, 2000, s. 52; Üstelik müşteri sırrı kapsamında yer alan bilgilerin sıralanması yöntemi ilk kez Alman hukukundaki yazarlar tarafından önerilmiş olmakla birlikte, Alman hukukunda da bu yöntemden vazgeçilmiştir. Bunun yerine, genel ölçüt olarak, “iş bağlantısı dolayısıyla öğrenilen” ve </w:t>
      </w:r>
      <w:r w:rsidRPr="0093262F">
        <w:rPr>
          <w:i/>
          <w:sz w:val="20"/>
          <w:szCs w:val="20"/>
        </w:rPr>
        <w:t>“</w:t>
      </w:r>
      <w:r w:rsidRPr="0093262F">
        <w:rPr>
          <w:sz w:val="20"/>
          <w:szCs w:val="20"/>
        </w:rPr>
        <w:t xml:space="preserve">gizli kalmasında müşterinin menfaatinin” olduğu bilgiler müşteri sırrı olarak kabul edilmiştir. </w:t>
      </w:r>
      <w:proofErr w:type="spellStart"/>
      <w:r w:rsidRPr="0093262F">
        <w:rPr>
          <w:sz w:val="20"/>
          <w:szCs w:val="20"/>
        </w:rPr>
        <w:t>Aurélia</w:t>
      </w:r>
      <w:proofErr w:type="spellEnd"/>
      <w:r w:rsidRPr="0093262F">
        <w:rPr>
          <w:sz w:val="20"/>
          <w:szCs w:val="20"/>
        </w:rPr>
        <w:t xml:space="preserve"> Joyce </w:t>
      </w:r>
      <w:proofErr w:type="spellStart"/>
      <w:r w:rsidRPr="0093262F">
        <w:rPr>
          <w:sz w:val="20"/>
          <w:szCs w:val="20"/>
        </w:rPr>
        <w:t>Rappo</w:t>
      </w:r>
      <w:proofErr w:type="spellEnd"/>
      <w:r w:rsidRPr="0093262F">
        <w:rPr>
          <w:sz w:val="20"/>
          <w:szCs w:val="20"/>
        </w:rPr>
        <w:t xml:space="preserve">, </w:t>
      </w:r>
      <w:r w:rsidRPr="0093262F">
        <w:rPr>
          <w:i/>
          <w:sz w:val="20"/>
          <w:szCs w:val="20"/>
        </w:rPr>
        <w:t xml:space="preserve">Le </w:t>
      </w:r>
      <w:proofErr w:type="spellStart"/>
      <w:r w:rsidRPr="0093262F">
        <w:rPr>
          <w:i/>
          <w:sz w:val="20"/>
          <w:szCs w:val="20"/>
        </w:rPr>
        <w:t>Secret</w:t>
      </w:r>
      <w:proofErr w:type="spellEnd"/>
      <w:r w:rsidRPr="0093262F">
        <w:rPr>
          <w:i/>
          <w:sz w:val="20"/>
          <w:szCs w:val="20"/>
        </w:rPr>
        <w:t xml:space="preserve"> </w:t>
      </w:r>
      <w:proofErr w:type="spellStart"/>
      <w:r w:rsidRPr="0093262F">
        <w:rPr>
          <w:i/>
          <w:sz w:val="20"/>
          <w:szCs w:val="20"/>
        </w:rPr>
        <w:t>Bancaire</w:t>
      </w:r>
      <w:proofErr w:type="spellEnd"/>
      <w:r w:rsidRPr="0093262F">
        <w:rPr>
          <w:i/>
          <w:sz w:val="20"/>
          <w:szCs w:val="20"/>
        </w:rPr>
        <w:t xml:space="preserve">, </w:t>
      </w:r>
      <w:proofErr w:type="spellStart"/>
      <w:r w:rsidRPr="0093262F">
        <w:rPr>
          <w:i/>
          <w:sz w:val="20"/>
          <w:szCs w:val="20"/>
        </w:rPr>
        <w:t>Sa</w:t>
      </w:r>
      <w:proofErr w:type="spellEnd"/>
      <w:r w:rsidRPr="0093262F">
        <w:rPr>
          <w:i/>
          <w:sz w:val="20"/>
          <w:szCs w:val="20"/>
        </w:rPr>
        <w:t xml:space="preserve"> </w:t>
      </w:r>
      <w:proofErr w:type="spellStart"/>
      <w:r w:rsidRPr="0093262F">
        <w:rPr>
          <w:i/>
          <w:sz w:val="20"/>
          <w:szCs w:val="20"/>
        </w:rPr>
        <w:t>Portée</w:t>
      </w:r>
      <w:proofErr w:type="spellEnd"/>
      <w:r w:rsidRPr="0093262F">
        <w:rPr>
          <w:i/>
          <w:sz w:val="20"/>
          <w:szCs w:val="20"/>
        </w:rPr>
        <w:t xml:space="preserve"> Dans Le </w:t>
      </w:r>
      <w:proofErr w:type="spellStart"/>
      <w:r w:rsidRPr="0093262F">
        <w:rPr>
          <w:i/>
          <w:sz w:val="20"/>
          <w:szCs w:val="20"/>
        </w:rPr>
        <w:t>Temps</w:t>
      </w:r>
      <w:proofErr w:type="spellEnd"/>
      <w:r w:rsidRPr="0093262F">
        <w:rPr>
          <w:i/>
          <w:sz w:val="20"/>
          <w:szCs w:val="20"/>
        </w:rPr>
        <w:t xml:space="preserve">, Dans </w:t>
      </w:r>
      <w:proofErr w:type="spellStart"/>
      <w:r w:rsidRPr="0093262F">
        <w:rPr>
          <w:i/>
          <w:sz w:val="20"/>
          <w:szCs w:val="20"/>
        </w:rPr>
        <w:t>L’espace</w:t>
      </w:r>
      <w:proofErr w:type="spellEnd"/>
      <w:r w:rsidRPr="0093262F">
        <w:rPr>
          <w:i/>
          <w:sz w:val="20"/>
          <w:szCs w:val="20"/>
        </w:rPr>
        <w:t xml:space="preserve"> et Dans </w:t>
      </w:r>
      <w:proofErr w:type="spellStart"/>
      <w:r w:rsidRPr="0093262F">
        <w:rPr>
          <w:i/>
          <w:sz w:val="20"/>
          <w:szCs w:val="20"/>
        </w:rPr>
        <w:t>Les</w:t>
      </w:r>
      <w:proofErr w:type="spellEnd"/>
      <w:r w:rsidRPr="0093262F">
        <w:rPr>
          <w:i/>
          <w:sz w:val="20"/>
          <w:szCs w:val="20"/>
        </w:rPr>
        <w:t xml:space="preserve"> </w:t>
      </w:r>
      <w:proofErr w:type="spellStart"/>
      <w:r w:rsidRPr="0093262F">
        <w:rPr>
          <w:i/>
          <w:sz w:val="20"/>
          <w:szCs w:val="20"/>
        </w:rPr>
        <w:t>Groupes</w:t>
      </w:r>
      <w:proofErr w:type="spellEnd"/>
      <w:r w:rsidRPr="0093262F">
        <w:rPr>
          <w:i/>
          <w:sz w:val="20"/>
          <w:szCs w:val="20"/>
        </w:rPr>
        <w:t xml:space="preserve"> De </w:t>
      </w:r>
      <w:proofErr w:type="spellStart"/>
      <w:r w:rsidRPr="0093262F">
        <w:rPr>
          <w:i/>
          <w:sz w:val="20"/>
          <w:szCs w:val="20"/>
        </w:rPr>
        <w:t>Sociétés</w:t>
      </w:r>
      <w:proofErr w:type="spellEnd"/>
      <w:r w:rsidRPr="0093262F">
        <w:rPr>
          <w:i/>
          <w:sz w:val="20"/>
          <w:szCs w:val="20"/>
        </w:rPr>
        <w:t>,</w:t>
      </w:r>
      <w:r w:rsidRPr="0093262F">
        <w:rPr>
          <w:sz w:val="20"/>
          <w:szCs w:val="20"/>
        </w:rPr>
        <w:t xml:space="preserve"> </w:t>
      </w:r>
      <w:proofErr w:type="spellStart"/>
      <w:r w:rsidRPr="0093262F">
        <w:rPr>
          <w:color w:val="333333"/>
          <w:sz w:val="20"/>
          <w:szCs w:val="20"/>
        </w:rPr>
        <w:t>Staempfli</w:t>
      </w:r>
      <w:proofErr w:type="spellEnd"/>
      <w:r w:rsidRPr="0093262F">
        <w:rPr>
          <w:sz w:val="20"/>
          <w:szCs w:val="20"/>
        </w:rPr>
        <w:t xml:space="preserve">, </w:t>
      </w:r>
      <w:proofErr w:type="spellStart"/>
      <w:r w:rsidRPr="0093262F">
        <w:rPr>
          <w:sz w:val="20"/>
          <w:szCs w:val="20"/>
        </w:rPr>
        <w:t>Berne</w:t>
      </w:r>
      <w:proofErr w:type="spellEnd"/>
      <w:r w:rsidRPr="0093262F">
        <w:rPr>
          <w:sz w:val="20"/>
          <w:szCs w:val="20"/>
        </w:rPr>
        <w:t xml:space="preserve">, 2002, s. 118. </w:t>
      </w:r>
    </w:p>
  </w:footnote>
  <w:footnote w:id="15">
    <w:p w14:paraId="7028CC53" w14:textId="77777777" w:rsidR="00805176" w:rsidRPr="0093262F" w:rsidRDefault="00DD40EF" w:rsidP="00D3172F">
      <w:pPr>
        <w:spacing w:after="120" w:line="240" w:lineRule="auto"/>
        <w:jc w:val="both"/>
        <w:rPr>
          <w:sz w:val="20"/>
          <w:szCs w:val="20"/>
        </w:rPr>
      </w:pPr>
      <w:r w:rsidRPr="0093262F">
        <w:rPr>
          <w:rStyle w:val="FootnoteReference"/>
          <w:sz w:val="20"/>
          <w:szCs w:val="20"/>
        </w:rPr>
        <w:footnoteRef/>
      </w:r>
      <w:r w:rsidRPr="0093262F">
        <w:rPr>
          <w:sz w:val="20"/>
          <w:szCs w:val="20"/>
        </w:rPr>
        <w:t xml:space="preserve"> Bununla birlikte, bankacının müşterilere ait gizli bilgileri, mesleğinin ifası sebebiyle değil de şahsi (arkadaş veya akraba) ilişkileri neticesinde öğrenmiş olduğu iddia ediliyorsa, sorumluluktan kurtulmak için bu iddianın ispat edilmesi gerekece</w:t>
      </w:r>
      <w:r w:rsidR="00EC544E" w:rsidRPr="0093262F">
        <w:rPr>
          <w:sz w:val="20"/>
          <w:szCs w:val="20"/>
        </w:rPr>
        <w:t xml:space="preserve">ktir. </w:t>
      </w:r>
      <w:proofErr w:type="spellStart"/>
      <w:r w:rsidR="00EC544E" w:rsidRPr="0093262F">
        <w:rPr>
          <w:sz w:val="20"/>
          <w:szCs w:val="20"/>
        </w:rPr>
        <w:t>Lasserre-Capdeville</w:t>
      </w:r>
      <w:proofErr w:type="spellEnd"/>
      <w:r w:rsidR="00EC544E" w:rsidRPr="0093262F">
        <w:rPr>
          <w:sz w:val="20"/>
          <w:szCs w:val="20"/>
        </w:rPr>
        <w:t xml:space="preserve">, s. 261; </w:t>
      </w:r>
      <w:proofErr w:type="spellStart"/>
      <w:r w:rsidR="00EC544E" w:rsidRPr="0093262F">
        <w:rPr>
          <w:sz w:val="20"/>
          <w:szCs w:val="20"/>
        </w:rPr>
        <w:t>Rappo</w:t>
      </w:r>
      <w:proofErr w:type="spellEnd"/>
      <w:r w:rsidRPr="0093262F">
        <w:rPr>
          <w:sz w:val="20"/>
          <w:szCs w:val="20"/>
        </w:rPr>
        <w:t xml:space="preserve">, </w:t>
      </w:r>
      <w:r w:rsidR="00EC544E" w:rsidRPr="0093262F">
        <w:rPr>
          <w:sz w:val="20"/>
          <w:szCs w:val="20"/>
        </w:rPr>
        <w:t>s.</w:t>
      </w:r>
      <w:r w:rsidRPr="0093262F">
        <w:rPr>
          <w:sz w:val="20"/>
          <w:szCs w:val="20"/>
        </w:rPr>
        <w:t xml:space="preserve">119. </w:t>
      </w:r>
    </w:p>
  </w:footnote>
  <w:footnote w:id="16">
    <w:p w14:paraId="68337307" w14:textId="77777777" w:rsidR="00DD40EF" w:rsidRPr="0093262F" w:rsidRDefault="00DD40EF" w:rsidP="00D3172F">
      <w:pPr>
        <w:spacing w:after="120" w:line="240" w:lineRule="auto"/>
        <w:jc w:val="both"/>
        <w:rPr>
          <w:sz w:val="20"/>
          <w:szCs w:val="20"/>
        </w:rPr>
      </w:pPr>
      <w:r w:rsidRPr="0093262F">
        <w:rPr>
          <w:rStyle w:val="FootnoteReference"/>
          <w:sz w:val="20"/>
          <w:szCs w:val="20"/>
        </w:rPr>
        <w:footnoteRef/>
      </w:r>
      <w:r w:rsidR="00EC544E" w:rsidRPr="0093262F">
        <w:rPr>
          <w:sz w:val="20"/>
          <w:szCs w:val="20"/>
        </w:rPr>
        <w:t xml:space="preserve"> </w:t>
      </w:r>
      <w:proofErr w:type="spellStart"/>
      <w:r w:rsidR="00EC544E" w:rsidRPr="0093262F">
        <w:rPr>
          <w:sz w:val="20"/>
          <w:szCs w:val="20"/>
        </w:rPr>
        <w:t>Sacker</w:t>
      </w:r>
      <w:proofErr w:type="spellEnd"/>
      <w:r w:rsidR="00EC544E" w:rsidRPr="0093262F">
        <w:rPr>
          <w:sz w:val="20"/>
          <w:szCs w:val="20"/>
        </w:rPr>
        <w:t xml:space="preserve">, s. 19; </w:t>
      </w:r>
      <w:proofErr w:type="spellStart"/>
      <w:r w:rsidR="00EC544E" w:rsidRPr="0093262F">
        <w:rPr>
          <w:sz w:val="20"/>
          <w:szCs w:val="20"/>
        </w:rPr>
        <w:t>Farhat</w:t>
      </w:r>
      <w:proofErr w:type="spellEnd"/>
      <w:r w:rsidR="00EC544E" w:rsidRPr="0093262F">
        <w:rPr>
          <w:sz w:val="20"/>
          <w:szCs w:val="20"/>
        </w:rPr>
        <w:t xml:space="preserve">, s. 27 ve s.86; </w:t>
      </w:r>
      <w:proofErr w:type="spellStart"/>
      <w:r w:rsidR="00EC544E" w:rsidRPr="0093262F">
        <w:rPr>
          <w:sz w:val="20"/>
          <w:szCs w:val="20"/>
        </w:rPr>
        <w:t>Teissier</w:t>
      </w:r>
      <w:proofErr w:type="spellEnd"/>
      <w:r w:rsidR="00EC544E" w:rsidRPr="0093262F">
        <w:rPr>
          <w:sz w:val="20"/>
          <w:szCs w:val="20"/>
        </w:rPr>
        <w:t xml:space="preserve">, </w:t>
      </w:r>
      <w:r w:rsidRPr="0093262F">
        <w:rPr>
          <w:sz w:val="20"/>
          <w:szCs w:val="20"/>
        </w:rPr>
        <w:t>s. 75.</w:t>
      </w:r>
    </w:p>
  </w:footnote>
  <w:footnote w:id="17">
    <w:p w14:paraId="18D0BC85" w14:textId="77777777" w:rsidR="00EC544E" w:rsidRPr="0093262F" w:rsidRDefault="00DD40EF" w:rsidP="00D3172F">
      <w:pPr>
        <w:spacing w:after="120" w:line="240" w:lineRule="auto"/>
        <w:jc w:val="both"/>
        <w:rPr>
          <w:sz w:val="20"/>
          <w:szCs w:val="20"/>
        </w:rPr>
      </w:pPr>
      <w:r w:rsidRPr="0093262F">
        <w:rPr>
          <w:rStyle w:val="FootnoteReference"/>
          <w:sz w:val="20"/>
          <w:szCs w:val="20"/>
        </w:rPr>
        <w:footnoteRef/>
      </w:r>
      <w:r w:rsidR="00EC544E" w:rsidRPr="0093262F">
        <w:rPr>
          <w:sz w:val="20"/>
          <w:szCs w:val="20"/>
        </w:rPr>
        <w:t xml:space="preserve"> </w:t>
      </w:r>
      <w:proofErr w:type="spellStart"/>
      <w:r w:rsidR="00EC544E" w:rsidRPr="0093262F">
        <w:rPr>
          <w:sz w:val="20"/>
          <w:szCs w:val="20"/>
        </w:rPr>
        <w:t>Lasserre-Capdeville</w:t>
      </w:r>
      <w:proofErr w:type="spellEnd"/>
      <w:r w:rsidR="00EC544E" w:rsidRPr="0093262F">
        <w:rPr>
          <w:sz w:val="20"/>
          <w:szCs w:val="20"/>
        </w:rPr>
        <w:t xml:space="preserve">, </w:t>
      </w:r>
      <w:r w:rsidRPr="0093262F">
        <w:rPr>
          <w:sz w:val="20"/>
          <w:szCs w:val="20"/>
        </w:rPr>
        <w:t>s. 259.</w:t>
      </w:r>
    </w:p>
  </w:footnote>
  <w:footnote w:id="18">
    <w:p w14:paraId="1ADD0027" w14:textId="77777777" w:rsidR="00DD40EF" w:rsidRPr="0093262F" w:rsidRDefault="00DD40EF" w:rsidP="00D3172F">
      <w:pPr>
        <w:spacing w:after="120" w:line="240" w:lineRule="auto"/>
        <w:jc w:val="both"/>
        <w:rPr>
          <w:sz w:val="20"/>
          <w:szCs w:val="20"/>
        </w:rPr>
      </w:pPr>
      <w:r w:rsidRPr="0093262F">
        <w:rPr>
          <w:rStyle w:val="FootnoteReference"/>
          <w:sz w:val="20"/>
          <w:szCs w:val="20"/>
        </w:rPr>
        <w:footnoteRef/>
      </w:r>
      <w:r w:rsidRPr="0093262F">
        <w:rPr>
          <w:sz w:val="20"/>
          <w:szCs w:val="20"/>
        </w:rPr>
        <w:t xml:space="preserve"> Konuyla ilgili olarak Senato’da Yasa Hazırlama Komisyonu’ndan gelen rapor üzerine, </w:t>
      </w:r>
      <w:r w:rsidRPr="0093262F">
        <w:rPr>
          <w:i/>
          <w:sz w:val="20"/>
          <w:szCs w:val="20"/>
        </w:rPr>
        <w:t>“verilen, görülen, dinlenen ya da anlanan gizli bilgi”</w:t>
      </w:r>
      <w:r w:rsidRPr="0093262F">
        <w:rPr>
          <w:sz w:val="20"/>
          <w:szCs w:val="20"/>
        </w:rPr>
        <w:t xml:space="preserve"> şeklinde daha belirgin bir düzenleme yapılması önerilmiştir. Ancak düzenleme teklifi reddedilmiştir. Yine de Komisyon’un, “gizli” kavramı ile “sır” kavramının kapsamına katkıda bulunduğu ifade edilmektedir. </w:t>
      </w:r>
      <w:proofErr w:type="spellStart"/>
      <w:r w:rsidRPr="0093262F">
        <w:rPr>
          <w:sz w:val="20"/>
          <w:szCs w:val="20"/>
        </w:rPr>
        <w:t>Lasserre</w:t>
      </w:r>
      <w:proofErr w:type="spellEnd"/>
      <w:r w:rsidRPr="0093262F">
        <w:rPr>
          <w:sz w:val="20"/>
          <w:szCs w:val="20"/>
        </w:rPr>
        <w:t xml:space="preserve">- </w:t>
      </w:r>
      <w:proofErr w:type="spellStart"/>
      <w:r w:rsidRPr="0093262F">
        <w:rPr>
          <w:sz w:val="20"/>
          <w:szCs w:val="20"/>
        </w:rPr>
        <w:t>Capdeville</w:t>
      </w:r>
      <w:proofErr w:type="spellEnd"/>
      <w:r w:rsidRPr="0093262F">
        <w:rPr>
          <w:sz w:val="20"/>
          <w:szCs w:val="20"/>
        </w:rPr>
        <w:t xml:space="preserve">, s. 260.  </w:t>
      </w:r>
    </w:p>
  </w:footnote>
  <w:footnote w:id="19">
    <w:p w14:paraId="2B5B96BC" w14:textId="77777777" w:rsidR="00EC544E" w:rsidRPr="0093262F" w:rsidRDefault="00DD40EF" w:rsidP="0093262F">
      <w:pPr>
        <w:spacing w:after="120" w:line="240" w:lineRule="auto"/>
        <w:rPr>
          <w:sz w:val="20"/>
          <w:szCs w:val="20"/>
        </w:rPr>
      </w:pPr>
      <w:r w:rsidRPr="0093262F">
        <w:rPr>
          <w:rStyle w:val="FootnoteReference"/>
          <w:sz w:val="20"/>
          <w:szCs w:val="20"/>
        </w:rPr>
        <w:footnoteRef/>
      </w:r>
      <w:r w:rsidR="00EC544E" w:rsidRPr="0093262F">
        <w:rPr>
          <w:sz w:val="20"/>
          <w:szCs w:val="20"/>
        </w:rPr>
        <w:t xml:space="preserve"> </w:t>
      </w:r>
      <w:proofErr w:type="spellStart"/>
      <w:r w:rsidR="00EC544E" w:rsidRPr="0093262F">
        <w:rPr>
          <w:sz w:val="20"/>
          <w:szCs w:val="20"/>
        </w:rPr>
        <w:t>Lasserre-Capdeville</w:t>
      </w:r>
      <w:proofErr w:type="spellEnd"/>
      <w:r w:rsidR="00EC544E" w:rsidRPr="0093262F">
        <w:rPr>
          <w:sz w:val="20"/>
          <w:szCs w:val="20"/>
        </w:rPr>
        <w:t xml:space="preserve">, </w:t>
      </w:r>
      <w:r w:rsidRPr="0093262F">
        <w:rPr>
          <w:sz w:val="20"/>
          <w:szCs w:val="20"/>
        </w:rPr>
        <w:t>s. 259.</w:t>
      </w:r>
    </w:p>
  </w:footnote>
  <w:footnote w:id="20">
    <w:p w14:paraId="73B27778" w14:textId="77777777" w:rsidR="00EC544E" w:rsidRPr="0093262F" w:rsidRDefault="00DD40EF" w:rsidP="00D3172F">
      <w:pPr>
        <w:spacing w:after="120" w:line="240" w:lineRule="auto"/>
        <w:jc w:val="both"/>
        <w:rPr>
          <w:sz w:val="20"/>
          <w:szCs w:val="20"/>
        </w:rPr>
      </w:pPr>
      <w:r w:rsidRPr="0093262F">
        <w:rPr>
          <w:rStyle w:val="FootnoteReference"/>
          <w:sz w:val="20"/>
          <w:szCs w:val="20"/>
        </w:rPr>
        <w:footnoteRef/>
      </w:r>
      <w:r w:rsidRPr="0093262F">
        <w:rPr>
          <w:sz w:val="20"/>
          <w:szCs w:val="20"/>
        </w:rPr>
        <w:t xml:space="preserve"> Benzer şekilde işletme hesapları ve şirket bilançoları da açıklandıkları andan itibaren sır kapsamında yer almayacak</w:t>
      </w:r>
      <w:r w:rsidR="00EC544E" w:rsidRPr="0093262F">
        <w:rPr>
          <w:sz w:val="20"/>
          <w:szCs w:val="20"/>
        </w:rPr>
        <w:t xml:space="preserve">tır. </w:t>
      </w:r>
      <w:proofErr w:type="spellStart"/>
      <w:r w:rsidR="00EC544E" w:rsidRPr="0093262F">
        <w:rPr>
          <w:sz w:val="20"/>
          <w:szCs w:val="20"/>
        </w:rPr>
        <w:t>Lasserre-Capdeville</w:t>
      </w:r>
      <w:proofErr w:type="spellEnd"/>
      <w:r w:rsidRPr="0093262F">
        <w:rPr>
          <w:sz w:val="20"/>
          <w:szCs w:val="20"/>
        </w:rPr>
        <w:t>, s. 272.</w:t>
      </w:r>
    </w:p>
  </w:footnote>
  <w:footnote w:id="21">
    <w:p w14:paraId="209E3A3F" w14:textId="77777777" w:rsidR="00EC544E" w:rsidRPr="0093262F" w:rsidRDefault="00DD40EF" w:rsidP="00D3172F">
      <w:pPr>
        <w:spacing w:after="120" w:line="240" w:lineRule="auto"/>
        <w:jc w:val="both"/>
        <w:rPr>
          <w:sz w:val="20"/>
          <w:szCs w:val="20"/>
        </w:rPr>
      </w:pPr>
      <w:r w:rsidRPr="0093262F">
        <w:rPr>
          <w:rStyle w:val="FootnoteReference"/>
          <w:sz w:val="20"/>
          <w:szCs w:val="20"/>
        </w:rPr>
        <w:footnoteRef/>
      </w:r>
      <w:r w:rsidRPr="0093262F">
        <w:rPr>
          <w:sz w:val="20"/>
          <w:szCs w:val="20"/>
        </w:rPr>
        <w:t xml:space="preserve"> Fakat </w:t>
      </w:r>
      <w:proofErr w:type="spellStart"/>
      <w:r w:rsidRPr="0093262F">
        <w:rPr>
          <w:sz w:val="20"/>
          <w:szCs w:val="20"/>
        </w:rPr>
        <w:t>Angers</w:t>
      </w:r>
      <w:proofErr w:type="spellEnd"/>
      <w:r w:rsidRPr="0093262F">
        <w:rPr>
          <w:sz w:val="20"/>
          <w:szCs w:val="20"/>
        </w:rPr>
        <w:t xml:space="preserve"> İstinaf Mahkemesi 19.09.1989 tarihli kararında; “kredi borcunu ödemeyen bir müşterisinin durumu ile ilgili bilgileri basın kuruluşlarına açıklayan bankacının sorumluluğunun bulunmadığına hükmetmiştir. Zira söz konusu bilgiler daha önce yayımlanan bir gazete röportajında bizzat müşteri tarafından açıklanmıştır. </w:t>
      </w:r>
      <w:proofErr w:type="spellStart"/>
      <w:r w:rsidRPr="0093262F">
        <w:rPr>
          <w:sz w:val="20"/>
          <w:szCs w:val="20"/>
        </w:rPr>
        <w:t>Lasserre-Capdeville</w:t>
      </w:r>
      <w:proofErr w:type="spellEnd"/>
      <w:r w:rsidRPr="0093262F">
        <w:rPr>
          <w:sz w:val="20"/>
          <w:szCs w:val="20"/>
        </w:rPr>
        <w:t>, s. 272.</w:t>
      </w:r>
    </w:p>
  </w:footnote>
  <w:footnote w:id="22">
    <w:p w14:paraId="712D3BE8" w14:textId="77777777" w:rsidR="00EC544E" w:rsidRPr="0093262F" w:rsidRDefault="00DD40EF" w:rsidP="00D3172F">
      <w:pPr>
        <w:spacing w:after="120" w:line="240" w:lineRule="auto"/>
        <w:jc w:val="both"/>
        <w:rPr>
          <w:sz w:val="20"/>
          <w:szCs w:val="20"/>
        </w:rPr>
      </w:pPr>
      <w:r w:rsidRPr="0093262F">
        <w:rPr>
          <w:rStyle w:val="FootnoteReference"/>
          <w:sz w:val="20"/>
          <w:szCs w:val="20"/>
        </w:rPr>
        <w:footnoteRef/>
      </w:r>
      <w:r w:rsidR="00EC544E" w:rsidRPr="0093262F">
        <w:rPr>
          <w:sz w:val="20"/>
          <w:szCs w:val="20"/>
        </w:rPr>
        <w:t xml:space="preserve"> </w:t>
      </w:r>
      <w:proofErr w:type="spellStart"/>
      <w:r w:rsidR="00EC544E" w:rsidRPr="0093262F">
        <w:rPr>
          <w:sz w:val="20"/>
          <w:szCs w:val="20"/>
        </w:rPr>
        <w:t>Lasserre-Capdeville</w:t>
      </w:r>
      <w:proofErr w:type="spellEnd"/>
      <w:r w:rsidR="00EC544E" w:rsidRPr="0093262F">
        <w:rPr>
          <w:sz w:val="20"/>
          <w:szCs w:val="20"/>
        </w:rPr>
        <w:t xml:space="preserve">, </w:t>
      </w:r>
      <w:r w:rsidRPr="0093262F">
        <w:rPr>
          <w:sz w:val="20"/>
          <w:szCs w:val="20"/>
        </w:rPr>
        <w:t>s. 272.</w:t>
      </w:r>
    </w:p>
  </w:footnote>
  <w:footnote w:id="23">
    <w:p w14:paraId="6F6015E2" w14:textId="77777777" w:rsidR="00DD40EF" w:rsidRPr="0093262F" w:rsidRDefault="00DD40EF" w:rsidP="00D3172F">
      <w:pPr>
        <w:spacing w:after="120" w:line="240" w:lineRule="auto"/>
        <w:jc w:val="both"/>
        <w:rPr>
          <w:sz w:val="20"/>
          <w:szCs w:val="20"/>
        </w:rPr>
      </w:pPr>
      <w:r w:rsidRPr="0093262F">
        <w:rPr>
          <w:rStyle w:val="FootnoteReference"/>
          <w:sz w:val="20"/>
          <w:szCs w:val="20"/>
        </w:rPr>
        <w:footnoteRef/>
      </w:r>
      <w:r w:rsidRPr="0093262F">
        <w:rPr>
          <w:sz w:val="20"/>
          <w:szCs w:val="20"/>
        </w:rPr>
        <w:t xml:space="preserve"> Francis </w:t>
      </w:r>
      <w:proofErr w:type="spellStart"/>
      <w:r w:rsidRPr="0093262F">
        <w:rPr>
          <w:sz w:val="20"/>
          <w:szCs w:val="20"/>
        </w:rPr>
        <w:t>Crédot</w:t>
      </w:r>
      <w:proofErr w:type="spellEnd"/>
      <w:r w:rsidRPr="0093262F">
        <w:rPr>
          <w:sz w:val="20"/>
          <w:szCs w:val="20"/>
        </w:rPr>
        <w:t xml:space="preserve">, </w:t>
      </w:r>
      <w:r w:rsidRPr="0093262F">
        <w:rPr>
          <w:i/>
          <w:sz w:val="20"/>
          <w:szCs w:val="20"/>
        </w:rPr>
        <w:t xml:space="preserve">Le </w:t>
      </w:r>
      <w:proofErr w:type="spellStart"/>
      <w:r w:rsidRPr="0093262F">
        <w:rPr>
          <w:i/>
          <w:sz w:val="20"/>
          <w:szCs w:val="20"/>
        </w:rPr>
        <w:t>Secret</w:t>
      </w:r>
      <w:proofErr w:type="spellEnd"/>
      <w:r w:rsidRPr="0093262F">
        <w:rPr>
          <w:i/>
          <w:sz w:val="20"/>
          <w:szCs w:val="20"/>
        </w:rPr>
        <w:t xml:space="preserve"> </w:t>
      </w:r>
      <w:proofErr w:type="spellStart"/>
      <w:r w:rsidRPr="0093262F">
        <w:rPr>
          <w:i/>
          <w:sz w:val="20"/>
          <w:szCs w:val="20"/>
        </w:rPr>
        <w:t>Bancaire</w:t>
      </w:r>
      <w:proofErr w:type="spellEnd"/>
      <w:r w:rsidRPr="0093262F">
        <w:rPr>
          <w:i/>
          <w:sz w:val="20"/>
          <w:szCs w:val="20"/>
        </w:rPr>
        <w:t xml:space="preserve"> Son </w:t>
      </w:r>
      <w:proofErr w:type="spellStart"/>
      <w:r w:rsidRPr="0093262F">
        <w:rPr>
          <w:i/>
          <w:sz w:val="20"/>
          <w:szCs w:val="20"/>
        </w:rPr>
        <w:t>Étendue</w:t>
      </w:r>
      <w:proofErr w:type="spellEnd"/>
      <w:r w:rsidRPr="0093262F">
        <w:rPr>
          <w:i/>
          <w:sz w:val="20"/>
          <w:szCs w:val="20"/>
        </w:rPr>
        <w:t xml:space="preserve"> et Ses </w:t>
      </w:r>
      <w:proofErr w:type="spellStart"/>
      <w:r w:rsidRPr="0093262F">
        <w:rPr>
          <w:i/>
          <w:sz w:val="20"/>
          <w:szCs w:val="20"/>
        </w:rPr>
        <w:t>Limites</w:t>
      </w:r>
      <w:proofErr w:type="spellEnd"/>
      <w:r w:rsidRPr="0093262F">
        <w:rPr>
          <w:sz w:val="20"/>
          <w:szCs w:val="20"/>
        </w:rPr>
        <w:t xml:space="preserve">. </w:t>
      </w:r>
      <w:proofErr w:type="spellStart"/>
      <w:r w:rsidRPr="0093262F">
        <w:rPr>
          <w:i/>
          <w:sz w:val="20"/>
          <w:szCs w:val="20"/>
        </w:rPr>
        <w:t>Les</w:t>
      </w:r>
      <w:proofErr w:type="spellEnd"/>
      <w:r w:rsidRPr="0093262F">
        <w:rPr>
          <w:i/>
          <w:sz w:val="20"/>
          <w:szCs w:val="20"/>
        </w:rPr>
        <w:t xml:space="preserve"> </w:t>
      </w:r>
      <w:proofErr w:type="spellStart"/>
      <w:r w:rsidRPr="0093262F">
        <w:rPr>
          <w:i/>
          <w:sz w:val="20"/>
          <w:szCs w:val="20"/>
        </w:rPr>
        <w:t>Petites</w:t>
      </w:r>
      <w:proofErr w:type="spellEnd"/>
      <w:r w:rsidRPr="0093262F">
        <w:rPr>
          <w:i/>
          <w:sz w:val="20"/>
          <w:szCs w:val="20"/>
        </w:rPr>
        <w:t xml:space="preserve"> </w:t>
      </w:r>
      <w:proofErr w:type="spellStart"/>
      <w:r w:rsidRPr="0093262F">
        <w:rPr>
          <w:i/>
          <w:sz w:val="20"/>
          <w:szCs w:val="20"/>
        </w:rPr>
        <w:t>Affiches</w:t>
      </w:r>
      <w:proofErr w:type="spellEnd"/>
      <w:r w:rsidRPr="0093262F">
        <w:rPr>
          <w:i/>
          <w:sz w:val="20"/>
          <w:szCs w:val="20"/>
        </w:rPr>
        <w:t xml:space="preserve">, </w:t>
      </w:r>
      <w:proofErr w:type="spellStart"/>
      <w:r w:rsidRPr="0093262F">
        <w:rPr>
          <w:i/>
          <w:sz w:val="20"/>
          <w:szCs w:val="20"/>
        </w:rPr>
        <w:t>no</w:t>
      </w:r>
      <w:proofErr w:type="spellEnd"/>
      <w:r w:rsidRPr="0093262F">
        <w:rPr>
          <w:i/>
          <w:sz w:val="20"/>
          <w:szCs w:val="20"/>
        </w:rPr>
        <w:t>: 35</w:t>
      </w:r>
      <w:r w:rsidRPr="0093262F">
        <w:rPr>
          <w:sz w:val="20"/>
          <w:szCs w:val="20"/>
        </w:rPr>
        <w:t xml:space="preserve">, </w:t>
      </w:r>
      <w:r w:rsidR="00EC544E" w:rsidRPr="0093262F">
        <w:rPr>
          <w:i/>
          <w:sz w:val="20"/>
          <w:szCs w:val="20"/>
        </w:rPr>
        <w:t xml:space="preserve">1994, </w:t>
      </w:r>
      <w:r w:rsidRPr="0093262F">
        <w:rPr>
          <w:sz w:val="20"/>
          <w:szCs w:val="20"/>
        </w:rPr>
        <w:t xml:space="preserve"> s.</w:t>
      </w:r>
      <w:r w:rsidR="00294E28" w:rsidRPr="0093262F">
        <w:rPr>
          <w:sz w:val="20"/>
          <w:szCs w:val="20"/>
        </w:rPr>
        <w:t xml:space="preserve"> 1</w:t>
      </w:r>
      <w:r w:rsidRPr="0093262F">
        <w:rPr>
          <w:sz w:val="20"/>
          <w:szCs w:val="20"/>
        </w:rPr>
        <w:t xml:space="preserve">0. </w:t>
      </w:r>
    </w:p>
  </w:footnote>
  <w:footnote w:id="24">
    <w:p w14:paraId="543480CD" w14:textId="77777777" w:rsidR="00DD40EF" w:rsidRPr="0093262F" w:rsidRDefault="00DD40EF" w:rsidP="00D3172F">
      <w:pPr>
        <w:spacing w:after="120" w:line="240" w:lineRule="auto"/>
        <w:jc w:val="both"/>
        <w:rPr>
          <w:sz w:val="20"/>
          <w:szCs w:val="20"/>
        </w:rPr>
      </w:pPr>
      <w:r w:rsidRPr="0093262F">
        <w:rPr>
          <w:rStyle w:val="FootnoteReference"/>
          <w:sz w:val="20"/>
          <w:szCs w:val="20"/>
        </w:rPr>
        <w:footnoteRef/>
      </w:r>
      <w:r w:rsidRPr="0093262F">
        <w:rPr>
          <w:sz w:val="20"/>
          <w:szCs w:val="20"/>
        </w:rPr>
        <w:t xml:space="preserve"> Paris İstinaf Mahkemesi bir kararında; bankacının müşterisi ile ticari ilişkileri bulunan ve müşterisine dava açmaya hazırlanan bir şirketin yönetim kurulu baş</w:t>
      </w:r>
      <w:r w:rsidR="00EC544E" w:rsidRPr="0093262F">
        <w:rPr>
          <w:sz w:val="20"/>
          <w:szCs w:val="20"/>
        </w:rPr>
        <w:t>kanına, müşterisi ile banka</w:t>
      </w:r>
      <w:r w:rsidRPr="0093262F">
        <w:rPr>
          <w:sz w:val="20"/>
          <w:szCs w:val="20"/>
        </w:rPr>
        <w:t xml:space="preserve"> işlemlerini gerçekleştirirken yaşamış olduğu sıkıntıları anlatan mektup yazmasını, müşteri sırrının ihlali olarak değerlendirmiştir. Ancak mahkeme</w:t>
      </w:r>
      <w:r w:rsidR="00EC544E" w:rsidRPr="0093262F">
        <w:rPr>
          <w:sz w:val="20"/>
          <w:szCs w:val="20"/>
        </w:rPr>
        <w:t>, kararda</w:t>
      </w:r>
      <w:r w:rsidRPr="0093262F">
        <w:rPr>
          <w:sz w:val="20"/>
          <w:szCs w:val="20"/>
        </w:rPr>
        <w:t xml:space="preserve"> “</w:t>
      </w:r>
      <w:r w:rsidRPr="0093262F">
        <w:rPr>
          <w:i/>
          <w:sz w:val="20"/>
          <w:szCs w:val="20"/>
        </w:rPr>
        <w:t>belirli bilgi”</w:t>
      </w:r>
      <w:r w:rsidRPr="0093262F">
        <w:rPr>
          <w:sz w:val="20"/>
          <w:szCs w:val="20"/>
        </w:rPr>
        <w:t xml:space="preserve"> kavramına yer vermemiştir. </w:t>
      </w:r>
      <w:proofErr w:type="spellStart"/>
      <w:r w:rsidR="00EC544E" w:rsidRPr="0093262F">
        <w:rPr>
          <w:sz w:val="20"/>
          <w:szCs w:val="20"/>
        </w:rPr>
        <w:t>Lasserre-Capdeville</w:t>
      </w:r>
      <w:proofErr w:type="spellEnd"/>
      <w:r w:rsidR="00EC544E" w:rsidRPr="0093262F">
        <w:rPr>
          <w:sz w:val="20"/>
          <w:szCs w:val="20"/>
        </w:rPr>
        <w:t xml:space="preserve">, </w:t>
      </w:r>
      <w:r w:rsidRPr="0093262F">
        <w:rPr>
          <w:sz w:val="20"/>
          <w:szCs w:val="20"/>
        </w:rPr>
        <w:t>s. 275.</w:t>
      </w:r>
    </w:p>
  </w:footnote>
  <w:footnote w:id="25">
    <w:p w14:paraId="7D3E227E" w14:textId="77777777" w:rsidR="007318C0" w:rsidRPr="0093262F" w:rsidRDefault="00DD40EF" w:rsidP="00D3172F">
      <w:pPr>
        <w:spacing w:after="120" w:line="240" w:lineRule="auto"/>
        <w:jc w:val="both"/>
        <w:rPr>
          <w:sz w:val="20"/>
          <w:szCs w:val="20"/>
        </w:rPr>
      </w:pPr>
      <w:r w:rsidRPr="0093262F">
        <w:rPr>
          <w:rStyle w:val="FootnoteReference"/>
          <w:sz w:val="20"/>
          <w:szCs w:val="20"/>
        </w:rPr>
        <w:footnoteRef/>
      </w:r>
      <w:r w:rsidR="007318C0" w:rsidRPr="0093262F">
        <w:rPr>
          <w:sz w:val="20"/>
          <w:szCs w:val="20"/>
        </w:rPr>
        <w:t xml:space="preserve"> </w:t>
      </w:r>
      <w:proofErr w:type="spellStart"/>
      <w:r w:rsidR="007318C0" w:rsidRPr="0093262F">
        <w:rPr>
          <w:sz w:val="20"/>
          <w:szCs w:val="20"/>
        </w:rPr>
        <w:t>Lasserre-Capdeville</w:t>
      </w:r>
      <w:proofErr w:type="spellEnd"/>
      <w:r w:rsidR="007318C0" w:rsidRPr="0093262F">
        <w:rPr>
          <w:sz w:val="20"/>
          <w:szCs w:val="20"/>
        </w:rPr>
        <w:t xml:space="preserve">, Le </w:t>
      </w:r>
      <w:proofErr w:type="spellStart"/>
      <w:r w:rsidR="007318C0" w:rsidRPr="0093262F">
        <w:rPr>
          <w:sz w:val="20"/>
          <w:szCs w:val="20"/>
        </w:rPr>
        <w:t>secret</w:t>
      </w:r>
      <w:proofErr w:type="spellEnd"/>
      <w:r w:rsidR="007318C0" w:rsidRPr="0093262F">
        <w:rPr>
          <w:sz w:val="20"/>
          <w:szCs w:val="20"/>
        </w:rPr>
        <w:t xml:space="preserve"> </w:t>
      </w:r>
      <w:proofErr w:type="spellStart"/>
      <w:r w:rsidR="007318C0" w:rsidRPr="0093262F">
        <w:rPr>
          <w:sz w:val="20"/>
          <w:szCs w:val="20"/>
        </w:rPr>
        <w:t>bancaire</w:t>
      </w:r>
      <w:proofErr w:type="spellEnd"/>
      <w:r w:rsidR="007318C0" w:rsidRPr="0093262F">
        <w:rPr>
          <w:sz w:val="20"/>
          <w:szCs w:val="20"/>
        </w:rPr>
        <w:t>,</w:t>
      </w:r>
      <w:r w:rsidR="00EC544E" w:rsidRPr="0093262F">
        <w:rPr>
          <w:sz w:val="20"/>
          <w:szCs w:val="20"/>
        </w:rPr>
        <w:t xml:space="preserve"> </w:t>
      </w:r>
      <w:r w:rsidRPr="0093262F">
        <w:rPr>
          <w:sz w:val="20"/>
          <w:szCs w:val="20"/>
        </w:rPr>
        <w:t xml:space="preserve">s. 36. </w:t>
      </w:r>
    </w:p>
  </w:footnote>
  <w:footnote w:id="26">
    <w:p w14:paraId="53BE3CCD" w14:textId="77777777" w:rsidR="007318C0" w:rsidRPr="0093262F" w:rsidRDefault="00DD40EF" w:rsidP="00D3172F">
      <w:pPr>
        <w:spacing w:after="120" w:line="240" w:lineRule="auto"/>
        <w:jc w:val="both"/>
        <w:rPr>
          <w:sz w:val="20"/>
          <w:szCs w:val="20"/>
        </w:rPr>
      </w:pPr>
      <w:r w:rsidRPr="0093262F">
        <w:rPr>
          <w:rStyle w:val="FootnoteReference"/>
          <w:sz w:val="20"/>
          <w:szCs w:val="20"/>
        </w:rPr>
        <w:footnoteRef/>
      </w:r>
      <w:r w:rsidR="00EC544E" w:rsidRPr="0093262F">
        <w:rPr>
          <w:sz w:val="20"/>
          <w:szCs w:val="20"/>
        </w:rPr>
        <w:t xml:space="preserve"> </w:t>
      </w:r>
      <w:proofErr w:type="spellStart"/>
      <w:r w:rsidR="00EC544E" w:rsidRPr="0093262F">
        <w:rPr>
          <w:sz w:val="20"/>
          <w:szCs w:val="20"/>
        </w:rPr>
        <w:t>Sacker</w:t>
      </w:r>
      <w:proofErr w:type="spellEnd"/>
      <w:r w:rsidR="00EC544E" w:rsidRPr="0093262F">
        <w:rPr>
          <w:sz w:val="20"/>
          <w:szCs w:val="20"/>
        </w:rPr>
        <w:t xml:space="preserve">, </w:t>
      </w:r>
      <w:r w:rsidRPr="0093262F">
        <w:rPr>
          <w:sz w:val="20"/>
          <w:szCs w:val="20"/>
        </w:rPr>
        <w:t xml:space="preserve">s. 24. </w:t>
      </w:r>
    </w:p>
  </w:footnote>
  <w:footnote w:id="27">
    <w:p w14:paraId="442F5638" w14:textId="77777777" w:rsidR="007318C0" w:rsidRPr="0093262F" w:rsidRDefault="00DD40EF" w:rsidP="00677E5B">
      <w:pPr>
        <w:spacing w:after="120" w:line="240" w:lineRule="auto"/>
        <w:jc w:val="both"/>
        <w:rPr>
          <w:sz w:val="20"/>
          <w:szCs w:val="20"/>
        </w:rPr>
      </w:pPr>
      <w:r w:rsidRPr="0093262F">
        <w:rPr>
          <w:rStyle w:val="FootnoteReference"/>
          <w:sz w:val="20"/>
          <w:szCs w:val="20"/>
        </w:rPr>
        <w:footnoteRef/>
      </w:r>
      <w:r w:rsidRPr="0093262F">
        <w:rPr>
          <w:sz w:val="20"/>
          <w:szCs w:val="20"/>
        </w:rPr>
        <w:t xml:space="preserve"> Aynı husus, Fransız Yargıtay’ının “kredi kuruluşlarının, müşterinin ödeme gücüyle ilgili bilgiler dışındaki bilgileri açıklamamakla” yükümlü olduklarına hükmettiği 18.09.2007 tarihli kararında da vurgulanmıştır. Paris Asliye Ceza Mahkemesi 1975 tarihli bir kararında; “bankacının dava konusu çekle ilgili olarak, bir gerçek veya tüzel kişinin, bankanın müşterisi olup olmadığına dair sorulan soruyu cevaplamasının müşteri sırrına aykırılık teşkil etmeyeceğine hükm</w:t>
      </w:r>
      <w:r w:rsidR="00EC544E" w:rsidRPr="0093262F">
        <w:rPr>
          <w:sz w:val="20"/>
          <w:szCs w:val="20"/>
        </w:rPr>
        <w:t xml:space="preserve">etmiştir. </w:t>
      </w:r>
      <w:proofErr w:type="spellStart"/>
      <w:r w:rsidR="00EC544E" w:rsidRPr="0093262F">
        <w:rPr>
          <w:sz w:val="20"/>
          <w:szCs w:val="20"/>
        </w:rPr>
        <w:t>Lasserre</w:t>
      </w:r>
      <w:proofErr w:type="spellEnd"/>
      <w:r w:rsidR="00EC544E" w:rsidRPr="0093262F">
        <w:rPr>
          <w:sz w:val="20"/>
          <w:szCs w:val="20"/>
        </w:rPr>
        <w:t xml:space="preserve">- </w:t>
      </w:r>
      <w:proofErr w:type="spellStart"/>
      <w:r w:rsidR="00EC544E" w:rsidRPr="0093262F">
        <w:rPr>
          <w:sz w:val="20"/>
          <w:szCs w:val="20"/>
        </w:rPr>
        <w:t>Capdeville</w:t>
      </w:r>
      <w:proofErr w:type="spellEnd"/>
      <w:r w:rsidR="00EC544E" w:rsidRPr="0093262F">
        <w:rPr>
          <w:sz w:val="20"/>
          <w:szCs w:val="20"/>
        </w:rPr>
        <w:t xml:space="preserve">, </w:t>
      </w:r>
      <w:r w:rsidRPr="0093262F">
        <w:rPr>
          <w:sz w:val="20"/>
          <w:szCs w:val="20"/>
        </w:rPr>
        <w:t>s. 275.</w:t>
      </w:r>
    </w:p>
  </w:footnote>
  <w:footnote w:id="28">
    <w:p w14:paraId="670B82B3" w14:textId="77777777" w:rsidR="007318C0" w:rsidRPr="0093262F" w:rsidRDefault="00DD40EF" w:rsidP="0093262F">
      <w:pPr>
        <w:spacing w:after="120" w:line="240" w:lineRule="auto"/>
        <w:rPr>
          <w:sz w:val="20"/>
          <w:szCs w:val="20"/>
        </w:rPr>
      </w:pPr>
      <w:r w:rsidRPr="0093262F">
        <w:rPr>
          <w:rStyle w:val="FootnoteReference"/>
          <w:sz w:val="20"/>
          <w:szCs w:val="20"/>
        </w:rPr>
        <w:footnoteRef/>
      </w:r>
      <w:r w:rsidR="00EC544E" w:rsidRPr="0093262F">
        <w:rPr>
          <w:sz w:val="20"/>
          <w:szCs w:val="20"/>
        </w:rPr>
        <w:t xml:space="preserve"> </w:t>
      </w:r>
      <w:proofErr w:type="spellStart"/>
      <w:r w:rsidR="00EC544E" w:rsidRPr="0093262F">
        <w:rPr>
          <w:sz w:val="20"/>
          <w:szCs w:val="20"/>
        </w:rPr>
        <w:t>Lasserre-Capdeville</w:t>
      </w:r>
      <w:proofErr w:type="spellEnd"/>
      <w:r w:rsidR="00EC544E" w:rsidRPr="0093262F">
        <w:rPr>
          <w:sz w:val="20"/>
          <w:szCs w:val="20"/>
        </w:rPr>
        <w:t xml:space="preserve">, </w:t>
      </w:r>
      <w:r w:rsidRPr="0093262F">
        <w:rPr>
          <w:sz w:val="20"/>
          <w:szCs w:val="20"/>
        </w:rPr>
        <w:t xml:space="preserve">s. 273. </w:t>
      </w:r>
    </w:p>
  </w:footnote>
  <w:footnote w:id="29">
    <w:p w14:paraId="3FA1FD7F" w14:textId="77777777" w:rsidR="00805176" w:rsidRPr="0093262F" w:rsidRDefault="00DD40EF" w:rsidP="0093262F">
      <w:pPr>
        <w:spacing w:after="120" w:line="240" w:lineRule="auto"/>
        <w:rPr>
          <w:sz w:val="20"/>
          <w:szCs w:val="20"/>
        </w:rPr>
      </w:pPr>
      <w:r w:rsidRPr="0093262F">
        <w:rPr>
          <w:rStyle w:val="FootnoteReference"/>
          <w:sz w:val="20"/>
          <w:szCs w:val="20"/>
        </w:rPr>
        <w:footnoteRef/>
      </w:r>
      <w:r w:rsidR="00EC544E" w:rsidRPr="0093262F">
        <w:rPr>
          <w:sz w:val="20"/>
          <w:szCs w:val="20"/>
        </w:rPr>
        <w:t xml:space="preserve"> </w:t>
      </w:r>
      <w:proofErr w:type="spellStart"/>
      <w:r w:rsidR="00EC544E" w:rsidRPr="0093262F">
        <w:rPr>
          <w:sz w:val="20"/>
          <w:szCs w:val="20"/>
        </w:rPr>
        <w:t>Teissier</w:t>
      </w:r>
      <w:proofErr w:type="spellEnd"/>
      <w:r w:rsidR="00EC544E" w:rsidRPr="0093262F">
        <w:rPr>
          <w:sz w:val="20"/>
          <w:szCs w:val="20"/>
        </w:rPr>
        <w:t xml:space="preserve">, </w:t>
      </w:r>
      <w:r w:rsidRPr="0093262F">
        <w:rPr>
          <w:sz w:val="20"/>
          <w:szCs w:val="20"/>
        </w:rPr>
        <w:t xml:space="preserve">s. 75. </w:t>
      </w:r>
    </w:p>
  </w:footnote>
  <w:footnote w:id="30">
    <w:p w14:paraId="4486BD44" w14:textId="77777777" w:rsidR="007318C0" w:rsidRPr="0093262F" w:rsidRDefault="00DD40EF" w:rsidP="0093262F">
      <w:pPr>
        <w:spacing w:after="120" w:line="240" w:lineRule="auto"/>
        <w:rPr>
          <w:sz w:val="20"/>
          <w:szCs w:val="20"/>
        </w:rPr>
      </w:pPr>
      <w:r w:rsidRPr="0093262F">
        <w:rPr>
          <w:rStyle w:val="FootnoteReference"/>
          <w:sz w:val="20"/>
          <w:szCs w:val="20"/>
        </w:rPr>
        <w:footnoteRef/>
      </w:r>
      <w:r w:rsidRPr="0093262F">
        <w:rPr>
          <w:sz w:val="20"/>
          <w:szCs w:val="20"/>
        </w:rPr>
        <w:t xml:space="preserve"> </w:t>
      </w:r>
      <w:proofErr w:type="spellStart"/>
      <w:r w:rsidRPr="0093262F">
        <w:rPr>
          <w:sz w:val="20"/>
          <w:szCs w:val="20"/>
        </w:rPr>
        <w:t>Lasserre-Capdeville</w:t>
      </w:r>
      <w:proofErr w:type="spellEnd"/>
      <w:r w:rsidRPr="0093262F">
        <w:rPr>
          <w:sz w:val="20"/>
          <w:szCs w:val="20"/>
        </w:rPr>
        <w:t xml:space="preserve">, s. </w:t>
      </w:r>
      <w:r w:rsidR="00B648F3" w:rsidRPr="0093262F">
        <w:rPr>
          <w:sz w:val="20"/>
          <w:szCs w:val="20"/>
        </w:rPr>
        <w:t>274.</w:t>
      </w:r>
    </w:p>
  </w:footnote>
  <w:footnote w:id="31">
    <w:p w14:paraId="0017A22A" w14:textId="77777777" w:rsidR="007318C0" w:rsidRPr="0093262F" w:rsidRDefault="00DD40EF" w:rsidP="0093262F">
      <w:pPr>
        <w:spacing w:after="120" w:line="240" w:lineRule="auto"/>
        <w:rPr>
          <w:sz w:val="20"/>
          <w:szCs w:val="20"/>
        </w:rPr>
      </w:pPr>
      <w:r w:rsidRPr="0093262F">
        <w:rPr>
          <w:rStyle w:val="FootnoteReference"/>
          <w:sz w:val="20"/>
          <w:szCs w:val="20"/>
        </w:rPr>
        <w:footnoteRef/>
      </w:r>
      <w:r w:rsidRPr="0093262F">
        <w:rPr>
          <w:sz w:val="20"/>
          <w:szCs w:val="20"/>
        </w:rPr>
        <w:t xml:space="preserve"> </w:t>
      </w:r>
      <w:proofErr w:type="spellStart"/>
      <w:r w:rsidRPr="0093262F">
        <w:rPr>
          <w:sz w:val="20"/>
          <w:szCs w:val="20"/>
        </w:rPr>
        <w:t>Sacker</w:t>
      </w:r>
      <w:proofErr w:type="spellEnd"/>
      <w:r w:rsidRPr="0093262F">
        <w:rPr>
          <w:sz w:val="20"/>
          <w:szCs w:val="20"/>
        </w:rPr>
        <w:t xml:space="preserve">, s. 20; </w:t>
      </w:r>
      <w:proofErr w:type="spellStart"/>
      <w:r w:rsidRPr="0093262F">
        <w:rPr>
          <w:sz w:val="20"/>
          <w:szCs w:val="20"/>
        </w:rPr>
        <w:t>Lasserre-Capdeville</w:t>
      </w:r>
      <w:proofErr w:type="spellEnd"/>
      <w:r w:rsidRPr="0093262F">
        <w:rPr>
          <w:sz w:val="20"/>
          <w:szCs w:val="20"/>
        </w:rPr>
        <w:t xml:space="preserve">, s. 274; </w:t>
      </w:r>
      <w:proofErr w:type="spellStart"/>
      <w:r w:rsidRPr="0093262F">
        <w:rPr>
          <w:sz w:val="20"/>
          <w:szCs w:val="20"/>
        </w:rPr>
        <w:t>Farhat</w:t>
      </w:r>
      <w:proofErr w:type="spellEnd"/>
      <w:r w:rsidRPr="0093262F">
        <w:rPr>
          <w:sz w:val="20"/>
          <w:szCs w:val="20"/>
        </w:rPr>
        <w:t xml:space="preserve">, s. 85.  </w:t>
      </w:r>
    </w:p>
  </w:footnote>
  <w:footnote w:id="32">
    <w:p w14:paraId="25B4CB2C" w14:textId="77777777" w:rsidR="007318C0" w:rsidRPr="0093262F" w:rsidRDefault="00DD40EF" w:rsidP="0093262F">
      <w:pPr>
        <w:spacing w:after="120" w:line="240" w:lineRule="auto"/>
        <w:rPr>
          <w:sz w:val="20"/>
          <w:szCs w:val="20"/>
        </w:rPr>
      </w:pPr>
      <w:r w:rsidRPr="0093262F">
        <w:rPr>
          <w:rStyle w:val="FootnoteReference"/>
          <w:sz w:val="20"/>
          <w:szCs w:val="20"/>
        </w:rPr>
        <w:footnoteRef/>
      </w:r>
      <w:r w:rsidRPr="0093262F">
        <w:rPr>
          <w:sz w:val="20"/>
          <w:szCs w:val="20"/>
        </w:rPr>
        <w:t xml:space="preserve"> </w:t>
      </w:r>
      <w:proofErr w:type="spellStart"/>
      <w:r w:rsidRPr="0093262F">
        <w:rPr>
          <w:sz w:val="20"/>
          <w:szCs w:val="20"/>
        </w:rPr>
        <w:t>Lasserre-Capdeville</w:t>
      </w:r>
      <w:proofErr w:type="spellEnd"/>
      <w:r w:rsidRPr="0093262F">
        <w:rPr>
          <w:sz w:val="20"/>
          <w:szCs w:val="20"/>
        </w:rPr>
        <w:t>, s. 274.</w:t>
      </w:r>
    </w:p>
  </w:footnote>
  <w:footnote w:id="33">
    <w:p w14:paraId="23E32D61" w14:textId="77777777" w:rsidR="007318C0" w:rsidRPr="0093262F" w:rsidRDefault="007318C0" w:rsidP="00D3172F">
      <w:pPr>
        <w:spacing w:after="120" w:line="240" w:lineRule="auto"/>
        <w:jc w:val="both"/>
        <w:rPr>
          <w:sz w:val="20"/>
          <w:szCs w:val="20"/>
        </w:rPr>
      </w:pPr>
      <w:r w:rsidRPr="0093262F">
        <w:rPr>
          <w:rStyle w:val="FootnoteReference"/>
          <w:sz w:val="20"/>
          <w:szCs w:val="20"/>
        </w:rPr>
        <w:footnoteRef/>
      </w:r>
      <w:r w:rsidRPr="0093262F">
        <w:rPr>
          <w:sz w:val="20"/>
          <w:szCs w:val="20"/>
        </w:rPr>
        <w:t xml:space="preserve"> Bununla birlikte </w:t>
      </w:r>
      <w:proofErr w:type="spellStart"/>
      <w:r w:rsidRPr="0093262F">
        <w:rPr>
          <w:sz w:val="20"/>
          <w:szCs w:val="20"/>
        </w:rPr>
        <w:t>CMF’nin</w:t>
      </w:r>
      <w:proofErr w:type="spellEnd"/>
      <w:r w:rsidRPr="0093262F">
        <w:rPr>
          <w:sz w:val="20"/>
          <w:szCs w:val="20"/>
        </w:rPr>
        <w:t xml:space="preserve"> ceza yaptırımlarına dair art. L. 571-4’ü, CP art. 226-13’e atıf yapmaktadır. CP art. 226-13’e göre; </w:t>
      </w:r>
      <w:r w:rsidRPr="0093262F">
        <w:rPr>
          <w:i/>
          <w:sz w:val="20"/>
          <w:szCs w:val="20"/>
        </w:rPr>
        <w:t>“bir durum, meslek, sürekli veya geçici görev nedeniyle gizli nitelikteki bilgileri saklayan, bu bilgileri açıklarsa, bir yıl hapis cezası ve 15.000 Avro para cezası ile cezalandırılır. Ayrıca, çalışanın fiilinden sorumlu olan kredi kuruluşu da, sırrın açıklanmasından zarar gören kişinin zararını tazmin etmelidir”</w:t>
      </w:r>
      <w:r w:rsidRPr="0093262F">
        <w:rPr>
          <w:sz w:val="20"/>
          <w:szCs w:val="20"/>
        </w:rPr>
        <w:t>.</w:t>
      </w:r>
    </w:p>
  </w:footnote>
  <w:footnote w:id="34">
    <w:p w14:paraId="5D50B3E9" w14:textId="77777777" w:rsidR="007318C0" w:rsidRPr="0093262F" w:rsidRDefault="007318C0" w:rsidP="0093262F">
      <w:pPr>
        <w:spacing w:after="120" w:line="240" w:lineRule="auto"/>
        <w:rPr>
          <w:sz w:val="20"/>
          <w:szCs w:val="20"/>
        </w:rPr>
      </w:pPr>
      <w:r w:rsidRPr="0093262F">
        <w:rPr>
          <w:rStyle w:val="FootnoteReference"/>
          <w:sz w:val="20"/>
          <w:szCs w:val="20"/>
        </w:rPr>
        <w:footnoteRef/>
      </w:r>
      <w:r w:rsidRPr="0093262F">
        <w:rPr>
          <w:sz w:val="20"/>
          <w:szCs w:val="20"/>
        </w:rPr>
        <w:t xml:space="preserve"> </w:t>
      </w:r>
      <w:proofErr w:type="spellStart"/>
      <w:r w:rsidRPr="0093262F">
        <w:rPr>
          <w:sz w:val="20"/>
          <w:szCs w:val="20"/>
        </w:rPr>
        <w:t>Alavi</w:t>
      </w:r>
      <w:proofErr w:type="spellEnd"/>
      <w:r w:rsidRPr="0093262F">
        <w:rPr>
          <w:sz w:val="20"/>
          <w:szCs w:val="20"/>
        </w:rPr>
        <w:t xml:space="preserve">, s. 36. </w:t>
      </w:r>
    </w:p>
  </w:footnote>
  <w:footnote w:id="35">
    <w:p w14:paraId="7C12CB08" w14:textId="77777777" w:rsidR="00805176" w:rsidRPr="0093262F" w:rsidRDefault="007318C0" w:rsidP="008014AB">
      <w:pPr>
        <w:spacing w:after="120" w:line="240" w:lineRule="auto"/>
        <w:jc w:val="both"/>
        <w:rPr>
          <w:sz w:val="20"/>
          <w:szCs w:val="20"/>
        </w:rPr>
      </w:pPr>
      <w:r w:rsidRPr="0093262F">
        <w:rPr>
          <w:rStyle w:val="FootnoteReference"/>
          <w:sz w:val="20"/>
          <w:szCs w:val="20"/>
        </w:rPr>
        <w:footnoteRef/>
      </w:r>
      <w:r w:rsidRPr="0093262F">
        <w:rPr>
          <w:sz w:val="20"/>
          <w:szCs w:val="20"/>
        </w:rPr>
        <w:t xml:space="preserve"> </w:t>
      </w:r>
      <w:r w:rsidRPr="0093262F">
        <w:rPr>
          <w:sz w:val="20"/>
          <w:szCs w:val="20"/>
        </w:rPr>
        <w:t>Uluslararası bildirge ve sözleşmelerin özel hayatın korunmasıyla ilgili hükümleri şu şekilde sıralanmaktadır: 10.12.1948 tarihli “İnsan Hakları Evrensel Bildirgesi’nin” 12. maddesi, 04.11.1950 tarihli “İnsan Hakları ve Temel Hakların Özgürlüklerin Korunmasına İlişkin Sözleşme’nin” 8. maddesi, 16.12.1966 tarihli “Medeni ve Siyasal Haklara İlişkin Uluslararası Sözleşme’nin” 17. maddesi ve 07.12.2000 tarihli “Avrupa Birliği Temel Haklar Şartı’nın” 7. maddesi.</w:t>
      </w:r>
      <w:r w:rsidR="009B1FBE" w:rsidRPr="0093262F">
        <w:rPr>
          <w:sz w:val="20"/>
          <w:szCs w:val="20"/>
        </w:rPr>
        <w:t xml:space="preserve"> </w:t>
      </w:r>
      <w:proofErr w:type="spellStart"/>
      <w:r w:rsidR="009B1FBE" w:rsidRPr="0093262F">
        <w:rPr>
          <w:sz w:val="20"/>
          <w:szCs w:val="20"/>
        </w:rPr>
        <w:t>Lasserre-Capdeville</w:t>
      </w:r>
      <w:proofErr w:type="spellEnd"/>
      <w:r w:rsidR="009B1FBE" w:rsidRPr="0093262F">
        <w:rPr>
          <w:sz w:val="20"/>
          <w:szCs w:val="20"/>
        </w:rPr>
        <w:t xml:space="preserve">, s. </w:t>
      </w:r>
      <w:r w:rsidRPr="0093262F">
        <w:rPr>
          <w:sz w:val="20"/>
          <w:szCs w:val="20"/>
        </w:rPr>
        <w:t xml:space="preserve">89 vd.   </w:t>
      </w:r>
    </w:p>
  </w:footnote>
  <w:footnote w:id="36">
    <w:p w14:paraId="7803E67E" w14:textId="77777777" w:rsidR="007318C0" w:rsidRPr="0093262F" w:rsidRDefault="007318C0" w:rsidP="008014AB">
      <w:pPr>
        <w:spacing w:after="120" w:line="240" w:lineRule="auto"/>
        <w:jc w:val="both"/>
        <w:rPr>
          <w:bCs/>
          <w:color w:val="000000"/>
          <w:sz w:val="20"/>
          <w:szCs w:val="20"/>
          <w:shd w:val="clear" w:color="auto" w:fill="FFFFFF"/>
        </w:rPr>
      </w:pPr>
      <w:r w:rsidRPr="0093262F">
        <w:rPr>
          <w:rStyle w:val="FootnoteReference"/>
          <w:sz w:val="20"/>
          <w:szCs w:val="20"/>
        </w:rPr>
        <w:footnoteRef/>
      </w:r>
      <w:r w:rsidRPr="0093262F">
        <w:rPr>
          <w:sz w:val="20"/>
          <w:szCs w:val="20"/>
        </w:rPr>
        <w:t xml:space="preserve"> CC art 9 hükmü “Vatandaşların Kişisel Haklarının Güçlendirilmesine Yönelik 17.07.1970 tarih ve n.70-643 sayılı Kanun </w:t>
      </w:r>
      <w:r w:rsidRPr="008014AB">
        <w:rPr>
          <w:sz w:val="20"/>
          <w:szCs w:val="20"/>
        </w:rPr>
        <w:t>(</w:t>
      </w:r>
      <w:proofErr w:type="spellStart"/>
      <w:r w:rsidRPr="008014AB">
        <w:rPr>
          <w:sz w:val="20"/>
          <w:szCs w:val="20"/>
        </w:rPr>
        <w:t>Loi</w:t>
      </w:r>
      <w:proofErr w:type="spellEnd"/>
      <w:r w:rsidRPr="008014AB">
        <w:rPr>
          <w:sz w:val="20"/>
          <w:szCs w:val="20"/>
        </w:rPr>
        <w:t xml:space="preserve"> n° 70-643 </w:t>
      </w:r>
      <w:proofErr w:type="spellStart"/>
      <w:r w:rsidRPr="008014AB">
        <w:rPr>
          <w:sz w:val="20"/>
          <w:szCs w:val="20"/>
        </w:rPr>
        <w:t>du</w:t>
      </w:r>
      <w:proofErr w:type="spellEnd"/>
      <w:r w:rsidRPr="008014AB">
        <w:rPr>
          <w:sz w:val="20"/>
          <w:szCs w:val="20"/>
        </w:rPr>
        <w:t xml:space="preserve"> 17 </w:t>
      </w:r>
      <w:proofErr w:type="spellStart"/>
      <w:r w:rsidRPr="008014AB">
        <w:rPr>
          <w:sz w:val="20"/>
          <w:szCs w:val="20"/>
        </w:rPr>
        <w:t>juillet</w:t>
      </w:r>
      <w:proofErr w:type="spellEnd"/>
      <w:r w:rsidRPr="008014AB">
        <w:rPr>
          <w:sz w:val="20"/>
          <w:szCs w:val="20"/>
        </w:rPr>
        <w:t xml:space="preserve"> 1970 </w:t>
      </w:r>
      <w:proofErr w:type="spellStart"/>
      <w:r w:rsidRPr="008014AB">
        <w:rPr>
          <w:sz w:val="20"/>
          <w:szCs w:val="20"/>
        </w:rPr>
        <w:t>tendant</w:t>
      </w:r>
      <w:proofErr w:type="spellEnd"/>
      <w:r w:rsidRPr="008014AB">
        <w:rPr>
          <w:sz w:val="20"/>
          <w:szCs w:val="20"/>
        </w:rPr>
        <w:t xml:space="preserve"> à </w:t>
      </w:r>
      <w:proofErr w:type="spellStart"/>
      <w:r w:rsidRPr="008014AB">
        <w:rPr>
          <w:sz w:val="20"/>
          <w:szCs w:val="20"/>
        </w:rPr>
        <w:t>renforcer</w:t>
      </w:r>
      <w:proofErr w:type="spellEnd"/>
      <w:r w:rsidRPr="008014AB">
        <w:rPr>
          <w:sz w:val="20"/>
          <w:szCs w:val="20"/>
        </w:rPr>
        <w:t xml:space="preserve"> la </w:t>
      </w:r>
      <w:proofErr w:type="spellStart"/>
      <w:r w:rsidRPr="008014AB">
        <w:rPr>
          <w:sz w:val="20"/>
          <w:szCs w:val="20"/>
        </w:rPr>
        <w:t>garantie</w:t>
      </w:r>
      <w:proofErr w:type="spellEnd"/>
      <w:r w:rsidRPr="008014AB">
        <w:rPr>
          <w:sz w:val="20"/>
          <w:szCs w:val="20"/>
        </w:rPr>
        <w:t xml:space="preserve"> </w:t>
      </w:r>
      <w:proofErr w:type="spellStart"/>
      <w:r w:rsidRPr="008014AB">
        <w:rPr>
          <w:sz w:val="20"/>
          <w:szCs w:val="20"/>
        </w:rPr>
        <w:t>des</w:t>
      </w:r>
      <w:proofErr w:type="spellEnd"/>
      <w:r w:rsidRPr="008014AB">
        <w:rPr>
          <w:sz w:val="20"/>
          <w:szCs w:val="20"/>
        </w:rPr>
        <w:t xml:space="preserve"> </w:t>
      </w:r>
      <w:proofErr w:type="spellStart"/>
      <w:r w:rsidRPr="008014AB">
        <w:rPr>
          <w:sz w:val="20"/>
          <w:szCs w:val="20"/>
        </w:rPr>
        <w:t>droits</w:t>
      </w:r>
      <w:proofErr w:type="spellEnd"/>
      <w:r w:rsidRPr="008014AB">
        <w:rPr>
          <w:sz w:val="20"/>
          <w:szCs w:val="20"/>
        </w:rPr>
        <w:t xml:space="preserve"> </w:t>
      </w:r>
      <w:proofErr w:type="spellStart"/>
      <w:r w:rsidRPr="008014AB">
        <w:rPr>
          <w:sz w:val="20"/>
          <w:szCs w:val="20"/>
        </w:rPr>
        <w:t>individuels</w:t>
      </w:r>
      <w:proofErr w:type="spellEnd"/>
      <w:r w:rsidRPr="008014AB">
        <w:rPr>
          <w:sz w:val="20"/>
          <w:szCs w:val="20"/>
        </w:rPr>
        <w:t xml:space="preserve"> </w:t>
      </w:r>
      <w:proofErr w:type="spellStart"/>
      <w:r w:rsidRPr="008014AB">
        <w:rPr>
          <w:sz w:val="20"/>
          <w:szCs w:val="20"/>
        </w:rPr>
        <w:t>des</w:t>
      </w:r>
      <w:proofErr w:type="spellEnd"/>
      <w:r w:rsidRPr="008014AB">
        <w:rPr>
          <w:sz w:val="20"/>
          <w:szCs w:val="20"/>
        </w:rPr>
        <w:t xml:space="preserve"> </w:t>
      </w:r>
      <w:proofErr w:type="spellStart"/>
      <w:r w:rsidRPr="008014AB">
        <w:rPr>
          <w:sz w:val="20"/>
          <w:szCs w:val="20"/>
        </w:rPr>
        <w:t>citoyens</w:t>
      </w:r>
      <w:proofErr w:type="spellEnd"/>
      <w:r w:rsidRPr="0093262F">
        <w:rPr>
          <w:rStyle w:val="Strong"/>
          <w:b w:val="0"/>
          <w:color w:val="000000"/>
          <w:sz w:val="20"/>
          <w:szCs w:val="20"/>
          <w:shd w:val="clear" w:color="auto" w:fill="FFFFFF"/>
        </w:rPr>
        <w:t xml:space="preserve">)” ile getirilmiştir. </w:t>
      </w:r>
      <w:r w:rsidRPr="0093262F">
        <w:rPr>
          <w:sz w:val="20"/>
          <w:szCs w:val="20"/>
        </w:rPr>
        <w:t>Kanun için</w:t>
      </w:r>
      <w:r w:rsidRPr="0093262F">
        <w:rPr>
          <w:rStyle w:val="Strong"/>
          <w:b w:val="0"/>
          <w:color w:val="000000"/>
          <w:sz w:val="20"/>
          <w:szCs w:val="20"/>
          <w:shd w:val="clear" w:color="auto" w:fill="FFFFFF"/>
        </w:rPr>
        <w:t xml:space="preserve"> </w:t>
      </w:r>
      <w:r w:rsidRPr="008014AB">
        <w:rPr>
          <w:sz w:val="20"/>
          <w:szCs w:val="20"/>
        </w:rPr>
        <w:t>bkz.,</w:t>
      </w:r>
      <w:r w:rsidRPr="0093262F">
        <w:rPr>
          <w:rStyle w:val="Strong"/>
          <w:color w:val="000000"/>
          <w:sz w:val="20"/>
          <w:szCs w:val="20"/>
          <w:shd w:val="clear" w:color="auto" w:fill="FFFFFF"/>
        </w:rPr>
        <w:t xml:space="preserve"> </w:t>
      </w:r>
      <w:hyperlink r:id="rId3" w:history="1">
        <w:r w:rsidRPr="008014AB">
          <w:rPr>
            <w:sz w:val="20"/>
            <w:szCs w:val="20"/>
          </w:rPr>
          <w:t>https://www.legifrance.gouv.fr/affichTexte.do?cidTexte=JORFTEXT000000693897</w:t>
        </w:r>
      </w:hyperlink>
      <w:r w:rsidRPr="008014AB">
        <w:rPr>
          <w:sz w:val="20"/>
          <w:szCs w:val="20"/>
        </w:rPr>
        <w:t xml:space="preserve"> </w:t>
      </w:r>
      <w:r w:rsidRPr="0093262F">
        <w:rPr>
          <w:sz w:val="20"/>
          <w:szCs w:val="20"/>
        </w:rPr>
        <w:t xml:space="preserve">(Erişim tarihi: 02.07.2019).  </w:t>
      </w:r>
    </w:p>
  </w:footnote>
  <w:footnote w:id="37">
    <w:p w14:paraId="48AE61E4" w14:textId="77777777" w:rsidR="007318C0" w:rsidRPr="0093262F" w:rsidRDefault="007318C0" w:rsidP="0093262F">
      <w:pPr>
        <w:spacing w:after="120" w:line="240" w:lineRule="auto"/>
        <w:rPr>
          <w:sz w:val="20"/>
          <w:szCs w:val="20"/>
        </w:rPr>
      </w:pPr>
      <w:r w:rsidRPr="0093262F">
        <w:rPr>
          <w:rStyle w:val="FootnoteReference"/>
          <w:sz w:val="20"/>
          <w:szCs w:val="20"/>
        </w:rPr>
        <w:footnoteRef/>
      </w:r>
      <w:r w:rsidRPr="0093262F">
        <w:rPr>
          <w:sz w:val="20"/>
          <w:szCs w:val="20"/>
        </w:rPr>
        <w:t xml:space="preserve"> </w:t>
      </w:r>
      <w:proofErr w:type="spellStart"/>
      <w:r w:rsidRPr="0093262F">
        <w:rPr>
          <w:sz w:val="20"/>
          <w:szCs w:val="20"/>
        </w:rPr>
        <w:t>Lasserre-Capdeville</w:t>
      </w:r>
      <w:proofErr w:type="spellEnd"/>
      <w:r w:rsidRPr="0093262F">
        <w:rPr>
          <w:sz w:val="20"/>
          <w:szCs w:val="20"/>
        </w:rPr>
        <w:t>, s. 274.</w:t>
      </w:r>
      <w:r w:rsidRPr="0093262F">
        <w:rPr>
          <w:b/>
          <w:sz w:val="20"/>
          <w:szCs w:val="20"/>
        </w:rPr>
        <w:t xml:space="preserve"> </w:t>
      </w:r>
    </w:p>
  </w:footnote>
  <w:footnote w:id="38">
    <w:p w14:paraId="64EE33E1" w14:textId="77777777" w:rsidR="008014AB" w:rsidRDefault="007318C0" w:rsidP="008014AB">
      <w:pPr>
        <w:spacing w:after="120" w:line="240" w:lineRule="auto"/>
        <w:jc w:val="both"/>
        <w:rPr>
          <w:sz w:val="20"/>
          <w:szCs w:val="20"/>
        </w:rPr>
      </w:pPr>
      <w:r w:rsidRPr="0093262F">
        <w:rPr>
          <w:rStyle w:val="FootnoteReference"/>
          <w:sz w:val="20"/>
          <w:szCs w:val="20"/>
        </w:rPr>
        <w:footnoteRef/>
      </w:r>
      <w:r w:rsidRPr="0093262F">
        <w:rPr>
          <w:sz w:val="20"/>
          <w:szCs w:val="20"/>
        </w:rPr>
        <w:t>“</w:t>
      </w:r>
      <w:proofErr w:type="spellStart"/>
      <w:r w:rsidRPr="0093262F">
        <w:rPr>
          <w:sz w:val="20"/>
          <w:szCs w:val="20"/>
        </w:rPr>
        <w:t>Loi</w:t>
      </w:r>
      <w:proofErr w:type="spellEnd"/>
      <w:r w:rsidRPr="0093262F">
        <w:rPr>
          <w:sz w:val="20"/>
          <w:szCs w:val="20"/>
        </w:rPr>
        <w:t xml:space="preserve"> n° 79-18 </w:t>
      </w:r>
      <w:proofErr w:type="spellStart"/>
      <w:r w:rsidRPr="0093262F">
        <w:rPr>
          <w:sz w:val="20"/>
          <w:szCs w:val="20"/>
        </w:rPr>
        <w:t>du</w:t>
      </w:r>
      <w:proofErr w:type="spellEnd"/>
      <w:r w:rsidRPr="0093262F">
        <w:rPr>
          <w:sz w:val="20"/>
          <w:szCs w:val="20"/>
        </w:rPr>
        <w:t xml:space="preserve"> 3 </w:t>
      </w:r>
      <w:proofErr w:type="spellStart"/>
      <w:r w:rsidRPr="0093262F">
        <w:rPr>
          <w:sz w:val="20"/>
          <w:szCs w:val="20"/>
        </w:rPr>
        <w:t>janvier</w:t>
      </w:r>
      <w:proofErr w:type="spellEnd"/>
      <w:r w:rsidRPr="0093262F">
        <w:rPr>
          <w:sz w:val="20"/>
          <w:szCs w:val="20"/>
        </w:rPr>
        <w:t xml:space="preserve"> 1979 sur </w:t>
      </w:r>
      <w:proofErr w:type="spellStart"/>
      <w:r w:rsidRPr="0093262F">
        <w:rPr>
          <w:sz w:val="20"/>
          <w:szCs w:val="20"/>
        </w:rPr>
        <w:t>les</w:t>
      </w:r>
      <w:proofErr w:type="spellEnd"/>
      <w:r w:rsidRPr="0093262F">
        <w:rPr>
          <w:sz w:val="20"/>
          <w:szCs w:val="20"/>
        </w:rPr>
        <w:t xml:space="preserve"> </w:t>
      </w:r>
      <w:proofErr w:type="spellStart"/>
      <w:r w:rsidRPr="0093262F">
        <w:rPr>
          <w:sz w:val="20"/>
          <w:szCs w:val="20"/>
        </w:rPr>
        <w:t>archives</w:t>
      </w:r>
      <w:proofErr w:type="spellEnd"/>
      <w:r w:rsidR="008014AB">
        <w:rPr>
          <w:sz w:val="20"/>
          <w:szCs w:val="20"/>
        </w:rPr>
        <w:t>” için bkz.</w:t>
      </w:r>
    </w:p>
    <w:p w14:paraId="21492697" w14:textId="77777777" w:rsidR="007318C0" w:rsidRPr="0093262F" w:rsidRDefault="00145914" w:rsidP="008014AB">
      <w:pPr>
        <w:spacing w:after="120" w:line="240" w:lineRule="auto"/>
        <w:jc w:val="both"/>
        <w:rPr>
          <w:sz w:val="20"/>
          <w:szCs w:val="20"/>
        </w:rPr>
      </w:pPr>
      <w:hyperlink r:id="rId4" w:history="1">
        <w:r w:rsidR="007318C0" w:rsidRPr="00786747">
          <w:rPr>
            <w:sz w:val="20"/>
            <w:szCs w:val="20"/>
          </w:rPr>
          <w:t>https://www.legifrance.gouv.fr/affichTexte.do;jsessionid=3DA3918B1389C13FBFAC47442565E30A.tpdjo16v_3?cidTexte=JORFTEXT000000322519&amp;dateTexte=19940228</w:t>
        </w:r>
      </w:hyperlink>
      <w:r w:rsidR="00786747">
        <w:rPr>
          <w:sz w:val="20"/>
          <w:szCs w:val="20"/>
        </w:rPr>
        <w:t xml:space="preserve"> (e</w:t>
      </w:r>
      <w:r w:rsidR="007318C0" w:rsidRPr="0093262F">
        <w:rPr>
          <w:sz w:val="20"/>
          <w:szCs w:val="20"/>
        </w:rPr>
        <w:t>rişim tarihi: 07.07.2019).</w:t>
      </w:r>
    </w:p>
  </w:footnote>
  <w:footnote w:id="39">
    <w:p w14:paraId="0E5A3F42" w14:textId="77777777" w:rsidR="007318C0" w:rsidRPr="0093262F" w:rsidRDefault="007318C0" w:rsidP="008014AB">
      <w:pPr>
        <w:spacing w:after="120" w:line="240" w:lineRule="auto"/>
        <w:jc w:val="both"/>
        <w:rPr>
          <w:sz w:val="20"/>
          <w:szCs w:val="20"/>
        </w:rPr>
      </w:pPr>
      <w:r w:rsidRPr="0093262F">
        <w:rPr>
          <w:rStyle w:val="FootnoteReference"/>
          <w:sz w:val="20"/>
          <w:szCs w:val="20"/>
        </w:rPr>
        <w:footnoteRef/>
      </w:r>
      <w:r w:rsidRPr="0093262F">
        <w:rPr>
          <w:sz w:val="20"/>
          <w:szCs w:val="20"/>
        </w:rPr>
        <w:t xml:space="preserve"> </w:t>
      </w:r>
      <w:proofErr w:type="spellStart"/>
      <w:r w:rsidRPr="0093262F">
        <w:rPr>
          <w:sz w:val="20"/>
          <w:szCs w:val="20"/>
        </w:rPr>
        <w:t>Lasserre-Capdeville</w:t>
      </w:r>
      <w:proofErr w:type="spellEnd"/>
      <w:r w:rsidRPr="0093262F">
        <w:rPr>
          <w:sz w:val="20"/>
          <w:szCs w:val="20"/>
        </w:rPr>
        <w:t xml:space="preserve">, s.101; </w:t>
      </w:r>
      <w:proofErr w:type="spellStart"/>
      <w:r w:rsidRPr="0093262F">
        <w:rPr>
          <w:sz w:val="20"/>
          <w:szCs w:val="20"/>
        </w:rPr>
        <w:t>Teissier</w:t>
      </w:r>
      <w:proofErr w:type="spellEnd"/>
      <w:r w:rsidRPr="0093262F">
        <w:rPr>
          <w:sz w:val="20"/>
          <w:szCs w:val="20"/>
        </w:rPr>
        <w:t xml:space="preserve">, s. 43-44; Azınlıkta kalan bir görüşe göre; CC art.9, açıkça özel hayatın korunmasını hedeflemektedir. Müşterilerin malvarlığı değerleri bu korumanın kapsamı dışında kalmaktadır. Üstelik söz konusu değerler çoklukla ticari sırların korunmasına dair hükümler kapsamında yer almaktadır. </w:t>
      </w:r>
      <w:proofErr w:type="spellStart"/>
      <w:r w:rsidRPr="0093262F">
        <w:rPr>
          <w:sz w:val="20"/>
          <w:szCs w:val="20"/>
        </w:rPr>
        <w:t>Reda</w:t>
      </w:r>
      <w:proofErr w:type="spellEnd"/>
      <w:r w:rsidRPr="0093262F">
        <w:rPr>
          <w:sz w:val="20"/>
          <w:szCs w:val="20"/>
        </w:rPr>
        <w:t xml:space="preserve"> </w:t>
      </w:r>
      <w:proofErr w:type="spellStart"/>
      <w:r w:rsidRPr="0093262F">
        <w:rPr>
          <w:sz w:val="20"/>
          <w:szCs w:val="20"/>
        </w:rPr>
        <w:t>Abdel</w:t>
      </w:r>
      <w:proofErr w:type="spellEnd"/>
      <w:r w:rsidRPr="0093262F">
        <w:rPr>
          <w:sz w:val="20"/>
          <w:szCs w:val="20"/>
        </w:rPr>
        <w:t xml:space="preserve"> Hamid, </w:t>
      </w:r>
      <w:r w:rsidRPr="0093262F">
        <w:rPr>
          <w:i/>
          <w:sz w:val="20"/>
          <w:szCs w:val="20"/>
        </w:rPr>
        <w:t xml:space="preserve">Le </w:t>
      </w:r>
      <w:proofErr w:type="spellStart"/>
      <w:r w:rsidRPr="0093262F">
        <w:rPr>
          <w:i/>
          <w:sz w:val="20"/>
          <w:szCs w:val="20"/>
        </w:rPr>
        <w:t>Secret</w:t>
      </w:r>
      <w:proofErr w:type="spellEnd"/>
      <w:r w:rsidRPr="0093262F">
        <w:rPr>
          <w:i/>
          <w:sz w:val="20"/>
          <w:szCs w:val="20"/>
        </w:rPr>
        <w:t xml:space="preserve"> </w:t>
      </w:r>
      <w:proofErr w:type="spellStart"/>
      <w:r w:rsidRPr="0093262F">
        <w:rPr>
          <w:i/>
          <w:sz w:val="20"/>
          <w:szCs w:val="20"/>
        </w:rPr>
        <w:t>Bancaire</w:t>
      </w:r>
      <w:proofErr w:type="spellEnd"/>
      <w:r w:rsidRPr="0093262F">
        <w:rPr>
          <w:i/>
          <w:sz w:val="20"/>
          <w:szCs w:val="20"/>
        </w:rPr>
        <w:t xml:space="preserve">: </w:t>
      </w:r>
      <w:proofErr w:type="spellStart"/>
      <w:r w:rsidRPr="0093262F">
        <w:rPr>
          <w:i/>
          <w:sz w:val="20"/>
          <w:szCs w:val="20"/>
        </w:rPr>
        <w:t>Étude</w:t>
      </w:r>
      <w:proofErr w:type="spellEnd"/>
      <w:r w:rsidRPr="0093262F">
        <w:rPr>
          <w:i/>
          <w:sz w:val="20"/>
          <w:szCs w:val="20"/>
        </w:rPr>
        <w:t xml:space="preserve"> De </w:t>
      </w:r>
      <w:proofErr w:type="spellStart"/>
      <w:r w:rsidRPr="0093262F">
        <w:rPr>
          <w:i/>
          <w:sz w:val="20"/>
          <w:szCs w:val="20"/>
        </w:rPr>
        <w:t>Droit</w:t>
      </w:r>
      <w:proofErr w:type="spellEnd"/>
      <w:r w:rsidRPr="0093262F">
        <w:rPr>
          <w:i/>
          <w:sz w:val="20"/>
          <w:szCs w:val="20"/>
        </w:rPr>
        <w:t xml:space="preserve"> </w:t>
      </w:r>
      <w:proofErr w:type="spellStart"/>
      <w:r w:rsidRPr="0093262F">
        <w:rPr>
          <w:i/>
          <w:sz w:val="20"/>
          <w:szCs w:val="20"/>
        </w:rPr>
        <w:t>Comparé</w:t>
      </w:r>
      <w:proofErr w:type="spellEnd"/>
      <w:r w:rsidRPr="0093262F">
        <w:rPr>
          <w:i/>
          <w:sz w:val="20"/>
          <w:szCs w:val="20"/>
        </w:rPr>
        <w:t xml:space="preserve">. France, </w:t>
      </w:r>
      <w:proofErr w:type="spellStart"/>
      <w:r w:rsidRPr="0093262F">
        <w:rPr>
          <w:i/>
          <w:sz w:val="20"/>
          <w:szCs w:val="20"/>
        </w:rPr>
        <w:t>Egypte</w:t>
      </w:r>
      <w:proofErr w:type="spellEnd"/>
      <w:r w:rsidRPr="0093262F">
        <w:rPr>
          <w:sz w:val="20"/>
          <w:szCs w:val="20"/>
        </w:rPr>
        <w:t xml:space="preserve">, </w:t>
      </w:r>
      <w:proofErr w:type="spellStart"/>
      <w:r w:rsidRPr="0093262F">
        <w:rPr>
          <w:sz w:val="20"/>
          <w:szCs w:val="20"/>
        </w:rPr>
        <w:t>Université</w:t>
      </w:r>
      <w:proofErr w:type="spellEnd"/>
      <w:r w:rsidRPr="0093262F">
        <w:rPr>
          <w:sz w:val="20"/>
          <w:szCs w:val="20"/>
        </w:rPr>
        <w:t xml:space="preserve"> de </w:t>
      </w:r>
      <w:proofErr w:type="spellStart"/>
      <w:r w:rsidRPr="0093262F">
        <w:rPr>
          <w:sz w:val="20"/>
          <w:szCs w:val="20"/>
        </w:rPr>
        <w:t>Rennes</w:t>
      </w:r>
      <w:proofErr w:type="spellEnd"/>
      <w:r w:rsidRPr="0093262F">
        <w:rPr>
          <w:sz w:val="20"/>
          <w:szCs w:val="20"/>
        </w:rPr>
        <w:t xml:space="preserve"> 1, </w:t>
      </w:r>
      <w:proofErr w:type="spellStart"/>
      <w:r w:rsidRPr="0093262F">
        <w:rPr>
          <w:sz w:val="20"/>
          <w:szCs w:val="20"/>
        </w:rPr>
        <w:t>Thèse</w:t>
      </w:r>
      <w:proofErr w:type="spellEnd"/>
      <w:r w:rsidRPr="0093262F">
        <w:rPr>
          <w:sz w:val="20"/>
          <w:szCs w:val="20"/>
        </w:rPr>
        <w:t xml:space="preserve"> de </w:t>
      </w:r>
      <w:proofErr w:type="spellStart"/>
      <w:r w:rsidRPr="0093262F">
        <w:rPr>
          <w:sz w:val="20"/>
          <w:szCs w:val="20"/>
        </w:rPr>
        <w:t>doctorat</w:t>
      </w:r>
      <w:proofErr w:type="spellEnd"/>
      <w:r w:rsidRPr="0093262F">
        <w:rPr>
          <w:sz w:val="20"/>
          <w:szCs w:val="20"/>
        </w:rPr>
        <w:t>, 1989, s. 37-38.</w:t>
      </w:r>
    </w:p>
  </w:footnote>
  <w:footnote w:id="40">
    <w:p w14:paraId="373976A2" w14:textId="77777777" w:rsidR="007318C0" w:rsidRPr="0093262F" w:rsidRDefault="007318C0" w:rsidP="0093262F">
      <w:pPr>
        <w:spacing w:after="120" w:line="240" w:lineRule="auto"/>
        <w:rPr>
          <w:sz w:val="20"/>
          <w:szCs w:val="20"/>
        </w:rPr>
      </w:pPr>
      <w:r w:rsidRPr="0093262F">
        <w:rPr>
          <w:rStyle w:val="FootnoteReference"/>
          <w:sz w:val="20"/>
          <w:szCs w:val="20"/>
        </w:rPr>
        <w:footnoteRef/>
      </w:r>
      <w:r w:rsidRPr="0093262F">
        <w:rPr>
          <w:sz w:val="20"/>
          <w:szCs w:val="20"/>
        </w:rPr>
        <w:t xml:space="preserve"> </w:t>
      </w:r>
      <w:r w:rsidRPr="0093262F">
        <w:rPr>
          <w:sz w:val="20"/>
          <w:szCs w:val="20"/>
        </w:rPr>
        <w:t xml:space="preserve">Kararlar için bkz., </w:t>
      </w:r>
      <w:proofErr w:type="spellStart"/>
      <w:r w:rsidRPr="0093262F">
        <w:rPr>
          <w:sz w:val="20"/>
          <w:szCs w:val="20"/>
        </w:rPr>
        <w:t>Cass</w:t>
      </w:r>
      <w:proofErr w:type="spellEnd"/>
      <w:r w:rsidRPr="0093262F">
        <w:rPr>
          <w:sz w:val="20"/>
          <w:szCs w:val="20"/>
        </w:rPr>
        <w:t xml:space="preserve">. civ. 1, 29.05.1984, 82-12.232 ve </w:t>
      </w:r>
      <w:proofErr w:type="spellStart"/>
      <w:r w:rsidRPr="0093262F">
        <w:rPr>
          <w:sz w:val="20"/>
          <w:szCs w:val="20"/>
        </w:rPr>
        <w:t>Cass</w:t>
      </w:r>
      <w:proofErr w:type="spellEnd"/>
      <w:r w:rsidRPr="0093262F">
        <w:rPr>
          <w:sz w:val="20"/>
          <w:szCs w:val="20"/>
        </w:rPr>
        <w:t xml:space="preserve">. civ. 1, 31.05.1988, 87-11772.  </w:t>
      </w:r>
    </w:p>
  </w:footnote>
  <w:footnote w:id="41">
    <w:p w14:paraId="3288EC69" w14:textId="77777777" w:rsidR="007318C0" w:rsidRPr="0093262F" w:rsidRDefault="007318C0" w:rsidP="00786747">
      <w:pPr>
        <w:spacing w:after="120" w:line="240" w:lineRule="auto"/>
        <w:jc w:val="both"/>
        <w:rPr>
          <w:sz w:val="20"/>
          <w:szCs w:val="20"/>
        </w:rPr>
      </w:pPr>
      <w:r w:rsidRPr="0093262F">
        <w:rPr>
          <w:rStyle w:val="FootnoteReference"/>
          <w:sz w:val="20"/>
          <w:szCs w:val="20"/>
        </w:rPr>
        <w:footnoteRef/>
      </w:r>
      <w:r w:rsidRPr="0093262F">
        <w:rPr>
          <w:sz w:val="20"/>
          <w:szCs w:val="20"/>
        </w:rPr>
        <w:t xml:space="preserve"> </w:t>
      </w:r>
      <w:r w:rsidRPr="0093262F">
        <w:rPr>
          <w:sz w:val="20"/>
          <w:szCs w:val="20"/>
        </w:rPr>
        <w:t xml:space="preserve">Kararlar için bkz., </w:t>
      </w:r>
      <w:proofErr w:type="spellStart"/>
      <w:r w:rsidRPr="0093262F">
        <w:rPr>
          <w:sz w:val="20"/>
          <w:szCs w:val="20"/>
        </w:rPr>
        <w:t>Cass</w:t>
      </w:r>
      <w:proofErr w:type="spellEnd"/>
      <w:r w:rsidRPr="0093262F">
        <w:rPr>
          <w:sz w:val="20"/>
          <w:szCs w:val="20"/>
        </w:rPr>
        <w:t xml:space="preserve">. civ. 1, 19.12.1995, 93-18.939 ve </w:t>
      </w:r>
      <w:proofErr w:type="spellStart"/>
      <w:r w:rsidRPr="0093262F">
        <w:rPr>
          <w:sz w:val="20"/>
          <w:szCs w:val="20"/>
        </w:rPr>
        <w:t>Cass</w:t>
      </w:r>
      <w:proofErr w:type="spellEnd"/>
      <w:r w:rsidRPr="0093262F">
        <w:rPr>
          <w:sz w:val="20"/>
          <w:szCs w:val="20"/>
        </w:rPr>
        <w:t>. civ. 1, 28.05.1991, 89-19.818. </w:t>
      </w:r>
    </w:p>
  </w:footnote>
  <w:footnote w:id="42">
    <w:p w14:paraId="49E23D87" w14:textId="77777777" w:rsidR="007318C0" w:rsidRPr="0093262F" w:rsidRDefault="007318C0" w:rsidP="00786747">
      <w:pPr>
        <w:spacing w:after="120" w:line="240" w:lineRule="auto"/>
        <w:jc w:val="both"/>
        <w:rPr>
          <w:sz w:val="20"/>
          <w:szCs w:val="20"/>
        </w:rPr>
      </w:pPr>
      <w:r w:rsidRPr="0093262F">
        <w:rPr>
          <w:rStyle w:val="FootnoteReference"/>
          <w:sz w:val="20"/>
          <w:szCs w:val="20"/>
        </w:rPr>
        <w:footnoteRef/>
      </w:r>
      <w:r w:rsidRPr="0093262F">
        <w:rPr>
          <w:sz w:val="20"/>
          <w:szCs w:val="20"/>
        </w:rPr>
        <w:t xml:space="preserve"> </w:t>
      </w:r>
      <w:r w:rsidRPr="0093262F">
        <w:rPr>
          <w:sz w:val="20"/>
          <w:szCs w:val="20"/>
        </w:rPr>
        <w:t xml:space="preserve">Karar için bkz., </w:t>
      </w:r>
      <w:proofErr w:type="spellStart"/>
      <w:r w:rsidRPr="0093262F">
        <w:rPr>
          <w:sz w:val="20"/>
          <w:szCs w:val="20"/>
        </w:rPr>
        <w:t>Cass</w:t>
      </w:r>
      <w:proofErr w:type="spellEnd"/>
      <w:r w:rsidRPr="0093262F">
        <w:rPr>
          <w:sz w:val="20"/>
          <w:szCs w:val="20"/>
        </w:rPr>
        <w:t xml:space="preserve">. com. 08.07.2003, 00-11.993. </w:t>
      </w:r>
    </w:p>
  </w:footnote>
  <w:footnote w:id="43">
    <w:p w14:paraId="075F4587" w14:textId="77777777" w:rsidR="007318C0" w:rsidRPr="0093262F" w:rsidRDefault="007318C0" w:rsidP="00786747">
      <w:pPr>
        <w:spacing w:after="120" w:line="240" w:lineRule="auto"/>
        <w:jc w:val="both"/>
        <w:rPr>
          <w:sz w:val="20"/>
          <w:szCs w:val="20"/>
        </w:rPr>
      </w:pPr>
      <w:r w:rsidRPr="0093262F">
        <w:rPr>
          <w:rStyle w:val="FootnoteReference"/>
          <w:sz w:val="20"/>
          <w:szCs w:val="20"/>
        </w:rPr>
        <w:footnoteRef/>
      </w:r>
      <w:r w:rsidRPr="0093262F">
        <w:rPr>
          <w:sz w:val="20"/>
          <w:szCs w:val="20"/>
        </w:rPr>
        <w:t xml:space="preserve"> CC art. 10 hükmü şöyledir: “</w:t>
      </w:r>
      <w:r w:rsidRPr="0093262F">
        <w:rPr>
          <w:i/>
          <w:sz w:val="20"/>
          <w:szCs w:val="20"/>
        </w:rPr>
        <w:t>Herkes gerçeğin ortaya çıkarılması için yargılama makamlarına yardımcı olmakla yükümlüdür. Hukuki neden bulunmaksızın, mecbur olduğu halde yükümlülükten kaçınanlar bunu yerine getirmeye mecbur edilebilir”</w:t>
      </w:r>
      <w:r w:rsidRPr="0093262F">
        <w:rPr>
          <w:sz w:val="20"/>
          <w:szCs w:val="20"/>
        </w:rPr>
        <w:t xml:space="preserve">. </w:t>
      </w:r>
    </w:p>
  </w:footnote>
  <w:footnote w:id="44">
    <w:p w14:paraId="6CFB0B94" w14:textId="77777777" w:rsidR="007318C0" w:rsidRPr="0093262F" w:rsidRDefault="007318C0" w:rsidP="00786747">
      <w:pPr>
        <w:spacing w:after="120" w:line="240" w:lineRule="auto"/>
        <w:jc w:val="both"/>
        <w:rPr>
          <w:sz w:val="20"/>
          <w:szCs w:val="20"/>
        </w:rPr>
      </w:pPr>
      <w:r w:rsidRPr="0093262F">
        <w:rPr>
          <w:rStyle w:val="FootnoteReference"/>
          <w:sz w:val="20"/>
          <w:szCs w:val="20"/>
        </w:rPr>
        <w:footnoteRef/>
      </w:r>
      <w:r w:rsidRPr="0093262F">
        <w:rPr>
          <w:sz w:val="20"/>
          <w:szCs w:val="20"/>
        </w:rPr>
        <w:t xml:space="preserve"> Fransız Medeni Usul Kanunu’nun (</w:t>
      </w:r>
      <w:proofErr w:type="spellStart"/>
      <w:r w:rsidRPr="0093262F">
        <w:rPr>
          <w:sz w:val="20"/>
          <w:szCs w:val="20"/>
        </w:rPr>
        <w:t>Code</w:t>
      </w:r>
      <w:proofErr w:type="spellEnd"/>
      <w:r w:rsidRPr="0093262F">
        <w:rPr>
          <w:sz w:val="20"/>
          <w:szCs w:val="20"/>
        </w:rPr>
        <w:t xml:space="preserve"> de </w:t>
      </w:r>
      <w:proofErr w:type="spellStart"/>
      <w:r w:rsidRPr="0093262F">
        <w:rPr>
          <w:sz w:val="20"/>
          <w:szCs w:val="20"/>
        </w:rPr>
        <w:t>procédure</w:t>
      </w:r>
      <w:proofErr w:type="spellEnd"/>
      <w:r w:rsidRPr="0093262F">
        <w:rPr>
          <w:sz w:val="20"/>
          <w:szCs w:val="20"/>
        </w:rPr>
        <w:t xml:space="preserve"> </w:t>
      </w:r>
      <w:proofErr w:type="spellStart"/>
      <w:r w:rsidRPr="0093262F">
        <w:rPr>
          <w:sz w:val="20"/>
          <w:szCs w:val="20"/>
        </w:rPr>
        <w:t>civile</w:t>
      </w:r>
      <w:proofErr w:type="spellEnd"/>
      <w:r w:rsidRPr="0093262F">
        <w:rPr>
          <w:sz w:val="20"/>
          <w:szCs w:val="20"/>
        </w:rPr>
        <w:t xml:space="preserve">, CPC) 11. maddesi şöyledir: </w:t>
      </w:r>
      <w:r w:rsidRPr="0093262F">
        <w:rPr>
          <w:i/>
          <w:sz w:val="20"/>
          <w:szCs w:val="20"/>
        </w:rPr>
        <w:t>“taraflar koruma tedbirlerinin yerine getirilmesine yardımcı olmalıdır”</w:t>
      </w:r>
      <w:r w:rsidRPr="0093262F">
        <w:rPr>
          <w:sz w:val="20"/>
          <w:szCs w:val="20"/>
        </w:rPr>
        <w:t xml:space="preserve">. </w:t>
      </w:r>
    </w:p>
  </w:footnote>
  <w:footnote w:id="45">
    <w:p w14:paraId="75F82E2A" w14:textId="77777777" w:rsidR="007318C0" w:rsidRPr="0093262F" w:rsidRDefault="007318C0" w:rsidP="00786747">
      <w:pPr>
        <w:spacing w:after="120" w:line="240" w:lineRule="auto"/>
        <w:jc w:val="both"/>
        <w:rPr>
          <w:sz w:val="20"/>
          <w:szCs w:val="20"/>
        </w:rPr>
      </w:pPr>
      <w:r w:rsidRPr="0093262F">
        <w:rPr>
          <w:rStyle w:val="FootnoteReference"/>
          <w:sz w:val="20"/>
          <w:szCs w:val="20"/>
        </w:rPr>
        <w:footnoteRef/>
      </w:r>
      <w:r w:rsidRPr="0093262F">
        <w:rPr>
          <w:sz w:val="20"/>
          <w:szCs w:val="20"/>
        </w:rPr>
        <w:t xml:space="preserve"> CMF art. L. 511-33 müşteri sırrının ceza soruşturma ve yargılamasını yürüten makama karşı ileri sürülemeyeceğini düzenlemektedir. Ancak sırrın hukuk mahkemesinde ileri sürülebilmesi hususu tartışmalıdır.</w:t>
      </w:r>
      <w:r w:rsidRPr="0093262F">
        <w:rPr>
          <w:color w:val="C00000"/>
          <w:sz w:val="20"/>
          <w:szCs w:val="20"/>
        </w:rPr>
        <w:t xml:space="preserve"> </w:t>
      </w:r>
      <w:r w:rsidRPr="0093262F">
        <w:rPr>
          <w:sz w:val="20"/>
          <w:szCs w:val="20"/>
        </w:rPr>
        <w:t xml:space="preserve">Tartışmalar için bkz. </w:t>
      </w:r>
      <w:proofErr w:type="spellStart"/>
      <w:r w:rsidRPr="0093262F">
        <w:rPr>
          <w:sz w:val="20"/>
          <w:szCs w:val="20"/>
        </w:rPr>
        <w:t>Alavi</w:t>
      </w:r>
      <w:proofErr w:type="spellEnd"/>
      <w:r w:rsidRPr="0093262F">
        <w:rPr>
          <w:sz w:val="20"/>
          <w:szCs w:val="20"/>
        </w:rPr>
        <w:t xml:space="preserve">, s. 169 vd. </w:t>
      </w:r>
    </w:p>
  </w:footnote>
  <w:footnote w:id="46">
    <w:p w14:paraId="4D0FF5C5" w14:textId="77777777" w:rsidR="007318C0" w:rsidRPr="0093262F" w:rsidRDefault="007318C0" w:rsidP="00786747">
      <w:pPr>
        <w:spacing w:after="120" w:line="240" w:lineRule="auto"/>
        <w:jc w:val="both"/>
        <w:rPr>
          <w:sz w:val="20"/>
          <w:szCs w:val="20"/>
        </w:rPr>
      </w:pPr>
      <w:r w:rsidRPr="0093262F">
        <w:rPr>
          <w:rStyle w:val="FootnoteReference"/>
          <w:sz w:val="20"/>
          <w:szCs w:val="20"/>
        </w:rPr>
        <w:footnoteRef/>
      </w:r>
      <w:proofErr w:type="spellStart"/>
      <w:r w:rsidRPr="0093262F">
        <w:rPr>
          <w:sz w:val="20"/>
          <w:szCs w:val="20"/>
        </w:rPr>
        <w:t>Alavi</w:t>
      </w:r>
      <w:proofErr w:type="spellEnd"/>
      <w:r w:rsidRPr="0093262F">
        <w:rPr>
          <w:sz w:val="20"/>
          <w:szCs w:val="20"/>
        </w:rPr>
        <w:t xml:space="preserve">, s. 37. </w:t>
      </w:r>
    </w:p>
  </w:footnote>
  <w:footnote w:id="47">
    <w:p w14:paraId="785471C9" w14:textId="77777777" w:rsidR="007318C0" w:rsidRPr="0093262F" w:rsidRDefault="007318C0" w:rsidP="00786747">
      <w:pPr>
        <w:spacing w:after="120" w:line="240" w:lineRule="auto"/>
        <w:jc w:val="both"/>
        <w:rPr>
          <w:sz w:val="20"/>
          <w:szCs w:val="20"/>
        </w:rPr>
      </w:pPr>
      <w:r w:rsidRPr="0093262F">
        <w:rPr>
          <w:rStyle w:val="FootnoteReference"/>
          <w:sz w:val="20"/>
          <w:szCs w:val="20"/>
        </w:rPr>
        <w:footnoteRef/>
      </w:r>
      <w:r w:rsidR="002954A7" w:rsidRPr="0093262F">
        <w:rPr>
          <w:sz w:val="20"/>
          <w:szCs w:val="20"/>
        </w:rPr>
        <w:t xml:space="preserve"> Karar için bkz. </w:t>
      </w:r>
      <w:proofErr w:type="spellStart"/>
      <w:r w:rsidRPr="0093262F">
        <w:rPr>
          <w:sz w:val="20"/>
          <w:szCs w:val="20"/>
        </w:rPr>
        <w:t>Cass</w:t>
      </w:r>
      <w:proofErr w:type="spellEnd"/>
      <w:r w:rsidRPr="0093262F">
        <w:rPr>
          <w:sz w:val="20"/>
          <w:szCs w:val="20"/>
        </w:rPr>
        <w:t xml:space="preserve">. com. 15.05.2019, 18-10.491. </w:t>
      </w:r>
    </w:p>
  </w:footnote>
  <w:footnote w:id="48">
    <w:p w14:paraId="5A9E2973" w14:textId="77777777" w:rsidR="007318C0" w:rsidRPr="0093262F" w:rsidRDefault="007318C0" w:rsidP="00786747">
      <w:pPr>
        <w:spacing w:after="120" w:line="240" w:lineRule="auto"/>
        <w:jc w:val="both"/>
        <w:rPr>
          <w:sz w:val="20"/>
          <w:szCs w:val="20"/>
        </w:rPr>
      </w:pPr>
      <w:r w:rsidRPr="0093262F">
        <w:rPr>
          <w:rStyle w:val="FootnoteReference"/>
          <w:sz w:val="20"/>
          <w:szCs w:val="20"/>
        </w:rPr>
        <w:footnoteRef/>
      </w:r>
      <w:r w:rsidRPr="0093262F">
        <w:rPr>
          <w:sz w:val="20"/>
          <w:szCs w:val="20"/>
        </w:rPr>
        <w:t xml:space="preserve"> Lehtar söz konusu çeki teslim almadığını ileri sürerse, bankada bulunan çekin fotokopisinin çeki düzenleyene verilmesine itirazı olmayacaktır. Bu hâlde, çekin lehtar dışında üçüncü bir kişi tarafından bulunup veya çalınıp tahsil edildiği varsayılabilir. Ayrıca, hastalık seyahat vb. sebeplerle lehtarın izninin alınmasının mümkün olmaması durumunda banka çeki düzenleyene, çekin önyüzünde ismi bulunan lehtar lehine belirli tarihli çek düzenlenmiş olduğunu ve çekin banka tarafından ödendiğini gösteren bir belge verebilmelidir. </w:t>
      </w:r>
      <w:proofErr w:type="spellStart"/>
      <w:r w:rsidRPr="0093262F">
        <w:rPr>
          <w:sz w:val="20"/>
          <w:szCs w:val="20"/>
        </w:rPr>
        <w:t>Lasserre-Capdeville</w:t>
      </w:r>
      <w:proofErr w:type="spellEnd"/>
      <w:r w:rsidRPr="0093262F">
        <w:rPr>
          <w:sz w:val="20"/>
          <w:szCs w:val="20"/>
        </w:rPr>
        <w:t xml:space="preserve">, s. 252; </w:t>
      </w:r>
      <w:proofErr w:type="spellStart"/>
      <w:r w:rsidRPr="0093262F">
        <w:rPr>
          <w:sz w:val="20"/>
          <w:szCs w:val="20"/>
        </w:rPr>
        <w:t>Lasserre-Capdeville</w:t>
      </w:r>
      <w:proofErr w:type="spellEnd"/>
      <w:r w:rsidRPr="0093262F">
        <w:rPr>
          <w:sz w:val="20"/>
          <w:szCs w:val="20"/>
        </w:rPr>
        <w:t xml:space="preserve">, Le </w:t>
      </w:r>
      <w:proofErr w:type="spellStart"/>
      <w:r w:rsidRPr="0093262F">
        <w:rPr>
          <w:sz w:val="20"/>
          <w:szCs w:val="20"/>
        </w:rPr>
        <w:t>secret</w:t>
      </w:r>
      <w:proofErr w:type="spellEnd"/>
      <w:r w:rsidRPr="0093262F">
        <w:rPr>
          <w:sz w:val="20"/>
          <w:szCs w:val="20"/>
        </w:rPr>
        <w:t xml:space="preserve"> </w:t>
      </w:r>
      <w:proofErr w:type="spellStart"/>
      <w:r w:rsidRPr="0093262F">
        <w:rPr>
          <w:sz w:val="20"/>
          <w:szCs w:val="20"/>
        </w:rPr>
        <w:t>bancaire</w:t>
      </w:r>
      <w:proofErr w:type="spellEnd"/>
      <w:r w:rsidRPr="0093262F">
        <w:rPr>
          <w:sz w:val="20"/>
          <w:szCs w:val="20"/>
        </w:rPr>
        <w:t>, s. 32.</w:t>
      </w:r>
    </w:p>
  </w:footnote>
  <w:footnote w:id="49">
    <w:p w14:paraId="00A8FD51" w14:textId="77777777" w:rsidR="007318C0" w:rsidRPr="0093262F" w:rsidRDefault="007318C0" w:rsidP="002D4E3A">
      <w:pPr>
        <w:spacing w:after="120" w:line="240" w:lineRule="auto"/>
        <w:jc w:val="both"/>
        <w:rPr>
          <w:sz w:val="20"/>
          <w:szCs w:val="20"/>
        </w:rPr>
      </w:pPr>
      <w:r w:rsidRPr="0093262F">
        <w:rPr>
          <w:rStyle w:val="FootnoteReference"/>
          <w:sz w:val="20"/>
          <w:szCs w:val="20"/>
        </w:rPr>
        <w:footnoteRef/>
      </w:r>
      <w:r w:rsidRPr="0093262F">
        <w:rPr>
          <w:sz w:val="20"/>
          <w:szCs w:val="20"/>
        </w:rPr>
        <w:t xml:space="preserve"> Francis </w:t>
      </w:r>
      <w:proofErr w:type="spellStart"/>
      <w:r w:rsidRPr="0093262F">
        <w:rPr>
          <w:sz w:val="20"/>
          <w:szCs w:val="20"/>
        </w:rPr>
        <w:t>Crédot</w:t>
      </w:r>
      <w:proofErr w:type="spellEnd"/>
      <w:r w:rsidRPr="0093262F">
        <w:rPr>
          <w:sz w:val="20"/>
          <w:szCs w:val="20"/>
        </w:rPr>
        <w:t xml:space="preserve"> ve </w:t>
      </w:r>
      <w:proofErr w:type="spellStart"/>
      <w:r w:rsidRPr="0093262F">
        <w:rPr>
          <w:sz w:val="20"/>
          <w:szCs w:val="20"/>
        </w:rPr>
        <w:t>Yves</w:t>
      </w:r>
      <w:proofErr w:type="spellEnd"/>
      <w:r w:rsidRPr="0093262F">
        <w:rPr>
          <w:sz w:val="20"/>
          <w:szCs w:val="20"/>
        </w:rPr>
        <w:t xml:space="preserve"> </w:t>
      </w:r>
      <w:proofErr w:type="spellStart"/>
      <w:r w:rsidRPr="0093262F">
        <w:rPr>
          <w:sz w:val="20"/>
          <w:szCs w:val="20"/>
        </w:rPr>
        <w:t>Gerard</w:t>
      </w:r>
      <w:proofErr w:type="spellEnd"/>
      <w:r w:rsidRPr="0093262F">
        <w:rPr>
          <w:sz w:val="20"/>
          <w:szCs w:val="20"/>
        </w:rPr>
        <w:t xml:space="preserve">, </w:t>
      </w:r>
      <w:proofErr w:type="spellStart"/>
      <w:r w:rsidRPr="0093262F">
        <w:rPr>
          <w:i/>
          <w:sz w:val="20"/>
          <w:szCs w:val="20"/>
        </w:rPr>
        <w:t>Observations</w:t>
      </w:r>
      <w:proofErr w:type="spellEnd"/>
      <w:r w:rsidRPr="0093262F">
        <w:rPr>
          <w:i/>
          <w:sz w:val="20"/>
          <w:szCs w:val="20"/>
        </w:rPr>
        <w:t xml:space="preserve"> </w:t>
      </w:r>
      <w:proofErr w:type="spellStart"/>
      <w:r w:rsidRPr="0093262F">
        <w:rPr>
          <w:i/>
          <w:sz w:val="20"/>
          <w:szCs w:val="20"/>
        </w:rPr>
        <w:t>Sous</w:t>
      </w:r>
      <w:proofErr w:type="spellEnd"/>
      <w:r w:rsidRPr="0093262F">
        <w:rPr>
          <w:i/>
          <w:sz w:val="20"/>
          <w:szCs w:val="20"/>
        </w:rPr>
        <w:t xml:space="preserve"> </w:t>
      </w:r>
      <w:proofErr w:type="spellStart"/>
      <w:r w:rsidRPr="0093262F">
        <w:rPr>
          <w:i/>
          <w:sz w:val="20"/>
          <w:szCs w:val="20"/>
        </w:rPr>
        <w:t>Cour</w:t>
      </w:r>
      <w:proofErr w:type="spellEnd"/>
      <w:r w:rsidRPr="0093262F">
        <w:rPr>
          <w:i/>
          <w:sz w:val="20"/>
          <w:szCs w:val="20"/>
        </w:rPr>
        <w:t xml:space="preserve"> </w:t>
      </w:r>
      <w:proofErr w:type="spellStart"/>
      <w:r w:rsidRPr="0093262F">
        <w:rPr>
          <w:i/>
          <w:sz w:val="20"/>
          <w:szCs w:val="20"/>
        </w:rPr>
        <w:t>d’appel</w:t>
      </w:r>
      <w:proofErr w:type="spellEnd"/>
      <w:r w:rsidRPr="0093262F">
        <w:rPr>
          <w:i/>
          <w:sz w:val="20"/>
          <w:szCs w:val="20"/>
        </w:rPr>
        <w:t xml:space="preserve"> de </w:t>
      </w:r>
      <w:proofErr w:type="spellStart"/>
      <w:r w:rsidRPr="0093262F">
        <w:rPr>
          <w:i/>
          <w:sz w:val="20"/>
          <w:szCs w:val="20"/>
        </w:rPr>
        <w:t>Nimes</w:t>
      </w:r>
      <w:proofErr w:type="spellEnd"/>
      <w:r w:rsidRPr="0093262F">
        <w:rPr>
          <w:i/>
          <w:sz w:val="20"/>
          <w:szCs w:val="20"/>
        </w:rPr>
        <w:t xml:space="preserve">, 9 </w:t>
      </w:r>
      <w:proofErr w:type="spellStart"/>
      <w:r w:rsidRPr="0093262F">
        <w:rPr>
          <w:i/>
          <w:sz w:val="20"/>
          <w:szCs w:val="20"/>
        </w:rPr>
        <w:t>Decembre</w:t>
      </w:r>
      <w:proofErr w:type="spellEnd"/>
      <w:r w:rsidRPr="0093262F">
        <w:rPr>
          <w:i/>
          <w:sz w:val="20"/>
          <w:szCs w:val="20"/>
        </w:rPr>
        <w:t xml:space="preserve"> 1999</w:t>
      </w:r>
      <w:r w:rsidRPr="0093262F">
        <w:rPr>
          <w:sz w:val="20"/>
          <w:szCs w:val="20"/>
        </w:rPr>
        <w:t xml:space="preserve">, </w:t>
      </w:r>
      <w:proofErr w:type="spellStart"/>
      <w:r w:rsidRPr="0093262F">
        <w:rPr>
          <w:sz w:val="20"/>
          <w:szCs w:val="20"/>
        </w:rPr>
        <w:t>Revue</w:t>
      </w:r>
      <w:proofErr w:type="spellEnd"/>
      <w:r w:rsidRPr="0093262F">
        <w:rPr>
          <w:sz w:val="20"/>
          <w:szCs w:val="20"/>
        </w:rPr>
        <w:t xml:space="preserve"> de </w:t>
      </w:r>
      <w:proofErr w:type="spellStart"/>
      <w:r w:rsidRPr="0093262F">
        <w:rPr>
          <w:sz w:val="20"/>
          <w:szCs w:val="20"/>
        </w:rPr>
        <w:t>Droit</w:t>
      </w:r>
      <w:proofErr w:type="spellEnd"/>
      <w:r w:rsidRPr="0093262F">
        <w:rPr>
          <w:sz w:val="20"/>
          <w:szCs w:val="20"/>
        </w:rPr>
        <w:t xml:space="preserve"> </w:t>
      </w:r>
      <w:proofErr w:type="spellStart"/>
      <w:r w:rsidRPr="0093262F">
        <w:rPr>
          <w:sz w:val="20"/>
          <w:szCs w:val="20"/>
        </w:rPr>
        <w:t>Bancaire</w:t>
      </w:r>
      <w:proofErr w:type="spellEnd"/>
      <w:r w:rsidRPr="0093262F">
        <w:rPr>
          <w:sz w:val="20"/>
          <w:szCs w:val="20"/>
        </w:rPr>
        <w:t xml:space="preserve"> et </w:t>
      </w:r>
      <w:proofErr w:type="spellStart"/>
      <w:r w:rsidRPr="0093262F">
        <w:rPr>
          <w:sz w:val="20"/>
          <w:szCs w:val="20"/>
        </w:rPr>
        <w:t>Financier</w:t>
      </w:r>
      <w:proofErr w:type="spellEnd"/>
      <w:r w:rsidRPr="0093262F">
        <w:rPr>
          <w:sz w:val="20"/>
          <w:szCs w:val="20"/>
        </w:rPr>
        <w:t xml:space="preserve">, n. 3, 2001, s. 151. </w:t>
      </w:r>
    </w:p>
  </w:footnote>
  <w:footnote w:id="50">
    <w:p w14:paraId="6E0ACC69" w14:textId="77777777" w:rsidR="007318C0" w:rsidRPr="0093262F" w:rsidRDefault="007318C0" w:rsidP="0093262F">
      <w:pPr>
        <w:spacing w:after="120" w:line="240" w:lineRule="auto"/>
        <w:rPr>
          <w:sz w:val="20"/>
          <w:szCs w:val="20"/>
        </w:rPr>
      </w:pPr>
      <w:r w:rsidRPr="0093262F">
        <w:rPr>
          <w:rStyle w:val="FootnoteReference"/>
          <w:sz w:val="20"/>
          <w:szCs w:val="20"/>
        </w:rPr>
        <w:footnoteRef/>
      </w:r>
      <w:r w:rsidRPr="0093262F">
        <w:rPr>
          <w:sz w:val="20"/>
          <w:szCs w:val="20"/>
        </w:rPr>
        <w:t xml:space="preserve"> </w:t>
      </w:r>
      <w:proofErr w:type="spellStart"/>
      <w:r w:rsidRPr="0093262F">
        <w:rPr>
          <w:sz w:val="20"/>
          <w:szCs w:val="20"/>
        </w:rPr>
        <w:t>Lasserre-Capdeville</w:t>
      </w:r>
      <w:proofErr w:type="spellEnd"/>
      <w:r w:rsidRPr="0093262F">
        <w:rPr>
          <w:sz w:val="20"/>
          <w:szCs w:val="20"/>
        </w:rPr>
        <w:t xml:space="preserve">, s. 248. </w:t>
      </w:r>
    </w:p>
  </w:footnote>
  <w:footnote w:id="51">
    <w:p w14:paraId="2F50DCFF" w14:textId="77777777" w:rsidR="007318C0" w:rsidRPr="0093262F" w:rsidRDefault="007318C0" w:rsidP="0093262F">
      <w:pPr>
        <w:spacing w:after="120" w:line="240" w:lineRule="auto"/>
        <w:rPr>
          <w:sz w:val="20"/>
          <w:szCs w:val="20"/>
        </w:rPr>
      </w:pPr>
      <w:r w:rsidRPr="0093262F">
        <w:rPr>
          <w:rStyle w:val="FootnoteReference"/>
          <w:sz w:val="20"/>
          <w:szCs w:val="20"/>
        </w:rPr>
        <w:footnoteRef/>
      </w:r>
      <w:r w:rsidRPr="0093262F">
        <w:rPr>
          <w:sz w:val="20"/>
          <w:szCs w:val="20"/>
        </w:rPr>
        <w:t xml:space="preserve"> </w:t>
      </w:r>
      <w:proofErr w:type="spellStart"/>
      <w:r w:rsidRPr="0093262F">
        <w:rPr>
          <w:sz w:val="20"/>
          <w:szCs w:val="20"/>
        </w:rPr>
        <w:t>Lasserre-Capdeville</w:t>
      </w:r>
      <w:proofErr w:type="spellEnd"/>
      <w:r w:rsidRPr="0093262F">
        <w:rPr>
          <w:sz w:val="20"/>
          <w:szCs w:val="20"/>
        </w:rPr>
        <w:t xml:space="preserve">, 253; </w:t>
      </w:r>
      <w:proofErr w:type="spellStart"/>
      <w:r w:rsidRPr="0093262F">
        <w:rPr>
          <w:sz w:val="20"/>
          <w:szCs w:val="20"/>
        </w:rPr>
        <w:t>Lasserre-Capdeville</w:t>
      </w:r>
      <w:proofErr w:type="spellEnd"/>
      <w:r w:rsidRPr="0093262F">
        <w:rPr>
          <w:sz w:val="20"/>
          <w:szCs w:val="20"/>
        </w:rPr>
        <w:t xml:space="preserve">, Le </w:t>
      </w:r>
      <w:proofErr w:type="spellStart"/>
      <w:r w:rsidRPr="0093262F">
        <w:rPr>
          <w:sz w:val="20"/>
          <w:szCs w:val="20"/>
        </w:rPr>
        <w:t>secret</w:t>
      </w:r>
      <w:proofErr w:type="spellEnd"/>
      <w:r w:rsidRPr="0093262F">
        <w:rPr>
          <w:sz w:val="20"/>
          <w:szCs w:val="20"/>
        </w:rPr>
        <w:t xml:space="preserve"> </w:t>
      </w:r>
      <w:proofErr w:type="spellStart"/>
      <w:r w:rsidRPr="0093262F">
        <w:rPr>
          <w:sz w:val="20"/>
          <w:szCs w:val="20"/>
        </w:rPr>
        <w:t>bancaire</w:t>
      </w:r>
      <w:proofErr w:type="spellEnd"/>
      <w:r w:rsidRPr="0093262F">
        <w:rPr>
          <w:sz w:val="20"/>
          <w:szCs w:val="20"/>
        </w:rPr>
        <w:t xml:space="preserve">, s.32. </w:t>
      </w:r>
    </w:p>
  </w:footnote>
  <w:footnote w:id="52">
    <w:p w14:paraId="4C3AE399" w14:textId="77777777" w:rsidR="003202DC" w:rsidRPr="0093262F" w:rsidRDefault="007318C0" w:rsidP="0093262F">
      <w:pPr>
        <w:spacing w:after="120" w:line="240" w:lineRule="auto"/>
        <w:rPr>
          <w:sz w:val="20"/>
          <w:szCs w:val="20"/>
        </w:rPr>
      </w:pPr>
      <w:r w:rsidRPr="0093262F">
        <w:rPr>
          <w:rStyle w:val="FootnoteReference"/>
          <w:sz w:val="20"/>
          <w:szCs w:val="20"/>
        </w:rPr>
        <w:footnoteRef/>
      </w:r>
      <w:r w:rsidRPr="0093262F">
        <w:rPr>
          <w:sz w:val="20"/>
          <w:szCs w:val="20"/>
        </w:rPr>
        <w:t xml:space="preserve"> </w:t>
      </w:r>
      <w:proofErr w:type="spellStart"/>
      <w:r w:rsidRPr="0093262F">
        <w:rPr>
          <w:sz w:val="20"/>
          <w:szCs w:val="20"/>
        </w:rPr>
        <w:t>Lasserre-Capdeville</w:t>
      </w:r>
      <w:proofErr w:type="spellEnd"/>
      <w:r w:rsidR="003202DC" w:rsidRPr="0093262F">
        <w:rPr>
          <w:sz w:val="20"/>
          <w:szCs w:val="20"/>
        </w:rPr>
        <w:t xml:space="preserve">, </w:t>
      </w:r>
      <w:r w:rsidRPr="0093262F">
        <w:rPr>
          <w:sz w:val="20"/>
          <w:szCs w:val="20"/>
        </w:rPr>
        <w:t>s.</w:t>
      </w:r>
      <w:r w:rsidRPr="0093262F">
        <w:rPr>
          <w:b/>
          <w:sz w:val="20"/>
          <w:szCs w:val="20"/>
        </w:rPr>
        <w:t xml:space="preserve"> </w:t>
      </w:r>
      <w:r w:rsidRPr="0093262F">
        <w:rPr>
          <w:sz w:val="20"/>
          <w:szCs w:val="20"/>
        </w:rPr>
        <w:t xml:space="preserve">253. </w:t>
      </w:r>
    </w:p>
  </w:footnote>
  <w:footnote w:id="53">
    <w:p w14:paraId="0A3A50EF" w14:textId="77777777" w:rsidR="003202DC" w:rsidRPr="0093262F" w:rsidRDefault="007318C0" w:rsidP="0093262F">
      <w:pPr>
        <w:spacing w:after="120" w:line="240" w:lineRule="auto"/>
        <w:rPr>
          <w:sz w:val="20"/>
          <w:szCs w:val="20"/>
        </w:rPr>
      </w:pPr>
      <w:r w:rsidRPr="0093262F">
        <w:rPr>
          <w:rStyle w:val="FootnoteReference"/>
          <w:sz w:val="20"/>
          <w:szCs w:val="20"/>
        </w:rPr>
        <w:footnoteRef/>
      </w:r>
      <w:r w:rsidRPr="0093262F">
        <w:rPr>
          <w:sz w:val="20"/>
          <w:szCs w:val="20"/>
        </w:rPr>
        <w:t xml:space="preserve"> Anayasa Mahkemesi’nin (Le </w:t>
      </w:r>
      <w:proofErr w:type="spellStart"/>
      <w:r w:rsidRPr="0093262F">
        <w:rPr>
          <w:sz w:val="20"/>
          <w:szCs w:val="20"/>
        </w:rPr>
        <w:t>Conseil</w:t>
      </w:r>
      <w:proofErr w:type="spellEnd"/>
      <w:r w:rsidRPr="0093262F">
        <w:rPr>
          <w:sz w:val="20"/>
          <w:szCs w:val="20"/>
        </w:rPr>
        <w:t xml:space="preserve"> </w:t>
      </w:r>
      <w:proofErr w:type="spellStart"/>
      <w:r w:rsidRPr="0093262F">
        <w:rPr>
          <w:sz w:val="20"/>
          <w:szCs w:val="20"/>
        </w:rPr>
        <w:t>constitutionnel</w:t>
      </w:r>
      <w:proofErr w:type="spellEnd"/>
      <w:r w:rsidR="002954A7" w:rsidRPr="0093262F">
        <w:rPr>
          <w:sz w:val="20"/>
          <w:szCs w:val="20"/>
        </w:rPr>
        <w:t xml:space="preserve">) kararı için bkz. </w:t>
      </w:r>
      <w:r w:rsidRPr="0093262F">
        <w:rPr>
          <w:sz w:val="20"/>
          <w:szCs w:val="20"/>
        </w:rPr>
        <w:t xml:space="preserve">CC. 11.10.1984, 84.181. </w:t>
      </w:r>
    </w:p>
  </w:footnote>
  <w:footnote w:id="54">
    <w:p w14:paraId="7A3F86F6" w14:textId="77777777" w:rsidR="007318C0" w:rsidRPr="0093262F" w:rsidRDefault="007318C0" w:rsidP="0093262F">
      <w:pPr>
        <w:spacing w:after="120" w:line="240" w:lineRule="auto"/>
        <w:rPr>
          <w:sz w:val="20"/>
          <w:szCs w:val="20"/>
        </w:rPr>
      </w:pPr>
      <w:r w:rsidRPr="0093262F">
        <w:rPr>
          <w:rStyle w:val="FootnoteReference"/>
          <w:sz w:val="20"/>
          <w:szCs w:val="20"/>
        </w:rPr>
        <w:footnoteRef/>
      </w:r>
      <w:r w:rsidR="003202DC" w:rsidRPr="0093262F">
        <w:rPr>
          <w:sz w:val="20"/>
          <w:szCs w:val="20"/>
        </w:rPr>
        <w:t xml:space="preserve"> </w:t>
      </w:r>
      <w:proofErr w:type="spellStart"/>
      <w:r w:rsidR="003202DC" w:rsidRPr="0093262F">
        <w:rPr>
          <w:sz w:val="20"/>
          <w:szCs w:val="20"/>
        </w:rPr>
        <w:t>Abdel</w:t>
      </w:r>
      <w:proofErr w:type="spellEnd"/>
      <w:r w:rsidR="003202DC" w:rsidRPr="0093262F">
        <w:rPr>
          <w:sz w:val="20"/>
          <w:szCs w:val="20"/>
        </w:rPr>
        <w:t xml:space="preserve">-Hamid, </w:t>
      </w:r>
      <w:r w:rsidRPr="0093262F">
        <w:rPr>
          <w:sz w:val="20"/>
          <w:szCs w:val="20"/>
        </w:rPr>
        <w:t xml:space="preserve">s. 37-38. </w:t>
      </w:r>
    </w:p>
  </w:footnote>
  <w:footnote w:id="55">
    <w:p w14:paraId="722976A9" w14:textId="77777777" w:rsidR="00805176" w:rsidRPr="0093262F" w:rsidRDefault="007318C0" w:rsidP="0093262F">
      <w:pPr>
        <w:spacing w:after="120" w:line="240" w:lineRule="auto"/>
        <w:rPr>
          <w:sz w:val="20"/>
          <w:szCs w:val="20"/>
        </w:rPr>
      </w:pPr>
      <w:r w:rsidRPr="0093262F">
        <w:rPr>
          <w:rStyle w:val="FootnoteReference"/>
          <w:sz w:val="20"/>
          <w:szCs w:val="20"/>
        </w:rPr>
        <w:footnoteRef/>
      </w:r>
      <w:r w:rsidR="00A644BE" w:rsidRPr="0093262F">
        <w:rPr>
          <w:sz w:val="20"/>
          <w:szCs w:val="20"/>
        </w:rPr>
        <w:t xml:space="preserve"> </w:t>
      </w:r>
      <w:proofErr w:type="spellStart"/>
      <w:r w:rsidR="00A644BE" w:rsidRPr="0093262F">
        <w:rPr>
          <w:sz w:val="20"/>
          <w:szCs w:val="20"/>
        </w:rPr>
        <w:t>Alavi</w:t>
      </w:r>
      <w:proofErr w:type="spellEnd"/>
      <w:r w:rsidR="00A644BE" w:rsidRPr="0093262F">
        <w:rPr>
          <w:sz w:val="20"/>
          <w:szCs w:val="20"/>
        </w:rPr>
        <w:t xml:space="preserve">, </w:t>
      </w:r>
      <w:r w:rsidRPr="0093262F">
        <w:rPr>
          <w:sz w:val="20"/>
          <w:szCs w:val="20"/>
        </w:rPr>
        <w:t xml:space="preserve">s. 37; </w:t>
      </w:r>
      <w:proofErr w:type="spellStart"/>
      <w:r w:rsidRPr="0093262F">
        <w:rPr>
          <w:sz w:val="20"/>
          <w:szCs w:val="20"/>
        </w:rPr>
        <w:t>Lasserre-Capdeville</w:t>
      </w:r>
      <w:proofErr w:type="spellEnd"/>
      <w:r w:rsidR="00A644BE" w:rsidRPr="0093262F">
        <w:rPr>
          <w:sz w:val="20"/>
          <w:szCs w:val="20"/>
        </w:rPr>
        <w:t xml:space="preserve">, </w:t>
      </w:r>
      <w:r w:rsidRPr="0093262F">
        <w:rPr>
          <w:sz w:val="20"/>
          <w:szCs w:val="20"/>
        </w:rPr>
        <w:t>s. 117-118.</w:t>
      </w:r>
    </w:p>
  </w:footnote>
  <w:footnote w:id="56">
    <w:p w14:paraId="3BBA35CB" w14:textId="77777777" w:rsidR="00805176" w:rsidRPr="0093262F" w:rsidRDefault="007318C0" w:rsidP="0093262F">
      <w:pPr>
        <w:spacing w:after="120" w:line="240" w:lineRule="auto"/>
        <w:rPr>
          <w:sz w:val="20"/>
          <w:szCs w:val="20"/>
        </w:rPr>
      </w:pPr>
      <w:r w:rsidRPr="0093262F">
        <w:rPr>
          <w:rStyle w:val="FootnoteReference"/>
          <w:sz w:val="20"/>
          <w:szCs w:val="20"/>
        </w:rPr>
        <w:footnoteRef/>
      </w:r>
      <w:r w:rsidR="00A644BE" w:rsidRPr="0093262F">
        <w:rPr>
          <w:sz w:val="20"/>
          <w:szCs w:val="20"/>
        </w:rPr>
        <w:t xml:space="preserve"> </w:t>
      </w:r>
      <w:proofErr w:type="spellStart"/>
      <w:r w:rsidR="00A644BE" w:rsidRPr="0093262F">
        <w:rPr>
          <w:sz w:val="20"/>
          <w:szCs w:val="20"/>
        </w:rPr>
        <w:t>Alavi</w:t>
      </w:r>
      <w:proofErr w:type="spellEnd"/>
      <w:r w:rsidR="00A644BE" w:rsidRPr="0093262F">
        <w:rPr>
          <w:sz w:val="20"/>
          <w:szCs w:val="20"/>
        </w:rPr>
        <w:t xml:space="preserve">, s. 37; </w:t>
      </w:r>
      <w:proofErr w:type="spellStart"/>
      <w:r w:rsidR="00A644BE" w:rsidRPr="0093262F">
        <w:rPr>
          <w:sz w:val="20"/>
          <w:szCs w:val="20"/>
        </w:rPr>
        <w:t>Lasserre-Capdeville</w:t>
      </w:r>
      <w:proofErr w:type="spellEnd"/>
      <w:r w:rsidR="00A644BE" w:rsidRPr="0093262F">
        <w:rPr>
          <w:sz w:val="20"/>
          <w:szCs w:val="20"/>
        </w:rPr>
        <w:t xml:space="preserve">, </w:t>
      </w:r>
      <w:r w:rsidRPr="0093262F">
        <w:rPr>
          <w:sz w:val="20"/>
          <w:szCs w:val="20"/>
        </w:rPr>
        <w:t>s.117-118.</w:t>
      </w:r>
    </w:p>
  </w:footnote>
  <w:footnote w:id="57">
    <w:p w14:paraId="71AE8515" w14:textId="77777777" w:rsidR="007318C0" w:rsidRPr="0093262F" w:rsidRDefault="007318C0" w:rsidP="0093262F">
      <w:pPr>
        <w:spacing w:after="120" w:line="240" w:lineRule="auto"/>
        <w:rPr>
          <w:sz w:val="20"/>
          <w:szCs w:val="20"/>
        </w:rPr>
      </w:pPr>
      <w:r w:rsidRPr="0093262F">
        <w:rPr>
          <w:rStyle w:val="FootnoteReference"/>
          <w:sz w:val="20"/>
          <w:szCs w:val="20"/>
        </w:rPr>
        <w:footnoteRef/>
      </w:r>
      <w:r w:rsidRPr="0093262F">
        <w:rPr>
          <w:sz w:val="20"/>
          <w:szCs w:val="20"/>
        </w:rPr>
        <w:t xml:space="preserve"> </w:t>
      </w:r>
      <w:r w:rsidRPr="0093262F">
        <w:rPr>
          <w:sz w:val="20"/>
          <w:szCs w:val="20"/>
        </w:rPr>
        <w:t>Paris Ticaret Mahkemesi’nin 12.01</w:t>
      </w:r>
      <w:r w:rsidR="002F304E">
        <w:rPr>
          <w:sz w:val="20"/>
          <w:szCs w:val="20"/>
        </w:rPr>
        <w:t xml:space="preserve">.2004 tarihli kararı için bkz., </w:t>
      </w:r>
      <w:hyperlink r:id="rId5" w:history="1">
        <w:r w:rsidRPr="002F304E">
          <w:rPr>
            <w:sz w:val="20"/>
            <w:szCs w:val="20"/>
          </w:rPr>
          <w:t>https://www.dalloz.fr</w:t>
        </w:r>
      </w:hyperlink>
      <w:r w:rsidR="002F304E">
        <w:rPr>
          <w:sz w:val="20"/>
          <w:szCs w:val="20"/>
        </w:rPr>
        <w:t xml:space="preserve"> (e</w:t>
      </w:r>
      <w:r w:rsidRPr="0093262F">
        <w:rPr>
          <w:sz w:val="20"/>
          <w:szCs w:val="20"/>
        </w:rPr>
        <w:t xml:space="preserve">rişim tarihi: 03.06.2019). </w:t>
      </w:r>
    </w:p>
  </w:footnote>
  <w:footnote w:id="58">
    <w:p w14:paraId="4F347CC0" w14:textId="77777777" w:rsidR="00A644BE" w:rsidRPr="0093262F" w:rsidRDefault="007318C0" w:rsidP="00677E5B">
      <w:pPr>
        <w:spacing w:after="120" w:line="240" w:lineRule="auto"/>
        <w:jc w:val="both"/>
        <w:rPr>
          <w:sz w:val="20"/>
          <w:szCs w:val="20"/>
        </w:rPr>
      </w:pPr>
      <w:r w:rsidRPr="0093262F">
        <w:rPr>
          <w:rStyle w:val="FootnoteReference"/>
          <w:sz w:val="20"/>
          <w:szCs w:val="20"/>
        </w:rPr>
        <w:footnoteRef/>
      </w:r>
      <w:r w:rsidRPr="0093262F">
        <w:rPr>
          <w:sz w:val="20"/>
          <w:szCs w:val="20"/>
        </w:rPr>
        <w:t xml:space="preserve"> </w:t>
      </w:r>
      <w:r w:rsidRPr="0093262F">
        <w:rPr>
          <w:sz w:val="20"/>
          <w:szCs w:val="20"/>
        </w:rPr>
        <w:t xml:space="preserve">Karara ilişkin değerlendirme için bkz., </w:t>
      </w:r>
      <w:r w:rsidRPr="0093262F">
        <w:rPr>
          <w:sz w:val="20"/>
          <w:szCs w:val="20"/>
          <w:lang w:val="fr-FR"/>
        </w:rPr>
        <w:t xml:space="preserve">Nicolas </w:t>
      </w:r>
      <w:proofErr w:type="spellStart"/>
      <w:r w:rsidRPr="0093262F">
        <w:rPr>
          <w:sz w:val="20"/>
          <w:szCs w:val="20"/>
          <w:lang w:val="fr-FR"/>
        </w:rPr>
        <w:t>Rontchevsky</w:t>
      </w:r>
      <w:proofErr w:type="spellEnd"/>
      <w:r w:rsidR="00FC26A4" w:rsidRPr="0093262F">
        <w:rPr>
          <w:sz w:val="20"/>
          <w:szCs w:val="20"/>
        </w:rPr>
        <w:t xml:space="preserve">, </w:t>
      </w:r>
      <w:proofErr w:type="spellStart"/>
      <w:r w:rsidRPr="0093262F">
        <w:rPr>
          <w:i/>
          <w:sz w:val="20"/>
          <w:szCs w:val="20"/>
        </w:rPr>
        <w:t>Du</w:t>
      </w:r>
      <w:proofErr w:type="spellEnd"/>
      <w:r w:rsidRPr="0093262F">
        <w:rPr>
          <w:i/>
          <w:sz w:val="20"/>
          <w:szCs w:val="20"/>
        </w:rPr>
        <w:t xml:space="preserve"> </w:t>
      </w:r>
      <w:proofErr w:type="spellStart"/>
      <w:r w:rsidRPr="0093262F">
        <w:rPr>
          <w:i/>
          <w:sz w:val="20"/>
          <w:szCs w:val="20"/>
        </w:rPr>
        <w:t>Coût</w:t>
      </w:r>
      <w:proofErr w:type="spellEnd"/>
      <w:r w:rsidRPr="0093262F">
        <w:rPr>
          <w:i/>
          <w:sz w:val="20"/>
          <w:szCs w:val="20"/>
        </w:rPr>
        <w:t xml:space="preserve"> </w:t>
      </w:r>
      <w:proofErr w:type="spellStart"/>
      <w:r w:rsidRPr="0093262F">
        <w:rPr>
          <w:i/>
          <w:sz w:val="20"/>
          <w:szCs w:val="20"/>
        </w:rPr>
        <w:t>D'un</w:t>
      </w:r>
      <w:proofErr w:type="spellEnd"/>
      <w:r w:rsidRPr="0093262F">
        <w:rPr>
          <w:i/>
          <w:sz w:val="20"/>
          <w:szCs w:val="20"/>
        </w:rPr>
        <w:t xml:space="preserve"> </w:t>
      </w:r>
      <w:proofErr w:type="spellStart"/>
      <w:r w:rsidRPr="0093262F">
        <w:rPr>
          <w:i/>
          <w:sz w:val="20"/>
          <w:szCs w:val="20"/>
        </w:rPr>
        <w:t>Conflit</w:t>
      </w:r>
      <w:proofErr w:type="spellEnd"/>
      <w:r w:rsidRPr="0093262F">
        <w:rPr>
          <w:i/>
          <w:sz w:val="20"/>
          <w:szCs w:val="20"/>
        </w:rPr>
        <w:t xml:space="preserve"> </w:t>
      </w:r>
      <w:proofErr w:type="spellStart"/>
      <w:r w:rsidRPr="0093262F">
        <w:rPr>
          <w:i/>
          <w:sz w:val="20"/>
          <w:szCs w:val="20"/>
        </w:rPr>
        <w:t>D'intérêts</w:t>
      </w:r>
      <w:proofErr w:type="spellEnd"/>
      <w:r w:rsidRPr="0093262F">
        <w:rPr>
          <w:i/>
          <w:sz w:val="20"/>
          <w:szCs w:val="20"/>
        </w:rPr>
        <w:t xml:space="preserve"> </w:t>
      </w:r>
      <w:proofErr w:type="spellStart"/>
      <w:r w:rsidRPr="0093262F">
        <w:rPr>
          <w:i/>
          <w:sz w:val="20"/>
          <w:szCs w:val="20"/>
        </w:rPr>
        <w:t>Non</w:t>
      </w:r>
      <w:proofErr w:type="spellEnd"/>
      <w:r w:rsidRPr="0093262F">
        <w:rPr>
          <w:i/>
          <w:sz w:val="20"/>
          <w:szCs w:val="20"/>
        </w:rPr>
        <w:t xml:space="preserve"> </w:t>
      </w:r>
      <w:proofErr w:type="spellStart"/>
      <w:r w:rsidRPr="0093262F">
        <w:rPr>
          <w:i/>
          <w:sz w:val="20"/>
          <w:szCs w:val="20"/>
        </w:rPr>
        <w:t>Révélé</w:t>
      </w:r>
      <w:proofErr w:type="spellEnd"/>
      <w:r w:rsidRPr="0093262F">
        <w:rPr>
          <w:i/>
          <w:sz w:val="20"/>
          <w:szCs w:val="20"/>
        </w:rPr>
        <w:t xml:space="preserve">: Le </w:t>
      </w:r>
      <w:proofErr w:type="spellStart"/>
      <w:r w:rsidRPr="0093262F">
        <w:rPr>
          <w:i/>
          <w:sz w:val="20"/>
          <w:szCs w:val="20"/>
        </w:rPr>
        <w:t>Tribunal</w:t>
      </w:r>
      <w:proofErr w:type="spellEnd"/>
      <w:r w:rsidRPr="0093262F">
        <w:rPr>
          <w:i/>
          <w:sz w:val="20"/>
          <w:szCs w:val="20"/>
        </w:rPr>
        <w:t xml:space="preserve"> De Commerce De Paris </w:t>
      </w:r>
      <w:proofErr w:type="spellStart"/>
      <w:r w:rsidRPr="0093262F">
        <w:rPr>
          <w:i/>
          <w:sz w:val="20"/>
          <w:szCs w:val="20"/>
        </w:rPr>
        <w:t>Condamne</w:t>
      </w:r>
      <w:proofErr w:type="spellEnd"/>
      <w:r w:rsidRPr="0093262F">
        <w:rPr>
          <w:i/>
          <w:sz w:val="20"/>
          <w:szCs w:val="20"/>
        </w:rPr>
        <w:t xml:space="preserve"> </w:t>
      </w:r>
      <w:proofErr w:type="spellStart"/>
      <w:r w:rsidRPr="0093262F">
        <w:rPr>
          <w:i/>
          <w:sz w:val="20"/>
          <w:szCs w:val="20"/>
        </w:rPr>
        <w:t>Une</w:t>
      </w:r>
      <w:proofErr w:type="spellEnd"/>
      <w:r w:rsidRPr="0093262F">
        <w:rPr>
          <w:i/>
          <w:sz w:val="20"/>
          <w:szCs w:val="20"/>
        </w:rPr>
        <w:t xml:space="preserve"> </w:t>
      </w:r>
      <w:proofErr w:type="spellStart"/>
      <w:r w:rsidRPr="0093262F">
        <w:rPr>
          <w:i/>
          <w:sz w:val="20"/>
          <w:szCs w:val="20"/>
        </w:rPr>
        <w:t>Banque</w:t>
      </w:r>
      <w:proofErr w:type="spellEnd"/>
      <w:r w:rsidRPr="0093262F">
        <w:rPr>
          <w:i/>
          <w:sz w:val="20"/>
          <w:szCs w:val="20"/>
        </w:rPr>
        <w:t xml:space="preserve"> </w:t>
      </w:r>
      <w:proofErr w:type="spellStart"/>
      <w:r w:rsidRPr="0093262F">
        <w:rPr>
          <w:i/>
          <w:sz w:val="20"/>
          <w:szCs w:val="20"/>
        </w:rPr>
        <w:t>D'affaires</w:t>
      </w:r>
      <w:proofErr w:type="spellEnd"/>
      <w:r w:rsidRPr="0093262F">
        <w:rPr>
          <w:i/>
          <w:sz w:val="20"/>
          <w:szCs w:val="20"/>
        </w:rPr>
        <w:t xml:space="preserve"> À </w:t>
      </w:r>
      <w:proofErr w:type="spellStart"/>
      <w:r w:rsidRPr="0093262F">
        <w:rPr>
          <w:i/>
          <w:sz w:val="20"/>
          <w:szCs w:val="20"/>
        </w:rPr>
        <w:t>Payer</w:t>
      </w:r>
      <w:proofErr w:type="spellEnd"/>
      <w:r w:rsidRPr="0093262F">
        <w:rPr>
          <w:i/>
          <w:sz w:val="20"/>
          <w:szCs w:val="20"/>
        </w:rPr>
        <w:t xml:space="preserve"> </w:t>
      </w:r>
      <w:proofErr w:type="spellStart"/>
      <w:r w:rsidRPr="0093262F">
        <w:rPr>
          <w:i/>
          <w:sz w:val="20"/>
          <w:szCs w:val="20"/>
        </w:rPr>
        <w:t>Des</w:t>
      </w:r>
      <w:proofErr w:type="spellEnd"/>
      <w:r w:rsidRPr="0093262F">
        <w:rPr>
          <w:i/>
          <w:sz w:val="20"/>
          <w:szCs w:val="20"/>
        </w:rPr>
        <w:t xml:space="preserve"> </w:t>
      </w:r>
      <w:proofErr w:type="spellStart"/>
      <w:r w:rsidRPr="0093262F">
        <w:rPr>
          <w:i/>
          <w:sz w:val="20"/>
          <w:szCs w:val="20"/>
        </w:rPr>
        <w:t>Dommages-İntérêts</w:t>
      </w:r>
      <w:proofErr w:type="spellEnd"/>
      <w:r w:rsidRPr="0093262F">
        <w:rPr>
          <w:i/>
          <w:sz w:val="20"/>
          <w:szCs w:val="20"/>
        </w:rPr>
        <w:t xml:space="preserve"> </w:t>
      </w:r>
      <w:proofErr w:type="spellStart"/>
      <w:r w:rsidRPr="0093262F">
        <w:rPr>
          <w:i/>
          <w:sz w:val="20"/>
          <w:szCs w:val="20"/>
        </w:rPr>
        <w:t>Considérables</w:t>
      </w:r>
      <w:proofErr w:type="spellEnd"/>
      <w:r w:rsidRPr="0093262F">
        <w:rPr>
          <w:i/>
          <w:sz w:val="20"/>
          <w:szCs w:val="20"/>
        </w:rPr>
        <w:t xml:space="preserve"> À </w:t>
      </w:r>
      <w:proofErr w:type="spellStart"/>
      <w:r w:rsidRPr="0093262F">
        <w:rPr>
          <w:i/>
          <w:sz w:val="20"/>
          <w:szCs w:val="20"/>
        </w:rPr>
        <w:t>Une</w:t>
      </w:r>
      <w:proofErr w:type="spellEnd"/>
      <w:r w:rsidRPr="0093262F">
        <w:rPr>
          <w:i/>
          <w:sz w:val="20"/>
          <w:szCs w:val="20"/>
        </w:rPr>
        <w:t xml:space="preserve"> </w:t>
      </w:r>
      <w:proofErr w:type="spellStart"/>
      <w:r w:rsidRPr="0093262F">
        <w:rPr>
          <w:i/>
          <w:sz w:val="20"/>
          <w:szCs w:val="20"/>
        </w:rPr>
        <w:t>Société</w:t>
      </w:r>
      <w:proofErr w:type="spellEnd"/>
      <w:r w:rsidRPr="0093262F">
        <w:rPr>
          <w:i/>
          <w:sz w:val="20"/>
          <w:szCs w:val="20"/>
        </w:rPr>
        <w:t xml:space="preserve"> </w:t>
      </w:r>
      <w:proofErr w:type="spellStart"/>
      <w:r w:rsidRPr="0093262F">
        <w:rPr>
          <w:i/>
          <w:sz w:val="20"/>
          <w:szCs w:val="20"/>
        </w:rPr>
        <w:t>Cotée</w:t>
      </w:r>
      <w:proofErr w:type="spellEnd"/>
      <w:r w:rsidRPr="0093262F">
        <w:rPr>
          <w:i/>
          <w:sz w:val="20"/>
          <w:szCs w:val="20"/>
        </w:rPr>
        <w:t xml:space="preserve"> </w:t>
      </w:r>
      <w:proofErr w:type="spellStart"/>
      <w:r w:rsidRPr="0093262F">
        <w:rPr>
          <w:i/>
          <w:sz w:val="20"/>
          <w:szCs w:val="20"/>
        </w:rPr>
        <w:t>Pour</w:t>
      </w:r>
      <w:proofErr w:type="spellEnd"/>
      <w:r w:rsidRPr="0093262F">
        <w:rPr>
          <w:i/>
          <w:sz w:val="20"/>
          <w:szCs w:val="20"/>
        </w:rPr>
        <w:t xml:space="preserve"> </w:t>
      </w:r>
      <w:proofErr w:type="spellStart"/>
      <w:r w:rsidRPr="0093262F">
        <w:rPr>
          <w:i/>
          <w:sz w:val="20"/>
          <w:szCs w:val="20"/>
        </w:rPr>
        <w:t>Avoir</w:t>
      </w:r>
      <w:proofErr w:type="spellEnd"/>
      <w:r w:rsidRPr="0093262F">
        <w:rPr>
          <w:i/>
          <w:sz w:val="20"/>
          <w:szCs w:val="20"/>
        </w:rPr>
        <w:t xml:space="preserve"> </w:t>
      </w:r>
      <w:proofErr w:type="spellStart"/>
      <w:r w:rsidRPr="0093262F">
        <w:rPr>
          <w:i/>
          <w:sz w:val="20"/>
          <w:szCs w:val="20"/>
        </w:rPr>
        <w:t>Manqué</w:t>
      </w:r>
      <w:proofErr w:type="spellEnd"/>
      <w:r w:rsidRPr="0093262F">
        <w:rPr>
          <w:i/>
          <w:sz w:val="20"/>
          <w:szCs w:val="20"/>
        </w:rPr>
        <w:t xml:space="preserve"> </w:t>
      </w:r>
      <w:proofErr w:type="spellStart"/>
      <w:r w:rsidRPr="0093262F">
        <w:rPr>
          <w:i/>
          <w:sz w:val="20"/>
          <w:szCs w:val="20"/>
        </w:rPr>
        <w:t>Gravement</w:t>
      </w:r>
      <w:proofErr w:type="spellEnd"/>
      <w:r w:rsidRPr="0093262F">
        <w:rPr>
          <w:i/>
          <w:sz w:val="20"/>
          <w:szCs w:val="20"/>
        </w:rPr>
        <w:t xml:space="preserve"> Et À De </w:t>
      </w:r>
      <w:proofErr w:type="spellStart"/>
      <w:r w:rsidRPr="0093262F">
        <w:rPr>
          <w:i/>
          <w:sz w:val="20"/>
          <w:szCs w:val="20"/>
        </w:rPr>
        <w:t>Multiples</w:t>
      </w:r>
      <w:proofErr w:type="spellEnd"/>
      <w:r w:rsidRPr="0093262F">
        <w:rPr>
          <w:i/>
          <w:sz w:val="20"/>
          <w:szCs w:val="20"/>
        </w:rPr>
        <w:t xml:space="preserve"> </w:t>
      </w:r>
      <w:proofErr w:type="spellStart"/>
      <w:r w:rsidRPr="0093262F">
        <w:rPr>
          <w:i/>
          <w:sz w:val="20"/>
          <w:szCs w:val="20"/>
        </w:rPr>
        <w:t>Reprises</w:t>
      </w:r>
      <w:proofErr w:type="spellEnd"/>
      <w:r w:rsidRPr="0093262F">
        <w:rPr>
          <w:i/>
          <w:sz w:val="20"/>
          <w:szCs w:val="20"/>
        </w:rPr>
        <w:t xml:space="preserve"> À Ses </w:t>
      </w:r>
      <w:proofErr w:type="spellStart"/>
      <w:r w:rsidRPr="0093262F">
        <w:rPr>
          <w:i/>
          <w:sz w:val="20"/>
          <w:szCs w:val="20"/>
        </w:rPr>
        <w:t>Devoirs</w:t>
      </w:r>
      <w:proofErr w:type="spellEnd"/>
      <w:r w:rsidRPr="0093262F">
        <w:rPr>
          <w:i/>
          <w:sz w:val="20"/>
          <w:szCs w:val="20"/>
        </w:rPr>
        <w:t xml:space="preserve"> </w:t>
      </w:r>
      <w:proofErr w:type="spellStart"/>
      <w:r w:rsidRPr="0093262F">
        <w:rPr>
          <w:i/>
          <w:sz w:val="20"/>
          <w:szCs w:val="20"/>
        </w:rPr>
        <w:t>D'indépendance</w:t>
      </w:r>
      <w:proofErr w:type="spellEnd"/>
      <w:r w:rsidRPr="0093262F">
        <w:rPr>
          <w:i/>
          <w:sz w:val="20"/>
          <w:szCs w:val="20"/>
        </w:rPr>
        <w:t xml:space="preserve">, </w:t>
      </w:r>
      <w:proofErr w:type="spellStart"/>
      <w:r w:rsidRPr="0093262F">
        <w:rPr>
          <w:i/>
          <w:sz w:val="20"/>
          <w:szCs w:val="20"/>
        </w:rPr>
        <w:t>D'impartialité</w:t>
      </w:r>
      <w:proofErr w:type="spellEnd"/>
      <w:r w:rsidRPr="0093262F">
        <w:rPr>
          <w:i/>
          <w:sz w:val="20"/>
          <w:szCs w:val="20"/>
        </w:rPr>
        <w:t xml:space="preserve"> Et De </w:t>
      </w:r>
      <w:proofErr w:type="spellStart"/>
      <w:r w:rsidRPr="0093262F">
        <w:rPr>
          <w:i/>
          <w:sz w:val="20"/>
          <w:szCs w:val="20"/>
        </w:rPr>
        <w:t>Rigueur</w:t>
      </w:r>
      <w:proofErr w:type="spellEnd"/>
      <w:r w:rsidRPr="0093262F">
        <w:rPr>
          <w:i/>
          <w:sz w:val="20"/>
          <w:szCs w:val="20"/>
        </w:rPr>
        <w:t xml:space="preserve"> Dans Ses </w:t>
      </w:r>
      <w:proofErr w:type="spellStart"/>
      <w:r w:rsidRPr="0093262F">
        <w:rPr>
          <w:i/>
          <w:sz w:val="20"/>
          <w:szCs w:val="20"/>
        </w:rPr>
        <w:t>Analyses</w:t>
      </w:r>
      <w:proofErr w:type="spellEnd"/>
      <w:r w:rsidRPr="0093262F">
        <w:rPr>
          <w:i/>
          <w:sz w:val="20"/>
          <w:szCs w:val="20"/>
        </w:rPr>
        <w:t xml:space="preserve"> </w:t>
      </w:r>
      <w:proofErr w:type="spellStart"/>
      <w:r w:rsidRPr="0093262F">
        <w:rPr>
          <w:i/>
          <w:sz w:val="20"/>
          <w:szCs w:val="20"/>
        </w:rPr>
        <w:t>Financières</w:t>
      </w:r>
      <w:proofErr w:type="spellEnd"/>
      <w:r w:rsidR="00FC26A4" w:rsidRPr="0093262F">
        <w:rPr>
          <w:sz w:val="20"/>
          <w:szCs w:val="20"/>
        </w:rPr>
        <w:t>,</w:t>
      </w:r>
      <w:r w:rsidRPr="0093262F">
        <w:rPr>
          <w:sz w:val="20"/>
          <w:szCs w:val="20"/>
        </w:rPr>
        <w:t xml:space="preserve"> </w:t>
      </w:r>
      <w:proofErr w:type="spellStart"/>
      <w:r w:rsidRPr="0093262F">
        <w:rPr>
          <w:sz w:val="20"/>
          <w:szCs w:val="20"/>
        </w:rPr>
        <w:t>Revue</w:t>
      </w:r>
      <w:proofErr w:type="spellEnd"/>
      <w:r w:rsidRPr="0093262F">
        <w:rPr>
          <w:sz w:val="20"/>
          <w:szCs w:val="20"/>
        </w:rPr>
        <w:t xml:space="preserve"> </w:t>
      </w:r>
      <w:proofErr w:type="spellStart"/>
      <w:r w:rsidRPr="0093262F">
        <w:rPr>
          <w:sz w:val="20"/>
          <w:szCs w:val="20"/>
        </w:rPr>
        <w:t>trimestrielle</w:t>
      </w:r>
      <w:proofErr w:type="spellEnd"/>
      <w:r w:rsidRPr="0093262F">
        <w:rPr>
          <w:sz w:val="20"/>
          <w:szCs w:val="20"/>
        </w:rPr>
        <w:t xml:space="preserve"> de </w:t>
      </w:r>
      <w:proofErr w:type="spellStart"/>
      <w:r w:rsidRPr="0093262F">
        <w:rPr>
          <w:sz w:val="20"/>
          <w:szCs w:val="20"/>
        </w:rPr>
        <w:t>droit</w:t>
      </w:r>
      <w:proofErr w:type="spellEnd"/>
      <w:r w:rsidRPr="0093262F">
        <w:rPr>
          <w:sz w:val="20"/>
          <w:szCs w:val="20"/>
        </w:rPr>
        <w:t xml:space="preserve"> </w:t>
      </w:r>
      <w:proofErr w:type="spellStart"/>
      <w:r w:rsidRPr="0093262F">
        <w:rPr>
          <w:sz w:val="20"/>
          <w:szCs w:val="20"/>
        </w:rPr>
        <w:t>commercial</w:t>
      </w:r>
      <w:proofErr w:type="spellEnd"/>
      <w:r w:rsidR="00FC26A4" w:rsidRPr="0093262F">
        <w:rPr>
          <w:i/>
          <w:sz w:val="20"/>
          <w:szCs w:val="20"/>
        </w:rPr>
        <w:t>,</w:t>
      </w:r>
      <w:r w:rsidRPr="0093262F">
        <w:rPr>
          <w:sz w:val="20"/>
          <w:szCs w:val="20"/>
        </w:rPr>
        <w:t xml:space="preserve"> 2004(2), s.</w:t>
      </w:r>
      <w:r w:rsidR="00FC26A4" w:rsidRPr="0093262F">
        <w:rPr>
          <w:sz w:val="20"/>
          <w:szCs w:val="20"/>
        </w:rPr>
        <w:t xml:space="preserve"> </w:t>
      </w:r>
      <w:r w:rsidRPr="0093262F">
        <w:rPr>
          <w:sz w:val="20"/>
          <w:szCs w:val="20"/>
        </w:rPr>
        <w:t xml:space="preserve">337-348. </w:t>
      </w:r>
    </w:p>
  </w:footnote>
  <w:footnote w:id="59">
    <w:p w14:paraId="2BA2B0FC" w14:textId="77777777" w:rsidR="007318C0" w:rsidRPr="0093262F" w:rsidRDefault="007318C0" w:rsidP="00677E5B">
      <w:pPr>
        <w:spacing w:after="120" w:line="240" w:lineRule="auto"/>
        <w:jc w:val="both"/>
        <w:rPr>
          <w:sz w:val="20"/>
          <w:szCs w:val="20"/>
        </w:rPr>
      </w:pPr>
      <w:r w:rsidRPr="0093262F">
        <w:rPr>
          <w:rStyle w:val="FootnoteReference"/>
          <w:sz w:val="20"/>
          <w:szCs w:val="20"/>
        </w:rPr>
        <w:footnoteRef/>
      </w:r>
      <w:r w:rsidRPr="0093262F">
        <w:rPr>
          <w:sz w:val="20"/>
          <w:szCs w:val="20"/>
        </w:rPr>
        <w:t xml:space="preserve"> </w:t>
      </w:r>
      <w:r w:rsidRPr="0093262F">
        <w:rPr>
          <w:sz w:val="20"/>
          <w:szCs w:val="20"/>
        </w:rPr>
        <w:t xml:space="preserve">Karar için bkz., CA, 30.06.2006, 04/060308; Karara ilişkin değerlendirme için bkz., </w:t>
      </w:r>
      <w:r w:rsidRPr="0093262F">
        <w:rPr>
          <w:sz w:val="20"/>
          <w:szCs w:val="20"/>
          <w:lang w:val="fr-FR"/>
        </w:rPr>
        <w:t xml:space="preserve">Nicolas </w:t>
      </w:r>
      <w:proofErr w:type="spellStart"/>
      <w:r w:rsidRPr="0093262F">
        <w:rPr>
          <w:sz w:val="20"/>
          <w:szCs w:val="20"/>
          <w:lang w:val="fr-FR"/>
        </w:rPr>
        <w:t>Rontchevsky</w:t>
      </w:r>
      <w:proofErr w:type="spellEnd"/>
      <w:r w:rsidRPr="0093262F">
        <w:rPr>
          <w:sz w:val="20"/>
          <w:szCs w:val="20"/>
        </w:rPr>
        <w:t xml:space="preserve">, </w:t>
      </w:r>
      <w:r w:rsidRPr="0093262F">
        <w:rPr>
          <w:i/>
          <w:sz w:val="20"/>
          <w:szCs w:val="20"/>
        </w:rPr>
        <w:t xml:space="preserve">LVMH c/ Morgan </w:t>
      </w:r>
      <w:proofErr w:type="spellStart"/>
      <w:r w:rsidRPr="0093262F">
        <w:rPr>
          <w:i/>
          <w:sz w:val="20"/>
          <w:szCs w:val="20"/>
        </w:rPr>
        <w:t>Stanley</w:t>
      </w:r>
      <w:proofErr w:type="spellEnd"/>
      <w:r w:rsidRPr="0093262F">
        <w:rPr>
          <w:i/>
          <w:sz w:val="20"/>
          <w:szCs w:val="20"/>
        </w:rPr>
        <w:t xml:space="preserve">: </w:t>
      </w:r>
      <w:proofErr w:type="spellStart"/>
      <w:r w:rsidRPr="0093262F">
        <w:rPr>
          <w:i/>
          <w:sz w:val="20"/>
          <w:szCs w:val="20"/>
        </w:rPr>
        <w:t>Retour</w:t>
      </w:r>
      <w:proofErr w:type="spellEnd"/>
      <w:r w:rsidRPr="0093262F">
        <w:rPr>
          <w:i/>
          <w:sz w:val="20"/>
          <w:szCs w:val="20"/>
        </w:rPr>
        <w:t xml:space="preserve"> À </w:t>
      </w:r>
      <w:proofErr w:type="spellStart"/>
      <w:r w:rsidRPr="0093262F">
        <w:rPr>
          <w:i/>
          <w:sz w:val="20"/>
          <w:szCs w:val="20"/>
        </w:rPr>
        <w:t>L'orthodoxie</w:t>
      </w:r>
      <w:proofErr w:type="spellEnd"/>
      <w:r w:rsidRPr="0093262F">
        <w:rPr>
          <w:i/>
          <w:sz w:val="20"/>
          <w:szCs w:val="20"/>
        </w:rPr>
        <w:t xml:space="preserve"> </w:t>
      </w:r>
      <w:proofErr w:type="spellStart"/>
      <w:r w:rsidRPr="0093262F">
        <w:rPr>
          <w:i/>
          <w:sz w:val="20"/>
          <w:szCs w:val="20"/>
        </w:rPr>
        <w:t>Juridique</w:t>
      </w:r>
      <w:proofErr w:type="spellEnd"/>
      <w:r w:rsidRPr="0093262F">
        <w:rPr>
          <w:i/>
          <w:sz w:val="20"/>
          <w:szCs w:val="20"/>
        </w:rPr>
        <w:t xml:space="preserve">: La </w:t>
      </w:r>
      <w:proofErr w:type="spellStart"/>
      <w:r w:rsidRPr="0093262F">
        <w:rPr>
          <w:i/>
          <w:sz w:val="20"/>
          <w:szCs w:val="20"/>
        </w:rPr>
        <w:t>Cour</w:t>
      </w:r>
      <w:proofErr w:type="spellEnd"/>
      <w:r w:rsidRPr="0093262F">
        <w:rPr>
          <w:i/>
          <w:sz w:val="20"/>
          <w:szCs w:val="20"/>
        </w:rPr>
        <w:t xml:space="preserve"> </w:t>
      </w:r>
      <w:proofErr w:type="spellStart"/>
      <w:r w:rsidRPr="0093262F">
        <w:rPr>
          <w:i/>
          <w:sz w:val="20"/>
          <w:szCs w:val="20"/>
        </w:rPr>
        <w:t>D'appel</w:t>
      </w:r>
      <w:proofErr w:type="spellEnd"/>
      <w:r w:rsidRPr="0093262F">
        <w:rPr>
          <w:i/>
          <w:sz w:val="20"/>
          <w:szCs w:val="20"/>
        </w:rPr>
        <w:t xml:space="preserve"> De Paris </w:t>
      </w:r>
      <w:proofErr w:type="spellStart"/>
      <w:r w:rsidRPr="0093262F">
        <w:rPr>
          <w:i/>
          <w:sz w:val="20"/>
          <w:szCs w:val="20"/>
        </w:rPr>
        <w:t>İnfirme</w:t>
      </w:r>
      <w:proofErr w:type="spellEnd"/>
      <w:r w:rsidRPr="0093262F">
        <w:rPr>
          <w:i/>
          <w:sz w:val="20"/>
          <w:szCs w:val="20"/>
        </w:rPr>
        <w:t xml:space="preserve"> Sur </w:t>
      </w:r>
      <w:proofErr w:type="spellStart"/>
      <w:r w:rsidRPr="0093262F">
        <w:rPr>
          <w:i/>
          <w:sz w:val="20"/>
          <w:szCs w:val="20"/>
        </w:rPr>
        <w:t>L'essentiel</w:t>
      </w:r>
      <w:proofErr w:type="spellEnd"/>
      <w:r w:rsidRPr="0093262F">
        <w:rPr>
          <w:i/>
          <w:sz w:val="20"/>
          <w:szCs w:val="20"/>
        </w:rPr>
        <w:t xml:space="preserve"> Le </w:t>
      </w:r>
      <w:proofErr w:type="spellStart"/>
      <w:r w:rsidRPr="0093262F">
        <w:rPr>
          <w:i/>
          <w:sz w:val="20"/>
          <w:szCs w:val="20"/>
        </w:rPr>
        <w:t>Jugement</w:t>
      </w:r>
      <w:proofErr w:type="spellEnd"/>
      <w:r w:rsidRPr="0093262F">
        <w:rPr>
          <w:i/>
          <w:sz w:val="20"/>
          <w:szCs w:val="20"/>
        </w:rPr>
        <w:t xml:space="preserve"> </w:t>
      </w:r>
      <w:proofErr w:type="spellStart"/>
      <w:r w:rsidRPr="0093262F">
        <w:rPr>
          <w:i/>
          <w:sz w:val="20"/>
          <w:szCs w:val="20"/>
        </w:rPr>
        <w:t>Du</w:t>
      </w:r>
      <w:proofErr w:type="spellEnd"/>
      <w:r w:rsidRPr="0093262F">
        <w:rPr>
          <w:i/>
          <w:sz w:val="20"/>
          <w:szCs w:val="20"/>
        </w:rPr>
        <w:t xml:space="preserve"> </w:t>
      </w:r>
      <w:proofErr w:type="spellStart"/>
      <w:r w:rsidRPr="0093262F">
        <w:rPr>
          <w:i/>
          <w:sz w:val="20"/>
          <w:szCs w:val="20"/>
        </w:rPr>
        <w:t>Tribunal</w:t>
      </w:r>
      <w:proofErr w:type="spellEnd"/>
      <w:r w:rsidRPr="0093262F">
        <w:rPr>
          <w:i/>
          <w:sz w:val="20"/>
          <w:szCs w:val="20"/>
        </w:rPr>
        <w:t xml:space="preserve"> De Commerce De Paris </w:t>
      </w:r>
      <w:proofErr w:type="spellStart"/>
      <w:r w:rsidRPr="0093262F">
        <w:rPr>
          <w:i/>
          <w:sz w:val="20"/>
          <w:szCs w:val="20"/>
        </w:rPr>
        <w:t>Du</w:t>
      </w:r>
      <w:proofErr w:type="spellEnd"/>
      <w:r w:rsidRPr="0093262F">
        <w:rPr>
          <w:i/>
          <w:sz w:val="20"/>
          <w:szCs w:val="20"/>
        </w:rPr>
        <w:t xml:space="preserve"> 12 </w:t>
      </w:r>
      <w:proofErr w:type="spellStart"/>
      <w:r w:rsidRPr="0093262F">
        <w:rPr>
          <w:i/>
          <w:sz w:val="20"/>
          <w:szCs w:val="20"/>
        </w:rPr>
        <w:t>Janvier</w:t>
      </w:r>
      <w:proofErr w:type="spellEnd"/>
      <w:r w:rsidRPr="0093262F">
        <w:rPr>
          <w:i/>
          <w:sz w:val="20"/>
          <w:szCs w:val="20"/>
        </w:rPr>
        <w:t xml:space="preserve"> 2004</w:t>
      </w:r>
      <w:r w:rsidRPr="0093262F">
        <w:rPr>
          <w:sz w:val="20"/>
          <w:szCs w:val="20"/>
        </w:rPr>
        <w:t xml:space="preserve">, </w:t>
      </w:r>
      <w:proofErr w:type="spellStart"/>
      <w:r w:rsidRPr="0093262F">
        <w:rPr>
          <w:sz w:val="20"/>
          <w:szCs w:val="20"/>
        </w:rPr>
        <w:t>Revue</w:t>
      </w:r>
      <w:proofErr w:type="spellEnd"/>
      <w:r w:rsidRPr="0093262F">
        <w:rPr>
          <w:sz w:val="20"/>
          <w:szCs w:val="20"/>
        </w:rPr>
        <w:t xml:space="preserve"> </w:t>
      </w:r>
      <w:proofErr w:type="spellStart"/>
      <w:r w:rsidRPr="0093262F">
        <w:rPr>
          <w:sz w:val="20"/>
          <w:szCs w:val="20"/>
        </w:rPr>
        <w:t>trimestrielle</w:t>
      </w:r>
      <w:proofErr w:type="spellEnd"/>
      <w:r w:rsidRPr="0093262F">
        <w:rPr>
          <w:sz w:val="20"/>
          <w:szCs w:val="20"/>
        </w:rPr>
        <w:t xml:space="preserve"> de </w:t>
      </w:r>
      <w:proofErr w:type="spellStart"/>
      <w:r w:rsidRPr="0093262F">
        <w:rPr>
          <w:sz w:val="20"/>
          <w:szCs w:val="20"/>
        </w:rPr>
        <w:t>droit</w:t>
      </w:r>
      <w:proofErr w:type="spellEnd"/>
      <w:r w:rsidRPr="0093262F">
        <w:rPr>
          <w:sz w:val="20"/>
          <w:szCs w:val="20"/>
        </w:rPr>
        <w:t xml:space="preserve"> </w:t>
      </w:r>
      <w:proofErr w:type="spellStart"/>
      <w:r w:rsidRPr="0093262F">
        <w:rPr>
          <w:sz w:val="20"/>
          <w:szCs w:val="20"/>
        </w:rPr>
        <w:t>commercial</w:t>
      </w:r>
      <w:proofErr w:type="spellEnd"/>
      <w:r w:rsidR="00C55A38" w:rsidRPr="0093262F">
        <w:rPr>
          <w:i/>
          <w:sz w:val="20"/>
          <w:szCs w:val="20"/>
        </w:rPr>
        <w:t>,</w:t>
      </w:r>
      <w:r w:rsidRPr="0093262F">
        <w:rPr>
          <w:sz w:val="20"/>
          <w:szCs w:val="20"/>
        </w:rPr>
        <w:t xml:space="preserve"> 2006 (</w:t>
      </w:r>
      <w:r w:rsidR="00C55A38" w:rsidRPr="0093262F">
        <w:rPr>
          <w:sz w:val="20"/>
          <w:szCs w:val="20"/>
        </w:rPr>
        <w:t>4),</w:t>
      </w:r>
      <w:r w:rsidRPr="0093262F">
        <w:rPr>
          <w:sz w:val="20"/>
          <w:szCs w:val="20"/>
        </w:rPr>
        <w:t xml:space="preserve"> s. 875-887.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4A0D"/>
    <w:multiLevelType w:val="hybridMultilevel"/>
    <w:tmpl w:val="D9B0F28E"/>
    <w:lvl w:ilvl="0" w:tplc="786433C0">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15"/>
    <w:rsid w:val="0000057C"/>
    <w:rsid w:val="00047397"/>
    <w:rsid w:val="000474DB"/>
    <w:rsid w:val="000804E9"/>
    <w:rsid w:val="000A64B0"/>
    <w:rsid w:val="000A7280"/>
    <w:rsid w:val="000B32D5"/>
    <w:rsid w:val="000D3132"/>
    <w:rsid w:val="00142F54"/>
    <w:rsid w:val="00145914"/>
    <w:rsid w:val="00152C1B"/>
    <w:rsid w:val="001606EF"/>
    <w:rsid w:val="00174B97"/>
    <w:rsid w:val="001847E5"/>
    <w:rsid w:val="00197BAC"/>
    <w:rsid w:val="001A25CA"/>
    <w:rsid w:val="001A6790"/>
    <w:rsid w:val="001B538C"/>
    <w:rsid w:val="001C4615"/>
    <w:rsid w:val="001C7E63"/>
    <w:rsid w:val="001F35C3"/>
    <w:rsid w:val="001F6D9A"/>
    <w:rsid w:val="002020F0"/>
    <w:rsid w:val="00205A40"/>
    <w:rsid w:val="00227FD0"/>
    <w:rsid w:val="0023743C"/>
    <w:rsid w:val="0023754D"/>
    <w:rsid w:val="0024480B"/>
    <w:rsid w:val="00257C1A"/>
    <w:rsid w:val="00271868"/>
    <w:rsid w:val="002766E6"/>
    <w:rsid w:val="00294E28"/>
    <w:rsid w:val="002954A7"/>
    <w:rsid w:val="002B5C2E"/>
    <w:rsid w:val="002C0F16"/>
    <w:rsid w:val="002D4E3A"/>
    <w:rsid w:val="002F304E"/>
    <w:rsid w:val="002F375B"/>
    <w:rsid w:val="00305464"/>
    <w:rsid w:val="003103D6"/>
    <w:rsid w:val="00316C70"/>
    <w:rsid w:val="003202DC"/>
    <w:rsid w:val="0032516E"/>
    <w:rsid w:val="00347149"/>
    <w:rsid w:val="003848E0"/>
    <w:rsid w:val="003940BE"/>
    <w:rsid w:val="003B3DA2"/>
    <w:rsid w:val="004310F0"/>
    <w:rsid w:val="00432630"/>
    <w:rsid w:val="00432F91"/>
    <w:rsid w:val="0046342C"/>
    <w:rsid w:val="004B5E94"/>
    <w:rsid w:val="004C05C9"/>
    <w:rsid w:val="004D55F3"/>
    <w:rsid w:val="004F04BE"/>
    <w:rsid w:val="004F167A"/>
    <w:rsid w:val="0050635E"/>
    <w:rsid w:val="005562DB"/>
    <w:rsid w:val="00560E1C"/>
    <w:rsid w:val="00591207"/>
    <w:rsid w:val="005A25E3"/>
    <w:rsid w:val="005B1A10"/>
    <w:rsid w:val="005B5BA3"/>
    <w:rsid w:val="005C32BA"/>
    <w:rsid w:val="00612299"/>
    <w:rsid w:val="0061503E"/>
    <w:rsid w:val="00675017"/>
    <w:rsid w:val="00677E5B"/>
    <w:rsid w:val="00684C6F"/>
    <w:rsid w:val="006B23C1"/>
    <w:rsid w:val="006B4DBA"/>
    <w:rsid w:val="006C1B21"/>
    <w:rsid w:val="006D21EB"/>
    <w:rsid w:val="006D611D"/>
    <w:rsid w:val="006E0E91"/>
    <w:rsid w:val="006E5DB3"/>
    <w:rsid w:val="006F3B98"/>
    <w:rsid w:val="006F6F45"/>
    <w:rsid w:val="007134DF"/>
    <w:rsid w:val="00715225"/>
    <w:rsid w:val="007259F9"/>
    <w:rsid w:val="007318C0"/>
    <w:rsid w:val="00742325"/>
    <w:rsid w:val="00743BB5"/>
    <w:rsid w:val="00750226"/>
    <w:rsid w:val="00767024"/>
    <w:rsid w:val="00786747"/>
    <w:rsid w:val="007A345F"/>
    <w:rsid w:val="007B3A5D"/>
    <w:rsid w:val="007D3198"/>
    <w:rsid w:val="007E7C97"/>
    <w:rsid w:val="007F408C"/>
    <w:rsid w:val="008014AB"/>
    <w:rsid w:val="00805176"/>
    <w:rsid w:val="0080536E"/>
    <w:rsid w:val="0083497C"/>
    <w:rsid w:val="0084231E"/>
    <w:rsid w:val="008457A9"/>
    <w:rsid w:val="00850C8C"/>
    <w:rsid w:val="00857489"/>
    <w:rsid w:val="00866DC2"/>
    <w:rsid w:val="00887EEF"/>
    <w:rsid w:val="0089248F"/>
    <w:rsid w:val="008A0A0F"/>
    <w:rsid w:val="008B0F3A"/>
    <w:rsid w:val="008C5F52"/>
    <w:rsid w:val="008D4C82"/>
    <w:rsid w:val="008E0734"/>
    <w:rsid w:val="008F6110"/>
    <w:rsid w:val="0093262F"/>
    <w:rsid w:val="00953A36"/>
    <w:rsid w:val="009622DF"/>
    <w:rsid w:val="00993E3D"/>
    <w:rsid w:val="009A0471"/>
    <w:rsid w:val="009A582C"/>
    <w:rsid w:val="009B1FBE"/>
    <w:rsid w:val="009C22D8"/>
    <w:rsid w:val="009C39B8"/>
    <w:rsid w:val="00A105E7"/>
    <w:rsid w:val="00A644BE"/>
    <w:rsid w:val="00A82D42"/>
    <w:rsid w:val="00A84DE0"/>
    <w:rsid w:val="00AB1E82"/>
    <w:rsid w:val="00AC3EA9"/>
    <w:rsid w:val="00AE3494"/>
    <w:rsid w:val="00B06C95"/>
    <w:rsid w:val="00B24128"/>
    <w:rsid w:val="00B31AE5"/>
    <w:rsid w:val="00B36946"/>
    <w:rsid w:val="00B52C87"/>
    <w:rsid w:val="00B52D33"/>
    <w:rsid w:val="00B648F3"/>
    <w:rsid w:val="00B81E1E"/>
    <w:rsid w:val="00B93BF4"/>
    <w:rsid w:val="00BA3C93"/>
    <w:rsid w:val="00BC0039"/>
    <w:rsid w:val="00BC41B1"/>
    <w:rsid w:val="00BE4732"/>
    <w:rsid w:val="00C11D34"/>
    <w:rsid w:val="00C21163"/>
    <w:rsid w:val="00C3008E"/>
    <w:rsid w:val="00C55A38"/>
    <w:rsid w:val="00C92820"/>
    <w:rsid w:val="00CA01F8"/>
    <w:rsid w:val="00CE4395"/>
    <w:rsid w:val="00D05842"/>
    <w:rsid w:val="00D26621"/>
    <w:rsid w:val="00D3172F"/>
    <w:rsid w:val="00D43555"/>
    <w:rsid w:val="00D501B5"/>
    <w:rsid w:val="00D66A3B"/>
    <w:rsid w:val="00DB4C6A"/>
    <w:rsid w:val="00DD25E0"/>
    <w:rsid w:val="00DD40EF"/>
    <w:rsid w:val="00DE2456"/>
    <w:rsid w:val="00E0116A"/>
    <w:rsid w:val="00E07185"/>
    <w:rsid w:val="00E17815"/>
    <w:rsid w:val="00E65184"/>
    <w:rsid w:val="00E67C6C"/>
    <w:rsid w:val="00E7103C"/>
    <w:rsid w:val="00E80C3A"/>
    <w:rsid w:val="00E81D60"/>
    <w:rsid w:val="00E93E01"/>
    <w:rsid w:val="00EC0F76"/>
    <w:rsid w:val="00EC544E"/>
    <w:rsid w:val="00EC6261"/>
    <w:rsid w:val="00ED1612"/>
    <w:rsid w:val="00F1751C"/>
    <w:rsid w:val="00F23E24"/>
    <w:rsid w:val="00F95458"/>
    <w:rsid w:val="00FB5532"/>
    <w:rsid w:val="00FC26A4"/>
    <w:rsid w:val="00FC6EEC"/>
    <w:rsid w:val="00FF690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54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18C0"/>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C22D8"/>
    <w:pPr>
      <w:spacing w:after="0" w:line="240" w:lineRule="auto"/>
    </w:pPr>
    <w:rPr>
      <w:sz w:val="20"/>
      <w:szCs w:val="20"/>
    </w:rPr>
  </w:style>
  <w:style w:type="character" w:customStyle="1" w:styleId="FootnoteTextChar">
    <w:name w:val="Footnote Text Char"/>
    <w:basedOn w:val="DefaultParagraphFont"/>
    <w:link w:val="FootnoteText"/>
    <w:uiPriority w:val="99"/>
    <w:rsid w:val="009C22D8"/>
    <w:rPr>
      <w:sz w:val="20"/>
      <w:szCs w:val="20"/>
    </w:rPr>
  </w:style>
  <w:style w:type="character" w:styleId="FootnoteReference">
    <w:name w:val="footnote reference"/>
    <w:basedOn w:val="DefaultParagraphFont"/>
    <w:uiPriority w:val="99"/>
    <w:semiHidden/>
    <w:unhideWhenUsed/>
    <w:rsid w:val="009C22D8"/>
    <w:rPr>
      <w:vertAlign w:val="superscript"/>
    </w:rPr>
  </w:style>
  <w:style w:type="character" w:styleId="Hyperlink">
    <w:name w:val="Hyperlink"/>
    <w:basedOn w:val="DefaultParagraphFont"/>
    <w:uiPriority w:val="99"/>
    <w:unhideWhenUsed/>
    <w:rsid w:val="00C92820"/>
    <w:rPr>
      <w:color w:val="0563C1" w:themeColor="hyperlink"/>
      <w:u w:val="single"/>
    </w:rPr>
  </w:style>
  <w:style w:type="character" w:styleId="Strong">
    <w:name w:val="Strong"/>
    <w:uiPriority w:val="22"/>
    <w:qFormat/>
    <w:rsid w:val="00866DC2"/>
    <w:rPr>
      <w:b/>
      <w:bCs/>
    </w:rPr>
  </w:style>
  <w:style w:type="paragraph" w:customStyle="1" w:styleId="MAKALE">
    <w:name w:val="MAKALE"/>
    <w:basedOn w:val="Normal"/>
    <w:qFormat/>
    <w:rsid w:val="00866DC2"/>
    <w:pPr>
      <w:autoSpaceDE w:val="0"/>
      <w:autoSpaceDN w:val="0"/>
      <w:adjustRightInd w:val="0"/>
      <w:spacing w:after="0" w:line="480" w:lineRule="auto"/>
      <w:ind w:firstLine="567"/>
      <w:jc w:val="center"/>
    </w:pPr>
    <w:rPr>
      <w:rFonts w:eastAsia="Times New Roman"/>
      <w:b/>
      <w:lang w:eastAsia="tr-TR"/>
    </w:rPr>
  </w:style>
  <w:style w:type="paragraph" w:customStyle="1" w:styleId="Stil2">
    <w:name w:val="Stil2"/>
    <w:basedOn w:val="Normal"/>
    <w:qFormat/>
    <w:rsid w:val="00E80C3A"/>
    <w:pPr>
      <w:autoSpaceDE w:val="0"/>
      <w:autoSpaceDN w:val="0"/>
      <w:adjustRightInd w:val="0"/>
      <w:spacing w:after="0" w:line="360" w:lineRule="auto"/>
    </w:pPr>
    <w:rPr>
      <w:rFonts w:eastAsia="Times New Roman"/>
      <w:b/>
      <w:lang w:eastAsia="tr-TR"/>
    </w:rPr>
  </w:style>
  <w:style w:type="character" w:customStyle="1" w:styleId="Heading1Char">
    <w:name w:val="Heading 1 Char"/>
    <w:basedOn w:val="DefaultParagraphFont"/>
    <w:link w:val="Heading1"/>
    <w:uiPriority w:val="9"/>
    <w:rsid w:val="007318C0"/>
    <w:rPr>
      <w:rFonts w:asciiTheme="majorHAnsi" w:eastAsiaTheme="majorEastAsia" w:hAnsiTheme="majorHAnsi" w:cstheme="majorBidi"/>
      <w:color w:val="2E74B5" w:themeColor="accent1" w:themeShade="BF"/>
      <w:sz w:val="32"/>
      <w:szCs w:val="32"/>
      <w:lang w:eastAsia="tr-TR"/>
    </w:rPr>
  </w:style>
  <w:style w:type="paragraph" w:styleId="NormalWeb">
    <w:name w:val="Normal (Web)"/>
    <w:basedOn w:val="Normal"/>
    <w:uiPriority w:val="99"/>
    <w:semiHidden/>
    <w:unhideWhenUsed/>
    <w:rsid w:val="005B1A10"/>
    <w:pPr>
      <w:spacing w:before="100" w:beforeAutospacing="1" w:after="100" w:afterAutospacing="1" w:line="240" w:lineRule="auto"/>
    </w:pPr>
    <w:rPr>
      <w:rFonts w:eastAsia="Times New Roman"/>
      <w:lang w:eastAsia="tr-TR"/>
    </w:rPr>
  </w:style>
  <w:style w:type="paragraph" w:styleId="Header">
    <w:name w:val="header"/>
    <w:basedOn w:val="Normal"/>
    <w:link w:val="HeaderChar"/>
    <w:uiPriority w:val="99"/>
    <w:unhideWhenUsed/>
    <w:rsid w:val="00B93B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3BF4"/>
  </w:style>
  <w:style w:type="paragraph" w:styleId="Footer">
    <w:name w:val="footer"/>
    <w:basedOn w:val="Normal"/>
    <w:link w:val="FooterChar"/>
    <w:uiPriority w:val="99"/>
    <w:unhideWhenUsed/>
    <w:rsid w:val="00B93B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3B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18C0"/>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C22D8"/>
    <w:pPr>
      <w:spacing w:after="0" w:line="240" w:lineRule="auto"/>
    </w:pPr>
    <w:rPr>
      <w:sz w:val="20"/>
      <w:szCs w:val="20"/>
    </w:rPr>
  </w:style>
  <w:style w:type="character" w:customStyle="1" w:styleId="FootnoteTextChar">
    <w:name w:val="Footnote Text Char"/>
    <w:basedOn w:val="DefaultParagraphFont"/>
    <w:link w:val="FootnoteText"/>
    <w:uiPriority w:val="99"/>
    <w:rsid w:val="009C22D8"/>
    <w:rPr>
      <w:sz w:val="20"/>
      <w:szCs w:val="20"/>
    </w:rPr>
  </w:style>
  <w:style w:type="character" w:styleId="FootnoteReference">
    <w:name w:val="footnote reference"/>
    <w:basedOn w:val="DefaultParagraphFont"/>
    <w:uiPriority w:val="99"/>
    <w:semiHidden/>
    <w:unhideWhenUsed/>
    <w:rsid w:val="009C22D8"/>
    <w:rPr>
      <w:vertAlign w:val="superscript"/>
    </w:rPr>
  </w:style>
  <w:style w:type="character" w:styleId="Hyperlink">
    <w:name w:val="Hyperlink"/>
    <w:basedOn w:val="DefaultParagraphFont"/>
    <w:uiPriority w:val="99"/>
    <w:unhideWhenUsed/>
    <w:rsid w:val="00C92820"/>
    <w:rPr>
      <w:color w:val="0563C1" w:themeColor="hyperlink"/>
      <w:u w:val="single"/>
    </w:rPr>
  </w:style>
  <w:style w:type="character" w:styleId="Strong">
    <w:name w:val="Strong"/>
    <w:uiPriority w:val="22"/>
    <w:qFormat/>
    <w:rsid w:val="00866DC2"/>
    <w:rPr>
      <w:b/>
      <w:bCs/>
    </w:rPr>
  </w:style>
  <w:style w:type="paragraph" w:customStyle="1" w:styleId="MAKALE">
    <w:name w:val="MAKALE"/>
    <w:basedOn w:val="Normal"/>
    <w:qFormat/>
    <w:rsid w:val="00866DC2"/>
    <w:pPr>
      <w:autoSpaceDE w:val="0"/>
      <w:autoSpaceDN w:val="0"/>
      <w:adjustRightInd w:val="0"/>
      <w:spacing w:after="0" w:line="480" w:lineRule="auto"/>
      <w:ind w:firstLine="567"/>
      <w:jc w:val="center"/>
    </w:pPr>
    <w:rPr>
      <w:rFonts w:eastAsia="Times New Roman"/>
      <w:b/>
      <w:lang w:eastAsia="tr-TR"/>
    </w:rPr>
  </w:style>
  <w:style w:type="paragraph" w:customStyle="1" w:styleId="Stil2">
    <w:name w:val="Stil2"/>
    <w:basedOn w:val="Normal"/>
    <w:qFormat/>
    <w:rsid w:val="00E80C3A"/>
    <w:pPr>
      <w:autoSpaceDE w:val="0"/>
      <w:autoSpaceDN w:val="0"/>
      <w:adjustRightInd w:val="0"/>
      <w:spacing w:after="0" w:line="360" w:lineRule="auto"/>
    </w:pPr>
    <w:rPr>
      <w:rFonts w:eastAsia="Times New Roman"/>
      <w:b/>
      <w:lang w:eastAsia="tr-TR"/>
    </w:rPr>
  </w:style>
  <w:style w:type="character" w:customStyle="1" w:styleId="Heading1Char">
    <w:name w:val="Heading 1 Char"/>
    <w:basedOn w:val="DefaultParagraphFont"/>
    <w:link w:val="Heading1"/>
    <w:uiPriority w:val="9"/>
    <w:rsid w:val="007318C0"/>
    <w:rPr>
      <w:rFonts w:asciiTheme="majorHAnsi" w:eastAsiaTheme="majorEastAsia" w:hAnsiTheme="majorHAnsi" w:cstheme="majorBidi"/>
      <w:color w:val="2E74B5" w:themeColor="accent1" w:themeShade="BF"/>
      <w:sz w:val="32"/>
      <w:szCs w:val="32"/>
      <w:lang w:eastAsia="tr-TR"/>
    </w:rPr>
  </w:style>
  <w:style w:type="paragraph" w:styleId="NormalWeb">
    <w:name w:val="Normal (Web)"/>
    <w:basedOn w:val="Normal"/>
    <w:uiPriority w:val="99"/>
    <w:semiHidden/>
    <w:unhideWhenUsed/>
    <w:rsid w:val="005B1A10"/>
    <w:pPr>
      <w:spacing w:before="100" w:beforeAutospacing="1" w:after="100" w:afterAutospacing="1" w:line="240" w:lineRule="auto"/>
    </w:pPr>
    <w:rPr>
      <w:rFonts w:eastAsia="Times New Roman"/>
      <w:lang w:eastAsia="tr-TR"/>
    </w:rPr>
  </w:style>
  <w:style w:type="paragraph" w:styleId="Header">
    <w:name w:val="header"/>
    <w:basedOn w:val="Normal"/>
    <w:link w:val="HeaderChar"/>
    <w:uiPriority w:val="99"/>
    <w:unhideWhenUsed/>
    <w:rsid w:val="00B93B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3BF4"/>
  </w:style>
  <w:style w:type="paragraph" w:styleId="Footer">
    <w:name w:val="footer"/>
    <w:basedOn w:val="Normal"/>
    <w:link w:val="FooterChar"/>
    <w:uiPriority w:val="99"/>
    <w:unhideWhenUsed/>
    <w:rsid w:val="00B93B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3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2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orcid.org/0000-0002-9218-5473" TargetMode="External"/><Relationship Id="rId10" Type="http://schemas.openxmlformats.org/officeDocument/2006/relationships/hyperlink" Target="mailto:ilknurkaya@anadolu.edu.t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affichTexte.do?cidTexte=JORFTEXT000000693897" TargetMode="External"/><Relationship Id="rId4" Type="http://schemas.openxmlformats.org/officeDocument/2006/relationships/hyperlink" Target="https://www.legifrance.gouv.fr/affichTexte.do;jsessionid=3DA3918B1389C13FBFAC47442565E30A.tpdjo16v_3?cidTexte=JORFTEXT000000322519&amp;dateTexte=19940228" TargetMode="External"/><Relationship Id="rId5" Type="http://schemas.openxmlformats.org/officeDocument/2006/relationships/hyperlink" Target="https://www.dalloz.fr" TargetMode="External"/><Relationship Id="rId1" Type="http://schemas.openxmlformats.org/officeDocument/2006/relationships/hyperlink" Target="http://orcid.org/0000-0002-9218-5473" TargetMode="External"/><Relationship Id="rId2" Type="http://schemas.openxmlformats.org/officeDocument/2006/relationships/hyperlink" Target="mailto:ilknurkaya@anadol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9A9F3-6667-0546-93A2-67F230E4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5202</Words>
  <Characters>29654</Characters>
  <Application>Microsoft Macintosh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Betul Aktas</cp:lastModifiedBy>
  <cp:revision>6</cp:revision>
  <dcterms:created xsi:type="dcterms:W3CDTF">2020-07-13T19:55:00Z</dcterms:created>
  <dcterms:modified xsi:type="dcterms:W3CDTF">2020-10-27T10:24:00Z</dcterms:modified>
</cp:coreProperties>
</file>