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1AFAB" w14:textId="0A976A90" w:rsidR="0087418D" w:rsidRDefault="00323DA8" w:rsidP="007932F0">
      <w:pPr>
        <w:spacing w:line="360" w:lineRule="auto"/>
        <w:jc w:val="center"/>
        <w:rPr>
          <w:rFonts w:ascii="Times New Roman" w:hAnsi="Times New Roman" w:cs="Times New Roman"/>
          <w:b/>
        </w:rPr>
      </w:pPr>
      <w:r>
        <w:rPr>
          <w:rFonts w:ascii="Times New Roman" w:hAnsi="Times New Roman" w:cs="Times New Roman"/>
          <w:b/>
        </w:rPr>
        <w:t xml:space="preserve">TÜRK </w:t>
      </w:r>
      <w:r w:rsidR="00C0435F">
        <w:rPr>
          <w:rFonts w:ascii="Times New Roman" w:hAnsi="Times New Roman" w:cs="Times New Roman"/>
          <w:b/>
        </w:rPr>
        <w:t>VE FRANSIZ CEZA MUHAKEMESİ HUKUKLARINDA</w:t>
      </w:r>
      <w:r>
        <w:rPr>
          <w:rFonts w:ascii="Times New Roman" w:hAnsi="Times New Roman" w:cs="Times New Roman"/>
          <w:b/>
        </w:rPr>
        <w:t xml:space="preserve"> SERİ MUHAKEME </w:t>
      </w:r>
      <w:r w:rsidR="009A642B">
        <w:rPr>
          <w:rFonts w:ascii="Times New Roman" w:hAnsi="Times New Roman" w:cs="Times New Roman"/>
          <w:b/>
        </w:rPr>
        <w:t>USULÜNE KARŞILAŞTIRMALI BAKIŞ</w:t>
      </w:r>
    </w:p>
    <w:p w14:paraId="6DDFD7DF" w14:textId="6987E9A0" w:rsidR="007932F0" w:rsidRPr="00824264" w:rsidRDefault="009A33EF" w:rsidP="007932F0">
      <w:pPr>
        <w:spacing w:line="360" w:lineRule="auto"/>
        <w:jc w:val="center"/>
        <w:rPr>
          <w:rFonts w:ascii="Times New Roman" w:hAnsi="Times New Roman" w:cs="Times New Roman"/>
          <w:b/>
          <w:i/>
        </w:rPr>
      </w:pPr>
      <w:r w:rsidRPr="00824264">
        <w:rPr>
          <w:rFonts w:ascii="Times New Roman" w:hAnsi="Times New Roman" w:cs="Times New Roman"/>
          <w:b/>
          <w:i/>
        </w:rPr>
        <w:t>A Comparative Look At The Accelerated Procedures In Turkish And French Criminal Procedure Law</w:t>
      </w:r>
    </w:p>
    <w:p w14:paraId="79D6AFB1" w14:textId="77777777" w:rsidR="005438A6" w:rsidRPr="007932F0" w:rsidRDefault="005438A6" w:rsidP="007932F0">
      <w:pPr>
        <w:spacing w:line="360" w:lineRule="auto"/>
        <w:jc w:val="center"/>
        <w:rPr>
          <w:rFonts w:ascii="Times New Roman" w:hAnsi="Times New Roman" w:cs="Times New Roman"/>
          <w:i/>
        </w:rPr>
      </w:pPr>
    </w:p>
    <w:p w14:paraId="0B778285" w14:textId="42E1E858" w:rsidR="00DA3A80" w:rsidRDefault="005438A6" w:rsidP="005438A6">
      <w:pPr>
        <w:spacing w:line="360" w:lineRule="auto"/>
        <w:ind w:firstLine="720"/>
        <w:jc w:val="right"/>
        <w:rPr>
          <w:rFonts w:ascii="Times New Roman" w:hAnsi="Times New Roman" w:cs="Times New Roman"/>
        </w:rPr>
      </w:pPr>
      <w:r>
        <w:rPr>
          <w:rFonts w:ascii="Times New Roman" w:hAnsi="Times New Roman" w:cs="Times New Roman"/>
        </w:rPr>
        <w:t>Ar. Gör. Melike Ezgi Yetimoğlu</w:t>
      </w:r>
      <w:r w:rsidR="00167335">
        <w:rPr>
          <w:rStyle w:val="FootnoteReference"/>
          <w:rFonts w:ascii="Times New Roman" w:hAnsi="Times New Roman" w:cs="Times New Roman"/>
        </w:rPr>
        <w:footnoteReference w:customMarkFollows="1" w:id="1"/>
        <w:t>*</w:t>
      </w:r>
    </w:p>
    <w:p w14:paraId="522C1FCE" w14:textId="77777777" w:rsidR="007932F0" w:rsidRPr="005438A6" w:rsidRDefault="007932F0" w:rsidP="00E0200C">
      <w:pPr>
        <w:pStyle w:val="Heading1"/>
        <w:rPr>
          <w:sz w:val="20"/>
          <w:szCs w:val="20"/>
        </w:rPr>
      </w:pPr>
      <w:r w:rsidRPr="005438A6">
        <w:rPr>
          <w:sz w:val="20"/>
          <w:szCs w:val="20"/>
        </w:rPr>
        <w:t>Öz:</w:t>
      </w:r>
    </w:p>
    <w:p w14:paraId="333886FB" w14:textId="65222E61" w:rsidR="007932F0" w:rsidRPr="005438A6" w:rsidRDefault="007932F0" w:rsidP="00E0200C">
      <w:pPr>
        <w:spacing w:line="360" w:lineRule="auto"/>
        <w:jc w:val="both"/>
        <w:rPr>
          <w:rFonts w:ascii="Times New Roman" w:hAnsi="Times New Roman" w:cs="Times New Roman"/>
          <w:sz w:val="20"/>
          <w:szCs w:val="20"/>
        </w:rPr>
      </w:pPr>
      <w:r w:rsidRPr="005438A6">
        <w:rPr>
          <w:rFonts w:ascii="Times New Roman" w:hAnsi="Times New Roman" w:cs="Times New Roman"/>
          <w:sz w:val="20"/>
          <w:szCs w:val="20"/>
        </w:rPr>
        <w:t>7188 sayılı Kanun ile ceza muhakemesi hukukumuza dahi</w:t>
      </w:r>
      <w:r w:rsidR="00E0200C" w:rsidRPr="005438A6">
        <w:rPr>
          <w:rFonts w:ascii="Times New Roman" w:hAnsi="Times New Roman" w:cs="Times New Roman"/>
          <w:sz w:val="20"/>
          <w:szCs w:val="20"/>
        </w:rPr>
        <w:t xml:space="preserve">l edilen seri muhakeme usulü Fransız hukukunda 2004 yılından </w:t>
      </w:r>
      <w:r w:rsidR="005C4B5C">
        <w:rPr>
          <w:rFonts w:ascii="Times New Roman" w:hAnsi="Times New Roman" w:cs="Times New Roman"/>
          <w:sz w:val="20"/>
          <w:szCs w:val="20"/>
        </w:rPr>
        <w:t>beri</w:t>
      </w:r>
      <w:r w:rsidR="00E0200C" w:rsidRPr="005438A6">
        <w:rPr>
          <w:rFonts w:ascii="Times New Roman" w:hAnsi="Times New Roman" w:cs="Times New Roman"/>
          <w:sz w:val="20"/>
          <w:szCs w:val="20"/>
        </w:rPr>
        <w:t xml:space="preserve"> uygulanmakta olan </w:t>
      </w:r>
      <w:r w:rsidR="00C97D98">
        <w:rPr>
          <w:rFonts w:ascii="Times New Roman" w:hAnsi="Times New Roman" w:cs="Times New Roman"/>
          <w:sz w:val="20"/>
          <w:szCs w:val="20"/>
        </w:rPr>
        <w:t>“</w:t>
      </w:r>
      <w:r w:rsidR="00E0200C" w:rsidRPr="005438A6">
        <w:rPr>
          <w:rFonts w:ascii="Times New Roman" w:hAnsi="Times New Roman" w:cs="Times New Roman"/>
          <w:sz w:val="20"/>
          <w:szCs w:val="20"/>
        </w:rPr>
        <w:t>suçluluğun ön kabulü üzerine duruşma</w:t>
      </w:r>
      <w:r w:rsidR="00C97D98">
        <w:rPr>
          <w:rFonts w:ascii="Times New Roman" w:hAnsi="Times New Roman" w:cs="Times New Roman"/>
          <w:sz w:val="20"/>
          <w:szCs w:val="20"/>
        </w:rPr>
        <w:t>”</w:t>
      </w:r>
      <w:r w:rsidR="00E0200C" w:rsidRPr="005438A6">
        <w:rPr>
          <w:rFonts w:ascii="Times New Roman" w:hAnsi="Times New Roman" w:cs="Times New Roman"/>
          <w:sz w:val="20"/>
          <w:szCs w:val="20"/>
        </w:rPr>
        <w:t xml:space="preserve"> usulüne benzer bir kurum olarak ihdas edilmiştir. Çalışmada seri muhakeme usulünün koşulları ve genel özelliklerinin Fransız hukukundaki örnekle karşılaştırılarak uygulama</w:t>
      </w:r>
      <w:r w:rsidR="006613FB" w:rsidRPr="005438A6">
        <w:rPr>
          <w:rFonts w:ascii="Times New Roman" w:hAnsi="Times New Roman" w:cs="Times New Roman"/>
          <w:sz w:val="20"/>
          <w:szCs w:val="20"/>
        </w:rPr>
        <w:t xml:space="preserve">da yol gösterici sonuçlara ulaşılması amaçlanmıştır. Bu amaç doğrultusunda yapılan çalışmada Türk hukukundaki seri muhakeme usulünün Fransız hukukundaki örnekten farklı kaleme alındığı tespit edilmiş, bu farklılıkların </w:t>
      </w:r>
      <w:r w:rsidR="005F20DA" w:rsidRPr="005438A6">
        <w:rPr>
          <w:rFonts w:ascii="Times New Roman" w:hAnsi="Times New Roman" w:cs="Times New Roman"/>
          <w:sz w:val="20"/>
          <w:szCs w:val="20"/>
        </w:rPr>
        <w:t>özelli</w:t>
      </w:r>
      <w:r w:rsidR="005438A6" w:rsidRPr="005438A6">
        <w:rPr>
          <w:rFonts w:ascii="Times New Roman" w:hAnsi="Times New Roman" w:cs="Times New Roman"/>
          <w:sz w:val="20"/>
          <w:szCs w:val="20"/>
        </w:rPr>
        <w:t>kle şüphelinin savunmasını hazırlama ve müdafiden yararlanma hakkının kapsamı, savcılığın yargısal yetkilerinin genişliği ve yeterli yargısal denetimin tesis edil</w:t>
      </w:r>
      <w:r w:rsidR="00587807">
        <w:rPr>
          <w:rFonts w:ascii="Times New Roman" w:hAnsi="Times New Roman" w:cs="Times New Roman"/>
          <w:sz w:val="20"/>
          <w:szCs w:val="20"/>
        </w:rPr>
        <w:t>me</w:t>
      </w:r>
      <w:r w:rsidR="005438A6" w:rsidRPr="005438A6">
        <w:rPr>
          <w:rFonts w:ascii="Times New Roman" w:hAnsi="Times New Roman" w:cs="Times New Roman"/>
          <w:sz w:val="20"/>
          <w:szCs w:val="20"/>
        </w:rPr>
        <w:t xml:space="preserve">miş olması </w:t>
      </w:r>
      <w:r w:rsidR="00A20A58">
        <w:rPr>
          <w:rFonts w:ascii="Times New Roman" w:hAnsi="Times New Roman" w:cs="Times New Roman"/>
          <w:sz w:val="20"/>
          <w:szCs w:val="20"/>
        </w:rPr>
        <w:t>gibi yönler</w:t>
      </w:r>
      <w:r w:rsidR="005438A6" w:rsidRPr="005438A6">
        <w:rPr>
          <w:rFonts w:ascii="Times New Roman" w:hAnsi="Times New Roman" w:cs="Times New Roman"/>
          <w:sz w:val="20"/>
          <w:szCs w:val="20"/>
        </w:rPr>
        <w:t>den adil yargılanma hakkı ve ce</w:t>
      </w:r>
      <w:r w:rsidR="000C040A">
        <w:rPr>
          <w:rFonts w:ascii="Times New Roman" w:hAnsi="Times New Roman" w:cs="Times New Roman"/>
          <w:sz w:val="20"/>
          <w:szCs w:val="20"/>
        </w:rPr>
        <w:t xml:space="preserve">za muhakemesinin temel ilkeleriyle </w:t>
      </w:r>
      <w:r w:rsidR="00F67338">
        <w:rPr>
          <w:rFonts w:ascii="Times New Roman" w:hAnsi="Times New Roman" w:cs="Times New Roman"/>
          <w:sz w:val="20"/>
          <w:szCs w:val="20"/>
        </w:rPr>
        <w:t xml:space="preserve">her noktada </w:t>
      </w:r>
      <w:r w:rsidR="000C040A">
        <w:rPr>
          <w:rFonts w:ascii="Times New Roman" w:hAnsi="Times New Roman" w:cs="Times New Roman"/>
          <w:sz w:val="20"/>
          <w:szCs w:val="20"/>
        </w:rPr>
        <w:t xml:space="preserve">uyum göstermediği </w:t>
      </w:r>
      <w:r w:rsidR="005438A6" w:rsidRPr="005438A6">
        <w:rPr>
          <w:rFonts w:ascii="Times New Roman" w:hAnsi="Times New Roman" w:cs="Times New Roman"/>
          <w:sz w:val="20"/>
          <w:szCs w:val="20"/>
        </w:rPr>
        <w:t xml:space="preserve">sonucuna ulaşılmıştır. </w:t>
      </w:r>
    </w:p>
    <w:p w14:paraId="17492D81" w14:textId="77777777" w:rsidR="005438A6" w:rsidRPr="005438A6" w:rsidRDefault="005438A6" w:rsidP="00E0200C">
      <w:pPr>
        <w:spacing w:line="360" w:lineRule="auto"/>
        <w:jc w:val="both"/>
        <w:rPr>
          <w:rFonts w:ascii="Times New Roman" w:hAnsi="Times New Roman" w:cs="Times New Roman"/>
          <w:sz w:val="20"/>
          <w:szCs w:val="20"/>
        </w:rPr>
      </w:pPr>
    </w:p>
    <w:p w14:paraId="6D6378B7" w14:textId="50734338" w:rsidR="005438A6" w:rsidRPr="005438A6" w:rsidRDefault="005438A6" w:rsidP="00E0200C">
      <w:pPr>
        <w:spacing w:line="360" w:lineRule="auto"/>
        <w:jc w:val="both"/>
        <w:rPr>
          <w:rFonts w:ascii="Times New Roman" w:hAnsi="Times New Roman" w:cs="Times New Roman"/>
          <w:b/>
          <w:sz w:val="20"/>
          <w:szCs w:val="20"/>
        </w:rPr>
      </w:pPr>
      <w:r w:rsidRPr="005438A6">
        <w:rPr>
          <w:rFonts w:ascii="Times New Roman" w:hAnsi="Times New Roman" w:cs="Times New Roman"/>
          <w:b/>
          <w:sz w:val="20"/>
          <w:szCs w:val="20"/>
        </w:rPr>
        <w:t xml:space="preserve">Anahtar Kelimeler: </w:t>
      </w:r>
    </w:p>
    <w:p w14:paraId="1C1AEFEE" w14:textId="63152516" w:rsidR="005438A6" w:rsidRPr="0017608D" w:rsidRDefault="0017608D" w:rsidP="00E0200C">
      <w:pPr>
        <w:spacing w:line="360" w:lineRule="auto"/>
        <w:jc w:val="both"/>
        <w:rPr>
          <w:rFonts w:ascii="Times New Roman" w:hAnsi="Times New Roman" w:cs="Times New Roman"/>
          <w:sz w:val="20"/>
          <w:szCs w:val="20"/>
        </w:rPr>
      </w:pPr>
      <w:r>
        <w:rPr>
          <w:rFonts w:ascii="Times New Roman" w:hAnsi="Times New Roman" w:cs="Times New Roman"/>
          <w:sz w:val="20"/>
          <w:szCs w:val="20"/>
        </w:rPr>
        <w:t>Ceza Muhakemesi, Seri Muhakeme Usulü, Fransız H</w:t>
      </w:r>
      <w:r w:rsidR="005438A6" w:rsidRPr="005438A6">
        <w:rPr>
          <w:rFonts w:ascii="Times New Roman" w:hAnsi="Times New Roman" w:cs="Times New Roman"/>
          <w:sz w:val="20"/>
          <w:szCs w:val="20"/>
        </w:rPr>
        <w:t xml:space="preserve">ukuku, Alternatif </w:t>
      </w:r>
      <w:r>
        <w:rPr>
          <w:rFonts w:ascii="Times New Roman" w:hAnsi="Times New Roman" w:cs="Times New Roman"/>
          <w:sz w:val="20"/>
          <w:szCs w:val="20"/>
        </w:rPr>
        <w:t>U</w:t>
      </w:r>
      <w:r w:rsidR="00E21DCB">
        <w:rPr>
          <w:rFonts w:ascii="Times New Roman" w:hAnsi="Times New Roman" w:cs="Times New Roman"/>
          <w:sz w:val="20"/>
          <w:szCs w:val="20"/>
        </w:rPr>
        <w:t xml:space="preserve">yuşmazlık </w:t>
      </w:r>
      <w:r>
        <w:rPr>
          <w:rFonts w:ascii="Times New Roman" w:hAnsi="Times New Roman" w:cs="Times New Roman"/>
          <w:sz w:val="20"/>
          <w:szCs w:val="20"/>
        </w:rPr>
        <w:t>Ç</w:t>
      </w:r>
      <w:r w:rsidR="00092465">
        <w:rPr>
          <w:rFonts w:ascii="Times New Roman" w:hAnsi="Times New Roman" w:cs="Times New Roman"/>
          <w:sz w:val="20"/>
          <w:szCs w:val="20"/>
        </w:rPr>
        <w:t>özüm</w:t>
      </w:r>
      <w:r w:rsidR="00E21DCB">
        <w:rPr>
          <w:rFonts w:ascii="Times New Roman" w:hAnsi="Times New Roman" w:cs="Times New Roman"/>
          <w:sz w:val="20"/>
          <w:szCs w:val="20"/>
        </w:rPr>
        <w:t xml:space="preserve">ü, </w:t>
      </w:r>
      <w:r>
        <w:rPr>
          <w:rFonts w:ascii="Times New Roman" w:hAnsi="Times New Roman" w:cs="Times New Roman"/>
          <w:sz w:val="20"/>
          <w:szCs w:val="20"/>
        </w:rPr>
        <w:t>Adil Y</w:t>
      </w:r>
      <w:r w:rsidR="003615BE">
        <w:rPr>
          <w:rFonts w:ascii="Times New Roman" w:hAnsi="Times New Roman" w:cs="Times New Roman"/>
          <w:sz w:val="20"/>
          <w:szCs w:val="20"/>
        </w:rPr>
        <w:t xml:space="preserve">argılanma </w:t>
      </w:r>
      <w:r w:rsidRPr="0017608D">
        <w:rPr>
          <w:rFonts w:ascii="Times New Roman" w:hAnsi="Times New Roman" w:cs="Times New Roman"/>
          <w:sz w:val="20"/>
          <w:szCs w:val="20"/>
        </w:rPr>
        <w:t>H</w:t>
      </w:r>
      <w:r w:rsidR="003615BE" w:rsidRPr="0017608D">
        <w:rPr>
          <w:rFonts w:ascii="Times New Roman" w:hAnsi="Times New Roman" w:cs="Times New Roman"/>
          <w:sz w:val="20"/>
          <w:szCs w:val="20"/>
        </w:rPr>
        <w:t>akkı</w:t>
      </w:r>
      <w:r w:rsidRPr="0017608D">
        <w:rPr>
          <w:rFonts w:ascii="Times New Roman" w:hAnsi="Times New Roman" w:cs="Times New Roman"/>
          <w:sz w:val="20"/>
          <w:szCs w:val="20"/>
        </w:rPr>
        <w:t>.</w:t>
      </w:r>
    </w:p>
    <w:p w14:paraId="105168AC" w14:textId="77777777" w:rsidR="00167335" w:rsidRDefault="00167335" w:rsidP="00E0200C">
      <w:pPr>
        <w:spacing w:line="360" w:lineRule="auto"/>
        <w:jc w:val="both"/>
        <w:rPr>
          <w:rFonts w:ascii="Times New Roman" w:hAnsi="Times New Roman" w:cs="Times New Roman"/>
          <w:sz w:val="20"/>
          <w:szCs w:val="20"/>
        </w:rPr>
      </w:pPr>
    </w:p>
    <w:p w14:paraId="1E293646" w14:textId="4B8D6E14" w:rsidR="00167335" w:rsidRPr="002B6DA7" w:rsidRDefault="00167335" w:rsidP="00E0200C">
      <w:pPr>
        <w:spacing w:line="360" w:lineRule="auto"/>
        <w:jc w:val="both"/>
        <w:rPr>
          <w:rFonts w:ascii="Times New Roman" w:hAnsi="Times New Roman" w:cs="Times New Roman"/>
          <w:b/>
          <w:sz w:val="20"/>
          <w:szCs w:val="20"/>
          <w:lang w:val="en-US"/>
        </w:rPr>
      </w:pPr>
      <w:r w:rsidRPr="002B6DA7">
        <w:rPr>
          <w:rFonts w:ascii="Times New Roman" w:hAnsi="Times New Roman" w:cs="Times New Roman"/>
          <w:b/>
          <w:sz w:val="20"/>
          <w:szCs w:val="20"/>
          <w:lang w:val="en-US"/>
        </w:rPr>
        <w:t xml:space="preserve">Abstract: </w:t>
      </w:r>
    </w:p>
    <w:p w14:paraId="2E13E037" w14:textId="2FFA7E0D" w:rsidR="00167335" w:rsidRPr="002B6DA7" w:rsidRDefault="005F5FDA" w:rsidP="00E0200C">
      <w:pPr>
        <w:spacing w:line="360" w:lineRule="auto"/>
        <w:jc w:val="both"/>
        <w:rPr>
          <w:rFonts w:ascii="Times New Roman" w:hAnsi="Times New Roman" w:cs="Times New Roman"/>
          <w:sz w:val="20"/>
          <w:szCs w:val="20"/>
          <w:lang w:val="en-US"/>
        </w:rPr>
      </w:pPr>
      <w:r w:rsidRPr="002B6DA7">
        <w:rPr>
          <w:rFonts w:ascii="Times New Roman" w:hAnsi="Times New Roman" w:cs="Times New Roman"/>
          <w:sz w:val="20"/>
          <w:szCs w:val="20"/>
          <w:lang w:val="en-US"/>
        </w:rPr>
        <w:t xml:space="preserve">Accelerated procedure is </w:t>
      </w:r>
      <w:r w:rsidR="00504275" w:rsidRPr="002B6DA7">
        <w:rPr>
          <w:rFonts w:ascii="Times New Roman" w:hAnsi="Times New Roman" w:cs="Times New Roman"/>
          <w:sz w:val="20"/>
          <w:szCs w:val="20"/>
          <w:lang w:val="en-US"/>
        </w:rPr>
        <w:t>incorporated</w:t>
      </w:r>
      <w:r w:rsidRPr="002B6DA7">
        <w:rPr>
          <w:rFonts w:ascii="Times New Roman" w:hAnsi="Times New Roman" w:cs="Times New Roman"/>
          <w:sz w:val="20"/>
          <w:szCs w:val="20"/>
          <w:lang w:val="en-US"/>
        </w:rPr>
        <w:t xml:space="preserve"> </w:t>
      </w:r>
      <w:r w:rsidR="00504275" w:rsidRPr="002B6DA7">
        <w:rPr>
          <w:rFonts w:ascii="Times New Roman" w:hAnsi="Times New Roman" w:cs="Times New Roman"/>
          <w:sz w:val="20"/>
          <w:szCs w:val="20"/>
          <w:lang w:val="en-US"/>
        </w:rPr>
        <w:t>in</w:t>
      </w:r>
      <w:r w:rsidRPr="002B6DA7">
        <w:rPr>
          <w:rFonts w:ascii="Times New Roman" w:hAnsi="Times New Roman" w:cs="Times New Roman"/>
          <w:sz w:val="20"/>
          <w:szCs w:val="20"/>
          <w:lang w:val="en-US"/>
        </w:rPr>
        <w:t xml:space="preserve">to Turkish criminal procedure system with </w:t>
      </w:r>
      <w:r w:rsidR="004C01EF" w:rsidRPr="002B6DA7">
        <w:rPr>
          <w:rFonts w:ascii="Times New Roman" w:hAnsi="Times New Roman" w:cs="Times New Roman"/>
          <w:sz w:val="20"/>
          <w:szCs w:val="20"/>
          <w:lang w:val="en-US"/>
        </w:rPr>
        <w:t xml:space="preserve">the </w:t>
      </w:r>
      <w:r w:rsidRPr="002B6DA7">
        <w:rPr>
          <w:rFonts w:ascii="Times New Roman" w:hAnsi="Times New Roman" w:cs="Times New Roman"/>
          <w:sz w:val="20"/>
          <w:szCs w:val="20"/>
          <w:lang w:val="en-US"/>
        </w:rPr>
        <w:t>Law No. 7188</w:t>
      </w:r>
      <w:r w:rsidR="003D5788" w:rsidRPr="002B6DA7">
        <w:rPr>
          <w:rFonts w:ascii="Times New Roman" w:hAnsi="Times New Roman" w:cs="Times New Roman"/>
          <w:sz w:val="20"/>
          <w:szCs w:val="20"/>
          <w:lang w:val="en-US"/>
        </w:rPr>
        <w:t xml:space="preserve"> and </w:t>
      </w:r>
      <w:r w:rsidR="00E13A00" w:rsidRPr="002B6DA7">
        <w:rPr>
          <w:rFonts w:ascii="Times New Roman" w:hAnsi="Times New Roman" w:cs="Times New Roman"/>
          <w:sz w:val="20"/>
          <w:szCs w:val="20"/>
          <w:lang w:val="en-US"/>
        </w:rPr>
        <w:t xml:space="preserve">created as a similar institution to the </w:t>
      </w:r>
      <w:r w:rsidR="00C97D98" w:rsidRPr="002B6DA7">
        <w:rPr>
          <w:rFonts w:ascii="Times New Roman" w:hAnsi="Times New Roman" w:cs="Times New Roman"/>
          <w:sz w:val="20"/>
          <w:szCs w:val="20"/>
          <w:lang w:val="en-US"/>
        </w:rPr>
        <w:t>“</w:t>
      </w:r>
      <w:r w:rsidR="002B6DA7" w:rsidRPr="002B6DA7">
        <w:rPr>
          <w:rFonts w:ascii="Times New Roman" w:hAnsi="Times New Roman" w:cs="Times New Roman"/>
          <w:sz w:val="20"/>
          <w:szCs w:val="20"/>
          <w:lang w:val="en-US"/>
        </w:rPr>
        <w:t>appearance</w:t>
      </w:r>
      <w:r w:rsidR="00693AB9" w:rsidRPr="002B6DA7">
        <w:rPr>
          <w:rFonts w:ascii="Times New Roman" w:hAnsi="Times New Roman" w:cs="Times New Roman"/>
          <w:sz w:val="20"/>
          <w:szCs w:val="20"/>
          <w:lang w:val="en-US"/>
        </w:rPr>
        <w:t xml:space="preserve"> </w:t>
      </w:r>
      <w:r w:rsidR="002B6DA7" w:rsidRPr="002B6DA7">
        <w:rPr>
          <w:rFonts w:ascii="Times New Roman" w:hAnsi="Times New Roman" w:cs="Times New Roman"/>
          <w:sz w:val="20"/>
          <w:szCs w:val="20"/>
          <w:lang w:val="en-US"/>
        </w:rPr>
        <w:t>upon</w:t>
      </w:r>
      <w:r w:rsidR="00693AB9" w:rsidRPr="002B6DA7">
        <w:rPr>
          <w:rFonts w:ascii="Times New Roman" w:hAnsi="Times New Roman" w:cs="Times New Roman"/>
          <w:sz w:val="20"/>
          <w:szCs w:val="20"/>
          <w:lang w:val="en-US"/>
        </w:rPr>
        <w:t xml:space="preserve"> prio</w:t>
      </w:r>
      <w:r w:rsidR="00E951ED" w:rsidRPr="002B6DA7">
        <w:rPr>
          <w:rFonts w:ascii="Times New Roman" w:hAnsi="Times New Roman" w:cs="Times New Roman"/>
          <w:sz w:val="20"/>
          <w:szCs w:val="20"/>
          <w:lang w:val="en-US"/>
        </w:rPr>
        <w:t>r recognition of guilt</w:t>
      </w:r>
      <w:r w:rsidR="00C97D98" w:rsidRPr="002B6DA7">
        <w:rPr>
          <w:rFonts w:ascii="Times New Roman" w:hAnsi="Times New Roman" w:cs="Times New Roman"/>
          <w:sz w:val="20"/>
          <w:szCs w:val="20"/>
          <w:lang w:val="en-US"/>
        </w:rPr>
        <w:t>”</w:t>
      </w:r>
      <w:r w:rsidR="00E951ED" w:rsidRPr="002B6DA7">
        <w:rPr>
          <w:rFonts w:ascii="Times New Roman" w:hAnsi="Times New Roman" w:cs="Times New Roman"/>
          <w:sz w:val="20"/>
          <w:szCs w:val="20"/>
          <w:lang w:val="en-US"/>
        </w:rPr>
        <w:t xml:space="preserve"> which is applied </w:t>
      </w:r>
      <w:r w:rsidR="00693AB9" w:rsidRPr="002B6DA7">
        <w:rPr>
          <w:rFonts w:ascii="Times New Roman" w:hAnsi="Times New Roman" w:cs="Times New Roman"/>
          <w:sz w:val="20"/>
          <w:szCs w:val="20"/>
          <w:lang w:val="en-US"/>
        </w:rPr>
        <w:t>in French law</w:t>
      </w:r>
      <w:r w:rsidR="00E951ED" w:rsidRPr="002B6DA7">
        <w:rPr>
          <w:rFonts w:ascii="Times New Roman" w:hAnsi="Times New Roman" w:cs="Times New Roman"/>
          <w:sz w:val="20"/>
          <w:szCs w:val="20"/>
          <w:lang w:val="en-US"/>
        </w:rPr>
        <w:t xml:space="preserve"> since 2004</w:t>
      </w:r>
      <w:r w:rsidR="00693AB9" w:rsidRPr="002B6DA7">
        <w:rPr>
          <w:rFonts w:ascii="Times New Roman" w:hAnsi="Times New Roman" w:cs="Times New Roman"/>
          <w:sz w:val="20"/>
          <w:szCs w:val="20"/>
          <w:lang w:val="en-US"/>
        </w:rPr>
        <w:t>.</w:t>
      </w:r>
      <w:r w:rsidR="00E951ED" w:rsidRPr="002B6DA7">
        <w:rPr>
          <w:rFonts w:ascii="Times New Roman" w:hAnsi="Times New Roman" w:cs="Times New Roman"/>
          <w:sz w:val="20"/>
          <w:szCs w:val="20"/>
          <w:lang w:val="en-US"/>
        </w:rPr>
        <w:t xml:space="preserve"> </w:t>
      </w:r>
      <w:r w:rsidR="005C4B5C" w:rsidRPr="002B6DA7">
        <w:rPr>
          <w:rFonts w:ascii="Times New Roman" w:hAnsi="Times New Roman" w:cs="Times New Roman"/>
          <w:sz w:val="20"/>
          <w:szCs w:val="20"/>
          <w:lang w:val="en-US"/>
        </w:rPr>
        <w:t>The study aims for drawi</w:t>
      </w:r>
      <w:r w:rsidR="00542BCC">
        <w:rPr>
          <w:rFonts w:ascii="Times New Roman" w:hAnsi="Times New Roman" w:cs="Times New Roman"/>
          <w:sz w:val="20"/>
          <w:szCs w:val="20"/>
          <w:lang w:val="en-US"/>
        </w:rPr>
        <w:t xml:space="preserve">ng </w:t>
      </w:r>
      <w:r w:rsidR="00542BCC" w:rsidRPr="0017608D">
        <w:rPr>
          <w:rFonts w:ascii="Times New Roman" w:hAnsi="Times New Roman" w:cs="Times New Roman"/>
          <w:sz w:val="20"/>
          <w:szCs w:val="20"/>
          <w:lang w:val="en-US"/>
        </w:rPr>
        <w:t>conclusions</w:t>
      </w:r>
      <w:r w:rsidR="0017608D">
        <w:rPr>
          <w:rFonts w:ascii="Times New Roman" w:hAnsi="Times New Roman" w:cs="Times New Roman"/>
          <w:sz w:val="20"/>
          <w:szCs w:val="20"/>
          <w:lang w:val="en-US"/>
        </w:rPr>
        <w:t>,</w:t>
      </w:r>
      <w:r w:rsidR="00542BCC" w:rsidRPr="00AF29F3">
        <w:rPr>
          <w:rFonts w:ascii="Times New Roman" w:hAnsi="Times New Roman" w:cs="Times New Roman"/>
          <w:color w:val="FF0000"/>
          <w:sz w:val="20"/>
          <w:szCs w:val="20"/>
          <w:lang w:val="en-US"/>
        </w:rPr>
        <w:t xml:space="preserve"> </w:t>
      </w:r>
      <w:r w:rsidR="00542BCC">
        <w:rPr>
          <w:rFonts w:ascii="Times New Roman" w:hAnsi="Times New Roman" w:cs="Times New Roman"/>
          <w:sz w:val="20"/>
          <w:szCs w:val="20"/>
          <w:lang w:val="en-US"/>
        </w:rPr>
        <w:t xml:space="preserve">which would provide </w:t>
      </w:r>
      <w:r w:rsidR="005C4B5C" w:rsidRPr="002B6DA7">
        <w:rPr>
          <w:rFonts w:ascii="Times New Roman" w:hAnsi="Times New Roman" w:cs="Times New Roman"/>
          <w:sz w:val="20"/>
          <w:szCs w:val="20"/>
          <w:lang w:val="en-US"/>
        </w:rPr>
        <w:t>guide</w:t>
      </w:r>
      <w:r w:rsidR="00542BCC">
        <w:rPr>
          <w:rFonts w:ascii="Times New Roman" w:hAnsi="Times New Roman" w:cs="Times New Roman"/>
          <w:sz w:val="20"/>
          <w:szCs w:val="20"/>
          <w:lang w:val="en-US"/>
        </w:rPr>
        <w:t>lines</w:t>
      </w:r>
      <w:r w:rsidR="005C4B5C" w:rsidRPr="002B6DA7">
        <w:rPr>
          <w:rFonts w:ascii="Times New Roman" w:hAnsi="Times New Roman" w:cs="Times New Roman"/>
          <w:sz w:val="20"/>
          <w:szCs w:val="20"/>
          <w:lang w:val="en-US"/>
        </w:rPr>
        <w:t xml:space="preserve"> </w:t>
      </w:r>
      <w:r w:rsidR="00542BCC">
        <w:rPr>
          <w:rFonts w:ascii="Times New Roman" w:hAnsi="Times New Roman" w:cs="Times New Roman"/>
          <w:sz w:val="20"/>
          <w:szCs w:val="20"/>
          <w:lang w:val="en-US"/>
        </w:rPr>
        <w:t xml:space="preserve">for </w:t>
      </w:r>
      <w:r w:rsidR="005C4B5C" w:rsidRPr="002B6DA7">
        <w:rPr>
          <w:rFonts w:ascii="Times New Roman" w:hAnsi="Times New Roman" w:cs="Times New Roman"/>
          <w:sz w:val="20"/>
          <w:szCs w:val="20"/>
          <w:lang w:val="en-US"/>
        </w:rPr>
        <w:t xml:space="preserve">the application of the accelerated criminal procedure in Turkish law, via comparison between the conditions and characteristics of the two procedures. </w:t>
      </w:r>
      <w:r w:rsidR="00837F93" w:rsidRPr="002B6DA7">
        <w:rPr>
          <w:rFonts w:ascii="Times New Roman" w:hAnsi="Times New Roman" w:cs="Times New Roman"/>
          <w:sz w:val="20"/>
          <w:szCs w:val="20"/>
          <w:lang w:val="en-US"/>
        </w:rPr>
        <w:t xml:space="preserve">Throughout the study </w:t>
      </w:r>
      <w:r w:rsidR="00E211F5" w:rsidRPr="002B6DA7">
        <w:rPr>
          <w:rFonts w:ascii="Times New Roman" w:hAnsi="Times New Roman" w:cs="Times New Roman"/>
          <w:sz w:val="20"/>
          <w:szCs w:val="20"/>
          <w:lang w:val="en-US"/>
        </w:rPr>
        <w:t xml:space="preserve">it is </w:t>
      </w:r>
      <w:r w:rsidR="00D82CF5" w:rsidRPr="002B6DA7">
        <w:rPr>
          <w:rFonts w:ascii="Times New Roman" w:hAnsi="Times New Roman" w:cs="Times New Roman"/>
          <w:sz w:val="20"/>
          <w:szCs w:val="20"/>
          <w:lang w:val="en-US"/>
        </w:rPr>
        <w:t xml:space="preserve">ascertained that the accelerated procedure in Turkish law is </w:t>
      </w:r>
      <w:r w:rsidR="006850F0" w:rsidRPr="002B6DA7">
        <w:rPr>
          <w:rFonts w:ascii="Times New Roman" w:hAnsi="Times New Roman" w:cs="Times New Roman"/>
          <w:sz w:val="20"/>
          <w:szCs w:val="20"/>
          <w:lang w:val="en-US"/>
        </w:rPr>
        <w:t>established with cer</w:t>
      </w:r>
      <w:r w:rsidR="009F075D">
        <w:rPr>
          <w:rFonts w:ascii="Times New Roman" w:hAnsi="Times New Roman" w:cs="Times New Roman"/>
          <w:sz w:val="20"/>
          <w:szCs w:val="20"/>
          <w:lang w:val="en-US"/>
        </w:rPr>
        <w:t>tain differences compared to</w:t>
      </w:r>
      <w:r w:rsidR="006850F0" w:rsidRPr="002B6DA7">
        <w:rPr>
          <w:rFonts w:ascii="Times New Roman" w:hAnsi="Times New Roman" w:cs="Times New Roman"/>
          <w:sz w:val="20"/>
          <w:szCs w:val="20"/>
          <w:lang w:val="en-US"/>
        </w:rPr>
        <w:t xml:space="preserve"> French law and that these differences</w:t>
      </w:r>
      <w:r w:rsidR="000C040A" w:rsidRPr="002B6DA7">
        <w:rPr>
          <w:rFonts w:ascii="Times New Roman" w:hAnsi="Times New Roman" w:cs="Times New Roman"/>
          <w:sz w:val="20"/>
          <w:szCs w:val="20"/>
          <w:lang w:val="en-US"/>
        </w:rPr>
        <w:t xml:space="preserve"> do not </w:t>
      </w:r>
      <w:r w:rsidR="00542BCC">
        <w:rPr>
          <w:rFonts w:ascii="Times New Roman" w:hAnsi="Times New Roman" w:cs="Times New Roman"/>
          <w:sz w:val="20"/>
          <w:szCs w:val="20"/>
          <w:lang w:val="en-US"/>
        </w:rPr>
        <w:t xml:space="preserve">always </w:t>
      </w:r>
      <w:r w:rsidR="000C040A" w:rsidRPr="002B6DA7">
        <w:rPr>
          <w:rFonts w:ascii="Times New Roman" w:hAnsi="Times New Roman" w:cs="Times New Roman"/>
          <w:sz w:val="20"/>
          <w:szCs w:val="20"/>
          <w:lang w:val="en-US"/>
        </w:rPr>
        <w:t>comply with</w:t>
      </w:r>
      <w:r w:rsidR="006850F0" w:rsidRPr="002B6DA7">
        <w:rPr>
          <w:rFonts w:ascii="Times New Roman" w:hAnsi="Times New Roman" w:cs="Times New Roman"/>
          <w:sz w:val="20"/>
          <w:szCs w:val="20"/>
          <w:lang w:val="en-US"/>
        </w:rPr>
        <w:t xml:space="preserve"> the </w:t>
      </w:r>
      <w:r w:rsidR="002B6DA7" w:rsidRPr="002B6DA7">
        <w:rPr>
          <w:rFonts w:ascii="Times New Roman" w:hAnsi="Times New Roman" w:cs="Times New Roman"/>
          <w:sz w:val="20"/>
          <w:szCs w:val="20"/>
          <w:lang w:val="en-US"/>
        </w:rPr>
        <w:t>fundamental</w:t>
      </w:r>
      <w:r w:rsidR="006850F0" w:rsidRPr="002B6DA7">
        <w:rPr>
          <w:rFonts w:ascii="Times New Roman" w:hAnsi="Times New Roman" w:cs="Times New Roman"/>
          <w:sz w:val="20"/>
          <w:szCs w:val="20"/>
          <w:lang w:val="en-US"/>
        </w:rPr>
        <w:t xml:space="preserve"> principles of criminal procedure and the right to a fair trial, especially on the subjects of the right to </w:t>
      </w:r>
      <w:r w:rsidR="002B6DA7" w:rsidRPr="002B6DA7">
        <w:rPr>
          <w:rFonts w:ascii="Times New Roman" w:hAnsi="Times New Roman" w:cs="Times New Roman"/>
          <w:sz w:val="20"/>
          <w:szCs w:val="20"/>
          <w:lang w:val="en-US"/>
        </w:rPr>
        <w:t>defense</w:t>
      </w:r>
      <w:r w:rsidR="006850F0" w:rsidRPr="002B6DA7">
        <w:rPr>
          <w:rFonts w:ascii="Times New Roman" w:hAnsi="Times New Roman" w:cs="Times New Roman"/>
          <w:sz w:val="20"/>
          <w:szCs w:val="20"/>
          <w:lang w:val="en-US"/>
        </w:rPr>
        <w:t xml:space="preserve"> and to a </w:t>
      </w:r>
      <w:r w:rsidR="002B6DA7" w:rsidRPr="002B6DA7">
        <w:rPr>
          <w:rFonts w:ascii="Times New Roman" w:hAnsi="Times New Roman" w:cs="Times New Roman"/>
          <w:sz w:val="20"/>
          <w:szCs w:val="20"/>
          <w:lang w:val="en-US"/>
        </w:rPr>
        <w:t>defense</w:t>
      </w:r>
      <w:r w:rsidR="006850F0" w:rsidRPr="002B6DA7">
        <w:rPr>
          <w:rFonts w:ascii="Times New Roman" w:hAnsi="Times New Roman" w:cs="Times New Roman"/>
          <w:sz w:val="20"/>
          <w:szCs w:val="20"/>
          <w:lang w:val="en-US"/>
        </w:rPr>
        <w:t xml:space="preserve"> counsel of the accused, the vast area of competence given to the prosecutor and establishment of an adequate judicial control. </w:t>
      </w:r>
    </w:p>
    <w:p w14:paraId="773D3890" w14:textId="77777777" w:rsidR="000F4565" w:rsidRPr="002B6DA7" w:rsidRDefault="000F4565" w:rsidP="00E0200C">
      <w:pPr>
        <w:spacing w:line="360" w:lineRule="auto"/>
        <w:jc w:val="both"/>
        <w:rPr>
          <w:rFonts w:ascii="Times New Roman" w:hAnsi="Times New Roman" w:cs="Times New Roman"/>
          <w:sz w:val="20"/>
          <w:szCs w:val="20"/>
          <w:lang w:val="en-US"/>
        </w:rPr>
      </w:pPr>
    </w:p>
    <w:p w14:paraId="02AFD691" w14:textId="6E11B511" w:rsidR="000F4565" w:rsidRPr="002B6DA7" w:rsidRDefault="003C5B89" w:rsidP="00E0200C">
      <w:pPr>
        <w:spacing w:line="360" w:lineRule="auto"/>
        <w:jc w:val="both"/>
        <w:rPr>
          <w:rFonts w:ascii="Times New Roman" w:hAnsi="Times New Roman" w:cs="Times New Roman"/>
          <w:b/>
          <w:sz w:val="20"/>
          <w:szCs w:val="20"/>
          <w:lang w:val="en-US"/>
        </w:rPr>
      </w:pPr>
      <w:r w:rsidRPr="002B6DA7">
        <w:rPr>
          <w:rFonts w:ascii="Times New Roman" w:hAnsi="Times New Roman" w:cs="Times New Roman"/>
          <w:b/>
          <w:sz w:val="20"/>
          <w:szCs w:val="20"/>
          <w:lang w:val="en-US"/>
        </w:rPr>
        <w:t>Keyw</w:t>
      </w:r>
      <w:r w:rsidR="000F4565" w:rsidRPr="002B6DA7">
        <w:rPr>
          <w:rFonts w:ascii="Times New Roman" w:hAnsi="Times New Roman" w:cs="Times New Roman"/>
          <w:b/>
          <w:sz w:val="20"/>
          <w:szCs w:val="20"/>
          <w:lang w:val="en-US"/>
        </w:rPr>
        <w:t xml:space="preserve">ords: </w:t>
      </w:r>
    </w:p>
    <w:p w14:paraId="2EC71BAB" w14:textId="5E8A0B1F" w:rsidR="000F4565" w:rsidRPr="0017608D" w:rsidRDefault="000F4565" w:rsidP="00E0200C">
      <w:pPr>
        <w:spacing w:line="360" w:lineRule="auto"/>
        <w:jc w:val="both"/>
        <w:rPr>
          <w:rFonts w:ascii="Times New Roman" w:hAnsi="Times New Roman" w:cs="Times New Roman"/>
          <w:sz w:val="20"/>
          <w:szCs w:val="20"/>
          <w:lang w:val="en-US"/>
        </w:rPr>
      </w:pPr>
      <w:r w:rsidRPr="002B6DA7">
        <w:rPr>
          <w:rFonts w:ascii="Times New Roman" w:hAnsi="Times New Roman" w:cs="Times New Roman"/>
          <w:sz w:val="20"/>
          <w:szCs w:val="20"/>
          <w:lang w:val="en-US"/>
        </w:rPr>
        <w:t>C</w:t>
      </w:r>
      <w:r w:rsidR="0017608D">
        <w:rPr>
          <w:rFonts w:ascii="Times New Roman" w:hAnsi="Times New Roman" w:cs="Times New Roman"/>
          <w:sz w:val="20"/>
          <w:szCs w:val="20"/>
          <w:lang w:val="en-US"/>
        </w:rPr>
        <w:t>riminal Procedure, Accelerated Procedure, French L</w:t>
      </w:r>
      <w:r w:rsidRPr="002B6DA7">
        <w:rPr>
          <w:rFonts w:ascii="Times New Roman" w:hAnsi="Times New Roman" w:cs="Times New Roman"/>
          <w:sz w:val="20"/>
          <w:szCs w:val="20"/>
          <w:lang w:val="en-US"/>
        </w:rPr>
        <w:t>aw, Alternative</w:t>
      </w:r>
      <w:r w:rsidR="0017608D">
        <w:rPr>
          <w:rFonts w:ascii="Times New Roman" w:hAnsi="Times New Roman" w:cs="Times New Roman"/>
          <w:sz w:val="20"/>
          <w:szCs w:val="20"/>
          <w:lang w:val="en-US"/>
        </w:rPr>
        <w:t xml:space="preserve"> Dispute R</w:t>
      </w:r>
      <w:r w:rsidR="00092465">
        <w:rPr>
          <w:rFonts w:ascii="Times New Roman" w:hAnsi="Times New Roman" w:cs="Times New Roman"/>
          <w:sz w:val="20"/>
          <w:szCs w:val="20"/>
          <w:lang w:val="en-US"/>
        </w:rPr>
        <w:t>esolution</w:t>
      </w:r>
      <w:r w:rsidR="0017608D">
        <w:rPr>
          <w:rFonts w:ascii="Times New Roman" w:hAnsi="Times New Roman" w:cs="Times New Roman"/>
          <w:sz w:val="20"/>
          <w:szCs w:val="20"/>
          <w:lang w:val="en-US"/>
        </w:rPr>
        <w:t>, Right to a F</w:t>
      </w:r>
      <w:r w:rsidR="003615BE">
        <w:rPr>
          <w:rFonts w:ascii="Times New Roman" w:hAnsi="Times New Roman" w:cs="Times New Roman"/>
          <w:sz w:val="20"/>
          <w:szCs w:val="20"/>
          <w:lang w:val="en-US"/>
        </w:rPr>
        <w:t xml:space="preserve">air </w:t>
      </w:r>
      <w:r w:rsidR="0017608D" w:rsidRPr="0017608D">
        <w:rPr>
          <w:rFonts w:ascii="Times New Roman" w:hAnsi="Times New Roman" w:cs="Times New Roman"/>
          <w:sz w:val="20"/>
          <w:szCs w:val="20"/>
          <w:lang w:val="en-US"/>
        </w:rPr>
        <w:t>T</w:t>
      </w:r>
      <w:r w:rsidR="003615BE" w:rsidRPr="0017608D">
        <w:rPr>
          <w:rFonts w:ascii="Times New Roman" w:hAnsi="Times New Roman" w:cs="Times New Roman"/>
          <w:sz w:val="20"/>
          <w:szCs w:val="20"/>
          <w:lang w:val="en-US"/>
        </w:rPr>
        <w:t>rial</w:t>
      </w:r>
      <w:r w:rsidR="0017608D" w:rsidRPr="0017608D">
        <w:rPr>
          <w:rFonts w:ascii="Times New Roman" w:hAnsi="Times New Roman" w:cs="Times New Roman"/>
          <w:sz w:val="20"/>
          <w:szCs w:val="20"/>
          <w:lang w:val="en-US"/>
        </w:rPr>
        <w:t>.</w:t>
      </w:r>
    </w:p>
    <w:p w14:paraId="244D1581" w14:textId="01CD1202" w:rsidR="001D1C50" w:rsidRPr="00B1522F" w:rsidRDefault="001D1C50" w:rsidP="003447D4">
      <w:pPr>
        <w:pStyle w:val="Heading1"/>
      </w:pPr>
      <w:r w:rsidRPr="00B1522F">
        <w:lastRenderedPageBreak/>
        <w:t>GİRİŞ</w:t>
      </w:r>
    </w:p>
    <w:p w14:paraId="3C3EBC4C" w14:textId="77777777" w:rsidR="001D1C50" w:rsidRPr="001C7438" w:rsidRDefault="001D1C50" w:rsidP="00353561">
      <w:pPr>
        <w:spacing w:line="360" w:lineRule="auto"/>
        <w:jc w:val="both"/>
        <w:rPr>
          <w:rFonts w:ascii="Times New Roman" w:hAnsi="Times New Roman" w:cs="Times New Roman"/>
        </w:rPr>
      </w:pPr>
    </w:p>
    <w:p w14:paraId="4623F950" w14:textId="0F186667" w:rsidR="003603F0" w:rsidRDefault="001D1C50" w:rsidP="00C50383">
      <w:pPr>
        <w:spacing w:line="360" w:lineRule="auto"/>
        <w:ind w:firstLine="720"/>
        <w:jc w:val="both"/>
        <w:rPr>
          <w:rFonts w:ascii="Times New Roman" w:hAnsi="Times New Roman" w:cs="Times New Roman"/>
        </w:rPr>
      </w:pPr>
      <w:r w:rsidRPr="001C7438">
        <w:rPr>
          <w:rFonts w:ascii="Times New Roman" w:hAnsi="Times New Roman" w:cs="Times New Roman"/>
        </w:rPr>
        <w:t xml:space="preserve">2019 yılında </w:t>
      </w:r>
      <w:r w:rsidR="001170D3">
        <w:rPr>
          <w:rFonts w:ascii="Times New Roman" w:hAnsi="Times New Roman" w:cs="Times New Roman"/>
        </w:rPr>
        <w:t>çıkarılan 7188 sayılı K</w:t>
      </w:r>
      <w:r w:rsidRPr="001C7438">
        <w:rPr>
          <w:rFonts w:ascii="Times New Roman" w:hAnsi="Times New Roman" w:cs="Times New Roman"/>
        </w:rPr>
        <w:t>anun</w:t>
      </w:r>
      <w:r w:rsidR="00197FF9">
        <w:rPr>
          <w:rStyle w:val="FootnoteReference"/>
          <w:rFonts w:ascii="Times New Roman" w:hAnsi="Times New Roman" w:cs="Times New Roman"/>
        </w:rPr>
        <w:footnoteReference w:id="2"/>
      </w:r>
      <w:r w:rsidRPr="001C7438">
        <w:rPr>
          <w:rFonts w:ascii="Times New Roman" w:hAnsi="Times New Roman" w:cs="Times New Roman"/>
        </w:rPr>
        <w:t xml:space="preserve"> ile birlikte ceza muhakemesi sistemimize “basit yargılama usulü”</w:t>
      </w:r>
      <w:r w:rsidR="006F5775">
        <w:rPr>
          <w:rFonts w:ascii="Times New Roman" w:hAnsi="Times New Roman" w:cs="Times New Roman"/>
        </w:rPr>
        <w:t xml:space="preserve"> ve “seri </w:t>
      </w:r>
      <w:r w:rsidR="00257C03">
        <w:rPr>
          <w:rFonts w:ascii="Times New Roman" w:hAnsi="Times New Roman" w:cs="Times New Roman"/>
        </w:rPr>
        <w:t xml:space="preserve">muhakeme </w:t>
      </w:r>
      <w:r w:rsidR="006F5775">
        <w:rPr>
          <w:rFonts w:ascii="Times New Roman" w:hAnsi="Times New Roman" w:cs="Times New Roman"/>
        </w:rPr>
        <w:t>usulü” kurumları</w:t>
      </w:r>
      <w:r w:rsidRPr="001C7438">
        <w:rPr>
          <w:rFonts w:ascii="Times New Roman" w:hAnsi="Times New Roman" w:cs="Times New Roman"/>
        </w:rPr>
        <w:t xml:space="preserve"> dahil edilmiştir. </w:t>
      </w:r>
      <w:r w:rsidR="002074A1">
        <w:rPr>
          <w:rFonts w:ascii="Times New Roman" w:hAnsi="Times New Roman" w:cs="Times New Roman"/>
        </w:rPr>
        <w:t>Kanun değişikliğiyle birlikte s</w:t>
      </w:r>
      <w:r w:rsidR="00486DD2">
        <w:rPr>
          <w:rFonts w:ascii="Times New Roman" w:hAnsi="Times New Roman" w:cs="Times New Roman"/>
        </w:rPr>
        <w:t xml:space="preserve">eri </w:t>
      </w:r>
      <w:r w:rsidR="00257C03">
        <w:rPr>
          <w:rFonts w:ascii="Times New Roman" w:hAnsi="Times New Roman" w:cs="Times New Roman"/>
        </w:rPr>
        <w:t>muhakeme</w:t>
      </w:r>
      <w:r w:rsidR="00486DD2">
        <w:rPr>
          <w:rFonts w:ascii="Times New Roman" w:hAnsi="Times New Roman" w:cs="Times New Roman"/>
        </w:rPr>
        <w:t xml:space="preserve"> usulü </w:t>
      </w:r>
      <w:r w:rsidR="001170D3">
        <w:rPr>
          <w:rFonts w:ascii="Times New Roman" w:hAnsi="Times New Roman" w:cs="Times New Roman"/>
        </w:rPr>
        <w:t>5271 sayılı Ceza Muhakemesi Kanunu’nun</w:t>
      </w:r>
      <w:r w:rsidR="006F5775">
        <w:rPr>
          <w:rFonts w:ascii="Times New Roman" w:hAnsi="Times New Roman" w:cs="Times New Roman"/>
        </w:rPr>
        <w:t xml:space="preserve"> (CMK)</w:t>
      </w:r>
      <w:r w:rsidR="001170D3">
        <w:rPr>
          <w:rFonts w:ascii="Times New Roman" w:hAnsi="Times New Roman" w:cs="Times New Roman"/>
        </w:rPr>
        <w:t xml:space="preserve"> </w:t>
      </w:r>
      <w:r w:rsidR="00486DD2">
        <w:rPr>
          <w:rFonts w:ascii="Times New Roman" w:hAnsi="Times New Roman" w:cs="Times New Roman"/>
        </w:rPr>
        <w:t xml:space="preserve">250. maddesinde, basit yargılama usulü ise </w:t>
      </w:r>
      <w:r w:rsidR="001170D3">
        <w:rPr>
          <w:rFonts w:ascii="Times New Roman" w:hAnsi="Times New Roman" w:cs="Times New Roman"/>
        </w:rPr>
        <w:t xml:space="preserve">251. </w:t>
      </w:r>
      <w:r w:rsidR="006F5775">
        <w:rPr>
          <w:rFonts w:ascii="Times New Roman" w:hAnsi="Times New Roman" w:cs="Times New Roman"/>
        </w:rPr>
        <w:t>ve 252. maddelerinde düzenlenmiş, maddelerin yürürlük tarihi 01.01.2020 olarak belirlenmiştir (CMK</w:t>
      </w:r>
      <w:r w:rsidR="00CD44C6">
        <w:rPr>
          <w:rFonts w:ascii="Times New Roman" w:hAnsi="Times New Roman" w:cs="Times New Roman"/>
        </w:rPr>
        <w:t xml:space="preserve"> Geçici M</w:t>
      </w:r>
      <w:r w:rsidR="0044347C">
        <w:rPr>
          <w:rFonts w:ascii="Times New Roman" w:hAnsi="Times New Roman" w:cs="Times New Roman"/>
        </w:rPr>
        <w:t>adde 5/1-c). CMK m. 250</w:t>
      </w:r>
      <w:r w:rsidR="006F5775">
        <w:rPr>
          <w:rFonts w:ascii="Times New Roman" w:hAnsi="Times New Roman" w:cs="Times New Roman"/>
        </w:rPr>
        <w:t xml:space="preserve">’de </w:t>
      </w:r>
      <w:r w:rsidR="001170D3">
        <w:rPr>
          <w:rFonts w:ascii="Times New Roman" w:hAnsi="Times New Roman" w:cs="Times New Roman"/>
        </w:rPr>
        <w:t>d</w:t>
      </w:r>
      <w:r w:rsidR="00826D9F" w:rsidRPr="001C7438">
        <w:rPr>
          <w:rFonts w:ascii="Times New Roman" w:hAnsi="Times New Roman" w:cs="Times New Roman"/>
        </w:rPr>
        <w:t>eğişiklik yapan</w:t>
      </w:r>
      <w:r w:rsidR="001170D3">
        <w:rPr>
          <w:rFonts w:ascii="Times New Roman" w:hAnsi="Times New Roman" w:cs="Times New Roman"/>
        </w:rPr>
        <w:t xml:space="preserve"> </w:t>
      </w:r>
      <w:r w:rsidR="00D402F3">
        <w:rPr>
          <w:rFonts w:ascii="Times New Roman" w:hAnsi="Times New Roman" w:cs="Times New Roman"/>
        </w:rPr>
        <w:t xml:space="preserve">7188 sayılı </w:t>
      </w:r>
      <w:r w:rsidR="00826D9F" w:rsidRPr="001C7438">
        <w:rPr>
          <w:rFonts w:ascii="Times New Roman" w:hAnsi="Times New Roman" w:cs="Times New Roman"/>
        </w:rPr>
        <w:t xml:space="preserve">Kanun’un </w:t>
      </w:r>
      <w:r w:rsidR="0044347C">
        <w:rPr>
          <w:rFonts w:ascii="Times New Roman" w:hAnsi="Times New Roman" w:cs="Times New Roman"/>
        </w:rPr>
        <w:t>23</w:t>
      </w:r>
      <w:r w:rsidR="00D402F3">
        <w:rPr>
          <w:rFonts w:ascii="Times New Roman" w:hAnsi="Times New Roman" w:cs="Times New Roman"/>
        </w:rPr>
        <w:t>. maddesinin</w:t>
      </w:r>
      <w:r w:rsidR="00826D9F" w:rsidRPr="001C7438">
        <w:rPr>
          <w:rFonts w:ascii="Times New Roman" w:hAnsi="Times New Roman" w:cs="Times New Roman"/>
        </w:rPr>
        <w:t xml:space="preserve"> gerekçesinde de </w:t>
      </w:r>
      <w:r w:rsidR="00486DD2">
        <w:rPr>
          <w:rFonts w:ascii="Times New Roman" w:hAnsi="Times New Roman" w:cs="Times New Roman"/>
        </w:rPr>
        <w:t xml:space="preserve">vurgulandığı </w:t>
      </w:r>
      <w:r w:rsidR="00826D9F" w:rsidRPr="001C7438">
        <w:rPr>
          <w:rFonts w:ascii="Times New Roman" w:hAnsi="Times New Roman" w:cs="Times New Roman"/>
        </w:rPr>
        <w:t>üzere</w:t>
      </w:r>
      <w:r w:rsidR="00486DD2">
        <w:rPr>
          <w:rFonts w:ascii="Times New Roman" w:hAnsi="Times New Roman" w:cs="Times New Roman"/>
        </w:rPr>
        <w:t xml:space="preserve">, basit suçlar bakımından </w:t>
      </w:r>
      <w:r w:rsidR="00826D9F" w:rsidRPr="001C7438">
        <w:rPr>
          <w:rFonts w:ascii="Times New Roman" w:hAnsi="Times New Roman" w:cs="Times New Roman"/>
        </w:rPr>
        <w:t>ceza yargılaması sürecinin sadeleştirilerek yargılama süresinin kısaltılmasını h</w:t>
      </w:r>
      <w:r w:rsidR="00486DD2">
        <w:rPr>
          <w:rFonts w:ascii="Times New Roman" w:hAnsi="Times New Roman" w:cs="Times New Roman"/>
        </w:rPr>
        <w:t xml:space="preserve">edefleyen çözümlerin benimsenmesi Avrupa Konseyi’nin tavsiyeleri arasında bulunmakta, İtalya, Fransa, Almanya gibi birçok Kıta Avrupası ülkesinde bu </w:t>
      </w:r>
      <w:r w:rsidR="002074A1">
        <w:rPr>
          <w:rFonts w:ascii="Times New Roman" w:hAnsi="Times New Roman" w:cs="Times New Roman"/>
        </w:rPr>
        <w:t>amaçla</w:t>
      </w:r>
      <w:r w:rsidR="00486DD2">
        <w:rPr>
          <w:rFonts w:ascii="Times New Roman" w:hAnsi="Times New Roman" w:cs="Times New Roman"/>
        </w:rPr>
        <w:t xml:space="preserve"> geliştirilmiş muhakeme hukuku k</w:t>
      </w:r>
      <w:r w:rsidR="007F746E">
        <w:rPr>
          <w:rFonts w:ascii="Times New Roman" w:hAnsi="Times New Roman" w:cs="Times New Roman"/>
        </w:rPr>
        <w:t>urumlarına</w:t>
      </w:r>
      <w:r w:rsidR="00486DD2">
        <w:rPr>
          <w:rFonts w:ascii="Times New Roman" w:hAnsi="Times New Roman" w:cs="Times New Roman"/>
        </w:rPr>
        <w:t xml:space="preserve"> yer verilmektedir. </w:t>
      </w:r>
      <w:r w:rsidR="000069D7">
        <w:rPr>
          <w:rFonts w:ascii="Times New Roman" w:hAnsi="Times New Roman" w:cs="Times New Roman"/>
        </w:rPr>
        <w:t>Aynı maddenin</w:t>
      </w:r>
      <w:r w:rsidR="00486DD2">
        <w:rPr>
          <w:rFonts w:ascii="Times New Roman" w:hAnsi="Times New Roman" w:cs="Times New Roman"/>
        </w:rPr>
        <w:t xml:space="preserve"> gerekçesinde</w:t>
      </w:r>
      <w:r w:rsidR="003E5604">
        <w:rPr>
          <w:rFonts w:ascii="Times New Roman" w:hAnsi="Times New Roman" w:cs="Times New Roman"/>
        </w:rPr>
        <w:t>,</w:t>
      </w:r>
      <w:r w:rsidR="00486DD2">
        <w:rPr>
          <w:rFonts w:ascii="Times New Roman" w:hAnsi="Times New Roman" w:cs="Times New Roman"/>
        </w:rPr>
        <w:t xml:space="preserve"> Fransız ceza muhakemesi hukukunda benimsenen “suçluluğun ön kabulü üzerine duruşma</w:t>
      </w:r>
      <w:r w:rsidR="000B518F">
        <w:rPr>
          <w:rFonts w:ascii="Times New Roman" w:hAnsi="Times New Roman" w:cs="Times New Roman"/>
        </w:rPr>
        <w:t>”</w:t>
      </w:r>
      <w:r w:rsidR="000B518F">
        <w:rPr>
          <w:rStyle w:val="FootnoteReference"/>
          <w:rFonts w:ascii="Times New Roman" w:hAnsi="Times New Roman" w:cs="Times New Roman"/>
        </w:rPr>
        <w:footnoteReference w:id="3"/>
      </w:r>
      <w:r w:rsidR="00486DD2">
        <w:rPr>
          <w:rFonts w:ascii="Times New Roman" w:hAnsi="Times New Roman" w:cs="Times New Roman"/>
        </w:rPr>
        <w:t xml:space="preserve"> </w:t>
      </w:r>
      <w:r w:rsidR="007F746E">
        <w:rPr>
          <w:rFonts w:ascii="Times New Roman" w:hAnsi="Times New Roman" w:cs="Times New Roman"/>
        </w:rPr>
        <w:t>(</w:t>
      </w:r>
      <w:r w:rsidR="007F746E" w:rsidRPr="007F746E">
        <w:rPr>
          <w:rFonts w:ascii="Times New Roman" w:hAnsi="Times New Roman" w:cs="Times New Roman"/>
          <w:i/>
        </w:rPr>
        <w:t>comparution sur reconnaissance préalable de la culpabilité</w:t>
      </w:r>
      <w:r w:rsidR="007F746E">
        <w:rPr>
          <w:rFonts w:ascii="Times New Roman" w:hAnsi="Times New Roman" w:cs="Times New Roman"/>
        </w:rPr>
        <w:t xml:space="preserve">) (Fransız Ceza Muhakemesi Kanunu (Fransız CMK) m. 495 -7 ila </w:t>
      </w:r>
      <w:r w:rsidR="005C5CC3">
        <w:rPr>
          <w:rFonts w:ascii="Times New Roman" w:hAnsi="Times New Roman" w:cs="Times New Roman"/>
        </w:rPr>
        <w:t xml:space="preserve">m. </w:t>
      </w:r>
      <w:r w:rsidR="007F746E">
        <w:rPr>
          <w:rFonts w:ascii="Times New Roman" w:hAnsi="Times New Roman" w:cs="Times New Roman"/>
        </w:rPr>
        <w:t xml:space="preserve">495-16) </w:t>
      </w:r>
      <w:r w:rsidR="00486DD2">
        <w:rPr>
          <w:rFonts w:ascii="Times New Roman" w:hAnsi="Times New Roman" w:cs="Times New Roman"/>
        </w:rPr>
        <w:t xml:space="preserve">kurumuna ayrıca atıfta bulunulmuş, </w:t>
      </w:r>
      <w:r w:rsidR="000069D7">
        <w:rPr>
          <w:rFonts w:ascii="Times New Roman" w:hAnsi="Times New Roman" w:cs="Times New Roman"/>
        </w:rPr>
        <w:t>seri muhakeme usulüyle</w:t>
      </w:r>
      <w:r w:rsidR="008A0AB5">
        <w:rPr>
          <w:rFonts w:ascii="Times New Roman" w:hAnsi="Times New Roman" w:cs="Times New Roman"/>
        </w:rPr>
        <w:t xml:space="preserve"> </w:t>
      </w:r>
      <w:r w:rsidR="000069D7">
        <w:rPr>
          <w:rFonts w:ascii="Times New Roman" w:hAnsi="Times New Roman" w:cs="Times New Roman"/>
        </w:rPr>
        <w:t xml:space="preserve">Türk hukukunda </w:t>
      </w:r>
      <w:r w:rsidR="008A0AB5">
        <w:rPr>
          <w:rFonts w:ascii="Times New Roman" w:hAnsi="Times New Roman" w:cs="Times New Roman"/>
        </w:rPr>
        <w:t>benzer bir yargılama usulüne yer verilmesinin</w:t>
      </w:r>
      <w:r w:rsidR="00A758A6">
        <w:rPr>
          <w:rFonts w:ascii="Times New Roman" w:hAnsi="Times New Roman" w:cs="Times New Roman"/>
        </w:rPr>
        <w:t xml:space="preserve"> öngörüldüğü</w:t>
      </w:r>
      <w:r w:rsidR="008A0AB5">
        <w:rPr>
          <w:rFonts w:ascii="Times New Roman" w:hAnsi="Times New Roman" w:cs="Times New Roman"/>
        </w:rPr>
        <w:t xml:space="preserve"> belirtilmiştir</w:t>
      </w:r>
      <w:r w:rsidR="003447D4">
        <w:rPr>
          <w:rStyle w:val="FootnoteReference"/>
          <w:rFonts w:ascii="Times New Roman" w:hAnsi="Times New Roman" w:cs="Times New Roman"/>
        </w:rPr>
        <w:footnoteReference w:id="4"/>
      </w:r>
      <w:r w:rsidR="008A0AB5">
        <w:rPr>
          <w:rFonts w:ascii="Times New Roman" w:hAnsi="Times New Roman" w:cs="Times New Roman"/>
        </w:rPr>
        <w:t xml:space="preserve">. 7188 sayılı Kanun’un </w:t>
      </w:r>
      <w:r w:rsidR="000069D7">
        <w:rPr>
          <w:rFonts w:ascii="Times New Roman" w:hAnsi="Times New Roman" w:cs="Times New Roman"/>
        </w:rPr>
        <w:t xml:space="preserve">basit yargılama usulünü düzenleyen </w:t>
      </w:r>
      <w:r w:rsidR="008A0AB5">
        <w:rPr>
          <w:rFonts w:ascii="Times New Roman" w:hAnsi="Times New Roman" w:cs="Times New Roman"/>
        </w:rPr>
        <w:t xml:space="preserve">24. </w:t>
      </w:r>
      <w:r w:rsidR="00CF0A77">
        <w:rPr>
          <w:rFonts w:ascii="Times New Roman" w:hAnsi="Times New Roman" w:cs="Times New Roman"/>
        </w:rPr>
        <w:t>m</w:t>
      </w:r>
      <w:r w:rsidR="008A0AB5">
        <w:rPr>
          <w:rFonts w:ascii="Times New Roman" w:hAnsi="Times New Roman" w:cs="Times New Roman"/>
        </w:rPr>
        <w:t xml:space="preserve">addesinin gerekçesinde basit yargılama usulünün getirilme </w:t>
      </w:r>
      <w:r w:rsidR="002074A1">
        <w:rPr>
          <w:rFonts w:ascii="Times New Roman" w:hAnsi="Times New Roman" w:cs="Times New Roman"/>
        </w:rPr>
        <w:t>amacı</w:t>
      </w:r>
      <w:r w:rsidR="008A0AB5">
        <w:rPr>
          <w:rFonts w:ascii="Times New Roman" w:hAnsi="Times New Roman" w:cs="Times New Roman"/>
        </w:rPr>
        <w:t xml:space="preserve"> olarak ağır suçlar ile basit suçlar arasında yargılama sürecinin herhangi bir </w:t>
      </w:r>
      <w:r w:rsidR="00212367">
        <w:rPr>
          <w:rFonts w:ascii="Times New Roman" w:hAnsi="Times New Roman" w:cs="Times New Roman"/>
        </w:rPr>
        <w:t>ayrım gözetmeden, tüm işlemleri</w:t>
      </w:r>
      <w:r w:rsidR="008A0AB5">
        <w:rPr>
          <w:rFonts w:ascii="Times New Roman" w:hAnsi="Times New Roman" w:cs="Times New Roman"/>
        </w:rPr>
        <w:t xml:space="preserve"> içerecek şekilde yürütülmesinin yargı organlarının ağır suçların yargılanmasına daha az vakit ayırması</w:t>
      </w:r>
      <w:r w:rsidR="00D44B9D">
        <w:rPr>
          <w:rFonts w:ascii="Times New Roman" w:hAnsi="Times New Roman" w:cs="Times New Roman"/>
        </w:rPr>
        <w:t>na yol açması</w:t>
      </w:r>
      <w:r w:rsidR="008A0AB5">
        <w:rPr>
          <w:rFonts w:ascii="Times New Roman" w:hAnsi="Times New Roman" w:cs="Times New Roman"/>
        </w:rPr>
        <w:t xml:space="preserve"> gösterilmiştir</w:t>
      </w:r>
      <w:r w:rsidR="00EA4E2A">
        <w:rPr>
          <w:rStyle w:val="FootnoteReference"/>
          <w:rFonts w:ascii="Times New Roman" w:hAnsi="Times New Roman" w:cs="Times New Roman"/>
        </w:rPr>
        <w:footnoteReference w:id="5"/>
      </w:r>
      <w:r w:rsidR="008A0AB5">
        <w:rPr>
          <w:rFonts w:ascii="Times New Roman" w:hAnsi="Times New Roman" w:cs="Times New Roman"/>
        </w:rPr>
        <w:t>. Burada Fransız hukukuna açıkça bir gönderme yapılmış olmasa da Fr</w:t>
      </w:r>
      <w:r w:rsidR="002E627C">
        <w:rPr>
          <w:rFonts w:ascii="Times New Roman" w:hAnsi="Times New Roman" w:cs="Times New Roman"/>
        </w:rPr>
        <w:t>ansız hukukunda “basit</w:t>
      </w:r>
      <w:r w:rsidR="00F67338">
        <w:rPr>
          <w:rFonts w:ascii="Times New Roman" w:hAnsi="Times New Roman" w:cs="Times New Roman"/>
        </w:rPr>
        <w:t>leştirilmiş</w:t>
      </w:r>
      <w:r w:rsidR="002E627C">
        <w:rPr>
          <w:rFonts w:ascii="Times New Roman" w:hAnsi="Times New Roman" w:cs="Times New Roman"/>
        </w:rPr>
        <w:t xml:space="preserve"> muhakeme</w:t>
      </w:r>
      <w:r w:rsidR="008A0AB5">
        <w:rPr>
          <w:rFonts w:ascii="Times New Roman" w:hAnsi="Times New Roman" w:cs="Times New Roman"/>
        </w:rPr>
        <w:t xml:space="preserve"> usulü” (</w:t>
      </w:r>
      <w:r w:rsidR="00E47CB8">
        <w:rPr>
          <w:rFonts w:ascii="Times New Roman" w:hAnsi="Times New Roman" w:cs="Times New Roman"/>
          <w:i/>
        </w:rPr>
        <w:t>procédure</w:t>
      </w:r>
      <w:r w:rsidR="008A0AB5" w:rsidRPr="008A0AB5">
        <w:rPr>
          <w:rFonts w:ascii="Times New Roman" w:hAnsi="Times New Roman" w:cs="Times New Roman"/>
          <w:i/>
        </w:rPr>
        <w:t xml:space="preserve"> simplifiée</w:t>
      </w:r>
      <w:r w:rsidR="008A0AB5">
        <w:rPr>
          <w:rFonts w:ascii="Times New Roman" w:hAnsi="Times New Roman" w:cs="Times New Roman"/>
        </w:rPr>
        <w:t xml:space="preserve">) (Fransız CMK m. 495 ila m. 495-6, m. 524 ila </w:t>
      </w:r>
      <w:r w:rsidR="00177635">
        <w:rPr>
          <w:rFonts w:ascii="Times New Roman" w:hAnsi="Times New Roman" w:cs="Times New Roman"/>
        </w:rPr>
        <w:t xml:space="preserve">m. </w:t>
      </w:r>
      <w:r w:rsidR="008A0AB5">
        <w:rPr>
          <w:rFonts w:ascii="Times New Roman" w:hAnsi="Times New Roman" w:cs="Times New Roman"/>
        </w:rPr>
        <w:t>528-2) adıyla düzenlenen benzer bir kurum mevcuttur</w:t>
      </w:r>
      <w:r w:rsidR="00CB21D4">
        <w:rPr>
          <w:rStyle w:val="FootnoteReference"/>
          <w:rFonts w:ascii="Times New Roman" w:hAnsi="Times New Roman" w:cs="Times New Roman"/>
        </w:rPr>
        <w:footnoteReference w:id="6"/>
      </w:r>
      <w:r w:rsidR="008A0AB5">
        <w:rPr>
          <w:rFonts w:ascii="Times New Roman" w:hAnsi="Times New Roman" w:cs="Times New Roman"/>
        </w:rPr>
        <w:t xml:space="preserve">. </w:t>
      </w:r>
    </w:p>
    <w:p w14:paraId="26E5AAA0" w14:textId="77777777" w:rsidR="009379CB" w:rsidRDefault="009379CB" w:rsidP="00826AC3">
      <w:pPr>
        <w:spacing w:line="360" w:lineRule="auto"/>
        <w:jc w:val="both"/>
        <w:rPr>
          <w:rFonts w:ascii="Times New Roman" w:hAnsi="Times New Roman" w:cs="Times New Roman"/>
        </w:rPr>
      </w:pPr>
    </w:p>
    <w:p w14:paraId="2A5131A7" w14:textId="75413E07" w:rsidR="00212367" w:rsidRDefault="008603D9" w:rsidP="00212367">
      <w:pPr>
        <w:spacing w:line="360" w:lineRule="auto"/>
        <w:ind w:firstLine="720"/>
        <w:jc w:val="both"/>
        <w:rPr>
          <w:rFonts w:ascii="Times New Roman" w:hAnsi="Times New Roman" w:cs="Times New Roman"/>
        </w:rPr>
      </w:pPr>
      <w:r>
        <w:rPr>
          <w:rFonts w:ascii="Times New Roman" w:hAnsi="Times New Roman" w:cs="Times New Roman"/>
        </w:rPr>
        <w:t>Çalışmanın konusunu oluşturan suçluluğun ön kabulü üzerine duruşma usulü Fransız hukukunda 2004 yılında 2004-204 sayılı Kanun</w:t>
      </w:r>
      <w:r>
        <w:rPr>
          <w:rStyle w:val="FootnoteReference"/>
          <w:rFonts w:ascii="Times New Roman" w:hAnsi="Times New Roman" w:cs="Times New Roman"/>
        </w:rPr>
        <w:footnoteReference w:id="7"/>
      </w:r>
      <w:r w:rsidR="002A370B">
        <w:rPr>
          <w:rFonts w:ascii="Times New Roman" w:hAnsi="Times New Roman" w:cs="Times New Roman"/>
        </w:rPr>
        <w:t xml:space="preserve"> ile ihdas edilerek</w:t>
      </w:r>
      <w:r>
        <w:rPr>
          <w:rFonts w:ascii="Times New Roman" w:hAnsi="Times New Roman" w:cs="Times New Roman"/>
        </w:rPr>
        <w:t xml:space="preserve"> </w:t>
      </w:r>
      <w:r w:rsidR="00EF3D87">
        <w:rPr>
          <w:rFonts w:ascii="Times New Roman" w:hAnsi="Times New Roman" w:cs="Times New Roman"/>
        </w:rPr>
        <w:t>1 Ekim 2004 tarihind</w:t>
      </w:r>
      <w:r w:rsidR="002A370B">
        <w:rPr>
          <w:rFonts w:ascii="Times New Roman" w:hAnsi="Times New Roman" w:cs="Times New Roman"/>
        </w:rPr>
        <w:t>en itibaren uygulanmaya başlanmış,</w:t>
      </w:r>
      <w:r w:rsidR="00EF3D87">
        <w:rPr>
          <w:rFonts w:ascii="Times New Roman" w:hAnsi="Times New Roman" w:cs="Times New Roman"/>
        </w:rPr>
        <w:t xml:space="preserve"> </w:t>
      </w:r>
      <w:r w:rsidR="00863EAA">
        <w:rPr>
          <w:rFonts w:ascii="Times New Roman" w:hAnsi="Times New Roman" w:cs="Times New Roman"/>
        </w:rPr>
        <w:t xml:space="preserve">yürürlüğe girdiği tarihten itibaren </w:t>
      </w:r>
      <w:r w:rsidR="000B6B42">
        <w:rPr>
          <w:rFonts w:ascii="Times New Roman" w:hAnsi="Times New Roman" w:cs="Times New Roman"/>
        </w:rPr>
        <w:t xml:space="preserve">oldukça </w:t>
      </w:r>
      <w:r w:rsidR="00125C1C">
        <w:rPr>
          <w:rFonts w:ascii="Times New Roman" w:hAnsi="Times New Roman" w:cs="Times New Roman"/>
        </w:rPr>
        <w:t>sık başvurulan bir yol halin</w:t>
      </w:r>
      <w:r w:rsidR="008572D1">
        <w:rPr>
          <w:rFonts w:ascii="Times New Roman" w:hAnsi="Times New Roman" w:cs="Times New Roman"/>
        </w:rPr>
        <w:t xml:space="preserve">e gelmiştir. Bu usulün uygulandığı dosya sayısı 2005 yılından </w:t>
      </w:r>
      <w:r w:rsidR="001B308D">
        <w:rPr>
          <w:rFonts w:ascii="Times New Roman" w:hAnsi="Times New Roman" w:cs="Times New Roman"/>
        </w:rPr>
        <w:t>2011 yılına kadarki süre içinde 27000’den 61543’e yükselmiş, bu durum Fransız k</w:t>
      </w:r>
      <w:r w:rsidR="00EE0F55">
        <w:rPr>
          <w:rFonts w:ascii="Times New Roman" w:hAnsi="Times New Roman" w:cs="Times New Roman"/>
        </w:rPr>
        <w:t xml:space="preserve">anun koyucusunu 2011 yılında kanun değişikliği yaparak </w:t>
      </w:r>
      <w:r w:rsidR="001B308D">
        <w:rPr>
          <w:rFonts w:ascii="Times New Roman" w:hAnsi="Times New Roman" w:cs="Times New Roman"/>
        </w:rPr>
        <w:t>suçluluğun ön kabulü üzerine duruşma usulüne başvurulabilecek hallerin kapsamını genişlet</w:t>
      </w:r>
      <w:r w:rsidR="00EE0F55">
        <w:rPr>
          <w:rFonts w:ascii="Times New Roman" w:hAnsi="Times New Roman" w:cs="Times New Roman"/>
        </w:rPr>
        <w:t>meye yöneltmiştir</w:t>
      </w:r>
      <w:r w:rsidR="001B308D">
        <w:rPr>
          <w:rStyle w:val="FootnoteReference"/>
          <w:rFonts w:ascii="Times New Roman" w:hAnsi="Times New Roman" w:cs="Times New Roman"/>
        </w:rPr>
        <w:footnoteReference w:id="8"/>
      </w:r>
      <w:r w:rsidR="001B308D">
        <w:rPr>
          <w:rFonts w:ascii="Times New Roman" w:hAnsi="Times New Roman" w:cs="Times New Roman"/>
        </w:rPr>
        <w:t xml:space="preserve">. </w:t>
      </w:r>
    </w:p>
    <w:p w14:paraId="4FF85271" w14:textId="77777777" w:rsidR="00212367" w:rsidRDefault="00212367" w:rsidP="00212367">
      <w:pPr>
        <w:spacing w:line="360" w:lineRule="auto"/>
        <w:ind w:firstLine="720"/>
        <w:jc w:val="both"/>
        <w:rPr>
          <w:rFonts w:ascii="Times New Roman" w:hAnsi="Times New Roman" w:cs="Times New Roman"/>
        </w:rPr>
      </w:pPr>
    </w:p>
    <w:p w14:paraId="3D2B51E9" w14:textId="0786ADAD" w:rsidR="00AD7F0F" w:rsidRDefault="00212367" w:rsidP="00877751">
      <w:pPr>
        <w:spacing w:line="360" w:lineRule="auto"/>
        <w:ind w:firstLine="720"/>
        <w:jc w:val="both"/>
        <w:rPr>
          <w:rFonts w:ascii="Times New Roman" w:hAnsi="Times New Roman" w:cs="Times New Roman"/>
        </w:rPr>
      </w:pPr>
      <w:r w:rsidRPr="001C7438">
        <w:rPr>
          <w:rFonts w:ascii="Times New Roman" w:hAnsi="Times New Roman" w:cs="Times New Roman"/>
        </w:rPr>
        <w:t xml:space="preserve">Çalışmada, </w:t>
      </w:r>
      <w:r w:rsidR="00877751">
        <w:rPr>
          <w:rFonts w:ascii="Times New Roman" w:hAnsi="Times New Roman" w:cs="Times New Roman"/>
        </w:rPr>
        <w:t xml:space="preserve">seri muhakeme usulünün </w:t>
      </w:r>
      <w:r w:rsidRPr="001C7438">
        <w:rPr>
          <w:rFonts w:ascii="Times New Roman" w:hAnsi="Times New Roman" w:cs="Times New Roman"/>
        </w:rPr>
        <w:t>esinlen</w:t>
      </w:r>
      <w:r>
        <w:rPr>
          <w:rFonts w:ascii="Times New Roman" w:hAnsi="Times New Roman" w:cs="Times New Roman"/>
        </w:rPr>
        <w:t>ildiği</w:t>
      </w:r>
      <w:r w:rsidRPr="001C7438">
        <w:rPr>
          <w:rFonts w:ascii="Times New Roman" w:hAnsi="Times New Roman" w:cs="Times New Roman"/>
        </w:rPr>
        <w:t xml:space="preserve"> </w:t>
      </w:r>
      <w:r w:rsidR="00877751">
        <w:rPr>
          <w:rFonts w:ascii="Times New Roman" w:hAnsi="Times New Roman" w:cs="Times New Roman"/>
        </w:rPr>
        <w:t xml:space="preserve">bir </w:t>
      </w:r>
      <w:r w:rsidR="000B4DF2">
        <w:rPr>
          <w:rFonts w:ascii="Times New Roman" w:hAnsi="Times New Roman" w:cs="Times New Roman"/>
        </w:rPr>
        <w:t>örnek olan</w:t>
      </w:r>
      <w:r w:rsidR="00877751">
        <w:rPr>
          <w:rFonts w:ascii="Times New Roman" w:hAnsi="Times New Roman" w:cs="Times New Roman"/>
        </w:rPr>
        <w:t xml:space="preserve"> </w:t>
      </w:r>
      <w:r w:rsidRPr="001C7438">
        <w:rPr>
          <w:rFonts w:ascii="Times New Roman" w:hAnsi="Times New Roman" w:cs="Times New Roman"/>
        </w:rPr>
        <w:t xml:space="preserve">Fransız </w:t>
      </w:r>
      <w:r w:rsidR="003D2510">
        <w:rPr>
          <w:rFonts w:ascii="Times New Roman" w:hAnsi="Times New Roman" w:cs="Times New Roman"/>
        </w:rPr>
        <w:t xml:space="preserve">hukukundaki </w:t>
      </w:r>
      <w:r>
        <w:rPr>
          <w:rFonts w:ascii="Times New Roman" w:hAnsi="Times New Roman" w:cs="Times New Roman"/>
        </w:rPr>
        <w:t>suçlu</w:t>
      </w:r>
      <w:r w:rsidR="003D2510">
        <w:rPr>
          <w:rFonts w:ascii="Times New Roman" w:hAnsi="Times New Roman" w:cs="Times New Roman"/>
        </w:rPr>
        <w:t>luğun ön kabulü üzerine duruşma</w:t>
      </w:r>
      <w:r>
        <w:rPr>
          <w:rFonts w:ascii="Times New Roman" w:hAnsi="Times New Roman" w:cs="Times New Roman"/>
        </w:rPr>
        <w:t xml:space="preserve"> kurumu ele alınarak, bu</w:t>
      </w:r>
      <w:r w:rsidRPr="001C7438">
        <w:rPr>
          <w:rFonts w:ascii="Times New Roman" w:hAnsi="Times New Roman" w:cs="Times New Roman"/>
        </w:rPr>
        <w:t xml:space="preserve"> </w:t>
      </w:r>
      <w:r>
        <w:rPr>
          <w:rFonts w:ascii="Times New Roman" w:hAnsi="Times New Roman" w:cs="Times New Roman"/>
        </w:rPr>
        <w:t xml:space="preserve">kurumun </w:t>
      </w:r>
      <w:r w:rsidRPr="001C7438">
        <w:rPr>
          <w:rFonts w:ascii="Times New Roman" w:hAnsi="Times New Roman" w:cs="Times New Roman"/>
        </w:rPr>
        <w:t>Fransız hukukundaki düzenleniş şekli</w:t>
      </w:r>
      <w:r>
        <w:rPr>
          <w:rFonts w:ascii="Times New Roman" w:hAnsi="Times New Roman" w:cs="Times New Roman"/>
        </w:rPr>
        <w:t>ne</w:t>
      </w:r>
      <w:r w:rsidRPr="001C7438">
        <w:rPr>
          <w:rFonts w:ascii="Times New Roman" w:hAnsi="Times New Roman" w:cs="Times New Roman"/>
        </w:rPr>
        <w:t xml:space="preserve"> ve uygulanmasına ilişkin </w:t>
      </w:r>
      <w:r>
        <w:rPr>
          <w:rFonts w:ascii="Times New Roman" w:hAnsi="Times New Roman" w:cs="Times New Roman"/>
        </w:rPr>
        <w:t xml:space="preserve">genel </w:t>
      </w:r>
      <w:r w:rsidRPr="001C7438">
        <w:rPr>
          <w:rFonts w:ascii="Times New Roman" w:hAnsi="Times New Roman" w:cs="Times New Roman"/>
        </w:rPr>
        <w:t xml:space="preserve">özelliklerin ortaya konulması ve böylece Türk hukukundaki uygulama için yol gösterici bazı sonuçlara ulaşılması amaçlanmıştır. Bu amaç doğrultusunda </w:t>
      </w:r>
      <w:r w:rsidR="00AD7F0F">
        <w:rPr>
          <w:rFonts w:ascii="Times New Roman" w:hAnsi="Times New Roman" w:cs="Times New Roman"/>
        </w:rPr>
        <w:t>çalışmanın kapsamı</w:t>
      </w:r>
      <w:r w:rsidR="00BE63E5">
        <w:rPr>
          <w:rFonts w:ascii="Times New Roman" w:hAnsi="Times New Roman" w:cs="Times New Roman"/>
        </w:rPr>
        <w:t>,</w:t>
      </w:r>
      <w:r w:rsidR="00AD7F0F">
        <w:rPr>
          <w:rFonts w:ascii="Times New Roman" w:hAnsi="Times New Roman" w:cs="Times New Roman"/>
        </w:rPr>
        <w:t xml:space="preserve"> </w:t>
      </w:r>
      <w:r w:rsidR="00BE63E5">
        <w:rPr>
          <w:rFonts w:ascii="Times New Roman" w:hAnsi="Times New Roman" w:cs="Times New Roman"/>
        </w:rPr>
        <w:t xml:space="preserve">seri muhakeme usulünün </w:t>
      </w:r>
      <w:r w:rsidR="00AD7F0F">
        <w:rPr>
          <w:rFonts w:ascii="Times New Roman" w:hAnsi="Times New Roman" w:cs="Times New Roman"/>
        </w:rPr>
        <w:t xml:space="preserve">Fransız hukukundaki </w:t>
      </w:r>
      <w:r w:rsidR="00372D66">
        <w:rPr>
          <w:rFonts w:ascii="Times New Roman" w:hAnsi="Times New Roman" w:cs="Times New Roman"/>
        </w:rPr>
        <w:t>usulden</w:t>
      </w:r>
      <w:r w:rsidR="00AD7F0F">
        <w:rPr>
          <w:rFonts w:ascii="Times New Roman" w:hAnsi="Times New Roman" w:cs="Times New Roman"/>
        </w:rPr>
        <w:t xml:space="preserve"> farklı noktaların</w:t>
      </w:r>
      <w:r w:rsidR="00BE63E5">
        <w:rPr>
          <w:rFonts w:ascii="Times New Roman" w:hAnsi="Times New Roman" w:cs="Times New Roman"/>
        </w:rPr>
        <w:t>ın tespit edilmesi ve</w:t>
      </w:r>
      <w:r w:rsidR="00AD7F0F">
        <w:rPr>
          <w:rFonts w:ascii="Times New Roman" w:hAnsi="Times New Roman" w:cs="Times New Roman"/>
        </w:rPr>
        <w:t xml:space="preserve"> bu farklılıkların karşılaştırılmasıyla ortaya çıkan </w:t>
      </w:r>
      <w:r w:rsidR="006B7A1D">
        <w:rPr>
          <w:rFonts w:ascii="Times New Roman" w:hAnsi="Times New Roman" w:cs="Times New Roman"/>
        </w:rPr>
        <w:t xml:space="preserve">bazı </w:t>
      </w:r>
      <w:r w:rsidR="00AD7F0F">
        <w:rPr>
          <w:rFonts w:ascii="Times New Roman" w:hAnsi="Times New Roman" w:cs="Times New Roman"/>
        </w:rPr>
        <w:t xml:space="preserve">sonuçların değerlendirilmesiyle sınırlandırılmıştır. </w:t>
      </w:r>
    </w:p>
    <w:p w14:paraId="411611B8" w14:textId="77777777" w:rsidR="00BE63E5" w:rsidRDefault="00BE63E5" w:rsidP="00877751">
      <w:pPr>
        <w:spacing w:line="360" w:lineRule="auto"/>
        <w:ind w:firstLine="720"/>
        <w:jc w:val="both"/>
        <w:rPr>
          <w:rFonts w:ascii="Times New Roman" w:hAnsi="Times New Roman" w:cs="Times New Roman"/>
        </w:rPr>
      </w:pPr>
    </w:p>
    <w:p w14:paraId="07EAA63E" w14:textId="2F95B94B" w:rsidR="00212367" w:rsidRPr="001C7438" w:rsidRDefault="007C1DF7" w:rsidP="00877751">
      <w:pPr>
        <w:spacing w:line="360" w:lineRule="auto"/>
        <w:ind w:firstLine="720"/>
        <w:jc w:val="both"/>
        <w:rPr>
          <w:rFonts w:ascii="Times New Roman" w:hAnsi="Times New Roman" w:cs="Times New Roman"/>
        </w:rPr>
      </w:pPr>
      <w:r>
        <w:rPr>
          <w:rFonts w:ascii="Times New Roman" w:hAnsi="Times New Roman" w:cs="Times New Roman"/>
        </w:rPr>
        <w:t>Bu sınır çerçevesinde, ç</w:t>
      </w:r>
      <w:r w:rsidR="00BE63E5">
        <w:rPr>
          <w:rFonts w:ascii="Times New Roman" w:hAnsi="Times New Roman" w:cs="Times New Roman"/>
        </w:rPr>
        <w:t>alışmanın ilk bölümünde</w:t>
      </w:r>
      <w:r w:rsidR="00212367" w:rsidRPr="001C7438">
        <w:rPr>
          <w:rFonts w:ascii="Times New Roman" w:hAnsi="Times New Roman" w:cs="Times New Roman"/>
        </w:rPr>
        <w:t xml:space="preserve"> Fransız hukukunda </w:t>
      </w:r>
      <w:r w:rsidR="00212367">
        <w:rPr>
          <w:rFonts w:ascii="Times New Roman" w:hAnsi="Times New Roman" w:cs="Times New Roman"/>
        </w:rPr>
        <w:t xml:space="preserve">alternatif muhakeme usullerinin ortaya çıkış süreci ve suçluluğun ön kabulü üzerine duruşma usulünün kanunda </w:t>
      </w:r>
      <w:r w:rsidR="00212367" w:rsidRPr="001C7438">
        <w:rPr>
          <w:rFonts w:ascii="Times New Roman" w:hAnsi="Times New Roman" w:cs="Times New Roman"/>
        </w:rPr>
        <w:t xml:space="preserve">düzenleniş şekli </w:t>
      </w:r>
      <w:r w:rsidR="00BE63E5">
        <w:rPr>
          <w:rFonts w:ascii="Times New Roman" w:hAnsi="Times New Roman" w:cs="Times New Roman"/>
        </w:rPr>
        <w:t>genel hatlarıyla ele alınmıştır</w:t>
      </w:r>
      <w:r w:rsidR="00212367">
        <w:rPr>
          <w:rFonts w:ascii="Times New Roman" w:hAnsi="Times New Roman" w:cs="Times New Roman"/>
        </w:rPr>
        <w:t xml:space="preserve">. </w:t>
      </w:r>
      <w:r w:rsidR="00BE63E5">
        <w:rPr>
          <w:rFonts w:ascii="Times New Roman" w:hAnsi="Times New Roman" w:cs="Times New Roman"/>
        </w:rPr>
        <w:t>D</w:t>
      </w:r>
      <w:r w:rsidR="00212367">
        <w:rPr>
          <w:rFonts w:ascii="Times New Roman" w:hAnsi="Times New Roman" w:cs="Times New Roman"/>
        </w:rPr>
        <w:t xml:space="preserve">evamında Türk hukukunda seri muhakeme usulünün genel özelliklerine yer verilmiş, Fransız hukukundaki kurumla arasındaki farklar ortaya konularak, </w:t>
      </w:r>
      <w:r w:rsidR="00BE63E5">
        <w:rPr>
          <w:rFonts w:ascii="Times New Roman" w:hAnsi="Times New Roman" w:cs="Times New Roman"/>
        </w:rPr>
        <w:t xml:space="preserve">son bölümde </w:t>
      </w:r>
      <w:r w:rsidR="00212367">
        <w:rPr>
          <w:rFonts w:ascii="Times New Roman" w:hAnsi="Times New Roman" w:cs="Times New Roman"/>
        </w:rPr>
        <w:t xml:space="preserve">her iki kurumun </w:t>
      </w:r>
      <w:r w:rsidR="002327EC">
        <w:rPr>
          <w:rFonts w:ascii="Times New Roman" w:hAnsi="Times New Roman" w:cs="Times New Roman"/>
        </w:rPr>
        <w:t>bağlantılı</w:t>
      </w:r>
      <w:r w:rsidR="00212367">
        <w:rPr>
          <w:rFonts w:ascii="Times New Roman" w:hAnsi="Times New Roman" w:cs="Times New Roman"/>
        </w:rPr>
        <w:t xml:space="preserve"> </w:t>
      </w:r>
      <w:r w:rsidR="002327EC">
        <w:rPr>
          <w:rFonts w:ascii="Times New Roman" w:hAnsi="Times New Roman" w:cs="Times New Roman"/>
        </w:rPr>
        <w:t xml:space="preserve">olan </w:t>
      </w:r>
      <w:r w:rsidR="00212367">
        <w:rPr>
          <w:rFonts w:ascii="Times New Roman" w:hAnsi="Times New Roman" w:cs="Times New Roman"/>
        </w:rPr>
        <w:t xml:space="preserve">özellikleri </w:t>
      </w:r>
      <w:r w:rsidR="00130882">
        <w:rPr>
          <w:rFonts w:ascii="Times New Roman" w:hAnsi="Times New Roman" w:cs="Times New Roman"/>
        </w:rPr>
        <w:t>karşılaştırmalı</w:t>
      </w:r>
      <w:r w:rsidR="00212367">
        <w:rPr>
          <w:rFonts w:ascii="Times New Roman" w:hAnsi="Times New Roman" w:cs="Times New Roman"/>
        </w:rPr>
        <w:t xml:space="preserve"> şekilde değerlendirilmeye çalışılmıştır. </w:t>
      </w:r>
    </w:p>
    <w:p w14:paraId="53428603" w14:textId="19A65C46" w:rsidR="00DD5BD2" w:rsidRDefault="00192C1A" w:rsidP="003447D4">
      <w:pPr>
        <w:pStyle w:val="Heading1"/>
      </w:pPr>
      <w:r>
        <w:t>I</w:t>
      </w:r>
      <w:r w:rsidR="009F6FEF">
        <w:t>. FRANSIZ HUKUKUNDA ALTERNATİF</w:t>
      </w:r>
      <w:r w:rsidR="009F6FEF" w:rsidRPr="00B1522F">
        <w:t xml:space="preserve"> </w:t>
      </w:r>
      <w:r w:rsidR="008603D9">
        <w:t>MUHAKEME</w:t>
      </w:r>
      <w:r w:rsidR="009F6FEF" w:rsidRPr="00B1522F">
        <w:t xml:space="preserve"> USUL</w:t>
      </w:r>
      <w:r w:rsidR="009F6FEF">
        <w:t>LERİNİN</w:t>
      </w:r>
      <w:r w:rsidR="009F6FEF" w:rsidRPr="00B1522F">
        <w:t xml:space="preserve"> </w:t>
      </w:r>
      <w:r w:rsidR="009F6FEF">
        <w:t xml:space="preserve">ORTAYA ÇIKIŞI VE CEZA </w:t>
      </w:r>
      <w:r w:rsidR="00472038">
        <w:t>MUHAKEMESİ</w:t>
      </w:r>
      <w:r w:rsidR="009F6FEF">
        <w:t xml:space="preserve"> SİSTEMİNDEKİ YERİ</w:t>
      </w:r>
    </w:p>
    <w:p w14:paraId="7E1AE403" w14:textId="77777777" w:rsidR="00D53896" w:rsidRDefault="00D53896" w:rsidP="00353561">
      <w:pPr>
        <w:spacing w:line="360" w:lineRule="auto"/>
        <w:jc w:val="both"/>
        <w:rPr>
          <w:rFonts w:ascii="Times New Roman" w:hAnsi="Times New Roman" w:cs="Times New Roman"/>
          <w:b/>
        </w:rPr>
      </w:pPr>
    </w:p>
    <w:p w14:paraId="656B05A7" w14:textId="56C47223" w:rsidR="00372933" w:rsidRDefault="00DD5BD2" w:rsidP="00353561">
      <w:pPr>
        <w:spacing w:line="360" w:lineRule="auto"/>
        <w:jc w:val="both"/>
        <w:rPr>
          <w:rFonts w:ascii="Times New Roman" w:hAnsi="Times New Roman" w:cs="Times New Roman"/>
        </w:rPr>
      </w:pPr>
      <w:r>
        <w:rPr>
          <w:rFonts w:ascii="Times New Roman" w:hAnsi="Times New Roman" w:cs="Times New Roman"/>
          <w:b/>
        </w:rPr>
        <w:tab/>
      </w:r>
      <w:r w:rsidR="00FE596D">
        <w:rPr>
          <w:rFonts w:ascii="Times New Roman" w:hAnsi="Times New Roman" w:cs="Times New Roman"/>
        </w:rPr>
        <w:t xml:space="preserve">Ceza </w:t>
      </w:r>
      <w:r w:rsidR="00AB5280">
        <w:rPr>
          <w:rFonts w:ascii="Times New Roman" w:hAnsi="Times New Roman" w:cs="Times New Roman"/>
        </w:rPr>
        <w:t>muhakemesi</w:t>
      </w:r>
      <w:r w:rsidR="00FE596D">
        <w:rPr>
          <w:rFonts w:ascii="Times New Roman" w:hAnsi="Times New Roman" w:cs="Times New Roman"/>
        </w:rPr>
        <w:t xml:space="preserve"> sürecinin sadeleştirilmesi ve hızlandırılması eğilimi özellikle son yıllarda çoğu Avrupa ülkesinde kanunlaştırma faaliyetlerine yansıyan ortak bir gelişmedir. </w:t>
      </w:r>
      <w:r w:rsidR="00272A44">
        <w:rPr>
          <w:rFonts w:ascii="Times New Roman" w:hAnsi="Times New Roman" w:cs="Times New Roman"/>
        </w:rPr>
        <w:t>Bu gelişme ceza mahkemelerindeki</w:t>
      </w:r>
      <w:r w:rsidR="007B67F0">
        <w:rPr>
          <w:rFonts w:ascii="Times New Roman" w:hAnsi="Times New Roman" w:cs="Times New Roman"/>
        </w:rPr>
        <w:t xml:space="preserve"> iş yükünün fazlalığı ve adalet sisteminin genel olarak yavaş işleyişi nedeniyle </w:t>
      </w:r>
      <w:r w:rsidR="00272A44">
        <w:rPr>
          <w:rFonts w:ascii="Times New Roman" w:hAnsi="Times New Roman" w:cs="Times New Roman"/>
        </w:rPr>
        <w:t xml:space="preserve">Fransız hukukunda da </w:t>
      </w:r>
      <w:r w:rsidR="007B67F0">
        <w:rPr>
          <w:rFonts w:ascii="Times New Roman" w:hAnsi="Times New Roman" w:cs="Times New Roman"/>
        </w:rPr>
        <w:t xml:space="preserve">basitleştirilmiş muhakeme yollarının çoğaltılması şeklinde </w:t>
      </w:r>
      <w:r w:rsidR="00272A44">
        <w:rPr>
          <w:rFonts w:ascii="Times New Roman" w:hAnsi="Times New Roman" w:cs="Times New Roman"/>
        </w:rPr>
        <w:t>kendini göstermiştir</w:t>
      </w:r>
      <w:r w:rsidR="00BA4C32">
        <w:rPr>
          <w:rStyle w:val="FootnoteReference"/>
          <w:rFonts w:ascii="Times New Roman" w:hAnsi="Times New Roman" w:cs="Times New Roman"/>
        </w:rPr>
        <w:footnoteReference w:id="9"/>
      </w:r>
      <w:r w:rsidR="00BF7B9F">
        <w:rPr>
          <w:rFonts w:ascii="Times New Roman" w:hAnsi="Times New Roman" w:cs="Times New Roman"/>
        </w:rPr>
        <w:t xml:space="preserve">. Bu </w:t>
      </w:r>
      <w:r w:rsidR="005C06D4">
        <w:rPr>
          <w:rFonts w:ascii="Times New Roman" w:hAnsi="Times New Roman" w:cs="Times New Roman"/>
        </w:rPr>
        <w:t xml:space="preserve">süreçte </w:t>
      </w:r>
      <w:r w:rsidR="00D16E6F">
        <w:rPr>
          <w:rFonts w:ascii="Times New Roman" w:hAnsi="Times New Roman" w:cs="Times New Roman"/>
        </w:rPr>
        <w:t xml:space="preserve">Fransız hukukunda </w:t>
      </w:r>
      <w:r w:rsidR="000B6B42">
        <w:rPr>
          <w:rFonts w:ascii="Times New Roman" w:hAnsi="Times New Roman" w:cs="Times New Roman"/>
        </w:rPr>
        <w:t xml:space="preserve">ceza </w:t>
      </w:r>
      <w:r w:rsidR="00AB5280">
        <w:rPr>
          <w:rFonts w:ascii="Times New Roman" w:hAnsi="Times New Roman" w:cs="Times New Roman"/>
        </w:rPr>
        <w:t>muhakemesi</w:t>
      </w:r>
      <w:r w:rsidR="000B6B42">
        <w:rPr>
          <w:rFonts w:ascii="Times New Roman" w:hAnsi="Times New Roman" w:cs="Times New Roman"/>
        </w:rPr>
        <w:t xml:space="preserve"> süjelerine önlerin</w:t>
      </w:r>
      <w:r w:rsidR="00F63429">
        <w:rPr>
          <w:rFonts w:ascii="Times New Roman" w:hAnsi="Times New Roman" w:cs="Times New Roman"/>
        </w:rPr>
        <w:t xml:space="preserve">deki olayların çeşitliliklerine </w:t>
      </w:r>
      <w:r w:rsidR="00D16E6F">
        <w:rPr>
          <w:rFonts w:ascii="Times New Roman" w:hAnsi="Times New Roman" w:cs="Times New Roman"/>
        </w:rPr>
        <w:t xml:space="preserve">daha </w:t>
      </w:r>
      <w:r w:rsidR="000B6B42">
        <w:rPr>
          <w:rFonts w:ascii="Times New Roman" w:hAnsi="Times New Roman" w:cs="Times New Roman"/>
        </w:rPr>
        <w:t>uygun çözüm</w:t>
      </w:r>
      <w:r w:rsidR="00D16E6F">
        <w:rPr>
          <w:rFonts w:ascii="Times New Roman" w:hAnsi="Times New Roman" w:cs="Times New Roman"/>
        </w:rPr>
        <w:t>ler</w:t>
      </w:r>
      <w:r w:rsidR="000B6B42">
        <w:rPr>
          <w:rFonts w:ascii="Times New Roman" w:hAnsi="Times New Roman" w:cs="Times New Roman"/>
        </w:rPr>
        <w:t xml:space="preserve"> bulabilecekleri geni</w:t>
      </w:r>
      <w:r w:rsidR="00BF7B9F">
        <w:rPr>
          <w:rFonts w:ascii="Times New Roman" w:hAnsi="Times New Roman" w:cs="Times New Roman"/>
        </w:rPr>
        <w:t>ş bir seçenek yelpazesi sunmak</w:t>
      </w:r>
      <w:r w:rsidR="000B6B42">
        <w:rPr>
          <w:rFonts w:ascii="Times New Roman" w:hAnsi="Times New Roman" w:cs="Times New Roman"/>
        </w:rPr>
        <w:t xml:space="preserve"> ön plana </w:t>
      </w:r>
      <w:r w:rsidR="00BF7B9F">
        <w:rPr>
          <w:rFonts w:ascii="Times New Roman" w:hAnsi="Times New Roman" w:cs="Times New Roman"/>
        </w:rPr>
        <w:t>alınmış</w:t>
      </w:r>
      <w:r w:rsidR="000B6B42">
        <w:rPr>
          <w:rStyle w:val="FootnoteReference"/>
          <w:rFonts w:ascii="Times New Roman" w:hAnsi="Times New Roman" w:cs="Times New Roman"/>
        </w:rPr>
        <w:footnoteReference w:id="10"/>
      </w:r>
      <w:r w:rsidR="000B6B42">
        <w:rPr>
          <w:rFonts w:ascii="Times New Roman" w:hAnsi="Times New Roman" w:cs="Times New Roman"/>
        </w:rPr>
        <w:t xml:space="preserve"> </w:t>
      </w:r>
      <w:r w:rsidR="00D53896">
        <w:rPr>
          <w:rFonts w:ascii="Times New Roman" w:hAnsi="Times New Roman" w:cs="Times New Roman"/>
        </w:rPr>
        <w:t>ve</w:t>
      </w:r>
      <w:r w:rsidR="00BA4C32">
        <w:rPr>
          <w:rFonts w:ascii="Times New Roman" w:hAnsi="Times New Roman" w:cs="Times New Roman"/>
        </w:rPr>
        <w:t xml:space="preserve"> </w:t>
      </w:r>
      <w:r w:rsidR="00D16E6F">
        <w:rPr>
          <w:rFonts w:ascii="Times New Roman" w:hAnsi="Times New Roman" w:cs="Times New Roman"/>
        </w:rPr>
        <w:t>iki temel amaç öne çıkmıştır</w:t>
      </w:r>
      <w:r w:rsidR="00426520">
        <w:rPr>
          <w:rStyle w:val="FootnoteReference"/>
          <w:rFonts w:ascii="Times New Roman" w:hAnsi="Times New Roman" w:cs="Times New Roman"/>
        </w:rPr>
        <w:footnoteReference w:id="11"/>
      </w:r>
      <w:r w:rsidR="001C77DA">
        <w:rPr>
          <w:rFonts w:ascii="Times New Roman" w:hAnsi="Times New Roman" w:cs="Times New Roman"/>
        </w:rPr>
        <w:t xml:space="preserve">. </w:t>
      </w:r>
      <w:r w:rsidR="008341F4">
        <w:rPr>
          <w:rFonts w:ascii="Times New Roman" w:hAnsi="Times New Roman" w:cs="Times New Roman"/>
        </w:rPr>
        <w:t xml:space="preserve">Bu amaçlardan ilki </w:t>
      </w:r>
      <w:r w:rsidR="00A868F9">
        <w:rPr>
          <w:rFonts w:ascii="Times New Roman" w:hAnsi="Times New Roman" w:cs="Times New Roman"/>
        </w:rPr>
        <w:t xml:space="preserve">ülkenin ceza adaleti sisteminin </w:t>
      </w:r>
      <w:r w:rsidR="00D53896">
        <w:rPr>
          <w:rFonts w:ascii="Times New Roman" w:hAnsi="Times New Roman" w:cs="Times New Roman"/>
        </w:rPr>
        <w:t xml:space="preserve">suçluluğa karşı </w:t>
      </w:r>
      <w:r w:rsidR="00A868F9">
        <w:rPr>
          <w:rFonts w:ascii="Times New Roman" w:hAnsi="Times New Roman" w:cs="Times New Roman"/>
        </w:rPr>
        <w:t xml:space="preserve">daha </w:t>
      </w:r>
      <w:r w:rsidR="006E401E">
        <w:rPr>
          <w:rFonts w:ascii="Times New Roman" w:hAnsi="Times New Roman" w:cs="Times New Roman"/>
        </w:rPr>
        <w:t>etkili</w:t>
      </w:r>
      <w:r w:rsidR="00A868F9">
        <w:rPr>
          <w:rFonts w:ascii="Times New Roman" w:hAnsi="Times New Roman" w:cs="Times New Roman"/>
        </w:rPr>
        <w:t xml:space="preserve"> bi</w:t>
      </w:r>
      <w:r w:rsidR="008341F4">
        <w:rPr>
          <w:rFonts w:ascii="Times New Roman" w:hAnsi="Times New Roman" w:cs="Times New Roman"/>
        </w:rPr>
        <w:t>r cevap vermesini sağlamaktır</w:t>
      </w:r>
      <w:r w:rsidR="00A868F9">
        <w:rPr>
          <w:rFonts w:ascii="Times New Roman" w:hAnsi="Times New Roman" w:cs="Times New Roman"/>
        </w:rPr>
        <w:t xml:space="preserve">. </w:t>
      </w:r>
      <w:r w:rsidR="00671B4F">
        <w:rPr>
          <w:rFonts w:ascii="Times New Roman" w:hAnsi="Times New Roman" w:cs="Times New Roman"/>
        </w:rPr>
        <w:t>Fransa’da c</w:t>
      </w:r>
      <w:r w:rsidR="00187D27">
        <w:rPr>
          <w:rFonts w:ascii="Times New Roman" w:hAnsi="Times New Roman" w:cs="Times New Roman"/>
        </w:rPr>
        <w:t>eza yargılamasına konu ola</w:t>
      </w:r>
      <w:r w:rsidR="001C77DA">
        <w:rPr>
          <w:rFonts w:ascii="Times New Roman" w:hAnsi="Times New Roman" w:cs="Times New Roman"/>
        </w:rPr>
        <w:t>n uyuşmazlıkların sayıca artışına rağmen</w:t>
      </w:r>
      <w:r w:rsidR="00187D27">
        <w:rPr>
          <w:rFonts w:ascii="Times New Roman" w:hAnsi="Times New Roman" w:cs="Times New Roman"/>
        </w:rPr>
        <w:t xml:space="preserve"> yargı makamlarındaki </w:t>
      </w:r>
      <w:r w:rsidR="001C77DA">
        <w:rPr>
          <w:rFonts w:ascii="Times New Roman" w:hAnsi="Times New Roman" w:cs="Times New Roman"/>
        </w:rPr>
        <w:t>sayının sabit kalması</w:t>
      </w:r>
      <w:r w:rsidR="00187D27">
        <w:rPr>
          <w:rFonts w:ascii="Times New Roman" w:hAnsi="Times New Roman" w:cs="Times New Roman"/>
        </w:rPr>
        <w:t xml:space="preserve"> </w:t>
      </w:r>
      <w:r w:rsidR="00D53896">
        <w:rPr>
          <w:rFonts w:ascii="Times New Roman" w:hAnsi="Times New Roman" w:cs="Times New Roman"/>
        </w:rPr>
        <w:t xml:space="preserve">Fransız adli yargı organlarında </w:t>
      </w:r>
      <w:r w:rsidR="001C77DA">
        <w:rPr>
          <w:rFonts w:ascii="Times New Roman" w:hAnsi="Times New Roman" w:cs="Times New Roman"/>
        </w:rPr>
        <w:t>önemli bir iş yükü sorununu</w:t>
      </w:r>
      <w:r w:rsidR="00187D27">
        <w:rPr>
          <w:rFonts w:ascii="Times New Roman" w:hAnsi="Times New Roman" w:cs="Times New Roman"/>
        </w:rPr>
        <w:t xml:space="preserve"> beraberinde getirmiş</w:t>
      </w:r>
      <w:r w:rsidR="00187D27">
        <w:rPr>
          <w:rStyle w:val="FootnoteReference"/>
          <w:rFonts w:ascii="Times New Roman" w:hAnsi="Times New Roman" w:cs="Times New Roman"/>
        </w:rPr>
        <w:footnoteReference w:id="12"/>
      </w:r>
      <w:r w:rsidR="00187D27">
        <w:rPr>
          <w:rFonts w:ascii="Times New Roman" w:hAnsi="Times New Roman" w:cs="Times New Roman"/>
        </w:rPr>
        <w:t>, bu</w:t>
      </w:r>
      <w:r w:rsidR="00A868F9">
        <w:rPr>
          <w:rFonts w:ascii="Times New Roman" w:hAnsi="Times New Roman" w:cs="Times New Roman"/>
        </w:rPr>
        <w:t xml:space="preserve"> iş yükü</w:t>
      </w:r>
      <w:r w:rsidR="00134FED">
        <w:rPr>
          <w:rFonts w:ascii="Times New Roman" w:hAnsi="Times New Roman" w:cs="Times New Roman"/>
        </w:rPr>
        <w:t xml:space="preserve"> fazlalığı savcılık makamını</w:t>
      </w:r>
      <w:r w:rsidR="007D1E31">
        <w:rPr>
          <w:rFonts w:ascii="Times New Roman" w:hAnsi="Times New Roman" w:cs="Times New Roman"/>
        </w:rPr>
        <w:t>,</w:t>
      </w:r>
      <w:r w:rsidR="00A868F9">
        <w:rPr>
          <w:rFonts w:ascii="Times New Roman" w:hAnsi="Times New Roman" w:cs="Times New Roman"/>
        </w:rPr>
        <w:t xml:space="preserve"> </w:t>
      </w:r>
      <w:r w:rsidR="00D53896">
        <w:rPr>
          <w:rFonts w:ascii="Times New Roman" w:hAnsi="Times New Roman" w:cs="Times New Roman"/>
        </w:rPr>
        <w:t xml:space="preserve">aslında </w:t>
      </w:r>
      <w:r w:rsidR="00A868F9">
        <w:rPr>
          <w:rFonts w:ascii="Times New Roman" w:hAnsi="Times New Roman" w:cs="Times New Roman"/>
        </w:rPr>
        <w:t xml:space="preserve">kovuşturulmasına geçilmesi mümkün olabilecek bazı hafif suçlarda </w:t>
      </w:r>
      <w:r w:rsidR="007D1E31">
        <w:rPr>
          <w:rFonts w:ascii="Times New Roman" w:hAnsi="Times New Roman" w:cs="Times New Roman"/>
        </w:rPr>
        <w:t xml:space="preserve">bile </w:t>
      </w:r>
      <w:r w:rsidR="00A868F9">
        <w:rPr>
          <w:rFonts w:ascii="Times New Roman" w:hAnsi="Times New Roman" w:cs="Times New Roman"/>
        </w:rPr>
        <w:t>takipsizlik kara</w:t>
      </w:r>
      <w:r w:rsidR="00671B4F">
        <w:rPr>
          <w:rFonts w:ascii="Times New Roman" w:hAnsi="Times New Roman" w:cs="Times New Roman"/>
        </w:rPr>
        <w:t>rı vermeye</w:t>
      </w:r>
      <w:r w:rsidR="00134FED">
        <w:rPr>
          <w:rFonts w:ascii="Times New Roman" w:hAnsi="Times New Roman" w:cs="Times New Roman"/>
        </w:rPr>
        <w:t xml:space="preserve"> yöneltmiş</w:t>
      </w:r>
      <w:r w:rsidR="00187D27">
        <w:rPr>
          <w:rFonts w:ascii="Times New Roman" w:hAnsi="Times New Roman" w:cs="Times New Roman"/>
        </w:rPr>
        <w:t>tir</w:t>
      </w:r>
      <w:r w:rsidR="00187D27">
        <w:rPr>
          <w:rStyle w:val="FootnoteReference"/>
          <w:rFonts w:ascii="Times New Roman" w:hAnsi="Times New Roman" w:cs="Times New Roman"/>
        </w:rPr>
        <w:footnoteReference w:id="13"/>
      </w:r>
      <w:r w:rsidR="00187D27">
        <w:rPr>
          <w:rFonts w:ascii="Times New Roman" w:hAnsi="Times New Roman" w:cs="Times New Roman"/>
        </w:rPr>
        <w:t xml:space="preserve">. </w:t>
      </w:r>
      <w:r w:rsidR="00671B4F">
        <w:rPr>
          <w:rFonts w:ascii="Times New Roman" w:hAnsi="Times New Roman" w:cs="Times New Roman"/>
        </w:rPr>
        <w:t>İş yükünün takipsizlik kararı vererek hafiflet</w:t>
      </w:r>
      <w:r w:rsidR="003133EE">
        <w:rPr>
          <w:rFonts w:ascii="Times New Roman" w:hAnsi="Times New Roman" w:cs="Times New Roman"/>
        </w:rPr>
        <w:t>il</w:t>
      </w:r>
      <w:r w:rsidR="00671B4F">
        <w:rPr>
          <w:rFonts w:ascii="Times New Roman" w:hAnsi="Times New Roman" w:cs="Times New Roman"/>
        </w:rPr>
        <w:t>meye çalışılması ve takipsizlik k</w:t>
      </w:r>
      <w:r w:rsidR="00E1533B">
        <w:rPr>
          <w:rFonts w:ascii="Times New Roman" w:hAnsi="Times New Roman" w:cs="Times New Roman"/>
        </w:rPr>
        <w:t xml:space="preserve">ararıyla sonuçlanan olaylardaki </w:t>
      </w:r>
      <w:r w:rsidR="00671B4F">
        <w:rPr>
          <w:rFonts w:ascii="Times New Roman" w:hAnsi="Times New Roman" w:cs="Times New Roman"/>
        </w:rPr>
        <w:t xml:space="preserve">artış, </w:t>
      </w:r>
      <w:r w:rsidR="00E1533B">
        <w:rPr>
          <w:rFonts w:ascii="Times New Roman" w:hAnsi="Times New Roman" w:cs="Times New Roman"/>
        </w:rPr>
        <w:t xml:space="preserve">kamuoyunda </w:t>
      </w:r>
      <w:r w:rsidR="00A868F9">
        <w:rPr>
          <w:rFonts w:ascii="Times New Roman" w:hAnsi="Times New Roman" w:cs="Times New Roman"/>
        </w:rPr>
        <w:t>hafif suçların</w:t>
      </w:r>
      <w:r w:rsidR="00F546F1">
        <w:rPr>
          <w:rFonts w:ascii="Times New Roman" w:hAnsi="Times New Roman" w:cs="Times New Roman"/>
        </w:rPr>
        <w:t xml:space="preserve"> </w:t>
      </w:r>
      <w:r w:rsidR="00A868F9">
        <w:rPr>
          <w:rFonts w:ascii="Times New Roman" w:hAnsi="Times New Roman" w:cs="Times New Roman"/>
        </w:rPr>
        <w:t>cezasız kaldığı yö</w:t>
      </w:r>
      <w:r w:rsidR="00671B4F">
        <w:rPr>
          <w:rFonts w:ascii="Times New Roman" w:hAnsi="Times New Roman" w:cs="Times New Roman"/>
        </w:rPr>
        <w:t xml:space="preserve">nünde bir genel </w:t>
      </w:r>
      <w:r w:rsidR="00426520">
        <w:rPr>
          <w:rFonts w:ascii="Times New Roman" w:hAnsi="Times New Roman" w:cs="Times New Roman"/>
        </w:rPr>
        <w:t>izlenim</w:t>
      </w:r>
      <w:r w:rsidR="00671B4F">
        <w:rPr>
          <w:rFonts w:ascii="Times New Roman" w:hAnsi="Times New Roman" w:cs="Times New Roman"/>
        </w:rPr>
        <w:t xml:space="preserve"> </w:t>
      </w:r>
      <w:r w:rsidR="00632BD7">
        <w:rPr>
          <w:rFonts w:ascii="Times New Roman" w:hAnsi="Times New Roman" w:cs="Times New Roman"/>
        </w:rPr>
        <w:t>yaratmış</w:t>
      </w:r>
      <w:r w:rsidR="00F546F1">
        <w:rPr>
          <w:rStyle w:val="FootnoteReference"/>
          <w:rFonts w:ascii="Times New Roman" w:hAnsi="Times New Roman" w:cs="Times New Roman"/>
        </w:rPr>
        <w:footnoteReference w:id="14"/>
      </w:r>
      <w:r w:rsidR="00671B4F">
        <w:rPr>
          <w:rFonts w:ascii="Times New Roman" w:hAnsi="Times New Roman" w:cs="Times New Roman"/>
        </w:rPr>
        <w:t xml:space="preserve">; bu </w:t>
      </w:r>
      <w:r w:rsidR="00426520">
        <w:rPr>
          <w:rFonts w:ascii="Times New Roman" w:hAnsi="Times New Roman" w:cs="Times New Roman"/>
        </w:rPr>
        <w:t>izlenim</w:t>
      </w:r>
      <w:r w:rsidR="00A868F9">
        <w:rPr>
          <w:rFonts w:ascii="Times New Roman" w:hAnsi="Times New Roman" w:cs="Times New Roman"/>
        </w:rPr>
        <w:t xml:space="preserve"> vatandaşların ceza adaletine duydukları güvenin azalmasına yol açmıştır</w:t>
      </w:r>
      <w:r w:rsidR="0009109E">
        <w:rPr>
          <w:rStyle w:val="FootnoteReference"/>
          <w:rFonts w:ascii="Times New Roman" w:hAnsi="Times New Roman" w:cs="Times New Roman"/>
        </w:rPr>
        <w:footnoteReference w:id="15"/>
      </w:r>
      <w:r w:rsidR="00A868F9">
        <w:rPr>
          <w:rFonts w:ascii="Times New Roman" w:hAnsi="Times New Roman" w:cs="Times New Roman"/>
        </w:rPr>
        <w:t xml:space="preserve">. </w:t>
      </w:r>
      <w:r w:rsidR="00671B4F">
        <w:rPr>
          <w:rFonts w:ascii="Times New Roman" w:hAnsi="Times New Roman" w:cs="Times New Roman"/>
        </w:rPr>
        <w:t xml:space="preserve">Bu nedenle özellikle hafif suçların </w:t>
      </w:r>
      <w:r w:rsidR="0010283C">
        <w:rPr>
          <w:rFonts w:ascii="Times New Roman" w:hAnsi="Times New Roman" w:cs="Times New Roman"/>
        </w:rPr>
        <w:t>muhakemesindeki</w:t>
      </w:r>
      <w:r w:rsidR="00671B4F">
        <w:rPr>
          <w:rFonts w:ascii="Times New Roman" w:hAnsi="Times New Roman" w:cs="Times New Roman"/>
        </w:rPr>
        <w:t xml:space="preserve"> usulün kolaylaştırılarak </w:t>
      </w:r>
      <w:r w:rsidR="007D1E31">
        <w:rPr>
          <w:rFonts w:ascii="Times New Roman" w:hAnsi="Times New Roman" w:cs="Times New Roman"/>
        </w:rPr>
        <w:t xml:space="preserve">savcılığın kovuşturma </w:t>
      </w:r>
      <w:r w:rsidR="00AB5280">
        <w:rPr>
          <w:rFonts w:ascii="Times New Roman" w:hAnsi="Times New Roman" w:cs="Times New Roman"/>
        </w:rPr>
        <w:t>evresine</w:t>
      </w:r>
      <w:r w:rsidR="007D1E31">
        <w:rPr>
          <w:rFonts w:ascii="Times New Roman" w:hAnsi="Times New Roman" w:cs="Times New Roman"/>
        </w:rPr>
        <w:t xml:space="preserve"> geçil</w:t>
      </w:r>
      <w:r w:rsidR="00671B4F">
        <w:rPr>
          <w:rFonts w:ascii="Times New Roman" w:hAnsi="Times New Roman" w:cs="Times New Roman"/>
        </w:rPr>
        <w:t>mesindeki tereddüd</w:t>
      </w:r>
      <w:r w:rsidR="007D1E31">
        <w:rPr>
          <w:rFonts w:ascii="Times New Roman" w:hAnsi="Times New Roman" w:cs="Times New Roman"/>
        </w:rPr>
        <w:t>ün</w:t>
      </w:r>
      <w:r w:rsidR="00671B4F">
        <w:rPr>
          <w:rFonts w:ascii="Times New Roman" w:hAnsi="Times New Roman" w:cs="Times New Roman"/>
        </w:rPr>
        <w:t xml:space="preserve">e son verilmesi amaçlanmıştır. </w:t>
      </w:r>
      <w:r w:rsidR="00A868F9">
        <w:rPr>
          <w:rFonts w:ascii="Times New Roman" w:hAnsi="Times New Roman" w:cs="Times New Roman"/>
        </w:rPr>
        <w:t xml:space="preserve">İkinci olarak, ceza </w:t>
      </w:r>
      <w:r w:rsidR="00917A5F">
        <w:rPr>
          <w:rFonts w:ascii="Times New Roman" w:hAnsi="Times New Roman" w:cs="Times New Roman"/>
        </w:rPr>
        <w:t>muhakemesi</w:t>
      </w:r>
      <w:r w:rsidR="00A868F9">
        <w:rPr>
          <w:rFonts w:ascii="Times New Roman" w:hAnsi="Times New Roman" w:cs="Times New Roman"/>
        </w:rPr>
        <w:t xml:space="preserve"> sürecinin makul sürede sonlan</w:t>
      </w:r>
      <w:r w:rsidR="00671B4F">
        <w:rPr>
          <w:rFonts w:ascii="Times New Roman" w:hAnsi="Times New Roman" w:cs="Times New Roman"/>
        </w:rPr>
        <w:t>dırılması</w:t>
      </w:r>
      <w:r w:rsidR="00A868F9">
        <w:rPr>
          <w:rFonts w:ascii="Times New Roman" w:hAnsi="Times New Roman" w:cs="Times New Roman"/>
        </w:rPr>
        <w:t xml:space="preserve"> </w:t>
      </w:r>
      <w:r w:rsidR="00671B4F">
        <w:rPr>
          <w:rFonts w:ascii="Times New Roman" w:hAnsi="Times New Roman" w:cs="Times New Roman"/>
        </w:rPr>
        <w:t xml:space="preserve">amacı </w:t>
      </w:r>
      <w:r w:rsidR="00A30734">
        <w:rPr>
          <w:rFonts w:ascii="Times New Roman" w:hAnsi="Times New Roman" w:cs="Times New Roman"/>
        </w:rPr>
        <w:t>etkili</w:t>
      </w:r>
      <w:r w:rsidR="00E1533B">
        <w:rPr>
          <w:rFonts w:ascii="Times New Roman" w:hAnsi="Times New Roman" w:cs="Times New Roman"/>
        </w:rPr>
        <w:t xml:space="preserve"> olmuştur</w:t>
      </w:r>
      <w:r w:rsidR="00671B4F">
        <w:rPr>
          <w:rFonts w:ascii="Times New Roman" w:hAnsi="Times New Roman" w:cs="Times New Roman"/>
        </w:rPr>
        <w:t>.</w:t>
      </w:r>
      <w:r w:rsidR="00A868F9">
        <w:rPr>
          <w:rFonts w:ascii="Times New Roman" w:hAnsi="Times New Roman" w:cs="Times New Roman"/>
        </w:rPr>
        <w:t xml:space="preserve"> Avrupa İnsan Hakları Sözleşmesi’nde</w:t>
      </w:r>
      <w:r w:rsidR="00A30734">
        <w:rPr>
          <w:rFonts w:ascii="Times New Roman" w:hAnsi="Times New Roman" w:cs="Times New Roman"/>
        </w:rPr>
        <w:t xml:space="preserve"> (AİHS)</w:t>
      </w:r>
      <w:r w:rsidR="00A868F9">
        <w:rPr>
          <w:rFonts w:ascii="Times New Roman" w:hAnsi="Times New Roman" w:cs="Times New Roman"/>
        </w:rPr>
        <w:t xml:space="preserve"> yer alan (m. 5/3, m. 6/1) makul sürede yargılanma hakkının vatandaşlara temin edilmesi için gerekli </w:t>
      </w:r>
      <w:r w:rsidR="00A30734">
        <w:rPr>
          <w:rFonts w:ascii="Times New Roman" w:hAnsi="Times New Roman" w:cs="Times New Roman"/>
        </w:rPr>
        <w:t>ceza adaleti sistemini sağlama</w:t>
      </w:r>
      <w:r w:rsidR="00A868F9">
        <w:rPr>
          <w:rFonts w:ascii="Times New Roman" w:hAnsi="Times New Roman" w:cs="Times New Roman"/>
        </w:rPr>
        <w:t xml:space="preserve"> görevini yerine getirme yükümlülüğü</w:t>
      </w:r>
      <w:r w:rsidR="00E1533B">
        <w:rPr>
          <w:rFonts w:ascii="Times New Roman" w:hAnsi="Times New Roman" w:cs="Times New Roman"/>
        </w:rPr>
        <w:t>,</w:t>
      </w:r>
      <w:r w:rsidR="00A868F9">
        <w:rPr>
          <w:rFonts w:ascii="Times New Roman" w:hAnsi="Times New Roman" w:cs="Times New Roman"/>
        </w:rPr>
        <w:t xml:space="preserve"> Fransa devletinin bu yönde harekete geçmesi için bir itici güç olmu</w:t>
      </w:r>
      <w:r w:rsidR="00622807">
        <w:rPr>
          <w:rFonts w:ascii="Times New Roman" w:hAnsi="Times New Roman" w:cs="Times New Roman"/>
        </w:rPr>
        <w:t>ştur</w:t>
      </w:r>
      <w:r w:rsidR="0009109E">
        <w:rPr>
          <w:rStyle w:val="FootnoteReference"/>
          <w:rFonts w:ascii="Times New Roman" w:hAnsi="Times New Roman" w:cs="Times New Roman"/>
        </w:rPr>
        <w:footnoteReference w:id="16"/>
      </w:r>
      <w:r w:rsidR="00622807">
        <w:rPr>
          <w:rFonts w:ascii="Times New Roman" w:hAnsi="Times New Roman" w:cs="Times New Roman"/>
        </w:rPr>
        <w:t xml:space="preserve">. Bu </w:t>
      </w:r>
      <w:r w:rsidR="00134FED">
        <w:rPr>
          <w:rFonts w:ascii="Times New Roman" w:hAnsi="Times New Roman" w:cs="Times New Roman"/>
        </w:rPr>
        <w:t>çerçevede</w:t>
      </w:r>
      <w:r w:rsidR="00187D27">
        <w:rPr>
          <w:rFonts w:ascii="Times New Roman" w:hAnsi="Times New Roman" w:cs="Times New Roman"/>
        </w:rPr>
        <w:t xml:space="preserve"> Fransız kanun koyucusu </w:t>
      </w:r>
      <w:r w:rsidR="00D9699C">
        <w:rPr>
          <w:rFonts w:ascii="Times New Roman" w:hAnsi="Times New Roman" w:cs="Times New Roman"/>
        </w:rPr>
        <w:t>ceza muhakemesi</w:t>
      </w:r>
      <w:r w:rsidR="00671B4F">
        <w:rPr>
          <w:rFonts w:ascii="Times New Roman" w:hAnsi="Times New Roman" w:cs="Times New Roman"/>
        </w:rPr>
        <w:t xml:space="preserve"> süresinin </w:t>
      </w:r>
      <w:r w:rsidR="00531D30">
        <w:rPr>
          <w:rFonts w:ascii="Times New Roman" w:hAnsi="Times New Roman" w:cs="Times New Roman"/>
        </w:rPr>
        <w:t>kısaltılabilmesini ve</w:t>
      </w:r>
      <w:r w:rsidR="004769A2">
        <w:rPr>
          <w:rFonts w:ascii="Times New Roman" w:hAnsi="Times New Roman" w:cs="Times New Roman"/>
        </w:rPr>
        <w:t>ya</w:t>
      </w:r>
      <w:r w:rsidR="00531D30">
        <w:rPr>
          <w:rFonts w:ascii="Times New Roman" w:hAnsi="Times New Roman" w:cs="Times New Roman"/>
        </w:rPr>
        <w:t xml:space="preserve"> işlemlerin hızlandırılmasını </w:t>
      </w:r>
      <w:r w:rsidR="00671B4F">
        <w:rPr>
          <w:rFonts w:ascii="Times New Roman" w:hAnsi="Times New Roman" w:cs="Times New Roman"/>
        </w:rPr>
        <w:t>sağlay</w:t>
      </w:r>
      <w:r w:rsidR="00E1533B">
        <w:rPr>
          <w:rFonts w:ascii="Times New Roman" w:hAnsi="Times New Roman" w:cs="Times New Roman"/>
        </w:rPr>
        <w:t>an kurumlara ağırlık vermeye başlamıştır.</w:t>
      </w:r>
      <w:r w:rsidR="0010283C">
        <w:rPr>
          <w:rFonts w:ascii="Times New Roman" w:hAnsi="Times New Roman" w:cs="Times New Roman"/>
        </w:rPr>
        <w:t xml:space="preserve"> </w:t>
      </w:r>
    </w:p>
    <w:p w14:paraId="3CBEE14F" w14:textId="77777777" w:rsidR="002776A6" w:rsidRDefault="002776A6" w:rsidP="006B0B6F">
      <w:pPr>
        <w:spacing w:line="360" w:lineRule="auto"/>
        <w:ind w:firstLine="720"/>
        <w:jc w:val="both"/>
        <w:rPr>
          <w:rFonts w:ascii="Times New Roman" w:hAnsi="Times New Roman" w:cs="Times New Roman"/>
        </w:rPr>
      </w:pPr>
    </w:p>
    <w:p w14:paraId="79D89CE8" w14:textId="585E5FBA" w:rsidR="00737C83" w:rsidRDefault="002776A6" w:rsidP="002776A6">
      <w:pPr>
        <w:spacing w:line="360" w:lineRule="auto"/>
        <w:ind w:firstLine="720"/>
        <w:jc w:val="both"/>
        <w:rPr>
          <w:rFonts w:ascii="Times New Roman" w:hAnsi="Times New Roman" w:cs="Times New Roman"/>
        </w:rPr>
      </w:pPr>
      <w:r>
        <w:rPr>
          <w:rFonts w:ascii="Times New Roman" w:hAnsi="Times New Roman" w:cs="Times New Roman"/>
        </w:rPr>
        <w:t>Fransız kanun koyucusu</w:t>
      </w:r>
      <w:r w:rsidR="00432AF1">
        <w:rPr>
          <w:rFonts w:ascii="Times New Roman" w:hAnsi="Times New Roman" w:cs="Times New Roman"/>
        </w:rPr>
        <w:t>nun</w:t>
      </w:r>
      <w:r>
        <w:rPr>
          <w:rFonts w:ascii="Times New Roman" w:hAnsi="Times New Roman" w:cs="Times New Roman"/>
        </w:rPr>
        <w:t xml:space="preserve"> ceza </w:t>
      </w:r>
      <w:r w:rsidR="00A30734">
        <w:rPr>
          <w:rFonts w:ascii="Times New Roman" w:hAnsi="Times New Roman" w:cs="Times New Roman"/>
        </w:rPr>
        <w:t>muhakemesi</w:t>
      </w:r>
      <w:r>
        <w:rPr>
          <w:rFonts w:ascii="Times New Roman" w:hAnsi="Times New Roman" w:cs="Times New Roman"/>
        </w:rPr>
        <w:t xml:space="preserve"> sistemini değiştirmeye yönelik olarak</w:t>
      </w:r>
      <w:r w:rsidR="00192C1A">
        <w:rPr>
          <w:rFonts w:ascii="Times New Roman" w:hAnsi="Times New Roman" w:cs="Times New Roman"/>
        </w:rPr>
        <w:t xml:space="preserve"> geliştirdiği bu kurumlardan bir kısmı</w:t>
      </w:r>
      <w:r>
        <w:rPr>
          <w:rFonts w:ascii="Times New Roman" w:hAnsi="Times New Roman" w:cs="Times New Roman"/>
        </w:rPr>
        <w:t xml:space="preserve"> </w:t>
      </w:r>
      <w:r w:rsidR="00432AF1">
        <w:rPr>
          <w:rFonts w:ascii="Times New Roman" w:hAnsi="Times New Roman" w:cs="Times New Roman"/>
        </w:rPr>
        <w:t xml:space="preserve">kovuşturma </w:t>
      </w:r>
      <w:r w:rsidR="00917A5F">
        <w:rPr>
          <w:rFonts w:ascii="Times New Roman" w:hAnsi="Times New Roman" w:cs="Times New Roman"/>
        </w:rPr>
        <w:t>evresine</w:t>
      </w:r>
      <w:r w:rsidR="00C6472E">
        <w:rPr>
          <w:rFonts w:ascii="Times New Roman" w:hAnsi="Times New Roman" w:cs="Times New Roman"/>
        </w:rPr>
        <w:t xml:space="preserve"> </w:t>
      </w:r>
      <w:r w:rsidR="002F1E9B">
        <w:rPr>
          <w:rFonts w:ascii="Times New Roman" w:hAnsi="Times New Roman" w:cs="Times New Roman"/>
        </w:rPr>
        <w:t>alternatif</w:t>
      </w:r>
      <w:r w:rsidR="00C6472E">
        <w:rPr>
          <w:rFonts w:ascii="Times New Roman" w:hAnsi="Times New Roman" w:cs="Times New Roman"/>
        </w:rPr>
        <w:t xml:space="preserve"> ol</w:t>
      </w:r>
      <w:r w:rsidR="0059015D">
        <w:rPr>
          <w:rFonts w:ascii="Times New Roman" w:hAnsi="Times New Roman" w:cs="Times New Roman"/>
        </w:rPr>
        <w:t>a</w:t>
      </w:r>
      <w:r>
        <w:rPr>
          <w:rFonts w:ascii="Times New Roman" w:hAnsi="Times New Roman" w:cs="Times New Roman"/>
        </w:rPr>
        <w:t xml:space="preserve">rak uygulanabilecek </w:t>
      </w:r>
      <w:r w:rsidR="00E1533B">
        <w:rPr>
          <w:rFonts w:ascii="Times New Roman" w:hAnsi="Times New Roman" w:cs="Times New Roman"/>
        </w:rPr>
        <w:t>yöntemleri</w:t>
      </w:r>
      <w:r w:rsidR="00432AF1">
        <w:rPr>
          <w:rFonts w:ascii="Times New Roman" w:hAnsi="Times New Roman" w:cs="Times New Roman"/>
        </w:rPr>
        <w:t>,</w:t>
      </w:r>
      <w:r>
        <w:rPr>
          <w:rFonts w:ascii="Times New Roman" w:hAnsi="Times New Roman" w:cs="Times New Roman"/>
        </w:rPr>
        <w:t xml:space="preserve"> diğer </w:t>
      </w:r>
      <w:r w:rsidR="00192C1A">
        <w:rPr>
          <w:rFonts w:ascii="Times New Roman" w:hAnsi="Times New Roman" w:cs="Times New Roman"/>
        </w:rPr>
        <w:t>kısmı</w:t>
      </w:r>
      <w:r w:rsidR="00C6472E">
        <w:rPr>
          <w:rFonts w:ascii="Times New Roman" w:hAnsi="Times New Roman" w:cs="Times New Roman"/>
        </w:rPr>
        <w:t xml:space="preserve"> </w:t>
      </w:r>
      <w:r w:rsidR="00E1533B">
        <w:rPr>
          <w:rFonts w:ascii="Times New Roman" w:hAnsi="Times New Roman" w:cs="Times New Roman"/>
        </w:rPr>
        <w:t xml:space="preserve">kovuşturmaya geçildikten sonra </w:t>
      </w:r>
      <w:r w:rsidR="00432AF1">
        <w:rPr>
          <w:rFonts w:ascii="Times New Roman" w:hAnsi="Times New Roman" w:cs="Times New Roman"/>
        </w:rPr>
        <w:t>kovuşturma</w:t>
      </w:r>
      <w:r w:rsidR="00E1533B">
        <w:rPr>
          <w:rFonts w:ascii="Times New Roman" w:hAnsi="Times New Roman" w:cs="Times New Roman"/>
        </w:rPr>
        <w:t xml:space="preserve"> usulünün</w:t>
      </w:r>
      <w:r w:rsidR="00192C1A">
        <w:rPr>
          <w:rFonts w:ascii="Times New Roman" w:hAnsi="Times New Roman" w:cs="Times New Roman"/>
        </w:rPr>
        <w:t xml:space="preserve"> </w:t>
      </w:r>
      <w:r w:rsidR="00E1533B">
        <w:rPr>
          <w:rFonts w:ascii="Times New Roman" w:hAnsi="Times New Roman" w:cs="Times New Roman"/>
        </w:rPr>
        <w:t xml:space="preserve">basitleştirilmesini veya hızlandırılmasını sağlayan yöntemleri </w:t>
      </w:r>
      <w:r w:rsidR="00192C1A">
        <w:rPr>
          <w:rFonts w:ascii="Times New Roman" w:hAnsi="Times New Roman" w:cs="Times New Roman"/>
        </w:rPr>
        <w:t>içermektedir</w:t>
      </w:r>
      <w:r w:rsidR="0059015D">
        <w:rPr>
          <w:rStyle w:val="FootnoteReference"/>
          <w:rFonts w:ascii="Times New Roman" w:hAnsi="Times New Roman" w:cs="Times New Roman"/>
        </w:rPr>
        <w:footnoteReference w:id="17"/>
      </w:r>
      <w:r w:rsidR="00C6472E">
        <w:rPr>
          <w:rFonts w:ascii="Times New Roman" w:hAnsi="Times New Roman" w:cs="Times New Roman"/>
        </w:rPr>
        <w:t xml:space="preserve">. </w:t>
      </w:r>
    </w:p>
    <w:p w14:paraId="229AC086" w14:textId="77777777" w:rsidR="00DD2B38" w:rsidRDefault="00DD2B38" w:rsidP="002776A6">
      <w:pPr>
        <w:spacing w:line="360" w:lineRule="auto"/>
        <w:ind w:firstLine="720"/>
        <w:jc w:val="both"/>
        <w:rPr>
          <w:rFonts w:ascii="Times New Roman" w:hAnsi="Times New Roman" w:cs="Times New Roman"/>
        </w:rPr>
      </w:pPr>
    </w:p>
    <w:p w14:paraId="412FBDDE" w14:textId="57BA2E34" w:rsidR="00A10702" w:rsidRDefault="002F1E9B" w:rsidP="00AA510B">
      <w:pPr>
        <w:spacing w:line="360" w:lineRule="auto"/>
        <w:ind w:firstLine="720"/>
        <w:jc w:val="both"/>
        <w:rPr>
          <w:rFonts w:ascii="Times New Roman" w:hAnsi="Times New Roman" w:cs="Times New Roman"/>
        </w:rPr>
      </w:pPr>
      <w:r>
        <w:rPr>
          <w:rFonts w:ascii="Times New Roman" w:hAnsi="Times New Roman" w:cs="Times New Roman"/>
        </w:rPr>
        <w:t>K</w:t>
      </w:r>
      <w:r w:rsidR="007A5156">
        <w:rPr>
          <w:rFonts w:ascii="Times New Roman" w:hAnsi="Times New Roman" w:cs="Times New Roman"/>
        </w:rPr>
        <w:t xml:space="preserve">ovuşturma </w:t>
      </w:r>
      <w:r w:rsidR="008A7802">
        <w:rPr>
          <w:rFonts w:ascii="Times New Roman" w:hAnsi="Times New Roman" w:cs="Times New Roman"/>
        </w:rPr>
        <w:t>evresine</w:t>
      </w:r>
      <w:r w:rsidR="007A5156">
        <w:rPr>
          <w:rFonts w:ascii="Times New Roman" w:hAnsi="Times New Roman" w:cs="Times New Roman"/>
        </w:rPr>
        <w:t xml:space="preserve"> </w:t>
      </w:r>
      <w:r w:rsidR="00737C83">
        <w:rPr>
          <w:rFonts w:ascii="Times New Roman" w:hAnsi="Times New Roman" w:cs="Times New Roman"/>
        </w:rPr>
        <w:t>alternatif</w:t>
      </w:r>
      <w:r w:rsidR="00192C1A">
        <w:rPr>
          <w:rFonts w:ascii="Times New Roman" w:hAnsi="Times New Roman" w:cs="Times New Roman"/>
        </w:rPr>
        <w:t xml:space="preserve"> uygulamalar </w:t>
      </w:r>
      <w:r w:rsidR="009B4064">
        <w:rPr>
          <w:rFonts w:ascii="Times New Roman" w:hAnsi="Times New Roman" w:cs="Times New Roman"/>
        </w:rPr>
        <w:t xml:space="preserve">Fransa’da </w:t>
      </w:r>
      <w:r w:rsidR="00192C1A">
        <w:rPr>
          <w:rFonts w:ascii="Times New Roman" w:hAnsi="Times New Roman" w:cs="Times New Roman"/>
        </w:rPr>
        <w:t>ilk defa 80’li yıllarda bazı yargı makamlarının</w:t>
      </w:r>
      <w:r w:rsidR="005B62F5">
        <w:rPr>
          <w:rFonts w:ascii="Times New Roman" w:hAnsi="Times New Roman" w:cs="Times New Roman"/>
        </w:rPr>
        <w:t>,</w:t>
      </w:r>
      <w:r w:rsidR="00192C1A">
        <w:rPr>
          <w:rFonts w:ascii="Times New Roman" w:hAnsi="Times New Roman" w:cs="Times New Roman"/>
        </w:rPr>
        <w:t xml:space="preserve"> </w:t>
      </w:r>
      <w:r w:rsidR="00A45E78">
        <w:rPr>
          <w:rFonts w:ascii="Times New Roman" w:hAnsi="Times New Roman" w:cs="Times New Roman"/>
        </w:rPr>
        <w:t xml:space="preserve">önlerindeki </w:t>
      </w:r>
      <w:r w:rsidR="00192C1A">
        <w:rPr>
          <w:rFonts w:ascii="Times New Roman" w:hAnsi="Times New Roman" w:cs="Times New Roman"/>
        </w:rPr>
        <w:t>ceza uyuşmazlığının taraflarını uzlaştırmaya yönelik uygulamalara başvurmasıyla başlamıştır</w:t>
      </w:r>
      <w:r w:rsidR="00192C1A">
        <w:rPr>
          <w:rStyle w:val="FootnoteReference"/>
          <w:rFonts w:ascii="Times New Roman" w:hAnsi="Times New Roman" w:cs="Times New Roman"/>
        </w:rPr>
        <w:footnoteReference w:id="18"/>
      </w:r>
      <w:r w:rsidR="00192C1A">
        <w:rPr>
          <w:rFonts w:ascii="Times New Roman" w:hAnsi="Times New Roman" w:cs="Times New Roman"/>
        </w:rPr>
        <w:t>. Bu dönemden önce F</w:t>
      </w:r>
      <w:r w:rsidR="00104370">
        <w:rPr>
          <w:rFonts w:ascii="Times New Roman" w:hAnsi="Times New Roman" w:cs="Times New Roman"/>
        </w:rPr>
        <w:t xml:space="preserve">ransız hukukunda </w:t>
      </w:r>
      <w:r w:rsidR="000E1CE0">
        <w:rPr>
          <w:rFonts w:ascii="Times New Roman" w:hAnsi="Times New Roman" w:cs="Times New Roman"/>
        </w:rPr>
        <w:t xml:space="preserve">uzun yıllar </w:t>
      </w:r>
      <w:r w:rsidR="00104370">
        <w:rPr>
          <w:rFonts w:ascii="Times New Roman" w:hAnsi="Times New Roman" w:cs="Times New Roman"/>
        </w:rPr>
        <w:t xml:space="preserve">cumhuriyet savcısının </w:t>
      </w:r>
      <w:r w:rsidR="000E1CE0">
        <w:rPr>
          <w:rFonts w:ascii="Times New Roman" w:hAnsi="Times New Roman" w:cs="Times New Roman"/>
        </w:rPr>
        <w:t>önündeki bir dosyayla ilgili olarak</w:t>
      </w:r>
      <w:r w:rsidR="00A45E78">
        <w:rPr>
          <w:rFonts w:ascii="Times New Roman" w:hAnsi="Times New Roman" w:cs="Times New Roman"/>
        </w:rPr>
        <w:t>,</w:t>
      </w:r>
      <w:r w:rsidR="000E1CE0">
        <w:rPr>
          <w:rFonts w:ascii="Times New Roman" w:hAnsi="Times New Roman" w:cs="Times New Roman"/>
        </w:rPr>
        <w:t xml:space="preserve"> </w:t>
      </w:r>
      <w:r w:rsidR="00104370">
        <w:rPr>
          <w:rFonts w:ascii="Times New Roman" w:hAnsi="Times New Roman" w:cs="Times New Roman"/>
        </w:rPr>
        <w:t>kovuşturmaya devam edilmesini yerinde gördüğünde kamu da</w:t>
      </w:r>
      <w:r w:rsidR="00A45E78">
        <w:rPr>
          <w:rFonts w:ascii="Times New Roman" w:hAnsi="Times New Roman" w:cs="Times New Roman"/>
        </w:rPr>
        <w:t>vası açılmasına karar verme ve</w:t>
      </w:r>
      <w:r w:rsidR="00104370">
        <w:rPr>
          <w:rFonts w:ascii="Times New Roman" w:hAnsi="Times New Roman" w:cs="Times New Roman"/>
        </w:rPr>
        <w:t xml:space="preserve"> kovuşturmaya geçilmemesini uygun gördüğünde takipsizlik ka</w:t>
      </w:r>
      <w:r w:rsidR="000E1CE0">
        <w:rPr>
          <w:rFonts w:ascii="Times New Roman" w:hAnsi="Times New Roman" w:cs="Times New Roman"/>
        </w:rPr>
        <w:t>rarı verme olmak üzere iki yönde</w:t>
      </w:r>
      <w:r w:rsidR="00104370">
        <w:rPr>
          <w:rFonts w:ascii="Times New Roman" w:hAnsi="Times New Roman" w:cs="Times New Roman"/>
        </w:rPr>
        <w:t xml:space="preserve"> </w:t>
      </w:r>
      <w:r w:rsidR="00AA510B">
        <w:rPr>
          <w:rFonts w:ascii="Times New Roman" w:hAnsi="Times New Roman" w:cs="Times New Roman"/>
        </w:rPr>
        <w:t xml:space="preserve">ilerleme imkanı </w:t>
      </w:r>
      <w:r w:rsidR="000E1CE0">
        <w:rPr>
          <w:rFonts w:ascii="Times New Roman" w:hAnsi="Times New Roman" w:cs="Times New Roman"/>
        </w:rPr>
        <w:t>bulunmaktayd</w:t>
      </w:r>
      <w:r w:rsidR="00AA510B">
        <w:rPr>
          <w:rFonts w:ascii="Times New Roman" w:hAnsi="Times New Roman" w:cs="Times New Roman"/>
        </w:rPr>
        <w:t>ı</w:t>
      </w:r>
      <w:r w:rsidR="00B157C9">
        <w:rPr>
          <w:rStyle w:val="FootnoteReference"/>
          <w:rFonts w:ascii="Times New Roman" w:hAnsi="Times New Roman" w:cs="Times New Roman"/>
        </w:rPr>
        <w:footnoteReference w:id="19"/>
      </w:r>
      <w:r w:rsidR="00AA510B">
        <w:rPr>
          <w:rFonts w:ascii="Times New Roman" w:hAnsi="Times New Roman" w:cs="Times New Roman"/>
        </w:rPr>
        <w:t xml:space="preserve">. </w:t>
      </w:r>
      <w:r w:rsidR="000E1CE0">
        <w:rPr>
          <w:rFonts w:ascii="Times New Roman" w:hAnsi="Times New Roman" w:cs="Times New Roman"/>
        </w:rPr>
        <w:t>Zaman içerisinde,</w:t>
      </w:r>
      <w:r w:rsidR="000C3DBF">
        <w:rPr>
          <w:rFonts w:ascii="Times New Roman" w:hAnsi="Times New Roman" w:cs="Times New Roman"/>
        </w:rPr>
        <w:t xml:space="preserve"> yukarıda da belirtildiği gibi,</w:t>
      </w:r>
      <w:r w:rsidR="000E1CE0">
        <w:rPr>
          <w:rFonts w:ascii="Times New Roman" w:hAnsi="Times New Roman" w:cs="Times New Roman"/>
        </w:rPr>
        <w:t xml:space="preserve"> yargı organlarındaki iş yükünün artışına bağlı olarak, özellikle hafif suçlarda takipsizlik kararı verilmesi yoluna daha sık başvurulmaya başlan</w:t>
      </w:r>
      <w:r w:rsidR="00B049A2">
        <w:rPr>
          <w:rFonts w:ascii="Times New Roman" w:hAnsi="Times New Roman" w:cs="Times New Roman"/>
        </w:rPr>
        <w:t>masıyla birlikte</w:t>
      </w:r>
      <w:r w:rsidR="00F546F1">
        <w:rPr>
          <w:rFonts w:ascii="Times New Roman" w:hAnsi="Times New Roman" w:cs="Times New Roman"/>
        </w:rPr>
        <w:t xml:space="preserve">, </w:t>
      </w:r>
      <w:r w:rsidR="00E1533B">
        <w:rPr>
          <w:rFonts w:ascii="Times New Roman" w:hAnsi="Times New Roman" w:cs="Times New Roman"/>
        </w:rPr>
        <w:t>hafif suçlar</w:t>
      </w:r>
      <w:r w:rsidR="00DF65EC">
        <w:rPr>
          <w:rFonts w:ascii="Times New Roman" w:hAnsi="Times New Roman" w:cs="Times New Roman"/>
        </w:rPr>
        <w:t xml:space="preserve"> bakımından yargının iş yükünü artırmaksızın bir </w:t>
      </w:r>
      <w:r w:rsidR="00F546F1">
        <w:rPr>
          <w:rFonts w:ascii="Times New Roman" w:hAnsi="Times New Roman" w:cs="Times New Roman"/>
        </w:rPr>
        <w:t>çözüm</w:t>
      </w:r>
      <w:r w:rsidR="00DF65EC">
        <w:rPr>
          <w:rFonts w:ascii="Times New Roman" w:hAnsi="Times New Roman" w:cs="Times New Roman"/>
        </w:rPr>
        <w:t xml:space="preserve"> sunabilmeyi sağlamak için savcılığa kovuşturmaya devam etme ile takipsizlik kararı verme arasında bir üçüncü </w:t>
      </w:r>
      <w:r w:rsidR="00F546F1">
        <w:rPr>
          <w:rFonts w:ascii="Times New Roman" w:hAnsi="Times New Roman" w:cs="Times New Roman"/>
        </w:rPr>
        <w:t>yönde ilerleme imkanı yaratma yoluna gidilmiştir</w:t>
      </w:r>
      <w:r w:rsidR="00DF65EC">
        <w:rPr>
          <w:rStyle w:val="FootnoteReference"/>
          <w:rFonts w:ascii="Times New Roman" w:hAnsi="Times New Roman" w:cs="Times New Roman"/>
        </w:rPr>
        <w:footnoteReference w:id="20"/>
      </w:r>
      <w:r w:rsidR="00DF65EC">
        <w:rPr>
          <w:rFonts w:ascii="Times New Roman" w:hAnsi="Times New Roman" w:cs="Times New Roman"/>
        </w:rPr>
        <w:t xml:space="preserve">. </w:t>
      </w:r>
      <w:r w:rsidR="00A30734">
        <w:rPr>
          <w:rFonts w:ascii="Times New Roman" w:hAnsi="Times New Roman" w:cs="Times New Roman"/>
        </w:rPr>
        <w:t xml:space="preserve">Böylece savcı kovuşturmaya devam etmek yerine alternatif yollarla ceza uyuşmazlığına </w:t>
      </w:r>
      <w:r>
        <w:rPr>
          <w:rFonts w:ascii="Times New Roman" w:hAnsi="Times New Roman" w:cs="Times New Roman"/>
        </w:rPr>
        <w:t xml:space="preserve">yargı makamı önüne gidilmeden </w:t>
      </w:r>
      <w:r w:rsidR="00A30734">
        <w:rPr>
          <w:rFonts w:ascii="Times New Roman" w:hAnsi="Times New Roman" w:cs="Times New Roman"/>
        </w:rPr>
        <w:t xml:space="preserve">çözüm sunabilir hale gelmiştir. </w:t>
      </w:r>
    </w:p>
    <w:p w14:paraId="006E2AF5" w14:textId="77777777" w:rsidR="0099026D" w:rsidRDefault="0099026D" w:rsidP="002776A6">
      <w:pPr>
        <w:spacing w:line="360" w:lineRule="auto"/>
        <w:ind w:firstLine="720"/>
        <w:jc w:val="both"/>
        <w:rPr>
          <w:rFonts w:ascii="Times New Roman" w:hAnsi="Times New Roman" w:cs="Times New Roman"/>
        </w:rPr>
      </w:pPr>
    </w:p>
    <w:p w14:paraId="624849DE" w14:textId="19D2D450" w:rsidR="00192C1A" w:rsidRDefault="0099026D" w:rsidP="005A4DC8">
      <w:pPr>
        <w:spacing w:line="360" w:lineRule="auto"/>
        <w:ind w:firstLine="720"/>
        <w:jc w:val="both"/>
        <w:rPr>
          <w:rFonts w:ascii="Times New Roman" w:hAnsi="Times New Roman" w:cs="Times New Roman"/>
        </w:rPr>
      </w:pPr>
      <w:r>
        <w:rPr>
          <w:rFonts w:ascii="Times New Roman" w:hAnsi="Times New Roman" w:cs="Times New Roman"/>
        </w:rPr>
        <w:t xml:space="preserve">Fransız ceza </w:t>
      </w:r>
      <w:r w:rsidR="002F1E9B">
        <w:rPr>
          <w:rFonts w:ascii="Times New Roman" w:hAnsi="Times New Roman" w:cs="Times New Roman"/>
        </w:rPr>
        <w:t>muhakemesi</w:t>
      </w:r>
      <w:r>
        <w:rPr>
          <w:rFonts w:ascii="Times New Roman" w:hAnsi="Times New Roman" w:cs="Times New Roman"/>
        </w:rPr>
        <w:t xml:space="preserve"> hukukunda maslaha</w:t>
      </w:r>
      <w:r w:rsidR="00FE3E89">
        <w:rPr>
          <w:rFonts w:ascii="Times New Roman" w:hAnsi="Times New Roman" w:cs="Times New Roman"/>
        </w:rPr>
        <w:t>ta uygunluk</w:t>
      </w:r>
      <w:r w:rsidR="00A30734">
        <w:rPr>
          <w:rFonts w:ascii="Times New Roman" w:hAnsi="Times New Roman" w:cs="Times New Roman"/>
        </w:rPr>
        <w:t xml:space="preserve"> (takdirilik)</w:t>
      </w:r>
      <w:r w:rsidR="00FE3E89">
        <w:rPr>
          <w:rFonts w:ascii="Times New Roman" w:hAnsi="Times New Roman" w:cs="Times New Roman"/>
        </w:rPr>
        <w:t xml:space="preserve"> ilkesi geçerli olup</w:t>
      </w:r>
      <w:r w:rsidR="006A6D3F">
        <w:rPr>
          <w:rFonts w:ascii="Times New Roman" w:hAnsi="Times New Roman" w:cs="Times New Roman"/>
        </w:rPr>
        <w:t xml:space="preserve"> (Fransız CMK m. 40)</w:t>
      </w:r>
      <w:r w:rsidR="00FE3E89">
        <w:rPr>
          <w:rFonts w:ascii="Times New Roman" w:hAnsi="Times New Roman" w:cs="Times New Roman"/>
        </w:rPr>
        <w:t>; bu ilkeye göre</w:t>
      </w:r>
      <w:r>
        <w:rPr>
          <w:rFonts w:ascii="Times New Roman" w:hAnsi="Times New Roman" w:cs="Times New Roman"/>
        </w:rPr>
        <w:t xml:space="preserve"> yargı bağışıklıkları, muhakeme şartlarının varlığı gibi istisnalar hariç olmak üzere, cumhuriyet savcısının önüne gelen olayla ilgili olarak kamu davası açılmasının yerindeliğini </w:t>
      </w:r>
      <w:r w:rsidR="005A4DC8">
        <w:rPr>
          <w:rFonts w:ascii="Times New Roman" w:hAnsi="Times New Roman" w:cs="Times New Roman"/>
        </w:rPr>
        <w:t>takdir</w:t>
      </w:r>
      <w:r>
        <w:rPr>
          <w:rFonts w:ascii="Times New Roman" w:hAnsi="Times New Roman" w:cs="Times New Roman"/>
        </w:rPr>
        <w:t xml:space="preserve"> yetkisi bulunmaktadır</w:t>
      </w:r>
      <w:r>
        <w:rPr>
          <w:rStyle w:val="FootnoteReference"/>
          <w:rFonts w:ascii="Times New Roman" w:hAnsi="Times New Roman" w:cs="Times New Roman"/>
        </w:rPr>
        <w:footnoteReference w:id="21"/>
      </w:r>
      <w:r w:rsidR="00B91BA2">
        <w:rPr>
          <w:rFonts w:ascii="Times New Roman" w:hAnsi="Times New Roman" w:cs="Times New Roman"/>
        </w:rPr>
        <w:t xml:space="preserve">. </w:t>
      </w:r>
      <w:r>
        <w:rPr>
          <w:rFonts w:ascii="Times New Roman" w:hAnsi="Times New Roman" w:cs="Times New Roman"/>
        </w:rPr>
        <w:t xml:space="preserve">Savcılığın takdir yetkisi </w:t>
      </w:r>
      <w:r w:rsidR="000549FF">
        <w:rPr>
          <w:rFonts w:ascii="Times New Roman" w:hAnsi="Times New Roman" w:cs="Times New Roman"/>
        </w:rPr>
        <w:t xml:space="preserve">bu alternatif yollarla birlikte </w:t>
      </w:r>
      <w:r w:rsidR="00FE3E89">
        <w:rPr>
          <w:rFonts w:ascii="Times New Roman" w:hAnsi="Times New Roman" w:cs="Times New Roman"/>
        </w:rPr>
        <w:t xml:space="preserve">artık </w:t>
      </w:r>
      <w:r w:rsidR="00F14BEC">
        <w:rPr>
          <w:rFonts w:ascii="Times New Roman" w:hAnsi="Times New Roman" w:cs="Times New Roman"/>
        </w:rPr>
        <w:t>kovuşturmaya devam etmeme</w:t>
      </w:r>
      <w:r>
        <w:rPr>
          <w:rFonts w:ascii="Times New Roman" w:hAnsi="Times New Roman" w:cs="Times New Roman"/>
        </w:rPr>
        <w:t>, kovuştu</w:t>
      </w:r>
      <w:r w:rsidR="00F14BEC">
        <w:rPr>
          <w:rFonts w:ascii="Times New Roman" w:hAnsi="Times New Roman" w:cs="Times New Roman"/>
        </w:rPr>
        <w:t>rmaya</w:t>
      </w:r>
      <w:r>
        <w:rPr>
          <w:rFonts w:ascii="Times New Roman" w:hAnsi="Times New Roman" w:cs="Times New Roman"/>
        </w:rPr>
        <w:t xml:space="preserve"> alternatif yollardan birinin uygulanması veya </w:t>
      </w:r>
      <w:r w:rsidR="00F14BEC">
        <w:rPr>
          <w:rFonts w:ascii="Times New Roman" w:hAnsi="Times New Roman" w:cs="Times New Roman"/>
        </w:rPr>
        <w:t xml:space="preserve">kovuşturmayı başlatma </w:t>
      </w:r>
      <w:r w:rsidR="005A4DC8">
        <w:rPr>
          <w:rFonts w:ascii="Times New Roman" w:hAnsi="Times New Roman" w:cs="Times New Roman"/>
        </w:rPr>
        <w:t>olmak üzere üç yön</w:t>
      </w:r>
      <w:r>
        <w:rPr>
          <w:rFonts w:ascii="Times New Roman" w:hAnsi="Times New Roman" w:cs="Times New Roman"/>
        </w:rPr>
        <w:t xml:space="preserve">de </w:t>
      </w:r>
      <w:r w:rsidR="005A4DC8">
        <w:rPr>
          <w:rFonts w:ascii="Times New Roman" w:hAnsi="Times New Roman" w:cs="Times New Roman"/>
        </w:rPr>
        <w:t>kullanılabilmektedir</w:t>
      </w:r>
      <w:r w:rsidR="006A6D3F">
        <w:rPr>
          <w:rFonts w:ascii="Times New Roman" w:hAnsi="Times New Roman" w:cs="Times New Roman"/>
        </w:rPr>
        <w:t xml:space="preserve"> (Fransız CMK m. 40-1)</w:t>
      </w:r>
      <w:r>
        <w:rPr>
          <w:rFonts w:ascii="Times New Roman" w:hAnsi="Times New Roman" w:cs="Times New Roman"/>
        </w:rPr>
        <w:t xml:space="preserve">. </w:t>
      </w:r>
      <w:r w:rsidR="00F14BEC">
        <w:rPr>
          <w:rFonts w:ascii="Times New Roman" w:hAnsi="Times New Roman" w:cs="Times New Roman"/>
        </w:rPr>
        <w:t>Takdir yetkisini kovuşturmaya alternatif yolları izleme yönünde kullanan</w:t>
      </w:r>
      <w:r w:rsidR="005A4DC8">
        <w:rPr>
          <w:rFonts w:ascii="Times New Roman" w:hAnsi="Times New Roman" w:cs="Times New Roman"/>
        </w:rPr>
        <w:t xml:space="preserve"> </w:t>
      </w:r>
      <w:r w:rsidR="00192C1A">
        <w:rPr>
          <w:rFonts w:ascii="Times New Roman" w:hAnsi="Times New Roman" w:cs="Times New Roman"/>
        </w:rPr>
        <w:t xml:space="preserve">savcı, </w:t>
      </w:r>
      <w:r w:rsidR="00F14BEC">
        <w:rPr>
          <w:rFonts w:ascii="Times New Roman" w:hAnsi="Times New Roman" w:cs="Times New Roman"/>
        </w:rPr>
        <w:t xml:space="preserve">bu kapsamda </w:t>
      </w:r>
      <w:r w:rsidR="00CA12B1">
        <w:rPr>
          <w:rFonts w:ascii="Times New Roman" w:hAnsi="Times New Roman" w:cs="Times New Roman"/>
        </w:rPr>
        <w:t>Fransız CMK m. 41-1, 41-1-2 veya m. 41-2</w:t>
      </w:r>
      <w:r w:rsidR="008A7802">
        <w:rPr>
          <w:rFonts w:ascii="Times New Roman" w:hAnsi="Times New Roman" w:cs="Times New Roman"/>
        </w:rPr>
        <w:t xml:space="preserve"> hükümlerine </w:t>
      </w:r>
      <w:r w:rsidR="00F14BEC">
        <w:rPr>
          <w:rFonts w:ascii="Times New Roman" w:hAnsi="Times New Roman" w:cs="Times New Roman"/>
        </w:rPr>
        <w:t>başvurabilecektir</w:t>
      </w:r>
      <w:r w:rsidR="00197D7E">
        <w:rPr>
          <w:rStyle w:val="FootnoteReference"/>
          <w:rFonts w:ascii="Times New Roman" w:hAnsi="Times New Roman" w:cs="Times New Roman"/>
        </w:rPr>
        <w:footnoteReference w:id="22"/>
      </w:r>
      <w:r w:rsidR="00F14BEC">
        <w:rPr>
          <w:rFonts w:ascii="Times New Roman" w:hAnsi="Times New Roman" w:cs="Times New Roman"/>
        </w:rPr>
        <w:t>. Bu doğrultuda Fransız CMK m. 41-1 kapsamında savcıya</w:t>
      </w:r>
      <w:r w:rsidR="00CA67BA">
        <w:rPr>
          <w:rFonts w:ascii="Times New Roman" w:hAnsi="Times New Roman" w:cs="Times New Roman"/>
        </w:rPr>
        <w:t>,</w:t>
      </w:r>
      <w:r w:rsidR="00F14BEC">
        <w:rPr>
          <w:rFonts w:ascii="Times New Roman" w:hAnsi="Times New Roman" w:cs="Times New Roman"/>
        </w:rPr>
        <w:t xml:space="preserve"> faile kanundan doğan yükümlülüklerinin hatırlatılması, failin sağlık</w:t>
      </w:r>
      <w:r w:rsidR="00CA67BA">
        <w:rPr>
          <w:rFonts w:ascii="Times New Roman" w:hAnsi="Times New Roman" w:cs="Times New Roman"/>
        </w:rPr>
        <w:t>la ilgili</w:t>
      </w:r>
      <w:r w:rsidR="00F14BEC">
        <w:rPr>
          <w:rFonts w:ascii="Times New Roman" w:hAnsi="Times New Roman" w:cs="Times New Roman"/>
        </w:rPr>
        <w:t>, sosyal ve</w:t>
      </w:r>
      <w:r w:rsidR="00CA67BA">
        <w:rPr>
          <w:rFonts w:ascii="Times New Roman" w:hAnsi="Times New Roman" w:cs="Times New Roman"/>
        </w:rPr>
        <w:t>ya</w:t>
      </w:r>
      <w:r w:rsidR="00F14BEC">
        <w:rPr>
          <w:rFonts w:ascii="Times New Roman" w:hAnsi="Times New Roman" w:cs="Times New Roman"/>
        </w:rPr>
        <w:t xml:space="preserve"> mesleki bir eğitime tabi tutulması, mağdurun zararının giderilmesi veya eski hale getirme, </w:t>
      </w:r>
      <w:r w:rsidR="00CA67BA">
        <w:rPr>
          <w:rFonts w:ascii="Times New Roman" w:hAnsi="Times New Roman" w:cs="Times New Roman"/>
        </w:rPr>
        <w:t>fail-mağdur uzlaşması (</w:t>
      </w:r>
      <w:r w:rsidR="00CA67BA" w:rsidRPr="00CA67BA">
        <w:rPr>
          <w:rFonts w:ascii="Times New Roman" w:hAnsi="Times New Roman" w:cs="Times New Roman"/>
          <w:i/>
        </w:rPr>
        <w:t>médiation pénale</w:t>
      </w:r>
      <w:r w:rsidR="00CA67BA">
        <w:rPr>
          <w:rFonts w:ascii="Times New Roman" w:hAnsi="Times New Roman" w:cs="Times New Roman"/>
        </w:rPr>
        <w:t xml:space="preserve">), </w:t>
      </w:r>
      <w:r w:rsidR="00E80A5B">
        <w:rPr>
          <w:rFonts w:ascii="Times New Roman" w:hAnsi="Times New Roman" w:cs="Times New Roman"/>
        </w:rPr>
        <w:t>aile</w:t>
      </w:r>
      <w:r w:rsidR="00F14BEC">
        <w:rPr>
          <w:rFonts w:ascii="Times New Roman" w:hAnsi="Times New Roman" w:cs="Times New Roman"/>
        </w:rPr>
        <w:t xml:space="preserve"> içi veya eşler arası işlenen bazı suçlarda failin evden uza</w:t>
      </w:r>
      <w:r w:rsidR="00CA67BA">
        <w:rPr>
          <w:rFonts w:ascii="Times New Roman" w:hAnsi="Times New Roman" w:cs="Times New Roman"/>
        </w:rPr>
        <w:t xml:space="preserve">klaştırılması gibi </w:t>
      </w:r>
      <w:r w:rsidR="00AA510B">
        <w:rPr>
          <w:rFonts w:ascii="Times New Roman" w:hAnsi="Times New Roman" w:cs="Times New Roman"/>
        </w:rPr>
        <w:t>farklı</w:t>
      </w:r>
      <w:r w:rsidR="00CA67BA">
        <w:rPr>
          <w:rFonts w:ascii="Times New Roman" w:hAnsi="Times New Roman" w:cs="Times New Roman"/>
        </w:rPr>
        <w:t xml:space="preserve"> alternatif tedbirlere başvurma</w:t>
      </w:r>
      <w:r w:rsidR="00F14BEC">
        <w:rPr>
          <w:rFonts w:ascii="Times New Roman" w:hAnsi="Times New Roman" w:cs="Times New Roman"/>
        </w:rPr>
        <w:t xml:space="preserve"> imkanı getirilmiştir</w:t>
      </w:r>
      <w:r w:rsidR="00F14BEC">
        <w:rPr>
          <w:rStyle w:val="FootnoteReference"/>
          <w:rFonts w:ascii="Times New Roman" w:hAnsi="Times New Roman" w:cs="Times New Roman"/>
        </w:rPr>
        <w:footnoteReference w:id="23"/>
      </w:r>
      <w:r w:rsidR="00F14BEC">
        <w:rPr>
          <w:rFonts w:ascii="Times New Roman" w:hAnsi="Times New Roman" w:cs="Times New Roman"/>
        </w:rPr>
        <w:t xml:space="preserve">. </w:t>
      </w:r>
      <w:r w:rsidR="00CA67BA">
        <w:rPr>
          <w:rFonts w:ascii="Times New Roman" w:hAnsi="Times New Roman" w:cs="Times New Roman"/>
        </w:rPr>
        <w:t xml:space="preserve">Yine </w:t>
      </w:r>
      <w:r w:rsidR="0010283C">
        <w:rPr>
          <w:rFonts w:ascii="Times New Roman" w:hAnsi="Times New Roman" w:cs="Times New Roman"/>
        </w:rPr>
        <w:t xml:space="preserve">bu </w:t>
      </w:r>
      <w:r w:rsidR="008A7802">
        <w:rPr>
          <w:rFonts w:ascii="Times New Roman" w:hAnsi="Times New Roman" w:cs="Times New Roman"/>
        </w:rPr>
        <w:t>alternatif</w:t>
      </w:r>
      <w:r w:rsidR="0010283C">
        <w:rPr>
          <w:rFonts w:ascii="Times New Roman" w:hAnsi="Times New Roman" w:cs="Times New Roman"/>
        </w:rPr>
        <w:t xml:space="preserve"> </w:t>
      </w:r>
      <w:r w:rsidR="00FE3E89">
        <w:rPr>
          <w:rFonts w:ascii="Times New Roman" w:hAnsi="Times New Roman" w:cs="Times New Roman"/>
        </w:rPr>
        <w:t xml:space="preserve">yollar kapsamında 1999 yılında </w:t>
      </w:r>
      <w:r>
        <w:rPr>
          <w:rFonts w:ascii="Times New Roman" w:hAnsi="Times New Roman" w:cs="Times New Roman"/>
        </w:rPr>
        <w:t>Fransız CMK</w:t>
      </w:r>
      <w:r w:rsidR="00FE3E89">
        <w:rPr>
          <w:rFonts w:ascii="Times New Roman" w:hAnsi="Times New Roman" w:cs="Times New Roman"/>
        </w:rPr>
        <w:t>’ye eklenen ve</w:t>
      </w:r>
      <w:r>
        <w:rPr>
          <w:rFonts w:ascii="Times New Roman" w:hAnsi="Times New Roman" w:cs="Times New Roman"/>
        </w:rPr>
        <w:t xml:space="preserve"> m. 41-2 </w:t>
      </w:r>
      <w:r w:rsidR="00A25E94">
        <w:rPr>
          <w:rFonts w:ascii="Times New Roman" w:hAnsi="Times New Roman" w:cs="Times New Roman"/>
        </w:rPr>
        <w:t>ve devamında</w:t>
      </w:r>
      <w:r w:rsidR="00CA67BA">
        <w:rPr>
          <w:rFonts w:ascii="Times New Roman" w:hAnsi="Times New Roman" w:cs="Times New Roman"/>
        </w:rPr>
        <w:t xml:space="preserve"> </w:t>
      </w:r>
      <w:r>
        <w:rPr>
          <w:rFonts w:ascii="Times New Roman" w:hAnsi="Times New Roman" w:cs="Times New Roman"/>
        </w:rPr>
        <w:t xml:space="preserve">düzenlenen </w:t>
      </w:r>
      <w:r w:rsidR="00406A2B">
        <w:rPr>
          <w:rFonts w:ascii="Times New Roman" w:hAnsi="Times New Roman" w:cs="Times New Roman"/>
        </w:rPr>
        <w:t>“ceza uygulaması”</w:t>
      </w:r>
      <w:r>
        <w:rPr>
          <w:rFonts w:ascii="Times New Roman" w:hAnsi="Times New Roman" w:cs="Times New Roman"/>
        </w:rPr>
        <w:t xml:space="preserve"> (</w:t>
      </w:r>
      <w:r w:rsidRPr="005A4DC8">
        <w:rPr>
          <w:rFonts w:ascii="Times New Roman" w:hAnsi="Times New Roman" w:cs="Times New Roman"/>
          <w:i/>
        </w:rPr>
        <w:t>composition pénale</w:t>
      </w:r>
      <w:r>
        <w:rPr>
          <w:rFonts w:ascii="Times New Roman" w:hAnsi="Times New Roman" w:cs="Times New Roman"/>
        </w:rPr>
        <w:t xml:space="preserve">) </w:t>
      </w:r>
      <w:r w:rsidR="00D83232">
        <w:rPr>
          <w:rFonts w:ascii="Times New Roman" w:hAnsi="Times New Roman" w:cs="Times New Roman"/>
        </w:rPr>
        <w:t xml:space="preserve">teklif </w:t>
      </w:r>
      <w:r w:rsidR="00CA67BA">
        <w:rPr>
          <w:rFonts w:ascii="Times New Roman" w:hAnsi="Times New Roman" w:cs="Times New Roman"/>
        </w:rPr>
        <w:t>etme imkanı getirilmiştir</w:t>
      </w:r>
      <w:r w:rsidR="00D83232">
        <w:rPr>
          <w:rStyle w:val="FootnoteReference"/>
          <w:rFonts w:ascii="Times New Roman" w:hAnsi="Times New Roman" w:cs="Times New Roman"/>
        </w:rPr>
        <w:footnoteReference w:id="24"/>
      </w:r>
      <w:r w:rsidR="00D83232">
        <w:rPr>
          <w:rFonts w:ascii="Times New Roman" w:hAnsi="Times New Roman" w:cs="Times New Roman"/>
        </w:rPr>
        <w:t xml:space="preserve">. </w:t>
      </w:r>
    </w:p>
    <w:p w14:paraId="53E3999B" w14:textId="77777777" w:rsidR="00192C1A" w:rsidRDefault="00192C1A" w:rsidP="002776A6">
      <w:pPr>
        <w:spacing w:line="360" w:lineRule="auto"/>
        <w:ind w:firstLine="720"/>
        <w:jc w:val="both"/>
        <w:rPr>
          <w:rFonts w:ascii="Times New Roman" w:hAnsi="Times New Roman" w:cs="Times New Roman"/>
        </w:rPr>
      </w:pPr>
    </w:p>
    <w:p w14:paraId="1D729F38" w14:textId="15D7FAD0" w:rsidR="0099026D" w:rsidRDefault="00192C1A" w:rsidP="00723E1F">
      <w:pPr>
        <w:spacing w:line="360" w:lineRule="auto"/>
        <w:ind w:firstLine="720"/>
        <w:jc w:val="both"/>
        <w:rPr>
          <w:rFonts w:ascii="Times New Roman" w:hAnsi="Times New Roman" w:cs="Times New Roman"/>
        </w:rPr>
      </w:pPr>
      <w:r>
        <w:rPr>
          <w:rFonts w:ascii="Times New Roman" w:hAnsi="Times New Roman" w:cs="Times New Roman"/>
        </w:rPr>
        <w:t xml:space="preserve">Fransız hukukunda ceza </w:t>
      </w:r>
      <w:r w:rsidR="00A30734">
        <w:rPr>
          <w:rFonts w:ascii="Times New Roman" w:hAnsi="Times New Roman" w:cs="Times New Roman"/>
        </w:rPr>
        <w:t>muhakemesi</w:t>
      </w:r>
      <w:r>
        <w:rPr>
          <w:rFonts w:ascii="Times New Roman" w:hAnsi="Times New Roman" w:cs="Times New Roman"/>
        </w:rPr>
        <w:t xml:space="preserve"> sistemindeki basitleştirme ve hızlandırmaya yönelik değişimin </w:t>
      </w:r>
      <w:r w:rsidR="002F1E9B">
        <w:rPr>
          <w:rFonts w:ascii="Times New Roman" w:hAnsi="Times New Roman" w:cs="Times New Roman"/>
        </w:rPr>
        <w:t xml:space="preserve">diğer bir </w:t>
      </w:r>
      <w:r w:rsidR="00F17C3B">
        <w:rPr>
          <w:rFonts w:ascii="Times New Roman" w:hAnsi="Times New Roman" w:cs="Times New Roman"/>
        </w:rPr>
        <w:t>ayağı</w:t>
      </w:r>
      <w:r w:rsidR="00095874">
        <w:rPr>
          <w:rFonts w:ascii="Times New Roman" w:hAnsi="Times New Roman" w:cs="Times New Roman"/>
        </w:rPr>
        <w:t>,</w:t>
      </w:r>
      <w:r>
        <w:rPr>
          <w:rFonts w:ascii="Times New Roman" w:hAnsi="Times New Roman" w:cs="Times New Roman"/>
        </w:rPr>
        <w:t xml:space="preserve"> kovuşturma usullerinin çeşitlendirilmesine yönelik olmuştur</w:t>
      </w:r>
      <w:r>
        <w:rPr>
          <w:rStyle w:val="FootnoteReference"/>
          <w:rFonts w:ascii="Times New Roman" w:hAnsi="Times New Roman" w:cs="Times New Roman"/>
        </w:rPr>
        <w:footnoteReference w:id="25"/>
      </w:r>
      <w:r w:rsidR="00723E1F">
        <w:rPr>
          <w:rFonts w:ascii="Times New Roman" w:hAnsi="Times New Roman" w:cs="Times New Roman"/>
        </w:rPr>
        <w:t xml:space="preserve">. </w:t>
      </w:r>
      <w:r w:rsidR="00AD5D73">
        <w:rPr>
          <w:rFonts w:ascii="Times New Roman" w:hAnsi="Times New Roman" w:cs="Times New Roman"/>
        </w:rPr>
        <w:t>Bunlar</w:t>
      </w:r>
      <w:r w:rsidR="00A30734">
        <w:rPr>
          <w:rFonts w:ascii="Times New Roman" w:hAnsi="Times New Roman" w:cs="Times New Roman"/>
        </w:rPr>
        <w:t xml:space="preserve"> </w:t>
      </w:r>
      <w:r w:rsidR="00C05256">
        <w:rPr>
          <w:rFonts w:ascii="Times New Roman" w:hAnsi="Times New Roman" w:cs="Times New Roman"/>
        </w:rPr>
        <w:t>kovuşturma alternatiflerinden fa</w:t>
      </w:r>
      <w:r w:rsidR="009F5A8C">
        <w:rPr>
          <w:rFonts w:ascii="Times New Roman" w:hAnsi="Times New Roman" w:cs="Times New Roman"/>
        </w:rPr>
        <w:t>rk</w:t>
      </w:r>
      <w:r w:rsidR="00C05256">
        <w:rPr>
          <w:rFonts w:ascii="Times New Roman" w:hAnsi="Times New Roman" w:cs="Times New Roman"/>
        </w:rPr>
        <w:t xml:space="preserve">lı olarak </w:t>
      </w:r>
      <w:r w:rsidR="00A30734">
        <w:rPr>
          <w:rFonts w:ascii="Times New Roman" w:hAnsi="Times New Roman" w:cs="Times New Roman"/>
        </w:rPr>
        <w:t>k</w:t>
      </w:r>
      <w:r w:rsidR="00723E1F">
        <w:rPr>
          <w:rFonts w:ascii="Times New Roman" w:hAnsi="Times New Roman" w:cs="Times New Roman"/>
        </w:rPr>
        <w:t xml:space="preserve">ovuşturma </w:t>
      </w:r>
      <w:r w:rsidR="008A7802">
        <w:rPr>
          <w:rFonts w:ascii="Times New Roman" w:hAnsi="Times New Roman" w:cs="Times New Roman"/>
        </w:rPr>
        <w:t>evresine</w:t>
      </w:r>
      <w:r w:rsidR="00723E1F">
        <w:rPr>
          <w:rFonts w:ascii="Times New Roman" w:hAnsi="Times New Roman" w:cs="Times New Roman"/>
        </w:rPr>
        <w:t xml:space="preserve"> geçildikten sonra yargının yükünü ve sürecin yavaşlığını giderebilmek için geliştirilen kurumlar</w:t>
      </w:r>
      <w:r w:rsidR="00AD5D73">
        <w:rPr>
          <w:rFonts w:ascii="Times New Roman" w:hAnsi="Times New Roman" w:cs="Times New Roman"/>
        </w:rPr>
        <w:t xml:space="preserve">dır. </w:t>
      </w:r>
      <w:r w:rsidR="00723E1F">
        <w:rPr>
          <w:rFonts w:ascii="Times New Roman" w:hAnsi="Times New Roman" w:cs="Times New Roman"/>
        </w:rPr>
        <w:t>Fransız hukukunda s</w:t>
      </w:r>
      <w:r w:rsidR="00D83232">
        <w:rPr>
          <w:rFonts w:ascii="Times New Roman" w:hAnsi="Times New Roman" w:cs="Times New Roman"/>
        </w:rPr>
        <w:t>avcı kamu davası açılmasına kara</w:t>
      </w:r>
      <w:r w:rsidR="00723E1F">
        <w:rPr>
          <w:rFonts w:ascii="Times New Roman" w:hAnsi="Times New Roman" w:cs="Times New Roman"/>
        </w:rPr>
        <w:t>r verdiğinde,</w:t>
      </w:r>
      <w:r w:rsidR="00D83232">
        <w:rPr>
          <w:rFonts w:ascii="Times New Roman" w:hAnsi="Times New Roman" w:cs="Times New Roman"/>
        </w:rPr>
        <w:t xml:space="preserve"> farklı suç kategorileri için</w:t>
      </w:r>
      <w:r w:rsidR="00095874">
        <w:rPr>
          <w:rStyle w:val="FootnoteReference"/>
          <w:rFonts w:ascii="Times New Roman" w:hAnsi="Times New Roman" w:cs="Times New Roman"/>
        </w:rPr>
        <w:footnoteReference w:id="26"/>
      </w:r>
      <w:r w:rsidR="00D83232">
        <w:rPr>
          <w:rFonts w:ascii="Times New Roman" w:hAnsi="Times New Roman" w:cs="Times New Roman"/>
        </w:rPr>
        <w:t xml:space="preserve"> öngörülmüş olan kovuşturma usullerini takip eder. Buna göre cürüm niteliğindeki suçlar bakımından olağan kovuşturma </w:t>
      </w:r>
      <w:r w:rsidR="008A7802">
        <w:rPr>
          <w:rFonts w:ascii="Times New Roman" w:hAnsi="Times New Roman" w:cs="Times New Roman"/>
        </w:rPr>
        <w:t>evresine</w:t>
      </w:r>
      <w:r w:rsidR="00D83232">
        <w:rPr>
          <w:rFonts w:ascii="Times New Roman" w:hAnsi="Times New Roman" w:cs="Times New Roman"/>
        </w:rPr>
        <w:t xml:space="preserve"> hazırlık soruş</w:t>
      </w:r>
      <w:r w:rsidR="001C2EAD">
        <w:rPr>
          <w:rFonts w:ascii="Times New Roman" w:hAnsi="Times New Roman" w:cs="Times New Roman"/>
        </w:rPr>
        <w:t>turması açılarak devam edilir</w:t>
      </w:r>
      <w:r w:rsidR="00D83232">
        <w:rPr>
          <w:rFonts w:ascii="Times New Roman" w:hAnsi="Times New Roman" w:cs="Times New Roman"/>
        </w:rPr>
        <w:t>, cünha ve kabahat niteliğindeki suçlar bakımından</w:t>
      </w:r>
      <w:r w:rsidR="00AD5D73">
        <w:rPr>
          <w:rFonts w:ascii="Times New Roman" w:hAnsi="Times New Roman" w:cs="Times New Roman"/>
        </w:rPr>
        <w:t xml:space="preserve"> </w:t>
      </w:r>
      <w:r w:rsidR="001C2EAD">
        <w:rPr>
          <w:rFonts w:ascii="Times New Roman" w:hAnsi="Times New Roman" w:cs="Times New Roman"/>
        </w:rPr>
        <w:t xml:space="preserve">ise </w:t>
      </w:r>
      <w:r w:rsidR="00D83232">
        <w:rPr>
          <w:rFonts w:ascii="Times New Roman" w:hAnsi="Times New Roman" w:cs="Times New Roman"/>
        </w:rPr>
        <w:t>olağan</w:t>
      </w:r>
      <w:r w:rsidR="00095874">
        <w:rPr>
          <w:rFonts w:ascii="Times New Roman" w:hAnsi="Times New Roman" w:cs="Times New Roman"/>
        </w:rPr>
        <w:t xml:space="preserve"> kovuşturma</w:t>
      </w:r>
      <w:r w:rsidR="0051605B">
        <w:rPr>
          <w:rFonts w:ascii="Times New Roman" w:hAnsi="Times New Roman" w:cs="Times New Roman"/>
        </w:rPr>
        <w:t xml:space="preserve"> usulü yollarını</w:t>
      </w:r>
      <w:r w:rsidR="00095874">
        <w:rPr>
          <w:rFonts w:ascii="Times New Roman" w:hAnsi="Times New Roman" w:cs="Times New Roman"/>
        </w:rPr>
        <w:t xml:space="preserve"> </w:t>
      </w:r>
      <w:r w:rsidR="001C2EAD">
        <w:rPr>
          <w:rFonts w:ascii="Times New Roman" w:hAnsi="Times New Roman" w:cs="Times New Roman"/>
        </w:rPr>
        <w:t>izleme</w:t>
      </w:r>
      <w:r w:rsidR="00E1533B">
        <w:rPr>
          <w:rFonts w:ascii="Times New Roman" w:hAnsi="Times New Roman" w:cs="Times New Roman"/>
        </w:rPr>
        <w:t xml:space="preserve"> </w:t>
      </w:r>
      <w:r w:rsidR="00095874">
        <w:rPr>
          <w:rFonts w:ascii="Times New Roman" w:hAnsi="Times New Roman" w:cs="Times New Roman"/>
        </w:rPr>
        <w:t>veya onun</w:t>
      </w:r>
      <w:r w:rsidR="00D83232">
        <w:rPr>
          <w:rFonts w:ascii="Times New Roman" w:hAnsi="Times New Roman" w:cs="Times New Roman"/>
        </w:rPr>
        <w:t xml:space="preserve"> </w:t>
      </w:r>
      <w:r w:rsidR="00AD5D73">
        <w:rPr>
          <w:rFonts w:ascii="Times New Roman" w:hAnsi="Times New Roman" w:cs="Times New Roman"/>
        </w:rPr>
        <w:t>yerine</w:t>
      </w:r>
      <w:r w:rsidR="00D83232">
        <w:rPr>
          <w:rFonts w:ascii="Times New Roman" w:hAnsi="Times New Roman" w:cs="Times New Roman"/>
        </w:rPr>
        <w:t xml:space="preserve"> alternatif kovuşturma usullerinden birine başvurma</w:t>
      </w:r>
      <w:r w:rsidR="00AD5D73">
        <w:rPr>
          <w:rFonts w:ascii="Times New Roman" w:hAnsi="Times New Roman" w:cs="Times New Roman"/>
        </w:rPr>
        <w:t xml:space="preserve"> seçeneği bulunur</w:t>
      </w:r>
      <w:r w:rsidR="00814026">
        <w:rPr>
          <w:rStyle w:val="FootnoteReference"/>
          <w:rFonts w:ascii="Times New Roman" w:hAnsi="Times New Roman" w:cs="Times New Roman"/>
        </w:rPr>
        <w:footnoteReference w:id="27"/>
      </w:r>
      <w:r w:rsidR="00095874">
        <w:rPr>
          <w:rFonts w:ascii="Times New Roman" w:hAnsi="Times New Roman" w:cs="Times New Roman"/>
        </w:rPr>
        <w:t xml:space="preserve">. </w:t>
      </w:r>
    </w:p>
    <w:p w14:paraId="6328E531" w14:textId="77777777" w:rsidR="00D57980" w:rsidRDefault="00D57980" w:rsidP="002776A6">
      <w:pPr>
        <w:spacing w:line="360" w:lineRule="auto"/>
        <w:ind w:firstLine="720"/>
        <w:jc w:val="both"/>
        <w:rPr>
          <w:rFonts w:ascii="Times New Roman" w:hAnsi="Times New Roman" w:cs="Times New Roman"/>
        </w:rPr>
      </w:pPr>
    </w:p>
    <w:p w14:paraId="3F9FFB5C" w14:textId="012A6E0E" w:rsidR="002E61B1" w:rsidRPr="001C7438" w:rsidRDefault="00D57980" w:rsidP="005D140A">
      <w:pPr>
        <w:spacing w:line="360" w:lineRule="auto"/>
        <w:ind w:firstLine="720"/>
        <w:jc w:val="both"/>
        <w:rPr>
          <w:rFonts w:ascii="Times New Roman" w:hAnsi="Times New Roman" w:cs="Times New Roman"/>
        </w:rPr>
      </w:pPr>
      <w:r>
        <w:rPr>
          <w:rFonts w:ascii="Times New Roman" w:hAnsi="Times New Roman" w:cs="Times New Roman"/>
        </w:rPr>
        <w:t xml:space="preserve">Fransız hukukunda kovuşturma </w:t>
      </w:r>
      <w:r w:rsidR="008A7802">
        <w:rPr>
          <w:rFonts w:ascii="Times New Roman" w:hAnsi="Times New Roman" w:cs="Times New Roman"/>
        </w:rPr>
        <w:t>evresinde</w:t>
      </w:r>
      <w:r>
        <w:rPr>
          <w:rFonts w:ascii="Times New Roman" w:hAnsi="Times New Roman" w:cs="Times New Roman"/>
        </w:rPr>
        <w:t xml:space="preserve"> izlenebilecek </w:t>
      </w:r>
      <w:r w:rsidR="00BA1EFF">
        <w:rPr>
          <w:rFonts w:ascii="Times New Roman" w:hAnsi="Times New Roman" w:cs="Times New Roman"/>
        </w:rPr>
        <w:t>yollar,</w:t>
      </w:r>
      <w:r>
        <w:rPr>
          <w:rFonts w:ascii="Times New Roman" w:hAnsi="Times New Roman" w:cs="Times New Roman"/>
        </w:rPr>
        <w:t xml:space="preserve"> </w:t>
      </w:r>
      <w:r w:rsidR="000E2AC1">
        <w:rPr>
          <w:rFonts w:ascii="Times New Roman" w:hAnsi="Times New Roman" w:cs="Times New Roman"/>
        </w:rPr>
        <w:t xml:space="preserve">diğer bir deyişle kamu davasını açma </w:t>
      </w:r>
      <w:r>
        <w:rPr>
          <w:rFonts w:ascii="Times New Roman" w:hAnsi="Times New Roman" w:cs="Times New Roman"/>
        </w:rPr>
        <w:t>yöntemleri, çeşitlidir</w:t>
      </w:r>
      <w:r w:rsidR="0078426B">
        <w:rPr>
          <w:rStyle w:val="FootnoteReference"/>
          <w:rFonts w:ascii="Times New Roman" w:hAnsi="Times New Roman" w:cs="Times New Roman"/>
        </w:rPr>
        <w:footnoteReference w:id="28"/>
      </w:r>
      <w:r w:rsidR="00095874">
        <w:rPr>
          <w:rFonts w:ascii="Times New Roman" w:hAnsi="Times New Roman" w:cs="Times New Roman"/>
        </w:rPr>
        <w:t xml:space="preserve">. </w:t>
      </w:r>
      <w:r w:rsidR="005E7BEF">
        <w:rPr>
          <w:rFonts w:ascii="Times New Roman" w:hAnsi="Times New Roman" w:cs="Times New Roman"/>
        </w:rPr>
        <w:t>Bunlardan bir kısmı</w:t>
      </w:r>
      <w:r w:rsidR="00095874">
        <w:rPr>
          <w:rFonts w:ascii="Times New Roman" w:hAnsi="Times New Roman" w:cs="Times New Roman"/>
        </w:rPr>
        <w:t xml:space="preserve"> </w:t>
      </w:r>
      <w:r w:rsidR="005E7BEF">
        <w:rPr>
          <w:rFonts w:ascii="Times New Roman" w:hAnsi="Times New Roman" w:cs="Times New Roman"/>
        </w:rPr>
        <w:t>olağan kovuşturma sürecini başlatırken, diğer bir kısmı olağan kovuşturma sürecinin hızlandırılmasına yönelik olarak geliştirilmiştir</w:t>
      </w:r>
      <w:r w:rsidR="0078426B">
        <w:rPr>
          <w:rStyle w:val="FootnoteReference"/>
          <w:rFonts w:ascii="Times New Roman" w:hAnsi="Times New Roman" w:cs="Times New Roman"/>
        </w:rPr>
        <w:footnoteReference w:id="29"/>
      </w:r>
      <w:r>
        <w:rPr>
          <w:rFonts w:ascii="Times New Roman" w:hAnsi="Times New Roman" w:cs="Times New Roman"/>
        </w:rPr>
        <w:t xml:space="preserve">. </w:t>
      </w:r>
      <w:r w:rsidR="005E7BEF">
        <w:rPr>
          <w:rFonts w:ascii="Times New Roman" w:hAnsi="Times New Roman" w:cs="Times New Roman"/>
        </w:rPr>
        <w:t>S</w:t>
      </w:r>
      <w:r w:rsidR="003B4F75">
        <w:rPr>
          <w:rFonts w:ascii="Times New Roman" w:hAnsi="Times New Roman" w:cs="Times New Roman"/>
        </w:rPr>
        <w:t xml:space="preserve">uçluluğun </w:t>
      </w:r>
      <w:r w:rsidR="005E7BEF">
        <w:rPr>
          <w:rFonts w:ascii="Times New Roman" w:hAnsi="Times New Roman" w:cs="Times New Roman"/>
        </w:rPr>
        <w:t>ön k</w:t>
      </w:r>
      <w:r w:rsidR="0051605B">
        <w:rPr>
          <w:rFonts w:ascii="Times New Roman" w:hAnsi="Times New Roman" w:cs="Times New Roman"/>
        </w:rPr>
        <w:t>abulü üzerine duruşma ve basit</w:t>
      </w:r>
      <w:r w:rsidR="00846C3D">
        <w:rPr>
          <w:rFonts w:ascii="Times New Roman" w:hAnsi="Times New Roman" w:cs="Times New Roman"/>
        </w:rPr>
        <w:t>leştirilmiş</w:t>
      </w:r>
      <w:r w:rsidR="0051605B">
        <w:rPr>
          <w:rFonts w:ascii="Times New Roman" w:hAnsi="Times New Roman" w:cs="Times New Roman"/>
        </w:rPr>
        <w:t xml:space="preserve"> muhakeme</w:t>
      </w:r>
      <w:r w:rsidR="005E7BEF">
        <w:rPr>
          <w:rFonts w:ascii="Times New Roman" w:hAnsi="Times New Roman" w:cs="Times New Roman"/>
        </w:rPr>
        <w:t xml:space="preserve"> usulleri </w:t>
      </w:r>
      <w:r w:rsidR="000E5FFB">
        <w:rPr>
          <w:rFonts w:ascii="Times New Roman" w:hAnsi="Times New Roman" w:cs="Times New Roman"/>
        </w:rPr>
        <w:t xml:space="preserve">de </w:t>
      </w:r>
      <w:r w:rsidR="005E7BEF">
        <w:rPr>
          <w:rFonts w:ascii="Times New Roman" w:hAnsi="Times New Roman" w:cs="Times New Roman"/>
        </w:rPr>
        <w:t xml:space="preserve">Fransız hukukunda kovuşturma </w:t>
      </w:r>
      <w:r w:rsidR="00114EB6">
        <w:rPr>
          <w:rFonts w:ascii="Times New Roman" w:hAnsi="Times New Roman" w:cs="Times New Roman"/>
        </w:rPr>
        <w:t>sürecinin</w:t>
      </w:r>
      <w:r w:rsidR="005E7BEF">
        <w:rPr>
          <w:rFonts w:ascii="Times New Roman" w:hAnsi="Times New Roman" w:cs="Times New Roman"/>
        </w:rPr>
        <w:t xml:space="preserve"> hızlandırılmasına yönelik olarak geliştirilen</w:t>
      </w:r>
      <w:r w:rsidR="000E5FFB">
        <w:rPr>
          <w:rFonts w:ascii="Times New Roman" w:hAnsi="Times New Roman" w:cs="Times New Roman"/>
        </w:rPr>
        <w:t xml:space="preserve"> bu</w:t>
      </w:r>
      <w:r w:rsidR="005E7BEF">
        <w:rPr>
          <w:rFonts w:ascii="Times New Roman" w:hAnsi="Times New Roman" w:cs="Times New Roman"/>
        </w:rPr>
        <w:t xml:space="preserve"> alternatif usullerdendir. </w:t>
      </w:r>
      <w:r w:rsidR="00C97D1F">
        <w:rPr>
          <w:rFonts w:ascii="Times New Roman" w:hAnsi="Times New Roman" w:cs="Times New Roman"/>
        </w:rPr>
        <w:t>Fransız hukukunda basit</w:t>
      </w:r>
      <w:r w:rsidR="00846C3D">
        <w:rPr>
          <w:rFonts w:ascii="Times New Roman" w:hAnsi="Times New Roman" w:cs="Times New Roman"/>
        </w:rPr>
        <w:t>leştirilmiş</w:t>
      </w:r>
      <w:r w:rsidR="00C97D1F">
        <w:rPr>
          <w:rFonts w:ascii="Times New Roman" w:hAnsi="Times New Roman" w:cs="Times New Roman"/>
        </w:rPr>
        <w:t xml:space="preserve"> </w:t>
      </w:r>
      <w:r w:rsidR="0051605B">
        <w:rPr>
          <w:rFonts w:ascii="Times New Roman" w:hAnsi="Times New Roman" w:cs="Times New Roman"/>
        </w:rPr>
        <w:t xml:space="preserve">muhakeme </w:t>
      </w:r>
      <w:r w:rsidR="00C97D1F">
        <w:rPr>
          <w:rFonts w:ascii="Times New Roman" w:hAnsi="Times New Roman" w:cs="Times New Roman"/>
        </w:rPr>
        <w:t xml:space="preserve">usulü ilk olarak 1972 yılında kabahatler için </w:t>
      </w:r>
      <w:r w:rsidR="000E5FFB">
        <w:rPr>
          <w:rFonts w:ascii="Times New Roman" w:hAnsi="Times New Roman" w:cs="Times New Roman"/>
        </w:rPr>
        <w:t>öngörülmüş</w:t>
      </w:r>
      <w:r w:rsidR="00C97D1F">
        <w:rPr>
          <w:rFonts w:ascii="Times New Roman" w:hAnsi="Times New Roman" w:cs="Times New Roman"/>
        </w:rPr>
        <w:t xml:space="preserve"> (Fransız CMK m.</w:t>
      </w:r>
      <w:r w:rsidR="00E90AF0">
        <w:rPr>
          <w:rFonts w:ascii="Times New Roman" w:hAnsi="Times New Roman" w:cs="Times New Roman"/>
        </w:rPr>
        <w:t xml:space="preserve"> 524 </w:t>
      </w:r>
      <w:r w:rsidR="00FE596D">
        <w:rPr>
          <w:rFonts w:ascii="Times New Roman" w:hAnsi="Times New Roman" w:cs="Times New Roman"/>
        </w:rPr>
        <w:t xml:space="preserve">ila m. 528-2), </w:t>
      </w:r>
      <w:r w:rsidR="00C97D1F">
        <w:rPr>
          <w:rFonts w:ascii="Times New Roman" w:hAnsi="Times New Roman" w:cs="Times New Roman"/>
        </w:rPr>
        <w:t>daha sonra 2002 yılında belirli cünhalar bakımından da uygulanabilir hale getirilmiştir</w:t>
      </w:r>
      <w:r w:rsidR="00E90AF0">
        <w:rPr>
          <w:rFonts w:ascii="Times New Roman" w:hAnsi="Times New Roman" w:cs="Times New Roman"/>
        </w:rPr>
        <w:t xml:space="preserve"> (Fransız CMK m. 495 </w:t>
      </w:r>
      <w:r w:rsidR="00FE596D">
        <w:rPr>
          <w:rFonts w:ascii="Times New Roman" w:hAnsi="Times New Roman" w:cs="Times New Roman"/>
        </w:rPr>
        <w:t>ila m. 495-6</w:t>
      </w:r>
      <w:r w:rsidR="00E90AF0">
        <w:rPr>
          <w:rFonts w:ascii="Times New Roman" w:hAnsi="Times New Roman" w:cs="Times New Roman"/>
        </w:rPr>
        <w:t>)</w:t>
      </w:r>
      <w:r w:rsidR="005D140A">
        <w:rPr>
          <w:rStyle w:val="FootnoteReference"/>
          <w:rFonts w:ascii="Times New Roman" w:hAnsi="Times New Roman" w:cs="Times New Roman"/>
        </w:rPr>
        <w:footnoteReference w:id="30"/>
      </w:r>
      <w:r w:rsidR="00C97D1F">
        <w:rPr>
          <w:rFonts w:ascii="Times New Roman" w:hAnsi="Times New Roman" w:cs="Times New Roman"/>
        </w:rPr>
        <w:t>. Buna göre basit</w:t>
      </w:r>
      <w:r w:rsidR="00846C3D">
        <w:rPr>
          <w:rFonts w:ascii="Times New Roman" w:hAnsi="Times New Roman" w:cs="Times New Roman"/>
        </w:rPr>
        <w:t>leştirilmiş</w:t>
      </w:r>
      <w:r w:rsidR="00C97D1F">
        <w:rPr>
          <w:rFonts w:ascii="Times New Roman" w:hAnsi="Times New Roman" w:cs="Times New Roman"/>
        </w:rPr>
        <w:t xml:space="preserve"> </w:t>
      </w:r>
      <w:r w:rsidR="0051605B">
        <w:rPr>
          <w:rFonts w:ascii="Times New Roman" w:hAnsi="Times New Roman" w:cs="Times New Roman"/>
        </w:rPr>
        <w:t>muhakeme</w:t>
      </w:r>
      <w:r w:rsidR="00C97D1F">
        <w:rPr>
          <w:rFonts w:ascii="Times New Roman" w:hAnsi="Times New Roman" w:cs="Times New Roman"/>
        </w:rPr>
        <w:t xml:space="preserve"> usulü</w:t>
      </w:r>
      <w:r w:rsidR="00E90AF0">
        <w:rPr>
          <w:rFonts w:ascii="Times New Roman" w:hAnsi="Times New Roman" w:cs="Times New Roman"/>
        </w:rPr>
        <w:t xml:space="preserve">, bazı </w:t>
      </w:r>
      <w:r w:rsidR="005D140A">
        <w:rPr>
          <w:rFonts w:ascii="Times New Roman" w:hAnsi="Times New Roman" w:cs="Times New Roman"/>
        </w:rPr>
        <w:t xml:space="preserve">hafif </w:t>
      </w:r>
      <w:r w:rsidR="00E90AF0">
        <w:rPr>
          <w:rFonts w:ascii="Times New Roman" w:hAnsi="Times New Roman" w:cs="Times New Roman"/>
        </w:rPr>
        <w:t>suçların yargılamasında</w:t>
      </w:r>
      <w:r w:rsidR="005D140A">
        <w:rPr>
          <w:rFonts w:ascii="Times New Roman" w:hAnsi="Times New Roman" w:cs="Times New Roman"/>
        </w:rPr>
        <w:t xml:space="preserve"> belirli koşulların sağlanması halinde</w:t>
      </w:r>
      <w:r w:rsidR="000E5FFB">
        <w:rPr>
          <w:rFonts w:ascii="Times New Roman" w:hAnsi="Times New Roman" w:cs="Times New Roman"/>
        </w:rPr>
        <w:t>,</w:t>
      </w:r>
      <w:r w:rsidR="00E90AF0">
        <w:rPr>
          <w:rFonts w:ascii="Times New Roman" w:hAnsi="Times New Roman" w:cs="Times New Roman"/>
        </w:rPr>
        <w:t xml:space="preserve"> </w:t>
      </w:r>
      <w:r w:rsidR="001D6848">
        <w:rPr>
          <w:rFonts w:ascii="Times New Roman" w:hAnsi="Times New Roman" w:cs="Times New Roman"/>
        </w:rPr>
        <w:t>şüphelinin</w:t>
      </w:r>
      <w:r w:rsidR="00E90AF0">
        <w:rPr>
          <w:rFonts w:ascii="Times New Roman" w:hAnsi="Times New Roman" w:cs="Times New Roman"/>
        </w:rPr>
        <w:t xml:space="preserve"> mahkeme önüne çıkmadan </w:t>
      </w:r>
      <w:r w:rsidR="005D140A">
        <w:rPr>
          <w:rFonts w:ascii="Times New Roman" w:hAnsi="Times New Roman" w:cs="Times New Roman"/>
        </w:rPr>
        <w:t xml:space="preserve">savcılıkça belirlenen cezanın </w:t>
      </w:r>
      <w:r w:rsidR="00E90AF0">
        <w:rPr>
          <w:rFonts w:ascii="Times New Roman" w:hAnsi="Times New Roman" w:cs="Times New Roman"/>
        </w:rPr>
        <w:t xml:space="preserve">mahkemece duruşma yapılmaksızın </w:t>
      </w:r>
      <w:r w:rsidR="00B324C3">
        <w:rPr>
          <w:rFonts w:ascii="Times New Roman" w:hAnsi="Times New Roman" w:cs="Times New Roman"/>
        </w:rPr>
        <w:t>dosya üzerinden verilen</w:t>
      </w:r>
      <w:r w:rsidR="00E90AF0">
        <w:rPr>
          <w:rFonts w:ascii="Times New Roman" w:hAnsi="Times New Roman" w:cs="Times New Roman"/>
        </w:rPr>
        <w:t xml:space="preserve"> bir ceza kararnamesi ile hükme bağlanmasını öngörmektedir</w:t>
      </w:r>
      <w:r w:rsidR="005D140A">
        <w:rPr>
          <w:rStyle w:val="FootnoteReference"/>
          <w:rFonts w:ascii="Times New Roman" w:hAnsi="Times New Roman" w:cs="Times New Roman"/>
        </w:rPr>
        <w:footnoteReference w:id="31"/>
      </w:r>
      <w:r w:rsidR="00E90AF0">
        <w:rPr>
          <w:rFonts w:ascii="Times New Roman" w:hAnsi="Times New Roman" w:cs="Times New Roman"/>
        </w:rPr>
        <w:t xml:space="preserve">. </w:t>
      </w:r>
      <w:r w:rsidR="00D028B4">
        <w:rPr>
          <w:rFonts w:ascii="Times New Roman" w:hAnsi="Times New Roman" w:cs="Times New Roman"/>
        </w:rPr>
        <w:t xml:space="preserve">Çalışmanın konusunu oluşturan </w:t>
      </w:r>
      <w:r w:rsidR="003E720F">
        <w:rPr>
          <w:rFonts w:ascii="Times New Roman" w:hAnsi="Times New Roman" w:cs="Times New Roman"/>
        </w:rPr>
        <w:t xml:space="preserve">suçluluğun ön kabulü üzerine duruşma usulü </w:t>
      </w:r>
      <w:r w:rsidR="000E5FFB">
        <w:rPr>
          <w:rFonts w:ascii="Times New Roman" w:hAnsi="Times New Roman" w:cs="Times New Roman"/>
        </w:rPr>
        <w:t xml:space="preserve">ise </w:t>
      </w:r>
      <w:r w:rsidR="005D140A">
        <w:rPr>
          <w:rFonts w:ascii="Times New Roman" w:hAnsi="Times New Roman" w:cs="Times New Roman"/>
        </w:rPr>
        <w:t xml:space="preserve">2004 yılında </w:t>
      </w:r>
      <w:r w:rsidR="0010283C">
        <w:rPr>
          <w:rFonts w:ascii="Times New Roman" w:hAnsi="Times New Roman" w:cs="Times New Roman"/>
        </w:rPr>
        <w:t>hızlandırılmış ve basit</w:t>
      </w:r>
      <w:r w:rsidR="00846C3D">
        <w:rPr>
          <w:rFonts w:ascii="Times New Roman" w:hAnsi="Times New Roman" w:cs="Times New Roman"/>
        </w:rPr>
        <w:t>leştirilmiş</w:t>
      </w:r>
      <w:r w:rsidR="0010283C">
        <w:rPr>
          <w:rFonts w:ascii="Times New Roman" w:hAnsi="Times New Roman" w:cs="Times New Roman"/>
        </w:rPr>
        <w:t xml:space="preserve"> usuller arasına</w:t>
      </w:r>
      <w:r w:rsidR="005D140A">
        <w:rPr>
          <w:rFonts w:ascii="Times New Roman" w:hAnsi="Times New Roman" w:cs="Times New Roman"/>
        </w:rPr>
        <w:t xml:space="preserve"> eklenmiş olup, koşulları ve özellikleri devam eden bölümde ayrıca ele alınmıştır. </w:t>
      </w:r>
    </w:p>
    <w:p w14:paraId="215DB0E0" w14:textId="35E5244E" w:rsidR="0054388C" w:rsidRDefault="003C2E4D" w:rsidP="003447D4">
      <w:pPr>
        <w:pStyle w:val="Heading1"/>
      </w:pPr>
      <w:r>
        <w:t xml:space="preserve">II. </w:t>
      </w:r>
      <w:r w:rsidR="001B4C90" w:rsidRPr="00B1522F">
        <w:t xml:space="preserve">FRANSIZ CEZA MUHAKEMESİ HUKUKUNDA </w:t>
      </w:r>
      <w:r w:rsidR="001B4C90">
        <w:t>SUÇLULUĞUN ÖN KABULÜ ÜZERİNE DURUŞMA USULÜ</w:t>
      </w:r>
    </w:p>
    <w:p w14:paraId="7767AA8D" w14:textId="77777777" w:rsidR="001B4C90" w:rsidRDefault="001B4C90" w:rsidP="00353561">
      <w:pPr>
        <w:spacing w:line="360" w:lineRule="auto"/>
        <w:jc w:val="both"/>
        <w:rPr>
          <w:rFonts w:ascii="Times New Roman" w:hAnsi="Times New Roman" w:cs="Times New Roman"/>
          <w:b/>
        </w:rPr>
      </w:pPr>
    </w:p>
    <w:p w14:paraId="00E4A218" w14:textId="3B1B1BC1" w:rsidR="005A2366" w:rsidRDefault="001B4C90" w:rsidP="003A540D">
      <w:pPr>
        <w:pStyle w:val="Heading2"/>
      </w:pPr>
      <w:r>
        <w:t>A</w:t>
      </w:r>
      <w:r w:rsidR="0054388C">
        <w:t xml:space="preserve">. </w:t>
      </w:r>
      <w:r w:rsidR="00223E0E">
        <w:tab/>
      </w:r>
      <w:r w:rsidR="00B46DA3">
        <w:t>Tanımı</w:t>
      </w:r>
    </w:p>
    <w:p w14:paraId="351D354C" w14:textId="77777777" w:rsidR="003A540D" w:rsidRPr="003A540D" w:rsidRDefault="003A540D" w:rsidP="003A540D"/>
    <w:p w14:paraId="5B0F13A7" w14:textId="50F6D34D" w:rsidR="00B5702D" w:rsidRPr="00234442" w:rsidRDefault="00205EEA" w:rsidP="00082643">
      <w:pPr>
        <w:spacing w:line="360" w:lineRule="auto"/>
        <w:ind w:firstLine="720"/>
        <w:jc w:val="both"/>
        <w:rPr>
          <w:rFonts w:ascii="Times New Roman" w:hAnsi="Times New Roman" w:cs="Times New Roman"/>
        </w:rPr>
      </w:pPr>
      <w:r>
        <w:rPr>
          <w:rFonts w:ascii="Times New Roman" w:hAnsi="Times New Roman" w:cs="Times New Roman"/>
        </w:rPr>
        <w:t xml:space="preserve">Fransız hukukuna </w:t>
      </w:r>
      <w:r w:rsidR="003A540D">
        <w:rPr>
          <w:rFonts w:ascii="Times New Roman" w:hAnsi="Times New Roman" w:cs="Times New Roman"/>
        </w:rPr>
        <w:t>2004 yılında 2004-204 sayılı Kanun</w:t>
      </w:r>
      <w:r w:rsidR="003A540D">
        <w:rPr>
          <w:rStyle w:val="FootnoteReference"/>
          <w:rFonts w:ascii="Times New Roman" w:hAnsi="Times New Roman" w:cs="Times New Roman"/>
        </w:rPr>
        <w:footnoteReference w:id="32"/>
      </w:r>
      <w:r w:rsidR="003A540D">
        <w:rPr>
          <w:rFonts w:ascii="Times New Roman" w:hAnsi="Times New Roman" w:cs="Times New Roman"/>
        </w:rPr>
        <w:t xml:space="preserve"> ile getirilen </w:t>
      </w:r>
      <w:r w:rsidR="00B40601">
        <w:rPr>
          <w:rFonts w:ascii="Times New Roman" w:hAnsi="Times New Roman" w:cs="Times New Roman"/>
        </w:rPr>
        <w:t>“s</w:t>
      </w:r>
      <w:r w:rsidR="00BE7F23">
        <w:rPr>
          <w:rFonts w:ascii="Times New Roman" w:hAnsi="Times New Roman" w:cs="Times New Roman"/>
        </w:rPr>
        <w:t>uçluluğun ön kabulü üzerine duruşma” (</w:t>
      </w:r>
      <w:r w:rsidR="00BE7F23" w:rsidRPr="006737E1">
        <w:rPr>
          <w:rFonts w:ascii="Times New Roman" w:hAnsi="Times New Roman" w:cs="Times New Roman"/>
          <w:i/>
        </w:rPr>
        <w:t>Comparution sur Reconnaissance Préalable de la Culpabilité</w:t>
      </w:r>
      <w:r w:rsidR="00BE7F23">
        <w:rPr>
          <w:rFonts w:ascii="Times New Roman" w:hAnsi="Times New Roman" w:cs="Times New Roman"/>
        </w:rPr>
        <w:t>)</w:t>
      </w:r>
      <w:r w:rsidR="003A540D">
        <w:rPr>
          <w:rFonts w:ascii="Times New Roman" w:hAnsi="Times New Roman" w:cs="Times New Roman"/>
        </w:rPr>
        <w:t xml:space="preserve"> </w:t>
      </w:r>
      <w:r w:rsidR="00BE7F23">
        <w:rPr>
          <w:rFonts w:ascii="Times New Roman" w:hAnsi="Times New Roman" w:cs="Times New Roman"/>
        </w:rPr>
        <w:t>usulü, olağan kovuşturma usulünden farklı olarak savcılığın kovuşturmaya devam etmeye karar verirken faile suçunu ikrar etmesi karşılığında önerdiği cezanın mahkeme tarafından açılan kamu davasında onaylanarak kovuşturmanın tamamlanmasını öngörmektedir</w:t>
      </w:r>
      <w:r w:rsidR="00BE7F23">
        <w:rPr>
          <w:rStyle w:val="FootnoteReference"/>
          <w:rFonts w:ascii="Times New Roman" w:hAnsi="Times New Roman" w:cs="Times New Roman"/>
        </w:rPr>
        <w:footnoteReference w:id="33"/>
      </w:r>
      <w:r w:rsidR="003E720F">
        <w:rPr>
          <w:rFonts w:ascii="Times New Roman" w:hAnsi="Times New Roman" w:cs="Times New Roman"/>
        </w:rPr>
        <w:t xml:space="preserve">. </w:t>
      </w:r>
      <w:r w:rsidR="00082643">
        <w:rPr>
          <w:rFonts w:ascii="Times New Roman" w:hAnsi="Times New Roman" w:cs="Times New Roman"/>
        </w:rPr>
        <w:t>Bu kurum kaynağını başta Amerika Birleş</w:t>
      </w:r>
      <w:r w:rsidR="00985A2A">
        <w:rPr>
          <w:rFonts w:ascii="Times New Roman" w:hAnsi="Times New Roman" w:cs="Times New Roman"/>
        </w:rPr>
        <w:t>ik Devletleri olmak üzere Anglosakson</w:t>
      </w:r>
      <w:r w:rsidR="00082643">
        <w:rPr>
          <w:rFonts w:ascii="Times New Roman" w:hAnsi="Times New Roman" w:cs="Times New Roman"/>
        </w:rPr>
        <w:t xml:space="preserve"> hukuk sistemlerindeki cezalandırmada suçluluğun kabulüne dayalı bir pazarlık ve uzlaşmanın be</w:t>
      </w:r>
      <w:r w:rsidR="002925BF">
        <w:rPr>
          <w:rFonts w:ascii="Times New Roman" w:hAnsi="Times New Roman" w:cs="Times New Roman"/>
        </w:rPr>
        <w:t xml:space="preserve">nimsendiği kurumlardan almakta, bu doğrultuda bazı yazarlar tarafından iddia pazarlığı </w:t>
      </w:r>
      <w:r w:rsidR="00521618">
        <w:rPr>
          <w:rFonts w:ascii="Times New Roman" w:hAnsi="Times New Roman" w:cs="Times New Roman"/>
        </w:rPr>
        <w:t>(</w:t>
      </w:r>
      <w:r w:rsidR="00521618" w:rsidRPr="00521618">
        <w:rPr>
          <w:rFonts w:ascii="Times New Roman" w:hAnsi="Times New Roman" w:cs="Times New Roman"/>
          <w:i/>
        </w:rPr>
        <w:t>plaider-coupable</w:t>
      </w:r>
      <w:r w:rsidR="00521618">
        <w:rPr>
          <w:rFonts w:ascii="Times New Roman" w:hAnsi="Times New Roman" w:cs="Times New Roman"/>
        </w:rPr>
        <w:t xml:space="preserve">) </w:t>
      </w:r>
      <w:r w:rsidR="002925BF">
        <w:rPr>
          <w:rFonts w:ascii="Times New Roman" w:hAnsi="Times New Roman" w:cs="Times New Roman"/>
        </w:rPr>
        <w:t>olarak da adlandırılmaktadır</w:t>
      </w:r>
      <w:r w:rsidR="00082643">
        <w:rPr>
          <w:rStyle w:val="FootnoteReference"/>
          <w:rFonts w:ascii="Times New Roman" w:hAnsi="Times New Roman" w:cs="Times New Roman"/>
        </w:rPr>
        <w:footnoteReference w:id="34"/>
      </w:r>
      <w:r w:rsidR="00082643">
        <w:rPr>
          <w:rFonts w:ascii="Times New Roman" w:hAnsi="Times New Roman" w:cs="Times New Roman"/>
        </w:rPr>
        <w:t xml:space="preserve">. </w:t>
      </w:r>
      <w:r w:rsidR="00985A2A">
        <w:rPr>
          <w:rFonts w:ascii="Times New Roman" w:hAnsi="Times New Roman" w:cs="Times New Roman"/>
        </w:rPr>
        <w:t>Her ne kadar Anglosakson</w:t>
      </w:r>
      <w:r w:rsidR="00750BB6">
        <w:rPr>
          <w:rFonts w:ascii="Times New Roman" w:hAnsi="Times New Roman" w:cs="Times New Roman"/>
        </w:rPr>
        <w:t xml:space="preserve"> hukuk sistemindeki</w:t>
      </w:r>
      <w:r w:rsidR="00E752D3">
        <w:rPr>
          <w:rFonts w:ascii="Times New Roman" w:hAnsi="Times New Roman" w:cs="Times New Roman"/>
        </w:rPr>
        <w:t xml:space="preserve"> iddia pazarlığı </w:t>
      </w:r>
      <w:r w:rsidR="00E752D3" w:rsidRPr="00EA34EF">
        <w:rPr>
          <w:rFonts w:ascii="Times New Roman" w:hAnsi="Times New Roman" w:cs="Times New Roman"/>
          <w:i/>
        </w:rPr>
        <w:t>(plea-bargaining</w:t>
      </w:r>
      <w:r w:rsidR="00E752D3">
        <w:rPr>
          <w:rFonts w:ascii="Times New Roman" w:hAnsi="Times New Roman" w:cs="Times New Roman"/>
          <w:i/>
        </w:rPr>
        <w:t>)</w:t>
      </w:r>
      <w:r w:rsidR="00E752D3">
        <w:rPr>
          <w:rFonts w:ascii="Times New Roman" w:hAnsi="Times New Roman" w:cs="Times New Roman"/>
        </w:rPr>
        <w:t xml:space="preserve"> kurumuna benzetilse de,</w:t>
      </w:r>
      <w:r w:rsidR="00082643">
        <w:rPr>
          <w:rFonts w:ascii="Times New Roman" w:hAnsi="Times New Roman" w:cs="Times New Roman"/>
        </w:rPr>
        <w:t xml:space="preserve"> Fransız hukukundaki suçluluğun ön kabulü üzerine duruşma</w:t>
      </w:r>
      <w:r w:rsidR="00E752D3">
        <w:rPr>
          <w:rFonts w:ascii="Times New Roman" w:hAnsi="Times New Roman" w:cs="Times New Roman"/>
        </w:rPr>
        <w:t xml:space="preserve">, </w:t>
      </w:r>
      <w:r w:rsidR="000A2E0C">
        <w:rPr>
          <w:rFonts w:ascii="Times New Roman" w:hAnsi="Times New Roman" w:cs="Times New Roman"/>
        </w:rPr>
        <w:t xml:space="preserve">klasik </w:t>
      </w:r>
      <w:r w:rsidR="00E752D3">
        <w:rPr>
          <w:rFonts w:ascii="Times New Roman" w:hAnsi="Times New Roman" w:cs="Times New Roman"/>
        </w:rPr>
        <w:t xml:space="preserve">iddia pazarlığından </w:t>
      </w:r>
      <w:r w:rsidR="00082643">
        <w:rPr>
          <w:rFonts w:ascii="Times New Roman" w:hAnsi="Times New Roman" w:cs="Times New Roman"/>
        </w:rPr>
        <w:t>farklı şekilde düzenlenmiş, koşulları ve uygulama şekli Fransız hukukunun yapısına uyarlanarak kaleme alınmıştır</w:t>
      </w:r>
      <w:r w:rsidR="006617DF">
        <w:rPr>
          <w:rFonts w:ascii="Times New Roman" w:hAnsi="Times New Roman" w:cs="Times New Roman"/>
        </w:rPr>
        <w:t>.</w:t>
      </w:r>
      <w:r w:rsidR="00082643">
        <w:rPr>
          <w:rFonts w:ascii="Times New Roman" w:hAnsi="Times New Roman" w:cs="Times New Roman"/>
        </w:rPr>
        <w:t xml:space="preserve"> Bu doğrultuda öğretide </w:t>
      </w:r>
      <w:r w:rsidR="006617DF">
        <w:rPr>
          <w:rFonts w:ascii="Times New Roman" w:hAnsi="Times New Roman" w:cs="Times New Roman"/>
        </w:rPr>
        <w:t>bazı yazarlar tarafından bu usulün Fransız iddia pazarlığı olarak adlandırılmasına karşı çıkılmaktadır</w:t>
      </w:r>
      <w:r w:rsidR="006617DF">
        <w:rPr>
          <w:rStyle w:val="FootnoteReference"/>
          <w:rFonts w:ascii="Times New Roman" w:hAnsi="Times New Roman" w:cs="Times New Roman"/>
        </w:rPr>
        <w:footnoteReference w:id="35"/>
      </w:r>
      <w:r w:rsidR="006617DF">
        <w:rPr>
          <w:rFonts w:ascii="Times New Roman" w:hAnsi="Times New Roman" w:cs="Times New Roman"/>
        </w:rPr>
        <w:t xml:space="preserve">. </w:t>
      </w:r>
    </w:p>
    <w:p w14:paraId="16601D01" w14:textId="77777777" w:rsidR="003E720F" w:rsidRDefault="003E720F" w:rsidP="00B5702D">
      <w:pPr>
        <w:spacing w:line="360" w:lineRule="auto"/>
        <w:jc w:val="both"/>
        <w:rPr>
          <w:rFonts w:ascii="Times New Roman" w:hAnsi="Times New Roman" w:cs="Times New Roman"/>
        </w:rPr>
      </w:pPr>
    </w:p>
    <w:p w14:paraId="00457EA4" w14:textId="58FCA24F" w:rsidR="003E720F" w:rsidRDefault="003E720F" w:rsidP="005F0ED5">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Fransız hukuk öğretisinde </w:t>
      </w:r>
      <w:r w:rsidR="00214614">
        <w:rPr>
          <w:rFonts w:ascii="Times New Roman" w:hAnsi="Times New Roman" w:cs="Times New Roman"/>
        </w:rPr>
        <w:t>suçluluğun ön kabulü üzerine duruşma</w:t>
      </w:r>
      <w:r>
        <w:rPr>
          <w:rFonts w:ascii="Times New Roman" w:hAnsi="Times New Roman" w:cs="Times New Roman"/>
        </w:rPr>
        <w:t xml:space="preserve"> usulünün </w:t>
      </w:r>
      <w:r w:rsidR="00214614">
        <w:rPr>
          <w:rFonts w:ascii="Times New Roman" w:hAnsi="Times New Roman" w:cs="Times New Roman"/>
        </w:rPr>
        <w:t>düzenlenme şekli</w:t>
      </w:r>
      <w:r w:rsidR="00EA2A38">
        <w:rPr>
          <w:rFonts w:ascii="Times New Roman" w:hAnsi="Times New Roman" w:cs="Times New Roman"/>
        </w:rPr>
        <w:t>nin</w:t>
      </w:r>
      <w:r w:rsidR="00214614">
        <w:rPr>
          <w:rFonts w:ascii="Times New Roman" w:hAnsi="Times New Roman" w:cs="Times New Roman"/>
        </w:rPr>
        <w:t xml:space="preserve"> </w:t>
      </w:r>
      <w:r>
        <w:rPr>
          <w:rFonts w:ascii="Times New Roman" w:hAnsi="Times New Roman" w:cs="Times New Roman"/>
        </w:rPr>
        <w:t>iki</w:t>
      </w:r>
      <w:r w:rsidR="005F0ED5">
        <w:rPr>
          <w:rFonts w:ascii="Times New Roman" w:hAnsi="Times New Roman" w:cs="Times New Roman"/>
        </w:rPr>
        <w:t xml:space="preserve"> temel</w:t>
      </w:r>
      <w:r w:rsidR="00B40601">
        <w:rPr>
          <w:rFonts w:ascii="Times New Roman" w:hAnsi="Times New Roman" w:cs="Times New Roman"/>
        </w:rPr>
        <w:t xml:space="preserve"> amaca hizmet ettiği vurgulanmaktadır</w:t>
      </w:r>
      <w:r w:rsidR="00214614">
        <w:rPr>
          <w:rFonts w:ascii="Times New Roman" w:hAnsi="Times New Roman" w:cs="Times New Roman"/>
        </w:rPr>
        <w:t xml:space="preserve">. Bir yandan </w:t>
      </w:r>
      <w:r>
        <w:rPr>
          <w:rFonts w:ascii="Times New Roman" w:hAnsi="Times New Roman" w:cs="Times New Roman"/>
        </w:rPr>
        <w:t>ikrarın varlığına dayanan bu usul failin suçluluğu üzerindeki tartışma sürecini ortadan kaldırdığı için ya</w:t>
      </w:r>
      <w:r w:rsidR="00214614">
        <w:rPr>
          <w:rFonts w:ascii="Times New Roman" w:hAnsi="Times New Roman" w:cs="Times New Roman"/>
        </w:rPr>
        <w:t>rgılama süresinin kısaltılmasını</w:t>
      </w:r>
      <w:r>
        <w:rPr>
          <w:rFonts w:ascii="Times New Roman" w:hAnsi="Times New Roman" w:cs="Times New Roman"/>
        </w:rPr>
        <w:t xml:space="preserve">, diğer yandan eylemini önceden kabul eden fail </w:t>
      </w:r>
      <w:r w:rsidR="0060346A">
        <w:rPr>
          <w:rFonts w:ascii="Times New Roman" w:hAnsi="Times New Roman" w:cs="Times New Roman"/>
        </w:rPr>
        <w:t>eylemin cezai</w:t>
      </w:r>
      <w:r>
        <w:rPr>
          <w:rFonts w:ascii="Times New Roman" w:hAnsi="Times New Roman" w:cs="Times New Roman"/>
        </w:rPr>
        <w:t xml:space="preserve"> sonuçlarıyl</w:t>
      </w:r>
      <w:r w:rsidR="0060346A">
        <w:rPr>
          <w:rFonts w:ascii="Times New Roman" w:hAnsi="Times New Roman" w:cs="Times New Roman"/>
        </w:rPr>
        <w:t xml:space="preserve">a </w:t>
      </w:r>
      <w:r w:rsidR="00214614">
        <w:rPr>
          <w:rFonts w:ascii="Times New Roman" w:hAnsi="Times New Roman" w:cs="Times New Roman"/>
        </w:rPr>
        <w:t>kısa sürede karşılaştığı ve cezasında kanuni</w:t>
      </w:r>
      <w:r>
        <w:rPr>
          <w:rFonts w:ascii="Times New Roman" w:hAnsi="Times New Roman" w:cs="Times New Roman"/>
        </w:rPr>
        <w:t xml:space="preserve"> </w:t>
      </w:r>
      <w:r w:rsidR="0060346A">
        <w:rPr>
          <w:rFonts w:ascii="Times New Roman" w:hAnsi="Times New Roman" w:cs="Times New Roman"/>
        </w:rPr>
        <w:t>indirim</w:t>
      </w:r>
      <w:r>
        <w:rPr>
          <w:rFonts w:ascii="Times New Roman" w:hAnsi="Times New Roman" w:cs="Times New Roman"/>
        </w:rPr>
        <w:t xml:space="preserve"> </w:t>
      </w:r>
      <w:r w:rsidR="0060346A">
        <w:rPr>
          <w:rFonts w:ascii="Times New Roman" w:hAnsi="Times New Roman" w:cs="Times New Roman"/>
        </w:rPr>
        <w:t xml:space="preserve">yapılarak </w:t>
      </w:r>
      <w:r>
        <w:rPr>
          <w:rFonts w:ascii="Times New Roman" w:hAnsi="Times New Roman" w:cs="Times New Roman"/>
        </w:rPr>
        <w:t>cezaevinde uzun süre kalmaktan kurtulduğu için</w:t>
      </w:r>
      <w:r w:rsidR="0060346A">
        <w:rPr>
          <w:rFonts w:ascii="Times New Roman" w:hAnsi="Times New Roman" w:cs="Times New Roman"/>
        </w:rPr>
        <w:t>,</w:t>
      </w:r>
      <w:r>
        <w:rPr>
          <w:rFonts w:ascii="Times New Roman" w:hAnsi="Times New Roman" w:cs="Times New Roman"/>
        </w:rPr>
        <w:t xml:space="preserve"> suçlunun topluma yeniden</w:t>
      </w:r>
      <w:r>
        <w:rPr>
          <w:rFonts w:ascii="Times New Roman" w:hAnsi="Times New Roman" w:cs="Times New Roman"/>
          <w:b/>
        </w:rPr>
        <w:t xml:space="preserve"> </w:t>
      </w:r>
      <w:r w:rsidR="00214614">
        <w:rPr>
          <w:rFonts w:ascii="Times New Roman" w:hAnsi="Times New Roman" w:cs="Times New Roman"/>
        </w:rPr>
        <w:t>kazandırılmasını sağlamaktadır</w:t>
      </w:r>
      <w:r>
        <w:rPr>
          <w:rStyle w:val="FootnoteReference"/>
          <w:rFonts w:ascii="Times New Roman" w:hAnsi="Times New Roman" w:cs="Times New Roman"/>
        </w:rPr>
        <w:footnoteReference w:id="36"/>
      </w:r>
      <w:r>
        <w:rPr>
          <w:rFonts w:ascii="Times New Roman" w:hAnsi="Times New Roman" w:cs="Times New Roman"/>
        </w:rPr>
        <w:t xml:space="preserve">. Ayrıca bu usulde, failin suçluluğu gibi cezanın belirlenmesi de hakim önünde </w:t>
      </w:r>
      <w:r w:rsidR="005F0ED5">
        <w:rPr>
          <w:rFonts w:ascii="Times New Roman" w:hAnsi="Times New Roman" w:cs="Times New Roman"/>
        </w:rPr>
        <w:t>ayrıca tartışmaya açılmadığı içi</w:t>
      </w:r>
      <w:r>
        <w:rPr>
          <w:rFonts w:ascii="Times New Roman" w:hAnsi="Times New Roman" w:cs="Times New Roman"/>
        </w:rPr>
        <w:t>n</w:t>
      </w:r>
      <w:r w:rsidR="005F0ED5">
        <w:rPr>
          <w:rFonts w:ascii="Times New Roman" w:hAnsi="Times New Roman" w:cs="Times New Roman"/>
        </w:rPr>
        <w:t>, bu özelliğiyle de</w:t>
      </w:r>
      <w:r w:rsidR="00214614">
        <w:rPr>
          <w:rFonts w:ascii="Times New Roman" w:hAnsi="Times New Roman" w:cs="Times New Roman"/>
        </w:rPr>
        <w:t xml:space="preserve"> yargılama süres</w:t>
      </w:r>
      <w:r>
        <w:rPr>
          <w:rFonts w:ascii="Times New Roman" w:hAnsi="Times New Roman" w:cs="Times New Roman"/>
        </w:rPr>
        <w:t>inin kısaltılmasına hizmet etmektedir</w:t>
      </w:r>
      <w:r>
        <w:rPr>
          <w:rStyle w:val="FootnoteReference"/>
          <w:rFonts w:ascii="Times New Roman" w:hAnsi="Times New Roman" w:cs="Times New Roman"/>
        </w:rPr>
        <w:footnoteReference w:id="37"/>
      </w:r>
      <w:r>
        <w:rPr>
          <w:rFonts w:ascii="Times New Roman" w:hAnsi="Times New Roman" w:cs="Times New Roman"/>
        </w:rPr>
        <w:t xml:space="preserve">.  </w:t>
      </w:r>
    </w:p>
    <w:p w14:paraId="2B585AF3" w14:textId="77777777" w:rsidR="00F5524F" w:rsidRDefault="00F5524F" w:rsidP="00353561">
      <w:pPr>
        <w:spacing w:line="360" w:lineRule="auto"/>
        <w:jc w:val="both"/>
        <w:rPr>
          <w:rFonts w:ascii="Times New Roman" w:hAnsi="Times New Roman" w:cs="Times New Roman"/>
          <w:b/>
        </w:rPr>
      </w:pPr>
    </w:p>
    <w:p w14:paraId="225737DA" w14:textId="684764F6" w:rsidR="0054388C" w:rsidRDefault="0048595D" w:rsidP="003C2E4D">
      <w:pPr>
        <w:pStyle w:val="Heading2"/>
      </w:pPr>
      <w:r>
        <w:t>B</w:t>
      </w:r>
      <w:r w:rsidR="0054388C">
        <w:t>.</w:t>
      </w:r>
      <w:r>
        <w:tab/>
      </w:r>
      <w:r w:rsidR="0054388C">
        <w:t xml:space="preserve"> Koşulları</w:t>
      </w:r>
      <w:r w:rsidR="006C5E6F">
        <w:t xml:space="preserve"> </w:t>
      </w:r>
    </w:p>
    <w:p w14:paraId="2DEA00A3" w14:textId="77777777" w:rsidR="006C5E6F" w:rsidRDefault="006C5E6F" w:rsidP="00353561">
      <w:pPr>
        <w:spacing w:line="360" w:lineRule="auto"/>
        <w:jc w:val="both"/>
        <w:rPr>
          <w:rFonts w:ascii="Times New Roman" w:hAnsi="Times New Roman" w:cs="Times New Roman"/>
        </w:rPr>
      </w:pPr>
    </w:p>
    <w:p w14:paraId="042CF94B" w14:textId="5BF45722" w:rsidR="005F0ED5" w:rsidRDefault="006C5E6F" w:rsidP="00B034E1">
      <w:pPr>
        <w:spacing w:line="360" w:lineRule="auto"/>
        <w:ind w:firstLine="720"/>
        <w:jc w:val="both"/>
        <w:rPr>
          <w:rFonts w:ascii="Times New Roman" w:hAnsi="Times New Roman" w:cs="Times New Roman"/>
        </w:rPr>
      </w:pPr>
      <w:r>
        <w:rPr>
          <w:rFonts w:ascii="Times New Roman" w:hAnsi="Times New Roman" w:cs="Times New Roman"/>
        </w:rPr>
        <w:t xml:space="preserve">Suçluluğun ön kabulü üzerine duruşma usulünün uygulanabilmesi için </w:t>
      </w:r>
      <w:r w:rsidR="00AD4422">
        <w:rPr>
          <w:rFonts w:ascii="Times New Roman" w:hAnsi="Times New Roman" w:cs="Times New Roman"/>
        </w:rPr>
        <w:t>aranan ilk koşul</w:t>
      </w:r>
      <w:r w:rsidR="00AA4348">
        <w:rPr>
          <w:rFonts w:ascii="Times New Roman" w:hAnsi="Times New Roman" w:cs="Times New Roman"/>
        </w:rPr>
        <w:t>,</w:t>
      </w:r>
      <w:r>
        <w:rPr>
          <w:rFonts w:ascii="Times New Roman" w:hAnsi="Times New Roman" w:cs="Times New Roman"/>
        </w:rPr>
        <w:t xml:space="preserve"> </w:t>
      </w:r>
      <w:r w:rsidR="00B1236D">
        <w:rPr>
          <w:rFonts w:ascii="Times New Roman" w:hAnsi="Times New Roman" w:cs="Times New Roman"/>
        </w:rPr>
        <w:t xml:space="preserve">eylemin </w:t>
      </w:r>
      <w:r>
        <w:rPr>
          <w:rFonts w:ascii="Times New Roman" w:hAnsi="Times New Roman" w:cs="Times New Roman"/>
        </w:rPr>
        <w:t>bu usul kapsamındaki suçl</w:t>
      </w:r>
      <w:r w:rsidR="00AD4422">
        <w:rPr>
          <w:rFonts w:ascii="Times New Roman" w:hAnsi="Times New Roman" w:cs="Times New Roman"/>
        </w:rPr>
        <w:t xml:space="preserve">ardan </w:t>
      </w:r>
      <w:r w:rsidR="00B1236D">
        <w:rPr>
          <w:rFonts w:ascii="Times New Roman" w:hAnsi="Times New Roman" w:cs="Times New Roman"/>
        </w:rPr>
        <w:t>birine dahil</w:t>
      </w:r>
      <w:r w:rsidR="00AD4422">
        <w:rPr>
          <w:rFonts w:ascii="Times New Roman" w:hAnsi="Times New Roman" w:cs="Times New Roman"/>
        </w:rPr>
        <w:t xml:space="preserve"> olmasıdır. </w:t>
      </w:r>
      <w:r w:rsidR="00311695">
        <w:rPr>
          <w:rFonts w:ascii="Times New Roman" w:hAnsi="Times New Roman" w:cs="Times New Roman"/>
        </w:rPr>
        <w:t xml:space="preserve">Fransız hukukunda </w:t>
      </w:r>
      <w:r w:rsidR="00B034E1">
        <w:rPr>
          <w:rFonts w:ascii="Times New Roman" w:hAnsi="Times New Roman" w:cs="Times New Roman"/>
        </w:rPr>
        <w:t>bu usulün</w:t>
      </w:r>
      <w:r w:rsidR="00750BB6">
        <w:rPr>
          <w:rFonts w:ascii="Times New Roman" w:hAnsi="Times New Roman" w:cs="Times New Roman"/>
        </w:rPr>
        <w:t xml:space="preserve"> </w:t>
      </w:r>
      <w:r w:rsidR="00311695">
        <w:rPr>
          <w:rFonts w:ascii="Times New Roman" w:hAnsi="Times New Roman" w:cs="Times New Roman"/>
        </w:rPr>
        <w:t xml:space="preserve">yalnızca </w:t>
      </w:r>
      <w:r w:rsidR="00B1236D">
        <w:rPr>
          <w:rFonts w:ascii="Times New Roman" w:hAnsi="Times New Roman" w:cs="Times New Roman"/>
        </w:rPr>
        <w:t xml:space="preserve">kanunda gösterilen suçlar bakımından uygulanabileceği kabul edilmiştir. Buna göre bu usul yalnızca </w:t>
      </w:r>
      <w:r w:rsidR="00311695">
        <w:rPr>
          <w:rFonts w:ascii="Times New Roman" w:hAnsi="Times New Roman" w:cs="Times New Roman"/>
        </w:rPr>
        <w:t xml:space="preserve">cünha niteliğindeki suçlar bakımından </w:t>
      </w:r>
      <w:r w:rsidR="00B1236D">
        <w:rPr>
          <w:rFonts w:ascii="Times New Roman" w:hAnsi="Times New Roman" w:cs="Times New Roman"/>
        </w:rPr>
        <w:t>uygulanabilmekte,</w:t>
      </w:r>
      <w:r w:rsidR="00311695">
        <w:rPr>
          <w:rFonts w:ascii="Times New Roman" w:hAnsi="Times New Roman" w:cs="Times New Roman"/>
        </w:rPr>
        <w:t xml:space="preserve"> kapsamına cürüm ve kabahatler </w:t>
      </w:r>
      <w:r w:rsidR="00B1236D">
        <w:rPr>
          <w:rFonts w:ascii="Times New Roman" w:hAnsi="Times New Roman" w:cs="Times New Roman"/>
        </w:rPr>
        <w:t>dahil edilmemektedir</w:t>
      </w:r>
      <w:r w:rsidR="00311695">
        <w:rPr>
          <w:rStyle w:val="FootnoteReference"/>
          <w:rFonts w:ascii="Times New Roman" w:hAnsi="Times New Roman" w:cs="Times New Roman"/>
        </w:rPr>
        <w:footnoteReference w:id="38"/>
      </w:r>
      <w:r w:rsidR="007078FA">
        <w:rPr>
          <w:rFonts w:ascii="Times New Roman" w:hAnsi="Times New Roman" w:cs="Times New Roman"/>
        </w:rPr>
        <w:t>.</w:t>
      </w:r>
      <w:r w:rsidR="00311695">
        <w:rPr>
          <w:rFonts w:ascii="Times New Roman" w:hAnsi="Times New Roman" w:cs="Times New Roman"/>
        </w:rPr>
        <w:t xml:space="preserve"> Bu usu</w:t>
      </w:r>
      <w:r w:rsidR="00B1236D">
        <w:rPr>
          <w:rFonts w:ascii="Times New Roman" w:hAnsi="Times New Roman" w:cs="Times New Roman"/>
        </w:rPr>
        <w:t xml:space="preserve">lün uygulanabileceği </w:t>
      </w:r>
      <w:r w:rsidR="005F66EB">
        <w:rPr>
          <w:rFonts w:ascii="Times New Roman" w:hAnsi="Times New Roman" w:cs="Times New Roman"/>
        </w:rPr>
        <w:t xml:space="preserve">cünhalar da </w:t>
      </w:r>
      <w:r w:rsidR="00486142">
        <w:rPr>
          <w:rFonts w:ascii="Times New Roman" w:hAnsi="Times New Roman" w:cs="Times New Roman"/>
        </w:rPr>
        <w:t>Fransız CMK m. 495-7 ve m. 495-16’da</w:t>
      </w:r>
      <w:r w:rsidR="00B034E1">
        <w:rPr>
          <w:rFonts w:ascii="Times New Roman" w:hAnsi="Times New Roman" w:cs="Times New Roman"/>
        </w:rPr>
        <w:t xml:space="preserve"> </w:t>
      </w:r>
      <w:r w:rsidR="005F66EB">
        <w:rPr>
          <w:rFonts w:ascii="Times New Roman" w:hAnsi="Times New Roman" w:cs="Times New Roman"/>
        </w:rPr>
        <w:t>sınırlandırılmış</w:t>
      </w:r>
      <w:r w:rsidR="00B1236D">
        <w:rPr>
          <w:rFonts w:ascii="Times New Roman" w:hAnsi="Times New Roman" w:cs="Times New Roman"/>
        </w:rPr>
        <w:t xml:space="preserve">tır. Suçluluğun ön kabulü üzerine duruşma usulünün </w:t>
      </w:r>
      <w:r w:rsidR="005F0ED5">
        <w:rPr>
          <w:rFonts w:ascii="Times New Roman" w:hAnsi="Times New Roman" w:cs="Times New Roman"/>
        </w:rPr>
        <w:t>yürürlüğe ilk girdiği dönemde</w:t>
      </w:r>
      <w:r w:rsidR="002D0E87">
        <w:rPr>
          <w:rFonts w:ascii="Times New Roman" w:hAnsi="Times New Roman" w:cs="Times New Roman"/>
        </w:rPr>
        <w:t>,</w:t>
      </w:r>
      <w:r w:rsidR="005F0ED5">
        <w:rPr>
          <w:rFonts w:ascii="Times New Roman" w:hAnsi="Times New Roman" w:cs="Times New Roman"/>
        </w:rPr>
        <w:t xml:space="preserve"> </w:t>
      </w:r>
      <w:r w:rsidR="002D0E87">
        <w:rPr>
          <w:rFonts w:ascii="Times New Roman" w:hAnsi="Times New Roman" w:cs="Times New Roman"/>
        </w:rPr>
        <w:t xml:space="preserve">bu usulün </w:t>
      </w:r>
      <w:r w:rsidR="005F0ED5">
        <w:rPr>
          <w:rFonts w:ascii="Times New Roman" w:hAnsi="Times New Roman" w:cs="Times New Roman"/>
        </w:rPr>
        <w:t xml:space="preserve">yalnızca </w:t>
      </w:r>
      <w:r w:rsidR="002D0E87">
        <w:rPr>
          <w:rFonts w:ascii="Times New Roman" w:hAnsi="Times New Roman" w:cs="Times New Roman"/>
        </w:rPr>
        <w:t>“</w:t>
      </w:r>
      <w:r w:rsidR="005F0ED5">
        <w:rPr>
          <w:rFonts w:ascii="Times New Roman" w:hAnsi="Times New Roman" w:cs="Times New Roman"/>
        </w:rPr>
        <w:t xml:space="preserve">adli para cezasını gerektiren veya kanunda </w:t>
      </w:r>
      <w:r w:rsidR="002D0E87">
        <w:rPr>
          <w:rFonts w:ascii="Times New Roman" w:hAnsi="Times New Roman" w:cs="Times New Roman"/>
        </w:rPr>
        <w:t xml:space="preserve">beş yıl ya da daha az süreli hapis cezasının öngörüldüğü” </w:t>
      </w:r>
      <w:r w:rsidR="005F0ED5">
        <w:rPr>
          <w:rFonts w:ascii="Times New Roman" w:hAnsi="Times New Roman" w:cs="Times New Roman"/>
        </w:rPr>
        <w:t>cünhalar ba</w:t>
      </w:r>
      <w:r w:rsidR="005F66EB">
        <w:rPr>
          <w:rFonts w:ascii="Times New Roman" w:hAnsi="Times New Roman" w:cs="Times New Roman"/>
        </w:rPr>
        <w:t>kı</w:t>
      </w:r>
      <w:r w:rsidR="00B1236D">
        <w:rPr>
          <w:rFonts w:ascii="Times New Roman" w:hAnsi="Times New Roman" w:cs="Times New Roman"/>
        </w:rPr>
        <w:t>mından uygulanacağı belirtilerek genel bir yaptırım sınırı gösterilmiştir</w:t>
      </w:r>
      <w:r w:rsidR="005F66EB">
        <w:rPr>
          <w:rStyle w:val="FootnoteReference"/>
          <w:rFonts w:ascii="Times New Roman" w:hAnsi="Times New Roman" w:cs="Times New Roman"/>
        </w:rPr>
        <w:footnoteReference w:id="39"/>
      </w:r>
      <w:r w:rsidR="00311695">
        <w:rPr>
          <w:rFonts w:ascii="Times New Roman" w:hAnsi="Times New Roman" w:cs="Times New Roman"/>
        </w:rPr>
        <w:t xml:space="preserve">. Daha sonra </w:t>
      </w:r>
      <w:r w:rsidR="005F0ED5">
        <w:rPr>
          <w:rFonts w:ascii="Times New Roman" w:hAnsi="Times New Roman" w:cs="Times New Roman"/>
        </w:rPr>
        <w:t>2011 yılında çıkarılan Kanunla</w:t>
      </w:r>
      <w:r w:rsidR="005F0ED5">
        <w:rPr>
          <w:rStyle w:val="FootnoteReference"/>
          <w:rFonts w:ascii="Times New Roman" w:hAnsi="Times New Roman" w:cs="Times New Roman"/>
        </w:rPr>
        <w:footnoteReference w:id="40"/>
      </w:r>
      <w:r w:rsidR="005F0ED5">
        <w:rPr>
          <w:rFonts w:ascii="Times New Roman" w:hAnsi="Times New Roman" w:cs="Times New Roman"/>
        </w:rPr>
        <w:t xml:space="preserve"> </w:t>
      </w:r>
      <w:r w:rsidR="00B1236D">
        <w:rPr>
          <w:rFonts w:ascii="Times New Roman" w:hAnsi="Times New Roman" w:cs="Times New Roman"/>
        </w:rPr>
        <w:t>birlikte, bu usul Fransız CMK m. 495-7 ve m. 495-16’da sayılan birkaç istisna dışında tüm</w:t>
      </w:r>
      <w:r w:rsidR="005F0ED5">
        <w:rPr>
          <w:rFonts w:ascii="Times New Roman" w:hAnsi="Times New Roman" w:cs="Times New Roman"/>
        </w:rPr>
        <w:t xml:space="preserve"> cünhalar bakımından </w:t>
      </w:r>
      <w:r w:rsidR="005F66EB">
        <w:rPr>
          <w:rFonts w:ascii="Times New Roman" w:hAnsi="Times New Roman" w:cs="Times New Roman"/>
        </w:rPr>
        <w:t>uygulanabilir hale getirilmiş, uygulama kapsamı genişletilmiştir</w:t>
      </w:r>
      <w:r w:rsidR="005F0ED5">
        <w:rPr>
          <w:rFonts w:ascii="Times New Roman" w:hAnsi="Times New Roman" w:cs="Times New Roman"/>
        </w:rPr>
        <w:t xml:space="preserve">. </w:t>
      </w:r>
      <w:r w:rsidR="00B1236D">
        <w:rPr>
          <w:rFonts w:ascii="Times New Roman" w:hAnsi="Times New Roman" w:cs="Times New Roman"/>
        </w:rPr>
        <w:t>2018 yılında kurumun uygulama alanı m. 495-16’da yapılan bir değişiklikle</w:t>
      </w:r>
      <w:r w:rsidR="00B1236D">
        <w:rPr>
          <w:rStyle w:val="FootnoteReference"/>
          <w:rFonts w:ascii="Times New Roman" w:hAnsi="Times New Roman" w:cs="Times New Roman"/>
        </w:rPr>
        <w:footnoteReference w:id="41"/>
      </w:r>
      <w:r w:rsidR="00B1236D">
        <w:rPr>
          <w:rFonts w:ascii="Times New Roman" w:hAnsi="Times New Roman" w:cs="Times New Roman"/>
        </w:rPr>
        <w:t xml:space="preserve"> ikinci kez genişletilmiş ve </w:t>
      </w:r>
      <w:r w:rsidR="00486142">
        <w:rPr>
          <w:rFonts w:ascii="Times New Roman" w:hAnsi="Times New Roman" w:cs="Times New Roman"/>
        </w:rPr>
        <w:t xml:space="preserve">daha önce </w:t>
      </w:r>
      <w:r w:rsidR="00B1236D">
        <w:rPr>
          <w:rFonts w:ascii="Times New Roman" w:hAnsi="Times New Roman" w:cs="Times New Roman"/>
        </w:rPr>
        <w:t xml:space="preserve">uygulama kapsamının dışında bırakılmış olan “kovuşturma usulünün özel kanunla belirlendiği cünhalar” yeniden </w:t>
      </w:r>
      <w:r w:rsidR="00486142">
        <w:rPr>
          <w:rFonts w:ascii="Times New Roman" w:hAnsi="Times New Roman" w:cs="Times New Roman"/>
        </w:rPr>
        <w:t xml:space="preserve">bu usul </w:t>
      </w:r>
      <w:r w:rsidR="00B1236D">
        <w:rPr>
          <w:rFonts w:ascii="Times New Roman" w:hAnsi="Times New Roman" w:cs="Times New Roman"/>
        </w:rPr>
        <w:t>kapsam</w:t>
      </w:r>
      <w:r w:rsidR="002D0E87">
        <w:rPr>
          <w:rFonts w:ascii="Times New Roman" w:hAnsi="Times New Roman" w:cs="Times New Roman"/>
        </w:rPr>
        <w:t>ın</w:t>
      </w:r>
      <w:r w:rsidR="00B1236D">
        <w:rPr>
          <w:rFonts w:ascii="Times New Roman" w:hAnsi="Times New Roman" w:cs="Times New Roman"/>
        </w:rPr>
        <w:t xml:space="preserve">a alınmıştır. </w:t>
      </w:r>
      <w:r w:rsidR="00D45F5C">
        <w:rPr>
          <w:rFonts w:ascii="Times New Roman" w:hAnsi="Times New Roman" w:cs="Times New Roman"/>
        </w:rPr>
        <w:t>M</w:t>
      </w:r>
      <w:r w:rsidR="00486142">
        <w:rPr>
          <w:rFonts w:ascii="Times New Roman" w:hAnsi="Times New Roman" w:cs="Times New Roman"/>
        </w:rPr>
        <w:t xml:space="preserve">evcut </w:t>
      </w:r>
      <w:r w:rsidR="00D45F5C">
        <w:rPr>
          <w:rFonts w:ascii="Times New Roman" w:hAnsi="Times New Roman" w:cs="Times New Roman"/>
        </w:rPr>
        <w:t xml:space="preserve">son </w:t>
      </w:r>
      <w:r w:rsidR="00486142">
        <w:rPr>
          <w:rFonts w:ascii="Times New Roman" w:hAnsi="Times New Roman" w:cs="Times New Roman"/>
        </w:rPr>
        <w:t>haliyle suçluluğun ön kabulü üzerine duruşma usulünün kapsamı Fransız CMK</w:t>
      </w:r>
      <w:r w:rsidR="00B034E1">
        <w:rPr>
          <w:rFonts w:ascii="Times New Roman" w:hAnsi="Times New Roman" w:cs="Times New Roman"/>
        </w:rPr>
        <w:t xml:space="preserve"> m. 495-7’de belirtildiği üzere;</w:t>
      </w:r>
      <w:r w:rsidR="00486142">
        <w:rPr>
          <w:rFonts w:ascii="Times New Roman" w:hAnsi="Times New Roman" w:cs="Times New Roman"/>
        </w:rPr>
        <w:t xml:space="preserve"> m. 495-16’da sayılan basın suçları, kasıtsız öldürme suçu ve siyasal suçlar, beş yılın üzerinde hapis cezasını gerektiren kişilerin vücut bütünlüğüne karşı kasıtl</w:t>
      </w:r>
      <w:r w:rsidR="007431A0">
        <w:rPr>
          <w:rFonts w:ascii="Times New Roman" w:hAnsi="Times New Roman" w:cs="Times New Roman"/>
        </w:rPr>
        <w:t>ı ve kasıtsız saldırı suçları ile</w:t>
      </w:r>
      <w:r w:rsidR="00486142">
        <w:rPr>
          <w:rFonts w:ascii="Times New Roman" w:hAnsi="Times New Roman" w:cs="Times New Roman"/>
        </w:rPr>
        <w:t xml:space="preserve"> Fransız C</w:t>
      </w:r>
      <w:r w:rsidR="001A7BBE">
        <w:rPr>
          <w:rFonts w:ascii="Times New Roman" w:hAnsi="Times New Roman" w:cs="Times New Roman"/>
        </w:rPr>
        <w:t xml:space="preserve">eza </w:t>
      </w:r>
      <w:r w:rsidR="00486142">
        <w:rPr>
          <w:rFonts w:ascii="Times New Roman" w:hAnsi="Times New Roman" w:cs="Times New Roman"/>
        </w:rPr>
        <w:t>K</w:t>
      </w:r>
      <w:r w:rsidR="001A7BBE">
        <w:rPr>
          <w:rFonts w:ascii="Times New Roman" w:hAnsi="Times New Roman" w:cs="Times New Roman"/>
        </w:rPr>
        <w:t>anunu (Fransız CK)</w:t>
      </w:r>
      <w:r w:rsidR="00486142">
        <w:rPr>
          <w:rFonts w:ascii="Times New Roman" w:hAnsi="Times New Roman" w:cs="Times New Roman"/>
        </w:rPr>
        <w:t xml:space="preserve"> m. 222-9 ila m. 222-31-2 arasında düzenlenen cinsel saldırı suçları hariç olmak üzere tüm cünhalar olarak belirlenmiştir</w:t>
      </w:r>
      <w:r w:rsidR="00486142">
        <w:rPr>
          <w:rStyle w:val="FootnoteReference"/>
          <w:rFonts w:ascii="Times New Roman" w:hAnsi="Times New Roman" w:cs="Times New Roman"/>
        </w:rPr>
        <w:footnoteReference w:id="42"/>
      </w:r>
      <w:r w:rsidR="00486142">
        <w:rPr>
          <w:rFonts w:ascii="Times New Roman" w:hAnsi="Times New Roman" w:cs="Times New Roman"/>
        </w:rPr>
        <w:t>.</w:t>
      </w:r>
      <w:r w:rsidR="00F442D1">
        <w:rPr>
          <w:rFonts w:ascii="Times New Roman" w:hAnsi="Times New Roman" w:cs="Times New Roman"/>
        </w:rPr>
        <w:t xml:space="preserve"> </w:t>
      </w:r>
    </w:p>
    <w:p w14:paraId="675616F8" w14:textId="77777777" w:rsidR="005F0ED5" w:rsidRDefault="005F0ED5" w:rsidP="00353561">
      <w:pPr>
        <w:spacing w:line="360" w:lineRule="auto"/>
        <w:jc w:val="both"/>
        <w:rPr>
          <w:rFonts w:ascii="Times New Roman" w:hAnsi="Times New Roman" w:cs="Times New Roman"/>
        </w:rPr>
      </w:pPr>
    </w:p>
    <w:p w14:paraId="5DF7A83C" w14:textId="6F380FC4" w:rsidR="006C5E6F" w:rsidRDefault="007431A0" w:rsidP="00311695">
      <w:pPr>
        <w:spacing w:line="360" w:lineRule="auto"/>
        <w:ind w:firstLine="720"/>
        <w:jc w:val="both"/>
        <w:rPr>
          <w:rFonts w:ascii="Times New Roman" w:hAnsi="Times New Roman" w:cs="Times New Roman"/>
        </w:rPr>
      </w:pPr>
      <w:r>
        <w:rPr>
          <w:rFonts w:ascii="Times New Roman" w:hAnsi="Times New Roman" w:cs="Times New Roman"/>
        </w:rPr>
        <w:t>Görüldüğü üzere F</w:t>
      </w:r>
      <w:r w:rsidR="00486142">
        <w:rPr>
          <w:rFonts w:ascii="Times New Roman" w:hAnsi="Times New Roman" w:cs="Times New Roman"/>
        </w:rPr>
        <w:t>ransız hukukunda</w:t>
      </w:r>
      <w:r w:rsidR="000B0E65">
        <w:rPr>
          <w:rFonts w:ascii="Times New Roman" w:hAnsi="Times New Roman" w:cs="Times New Roman"/>
        </w:rPr>
        <w:t xml:space="preserve"> bu usulün uygulama kapsamı,</w:t>
      </w:r>
      <w:r w:rsidR="008D1D37">
        <w:rPr>
          <w:rFonts w:ascii="Times New Roman" w:hAnsi="Times New Roman" w:cs="Times New Roman"/>
        </w:rPr>
        <w:t xml:space="preserve"> hariç tutulan suç tiplerinin sayılması yöntemiyle gösterilmiştir. </w:t>
      </w:r>
      <w:r w:rsidR="009F7358">
        <w:rPr>
          <w:rFonts w:ascii="Times New Roman" w:hAnsi="Times New Roman" w:cs="Times New Roman"/>
        </w:rPr>
        <w:t xml:space="preserve">Bazı suçların </w:t>
      </w:r>
      <w:r w:rsidR="009008C5">
        <w:rPr>
          <w:rFonts w:ascii="Times New Roman" w:hAnsi="Times New Roman" w:cs="Times New Roman"/>
        </w:rPr>
        <w:t xml:space="preserve">bu şekilde </w:t>
      </w:r>
      <w:r w:rsidR="009F7358">
        <w:rPr>
          <w:rFonts w:ascii="Times New Roman" w:hAnsi="Times New Roman" w:cs="Times New Roman"/>
        </w:rPr>
        <w:t>s</w:t>
      </w:r>
      <w:r w:rsidR="00E70230">
        <w:rPr>
          <w:rFonts w:ascii="Times New Roman" w:hAnsi="Times New Roman" w:cs="Times New Roman"/>
        </w:rPr>
        <w:t xml:space="preserve">uçluluğun ön kabulü üzerine duruşma </w:t>
      </w:r>
      <w:r w:rsidR="009F7358">
        <w:rPr>
          <w:rFonts w:ascii="Times New Roman" w:hAnsi="Times New Roman" w:cs="Times New Roman"/>
        </w:rPr>
        <w:t>usulü kapsamı dışında bırakılmasını</w:t>
      </w:r>
      <w:r w:rsidR="00712C62">
        <w:rPr>
          <w:rFonts w:ascii="Times New Roman" w:hAnsi="Times New Roman" w:cs="Times New Roman"/>
        </w:rPr>
        <w:t>n nedeni, bu suçlara</w:t>
      </w:r>
      <w:r w:rsidR="009F7358">
        <w:rPr>
          <w:rFonts w:ascii="Times New Roman" w:hAnsi="Times New Roman" w:cs="Times New Roman"/>
        </w:rPr>
        <w:t xml:space="preserve"> konu </w:t>
      </w:r>
      <w:r w:rsidR="00712C62">
        <w:rPr>
          <w:rFonts w:ascii="Times New Roman" w:hAnsi="Times New Roman" w:cs="Times New Roman"/>
        </w:rPr>
        <w:t xml:space="preserve">olan </w:t>
      </w:r>
      <w:r w:rsidR="00E70230">
        <w:rPr>
          <w:rFonts w:ascii="Times New Roman" w:hAnsi="Times New Roman" w:cs="Times New Roman"/>
        </w:rPr>
        <w:t xml:space="preserve">eylemlerin </w:t>
      </w:r>
      <w:r w:rsidR="009F7358">
        <w:rPr>
          <w:rFonts w:ascii="Times New Roman" w:hAnsi="Times New Roman" w:cs="Times New Roman"/>
        </w:rPr>
        <w:t xml:space="preserve">yarattığı ihlalin </w:t>
      </w:r>
      <w:r w:rsidR="00E70230">
        <w:rPr>
          <w:rFonts w:ascii="Times New Roman" w:hAnsi="Times New Roman" w:cs="Times New Roman"/>
        </w:rPr>
        <w:t xml:space="preserve">ağırlığı ve </w:t>
      </w:r>
      <w:r w:rsidR="00486142">
        <w:rPr>
          <w:rFonts w:ascii="Times New Roman" w:hAnsi="Times New Roman" w:cs="Times New Roman"/>
        </w:rPr>
        <w:t xml:space="preserve">bu suçların karmaşık yapısının </w:t>
      </w:r>
      <w:r w:rsidR="00BF1BFC">
        <w:rPr>
          <w:rFonts w:ascii="Times New Roman" w:hAnsi="Times New Roman" w:cs="Times New Roman"/>
        </w:rPr>
        <w:t xml:space="preserve">araştırılması için </w:t>
      </w:r>
      <w:r w:rsidR="00E70230">
        <w:rPr>
          <w:rFonts w:ascii="Times New Roman" w:hAnsi="Times New Roman" w:cs="Times New Roman"/>
        </w:rPr>
        <w:t>hızlandırılmış bir usul</w:t>
      </w:r>
      <w:r w:rsidR="00BF1BFC">
        <w:rPr>
          <w:rFonts w:ascii="Times New Roman" w:hAnsi="Times New Roman" w:cs="Times New Roman"/>
        </w:rPr>
        <w:t xml:space="preserve">ün </w:t>
      </w:r>
      <w:r w:rsidR="00486142">
        <w:rPr>
          <w:rFonts w:ascii="Times New Roman" w:hAnsi="Times New Roman" w:cs="Times New Roman"/>
        </w:rPr>
        <w:t xml:space="preserve">yeterli olmayacağı ile </w:t>
      </w:r>
      <w:r w:rsidR="00712C62">
        <w:rPr>
          <w:rFonts w:ascii="Times New Roman" w:hAnsi="Times New Roman" w:cs="Times New Roman"/>
        </w:rPr>
        <w:t>açıklanmaktadır</w:t>
      </w:r>
      <w:r w:rsidR="009F7358">
        <w:rPr>
          <w:rStyle w:val="FootnoteReference"/>
          <w:rFonts w:ascii="Times New Roman" w:hAnsi="Times New Roman" w:cs="Times New Roman"/>
        </w:rPr>
        <w:footnoteReference w:id="43"/>
      </w:r>
      <w:r w:rsidR="00E70230">
        <w:rPr>
          <w:rFonts w:ascii="Times New Roman" w:hAnsi="Times New Roman" w:cs="Times New Roman"/>
        </w:rPr>
        <w:t xml:space="preserve">. </w:t>
      </w:r>
    </w:p>
    <w:p w14:paraId="09776BE7" w14:textId="77777777" w:rsidR="00234442" w:rsidRDefault="00234442" w:rsidP="00353561">
      <w:pPr>
        <w:spacing w:line="360" w:lineRule="auto"/>
        <w:jc w:val="both"/>
        <w:rPr>
          <w:rFonts w:ascii="Times New Roman" w:hAnsi="Times New Roman" w:cs="Times New Roman"/>
        </w:rPr>
      </w:pPr>
    </w:p>
    <w:p w14:paraId="31CBFA15" w14:textId="1AFF0E1A" w:rsidR="00E466AC" w:rsidRDefault="00234442" w:rsidP="00353561">
      <w:pPr>
        <w:spacing w:line="360" w:lineRule="auto"/>
        <w:jc w:val="both"/>
        <w:rPr>
          <w:rFonts w:ascii="Times New Roman" w:hAnsi="Times New Roman" w:cs="Times New Roman"/>
        </w:rPr>
      </w:pPr>
      <w:r>
        <w:rPr>
          <w:rFonts w:ascii="Times New Roman" w:hAnsi="Times New Roman" w:cs="Times New Roman"/>
        </w:rPr>
        <w:tab/>
        <w:t>İkinci koşul</w:t>
      </w:r>
      <w:r w:rsidR="002E506A">
        <w:rPr>
          <w:rFonts w:ascii="Times New Roman" w:hAnsi="Times New Roman" w:cs="Times New Roman"/>
        </w:rPr>
        <w:t>,</w:t>
      </w:r>
      <w:r>
        <w:rPr>
          <w:rFonts w:ascii="Times New Roman" w:hAnsi="Times New Roman" w:cs="Times New Roman"/>
        </w:rPr>
        <w:t xml:space="preserve"> şüphelinin </w:t>
      </w:r>
      <w:r w:rsidR="009008C5">
        <w:rPr>
          <w:rFonts w:ascii="Times New Roman" w:hAnsi="Times New Roman" w:cs="Times New Roman"/>
        </w:rPr>
        <w:t xml:space="preserve">kendisine isnat edilen </w:t>
      </w:r>
      <w:r>
        <w:rPr>
          <w:rFonts w:ascii="Times New Roman" w:hAnsi="Times New Roman" w:cs="Times New Roman"/>
        </w:rPr>
        <w:t>eylemleri kabul etmesi, üs</w:t>
      </w:r>
      <w:r w:rsidR="00E323EC">
        <w:rPr>
          <w:rFonts w:ascii="Times New Roman" w:hAnsi="Times New Roman" w:cs="Times New Roman"/>
        </w:rPr>
        <w:t>tlenmesidir (Fransız CMK m. 495-</w:t>
      </w:r>
      <w:r>
        <w:rPr>
          <w:rFonts w:ascii="Times New Roman" w:hAnsi="Times New Roman" w:cs="Times New Roman"/>
        </w:rPr>
        <w:t xml:space="preserve">7). </w:t>
      </w:r>
      <w:r w:rsidR="00712C62">
        <w:rPr>
          <w:rFonts w:ascii="Times New Roman" w:hAnsi="Times New Roman" w:cs="Times New Roman"/>
        </w:rPr>
        <w:t xml:space="preserve">Bu </w:t>
      </w:r>
      <w:r w:rsidR="00717E84">
        <w:rPr>
          <w:rFonts w:ascii="Times New Roman" w:hAnsi="Times New Roman" w:cs="Times New Roman"/>
        </w:rPr>
        <w:t>doğrultuda</w:t>
      </w:r>
      <w:r w:rsidR="00712C62">
        <w:rPr>
          <w:rFonts w:ascii="Times New Roman" w:hAnsi="Times New Roman" w:cs="Times New Roman"/>
        </w:rPr>
        <w:t xml:space="preserve"> ş</w:t>
      </w:r>
      <w:r w:rsidR="0053780D">
        <w:rPr>
          <w:rFonts w:ascii="Times New Roman" w:hAnsi="Times New Roman" w:cs="Times New Roman"/>
        </w:rPr>
        <w:t xml:space="preserve">üpheli </w:t>
      </w:r>
      <w:r w:rsidR="002E506A">
        <w:rPr>
          <w:rFonts w:ascii="Times New Roman" w:hAnsi="Times New Roman" w:cs="Times New Roman"/>
        </w:rPr>
        <w:t xml:space="preserve">hem </w:t>
      </w:r>
      <w:r w:rsidR="0053780D">
        <w:rPr>
          <w:rFonts w:ascii="Times New Roman" w:hAnsi="Times New Roman" w:cs="Times New Roman"/>
        </w:rPr>
        <w:t>savcılığın teklifinde</w:t>
      </w:r>
      <w:r w:rsidR="00712C62">
        <w:rPr>
          <w:rFonts w:ascii="Times New Roman" w:hAnsi="Times New Roman" w:cs="Times New Roman"/>
        </w:rPr>
        <w:t xml:space="preserve"> kendisine</w:t>
      </w:r>
      <w:r w:rsidR="0053780D">
        <w:rPr>
          <w:rFonts w:ascii="Times New Roman" w:hAnsi="Times New Roman" w:cs="Times New Roman"/>
        </w:rPr>
        <w:t xml:space="preserve"> isnat edilen eylemleri </w:t>
      </w:r>
      <w:r w:rsidR="002E506A">
        <w:rPr>
          <w:rFonts w:ascii="Times New Roman" w:hAnsi="Times New Roman" w:cs="Times New Roman"/>
        </w:rPr>
        <w:t>hem de</w:t>
      </w:r>
      <w:r w:rsidR="0053780D">
        <w:rPr>
          <w:rFonts w:ascii="Times New Roman" w:hAnsi="Times New Roman" w:cs="Times New Roman"/>
        </w:rPr>
        <w:t xml:space="preserve"> savcılığın eylemlere ilişkin hukuki nitelemesini kabul etmiş olur</w:t>
      </w:r>
      <w:r w:rsidR="0053780D">
        <w:rPr>
          <w:rStyle w:val="FootnoteReference"/>
          <w:rFonts w:ascii="Times New Roman" w:hAnsi="Times New Roman" w:cs="Times New Roman"/>
        </w:rPr>
        <w:footnoteReference w:id="44"/>
      </w:r>
      <w:r w:rsidR="0053780D">
        <w:rPr>
          <w:rFonts w:ascii="Times New Roman" w:hAnsi="Times New Roman" w:cs="Times New Roman"/>
        </w:rPr>
        <w:t xml:space="preserve">. </w:t>
      </w:r>
    </w:p>
    <w:p w14:paraId="45CCB690" w14:textId="77777777" w:rsidR="00F2597B" w:rsidRDefault="00F2597B" w:rsidP="00353561">
      <w:pPr>
        <w:spacing w:line="360" w:lineRule="auto"/>
        <w:jc w:val="both"/>
        <w:rPr>
          <w:rFonts w:ascii="Times New Roman" w:hAnsi="Times New Roman" w:cs="Times New Roman"/>
        </w:rPr>
      </w:pPr>
    </w:p>
    <w:p w14:paraId="05629C2D" w14:textId="664F3EC1" w:rsidR="00556EB2" w:rsidRPr="006C5E6F" w:rsidRDefault="00556EB2" w:rsidP="00353561">
      <w:pPr>
        <w:spacing w:line="360" w:lineRule="auto"/>
        <w:jc w:val="both"/>
        <w:rPr>
          <w:rFonts w:ascii="Times New Roman" w:hAnsi="Times New Roman" w:cs="Times New Roman"/>
        </w:rPr>
      </w:pPr>
      <w:r>
        <w:rPr>
          <w:rFonts w:ascii="Times New Roman" w:hAnsi="Times New Roman" w:cs="Times New Roman"/>
        </w:rPr>
        <w:tab/>
        <w:t>Üçüncü koşul failin on sekiz yaşını</w:t>
      </w:r>
      <w:r w:rsidR="00AC0D16">
        <w:rPr>
          <w:rFonts w:ascii="Times New Roman" w:hAnsi="Times New Roman" w:cs="Times New Roman"/>
        </w:rPr>
        <w:t xml:space="preserve"> doldurmuş olmasıdır. Bu usule on sekiz</w:t>
      </w:r>
      <w:r>
        <w:rPr>
          <w:rFonts w:ascii="Times New Roman" w:hAnsi="Times New Roman" w:cs="Times New Roman"/>
        </w:rPr>
        <w:t xml:space="preserve"> yaşını doldurmamış küçükler hakkında başvurulması kabul edilmemiştir (Fransız CMK m. 495-16). </w:t>
      </w:r>
      <w:r w:rsidR="00E323EC">
        <w:rPr>
          <w:rFonts w:ascii="Times New Roman" w:hAnsi="Times New Roman" w:cs="Times New Roman"/>
        </w:rPr>
        <w:t xml:space="preserve">Bu kuralın getirilme nedeni, bir yandan fiil ehliyeti olmayan küçüklerin isnat edilen eylemleri ve </w:t>
      </w:r>
      <w:r w:rsidR="009008C5">
        <w:rPr>
          <w:rFonts w:ascii="Times New Roman" w:hAnsi="Times New Roman" w:cs="Times New Roman"/>
        </w:rPr>
        <w:t xml:space="preserve">savcılığın </w:t>
      </w:r>
      <w:r w:rsidR="00E323EC">
        <w:rPr>
          <w:rFonts w:ascii="Times New Roman" w:hAnsi="Times New Roman" w:cs="Times New Roman"/>
        </w:rPr>
        <w:t>teklifi</w:t>
      </w:r>
      <w:r w:rsidR="009008C5">
        <w:rPr>
          <w:rFonts w:ascii="Times New Roman" w:hAnsi="Times New Roman" w:cs="Times New Roman"/>
        </w:rPr>
        <w:t>ni</w:t>
      </w:r>
      <w:r w:rsidR="00E323EC">
        <w:rPr>
          <w:rFonts w:ascii="Times New Roman" w:hAnsi="Times New Roman" w:cs="Times New Roman"/>
        </w:rPr>
        <w:t xml:space="preserve"> kabul </w:t>
      </w:r>
      <w:r w:rsidR="00AC0D16">
        <w:rPr>
          <w:rFonts w:ascii="Times New Roman" w:hAnsi="Times New Roman" w:cs="Times New Roman"/>
        </w:rPr>
        <w:t xml:space="preserve">etme </w:t>
      </w:r>
      <w:r w:rsidR="00E323EC">
        <w:rPr>
          <w:rFonts w:ascii="Times New Roman" w:hAnsi="Times New Roman" w:cs="Times New Roman"/>
        </w:rPr>
        <w:t>beyanının geçerliliğinin tartışmalı olması, diğer yandan küçükler hakkındaki yaptırımın belirlen</w:t>
      </w:r>
      <w:r w:rsidR="002E506A">
        <w:rPr>
          <w:rFonts w:ascii="Times New Roman" w:hAnsi="Times New Roman" w:cs="Times New Roman"/>
        </w:rPr>
        <w:t>ebil</w:t>
      </w:r>
      <w:r w:rsidR="00E323EC">
        <w:rPr>
          <w:rFonts w:ascii="Times New Roman" w:hAnsi="Times New Roman" w:cs="Times New Roman"/>
        </w:rPr>
        <w:t>mesi ve bireyselleşt</w:t>
      </w:r>
      <w:r w:rsidR="00AC0D16">
        <w:rPr>
          <w:rFonts w:ascii="Times New Roman" w:hAnsi="Times New Roman" w:cs="Times New Roman"/>
        </w:rPr>
        <w:t>iril</w:t>
      </w:r>
      <w:r w:rsidR="002E506A">
        <w:rPr>
          <w:rFonts w:ascii="Times New Roman" w:hAnsi="Times New Roman" w:cs="Times New Roman"/>
        </w:rPr>
        <w:t>ebil</w:t>
      </w:r>
      <w:r w:rsidR="00AC0D16">
        <w:rPr>
          <w:rFonts w:ascii="Times New Roman" w:hAnsi="Times New Roman" w:cs="Times New Roman"/>
        </w:rPr>
        <w:t>mesi için</w:t>
      </w:r>
      <w:r w:rsidR="002E506A">
        <w:rPr>
          <w:rFonts w:ascii="Times New Roman" w:hAnsi="Times New Roman" w:cs="Times New Roman"/>
        </w:rPr>
        <w:t>,</w:t>
      </w:r>
      <w:r w:rsidR="00AC0D16">
        <w:rPr>
          <w:rFonts w:ascii="Times New Roman" w:hAnsi="Times New Roman" w:cs="Times New Roman"/>
        </w:rPr>
        <w:t xml:space="preserve"> hızlandırılmış</w:t>
      </w:r>
      <w:r w:rsidR="00E323EC">
        <w:rPr>
          <w:rFonts w:ascii="Times New Roman" w:hAnsi="Times New Roman" w:cs="Times New Roman"/>
        </w:rPr>
        <w:t xml:space="preserve"> usulün yapısına uygun düşmeyen kapsamlı bir araştırma</w:t>
      </w:r>
      <w:r w:rsidR="009008C5">
        <w:rPr>
          <w:rFonts w:ascii="Times New Roman" w:hAnsi="Times New Roman" w:cs="Times New Roman"/>
        </w:rPr>
        <w:t>nın gerek</w:t>
      </w:r>
      <w:r w:rsidR="00E323EC">
        <w:rPr>
          <w:rFonts w:ascii="Times New Roman" w:hAnsi="Times New Roman" w:cs="Times New Roman"/>
        </w:rPr>
        <w:t>mesi olarak açıklanmaktadır</w:t>
      </w:r>
      <w:r w:rsidR="00E323EC">
        <w:rPr>
          <w:rStyle w:val="FootnoteReference"/>
          <w:rFonts w:ascii="Times New Roman" w:hAnsi="Times New Roman" w:cs="Times New Roman"/>
        </w:rPr>
        <w:footnoteReference w:id="45"/>
      </w:r>
      <w:r w:rsidR="00E323EC">
        <w:rPr>
          <w:rFonts w:ascii="Times New Roman" w:hAnsi="Times New Roman" w:cs="Times New Roman"/>
        </w:rPr>
        <w:t xml:space="preserve">. </w:t>
      </w:r>
    </w:p>
    <w:p w14:paraId="4DB2C335" w14:textId="77777777" w:rsidR="006C5E6F" w:rsidRDefault="006C5E6F" w:rsidP="00353561">
      <w:pPr>
        <w:spacing w:line="360" w:lineRule="auto"/>
        <w:jc w:val="both"/>
        <w:rPr>
          <w:rFonts w:ascii="Times New Roman" w:hAnsi="Times New Roman" w:cs="Times New Roman"/>
          <w:b/>
        </w:rPr>
      </w:pPr>
    </w:p>
    <w:p w14:paraId="1A3CEDCE" w14:textId="19A97C32" w:rsidR="0054388C" w:rsidRDefault="002965B8" w:rsidP="003C2E4D">
      <w:pPr>
        <w:pStyle w:val="Heading2"/>
      </w:pPr>
      <w:r>
        <w:t>C</w:t>
      </w:r>
      <w:r w:rsidR="0054388C">
        <w:t xml:space="preserve">. </w:t>
      </w:r>
      <w:r>
        <w:tab/>
        <w:t>Uygulanma Usulü</w:t>
      </w:r>
    </w:p>
    <w:p w14:paraId="19F889AB" w14:textId="77777777" w:rsidR="0054388C" w:rsidRDefault="0054388C" w:rsidP="00353561">
      <w:pPr>
        <w:spacing w:line="360" w:lineRule="auto"/>
        <w:jc w:val="both"/>
        <w:rPr>
          <w:rFonts w:ascii="Times New Roman" w:hAnsi="Times New Roman" w:cs="Times New Roman"/>
          <w:b/>
        </w:rPr>
      </w:pPr>
    </w:p>
    <w:p w14:paraId="1541E148" w14:textId="797D23F8" w:rsidR="00234442" w:rsidRDefault="00E80546" w:rsidP="00CE2530">
      <w:pPr>
        <w:spacing w:line="360" w:lineRule="auto"/>
        <w:ind w:firstLine="720"/>
        <w:jc w:val="both"/>
        <w:rPr>
          <w:rFonts w:ascii="Times New Roman" w:hAnsi="Times New Roman" w:cs="Times New Roman"/>
        </w:rPr>
      </w:pPr>
      <w:r>
        <w:rPr>
          <w:rFonts w:ascii="Times New Roman" w:hAnsi="Times New Roman" w:cs="Times New Roman"/>
        </w:rPr>
        <w:t xml:space="preserve">Suçluluğun ön kabulü üzerine duruşma </w:t>
      </w:r>
      <w:r w:rsidR="00234442">
        <w:rPr>
          <w:rFonts w:ascii="Times New Roman" w:hAnsi="Times New Roman" w:cs="Times New Roman"/>
        </w:rPr>
        <w:t xml:space="preserve">ihtiyari olarak başvurulan bir usuldür. Cumhuriyet savcısı re’sen veya </w:t>
      </w:r>
      <w:r w:rsidR="006D2DCA">
        <w:rPr>
          <w:rFonts w:ascii="Times New Roman" w:hAnsi="Times New Roman" w:cs="Times New Roman"/>
        </w:rPr>
        <w:t>şüpheli</w:t>
      </w:r>
      <w:r w:rsidR="00234442">
        <w:rPr>
          <w:rFonts w:ascii="Times New Roman" w:hAnsi="Times New Roman" w:cs="Times New Roman"/>
        </w:rPr>
        <w:t xml:space="preserve"> ya da </w:t>
      </w:r>
      <w:r w:rsidR="00960CBC">
        <w:rPr>
          <w:rFonts w:ascii="Times New Roman" w:hAnsi="Times New Roman" w:cs="Times New Roman"/>
        </w:rPr>
        <w:t xml:space="preserve">onun </w:t>
      </w:r>
      <w:r w:rsidR="002E384A">
        <w:rPr>
          <w:rFonts w:ascii="Times New Roman" w:hAnsi="Times New Roman" w:cs="Times New Roman"/>
        </w:rPr>
        <w:t>müdafiinin</w:t>
      </w:r>
      <w:r w:rsidR="00234442">
        <w:rPr>
          <w:rFonts w:ascii="Times New Roman" w:hAnsi="Times New Roman" w:cs="Times New Roman"/>
        </w:rPr>
        <w:t xml:space="preserve"> talebi üzerine </w:t>
      </w:r>
      <w:r w:rsidR="00960CBC">
        <w:rPr>
          <w:rFonts w:ascii="Times New Roman" w:hAnsi="Times New Roman" w:cs="Times New Roman"/>
        </w:rPr>
        <w:t>bu usule</w:t>
      </w:r>
      <w:r w:rsidR="00234442">
        <w:rPr>
          <w:rFonts w:ascii="Times New Roman" w:hAnsi="Times New Roman" w:cs="Times New Roman"/>
        </w:rPr>
        <w:t xml:space="preserve"> </w:t>
      </w:r>
      <w:r w:rsidR="00960CBC">
        <w:rPr>
          <w:rFonts w:ascii="Times New Roman" w:hAnsi="Times New Roman" w:cs="Times New Roman"/>
        </w:rPr>
        <w:t>başvurmaya</w:t>
      </w:r>
      <w:r w:rsidR="00234442">
        <w:rPr>
          <w:rFonts w:ascii="Times New Roman" w:hAnsi="Times New Roman" w:cs="Times New Roman"/>
        </w:rPr>
        <w:t xml:space="preserve"> </w:t>
      </w:r>
      <w:r w:rsidR="00CE7627">
        <w:rPr>
          <w:rFonts w:ascii="Times New Roman" w:hAnsi="Times New Roman" w:cs="Times New Roman"/>
        </w:rPr>
        <w:t>“</w:t>
      </w:r>
      <w:r w:rsidR="00234442">
        <w:rPr>
          <w:rFonts w:ascii="Times New Roman" w:hAnsi="Times New Roman" w:cs="Times New Roman"/>
        </w:rPr>
        <w:t>karar verebilir</w:t>
      </w:r>
      <w:r w:rsidR="00CE7627">
        <w:rPr>
          <w:rFonts w:ascii="Times New Roman" w:hAnsi="Times New Roman" w:cs="Times New Roman"/>
        </w:rPr>
        <w:t>”</w:t>
      </w:r>
      <w:r w:rsidR="00234442">
        <w:rPr>
          <w:rFonts w:ascii="Times New Roman" w:hAnsi="Times New Roman" w:cs="Times New Roman"/>
        </w:rPr>
        <w:t xml:space="preserve"> (Fransız CMK m. 495-7). Burada takdir yetkisi savcıya ait olup, savcı üst başlıkta belirtilen koşulların oluşup oluşmadığını </w:t>
      </w:r>
      <w:r w:rsidR="009A3CB6">
        <w:rPr>
          <w:rFonts w:ascii="Times New Roman" w:hAnsi="Times New Roman" w:cs="Times New Roman"/>
        </w:rPr>
        <w:t xml:space="preserve">(failin isnat edilen eylemleri üstlenip üstlenmediği, ceza üst sınırları vb.) </w:t>
      </w:r>
      <w:r w:rsidR="00234442">
        <w:rPr>
          <w:rFonts w:ascii="Times New Roman" w:hAnsi="Times New Roman" w:cs="Times New Roman"/>
        </w:rPr>
        <w:t>gözeterek yerinde görmesi halinde bu usule başvurabilir</w:t>
      </w:r>
      <w:r w:rsidR="007929EA">
        <w:rPr>
          <w:rStyle w:val="FootnoteReference"/>
          <w:rFonts w:ascii="Times New Roman" w:hAnsi="Times New Roman" w:cs="Times New Roman"/>
        </w:rPr>
        <w:footnoteReference w:id="46"/>
      </w:r>
      <w:r w:rsidR="00234442">
        <w:rPr>
          <w:rFonts w:ascii="Times New Roman" w:hAnsi="Times New Roman" w:cs="Times New Roman"/>
        </w:rPr>
        <w:t xml:space="preserve">. </w:t>
      </w:r>
      <w:r w:rsidR="00A078FA">
        <w:rPr>
          <w:rFonts w:ascii="Times New Roman" w:hAnsi="Times New Roman" w:cs="Times New Roman"/>
        </w:rPr>
        <w:t xml:space="preserve">Savcının bu usule başvurmaya karar vermiş olması aynı zamanda olağan usulde kovuşturmayı başlatmasına engel değildir. Savcı faile </w:t>
      </w:r>
      <w:r w:rsidR="00960CBC">
        <w:rPr>
          <w:rFonts w:ascii="Times New Roman" w:hAnsi="Times New Roman" w:cs="Times New Roman"/>
        </w:rPr>
        <w:t>suçluluğun ön kabulü üzerine duruşma</w:t>
      </w:r>
      <w:r w:rsidR="00A078FA">
        <w:rPr>
          <w:rFonts w:ascii="Times New Roman" w:hAnsi="Times New Roman" w:cs="Times New Roman"/>
        </w:rPr>
        <w:t xml:space="preserve"> usulü kapsamında teklifini sunarken diğer yand</w:t>
      </w:r>
      <w:r w:rsidR="00862E57">
        <w:rPr>
          <w:rFonts w:ascii="Times New Roman" w:hAnsi="Times New Roman" w:cs="Times New Roman"/>
        </w:rPr>
        <w:t>an teklifin kabul e</w:t>
      </w:r>
      <w:r w:rsidR="00A078FA">
        <w:rPr>
          <w:rFonts w:ascii="Times New Roman" w:hAnsi="Times New Roman" w:cs="Times New Roman"/>
        </w:rPr>
        <w:t xml:space="preserve">dilmemesi veya kabul edilen teklifin hakim tarafından onaylanmaması </w:t>
      </w:r>
      <w:r w:rsidR="00960CBC">
        <w:rPr>
          <w:rFonts w:ascii="Times New Roman" w:hAnsi="Times New Roman" w:cs="Times New Roman"/>
        </w:rPr>
        <w:t>ihtimalinde</w:t>
      </w:r>
      <w:r w:rsidR="00A078FA">
        <w:rPr>
          <w:rFonts w:ascii="Times New Roman" w:hAnsi="Times New Roman" w:cs="Times New Roman"/>
        </w:rPr>
        <w:t xml:space="preserve"> olağan usulde kamu davası açılarak y</w:t>
      </w:r>
      <w:r w:rsidR="00BC7DF5">
        <w:rPr>
          <w:rFonts w:ascii="Times New Roman" w:hAnsi="Times New Roman" w:cs="Times New Roman"/>
        </w:rPr>
        <w:t>argılamaya devam edilebilmesi için olağan</w:t>
      </w:r>
      <w:r w:rsidR="00A93A48">
        <w:rPr>
          <w:rFonts w:ascii="Times New Roman" w:hAnsi="Times New Roman" w:cs="Times New Roman"/>
        </w:rPr>
        <w:t xml:space="preserve"> kovuşturma sürecini de başlatır</w:t>
      </w:r>
      <w:r w:rsidR="00A078FA">
        <w:rPr>
          <w:rFonts w:ascii="Times New Roman" w:hAnsi="Times New Roman" w:cs="Times New Roman"/>
        </w:rPr>
        <w:t xml:space="preserve"> (Fransız CMK m. 495-15-1). Bu imkan ile </w:t>
      </w:r>
      <w:r w:rsidR="00A93A48">
        <w:rPr>
          <w:rFonts w:ascii="Times New Roman" w:hAnsi="Times New Roman" w:cs="Times New Roman"/>
        </w:rPr>
        <w:t xml:space="preserve">bir yandan da </w:t>
      </w:r>
      <w:r w:rsidR="00A078FA">
        <w:rPr>
          <w:rFonts w:ascii="Times New Roman" w:hAnsi="Times New Roman" w:cs="Times New Roman"/>
        </w:rPr>
        <w:t>faile savc</w:t>
      </w:r>
      <w:r w:rsidR="00A93A48">
        <w:rPr>
          <w:rFonts w:ascii="Times New Roman" w:hAnsi="Times New Roman" w:cs="Times New Roman"/>
        </w:rPr>
        <w:t xml:space="preserve">ılığın teklifini kabul etmemesi halinde </w:t>
      </w:r>
      <w:r w:rsidR="00A078FA">
        <w:rPr>
          <w:rFonts w:ascii="Times New Roman" w:hAnsi="Times New Roman" w:cs="Times New Roman"/>
        </w:rPr>
        <w:t xml:space="preserve">hakkında </w:t>
      </w:r>
      <w:r w:rsidR="00A93A48">
        <w:rPr>
          <w:rFonts w:ascii="Times New Roman" w:hAnsi="Times New Roman" w:cs="Times New Roman"/>
        </w:rPr>
        <w:t xml:space="preserve">hala </w:t>
      </w:r>
      <w:r w:rsidR="00A078FA">
        <w:rPr>
          <w:rFonts w:ascii="Times New Roman" w:hAnsi="Times New Roman" w:cs="Times New Roman"/>
        </w:rPr>
        <w:t>kamu davası açılabileceği hatırlatılmış olur</w:t>
      </w:r>
      <w:r w:rsidR="00A078FA">
        <w:rPr>
          <w:rStyle w:val="FootnoteReference"/>
          <w:rFonts w:ascii="Times New Roman" w:hAnsi="Times New Roman" w:cs="Times New Roman"/>
        </w:rPr>
        <w:footnoteReference w:id="47"/>
      </w:r>
      <w:r w:rsidR="00A078FA">
        <w:rPr>
          <w:rFonts w:ascii="Times New Roman" w:hAnsi="Times New Roman" w:cs="Times New Roman"/>
        </w:rPr>
        <w:t xml:space="preserve">. </w:t>
      </w:r>
    </w:p>
    <w:p w14:paraId="510E10F7" w14:textId="77777777" w:rsidR="00A078FA" w:rsidRDefault="00A078FA" w:rsidP="00CE2530">
      <w:pPr>
        <w:spacing w:line="360" w:lineRule="auto"/>
        <w:ind w:firstLine="720"/>
        <w:jc w:val="both"/>
        <w:rPr>
          <w:rFonts w:ascii="Times New Roman" w:hAnsi="Times New Roman" w:cs="Times New Roman"/>
        </w:rPr>
      </w:pPr>
    </w:p>
    <w:p w14:paraId="21CD2DA1" w14:textId="530DFAD9" w:rsidR="00234442" w:rsidRDefault="00A078FA" w:rsidP="00985B0C">
      <w:pPr>
        <w:spacing w:line="360" w:lineRule="auto"/>
        <w:ind w:firstLine="720"/>
        <w:jc w:val="both"/>
        <w:rPr>
          <w:rFonts w:ascii="Times New Roman" w:hAnsi="Times New Roman" w:cs="Times New Roman"/>
        </w:rPr>
      </w:pPr>
      <w:r>
        <w:rPr>
          <w:rFonts w:ascii="Times New Roman" w:hAnsi="Times New Roman" w:cs="Times New Roman"/>
        </w:rPr>
        <w:t xml:space="preserve">Bu usule başvurulmasının bir istisnai yolu da soruşturma hakiminin tüm tarafların rızasını alarak soruşturmayı sonlandırması ve dosyayı </w:t>
      </w:r>
      <w:r w:rsidR="00CC5616">
        <w:rPr>
          <w:rFonts w:ascii="Times New Roman" w:hAnsi="Times New Roman" w:cs="Times New Roman"/>
        </w:rPr>
        <w:t>suçluluğun ön kabulü üzerine duruşma</w:t>
      </w:r>
      <w:r w:rsidR="00862E57">
        <w:rPr>
          <w:rFonts w:ascii="Times New Roman" w:hAnsi="Times New Roman" w:cs="Times New Roman"/>
        </w:rPr>
        <w:t xml:space="preserve"> usulüyle </w:t>
      </w:r>
      <w:r>
        <w:rPr>
          <w:rFonts w:ascii="Times New Roman" w:hAnsi="Times New Roman" w:cs="Times New Roman"/>
        </w:rPr>
        <w:t xml:space="preserve">kovuşturmaya </w:t>
      </w:r>
      <w:r w:rsidR="00862E57">
        <w:rPr>
          <w:rFonts w:ascii="Times New Roman" w:hAnsi="Times New Roman" w:cs="Times New Roman"/>
        </w:rPr>
        <w:t>devam edilebilmesi amacıyla</w:t>
      </w:r>
      <w:r>
        <w:rPr>
          <w:rFonts w:ascii="Times New Roman" w:hAnsi="Times New Roman" w:cs="Times New Roman"/>
        </w:rPr>
        <w:t xml:space="preserve"> savcılığa göndermesidir (Fransız CMK m. 180-1)</w:t>
      </w:r>
      <w:r w:rsidR="00862E57">
        <w:rPr>
          <w:rStyle w:val="FootnoteReference"/>
          <w:rFonts w:ascii="Times New Roman" w:hAnsi="Times New Roman" w:cs="Times New Roman"/>
        </w:rPr>
        <w:footnoteReference w:id="48"/>
      </w:r>
      <w:r>
        <w:rPr>
          <w:rFonts w:ascii="Times New Roman" w:hAnsi="Times New Roman" w:cs="Times New Roman"/>
        </w:rPr>
        <w:t xml:space="preserve">. </w:t>
      </w:r>
    </w:p>
    <w:p w14:paraId="77CD1D5D" w14:textId="77777777" w:rsidR="000B4DF2" w:rsidRDefault="000B4DF2" w:rsidP="00985B0C">
      <w:pPr>
        <w:spacing w:line="360" w:lineRule="auto"/>
        <w:ind w:firstLine="720"/>
        <w:jc w:val="both"/>
        <w:rPr>
          <w:rFonts w:ascii="Times New Roman" w:hAnsi="Times New Roman" w:cs="Times New Roman"/>
        </w:rPr>
      </w:pPr>
    </w:p>
    <w:p w14:paraId="18938D53" w14:textId="01C8C5B2" w:rsidR="00985B0C" w:rsidRDefault="00985B0C" w:rsidP="00985B0C">
      <w:pPr>
        <w:pStyle w:val="Heading2"/>
      </w:pPr>
      <w:r w:rsidRPr="00985B0C">
        <w:t xml:space="preserve">1. </w:t>
      </w:r>
      <w:r>
        <w:tab/>
      </w:r>
      <w:r w:rsidRPr="00985B0C">
        <w:t xml:space="preserve">Savcılığın Talebinin Oluşturulması </w:t>
      </w:r>
    </w:p>
    <w:p w14:paraId="5A5D3205" w14:textId="77777777" w:rsidR="00985B0C" w:rsidRPr="00985B0C" w:rsidRDefault="00985B0C" w:rsidP="00985B0C"/>
    <w:p w14:paraId="2D23D779" w14:textId="77777777" w:rsidR="00985B0C" w:rsidRPr="00985B0C" w:rsidRDefault="00985B0C" w:rsidP="00985B0C"/>
    <w:p w14:paraId="490E6F28" w14:textId="686505A9" w:rsidR="0054388C" w:rsidRDefault="00234442" w:rsidP="001668CE">
      <w:pPr>
        <w:spacing w:line="360" w:lineRule="auto"/>
        <w:ind w:firstLine="720"/>
        <w:jc w:val="both"/>
        <w:rPr>
          <w:rFonts w:ascii="Times New Roman" w:hAnsi="Times New Roman" w:cs="Times New Roman"/>
        </w:rPr>
      </w:pPr>
      <w:r>
        <w:rPr>
          <w:rFonts w:ascii="Times New Roman" w:hAnsi="Times New Roman" w:cs="Times New Roman"/>
        </w:rPr>
        <w:t>Bu usule başvurmaya karar veren savcı</w:t>
      </w:r>
      <w:r w:rsidR="0059196B">
        <w:rPr>
          <w:rFonts w:ascii="Times New Roman" w:hAnsi="Times New Roman" w:cs="Times New Roman"/>
        </w:rPr>
        <w:t>, faili huzuruna çağırır ve</w:t>
      </w:r>
      <w:r>
        <w:rPr>
          <w:rFonts w:ascii="Times New Roman" w:hAnsi="Times New Roman" w:cs="Times New Roman"/>
        </w:rPr>
        <w:t xml:space="preserve"> </w:t>
      </w:r>
      <w:r w:rsidR="0059196B">
        <w:rPr>
          <w:rFonts w:ascii="Times New Roman" w:hAnsi="Times New Roman" w:cs="Times New Roman"/>
        </w:rPr>
        <w:t xml:space="preserve">fail </w:t>
      </w:r>
      <w:r w:rsidR="00081470">
        <w:rPr>
          <w:rFonts w:ascii="Times New Roman" w:hAnsi="Times New Roman" w:cs="Times New Roman"/>
        </w:rPr>
        <w:t>hakkında uygulanacak olan, türü</w:t>
      </w:r>
      <w:r w:rsidR="0059196B">
        <w:rPr>
          <w:rFonts w:ascii="Times New Roman" w:hAnsi="Times New Roman" w:cs="Times New Roman"/>
        </w:rPr>
        <w:t>nü</w:t>
      </w:r>
      <w:r w:rsidR="00081470">
        <w:rPr>
          <w:rFonts w:ascii="Times New Roman" w:hAnsi="Times New Roman" w:cs="Times New Roman"/>
        </w:rPr>
        <w:t xml:space="preserve"> ve miktarı</w:t>
      </w:r>
      <w:r w:rsidR="0059196B">
        <w:rPr>
          <w:rFonts w:ascii="Times New Roman" w:hAnsi="Times New Roman" w:cs="Times New Roman"/>
        </w:rPr>
        <w:t>nı</w:t>
      </w:r>
      <w:r w:rsidR="00081470">
        <w:rPr>
          <w:rFonts w:ascii="Times New Roman" w:hAnsi="Times New Roman" w:cs="Times New Roman"/>
        </w:rPr>
        <w:t xml:space="preserve"> </w:t>
      </w:r>
      <w:r w:rsidR="00FF0722">
        <w:rPr>
          <w:rFonts w:ascii="Times New Roman" w:hAnsi="Times New Roman" w:cs="Times New Roman"/>
        </w:rPr>
        <w:t xml:space="preserve">Fransız CK </w:t>
      </w:r>
      <w:r w:rsidR="00081470">
        <w:rPr>
          <w:rFonts w:ascii="Times New Roman" w:hAnsi="Times New Roman" w:cs="Times New Roman"/>
        </w:rPr>
        <w:t>m. 130</w:t>
      </w:r>
      <w:r w:rsidR="0059196B">
        <w:rPr>
          <w:rFonts w:ascii="Times New Roman" w:hAnsi="Times New Roman" w:cs="Times New Roman"/>
        </w:rPr>
        <w:t>-1 ve 132-</w:t>
      </w:r>
      <w:r w:rsidR="00A93A48">
        <w:rPr>
          <w:rFonts w:ascii="Times New Roman" w:hAnsi="Times New Roman" w:cs="Times New Roman"/>
        </w:rPr>
        <w:t>1</w:t>
      </w:r>
      <w:r w:rsidR="002027DA">
        <w:rPr>
          <w:rStyle w:val="FootnoteReference"/>
          <w:rFonts w:ascii="Times New Roman" w:hAnsi="Times New Roman" w:cs="Times New Roman"/>
        </w:rPr>
        <w:footnoteReference w:id="49"/>
      </w:r>
      <w:r w:rsidR="00A93A48">
        <w:rPr>
          <w:rFonts w:ascii="Times New Roman" w:hAnsi="Times New Roman" w:cs="Times New Roman"/>
        </w:rPr>
        <w:t xml:space="preserve"> </w:t>
      </w:r>
      <w:r w:rsidR="0059196B">
        <w:rPr>
          <w:rFonts w:ascii="Times New Roman" w:hAnsi="Times New Roman" w:cs="Times New Roman"/>
        </w:rPr>
        <w:t>uyarınca belirlediği</w:t>
      </w:r>
      <w:r w:rsidR="00081470">
        <w:rPr>
          <w:rFonts w:ascii="Times New Roman" w:hAnsi="Times New Roman" w:cs="Times New Roman"/>
        </w:rPr>
        <w:t xml:space="preserve"> </w:t>
      </w:r>
      <w:r w:rsidR="005273E2">
        <w:rPr>
          <w:rFonts w:ascii="Times New Roman" w:hAnsi="Times New Roman" w:cs="Times New Roman"/>
        </w:rPr>
        <w:t xml:space="preserve">bir veya birden fazla </w:t>
      </w:r>
      <w:r w:rsidR="00081470">
        <w:rPr>
          <w:rFonts w:ascii="Times New Roman" w:hAnsi="Times New Roman" w:cs="Times New Roman"/>
        </w:rPr>
        <w:t>cezayı tek</w:t>
      </w:r>
      <w:r w:rsidR="00FB6220">
        <w:rPr>
          <w:rFonts w:ascii="Times New Roman" w:hAnsi="Times New Roman" w:cs="Times New Roman"/>
        </w:rPr>
        <w:t xml:space="preserve">lif eder (Fransız CMK m. 495-8, </w:t>
      </w:r>
      <w:r w:rsidR="00C87F03">
        <w:rPr>
          <w:rFonts w:ascii="Times New Roman" w:hAnsi="Times New Roman" w:cs="Times New Roman"/>
        </w:rPr>
        <w:t xml:space="preserve">f. </w:t>
      </w:r>
      <w:r w:rsidR="00FB6220">
        <w:rPr>
          <w:rFonts w:ascii="Times New Roman" w:hAnsi="Times New Roman" w:cs="Times New Roman"/>
        </w:rPr>
        <w:t>1)</w:t>
      </w:r>
      <w:r w:rsidR="003B4A9B" w:rsidRPr="003B4A9B">
        <w:rPr>
          <w:rStyle w:val="FootnoteReference"/>
          <w:rFonts w:ascii="Times New Roman" w:hAnsi="Times New Roman" w:cs="Times New Roman"/>
        </w:rPr>
        <w:t xml:space="preserve"> </w:t>
      </w:r>
      <w:r w:rsidR="003B4A9B">
        <w:rPr>
          <w:rStyle w:val="FootnoteReference"/>
          <w:rFonts w:ascii="Times New Roman" w:hAnsi="Times New Roman" w:cs="Times New Roman"/>
        </w:rPr>
        <w:footnoteReference w:id="50"/>
      </w:r>
      <w:r w:rsidR="00081470">
        <w:rPr>
          <w:rFonts w:ascii="Times New Roman" w:hAnsi="Times New Roman" w:cs="Times New Roman"/>
        </w:rPr>
        <w:t xml:space="preserve">. </w:t>
      </w:r>
      <w:r w:rsidR="009675BB">
        <w:rPr>
          <w:rFonts w:ascii="Times New Roman" w:hAnsi="Times New Roman" w:cs="Times New Roman"/>
        </w:rPr>
        <w:t xml:space="preserve">Bu noktada savcı </w:t>
      </w:r>
      <w:r w:rsidR="00FF0722">
        <w:rPr>
          <w:rFonts w:ascii="Times New Roman" w:hAnsi="Times New Roman" w:cs="Times New Roman"/>
        </w:rPr>
        <w:t xml:space="preserve">Fransız CK </w:t>
      </w:r>
      <w:r w:rsidR="009675BB">
        <w:rPr>
          <w:rFonts w:ascii="Times New Roman" w:hAnsi="Times New Roman" w:cs="Times New Roman"/>
        </w:rPr>
        <w:t>m. 132-24 kapsamında cezanın bireyselleştirilmesine ilişkin ilkeleri göz önünde bulundurur</w:t>
      </w:r>
      <w:r w:rsidR="009675BB">
        <w:rPr>
          <w:rStyle w:val="FootnoteReference"/>
          <w:rFonts w:ascii="Times New Roman" w:hAnsi="Times New Roman" w:cs="Times New Roman"/>
        </w:rPr>
        <w:footnoteReference w:id="51"/>
      </w:r>
      <w:r w:rsidR="009675BB">
        <w:rPr>
          <w:rFonts w:ascii="Times New Roman" w:hAnsi="Times New Roman" w:cs="Times New Roman"/>
        </w:rPr>
        <w:t xml:space="preserve">. </w:t>
      </w:r>
      <w:r w:rsidR="00C87F03">
        <w:rPr>
          <w:rFonts w:ascii="Times New Roman" w:hAnsi="Times New Roman" w:cs="Times New Roman"/>
        </w:rPr>
        <w:t xml:space="preserve">Savcı </w:t>
      </w:r>
      <w:r w:rsidR="00244E30">
        <w:rPr>
          <w:rFonts w:ascii="Times New Roman" w:hAnsi="Times New Roman" w:cs="Times New Roman"/>
        </w:rPr>
        <w:t>cezayı teklif etmeden önce</w:t>
      </w:r>
      <w:r w:rsidR="00C87F03">
        <w:rPr>
          <w:rFonts w:ascii="Times New Roman" w:hAnsi="Times New Roman" w:cs="Times New Roman"/>
        </w:rPr>
        <w:t xml:space="preserve">, isterse şüpheliyi veya müdafiini hazırlayacağı teklifi hakkında önceden bilgilendirebilir (Fransız CMK m. 495-8, f. 7). </w:t>
      </w:r>
      <w:r w:rsidR="00A93A48">
        <w:rPr>
          <w:rFonts w:ascii="Times New Roman" w:hAnsi="Times New Roman" w:cs="Times New Roman"/>
        </w:rPr>
        <w:t xml:space="preserve">Burada bilgilendirme ihtiyaridir. </w:t>
      </w:r>
    </w:p>
    <w:p w14:paraId="41FC3DF5" w14:textId="77777777" w:rsidR="00B46DA3" w:rsidRDefault="00B46DA3" w:rsidP="001668CE">
      <w:pPr>
        <w:spacing w:line="360" w:lineRule="auto"/>
        <w:ind w:firstLine="720"/>
        <w:jc w:val="both"/>
        <w:rPr>
          <w:rFonts w:ascii="Times New Roman" w:hAnsi="Times New Roman" w:cs="Times New Roman"/>
        </w:rPr>
      </w:pPr>
    </w:p>
    <w:p w14:paraId="04E1B4C0" w14:textId="10A3FF25" w:rsidR="00B46DA3" w:rsidRDefault="00B46DA3" w:rsidP="00B46DA3">
      <w:pPr>
        <w:spacing w:line="360" w:lineRule="auto"/>
        <w:jc w:val="both"/>
        <w:rPr>
          <w:rFonts w:ascii="Times New Roman" w:hAnsi="Times New Roman" w:cs="Times New Roman"/>
        </w:rPr>
      </w:pPr>
      <w:r>
        <w:rPr>
          <w:rFonts w:ascii="Times New Roman" w:hAnsi="Times New Roman" w:cs="Times New Roman"/>
        </w:rPr>
        <w:tab/>
        <w:t xml:space="preserve">Savcının bu usul kapsamında belirleyebileceği yaptırım miktarının kanuni sınırı bulunmaktadır. </w:t>
      </w:r>
      <w:r w:rsidR="005273E2">
        <w:rPr>
          <w:rFonts w:ascii="Times New Roman" w:hAnsi="Times New Roman" w:cs="Times New Roman"/>
        </w:rPr>
        <w:t>Bu sınır hapis cezası bakımından,</w:t>
      </w:r>
      <w:r w:rsidR="00A048D7">
        <w:rPr>
          <w:rFonts w:ascii="Times New Roman" w:hAnsi="Times New Roman" w:cs="Times New Roman"/>
        </w:rPr>
        <w:t xml:space="preserve"> </w:t>
      </w:r>
      <w:r w:rsidR="005273E2">
        <w:rPr>
          <w:rFonts w:ascii="Times New Roman" w:hAnsi="Times New Roman" w:cs="Times New Roman"/>
        </w:rPr>
        <w:t>Fransız CMK m. 495-8, f. 2’de</w:t>
      </w:r>
      <w:r>
        <w:rPr>
          <w:rFonts w:ascii="Times New Roman" w:hAnsi="Times New Roman" w:cs="Times New Roman"/>
        </w:rPr>
        <w:t xml:space="preserve"> </w:t>
      </w:r>
      <w:r w:rsidR="005273E2">
        <w:rPr>
          <w:rFonts w:ascii="Times New Roman" w:hAnsi="Times New Roman" w:cs="Times New Roman"/>
        </w:rPr>
        <w:t>“</w:t>
      </w:r>
      <w:r>
        <w:rPr>
          <w:rFonts w:ascii="Times New Roman" w:hAnsi="Times New Roman" w:cs="Times New Roman"/>
        </w:rPr>
        <w:t>ilgili suç için kanunda öngörülen hapis cezası miktarının yarısından fazla olama</w:t>
      </w:r>
      <w:r w:rsidR="005273E2">
        <w:rPr>
          <w:rFonts w:ascii="Times New Roman" w:hAnsi="Times New Roman" w:cs="Times New Roman"/>
        </w:rPr>
        <w:t>yacağı”</w:t>
      </w:r>
      <w:r>
        <w:rPr>
          <w:rFonts w:ascii="Times New Roman" w:hAnsi="Times New Roman" w:cs="Times New Roman"/>
        </w:rPr>
        <w:t xml:space="preserve"> ve her halde </w:t>
      </w:r>
      <w:r w:rsidR="005273E2">
        <w:rPr>
          <w:rFonts w:ascii="Times New Roman" w:hAnsi="Times New Roman" w:cs="Times New Roman"/>
        </w:rPr>
        <w:t>“</w:t>
      </w:r>
      <w:r>
        <w:rPr>
          <w:rFonts w:ascii="Times New Roman" w:hAnsi="Times New Roman" w:cs="Times New Roman"/>
        </w:rPr>
        <w:t xml:space="preserve">bir yılı </w:t>
      </w:r>
      <w:r w:rsidR="005273E2">
        <w:rPr>
          <w:rFonts w:ascii="Times New Roman" w:hAnsi="Times New Roman" w:cs="Times New Roman"/>
        </w:rPr>
        <w:t>aşamayacağı” biçiminde düzenlenmişti. B</w:t>
      </w:r>
      <w:r>
        <w:rPr>
          <w:rFonts w:ascii="Times New Roman" w:hAnsi="Times New Roman" w:cs="Times New Roman"/>
        </w:rPr>
        <w:t xml:space="preserve">u düzenleme 2019 yılında 2019-222 sayılı Adli Yargı </w:t>
      </w:r>
      <w:r w:rsidR="005273E2">
        <w:rPr>
          <w:rFonts w:ascii="Times New Roman" w:hAnsi="Times New Roman" w:cs="Times New Roman"/>
        </w:rPr>
        <w:t>Reformu Kanunu ile değiştirilerek</w:t>
      </w:r>
      <w:r>
        <w:rPr>
          <w:rFonts w:ascii="Times New Roman" w:hAnsi="Times New Roman" w:cs="Times New Roman"/>
        </w:rPr>
        <w:t xml:space="preserve">, verilebilecek hapis cezası miktarının </w:t>
      </w:r>
      <w:r w:rsidR="005273E2">
        <w:rPr>
          <w:rFonts w:ascii="Times New Roman" w:hAnsi="Times New Roman" w:cs="Times New Roman"/>
        </w:rPr>
        <w:t xml:space="preserve">kanunda öngörülen miktarın yarısından fazla olamayacağı korunmuş, ancak azami miktarın </w:t>
      </w:r>
      <w:r>
        <w:rPr>
          <w:rFonts w:ascii="Times New Roman" w:hAnsi="Times New Roman" w:cs="Times New Roman"/>
        </w:rPr>
        <w:t>bir yıl yerine üç yılı aşamayacağı belir</w:t>
      </w:r>
      <w:r w:rsidR="005273E2">
        <w:rPr>
          <w:rFonts w:ascii="Times New Roman" w:hAnsi="Times New Roman" w:cs="Times New Roman"/>
        </w:rPr>
        <w:t>lenmiştir</w:t>
      </w:r>
      <w:r>
        <w:rPr>
          <w:rStyle w:val="FootnoteReference"/>
          <w:rFonts w:ascii="Times New Roman" w:hAnsi="Times New Roman" w:cs="Times New Roman"/>
        </w:rPr>
        <w:footnoteReference w:id="52"/>
      </w:r>
      <w:r>
        <w:rPr>
          <w:rFonts w:ascii="Times New Roman" w:hAnsi="Times New Roman" w:cs="Times New Roman"/>
        </w:rPr>
        <w:t xml:space="preserve">. </w:t>
      </w:r>
      <w:r w:rsidR="005273E2">
        <w:rPr>
          <w:rFonts w:ascii="Times New Roman" w:hAnsi="Times New Roman" w:cs="Times New Roman"/>
        </w:rPr>
        <w:t>Adli para cezası bakımından ise sınır, ilgili suç için kanunda öngörülen adli para cezası miktarının aşılamayacağı biçiminde gösterilmiştir (Fransız CMK m. 495-8, f. 3). F</w:t>
      </w:r>
      <w:r>
        <w:rPr>
          <w:rFonts w:ascii="Times New Roman" w:hAnsi="Times New Roman" w:cs="Times New Roman"/>
        </w:rPr>
        <w:t>ransız kanun koyucusu adli para cezası bakımından kanun tasarısının ilk halinde önerilen</w:t>
      </w:r>
      <w:r w:rsidR="005273E2">
        <w:rPr>
          <w:rFonts w:ascii="Times New Roman" w:hAnsi="Times New Roman" w:cs="Times New Roman"/>
        </w:rPr>
        <w:t>,</w:t>
      </w:r>
      <w:r>
        <w:rPr>
          <w:rFonts w:ascii="Times New Roman" w:hAnsi="Times New Roman" w:cs="Times New Roman"/>
        </w:rPr>
        <w:t xml:space="preserve"> para cezasının yarısı oranında indirim yapılmasına nihai metinde yer vermemiştir. Bunun nedeni olarak hapis cezası yerine de adli para cezasına hükmedilebildiği hallerin bulunması gösterilmiştir</w:t>
      </w:r>
      <w:r>
        <w:rPr>
          <w:rStyle w:val="FootnoteReference"/>
          <w:rFonts w:ascii="Times New Roman" w:hAnsi="Times New Roman" w:cs="Times New Roman"/>
        </w:rPr>
        <w:footnoteReference w:id="53"/>
      </w:r>
      <w:r w:rsidR="00DD7B11">
        <w:rPr>
          <w:rFonts w:ascii="Times New Roman" w:hAnsi="Times New Roman" w:cs="Times New Roman"/>
        </w:rPr>
        <w:t>. Savcı</w:t>
      </w:r>
      <w:r>
        <w:rPr>
          <w:rFonts w:ascii="Times New Roman" w:hAnsi="Times New Roman" w:cs="Times New Roman"/>
        </w:rPr>
        <w:t xml:space="preserve"> </w:t>
      </w:r>
      <w:r w:rsidR="005273E2">
        <w:rPr>
          <w:rFonts w:ascii="Times New Roman" w:hAnsi="Times New Roman" w:cs="Times New Roman"/>
        </w:rPr>
        <w:t xml:space="preserve">bu maddeye göre </w:t>
      </w:r>
      <w:r>
        <w:rPr>
          <w:rFonts w:ascii="Times New Roman" w:hAnsi="Times New Roman" w:cs="Times New Roman"/>
        </w:rPr>
        <w:t xml:space="preserve">belirlediği </w:t>
      </w:r>
      <w:r w:rsidR="005273E2">
        <w:rPr>
          <w:rFonts w:ascii="Times New Roman" w:hAnsi="Times New Roman" w:cs="Times New Roman"/>
        </w:rPr>
        <w:t xml:space="preserve">ana </w:t>
      </w:r>
      <w:r>
        <w:rPr>
          <w:rFonts w:ascii="Times New Roman" w:hAnsi="Times New Roman" w:cs="Times New Roman"/>
        </w:rPr>
        <w:t xml:space="preserve">cezanın yanı sıra </w:t>
      </w:r>
      <w:r w:rsidR="005273E2">
        <w:rPr>
          <w:rFonts w:ascii="Times New Roman" w:hAnsi="Times New Roman" w:cs="Times New Roman"/>
        </w:rPr>
        <w:t xml:space="preserve">ek ceza ve </w:t>
      </w:r>
      <w:r>
        <w:rPr>
          <w:rFonts w:ascii="Times New Roman" w:hAnsi="Times New Roman" w:cs="Times New Roman"/>
        </w:rPr>
        <w:t>seçenek yaptı</w:t>
      </w:r>
      <w:r w:rsidR="006D4F7C">
        <w:rPr>
          <w:rFonts w:ascii="Times New Roman" w:hAnsi="Times New Roman" w:cs="Times New Roman"/>
        </w:rPr>
        <w:t>rımları da teklif edebilmekte, cezanın infazına ilişkin hususları da belirleyebilmektedir</w:t>
      </w:r>
      <w:r>
        <w:rPr>
          <w:rFonts w:ascii="Times New Roman" w:hAnsi="Times New Roman" w:cs="Times New Roman"/>
        </w:rPr>
        <w:t xml:space="preserve"> (Fransız CMK m. 495-8</w:t>
      </w:r>
      <w:r w:rsidR="006D4F7C">
        <w:rPr>
          <w:rFonts w:ascii="Times New Roman" w:hAnsi="Times New Roman" w:cs="Times New Roman"/>
        </w:rPr>
        <w:t>, f. 2, 4</w:t>
      </w:r>
      <w:r>
        <w:rPr>
          <w:rFonts w:ascii="Times New Roman" w:hAnsi="Times New Roman" w:cs="Times New Roman"/>
        </w:rPr>
        <w:t xml:space="preserve">). </w:t>
      </w:r>
    </w:p>
    <w:p w14:paraId="0BF3BB8F" w14:textId="77777777" w:rsidR="00C87F03" w:rsidRDefault="00C87F03" w:rsidP="00353561">
      <w:pPr>
        <w:spacing w:line="360" w:lineRule="auto"/>
        <w:jc w:val="both"/>
        <w:rPr>
          <w:rFonts w:ascii="Times New Roman" w:hAnsi="Times New Roman" w:cs="Times New Roman"/>
        </w:rPr>
      </w:pPr>
    </w:p>
    <w:p w14:paraId="791F78C9" w14:textId="349A2042" w:rsidR="00C87F03" w:rsidRDefault="0094146E" w:rsidP="00E0094C">
      <w:pPr>
        <w:spacing w:line="360" w:lineRule="auto"/>
        <w:ind w:firstLine="720"/>
        <w:jc w:val="both"/>
        <w:rPr>
          <w:rFonts w:ascii="Times New Roman" w:hAnsi="Times New Roman" w:cs="Times New Roman"/>
        </w:rPr>
      </w:pPr>
      <w:r>
        <w:rPr>
          <w:rFonts w:ascii="Times New Roman" w:hAnsi="Times New Roman" w:cs="Times New Roman"/>
        </w:rPr>
        <w:t>Şüphelinin</w:t>
      </w:r>
      <w:r w:rsidR="0059196B">
        <w:rPr>
          <w:rFonts w:ascii="Times New Roman" w:hAnsi="Times New Roman" w:cs="Times New Roman"/>
        </w:rPr>
        <w:t>,</w:t>
      </w:r>
      <w:r>
        <w:rPr>
          <w:rFonts w:ascii="Times New Roman" w:hAnsi="Times New Roman" w:cs="Times New Roman"/>
        </w:rPr>
        <w:t xml:space="preserve"> hakkında isnat edilen eylemleri kabul ettiğine ilişkin açıklamaları ve savcı tarafından belirlenen cezanın şüpheliye teklifi</w:t>
      </w:r>
      <w:r w:rsidR="003246C4">
        <w:rPr>
          <w:rFonts w:ascii="Times New Roman" w:hAnsi="Times New Roman" w:cs="Times New Roman"/>
        </w:rPr>
        <w:t>,</w:t>
      </w:r>
      <w:r>
        <w:rPr>
          <w:rFonts w:ascii="Times New Roman" w:hAnsi="Times New Roman" w:cs="Times New Roman"/>
        </w:rPr>
        <w:t xml:space="preserve"> şüphelinin seçtiği veya baro tarafından kendisine atanan müdafii huzurunda gerçekleştirilir (Fransız CMK m. 495-8, </w:t>
      </w:r>
      <w:r w:rsidR="00C87F03">
        <w:rPr>
          <w:rFonts w:ascii="Times New Roman" w:hAnsi="Times New Roman" w:cs="Times New Roman"/>
        </w:rPr>
        <w:t xml:space="preserve">f. </w:t>
      </w:r>
      <w:r>
        <w:rPr>
          <w:rFonts w:ascii="Times New Roman" w:hAnsi="Times New Roman" w:cs="Times New Roman"/>
        </w:rPr>
        <w:t>5). Bu esnada şüpheliye yargılama giderlerinin -adli yardıma başvurmadığı sürece- kendisi tarafından üstlenileceği de</w:t>
      </w:r>
      <w:r w:rsidR="006E56B5">
        <w:rPr>
          <w:rFonts w:ascii="Times New Roman" w:hAnsi="Times New Roman" w:cs="Times New Roman"/>
        </w:rPr>
        <w:t xml:space="preserve"> ayrıca bildirilir. K</w:t>
      </w:r>
      <w:r>
        <w:rPr>
          <w:rFonts w:ascii="Times New Roman" w:hAnsi="Times New Roman" w:cs="Times New Roman"/>
        </w:rPr>
        <w:t xml:space="preserve">anun </w:t>
      </w:r>
      <w:r w:rsidR="00F06049">
        <w:rPr>
          <w:rFonts w:ascii="Times New Roman" w:hAnsi="Times New Roman" w:cs="Times New Roman"/>
        </w:rPr>
        <w:t xml:space="preserve">maddesinde </w:t>
      </w:r>
      <w:r>
        <w:rPr>
          <w:rFonts w:ascii="Times New Roman" w:hAnsi="Times New Roman" w:cs="Times New Roman"/>
        </w:rPr>
        <w:t>açıkça şüphelinin müdafiden yararlanma hakkından feragat edemeyeceği, müdafi</w:t>
      </w:r>
      <w:r w:rsidR="00F06049">
        <w:rPr>
          <w:rFonts w:ascii="Times New Roman" w:hAnsi="Times New Roman" w:cs="Times New Roman"/>
        </w:rPr>
        <w:t>in bulunmasının zorunlu olduğu</w:t>
      </w:r>
      <w:r w:rsidR="00DD7B11">
        <w:rPr>
          <w:rFonts w:ascii="Times New Roman" w:hAnsi="Times New Roman" w:cs="Times New Roman"/>
        </w:rPr>
        <w:t>, müdafiin dosyayı yerinde incel</w:t>
      </w:r>
      <w:r w:rsidR="00F06049">
        <w:rPr>
          <w:rFonts w:ascii="Times New Roman" w:hAnsi="Times New Roman" w:cs="Times New Roman"/>
        </w:rPr>
        <w:t>eme imkanının olması gerektiği</w:t>
      </w:r>
      <w:r w:rsidR="00CF1DFB">
        <w:rPr>
          <w:rFonts w:ascii="Times New Roman" w:hAnsi="Times New Roman" w:cs="Times New Roman"/>
        </w:rPr>
        <w:t xml:space="preserve"> </w:t>
      </w:r>
      <w:r>
        <w:rPr>
          <w:rFonts w:ascii="Times New Roman" w:hAnsi="Times New Roman" w:cs="Times New Roman"/>
        </w:rPr>
        <w:t>belirt</w:t>
      </w:r>
      <w:r w:rsidR="00F06049">
        <w:rPr>
          <w:rFonts w:ascii="Times New Roman" w:hAnsi="Times New Roman" w:cs="Times New Roman"/>
        </w:rPr>
        <w:t>il</w:t>
      </w:r>
      <w:r>
        <w:rPr>
          <w:rFonts w:ascii="Times New Roman" w:hAnsi="Times New Roman" w:cs="Times New Roman"/>
        </w:rPr>
        <w:t>mektedir</w:t>
      </w:r>
      <w:r w:rsidR="00DD7B11">
        <w:rPr>
          <w:rFonts w:ascii="Times New Roman" w:hAnsi="Times New Roman" w:cs="Times New Roman"/>
        </w:rPr>
        <w:t xml:space="preserve"> (Fransız CMK m. 495-8, f. 5)</w:t>
      </w:r>
      <w:r w:rsidR="00CF1DFB">
        <w:rPr>
          <w:rStyle w:val="FootnoteReference"/>
          <w:rFonts w:ascii="Times New Roman" w:hAnsi="Times New Roman" w:cs="Times New Roman"/>
        </w:rPr>
        <w:footnoteReference w:id="54"/>
      </w:r>
      <w:r>
        <w:rPr>
          <w:rFonts w:ascii="Times New Roman" w:hAnsi="Times New Roman" w:cs="Times New Roman"/>
        </w:rPr>
        <w:t xml:space="preserve">. </w:t>
      </w:r>
      <w:r w:rsidR="009675BB">
        <w:rPr>
          <w:rFonts w:ascii="Times New Roman" w:hAnsi="Times New Roman" w:cs="Times New Roman"/>
        </w:rPr>
        <w:t xml:space="preserve"> </w:t>
      </w:r>
      <w:r w:rsidR="00E0094C">
        <w:rPr>
          <w:rFonts w:ascii="Times New Roman" w:hAnsi="Times New Roman" w:cs="Times New Roman"/>
        </w:rPr>
        <w:t>Benzer şekilde şüphelinin teklifle ilgili kararını vermeden önce, savcının bulunmadığı bir ortamda müdafii ile serbestçe görüşebileceği de maddenin devam eden fıkrasında açıkça belirtilmiştir.</w:t>
      </w:r>
      <w:r w:rsidR="00C87F03">
        <w:rPr>
          <w:rFonts w:ascii="Times New Roman" w:hAnsi="Times New Roman" w:cs="Times New Roman"/>
        </w:rPr>
        <w:t xml:space="preserve"> </w:t>
      </w:r>
      <w:r w:rsidR="00E0094C">
        <w:rPr>
          <w:rFonts w:ascii="Times New Roman" w:hAnsi="Times New Roman" w:cs="Times New Roman"/>
        </w:rPr>
        <w:t>Şüpheli ayrıca teklifi düşünmek ve k</w:t>
      </w:r>
      <w:r w:rsidR="00C87F03">
        <w:rPr>
          <w:rFonts w:ascii="Times New Roman" w:hAnsi="Times New Roman" w:cs="Times New Roman"/>
        </w:rPr>
        <w:t>ararını bildirmek için on günlük b</w:t>
      </w:r>
      <w:r w:rsidR="00E0094C">
        <w:rPr>
          <w:rFonts w:ascii="Times New Roman" w:hAnsi="Times New Roman" w:cs="Times New Roman"/>
        </w:rPr>
        <w:t>ir düşünme süresi isteme hakkına sahiptir;</w:t>
      </w:r>
      <w:r w:rsidR="00C87F03">
        <w:rPr>
          <w:rFonts w:ascii="Times New Roman" w:hAnsi="Times New Roman" w:cs="Times New Roman"/>
        </w:rPr>
        <w:t xml:space="preserve"> </w:t>
      </w:r>
      <w:r w:rsidR="00E0094C">
        <w:rPr>
          <w:rFonts w:ascii="Times New Roman" w:hAnsi="Times New Roman" w:cs="Times New Roman"/>
        </w:rPr>
        <w:t>bu hakkı</w:t>
      </w:r>
      <w:r w:rsidR="00C87F03">
        <w:rPr>
          <w:rFonts w:ascii="Times New Roman" w:hAnsi="Times New Roman" w:cs="Times New Roman"/>
        </w:rPr>
        <w:t xml:space="preserve"> savcı tarafından </w:t>
      </w:r>
      <w:r w:rsidR="00A45FC5">
        <w:rPr>
          <w:rFonts w:ascii="Times New Roman" w:hAnsi="Times New Roman" w:cs="Times New Roman"/>
        </w:rPr>
        <w:t xml:space="preserve">şüpheliye </w:t>
      </w:r>
      <w:r w:rsidR="00C87F03">
        <w:rPr>
          <w:rFonts w:ascii="Times New Roman" w:hAnsi="Times New Roman" w:cs="Times New Roman"/>
        </w:rPr>
        <w:t>ayrıca hatırlatılır</w:t>
      </w:r>
      <w:r w:rsidR="00E0094C">
        <w:rPr>
          <w:rFonts w:ascii="Times New Roman" w:hAnsi="Times New Roman" w:cs="Times New Roman"/>
        </w:rPr>
        <w:t xml:space="preserve"> (Fransız CMK m. 495-8, f. 6).</w:t>
      </w:r>
      <w:r w:rsidR="00C87F03">
        <w:rPr>
          <w:rFonts w:ascii="Times New Roman" w:hAnsi="Times New Roman" w:cs="Times New Roman"/>
        </w:rPr>
        <w:t xml:space="preserve"> </w:t>
      </w:r>
      <w:r w:rsidR="00E0094C">
        <w:rPr>
          <w:rFonts w:ascii="Times New Roman" w:hAnsi="Times New Roman" w:cs="Times New Roman"/>
        </w:rPr>
        <w:t>On günlük düşünme süresi savcı önünde geçen süreçte</w:t>
      </w:r>
      <w:r w:rsidR="007B1E18">
        <w:rPr>
          <w:rFonts w:ascii="Times New Roman" w:hAnsi="Times New Roman" w:cs="Times New Roman"/>
        </w:rPr>
        <w:t xml:space="preserve"> şüphelinin acele etmesini veya baskı altında hissetmesini önlenme amacıyla getirilmiştir</w:t>
      </w:r>
      <w:r w:rsidR="007B1E18">
        <w:rPr>
          <w:rStyle w:val="FootnoteReference"/>
          <w:rFonts w:ascii="Times New Roman" w:hAnsi="Times New Roman" w:cs="Times New Roman"/>
        </w:rPr>
        <w:footnoteReference w:id="55"/>
      </w:r>
      <w:r w:rsidR="007B1E18">
        <w:rPr>
          <w:rFonts w:ascii="Times New Roman" w:hAnsi="Times New Roman" w:cs="Times New Roman"/>
        </w:rPr>
        <w:t xml:space="preserve">. </w:t>
      </w:r>
    </w:p>
    <w:p w14:paraId="60970606" w14:textId="77777777" w:rsidR="00BB619F" w:rsidRDefault="00BB619F" w:rsidP="00353561">
      <w:pPr>
        <w:spacing w:line="360" w:lineRule="auto"/>
        <w:jc w:val="both"/>
        <w:rPr>
          <w:rFonts w:ascii="Times New Roman" w:hAnsi="Times New Roman" w:cs="Times New Roman"/>
        </w:rPr>
      </w:pPr>
    </w:p>
    <w:p w14:paraId="1CCF064C" w14:textId="07E32161" w:rsidR="00BB619F" w:rsidRDefault="0059196B" w:rsidP="009675BB">
      <w:pPr>
        <w:spacing w:line="360" w:lineRule="auto"/>
        <w:ind w:firstLine="720"/>
        <w:jc w:val="both"/>
        <w:rPr>
          <w:rFonts w:ascii="Times New Roman" w:hAnsi="Times New Roman" w:cs="Times New Roman"/>
        </w:rPr>
      </w:pPr>
      <w:r>
        <w:rPr>
          <w:rFonts w:ascii="Times New Roman" w:hAnsi="Times New Roman" w:cs="Times New Roman"/>
        </w:rPr>
        <w:t>Eğer şüpheli, on</w:t>
      </w:r>
      <w:r w:rsidR="00BB619F">
        <w:rPr>
          <w:rFonts w:ascii="Times New Roman" w:hAnsi="Times New Roman" w:cs="Times New Roman"/>
        </w:rPr>
        <w:t xml:space="preserve"> günlük düşünme süresini talep ederse, bu durumda savcı gerekli görürse şüpheliyi hakkında adli kontrol veya tutuklama tedbiri uygulanması için </w:t>
      </w:r>
      <w:r w:rsidR="001B32BB">
        <w:rPr>
          <w:rFonts w:ascii="Times New Roman" w:hAnsi="Times New Roman" w:cs="Times New Roman"/>
        </w:rPr>
        <w:t xml:space="preserve">özgürlükler hakiminin </w:t>
      </w:r>
      <w:r w:rsidR="00BB619F">
        <w:rPr>
          <w:rFonts w:ascii="Times New Roman" w:hAnsi="Times New Roman" w:cs="Times New Roman"/>
        </w:rPr>
        <w:t>(</w:t>
      </w:r>
      <w:r w:rsidR="00BB619F" w:rsidRPr="00BB619F">
        <w:rPr>
          <w:rFonts w:ascii="Times New Roman" w:hAnsi="Times New Roman" w:cs="Times New Roman"/>
          <w:i/>
        </w:rPr>
        <w:t>juge des libertés et de la déténtion</w:t>
      </w:r>
      <w:r w:rsidR="00BB619F">
        <w:rPr>
          <w:rFonts w:ascii="Times New Roman" w:hAnsi="Times New Roman" w:cs="Times New Roman"/>
        </w:rPr>
        <w:t xml:space="preserve">) önüne sevk edebilir. </w:t>
      </w:r>
      <w:r w:rsidR="001B32BB">
        <w:rPr>
          <w:rFonts w:ascii="Times New Roman" w:hAnsi="Times New Roman" w:cs="Times New Roman"/>
        </w:rPr>
        <w:t xml:space="preserve">Özgürlükler </w:t>
      </w:r>
      <w:r w:rsidR="00390DA3">
        <w:rPr>
          <w:rFonts w:ascii="Times New Roman" w:hAnsi="Times New Roman" w:cs="Times New Roman"/>
        </w:rPr>
        <w:t>hakim</w:t>
      </w:r>
      <w:r w:rsidR="001B32BB">
        <w:rPr>
          <w:rFonts w:ascii="Times New Roman" w:hAnsi="Times New Roman" w:cs="Times New Roman"/>
        </w:rPr>
        <w:t>i</w:t>
      </w:r>
      <w:r w:rsidR="00BB619F">
        <w:rPr>
          <w:rFonts w:ascii="Times New Roman" w:hAnsi="Times New Roman" w:cs="Times New Roman"/>
        </w:rPr>
        <w:t xml:space="preserve"> k</w:t>
      </w:r>
      <w:r w:rsidR="007F6225">
        <w:rPr>
          <w:rFonts w:ascii="Times New Roman" w:hAnsi="Times New Roman" w:cs="Times New Roman"/>
        </w:rPr>
        <w:t>onutta elektronik izleme tedbirine,</w:t>
      </w:r>
      <w:r w:rsidR="00BB619F">
        <w:rPr>
          <w:rFonts w:ascii="Times New Roman" w:hAnsi="Times New Roman" w:cs="Times New Roman"/>
        </w:rPr>
        <w:t xml:space="preserve"> adli kontrole veya istisnai olarak </w:t>
      </w:r>
      <w:r w:rsidR="007F6225">
        <w:rPr>
          <w:rFonts w:ascii="Times New Roman" w:hAnsi="Times New Roman" w:cs="Times New Roman"/>
        </w:rPr>
        <w:t>-</w:t>
      </w:r>
      <w:r w:rsidR="00BB619F">
        <w:rPr>
          <w:rFonts w:ascii="Times New Roman" w:hAnsi="Times New Roman" w:cs="Times New Roman"/>
        </w:rPr>
        <w:t>eğer teklif edilen ceza veya cezalardan biri iki ay veya</w:t>
      </w:r>
      <w:r w:rsidR="007F6225">
        <w:rPr>
          <w:rFonts w:ascii="Times New Roman" w:hAnsi="Times New Roman" w:cs="Times New Roman"/>
        </w:rPr>
        <w:t xml:space="preserve"> daha fazla hapis cezası olup </w:t>
      </w:r>
      <w:r w:rsidR="00BB619F">
        <w:rPr>
          <w:rFonts w:ascii="Times New Roman" w:hAnsi="Times New Roman" w:cs="Times New Roman"/>
        </w:rPr>
        <w:t>savcılık derhal infazını talep etmişse</w:t>
      </w:r>
      <w:r w:rsidR="007F6225">
        <w:rPr>
          <w:rFonts w:ascii="Times New Roman" w:hAnsi="Times New Roman" w:cs="Times New Roman"/>
        </w:rPr>
        <w:t>-</w:t>
      </w:r>
      <w:r w:rsidR="00F06085">
        <w:rPr>
          <w:rFonts w:ascii="Times New Roman" w:hAnsi="Times New Roman" w:cs="Times New Roman"/>
        </w:rPr>
        <w:t xml:space="preserve"> </w:t>
      </w:r>
      <w:r w:rsidR="007A0219">
        <w:rPr>
          <w:rFonts w:ascii="Times New Roman" w:hAnsi="Times New Roman" w:cs="Times New Roman"/>
        </w:rPr>
        <w:t>tutuklanmasına</w:t>
      </w:r>
      <w:r w:rsidR="00BB619F">
        <w:rPr>
          <w:rFonts w:ascii="Times New Roman" w:hAnsi="Times New Roman" w:cs="Times New Roman"/>
        </w:rPr>
        <w:t xml:space="preserve"> (</w:t>
      </w:r>
      <w:r w:rsidR="00BB619F" w:rsidRPr="003471C3">
        <w:rPr>
          <w:rFonts w:ascii="Times New Roman" w:hAnsi="Times New Roman" w:cs="Times New Roman"/>
          <w:i/>
        </w:rPr>
        <w:t>déténtion provisoire</w:t>
      </w:r>
      <w:r w:rsidR="00BB619F">
        <w:rPr>
          <w:rFonts w:ascii="Times New Roman" w:hAnsi="Times New Roman" w:cs="Times New Roman"/>
        </w:rPr>
        <w:t>) karar verebilir</w:t>
      </w:r>
      <w:r w:rsidR="007F6225">
        <w:rPr>
          <w:rFonts w:ascii="Times New Roman" w:hAnsi="Times New Roman" w:cs="Times New Roman"/>
        </w:rPr>
        <w:t xml:space="preserve"> (Fransız CMK m. 495-10)</w:t>
      </w:r>
      <w:r w:rsidR="00BB619F">
        <w:rPr>
          <w:rFonts w:ascii="Times New Roman" w:hAnsi="Times New Roman" w:cs="Times New Roman"/>
        </w:rPr>
        <w:t xml:space="preserve">. </w:t>
      </w:r>
      <w:r w:rsidR="007F6225">
        <w:rPr>
          <w:rFonts w:ascii="Times New Roman" w:hAnsi="Times New Roman" w:cs="Times New Roman"/>
        </w:rPr>
        <w:t xml:space="preserve">Bu tür bir kararının alınması halinde hakkında tedbir uygulanan </w:t>
      </w:r>
      <w:r w:rsidR="00BB619F">
        <w:rPr>
          <w:rFonts w:ascii="Times New Roman" w:hAnsi="Times New Roman" w:cs="Times New Roman"/>
        </w:rPr>
        <w:t xml:space="preserve">şüpheli, </w:t>
      </w:r>
      <w:r w:rsidR="007F6225">
        <w:rPr>
          <w:rFonts w:ascii="Times New Roman" w:hAnsi="Times New Roman" w:cs="Times New Roman"/>
        </w:rPr>
        <w:t xml:space="preserve">tedbir </w:t>
      </w:r>
      <w:r w:rsidR="00BB619F">
        <w:rPr>
          <w:rFonts w:ascii="Times New Roman" w:hAnsi="Times New Roman" w:cs="Times New Roman"/>
        </w:rPr>
        <w:t xml:space="preserve">kararının alındığı tarihten </w:t>
      </w:r>
      <w:r w:rsidR="007F6225">
        <w:rPr>
          <w:rFonts w:ascii="Times New Roman" w:hAnsi="Times New Roman" w:cs="Times New Roman"/>
        </w:rPr>
        <w:t>başlayarak on ila</w:t>
      </w:r>
      <w:r w:rsidR="00BB619F">
        <w:rPr>
          <w:rFonts w:ascii="Times New Roman" w:hAnsi="Times New Roman" w:cs="Times New Roman"/>
        </w:rPr>
        <w:t xml:space="preserve"> yirmi gün </w:t>
      </w:r>
      <w:r w:rsidR="007F6225">
        <w:rPr>
          <w:rFonts w:ascii="Times New Roman" w:hAnsi="Times New Roman" w:cs="Times New Roman"/>
        </w:rPr>
        <w:t xml:space="preserve">içerisinde </w:t>
      </w:r>
      <w:r w:rsidR="00BB619F">
        <w:rPr>
          <w:rFonts w:ascii="Times New Roman" w:hAnsi="Times New Roman" w:cs="Times New Roman"/>
        </w:rPr>
        <w:t>yeniden savcı huzuruna çıkarılır</w:t>
      </w:r>
      <w:r w:rsidR="007F6225">
        <w:rPr>
          <w:rStyle w:val="FootnoteReference"/>
          <w:rFonts w:ascii="Times New Roman" w:hAnsi="Times New Roman" w:cs="Times New Roman"/>
        </w:rPr>
        <w:footnoteReference w:id="56"/>
      </w:r>
      <w:r w:rsidR="007F6225">
        <w:rPr>
          <w:rFonts w:ascii="Times New Roman" w:hAnsi="Times New Roman" w:cs="Times New Roman"/>
        </w:rPr>
        <w:t xml:space="preserve">. </w:t>
      </w:r>
      <w:r w:rsidR="00E77E97">
        <w:rPr>
          <w:rFonts w:ascii="Times New Roman" w:hAnsi="Times New Roman" w:cs="Times New Roman"/>
        </w:rPr>
        <w:t xml:space="preserve"> </w:t>
      </w:r>
    </w:p>
    <w:p w14:paraId="2649203A" w14:textId="77777777" w:rsidR="00C87F03" w:rsidRDefault="00C87F03" w:rsidP="00353561">
      <w:pPr>
        <w:spacing w:line="360" w:lineRule="auto"/>
        <w:jc w:val="both"/>
        <w:rPr>
          <w:rFonts w:ascii="Times New Roman" w:hAnsi="Times New Roman" w:cs="Times New Roman"/>
        </w:rPr>
      </w:pPr>
    </w:p>
    <w:p w14:paraId="7482DA56" w14:textId="77777777" w:rsidR="00611F64" w:rsidRDefault="00611F64" w:rsidP="00353561">
      <w:pPr>
        <w:spacing w:line="360" w:lineRule="auto"/>
        <w:jc w:val="both"/>
        <w:rPr>
          <w:rFonts w:ascii="Times New Roman" w:hAnsi="Times New Roman" w:cs="Times New Roman"/>
        </w:rPr>
      </w:pPr>
    </w:p>
    <w:p w14:paraId="5AFF154B" w14:textId="77777777" w:rsidR="00611F64" w:rsidRDefault="00611F64" w:rsidP="00353561">
      <w:pPr>
        <w:spacing w:line="360" w:lineRule="auto"/>
        <w:jc w:val="both"/>
        <w:rPr>
          <w:rFonts w:ascii="Times New Roman" w:hAnsi="Times New Roman" w:cs="Times New Roman"/>
        </w:rPr>
      </w:pPr>
    </w:p>
    <w:p w14:paraId="6DCD4B91" w14:textId="57171F97" w:rsidR="00985B0C" w:rsidRPr="00985B0C" w:rsidRDefault="00985B0C" w:rsidP="00985B0C">
      <w:pPr>
        <w:pStyle w:val="Heading2"/>
      </w:pPr>
      <w:r w:rsidRPr="00985B0C">
        <w:t xml:space="preserve">2. </w:t>
      </w:r>
      <w:r>
        <w:tab/>
      </w:r>
      <w:r w:rsidRPr="00985B0C">
        <w:t xml:space="preserve">Savcılığın Talebinin Mahkemeye Sunulması ve Değerlendirilmesi </w:t>
      </w:r>
    </w:p>
    <w:p w14:paraId="0E54FF28" w14:textId="77777777" w:rsidR="00985B0C" w:rsidRDefault="00985B0C" w:rsidP="00353561">
      <w:pPr>
        <w:spacing w:line="360" w:lineRule="auto"/>
        <w:jc w:val="both"/>
        <w:rPr>
          <w:rFonts w:ascii="Times New Roman" w:hAnsi="Times New Roman" w:cs="Times New Roman"/>
        </w:rPr>
      </w:pPr>
    </w:p>
    <w:p w14:paraId="3ECCAC57" w14:textId="34360A29" w:rsidR="00404614" w:rsidRDefault="007A0219" w:rsidP="004C5C11">
      <w:pPr>
        <w:spacing w:line="360" w:lineRule="auto"/>
        <w:ind w:firstLine="720"/>
        <w:jc w:val="both"/>
        <w:rPr>
          <w:rFonts w:ascii="Times New Roman" w:hAnsi="Times New Roman" w:cs="Times New Roman"/>
        </w:rPr>
      </w:pPr>
      <w:r>
        <w:rPr>
          <w:rFonts w:ascii="Times New Roman" w:hAnsi="Times New Roman" w:cs="Times New Roman"/>
        </w:rPr>
        <w:t>Şüpheli</w:t>
      </w:r>
      <w:r w:rsidR="009F137F">
        <w:rPr>
          <w:rFonts w:ascii="Times New Roman" w:hAnsi="Times New Roman" w:cs="Times New Roman"/>
        </w:rPr>
        <w:t>,</w:t>
      </w:r>
      <w:r w:rsidR="00C87F03">
        <w:rPr>
          <w:rFonts w:ascii="Times New Roman" w:hAnsi="Times New Roman" w:cs="Times New Roman"/>
        </w:rPr>
        <w:t xml:space="preserve"> </w:t>
      </w:r>
      <w:r w:rsidR="009F137F">
        <w:rPr>
          <w:rFonts w:ascii="Times New Roman" w:hAnsi="Times New Roman" w:cs="Times New Roman"/>
        </w:rPr>
        <w:t>savcının teklifini kabul ederse bu usulün yargısal aşamasına geçilir. Savcı kabul edilen teklifi</w:t>
      </w:r>
      <w:r>
        <w:rPr>
          <w:rFonts w:ascii="Times New Roman" w:hAnsi="Times New Roman" w:cs="Times New Roman"/>
        </w:rPr>
        <w:t>ni</w:t>
      </w:r>
      <w:r w:rsidR="003246C4">
        <w:rPr>
          <w:rFonts w:ascii="Times New Roman" w:hAnsi="Times New Roman" w:cs="Times New Roman"/>
        </w:rPr>
        <w:t>,</w:t>
      </w:r>
      <w:r w:rsidR="00664E32">
        <w:rPr>
          <w:rFonts w:ascii="Times New Roman" w:hAnsi="Times New Roman" w:cs="Times New Roman"/>
        </w:rPr>
        <w:t xml:space="preserve"> onaylanarak </w:t>
      </w:r>
      <w:r w:rsidR="009F137F">
        <w:rPr>
          <w:rFonts w:ascii="Times New Roman" w:hAnsi="Times New Roman" w:cs="Times New Roman"/>
        </w:rPr>
        <w:t xml:space="preserve">hükme bağlanması talebiyle yetkili mahkemeye sunar. </w:t>
      </w:r>
      <w:r w:rsidR="00F326A9">
        <w:rPr>
          <w:rFonts w:ascii="Times New Roman" w:hAnsi="Times New Roman" w:cs="Times New Roman"/>
        </w:rPr>
        <w:t>Bunun üzerine ş</w:t>
      </w:r>
      <w:r>
        <w:rPr>
          <w:rFonts w:ascii="Times New Roman" w:hAnsi="Times New Roman" w:cs="Times New Roman"/>
        </w:rPr>
        <w:t xml:space="preserve">üpheli </w:t>
      </w:r>
      <w:r w:rsidR="00FD032E">
        <w:rPr>
          <w:rFonts w:ascii="Times New Roman" w:hAnsi="Times New Roman" w:cs="Times New Roman"/>
        </w:rPr>
        <w:t>derhal savcının yazılı talebiyle başvurulan mahkeme başkanının veya onun tarafından görevlendirilen bir hakimin önüne çıkarılır</w:t>
      </w:r>
      <w:r w:rsidR="00664E32">
        <w:rPr>
          <w:rFonts w:ascii="Times New Roman" w:hAnsi="Times New Roman" w:cs="Times New Roman"/>
        </w:rPr>
        <w:t>.</w:t>
      </w:r>
      <w:r w:rsidR="00FD032E">
        <w:rPr>
          <w:rFonts w:ascii="Times New Roman" w:hAnsi="Times New Roman" w:cs="Times New Roman"/>
        </w:rPr>
        <w:t xml:space="preserve"> </w:t>
      </w:r>
      <w:r w:rsidR="008A6F21">
        <w:rPr>
          <w:rFonts w:ascii="Times New Roman" w:hAnsi="Times New Roman" w:cs="Times New Roman"/>
        </w:rPr>
        <w:t xml:space="preserve">Eğer </w:t>
      </w:r>
      <w:r w:rsidR="00F326A9">
        <w:rPr>
          <w:rFonts w:ascii="Times New Roman" w:hAnsi="Times New Roman" w:cs="Times New Roman"/>
        </w:rPr>
        <w:t xml:space="preserve">şüpheli </w:t>
      </w:r>
      <w:r w:rsidR="008A6F21">
        <w:rPr>
          <w:rFonts w:ascii="Times New Roman" w:hAnsi="Times New Roman" w:cs="Times New Roman"/>
        </w:rPr>
        <w:t>tutuklu değilse mahkeme başkanı veya görevlendirdiği hakim</w:t>
      </w:r>
      <w:r w:rsidR="00F326A9">
        <w:rPr>
          <w:rFonts w:ascii="Times New Roman" w:hAnsi="Times New Roman" w:cs="Times New Roman"/>
        </w:rPr>
        <w:t xml:space="preserve"> önüne çıkmak üzere çağrılması en fazla bir ayı bulabilir</w:t>
      </w:r>
      <w:r w:rsidR="00664E32">
        <w:rPr>
          <w:rFonts w:ascii="Times New Roman" w:hAnsi="Times New Roman" w:cs="Times New Roman"/>
        </w:rPr>
        <w:t xml:space="preserve"> (Fransız CMK m. 495-9, f. 1)</w:t>
      </w:r>
      <w:r w:rsidR="00404614">
        <w:rPr>
          <w:rFonts w:ascii="Times New Roman" w:hAnsi="Times New Roman" w:cs="Times New Roman"/>
        </w:rPr>
        <w:t>. Bu</w:t>
      </w:r>
      <w:r w:rsidR="00F326A9">
        <w:rPr>
          <w:rFonts w:ascii="Times New Roman" w:hAnsi="Times New Roman" w:cs="Times New Roman"/>
        </w:rPr>
        <w:t xml:space="preserve"> hükümden yola çıkılarak şüphelinin tutuklu olması halinde yetkili mahkeme önüne çıkarılmasının bir aylık bir sürece yayılamayacağı, derhal mahkeme önüne çıkarılmasının güve</w:t>
      </w:r>
      <w:r w:rsidR="00404614">
        <w:rPr>
          <w:rFonts w:ascii="Times New Roman" w:hAnsi="Times New Roman" w:cs="Times New Roman"/>
        </w:rPr>
        <w:t>nce altına alındığı ifade edilmektedir</w:t>
      </w:r>
      <w:r w:rsidR="00902215">
        <w:rPr>
          <w:rStyle w:val="FootnoteReference"/>
          <w:rFonts w:ascii="Times New Roman" w:hAnsi="Times New Roman" w:cs="Times New Roman"/>
        </w:rPr>
        <w:footnoteReference w:id="57"/>
      </w:r>
      <w:r w:rsidR="00404614">
        <w:rPr>
          <w:rFonts w:ascii="Times New Roman" w:hAnsi="Times New Roman" w:cs="Times New Roman"/>
        </w:rPr>
        <w:t xml:space="preserve">. </w:t>
      </w:r>
    </w:p>
    <w:p w14:paraId="0AB81524" w14:textId="77777777" w:rsidR="00404614" w:rsidRDefault="00404614" w:rsidP="004C5C11">
      <w:pPr>
        <w:spacing w:line="360" w:lineRule="auto"/>
        <w:ind w:firstLine="720"/>
        <w:jc w:val="both"/>
        <w:rPr>
          <w:rFonts w:ascii="Times New Roman" w:hAnsi="Times New Roman" w:cs="Times New Roman"/>
        </w:rPr>
      </w:pPr>
    </w:p>
    <w:p w14:paraId="7FCDB232" w14:textId="7F7BD5A3" w:rsidR="009705A3" w:rsidRDefault="00404614" w:rsidP="004C5C11">
      <w:pPr>
        <w:spacing w:line="360" w:lineRule="auto"/>
        <w:ind w:firstLine="720"/>
        <w:jc w:val="both"/>
        <w:rPr>
          <w:rFonts w:ascii="Times New Roman" w:hAnsi="Times New Roman" w:cs="Times New Roman"/>
        </w:rPr>
      </w:pPr>
      <w:r>
        <w:rPr>
          <w:rFonts w:ascii="Times New Roman" w:hAnsi="Times New Roman" w:cs="Times New Roman"/>
        </w:rPr>
        <w:t xml:space="preserve">Şüphelinin yetkili mahkeme veya görevlendirilmiş hakim önüne çıkmasıyla birlikte </w:t>
      </w:r>
      <w:r w:rsidR="00B27CDA">
        <w:rPr>
          <w:rFonts w:ascii="Times New Roman" w:hAnsi="Times New Roman" w:cs="Times New Roman"/>
        </w:rPr>
        <w:t xml:space="preserve">savcının yazılı talebinin onaylanmasına ilişkin bir duruşma görülür. </w:t>
      </w:r>
      <w:r w:rsidR="004C5C11">
        <w:rPr>
          <w:rFonts w:ascii="Times New Roman" w:hAnsi="Times New Roman" w:cs="Times New Roman"/>
        </w:rPr>
        <w:t xml:space="preserve">Bu duruşma </w:t>
      </w:r>
      <w:r w:rsidR="0062258A">
        <w:rPr>
          <w:rFonts w:ascii="Times New Roman" w:hAnsi="Times New Roman" w:cs="Times New Roman"/>
        </w:rPr>
        <w:t xml:space="preserve">alenidir (Fransız CMK m. 495-9, </w:t>
      </w:r>
      <w:r>
        <w:rPr>
          <w:rFonts w:ascii="Times New Roman" w:hAnsi="Times New Roman" w:cs="Times New Roman"/>
        </w:rPr>
        <w:t>f. 2)</w:t>
      </w:r>
      <w:r w:rsidR="004C5C11">
        <w:rPr>
          <w:rFonts w:ascii="Times New Roman" w:hAnsi="Times New Roman" w:cs="Times New Roman"/>
        </w:rPr>
        <w:t xml:space="preserve">. </w:t>
      </w:r>
      <w:r>
        <w:rPr>
          <w:rFonts w:ascii="Times New Roman" w:hAnsi="Times New Roman" w:cs="Times New Roman"/>
        </w:rPr>
        <w:t xml:space="preserve">Maddenin ilk düzenlendiği halinde, savcılığın talebinin “mahkeme heyetinin odasında” görüleceği ifade edilmiş, bu ifade </w:t>
      </w:r>
      <w:r w:rsidR="003246C4">
        <w:rPr>
          <w:rFonts w:ascii="Times New Roman" w:hAnsi="Times New Roman" w:cs="Times New Roman"/>
        </w:rPr>
        <w:t>K</w:t>
      </w:r>
      <w:r w:rsidR="007E03E4">
        <w:rPr>
          <w:rFonts w:ascii="Times New Roman" w:hAnsi="Times New Roman" w:cs="Times New Roman"/>
        </w:rPr>
        <w:t>anun</w:t>
      </w:r>
      <w:r w:rsidR="003246C4">
        <w:rPr>
          <w:rFonts w:ascii="Times New Roman" w:hAnsi="Times New Roman" w:cs="Times New Roman"/>
        </w:rPr>
        <w:t>’</w:t>
      </w:r>
      <w:r w:rsidR="007E03E4">
        <w:rPr>
          <w:rFonts w:ascii="Times New Roman" w:hAnsi="Times New Roman" w:cs="Times New Roman"/>
        </w:rPr>
        <w:t>un hazırlanma sürecinde Parlamento’da pek çok tartışmaya konu olmuş</w:t>
      </w:r>
      <w:r>
        <w:rPr>
          <w:rFonts w:ascii="Times New Roman" w:hAnsi="Times New Roman" w:cs="Times New Roman"/>
        </w:rPr>
        <w:t>tur</w:t>
      </w:r>
      <w:r w:rsidR="009F4B02">
        <w:rPr>
          <w:rStyle w:val="FootnoteReference"/>
          <w:rFonts w:ascii="Times New Roman" w:hAnsi="Times New Roman" w:cs="Times New Roman"/>
        </w:rPr>
        <w:footnoteReference w:id="58"/>
      </w:r>
      <w:r>
        <w:rPr>
          <w:rFonts w:ascii="Times New Roman" w:hAnsi="Times New Roman" w:cs="Times New Roman"/>
        </w:rPr>
        <w:t xml:space="preserve">. Bu tartışmalardan sonra ilgili maddeyi inceleyen </w:t>
      </w:r>
      <w:r w:rsidR="00810D16">
        <w:rPr>
          <w:rFonts w:ascii="Times New Roman" w:hAnsi="Times New Roman" w:cs="Times New Roman"/>
        </w:rPr>
        <w:t>Fransız Anayasa Mahkemesi (Fransız AYM)</w:t>
      </w:r>
      <w:r w:rsidR="000D52CD">
        <w:rPr>
          <w:rFonts w:ascii="Times New Roman" w:hAnsi="Times New Roman" w:cs="Times New Roman"/>
        </w:rPr>
        <w:t xml:space="preserve"> 2 Mart 2004 tarihli kararında</w:t>
      </w:r>
      <w:r w:rsidR="007E03E4">
        <w:rPr>
          <w:rStyle w:val="FootnoteReference"/>
          <w:rFonts w:ascii="Times New Roman" w:hAnsi="Times New Roman" w:cs="Times New Roman"/>
        </w:rPr>
        <w:footnoteReference w:id="59"/>
      </w:r>
      <w:r w:rsidR="000D52CD">
        <w:rPr>
          <w:rFonts w:ascii="Times New Roman" w:hAnsi="Times New Roman" w:cs="Times New Roman"/>
        </w:rPr>
        <w:t xml:space="preserve"> </w:t>
      </w:r>
      <w:r>
        <w:rPr>
          <w:rFonts w:ascii="Times New Roman" w:hAnsi="Times New Roman" w:cs="Times New Roman"/>
        </w:rPr>
        <w:t>hürriyeti bağlayıcı cezaya hükmedilebilen bir duruşmanın kamuya açık ve aleni o</w:t>
      </w:r>
      <w:r w:rsidR="00AC4AB2">
        <w:rPr>
          <w:rFonts w:ascii="Times New Roman" w:hAnsi="Times New Roman" w:cs="Times New Roman"/>
        </w:rPr>
        <w:t>lması gerektiğini vurgulayarak A</w:t>
      </w:r>
      <w:r>
        <w:rPr>
          <w:rFonts w:ascii="Times New Roman" w:hAnsi="Times New Roman" w:cs="Times New Roman"/>
        </w:rPr>
        <w:t>nayasa</w:t>
      </w:r>
      <w:r w:rsidR="00AC4AB2">
        <w:rPr>
          <w:rFonts w:ascii="Times New Roman" w:hAnsi="Times New Roman" w:cs="Times New Roman"/>
        </w:rPr>
        <w:t>’</w:t>
      </w:r>
      <w:r>
        <w:rPr>
          <w:rFonts w:ascii="Times New Roman" w:hAnsi="Times New Roman" w:cs="Times New Roman"/>
        </w:rPr>
        <w:t>ya aykırı bulmuştur</w:t>
      </w:r>
      <w:r w:rsidR="000D52CD">
        <w:rPr>
          <w:rStyle w:val="FootnoteReference"/>
          <w:rFonts w:ascii="Times New Roman" w:hAnsi="Times New Roman" w:cs="Times New Roman"/>
        </w:rPr>
        <w:footnoteReference w:id="60"/>
      </w:r>
      <w:r w:rsidR="000D52CD">
        <w:rPr>
          <w:rFonts w:ascii="Times New Roman" w:hAnsi="Times New Roman" w:cs="Times New Roman"/>
        </w:rPr>
        <w:t>.</w:t>
      </w:r>
      <w:r w:rsidR="00B27CDA">
        <w:rPr>
          <w:rFonts w:ascii="Times New Roman" w:hAnsi="Times New Roman" w:cs="Times New Roman"/>
        </w:rPr>
        <w:t xml:space="preserve"> </w:t>
      </w:r>
      <w:r>
        <w:rPr>
          <w:rFonts w:ascii="Times New Roman" w:hAnsi="Times New Roman" w:cs="Times New Roman"/>
        </w:rPr>
        <w:t xml:space="preserve">Bu karar doğrultusunda madde metninde suçluluğun ön kabulü üzerine duruşma usulündeki duruşmanın aleni olduğu açıkça belirtilmiştir. </w:t>
      </w:r>
    </w:p>
    <w:p w14:paraId="74C4F85B" w14:textId="77777777" w:rsidR="00D928F8" w:rsidRDefault="00D928F8" w:rsidP="004C5C11">
      <w:pPr>
        <w:spacing w:line="360" w:lineRule="auto"/>
        <w:ind w:firstLine="720"/>
        <w:jc w:val="both"/>
        <w:rPr>
          <w:rFonts w:ascii="Times New Roman" w:hAnsi="Times New Roman" w:cs="Times New Roman"/>
        </w:rPr>
      </w:pPr>
    </w:p>
    <w:p w14:paraId="0178B550" w14:textId="6681A7F9" w:rsidR="009705A3" w:rsidRDefault="00D928F8" w:rsidP="002A077B">
      <w:pPr>
        <w:spacing w:line="360" w:lineRule="auto"/>
        <w:ind w:firstLine="720"/>
        <w:jc w:val="both"/>
        <w:rPr>
          <w:rFonts w:ascii="Times New Roman" w:hAnsi="Times New Roman" w:cs="Times New Roman"/>
        </w:rPr>
      </w:pPr>
      <w:r>
        <w:rPr>
          <w:rFonts w:ascii="Times New Roman" w:hAnsi="Times New Roman" w:cs="Times New Roman"/>
        </w:rPr>
        <w:t xml:space="preserve">Bu usuldeki duruşmalarda hakim, </w:t>
      </w:r>
      <w:r w:rsidR="004B6B34">
        <w:rPr>
          <w:rFonts w:ascii="Times New Roman" w:hAnsi="Times New Roman" w:cs="Times New Roman"/>
        </w:rPr>
        <w:t>şüpheli</w:t>
      </w:r>
      <w:r>
        <w:rPr>
          <w:rFonts w:ascii="Times New Roman" w:hAnsi="Times New Roman" w:cs="Times New Roman"/>
        </w:rPr>
        <w:t xml:space="preserve"> ve müdafiin bulunması zorunlu olsa da</w:t>
      </w:r>
      <w:r>
        <w:rPr>
          <w:rStyle w:val="FootnoteReference"/>
          <w:rFonts w:ascii="Times New Roman" w:hAnsi="Times New Roman" w:cs="Times New Roman"/>
        </w:rPr>
        <w:footnoteReference w:id="61"/>
      </w:r>
      <w:r>
        <w:rPr>
          <w:rFonts w:ascii="Times New Roman" w:hAnsi="Times New Roman" w:cs="Times New Roman"/>
        </w:rPr>
        <w:t>, savcının hazır bulunması zorunlu değildir (Fransız CMK m. 495-9, f. 2). Savcının duruşmalarda hazır bulunup bulunmayacağı Fransız yargı organları önünde değerlendirilmiş, en son kanun koyucu tarafından yapılan 26.07.2005 tarihli kanun değişikliğiyle birlikte savcının hazır bulunmasının zorunlu olmadığı maddeye eklenmiştir</w:t>
      </w:r>
      <w:r>
        <w:rPr>
          <w:rStyle w:val="FootnoteReference"/>
          <w:rFonts w:ascii="Times New Roman" w:hAnsi="Times New Roman" w:cs="Times New Roman"/>
        </w:rPr>
        <w:footnoteReference w:id="62"/>
      </w:r>
      <w:r w:rsidR="00D52DEC">
        <w:rPr>
          <w:rFonts w:ascii="Times New Roman" w:hAnsi="Times New Roman" w:cs="Times New Roman"/>
        </w:rPr>
        <w:t xml:space="preserve">. </w:t>
      </w:r>
      <w:r>
        <w:rPr>
          <w:rFonts w:ascii="Times New Roman" w:hAnsi="Times New Roman" w:cs="Times New Roman"/>
        </w:rPr>
        <w:t>Burada özellikle, duruşmaların basitleştirilerek sürecin hızlandırılmasının suçluluğun ön kabulü üzerine duruşma usulünün varlık nedenlerinden biri olduğunun altı çizilmiş, savcının duruşmalarda bulunarak söz alması ve bir taraf olarak hareket etmesi halinde bu amacın anlamsız kalacağı ifade edilmiştir</w:t>
      </w:r>
      <w:r>
        <w:rPr>
          <w:rStyle w:val="FootnoteReference"/>
          <w:rFonts w:ascii="Times New Roman" w:hAnsi="Times New Roman" w:cs="Times New Roman"/>
        </w:rPr>
        <w:footnoteReference w:id="63"/>
      </w:r>
      <w:r>
        <w:rPr>
          <w:rFonts w:ascii="Times New Roman" w:hAnsi="Times New Roman" w:cs="Times New Roman"/>
        </w:rPr>
        <w:t xml:space="preserve">. Aynı şekilde, maddi olaya ilişkin hususlar </w:t>
      </w:r>
      <w:r w:rsidR="004B6B34">
        <w:rPr>
          <w:rFonts w:ascii="Times New Roman" w:hAnsi="Times New Roman" w:cs="Times New Roman"/>
        </w:rPr>
        <w:t>şüpheli</w:t>
      </w:r>
      <w:r>
        <w:rPr>
          <w:rFonts w:ascii="Times New Roman" w:hAnsi="Times New Roman" w:cs="Times New Roman"/>
        </w:rPr>
        <w:t xml:space="preserve"> tarafından kabul edildiği ve sürecin hızlandırılması amaçlandığı için tanıkların da duruşmaya çağırılması söz konusu değildir</w:t>
      </w:r>
      <w:r>
        <w:rPr>
          <w:rStyle w:val="FootnoteReference"/>
          <w:rFonts w:ascii="Times New Roman" w:hAnsi="Times New Roman" w:cs="Times New Roman"/>
        </w:rPr>
        <w:footnoteReference w:id="64"/>
      </w:r>
      <w:r>
        <w:rPr>
          <w:rFonts w:ascii="Times New Roman" w:hAnsi="Times New Roman" w:cs="Times New Roman"/>
        </w:rPr>
        <w:t xml:space="preserve">. Ancak mağdurun kimliği </w:t>
      </w:r>
      <w:r w:rsidR="005F24CC">
        <w:rPr>
          <w:rFonts w:ascii="Times New Roman" w:hAnsi="Times New Roman" w:cs="Times New Roman"/>
        </w:rPr>
        <w:t>belli ise mağdur</w:t>
      </w:r>
      <w:r>
        <w:rPr>
          <w:rFonts w:ascii="Times New Roman" w:hAnsi="Times New Roman" w:cs="Times New Roman"/>
        </w:rPr>
        <w:t xml:space="preserve"> bu usulün uygulandığından </w:t>
      </w:r>
      <w:r w:rsidR="00DB0E25">
        <w:rPr>
          <w:rFonts w:ascii="Times New Roman" w:hAnsi="Times New Roman" w:cs="Times New Roman"/>
        </w:rPr>
        <w:t xml:space="preserve">derhal </w:t>
      </w:r>
      <w:r>
        <w:rPr>
          <w:rFonts w:ascii="Times New Roman" w:hAnsi="Times New Roman" w:cs="Times New Roman"/>
        </w:rPr>
        <w:t>haberdar edilerek duruşmaya çağrılır</w:t>
      </w:r>
      <w:r w:rsidR="00DB0E25">
        <w:rPr>
          <w:rFonts w:ascii="Times New Roman" w:hAnsi="Times New Roman" w:cs="Times New Roman"/>
        </w:rPr>
        <w:t xml:space="preserve"> (Fransız CMK m. 495-13, f. 1)</w:t>
      </w:r>
      <w:r>
        <w:rPr>
          <w:rFonts w:ascii="Times New Roman" w:hAnsi="Times New Roman" w:cs="Times New Roman"/>
        </w:rPr>
        <w:t xml:space="preserve">. </w:t>
      </w:r>
      <w:r w:rsidR="00D03746">
        <w:rPr>
          <w:rFonts w:ascii="Times New Roman" w:hAnsi="Times New Roman" w:cs="Times New Roman"/>
        </w:rPr>
        <w:t>Fransız hukukunda mağdurun suç nedeniyle oluşan tazminat hakkını talep amacıyla şahsi dava açma hakkı da bulunmakta</w:t>
      </w:r>
      <w:r w:rsidR="009D31BA">
        <w:rPr>
          <w:rFonts w:ascii="Times New Roman" w:hAnsi="Times New Roman" w:cs="Times New Roman"/>
        </w:rPr>
        <w:t xml:space="preserve"> (Fransız CMK m. 2)</w:t>
      </w:r>
      <w:r w:rsidR="003239F7">
        <w:rPr>
          <w:rStyle w:val="FootnoteReference"/>
          <w:rFonts w:ascii="Times New Roman" w:hAnsi="Times New Roman" w:cs="Times New Roman"/>
        </w:rPr>
        <w:footnoteReference w:id="65"/>
      </w:r>
      <w:r w:rsidR="00D03746">
        <w:rPr>
          <w:rFonts w:ascii="Times New Roman" w:hAnsi="Times New Roman" w:cs="Times New Roman"/>
        </w:rPr>
        <w:t>, bu durumda ceza davasında mahkeme tarafından tazminata da hükmedilebilmektedir. Bu doğrultuda suçluluğun ön kabulü üzer</w:t>
      </w:r>
      <w:r w:rsidR="003239F7">
        <w:rPr>
          <w:rFonts w:ascii="Times New Roman" w:hAnsi="Times New Roman" w:cs="Times New Roman"/>
        </w:rPr>
        <w:t>ine duruşma usulündeki duruşmada hem ceza davası hem de mağdurun şahsi davası hakkında hüküm verilir</w:t>
      </w:r>
      <w:r w:rsidR="00D03746">
        <w:rPr>
          <w:rStyle w:val="FootnoteReference"/>
          <w:rFonts w:ascii="Times New Roman" w:hAnsi="Times New Roman" w:cs="Times New Roman"/>
        </w:rPr>
        <w:footnoteReference w:id="66"/>
      </w:r>
      <w:r w:rsidR="00D03746">
        <w:rPr>
          <w:rFonts w:ascii="Times New Roman" w:hAnsi="Times New Roman" w:cs="Times New Roman"/>
        </w:rPr>
        <w:t xml:space="preserve">. </w:t>
      </w:r>
      <w:r w:rsidR="003E71CC">
        <w:rPr>
          <w:rFonts w:ascii="Times New Roman" w:hAnsi="Times New Roman" w:cs="Times New Roman"/>
        </w:rPr>
        <w:t>Eğer m</w:t>
      </w:r>
      <w:r>
        <w:rPr>
          <w:rFonts w:ascii="Times New Roman" w:hAnsi="Times New Roman" w:cs="Times New Roman"/>
        </w:rPr>
        <w:t>ağdur</w:t>
      </w:r>
      <w:r w:rsidR="003E71CC">
        <w:rPr>
          <w:rFonts w:ascii="Times New Roman" w:hAnsi="Times New Roman" w:cs="Times New Roman"/>
        </w:rPr>
        <w:t xml:space="preserve"> bu</w:t>
      </w:r>
      <w:r w:rsidR="00DB0E25">
        <w:rPr>
          <w:rFonts w:ascii="Times New Roman" w:hAnsi="Times New Roman" w:cs="Times New Roman"/>
        </w:rPr>
        <w:t xml:space="preserve"> duruşmaya katılma hakkını kullanamadıysa, </w:t>
      </w:r>
      <w:r>
        <w:rPr>
          <w:rFonts w:ascii="Times New Roman" w:hAnsi="Times New Roman" w:cs="Times New Roman"/>
        </w:rPr>
        <w:t xml:space="preserve">failin olağan usulde mahkeme önüne çıkarılmasını sağlamak üzere doğrudan </w:t>
      </w:r>
      <w:r w:rsidR="00DB0E25">
        <w:rPr>
          <w:rFonts w:ascii="Times New Roman" w:hAnsi="Times New Roman" w:cs="Times New Roman"/>
        </w:rPr>
        <w:t>davet</w:t>
      </w:r>
      <w:r>
        <w:rPr>
          <w:rFonts w:ascii="Times New Roman" w:hAnsi="Times New Roman" w:cs="Times New Roman"/>
        </w:rPr>
        <w:t xml:space="preserve"> (</w:t>
      </w:r>
      <w:r w:rsidRPr="003246C4">
        <w:rPr>
          <w:rFonts w:ascii="Times New Roman" w:hAnsi="Times New Roman" w:cs="Times New Roman"/>
          <w:i/>
        </w:rPr>
        <w:t>citation directe</w:t>
      </w:r>
      <w:r w:rsidR="00DB0E25">
        <w:rPr>
          <w:rFonts w:ascii="Times New Roman" w:hAnsi="Times New Roman" w:cs="Times New Roman"/>
        </w:rPr>
        <w:t>) yoluna</w:t>
      </w:r>
      <w:r w:rsidR="002A077B">
        <w:rPr>
          <w:rFonts w:ascii="Times New Roman" w:hAnsi="Times New Roman" w:cs="Times New Roman"/>
        </w:rPr>
        <w:t xml:space="preserve"> </w:t>
      </w:r>
      <w:r w:rsidR="00DB0E25">
        <w:rPr>
          <w:rFonts w:ascii="Times New Roman" w:hAnsi="Times New Roman" w:cs="Times New Roman"/>
        </w:rPr>
        <w:t>gitme imkanını kullanabilecektir (Fransız CMK m. 495-13, f. 2)</w:t>
      </w:r>
      <w:r>
        <w:rPr>
          <w:rStyle w:val="FootnoteReference"/>
          <w:rFonts w:ascii="Times New Roman" w:hAnsi="Times New Roman" w:cs="Times New Roman"/>
        </w:rPr>
        <w:footnoteReference w:id="67"/>
      </w:r>
      <w:r>
        <w:rPr>
          <w:rFonts w:ascii="Times New Roman" w:hAnsi="Times New Roman" w:cs="Times New Roman"/>
        </w:rPr>
        <w:t xml:space="preserve">. </w:t>
      </w:r>
    </w:p>
    <w:p w14:paraId="769B0972" w14:textId="77777777" w:rsidR="00D928F8" w:rsidRDefault="00D928F8" w:rsidP="004C5C11">
      <w:pPr>
        <w:spacing w:line="360" w:lineRule="auto"/>
        <w:ind w:firstLine="720"/>
        <w:jc w:val="both"/>
        <w:rPr>
          <w:rFonts w:ascii="Times New Roman" w:hAnsi="Times New Roman" w:cs="Times New Roman"/>
        </w:rPr>
      </w:pPr>
    </w:p>
    <w:p w14:paraId="798D3F63" w14:textId="37B1F398" w:rsidR="00D928F8" w:rsidRDefault="008B12A7" w:rsidP="00EA5B13">
      <w:pPr>
        <w:spacing w:line="360" w:lineRule="auto"/>
        <w:ind w:firstLine="720"/>
        <w:jc w:val="both"/>
        <w:rPr>
          <w:rFonts w:ascii="Times New Roman" w:hAnsi="Times New Roman" w:cs="Times New Roman"/>
        </w:rPr>
      </w:pPr>
      <w:r>
        <w:rPr>
          <w:rFonts w:ascii="Times New Roman" w:hAnsi="Times New Roman" w:cs="Times New Roman"/>
        </w:rPr>
        <w:t>Bu usulde</w:t>
      </w:r>
      <w:r w:rsidR="002C25B3">
        <w:rPr>
          <w:rFonts w:ascii="Times New Roman" w:hAnsi="Times New Roman" w:cs="Times New Roman"/>
        </w:rPr>
        <w:t xml:space="preserve"> h</w:t>
      </w:r>
      <w:r w:rsidR="003246C4">
        <w:rPr>
          <w:rFonts w:ascii="Times New Roman" w:hAnsi="Times New Roman" w:cs="Times New Roman"/>
        </w:rPr>
        <w:t>akim</w:t>
      </w:r>
      <w:r w:rsidR="008A6F21">
        <w:rPr>
          <w:rFonts w:ascii="Times New Roman" w:hAnsi="Times New Roman" w:cs="Times New Roman"/>
        </w:rPr>
        <w:t xml:space="preserve"> şüpheli ile müdafiini kamuya açık duruşmada dinler ve olaya konu eylemler</w:t>
      </w:r>
      <w:r w:rsidR="002C25B3">
        <w:rPr>
          <w:rFonts w:ascii="Times New Roman" w:hAnsi="Times New Roman" w:cs="Times New Roman"/>
        </w:rPr>
        <w:t>in gerçek olup olmadığı</w:t>
      </w:r>
      <w:r w:rsidR="008A6F21">
        <w:rPr>
          <w:rFonts w:ascii="Times New Roman" w:hAnsi="Times New Roman" w:cs="Times New Roman"/>
        </w:rPr>
        <w:t xml:space="preserve"> ile hukuki nitelendirmesini değerlendirir</w:t>
      </w:r>
      <w:r w:rsidR="002C25B3">
        <w:rPr>
          <w:rFonts w:ascii="Times New Roman" w:hAnsi="Times New Roman" w:cs="Times New Roman"/>
        </w:rPr>
        <w:t xml:space="preserve"> (Fransız CMK m. 495-9, f. 2)</w:t>
      </w:r>
      <w:r w:rsidR="0031715B">
        <w:rPr>
          <w:rStyle w:val="FootnoteReference"/>
          <w:rFonts w:ascii="Times New Roman" w:hAnsi="Times New Roman" w:cs="Times New Roman"/>
        </w:rPr>
        <w:footnoteReference w:id="68"/>
      </w:r>
      <w:r w:rsidR="008A6F21">
        <w:rPr>
          <w:rFonts w:ascii="Times New Roman" w:hAnsi="Times New Roman" w:cs="Times New Roman"/>
        </w:rPr>
        <w:t xml:space="preserve">. </w:t>
      </w:r>
      <w:r w:rsidR="00504AB0">
        <w:rPr>
          <w:rFonts w:ascii="Times New Roman" w:hAnsi="Times New Roman" w:cs="Times New Roman"/>
        </w:rPr>
        <w:t xml:space="preserve">Bu </w:t>
      </w:r>
      <w:r w:rsidR="002C25B3">
        <w:rPr>
          <w:rFonts w:ascii="Times New Roman" w:hAnsi="Times New Roman" w:cs="Times New Roman"/>
        </w:rPr>
        <w:t xml:space="preserve">değerlendirme </w:t>
      </w:r>
      <w:r w:rsidR="00504AB0">
        <w:rPr>
          <w:rFonts w:ascii="Times New Roman" w:hAnsi="Times New Roman" w:cs="Times New Roman"/>
        </w:rPr>
        <w:t>kapsam</w:t>
      </w:r>
      <w:r w:rsidR="002C25B3">
        <w:rPr>
          <w:rFonts w:ascii="Times New Roman" w:hAnsi="Times New Roman" w:cs="Times New Roman"/>
        </w:rPr>
        <w:t>ın</w:t>
      </w:r>
      <w:r w:rsidR="00504AB0">
        <w:rPr>
          <w:rFonts w:ascii="Times New Roman" w:hAnsi="Times New Roman" w:cs="Times New Roman"/>
        </w:rPr>
        <w:t>da olayla ilgili bilgilerin gerçeğe uygunluğunu, failin teklifi kabu</w:t>
      </w:r>
      <w:r w:rsidR="0031715B">
        <w:rPr>
          <w:rFonts w:ascii="Times New Roman" w:hAnsi="Times New Roman" w:cs="Times New Roman"/>
        </w:rPr>
        <w:t>lünde samimi olup olmadığın</w:t>
      </w:r>
      <w:r w:rsidR="00A45FC5">
        <w:rPr>
          <w:rFonts w:ascii="Times New Roman" w:hAnsi="Times New Roman" w:cs="Times New Roman"/>
        </w:rPr>
        <w:t>ı</w:t>
      </w:r>
      <w:r w:rsidR="00A45FC5">
        <w:rPr>
          <w:rStyle w:val="FootnoteReference"/>
          <w:rFonts w:ascii="Times New Roman" w:hAnsi="Times New Roman" w:cs="Times New Roman"/>
        </w:rPr>
        <w:footnoteReference w:id="69"/>
      </w:r>
      <w:r w:rsidR="00A45FC5">
        <w:rPr>
          <w:rFonts w:ascii="Times New Roman" w:hAnsi="Times New Roman" w:cs="Times New Roman"/>
        </w:rPr>
        <w:t>, kabul beyanının müdafiin hazır bulunduğu anda yapılıp yapılmadığını</w:t>
      </w:r>
      <w:r w:rsidR="00EA5B13">
        <w:rPr>
          <w:rFonts w:ascii="Times New Roman" w:hAnsi="Times New Roman" w:cs="Times New Roman"/>
        </w:rPr>
        <w:t>, beş yıllık hapis cezası üst sınırına riayet edilip edilmediği gibi, bu usul kapsamında bir suç olup olmadığını gösteren hususları</w:t>
      </w:r>
      <w:r w:rsidR="0031715B">
        <w:rPr>
          <w:rFonts w:ascii="Times New Roman" w:hAnsi="Times New Roman" w:cs="Times New Roman"/>
        </w:rPr>
        <w:t xml:space="preserve"> </w:t>
      </w:r>
      <w:r w:rsidR="002C25B3">
        <w:rPr>
          <w:rFonts w:ascii="Times New Roman" w:hAnsi="Times New Roman" w:cs="Times New Roman"/>
        </w:rPr>
        <w:t xml:space="preserve">da </w:t>
      </w:r>
      <w:r w:rsidR="0031715B">
        <w:rPr>
          <w:rFonts w:ascii="Times New Roman" w:hAnsi="Times New Roman" w:cs="Times New Roman"/>
        </w:rPr>
        <w:t>denetler</w:t>
      </w:r>
      <w:r w:rsidR="00A45FC5">
        <w:rPr>
          <w:rStyle w:val="FootnoteReference"/>
          <w:rFonts w:ascii="Times New Roman" w:hAnsi="Times New Roman" w:cs="Times New Roman"/>
        </w:rPr>
        <w:footnoteReference w:id="70"/>
      </w:r>
      <w:r w:rsidR="00504AB0">
        <w:rPr>
          <w:rFonts w:ascii="Times New Roman" w:hAnsi="Times New Roman" w:cs="Times New Roman"/>
        </w:rPr>
        <w:t xml:space="preserve">. </w:t>
      </w:r>
    </w:p>
    <w:p w14:paraId="1D41261B" w14:textId="77777777" w:rsidR="00DC49BF" w:rsidRDefault="00DC49BF" w:rsidP="00353561">
      <w:pPr>
        <w:spacing w:line="360" w:lineRule="auto"/>
        <w:jc w:val="both"/>
        <w:rPr>
          <w:rFonts w:ascii="Times New Roman" w:hAnsi="Times New Roman" w:cs="Times New Roman"/>
        </w:rPr>
      </w:pPr>
    </w:p>
    <w:p w14:paraId="4454C5D4" w14:textId="4D791F8F" w:rsidR="00985B0C" w:rsidRDefault="00985B0C" w:rsidP="00DE15EC">
      <w:pPr>
        <w:pStyle w:val="Heading2"/>
      </w:pPr>
      <w:r w:rsidRPr="00985B0C">
        <w:t xml:space="preserve">3. </w:t>
      </w:r>
      <w:r>
        <w:tab/>
      </w:r>
      <w:r w:rsidRPr="00985B0C">
        <w:t xml:space="preserve">Talebin Mahkemece Karara Bağlanması </w:t>
      </w:r>
    </w:p>
    <w:p w14:paraId="40DADA7F" w14:textId="77777777" w:rsidR="00985B0C" w:rsidRDefault="00985B0C" w:rsidP="00353561">
      <w:pPr>
        <w:spacing w:line="360" w:lineRule="auto"/>
        <w:jc w:val="both"/>
        <w:rPr>
          <w:rFonts w:ascii="Times New Roman" w:hAnsi="Times New Roman" w:cs="Times New Roman"/>
          <w:b/>
        </w:rPr>
      </w:pPr>
    </w:p>
    <w:p w14:paraId="556FF571" w14:textId="087157CC" w:rsidR="00985B0C" w:rsidRDefault="00985B0C" w:rsidP="00985B0C">
      <w:pPr>
        <w:spacing w:line="360" w:lineRule="auto"/>
        <w:ind w:firstLine="720"/>
        <w:jc w:val="both"/>
        <w:rPr>
          <w:rFonts w:ascii="Times New Roman" w:hAnsi="Times New Roman" w:cs="Times New Roman"/>
        </w:rPr>
      </w:pPr>
      <w:r>
        <w:rPr>
          <w:rFonts w:ascii="Times New Roman" w:hAnsi="Times New Roman" w:cs="Times New Roman"/>
        </w:rPr>
        <w:t>Değerlendirmesi sonucunda eylemler ve hukuki sonucu teyit eden mahkeme başkanı veya görevli hakim savcı tarafından teklif edilen cezayı veya cezaları yazılı olarak onaylamaya karar verirse, kararını aynı gün gerekçeli bir kararname (</w:t>
      </w:r>
      <w:r w:rsidRPr="00F7494F">
        <w:rPr>
          <w:rFonts w:ascii="Times New Roman" w:hAnsi="Times New Roman" w:cs="Times New Roman"/>
          <w:i/>
        </w:rPr>
        <w:t>ordonnance</w:t>
      </w:r>
      <w:r>
        <w:rPr>
          <w:rFonts w:ascii="Times New Roman" w:hAnsi="Times New Roman" w:cs="Times New Roman"/>
        </w:rPr>
        <w:t>) ile açıklar</w:t>
      </w:r>
      <w:r w:rsidR="007B38DC">
        <w:rPr>
          <w:rFonts w:ascii="Times New Roman" w:hAnsi="Times New Roman" w:cs="Times New Roman"/>
        </w:rPr>
        <w:t xml:space="preserve"> (Fransız CMK m. 495-9, f. 2)</w:t>
      </w:r>
      <w:r>
        <w:rPr>
          <w:rFonts w:ascii="Times New Roman" w:hAnsi="Times New Roman" w:cs="Times New Roman"/>
        </w:rPr>
        <w:t>. Bu noktada maddedeki “onaylamaya karar verebileceği” ifadesinin de belirttiği şekilde, hakimin değerlendirmesi sonucunda savcılığın teklifini onaylamak konusunda takdir yetkisi bulunduğu, onay zorunluluğu bulunmadığı anlaşılmaktadır</w:t>
      </w:r>
      <w:r>
        <w:rPr>
          <w:rStyle w:val="FootnoteReference"/>
          <w:rFonts w:ascii="Times New Roman" w:hAnsi="Times New Roman" w:cs="Times New Roman"/>
        </w:rPr>
        <w:footnoteReference w:id="71"/>
      </w:r>
      <w:r>
        <w:rPr>
          <w:rFonts w:ascii="Times New Roman" w:hAnsi="Times New Roman" w:cs="Times New Roman"/>
        </w:rPr>
        <w:t xml:space="preserve">. </w:t>
      </w:r>
    </w:p>
    <w:p w14:paraId="26FD1088" w14:textId="77777777" w:rsidR="00985B0C" w:rsidRPr="00985B0C" w:rsidRDefault="00985B0C" w:rsidP="00353561">
      <w:pPr>
        <w:spacing w:line="360" w:lineRule="auto"/>
        <w:jc w:val="both"/>
        <w:rPr>
          <w:rFonts w:ascii="Times New Roman" w:hAnsi="Times New Roman" w:cs="Times New Roman"/>
          <w:b/>
        </w:rPr>
      </w:pPr>
    </w:p>
    <w:p w14:paraId="44502E24" w14:textId="5493F277" w:rsidR="00504AB0" w:rsidRDefault="00764AAA" w:rsidP="005C49BA">
      <w:pPr>
        <w:spacing w:line="360" w:lineRule="auto"/>
        <w:ind w:firstLine="720"/>
        <w:jc w:val="both"/>
        <w:rPr>
          <w:rFonts w:ascii="Times New Roman" w:hAnsi="Times New Roman" w:cs="Times New Roman"/>
        </w:rPr>
      </w:pPr>
      <w:r>
        <w:rPr>
          <w:rFonts w:ascii="Times New Roman" w:hAnsi="Times New Roman" w:cs="Times New Roman"/>
        </w:rPr>
        <w:t>Mahkeme başkanı veya görevli hak</w:t>
      </w:r>
      <w:r w:rsidR="00F7494F">
        <w:rPr>
          <w:rFonts w:ascii="Times New Roman" w:hAnsi="Times New Roman" w:cs="Times New Roman"/>
        </w:rPr>
        <w:t>im tarafından hükmedilen</w:t>
      </w:r>
      <w:r w:rsidR="00C1060E">
        <w:rPr>
          <w:rFonts w:ascii="Times New Roman" w:hAnsi="Times New Roman" w:cs="Times New Roman"/>
        </w:rPr>
        <w:t xml:space="preserve"> onay</w:t>
      </w:r>
      <w:r w:rsidR="00F7494F">
        <w:rPr>
          <w:rFonts w:ascii="Times New Roman" w:hAnsi="Times New Roman" w:cs="Times New Roman"/>
        </w:rPr>
        <w:t xml:space="preserve"> kararname</w:t>
      </w:r>
      <w:r w:rsidR="00C1060E">
        <w:rPr>
          <w:rFonts w:ascii="Times New Roman" w:hAnsi="Times New Roman" w:cs="Times New Roman"/>
        </w:rPr>
        <w:t>si</w:t>
      </w:r>
      <w:r w:rsidR="00F7494F">
        <w:rPr>
          <w:rFonts w:ascii="Times New Roman" w:hAnsi="Times New Roman" w:cs="Times New Roman"/>
        </w:rPr>
        <w:t>nin</w:t>
      </w:r>
      <w:r w:rsidR="003246C4">
        <w:rPr>
          <w:rFonts w:ascii="Times New Roman" w:hAnsi="Times New Roman" w:cs="Times New Roman"/>
        </w:rPr>
        <w:t xml:space="preserve"> </w:t>
      </w:r>
      <w:r w:rsidR="00C1060E">
        <w:rPr>
          <w:rFonts w:ascii="Times New Roman" w:hAnsi="Times New Roman" w:cs="Times New Roman"/>
        </w:rPr>
        <w:t>gerekçeli olması gerektiği ve gerekçelerin içeriği Fransız CMK m. 4</w:t>
      </w:r>
      <w:r w:rsidR="00A90FBA">
        <w:rPr>
          <w:rFonts w:ascii="Times New Roman" w:hAnsi="Times New Roman" w:cs="Times New Roman"/>
        </w:rPr>
        <w:t xml:space="preserve">95-11, f. 1’de gösterilmiştir. </w:t>
      </w:r>
      <w:r w:rsidR="00C1060E">
        <w:rPr>
          <w:rFonts w:ascii="Times New Roman" w:hAnsi="Times New Roman" w:cs="Times New Roman"/>
        </w:rPr>
        <w:t>Bu hükme göre hakim, ş</w:t>
      </w:r>
      <w:r>
        <w:rPr>
          <w:rFonts w:ascii="Times New Roman" w:hAnsi="Times New Roman" w:cs="Times New Roman"/>
        </w:rPr>
        <w:t>üphelinin kendisine isnat edilen eylemleri ve savcılık tarafından teklif edilen cezai yaptırımları m</w:t>
      </w:r>
      <w:r w:rsidR="007B38DC">
        <w:rPr>
          <w:rFonts w:ascii="Times New Roman" w:hAnsi="Times New Roman" w:cs="Times New Roman"/>
        </w:rPr>
        <w:t xml:space="preserve">üdafii huzurunda kabul ettiğini, </w:t>
      </w:r>
      <w:r>
        <w:rPr>
          <w:rFonts w:ascii="Times New Roman" w:hAnsi="Times New Roman" w:cs="Times New Roman"/>
        </w:rPr>
        <w:t>ayrıca, hükmedilen cezai yaptırımların suçun işlendiği koşullar ve failin kişiliği yönünden temellendirilmiş olduğunu içer</w:t>
      </w:r>
      <w:r w:rsidR="00C1060E">
        <w:rPr>
          <w:rFonts w:ascii="Times New Roman" w:hAnsi="Times New Roman" w:cs="Times New Roman"/>
        </w:rPr>
        <w:t xml:space="preserve">en bir gerekçe sunmalıdır. </w:t>
      </w:r>
      <w:r w:rsidR="001662E3">
        <w:rPr>
          <w:rFonts w:ascii="Times New Roman" w:hAnsi="Times New Roman" w:cs="Times New Roman"/>
        </w:rPr>
        <w:t>2019 yılındaki</w:t>
      </w:r>
      <w:r w:rsidR="00DC66F9">
        <w:rPr>
          <w:rFonts w:ascii="Times New Roman" w:hAnsi="Times New Roman" w:cs="Times New Roman"/>
        </w:rPr>
        <w:t xml:space="preserve"> kanun değişikliği ile Fransız CMK’ye </w:t>
      </w:r>
      <w:r w:rsidR="001662E3">
        <w:rPr>
          <w:rFonts w:ascii="Times New Roman" w:hAnsi="Times New Roman" w:cs="Times New Roman"/>
        </w:rPr>
        <w:t xml:space="preserve">eklenen </w:t>
      </w:r>
      <w:r w:rsidR="00C8659B">
        <w:rPr>
          <w:rFonts w:ascii="Times New Roman" w:hAnsi="Times New Roman" w:cs="Times New Roman"/>
        </w:rPr>
        <w:t xml:space="preserve">m. 495-11, f. 1 ile birlikte </w:t>
      </w:r>
      <w:r w:rsidR="001662E3">
        <w:rPr>
          <w:rFonts w:ascii="Times New Roman" w:hAnsi="Times New Roman" w:cs="Times New Roman"/>
        </w:rPr>
        <w:t xml:space="preserve">hakimin duruşma esnasında yapacağı denetimin içeriği de </w:t>
      </w:r>
      <w:r w:rsidR="009A4717">
        <w:rPr>
          <w:rFonts w:ascii="Times New Roman" w:hAnsi="Times New Roman" w:cs="Times New Roman"/>
        </w:rPr>
        <w:t>yeniden</w:t>
      </w:r>
      <w:r w:rsidR="001662E3">
        <w:rPr>
          <w:rFonts w:ascii="Times New Roman" w:hAnsi="Times New Roman" w:cs="Times New Roman"/>
        </w:rPr>
        <w:t xml:space="preserve"> </w:t>
      </w:r>
      <w:r w:rsidR="009A4717">
        <w:rPr>
          <w:rFonts w:ascii="Times New Roman" w:hAnsi="Times New Roman" w:cs="Times New Roman"/>
        </w:rPr>
        <w:t>formüle edilmiş</w:t>
      </w:r>
      <w:r w:rsidR="001662E3">
        <w:rPr>
          <w:rFonts w:ascii="Times New Roman" w:hAnsi="Times New Roman" w:cs="Times New Roman"/>
        </w:rPr>
        <w:t xml:space="preserve"> olmaktadır. </w:t>
      </w:r>
      <w:r w:rsidR="00C1060E">
        <w:rPr>
          <w:rFonts w:ascii="Times New Roman" w:hAnsi="Times New Roman" w:cs="Times New Roman"/>
        </w:rPr>
        <w:t>Böylece h</w:t>
      </w:r>
      <w:r w:rsidR="001662E3">
        <w:rPr>
          <w:rFonts w:ascii="Times New Roman" w:hAnsi="Times New Roman" w:cs="Times New Roman"/>
        </w:rPr>
        <w:t>akim</w:t>
      </w:r>
      <w:r w:rsidR="00C1060E">
        <w:rPr>
          <w:rFonts w:ascii="Times New Roman" w:hAnsi="Times New Roman" w:cs="Times New Roman"/>
        </w:rPr>
        <w:t>in</w:t>
      </w:r>
      <w:r w:rsidR="001662E3">
        <w:rPr>
          <w:rFonts w:ascii="Times New Roman" w:hAnsi="Times New Roman" w:cs="Times New Roman"/>
        </w:rPr>
        <w:t>, somut olayın ko</w:t>
      </w:r>
      <w:r w:rsidR="00C1060E">
        <w:rPr>
          <w:rFonts w:ascii="Times New Roman" w:hAnsi="Times New Roman" w:cs="Times New Roman"/>
        </w:rPr>
        <w:t>şullarıyla bağlantısını kurmak için savcılığın teklif ettiği cezayı</w:t>
      </w:r>
      <w:r w:rsidR="00C8659B">
        <w:rPr>
          <w:rFonts w:ascii="Times New Roman" w:hAnsi="Times New Roman" w:cs="Times New Roman"/>
        </w:rPr>
        <w:t xml:space="preserve"> da</w:t>
      </w:r>
      <w:r w:rsidR="00C1060E">
        <w:rPr>
          <w:rFonts w:ascii="Times New Roman" w:hAnsi="Times New Roman" w:cs="Times New Roman"/>
        </w:rPr>
        <w:t xml:space="preserve"> gözden geçirmesi </w:t>
      </w:r>
      <w:r w:rsidR="00A90FBA">
        <w:rPr>
          <w:rFonts w:ascii="Times New Roman" w:hAnsi="Times New Roman" w:cs="Times New Roman"/>
        </w:rPr>
        <w:t>beklenmektedir</w:t>
      </w:r>
      <w:r w:rsidR="0057187F">
        <w:rPr>
          <w:rStyle w:val="FootnoteReference"/>
          <w:rFonts w:ascii="Times New Roman" w:hAnsi="Times New Roman" w:cs="Times New Roman"/>
        </w:rPr>
        <w:footnoteReference w:id="72"/>
      </w:r>
      <w:r w:rsidR="001662E3">
        <w:rPr>
          <w:rFonts w:ascii="Times New Roman" w:hAnsi="Times New Roman" w:cs="Times New Roman"/>
        </w:rPr>
        <w:t xml:space="preserve">. </w:t>
      </w:r>
      <w:r w:rsidR="008B5DD6">
        <w:rPr>
          <w:rFonts w:ascii="Times New Roman" w:hAnsi="Times New Roman" w:cs="Times New Roman"/>
        </w:rPr>
        <w:t>Mahkeme başkanı veya hakimin savcılığın teklifini değerlendirmesinin kapsamı</w:t>
      </w:r>
      <w:r w:rsidR="00A90FBA">
        <w:rPr>
          <w:rFonts w:ascii="Times New Roman" w:hAnsi="Times New Roman" w:cs="Times New Roman"/>
        </w:rPr>
        <w:t>,</w:t>
      </w:r>
      <w:r w:rsidR="008B5DD6">
        <w:rPr>
          <w:rFonts w:ascii="Times New Roman" w:hAnsi="Times New Roman" w:cs="Times New Roman"/>
        </w:rPr>
        <w:t xml:space="preserve"> 2004 yılında </w:t>
      </w:r>
      <w:r w:rsidR="0066066A">
        <w:rPr>
          <w:rFonts w:ascii="Times New Roman" w:hAnsi="Times New Roman" w:cs="Times New Roman"/>
        </w:rPr>
        <w:t xml:space="preserve">Adalet Bakanlığı tarafından </w:t>
      </w:r>
      <w:r w:rsidR="008B5DD6">
        <w:rPr>
          <w:rFonts w:ascii="Times New Roman" w:hAnsi="Times New Roman" w:cs="Times New Roman"/>
        </w:rPr>
        <w:t>çıkarılan Suçluluğun Ön Kabulü Üzerine Duruşma Usulü Hakkındaki Sirküler’de de ayrıca açıklanarak belirlenmiştir</w:t>
      </w:r>
      <w:r w:rsidR="00A90FBA">
        <w:rPr>
          <w:rStyle w:val="FootnoteReference"/>
          <w:rFonts w:ascii="Times New Roman" w:hAnsi="Times New Roman" w:cs="Times New Roman"/>
        </w:rPr>
        <w:footnoteReference w:id="73"/>
      </w:r>
      <w:r w:rsidR="008B5DD6">
        <w:rPr>
          <w:rFonts w:ascii="Times New Roman" w:hAnsi="Times New Roman" w:cs="Times New Roman"/>
        </w:rPr>
        <w:t xml:space="preserve">. Sirküler’de hakimin denetiminin </w:t>
      </w:r>
      <w:r w:rsidR="00A90FBA">
        <w:rPr>
          <w:rFonts w:ascii="Times New Roman" w:hAnsi="Times New Roman" w:cs="Times New Roman"/>
        </w:rPr>
        <w:t xml:space="preserve">kapsamı </w:t>
      </w:r>
      <w:r w:rsidR="008B5DD6">
        <w:rPr>
          <w:rFonts w:ascii="Times New Roman" w:hAnsi="Times New Roman" w:cs="Times New Roman"/>
        </w:rPr>
        <w:t xml:space="preserve">failin </w:t>
      </w:r>
      <w:r w:rsidR="00A90FBA">
        <w:rPr>
          <w:rFonts w:ascii="Times New Roman" w:hAnsi="Times New Roman" w:cs="Times New Roman"/>
        </w:rPr>
        <w:t>suçluluğunun tespiti, isnat edilen eylemleri kabul etmiş olduğunun, eylemlerin hukuki nitelemesinin yerinde olduğunun, belirlenen cezanın kanuna uygun ve orantılı olduğunun teyit edilmesi olarak açıklanmıştır</w:t>
      </w:r>
      <w:r w:rsidR="00A90FBA">
        <w:rPr>
          <w:rStyle w:val="FootnoteReference"/>
          <w:rFonts w:ascii="Times New Roman" w:hAnsi="Times New Roman" w:cs="Times New Roman"/>
        </w:rPr>
        <w:footnoteReference w:id="74"/>
      </w:r>
      <w:r w:rsidR="00A90FBA">
        <w:rPr>
          <w:rFonts w:ascii="Times New Roman" w:hAnsi="Times New Roman" w:cs="Times New Roman"/>
        </w:rPr>
        <w:t xml:space="preserve">. Sirküler’de de vurgulandığı üzere hakim eğer suçun işlenme koşulları ve failin kişiliğine uygun ve orantılı bir cezanın bulunmadığına kanaat getirirse talebin reddi kararı verir. </w:t>
      </w:r>
      <w:r w:rsidR="00EA5B13">
        <w:rPr>
          <w:rFonts w:ascii="Times New Roman" w:hAnsi="Times New Roman" w:cs="Times New Roman"/>
        </w:rPr>
        <w:t xml:space="preserve">Hakimin savcının belirlediği cezayı değiştirme yetkisi bulunmamaktadır. </w:t>
      </w:r>
    </w:p>
    <w:p w14:paraId="4E2DBEB0" w14:textId="77777777" w:rsidR="00504AB0" w:rsidRDefault="00504AB0" w:rsidP="00696FAD">
      <w:pPr>
        <w:spacing w:line="360" w:lineRule="auto"/>
        <w:ind w:firstLine="720"/>
        <w:jc w:val="both"/>
        <w:rPr>
          <w:rFonts w:ascii="Times New Roman" w:hAnsi="Times New Roman" w:cs="Times New Roman"/>
        </w:rPr>
      </w:pPr>
    </w:p>
    <w:p w14:paraId="694C12A6" w14:textId="114556EF" w:rsidR="00677EEB" w:rsidRDefault="00677EEB" w:rsidP="00696FAD">
      <w:pPr>
        <w:spacing w:line="360" w:lineRule="auto"/>
        <w:ind w:firstLine="720"/>
        <w:jc w:val="both"/>
        <w:rPr>
          <w:rFonts w:ascii="Times New Roman" w:hAnsi="Times New Roman" w:cs="Times New Roman"/>
        </w:rPr>
      </w:pPr>
      <w:r>
        <w:rPr>
          <w:rFonts w:ascii="Times New Roman" w:hAnsi="Times New Roman" w:cs="Times New Roman"/>
        </w:rPr>
        <w:t xml:space="preserve">Mahkeme başkanı </w:t>
      </w:r>
      <w:r w:rsidR="00F47BE8">
        <w:rPr>
          <w:rFonts w:ascii="Times New Roman" w:hAnsi="Times New Roman" w:cs="Times New Roman"/>
        </w:rPr>
        <w:t xml:space="preserve">veya görevli hakim, m. 495-11’de sayılan bu koşulların oluşmadığı hallerin yanı sıra, </w:t>
      </w:r>
      <w:r>
        <w:rPr>
          <w:rFonts w:ascii="Times New Roman" w:hAnsi="Times New Roman" w:cs="Times New Roman"/>
        </w:rPr>
        <w:t>olayın mahiyetinin, sanığın kişiliğinin, mağdurun durumunun veya kamu menfaatinin olağan usulde duruşma yapılm</w:t>
      </w:r>
      <w:r w:rsidR="00F47BE8">
        <w:rPr>
          <w:rFonts w:ascii="Times New Roman" w:hAnsi="Times New Roman" w:cs="Times New Roman"/>
        </w:rPr>
        <w:t xml:space="preserve">asını gerektirdiğini düşündüğünde de </w:t>
      </w:r>
      <w:r>
        <w:rPr>
          <w:rFonts w:ascii="Times New Roman" w:hAnsi="Times New Roman" w:cs="Times New Roman"/>
        </w:rPr>
        <w:t>savcılığ</w:t>
      </w:r>
      <w:r w:rsidR="00F47BE8">
        <w:rPr>
          <w:rFonts w:ascii="Times New Roman" w:hAnsi="Times New Roman" w:cs="Times New Roman"/>
        </w:rPr>
        <w:t xml:space="preserve">ın teklifini karara bağlamayı reddedebilir (Fransız CMK m. 495-11-1). </w:t>
      </w:r>
      <w:r>
        <w:rPr>
          <w:rFonts w:ascii="Times New Roman" w:hAnsi="Times New Roman" w:cs="Times New Roman"/>
        </w:rPr>
        <w:t xml:space="preserve">Aynı şekilde </w:t>
      </w:r>
      <w:r w:rsidR="00F47BE8">
        <w:rPr>
          <w:rFonts w:ascii="Times New Roman" w:hAnsi="Times New Roman" w:cs="Times New Roman"/>
        </w:rPr>
        <w:t xml:space="preserve">mağdurun belli olması halinde, duruşmaya gelmesi ve </w:t>
      </w:r>
      <w:r w:rsidR="000465D7">
        <w:rPr>
          <w:rFonts w:ascii="Times New Roman" w:hAnsi="Times New Roman" w:cs="Times New Roman"/>
        </w:rPr>
        <w:t xml:space="preserve">mağdurun </w:t>
      </w:r>
      <w:r>
        <w:rPr>
          <w:rFonts w:ascii="Times New Roman" w:hAnsi="Times New Roman" w:cs="Times New Roman"/>
        </w:rPr>
        <w:t xml:space="preserve">Fransız CMK m. 495-13 kapsamında </w:t>
      </w:r>
      <w:r w:rsidR="000465D7">
        <w:rPr>
          <w:rFonts w:ascii="Times New Roman" w:hAnsi="Times New Roman" w:cs="Times New Roman"/>
        </w:rPr>
        <w:t xml:space="preserve">bu usuldeki </w:t>
      </w:r>
      <w:r w:rsidR="00F16F41">
        <w:rPr>
          <w:rFonts w:ascii="Times New Roman" w:hAnsi="Times New Roman" w:cs="Times New Roman"/>
        </w:rPr>
        <w:t xml:space="preserve">duruşmada </w:t>
      </w:r>
      <w:r>
        <w:rPr>
          <w:rFonts w:ascii="Times New Roman" w:hAnsi="Times New Roman" w:cs="Times New Roman"/>
        </w:rPr>
        <w:t xml:space="preserve">dinlenmesi sırasında suçun işlenme şekline veya failin kişiliğine ilişkin yeni bir bilginin ortaya çıkması halinde de </w:t>
      </w:r>
      <w:r w:rsidR="00F47BE8">
        <w:rPr>
          <w:rFonts w:ascii="Times New Roman" w:hAnsi="Times New Roman" w:cs="Times New Roman"/>
        </w:rPr>
        <w:t xml:space="preserve">hakimin </w:t>
      </w:r>
      <w:r w:rsidR="00F16F41">
        <w:rPr>
          <w:rFonts w:ascii="Times New Roman" w:hAnsi="Times New Roman" w:cs="Times New Roman"/>
        </w:rPr>
        <w:t>ret kararı</w:t>
      </w:r>
      <w:r>
        <w:rPr>
          <w:rFonts w:ascii="Times New Roman" w:hAnsi="Times New Roman" w:cs="Times New Roman"/>
        </w:rPr>
        <w:t xml:space="preserve"> </w:t>
      </w:r>
      <w:r w:rsidR="00761D21">
        <w:rPr>
          <w:rFonts w:ascii="Times New Roman" w:hAnsi="Times New Roman" w:cs="Times New Roman"/>
        </w:rPr>
        <w:t xml:space="preserve">vermesi </w:t>
      </w:r>
      <w:r>
        <w:rPr>
          <w:rFonts w:ascii="Times New Roman" w:hAnsi="Times New Roman" w:cs="Times New Roman"/>
        </w:rPr>
        <w:t>mümkü</w:t>
      </w:r>
      <w:r w:rsidR="005C1074">
        <w:rPr>
          <w:rFonts w:ascii="Times New Roman" w:hAnsi="Times New Roman" w:cs="Times New Roman"/>
        </w:rPr>
        <w:t>ndür (Fransız CMK m. 495-11-1).</w:t>
      </w:r>
      <w:r>
        <w:rPr>
          <w:rFonts w:ascii="Times New Roman" w:hAnsi="Times New Roman" w:cs="Times New Roman"/>
        </w:rPr>
        <w:t xml:space="preserve"> </w:t>
      </w:r>
      <w:r w:rsidR="006E3029">
        <w:rPr>
          <w:rFonts w:ascii="Times New Roman" w:hAnsi="Times New Roman" w:cs="Times New Roman"/>
        </w:rPr>
        <w:t xml:space="preserve">Hakim eylemlerin hukuki nitelendirmesinin farklı olması gerektiğini veya savcılığın takdir ettiği cezanın failin kişiliği ve olayın koşullarına nazaran orantısız olduğunu tespit ederse yine </w:t>
      </w:r>
      <w:r w:rsidR="003C29D3">
        <w:rPr>
          <w:rFonts w:ascii="Times New Roman" w:hAnsi="Times New Roman" w:cs="Times New Roman"/>
        </w:rPr>
        <w:t xml:space="preserve">yukarıda da belirtildiği üzere </w:t>
      </w:r>
      <w:r w:rsidR="006E3029">
        <w:rPr>
          <w:rFonts w:ascii="Times New Roman" w:hAnsi="Times New Roman" w:cs="Times New Roman"/>
        </w:rPr>
        <w:t>ret kararı verecektir</w:t>
      </w:r>
      <w:r w:rsidR="006E3029">
        <w:rPr>
          <w:rStyle w:val="FootnoteReference"/>
          <w:rFonts w:ascii="Times New Roman" w:hAnsi="Times New Roman" w:cs="Times New Roman"/>
        </w:rPr>
        <w:footnoteReference w:id="75"/>
      </w:r>
      <w:r w:rsidR="00CF2085">
        <w:rPr>
          <w:rFonts w:ascii="Times New Roman" w:hAnsi="Times New Roman" w:cs="Times New Roman"/>
        </w:rPr>
        <w:t>.</w:t>
      </w:r>
      <w:r w:rsidR="00F16F41">
        <w:rPr>
          <w:rFonts w:ascii="Times New Roman" w:hAnsi="Times New Roman" w:cs="Times New Roman"/>
        </w:rPr>
        <w:t xml:space="preserve"> </w:t>
      </w:r>
      <w:r w:rsidR="00CF2085">
        <w:rPr>
          <w:rFonts w:ascii="Times New Roman" w:hAnsi="Times New Roman" w:cs="Times New Roman"/>
        </w:rPr>
        <w:t>Şüphelinin savcılığın teklifini kabul etmemesi veya hakimin yukarıda belirtilen herhangi bir nedenle ret kararı vermesi halinde, savcılık olağan usullerden biriyle muhakemeye devam edilmek üzere dosyayı yetkili mahkemeye sevk eder (Fransız CMK m. 495-12, f. 1).</w:t>
      </w:r>
    </w:p>
    <w:p w14:paraId="5921662D" w14:textId="77777777" w:rsidR="00677EEB" w:rsidRDefault="00677EEB" w:rsidP="00353561">
      <w:pPr>
        <w:spacing w:line="360" w:lineRule="auto"/>
        <w:jc w:val="both"/>
        <w:rPr>
          <w:rFonts w:ascii="Times New Roman" w:hAnsi="Times New Roman" w:cs="Times New Roman"/>
        </w:rPr>
      </w:pPr>
    </w:p>
    <w:p w14:paraId="048AF444" w14:textId="673CE57E" w:rsidR="00325393" w:rsidRDefault="00325393" w:rsidP="00353561">
      <w:pPr>
        <w:spacing w:line="360" w:lineRule="auto"/>
        <w:jc w:val="both"/>
        <w:rPr>
          <w:rFonts w:ascii="Times New Roman" w:hAnsi="Times New Roman" w:cs="Times New Roman"/>
        </w:rPr>
      </w:pPr>
      <w:r>
        <w:rPr>
          <w:rFonts w:ascii="Times New Roman" w:hAnsi="Times New Roman" w:cs="Times New Roman"/>
        </w:rPr>
        <w:tab/>
      </w:r>
      <w:r w:rsidR="00CF2085">
        <w:rPr>
          <w:rFonts w:ascii="Times New Roman" w:hAnsi="Times New Roman" w:cs="Times New Roman"/>
        </w:rPr>
        <w:t>Duruşmanın</w:t>
      </w:r>
      <w:r w:rsidR="00E33E82">
        <w:rPr>
          <w:rFonts w:ascii="Times New Roman" w:hAnsi="Times New Roman" w:cs="Times New Roman"/>
        </w:rPr>
        <w:t xml:space="preserve"> sona ermesiyle birlikte verilen hükmün yanı sıra sürece ilişkin yapılan işlemlerin ve bilhassa sanığın ikrarıyla cezaları kabul ettiğine ilişkin beyanının yer aldığı bir tutanak düzenlenir. Ancak savcılığın teklif ettiği cezaları</w:t>
      </w:r>
      <w:r w:rsidR="00EB1663">
        <w:rPr>
          <w:rFonts w:ascii="Times New Roman" w:hAnsi="Times New Roman" w:cs="Times New Roman"/>
        </w:rPr>
        <w:t>n kabul edil</w:t>
      </w:r>
      <w:r w:rsidR="00E33E82">
        <w:rPr>
          <w:rFonts w:ascii="Times New Roman" w:hAnsi="Times New Roman" w:cs="Times New Roman"/>
        </w:rPr>
        <w:t xml:space="preserve">memesi veya mahkemenin savcılığın talebini reddetmesi halinde, tutanak olağan yargılama usulünün devam ettiği makamlar önüne gönderilmeyecek, taraflar tutanakta yer alan hususları ileri süremeyecektir (Fransız CMK m. 495-14). Aynı şekilde </w:t>
      </w:r>
      <w:r w:rsidR="00E50274">
        <w:rPr>
          <w:rFonts w:ascii="Times New Roman" w:hAnsi="Times New Roman" w:cs="Times New Roman"/>
        </w:rPr>
        <w:t>şüphelinin</w:t>
      </w:r>
      <w:r w:rsidR="00E33E82">
        <w:rPr>
          <w:rFonts w:ascii="Times New Roman" w:hAnsi="Times New Roman" w:cs="Times New Roman"/>
        </w:rPr>
        <w:t xml:space="preserve"> kabul etmediği veya onaylanarak hükme bağlanmayan suçluluğun ön kabulü üzerine duruşma usulünde sunmuş olduğu ikrarının diğer yargılama süreçlerinde dikkate alınması mümkün değildir</w:t>
      </w:r>
      <w:r w:rsidR="00E33E82">
        <w:rPr>
          <w:rStyle w:val="FootnoteReference"/>
          <w:rFonts w:ascii="Times New Roman" w:hAnsi="Times New Roman" w:cs="Times New Roman"/>
        </w:rPr>
        <w:footnoteReference w:id="76"/>
      </w:r>
      <w:r w:rsidR="00E33E82">
        <w:rPr>
          <w:rFonts w:ascii="Times New Roman" w:hAnsi="Times New Roman" w:cs="Times New Roman"/>
        </w:rPr>
        <w:t xml:space="preserve">. </w:t>
      </w:r>
      <w:r w:rsidR="00FE57BB">
        <w:rPr>
          <w:rFonts w:ascii="Times New Roman" w:hAnsi="Times New Roman" w:cs="Times New Roman"/>
        </w:rPr>
        <w:t>Bu hükmün amacı failin diğer yargılama süreçlerinde savunma ha</w:t>
      </w:r>
      <w:r w:rsidR="003E2E40">
        <w:rPr>
          <w:rFonts w:ascii="Times New Roman" w:hAnsi="Times New Roman" w:cs="Times New Roman"/>
        </w:rPr>
        <w:t>kkını serbestçe kullanabilmesi</w:t>
      </w:r>
      <w:r w:rsidR="00FE57BB">
        <w:rPr>
          <w:rFonts w:ascii="Times New Roman" w:hAnsi="Times New Roman" w:cs="Times New Roman"/>
        </w:rPr>
        <w:t xml:space="preserve">, bu usulün uygulanması sırasında </w:t>
      </w:r>
      <w:r w:rsidR="009A4717">
        <w:rPr>
          <w:rFonts w:ascii="Times New Roman" w:hAnsi="Times New Roman" w:cs="Times New Roman"/>
        </w:rPr>
        <w:t>eylemleri</w:t>
      </w:r>
      <w:r w:rsidR="00FE57BB">
        <w:rPr>
          <w:rFonts w:ascii="Times New Roman" w:hAnsi="Times New Roman" w:cs="Times New Roman"/>
        </w:rPr>
        <w:t xml:space="preserve"> </w:t>
      </w:r>
      <w:r w:rsidR="003E2E40">
        <w:rPr>
          <w:rFonts w:ascii="Times New Roman" w:hAnsi="Times New Roman" w:cs="Times New Roman"/>
        </w:rPr>
        <w:t xml:space="preserve">üstlenmiş </w:t>
      </w:r>
      <w:r w:rsidR="00FE57BB">
        <w:rPr>
          <w:rFonts w:ascii="Times New Roman" w:hAnsi="Times New Roman" w:cs="Times New Roman"/>
        </w:rPr>
        <w:t xml:space="preserve">veya </w:t>
      </w:r>
      <w:r w:rsidR="003E2E40">
        <w:rPr>
          <w:rFonts w:ascii="Times New Roman" w:hAnsi="Times New Roman" w:cs="Times New Roman"/>
        </w:rPr>
        <w:t>hakkında belirli bir</w:t>
      </w:r>
      <w:r w:rsidR="009A4717">
        <w:rPr>
          <w:rFonts w:ascii="Times New Roman" w:hAnsi="Times New Roman" w:cs="Times New Roman"/>
        </w:rPr>
        <w:t xml:space="preserve"> cezanın verilmesini kabul etmiş olmasının</w:t>
      </w:r>
      <w:r w:rsidR="00FE57BB">
        <w:rPr>
          <w:rFonts w:ascii="Times New Roman" w:hAnsi="Times New Roman" w:cs="Times New Roman"/>
        </w:rPr>
        <w:t xml:space="preserve"> </w:t>
      </w:r>
      <w:r w:rsidR="009A4717">
        <w:rPr>
          <w:rFonts w:ascii="Times New Roman" w:hAnsi="Times New Roman" w:cs="Times New Roman"/>
        </w:rPr>
        <w:t>daha sonraki süreçlerde bu</w:t>
      </w:r>
      <w:r w:rsidR="009E052B">
        <w:rPr>
          <w:rFonts w:ascii="Times New Roman" w:hAnsi="Times New Roman" w:cs="Times New Roman"/>
        </w:rPr>
        <w:t xml:space="preserve"> hususlara karşı savunma yapma</w:t>
      </w:r>
      <w:r w:rsidR="009A4717">
        <w:rPr>
          <w:rFonts w:ascii="Times New Roman" w:hAnsi="Times New Roman" w:cs="Times New Roman"/>
        </w:rPr>
        <w:t xml:space="preserve"> imkanını</w:t>
      </w:r>
      <w:r w:rsidR="00FE57BB">
        <w:rPr>
          <w:rFonts w:ascii="Times New Roman" w:hAnsi="Times New Roman" w:cs="Times New Roman"/>
        </w:rPr>
        <w:t xml:space="preserve"> engellememe</w:t>
      </w:r>
      <w:r w:rsidR="009A4717">
        <w:rPr>
          <w:rFonts w:ascii="Times New Roman" w:hAnsi="Times New Roman" w:cs="Times New Roman"/>
        </w:rPr>
        <w:t>sidir</w:t>
      </w:r>
      <w:r w:rsidR="00FE57BB">
        <w:rPr>
          <w:rStyle w:val="FootnoteReference"/>
          <w:rFonts w:ascii="Times New Roman" w:hAnsi="Times New Roman" w:cs="Times New Roman"/>
        </w:rPr>
        <w:footnoteReference w:id="77"/>
      </w:r>
      <w:r w:rsidR="00FE57BB">
        <w:rPr>
          <w:rFonts w:ascii="Times New Roman" w:hAnsi="Times New Roman" w:cs="Times New Roman"/>
        </w:rPr>
        <w:t xml:space="preserve">. </w:t>
      </w:r>
      <w:r w:rsidR="002F7196">
        <w:rPr>
          <w:rFonts w:ascii="Times New Roman" w:hAnsi="Times New Roman" w:cs="Times New Roman"/>
        </w:rPr>
        <w:t>Ayrıca Kanun’da açıkça yer verilmiş olmasa da</w:t>
      </w:r>
      <w:r w:rsidR="00E01C02">
        <w:rPr>
          <w:rFonts w:ascii="Times New Roman" w:hAnsi="Times New Roman" w:cs="Times New Roman"/>
        </w:rPr>
        <w:t>,</w:t>
      </w:r>
      <w:r w:rsidR="002F7196">
        <w:rPr>
          <w:rFonts w:ascii="Times New Roman" w:hAnsi="Times New Roman" w:cs="Times New Roman"/>
        </w:rPr>
        <w:t xml:space="preserve"> </w:t>
      </w:r>
      <w:r w:rsidR="00166ED0">
        <w:rPr>
          <w:rFonts w:ascii="Times New Roman" w:hAnsi="Times New Roman" w:cs="Times New Roman"/>
        </w:rPr>
        <w:t xml:space="preserve">adil yargılanma hakkı kapsamında korunan mahkemenin tarafsızlığı ilkesinin bir gereği olarak, </w:t>
      </w:r>
      <w:r w:rsidR="002F7196">
        <w:rPr>
          <w:rFonts w:ascii="Times New Roman" w:hAnsi="Times New Roman" w:cs="Times New Roman"/>
        </w:rPr>
        <w:t>suçluluğun ön kabulü üzerine duruşma usulünün uygulanmasının</w:t>
      </w:r>
      <w:r w:rsidR="009E052B">
        <w:rPr>
          <w:rFonts w:ascii="Times New Roman" w:hAnsi="Times New Roman" w:cs="Times New Roman"/>
        </w:rPr>
        <w:t xml:space="preserve"> herhangi</w:t>
      </w:r>
      <w:r w:rsidR="002F7196">
        <w:rPr>
          <w:rFonts w:ascii="Times New Roman" w:hAnsi="Times New Roman" w:cs="Times New Roman"/>
        </w:rPr>
        <w:t xml:space="preserve"> </w:t>
      </w:r>
      <w:r w:rsidR="009E052B">
        <w:rPr>
          <w:rFonts w:ascii="Times New Roman" w:hAnsi="Times New Roman" w:cs="Times New Roman"/>
        </w:rPr>
        <w:t xml:space="preserve">bir nedenle </w:t>
      </w:r>
      <w:r w:rsidR="002F7196">
        <w:rPr>
          <w:rFonts w:ascii="Times New Roman" w:hAnsi="Times New Roman" w:cs="Times New Roman"/>
        </w:rPr>
        <w:t>tamamlan</w:t>
      </w:r>
      <w:r w:rsidR="009E052B">
        <w:rPr>
          <w:rFonts w:ascii="Times New Roman" w:hAnsi="Times New Roman" w:cs="Times New Roman"/>
        </w:rPr>
        <w:t>a</w:t>
      </w:r>
      <w:r w:rsidR="002F7196">
        <w:rPr>
          <w:rFonts w:ascii="Times New Roman" w:hAnsi="Times New Roman" w:cs="Times New Roman"/>
        </w:rPr>
        <w:t xml:space="preserve">madığı </w:t>
      </w:r>
      <w:r w:rsidR="00166ED0">
        <w:rPr>
          <w:rFonts w:ascii="Times New Roman" w:hAnsi="Times New Roman" w:cs="Times New Roman"/>
        </w:rPr>
        <w:t>hallerde</w:t>
      </w:r>
      <w:r w:rsidR="002F7196">
        <w:rPr>
          <w:rFonts w:ascii="Times New Roman" w:hAnsi="Times New Roman" w:cs="Times New Roman"/>
        </w:rPr>
        <w:t xml:space="preserve"> </w:t>
      </w:r>
      <w:r w:rsidR="00E01C02">
        <w:rPr>
          <w:rFonts w:ascii="Times New Roman" w:hAnsi="Times New Roman" w:cs="Times New Roman"/>
        </w:rPr>
        <w:t>fail hakkında ba</w:t>
      </w:r>
      <w:r w:rsidR="00C933D0">
        <w:rPr>
          <w:rFonts w:ascii="Times New Roman" w:hAnsi="Times New Roman" w:cs="Times New Roman"/>
        </w:rPr>
        <w:t xml:space="preserve">şlatılan olağan yargılama usulünde </w:t>
      </w:r>
      <w:r w:rsidR="009E052B">
        <w:rPr>
          <w:rFonts w:ascii="Times New Roman" w:hAnsi="Times New Roman" w:cs="Times New Roman"/>
        </w:rPr>
        <w:t>aynı</w:t>
      </w:r>
      <w:r w:rsidR="00E01C02">
        <w:rPr>
          <w:rFonts w:ascii="Times New Roman" w:hAnsi="Times New Roman" w:cs="Times New Roman"/>
        </w:rPr>
        <w:t xml:space="preserve"> hakimin </w:t>
      </w:r>
      <w:r w:rsidR="00166ED0">
        <w:rPr>
          <w:rFonts w:ascii="Times New Roman" w:hAnsi="Times New Roman" w:cs="Times New Roman"/>
        </w:rPr>
        <w:t>görev yapmaması</w:t>
      </w:r>
      <w:r w:rsidR="00E01C02">
        <w:rPr>
          <w:rFonts w:ascii="Times New Roman" w:hAnsi="Times New Roman" w:cs="Times New Roman"/>
        </w:rPr>
        <w:t xml:space="preserve"> </w:t>
      </w:r>
      <w:r w:rsidR="00166ED0">
        <w:rPr>
          <w:rFonts w:ascii="Times New Roman" w:hAnsi="Times New Roman" w:cs="Times New Roman"/>
        </w:rPr>
        <w:t>gerek</w:t>
      </w:r>
      <w:r w:rsidR="006B2D62">
        <w:rPr>
          <w:rFonts w:ascii="Times New Roman" w:hAnsi="Times New Roman" w:cs="Times New Roman"/>
        </w:rPr>
        <w:t xml:space="preserve">tiği </w:t>
      </w:r>
      <w:r w:rsidR="005C1074">
        <w:rPr>
          <w:rFonts w:ascii="Times New Roman" w:hAnsi="Times New Roman" w:cs="Times New Roman"/>
        </w:rPr>
        <w:t xml:space="preserve">ifade </w:t>
      </w:r>
      <w:r w:rsidR="006B2D62">
        <w:rPr>
          <w:rFonts w:ascii="Times New Roman" w:hAnsi="Times New Roman" w:cs="Times New Roman"/>
        </w:rPr>
        <w:t>edilmektedir</w:t>
      </w:r>
      <w:r w:rsidR="00E01C02">
        <w:rPr>
          <w:rStyle w:val="FootnoteReference"/>
          <w:rFonts w:ascii="Times New Roman" w:hAnsi="Times New Roman" w:cs="Times New Roman"/>
        </w:rPr>
        <w:footnoteReference w:id="78"/>
      </w:r>
      <w:r w:rsidR="00E01C02">
        <w:rPr>
          <w:rFonts w:ascii="Times New Roman" w:hAnsi="Times New Roman" w:cs="Times New Roman"/>
        </w:rPr>
        <w:t xml:space="preserve">. </w:t>
      </w:r>
    </w:p>
    <w:p w14:paraId="61C998E3" w14:textId="77777777" w:rsidR="00325393" w:rsidRDefault="00325393" w:rsidP="00353561">
      <w:pPr>
        <w:spacing w:line="360" w:lineRule="auto"/>
        <w:jc w:val="both"/>
        <w:rPr>
          <w:rFonts w:ascii="Times New Roman" w:hAnsi="Times New Roman" w:cs="Times New Roman"/>
        </w:rPr>
      </w:pPr>
    </w:p>
    <w:p w14:paraId="19662C14" w14:textId="77777777" w:rsidR="00BF628A" w:rsidRDefault="00F7494F" w:rsidP="006B2D62">
      <w:pPr>
        <w:spacing w:line="360" w:lineRule="auto"/>
        <w:ind w:firstLine="720"/>
        <w:jc w:val="both"/>
        <w:rPr>
          <w:rFonts w:ascii="Times New Roman" w:hAnsi="Times New Roman" w:cs="Times New Roman"/>
        </w:rPr>
      </w:pPr>
      <w:r>
        <w:rPr>
          <w:rFonts w:ascii="Times New Roman" w:hAnsi="Times New Roman" w:cs="Times New Roman"/>
        </w:rPr>
        <w:t xml:space="preserve">Mahkemenin savcılığın teklif ettiği cezayı onaylayan </w:t>
      </w:r>
      <w:r w:rsidR="001A154B">
        <w:rPr>
          <w:rFonts w:ascii="Times New Roman" w:hAnsi="Times New Roman" w:cs="Times New Roman"/>
        </w:rPr>
        <w:t>karar</w:t>
      </w:r>
      <w:r>
        <w:rPr>
          <w:rFonts w:ascii="Times New Roman" w:hAnsi="Times New Roman" w:cs="Times New Roman"/>
        </w:rPr>
        <w:t>namesi</w:t>
      </w:r>
      <w:r w:rsidR="00920553">
        <w:rPr>
          <w:rFonts w:ascii="Times New Roman" w:hAnsi="Times New Roman" w:cs="Times New Roman"/>
        </w:rPr>
        <w:t xml:space="preserve">nin </w:t>
      </w:r>
      <w:r w:rsidR="006B2D62">
        <w:rPr>
          <w:rFonts w:ascii="Times New Roman" w:hAnsi="Times New Roman" w:cs="Times New Roman"/>
        </w:rPr>
        <w:t>(</w:t>
      </w:r>
      <w:r w:rsidR="006B2D62" w:rsidRPr="006B2D62">
        <w:rPr>
          <w:rFonts w:ascii="Times New Roman" w:hAnsi="Times New Roman" w:cs="Times New Roman"/>
          <w:i/>
        </w:rPr>
        <w:t>ordonnance d’homologation</w:t>
      </w:r>
      <w:r w:rsidR="006B2D62">
        <w:rPr>
          <w:rFonts w:ascii="Times New Roman" w:hAnsi="Times New Roman" w:cs="Times New Roman"/>
        </w:rPr>
        <w:t xml:space="preserve">) </w:t>
      </w:r>
      <w:r>
        <w:rPr>
          <w:rFonts w:ascii="Times New Roman" w:hAnsi="Times New Roman" w:cs="Times New Roman"/>
        </w:rPr>
        <w:t>mahkumiyet</w:t>
      </w:r>
      <w:r w:rsidR="001A154B">
        <w:rPr>
          <w:rFonts w:ascii="Times New Roman" w:hAnsi="Times New Roman" w:cs="Times New Roman"/>
        </w:rPr>
        <w:t xml:space="preserve"> hükmünün tüm son</w:t>
      </w:r>
      <w:r w:rsidR="00920553">
        <w:rPr>
          <w:rFonts w:ascii="Times New Roman" w:hAnsi="Times New Roman" w:cs="Times New Roman"/>
        </w:rPr>
        <w:t>uçlarını doğuracağı</w:t>
      </w:r>
      <w:r w:rsidR="001A154B">
        <w:rPr>
          <w:rFonts w:ascii="Times New Roman" w:hAnsi="Times New Roman" w:cs="Times New Roman"/>
        </w:rPr>
        <w:t xml:space="preserve"> ve derh</w:t>
      </w:r>
      <w:r w:rsidR="00920553">
        <w:rPr>
          <w:rFonts w:ascii="Times New Roman" w:hAnsi="Times New Roman" w:cs="Times New Roman"/>
        </w:rPr>
        <w:t>al infaz edilebilir olduğu Fransız CMK m. 495-11’de açıkça belirtilmiştir.</w:t>
      </w:r>
      <w:r>
        <w:rPr>
          <w:rFonts w:ascii="Times New Roman" w:hAnsi="Times New Roman" w:cs="Times New Roman"/>
        </w:rPr>
        <w:t xml:space="preserve"> Aynı </w:t>
      </w:r>
      <w:r w:rsidR="00920553">
        <w:rPr>
          <w:rFonts w:ascii="Times New Roman" w:hAnsi="Times New Roman" w:cs="Times New Roman"/>
        </w:rPr>
        <w:t>maddede hapis cezasının onaylanması halinde bu hükmün infazına ilişkin hususlara da açıklık getirilmiştir</w:t>
      </w:r>
      <w:r w:rsidR="00BF628A">
        <w:rPr>
          <w:rFonts w:ascii="Times New Roman" w:hAnsi="Times New Roman" w:cs="Times New Roman"/>
        </w:rPr>
        <w:t>.</w:t>
      </w:r>
      <w:r w:rsidR="00920553">
        <w:rPr>
          <w:rFonts w:ascii="Times New Roman" w:hAnsi="Times New Roman" w:cs="Times New Roman"/>
        </w:rPr>
        <w:t xml:space="preserve"> </w:t>
      </w:r>
      <w:r w:rsidR="00BF628A">
        <w:rPr>
          <w:rFonts w:ascii="Times New Roman" w:hAnsi="Times New Roman" w:cs="Times New Roman"/>
        </w:rPr>
        <w:t xml:space="preserve">Bu doğrultuda </w:t>
      </w:r>
      <w:r w:rsidR="001A154B">
        <w:rPr>
          <w:rFonts w:ascii="Times New Roman" w:hAnsi="Times New Roman" w:cs="Times New Roman"/>
        </w:rPr>
        <w:t xml:space="preserve">eğer hapis cezası söz konusu ise </w:t>
      </w:r>
      <w:r w:rsidR="00AF4F7A">
        <w:rPr>
          <w:rFonts w:ascii="Times New Roman" w:hAnsi="Times New Roman" w:cs="Times New Roman"/>
        </w:rPr>
        <w:t>hükümlü</w:t>
      </w:r>
      <w:r w:rsidR="001A154B">
        <w:rPr>
          <w:rFonts w:ascii="Times New Roman" w:hAnsi="Times New Roman" w:cs="Times New Roman"/>
        </w:rPr>
        <w:t xml:space="preserve"> infaz hakimi önüne çıkarılır veya derhal tutukevine </w:t>
      </w:r>
      <w:r w:rsidR="004540C0">
        <w:rPr>
          <w:rFonts w:ascii="Times New Roman" w:hAnsi="Times New Roman" w:cs="Times New Roman"/>
        </w:rPr>
        <w:t>(</w:t>
      </w:r>
      <w:r w:rsidR="004540C0" w:rsidRPr="004540C0">
        <w:rPr>
          <w:rFonts w:ascii="Times New Roman" w:hAnsi="Times New Roman" w:cs="Times New Roman"/>
          <w:i/>
        </w:rPr>
        <w:t>maison d’arret</w:t>
      </w:r>
      <w:r w:rsidR="004540C0">
        <w:rPr>
          <w:rFonts w:ascii="Times New Roman" w:hAnsi="Times New Roman" w:cs="Times New Roman"/>
        </w:rPr>
        <w:t xml:space="preserve">) </w:t>
      </w:r>
      <w:r w:rsidR="001A154B">
        <w:rPr>
          <w:rFonts w:ascii="Times New Roman" w:hAnsi="Times New Roman" w:cs="Times New Roman"/>
        </w:rPr>
        <w:t>alınır</w:t>
      </w:r>
      <w:r w:rsidR="002C3547">
        <w:rPr>
          <w:rFonts w:ascii="Times New Roman" w:hAnsi="Times New Roman" w:cs="Times New Roman"/>
        </w:rPr>
        <w:t xml:space="preserve"> (Fransız CMK m. 495-11, f. 2)</w:t>
      </w:r>
      <w:r w:rsidR="00BF628A">
        <w:rPr>
          <w:rFonts w:ascii="Times New Roman" w:hAnsi="Times New Roman" w:cs="Times New Roman"/>
        </w:rPr>
        <w:t>.</w:t>
      </w:r>
      <w:r w:rsidR="00923304">
        <w:rPr>
          <w:rFonts w:ascii="Times New Roman" w:hAnsi="Times New Roman" w:cs="Times New Roman"/>
        </w:rPr>
        <w:t xml:space="preserve"> </w:t>
      </w:r>
      <w:r w:rsidR="002622B7">
        <w:rPr>
          <w:rFonts w:ascii="Times New Roman" w:hAnsi="Times New Roman" w:cs="Times New Roman"/>
        </w:rPr>
        <w:t xml:space="preserve">Bu yollardan hangisinin takip edileceğine </w:t>
      </w:r>
      <w:r w:rsidR="00BF628A">
        <w:rPr>
          <w:rFonts w:ascii="Times New Roman" w:hAnsi="Times New Roman" w:cs="Times New Roman"/>
        </w:rPr>
        <w:t xml:space="preserve">daha önce belirtildiği üzere savcılığın cezayı belirleyen teklifinde </w:t>
      </w:r>
      <w:r w:rsidR="002622B7">
        <w:rPr>
          <w:rFonts w:ascii="Times New Roman" w:hAnsi="Times New Roman" w:cs="Times New Roman"/>
        </w:rPr>
        <w:t>karar veri</w:t>
      </w:r>
      <w:r w:rsidR="00BF628A">
        <w:rPr>
          <w:rFonts w:ascii="Times New Roman" w:hAnsi="Times New Roman" w:cs="Times New Roman"/>
        </w:rPr>
        <w:t>li</w:t>
      </w:r>
      <w:r w:rsidR="002622B7">
        <w:rPr>
          <w:rFonts w:ascii="Times New Roman" w:hAnsi="Times New Roman" w:cs="Times New Roman"/>
        </w:rPr>
        <w:t>r</w:t>
      </w:r>
      <w:r w:rsidR="00DF0E01">
        <w:rPr>
          <w:rFonts w:ascii="Times New Roman" w:hAnsi="Times New Roman" w:cs="Times New Roman"/>
        </w:rPr>
        <w:t xml:space="preserve"> (Fransız CMK m. 495-8, f. 2)</w:t>
      </w:r>
      <w:r w:rsidR="002622B7">
        <w:rPr>
          <w:rStyle w:val="FootnoteReference"/>
          <w:rFonts w:ascii="Times New Roman" w:hAnsi="Times New Roman" w:cs="Times New Roman"/>
        </w:rPr>
        <w:footnoteReference w:id="79"/>
      </w:r>
      <w:r w:rsidR="002622B7">
        <w:rPr>
          <w:rFonts w:ascii="Times New Roman" w:hAnsi="Times New Roman" w:cs="Times New Roman"/>
        </w:rPr>
        <w:t xml:space="preserve">. </w:t>
      </w:r>
    </w:p>
    <w:p w14:paraId="7A0385F8" w14:textId="77777777" w:rsidR="00BF628A" w:rsidRDefault="00BF628A" w:rsidP="006B2D62">
      <w:pPr>
        <w:spacing w:line="360" w:lineRule="auto"/>
        <w:ind w:firstLine="720"/>
        <w:jc w:val="both"/>
        <w:rPr>
          <w:rFonts w:ascii="Times New Roman" w:hAnsi="Times New Roman" w:cs="Times New Roman"/>
        </w:rPr>
      </w:pPr>
    </w:p>
    <w:p w14:paraId="02160AE6" w14:textId="2511E88F" w:rsidR="00C933D0" w:rsidRPr="001C7438" w:rsidRDefault="00BF628A" w:rsidP="001A06D1">
      <w:pPr>
        <w:spacing w:line="360" w:lineRule="auto"/>
        <w:ind w:firstLine="720"/>
        <w:jc w:val="both"/>
        <w:rPr>
          <w:rFonts w:ascii="Times New Roman" w:hAnsi="Times New Roman" w:cs="Times New Roman"/>
        </w:rPr>
      </w:pPr>
      <w:r>
        <w:rPr>
          <w:rFonts w:ascii="Times New Roman" w:hAnsi="Times New Roman" w:cs="Times New Roman"/>
        </w:rPr>
        <w:t xml:space="preserve">Savcılığın teklifinin onaylandığı kararnameye karşı </w:t>
      </w:r>
      <w:r w:rsidR="000E4A21">
        <w:rPr>
          <w:rFonts w:ascii="Times New Roman" w:hAnsi="Times New Roman" w:cs="Times New Roman"/>
        </w:rPr>
        <w:t xml:space="preserve">hem </w:t>
      </w:r>
      <w:r>
        <w:rPr>
          <w:rFonts w:ascii="Times New Roman" w:hAnsi="Times New Roman" w:cs="Times New Roman"/>
        </w:rPr>
        <w:t>hükümlünün</w:t>
      </w:r>
      <w:r w:rsidR="000E4A21">
        <w:rPr>
          <w:rFonts w:ascii="Times New Roman" w:hAnsi="Times New Roman" w:cs="Times New Roman"/>
        </w:rPr>
        <w:t xml:space="preserve"> hem de savcılığın</w:t>
      </w:r>
      <w:r>
        <w:rPr>
          <w:rFonts w:ascii="Times New Roman" w:hAnsi="Times New Roman" w:cs="Times New Roman"/>
        </w:rPr>
        <w:t xml:space="preserve"> </w:t>
      </w:r>
      <w:r w:rsidR="008B7318">
        <w:rPr>
          <w:rFonts w:ascii="Times New Roman" w:hAnsi="Times New Roman" w:cs="Times New Roman"/>
        </w:rPr>
        <w:t>olağan kanun yolu olan istinaf (</w:t>
      </w:r>
      <w:r w:rsidR="008B7318" w:rsidRPr="008B7318">
        <w:rPr>
          <w:rFonts w:ascii="Times New Roman" w:hAnsi="Times New Roman" w:cs="Times New Roman"/>
          <w:i/>
        </w:rPr>
        <w:t>appel</w:t>
      </w:r>
      <w:r w:rsidR="008B7318">
        <w:rPr>
          <w:rFonts w:ascii="Times New Roman" w:hAnsi="Times New Roman" w:cs="Times New Roman"/>
        </w:rPr>
        <w:t>) yoluna</w:t>
      </w:r>
      <w:r>
        <w:rPr>
          <w:rFonts w:ascii="Times New Roman" w:hAnsi="Times New Roman" w:cs="Times New Roman"/>
        </w:rPr>
        <w:t xml:space="preserve"> başvurması mümkündür</w:t>
      </w:r>
      <w:r>
        <w:rPr>
          <w:rStyle w:val="FootnoteReference"/>
          <w:rFonts w:ascii="Times New Roman" w:hAnsi="Times New Roman" w:cs="Times New Roman"/>
        </w:rPr>
        <w:footnoteReference w:id="80"/>
      </w:r>
      <w:r w:rsidR="008B7318">
        <w:rPr>
          <w:rFonts w:ascii="Times New Roman" w:hAnsi="Times New Roman" w:cs="Times New Roman"/>
        </w:rPr>
        <w:t xml:space="preserve">. </w:t>
      </w:r>
      <w:r w:rsidR="0032734B">
        <w:rPr>
          <w:rFonts w:ascii="Times New Roman" w:hAnsi="Times New Roman" w:cs="Times New Roman"/>
        </w:rPr>
        <w:t>Ret kararnamesine karşı</w:t>
      </w:r>
      <w:r w:rsidR="000428BD">
        <w:rPr>
          <w:rFonts w:ascii="Times New Roman" w:hAnsi="Times New Roman" w:cs="Times New Roman"/>
        </w:rPr>
        <w:t xml:space="preserve"> ise</w:t>
      </w:r>
      <w:r w:rsidR="006E3029">
        <w:rPr>
          <w:rFonts w:ascii="Times New Roman" w:hAnsi="Times New Roman" w:cs="Times New Roman"/>
        </w:rPr>
        <w:t xml:space="preserve"> hükümlü</w:t>
      </w:r>
      <w:r w:rsidR="0032734B">
        <w:rPr>
          <w:rFonts w:ascii="Times New Roman" w:hAnsi="Times New Roman" w:cs="Times New Roman"/>
        </w:rPr>
        <w:t>nün de</w:t>
      </w:r>
      <w:r w:rsidR="006E3029">
        <w:rPr>
          <w:rFonts w:ascii="Times New Roman" w:hAnsi="Times New Roman" w:cs="Times New Roman"/>
        </w:rPr>
        <w:t xml:space="preserve"> </w:t>
      </w:r>
      <w:r w:rsidR="0032734B">
        <w:rPr>
          <w:rFonts w:ascii="Times New Roman" w:hAnsi="Times New Roman" w:cs="Times New Roman"/>
        </w:rPr>
        <w:t>savcılığın da</w:t>
      </w:r>
      <w:r w:rsidR="006E3029">
        <w:rPr>
          <w:rFonts w:ascii="Times New Roman" w:hAnsi="Times New Roman" w:cs="Times New Roman"/>
        </w:rPr>
        <w:t xml:space="preserve"> kanun yo</w:t>
      </w:r>
      <w:r w:rsidR="0032734B">
        <w:rPr>
          <w:rFonts w:ascii="Times New Roman" w:hAnsi="Times New Roman" w:cs="Times New Roman"/>
        </w:rPr>
        <w:t>luna başvurması mümkün değildir</w:t>
      </w:r>
      <w:r w:rsidR="002F1248">
        <w:rPr>
          <w:rStyle w:val="FootnoteReference"/>
          <w:rFonts w:ascii="Times New Roman" w:hAnsi="Times New Roman" w:cs="Times New Roman"/>
        </w:rPr>
        <w:footnoteReference w:id="81"/>
      </w:r>
      <w:r w:rsidR="001D2136">
        <w:rPr>
          <w:rFonts w:ascii="Times New Roman" w:hAnsi="Times New Roman" w:cs="Times New Roman"/>
        </w:rPr>
        <w:t>. Bu durumda s</w:t>
      </w:r>
      <w:r w:rsidR="006E3029">
        <w:rPr>
          <w:rFonts w:ascii="Times New Roman" w:hAnsi="Times New Roman" w:cs="Times New Roman"/>
        </w:rPr>
        <w:t xml:space="preserve">avcılık olağan usulde kovuşturmaya devam edilmesi için </w:t>
      </w:r>
      <w:r w:rsidR="00C35E98">
        <w:rPr>
          <w:rFonts w:ascii="Times New Roman" w:hAnsi="Times New Roman" w:cs="Times New Roman"/>
        </w:rPr>
        <w:t>görevli mahkemeye başvuracaktır</w:t>
      </w:r>
      <w:r w:rsidR="006E3029">
        <w:rPr>
          <w:rFonts w:ascii="Times New Roman" w:hAnsi="Times New Roman" w:cs="Times New Roman"/>
        </w:rPr>
        <w:t xml:space="preserve">. Ancak bu durumda masumiyet karinesinin de bir gereği olarak failin </w:t>
      </w:r>
      <w:r w:rsidR="006B2D62">
        <w:rPr>
          <w:rFonts w:ascii="Times New Roman" w:hAnsi="Times New Roman" w:cs="Times New Roman"/>
        </w:rPr>
        <w:t>suçluluğun ön kabulü üzerine duruşma</w:t>
      </w:r>
      <w:r w:rsidR="006E3029">
        <w:rPr>
          <w:rFonts w:ascii="Times New Roman" w:hAnsi="Times New Roman" w:cs="Times New Roman"/>
        </w:rPr>
        <w:t xml:space="preserve"> usulünde yapmış olduğu açıklamalar ve ikrarı dikkate alınmayacaktır</w:t>
      </w:r>
      <w:r w:rsidR="006E3029">
        <w:rPr>
          <w:rStyle w:val="FootnoteReference"/>
          <w:rFonts w:ascii="Times New Roman" w:hAnsi="Times New Roman" w:cs="Times New Roman"/>
        </w:rPr>
        <w:footnoteReference w:id="82"/>
      </w:r>
      <w:r w:rsidR="006E3029">
        <w:rPr>
          <w:rFonts w:ascii="Times New Roman" w:hAnsi="Times New Roman" w:cs="Times New Roman"/>
        </w:rPr>
        <w:t xml:space="preserve">. </w:t>
      </w:r>
    </w:p>
    <w:p w14:paraId="5DAE97A8" w14:textId="40C2F2E4" w:rsidR="00A84374" w:rsidRPr="003D0796" w:rsidRDefault="0048595D" w:rsidP="003D0796">
      <w:pPr>
        <w:pStyle w:val="Heading1"/>
      </w:pPr>
      <w:r>
        <w:t>III</w:t>
      </w:r>
      <w:r w:rsidR="002E61B1" w:rsidRPr="00710B84">
        <w:t xml:space="preserve">. </w:t>
      </w:r>
      <w:r w:rsidR="002E61B1" w:rsidRPr="00710B84">
        <w:tab/>
      </w:r>
      <w:r>
        <w:t>TÜRK HU</w:t>
      </w:r>
      <w:r w:rsidR="00215523">
        <w:t xml:space="preserve">KUKUNDA SERİ MUHAKEME USULÜ  </w:t>
      </w:r>
    </w:p>
    <w:p w14:paraId="5EACCEF3" w14:textId="3AFE9B65" w:rsidR="002965B8" w:rsidRDefault="002965B8" w:rsidP="003C2E4D">
      <w:pPr>
        <w:pStyle w:val="Heading2"/>
      </w:pPr>
      <w:r>
        <w:t xml:space="preserve">A. </w:t>
      </w:r>
      <w:r>
        <w:tab/>
      </w:r>
      <w:r w:rsidR="00B46DA3">
        <w:t>Tanımı</w:t>
      </w:r>
    </w:p>
    <w:p w14:paraId="7AB04CAE" w14:textId="268C2728" w:rsidR="002965B8" w:rsidRDefault="00856AA4" w:rsidP="00353561">
      <w:pPr>
        <w:spacing w:line="360" w:lineRule="auto"/>
        <w:jc w:val="both"/>
        <w:rPr>
          <w:rFonts w:ascii="Times New Roman" w:hAnsi="Times New Roman" w:cs="Times New Roman"/>
          <w:b/>
        </w:rPr>
      </w:pPr>
      <w:r>
        <w:rPr>
          <w:rFonts w:ascii="Times New Roman" w:hAnsi="Times New Roman" w:cs="Times New Roman"/>
          <w:b/>
        </w:rPr>
        <w:tab/>
      </w:r>
    </w:p>
    <w:p w14:paraId="1220B012" w14:textId="486C9965" w:rsidR="00213AC1" w:rsidRDefault="00856AA4" w:rsidP="002965B8">
      <w:pPr>
        <w:spacing w:line="360" w:lineRule="auto"/>
        <w:ind w:firstLine="720"/>
        <w:jc w:val="both"/>
        <w:rPr>
          <w:rFonts w:ascii="Times New Roman" w:hAnsi="Times New Roman" w:cs="Times New Roman"/>
        </w:rPr>
      </w:pPr>
      <w:r>
        <w:rPr>
          <w:rFonts w:ascii="Times New Roman" w:hAnsi="Times New Roman" w:cs="Times New Roman"/>
        </w:rPr>
        <w:t xml:space="preserve">Seri muhakeme usulü </w:t>
      </w:r>
      <w:r w:rsidR="006B2D62">
        <w:rPr>
          <w:rFonts w:ascii="Times New Roman" w:hAnsi="Times New Roman" w:cs="Times New Roman"/>
        </w:rPr>
        <w:t>CMK’nin</w:t>
      </w:r>
      <w:r>
        <w:rPr>
          <w:rFonts w:ascii="Times New Roman" w:hAnsi="Times New Roman" w:cs="Times New Roman"/>
        </w:rPr>
        <w:t xml:space="preserve"> 250. </w:t>
      </w:r>
      <w:r w:rsidR="002E2B2D">
        <w:rPr>
          <w:rFonts w:ascii="Times New Roman" w:hAnsi="Times New Roman" w:cs="Times New Roman"/>
        </w:rPr>
        <w:t>m</w:t>
      </w:r>
      <w:r>
        <w:rPr>
          <w:rFonts w:ascii="Times New Roman" w:hAnsi="Times New Roman" w:cs="Times New Roman"/>
        </w:rPr>
        <w:t xml:space="preserve">addesinde düzenlenmektedir. </w:t>
      </w:r>
      <w:r w:rsidR="00AA4348">
        <w:rPr>
          <w:rFonts w:ascii="Times New Roman" w:hAnsi="Times New Roman" w:cs="Times New Roman"/>
        </w:rPr>
        <w:t>CMK m. 250</w:t>
      </w:r>
      <w:r w:rsidR="007B0128">
        <w:rPr>
          <w:rFonts w:ascii="Times New Roman" w:hAnsi="Times New Roman" w:cs="Times New Roman"/>
        </w:rPr>
        <w:t xml:space="preserve">’de on beş fıkra içerisinde seri muhakeme usulünün uygulanma koşulları ve genel kurallarına yer verilmiş, ancak kurumun uygulanmasına ilişkin bazı ilke ve kurallar yönetmeliğe </w:t>
      </w:r>
      <w:r w:rsidR="006B2D62">
        <w:rPr>
          <w:rFonts w:ascii="Times New Roman" w:hAnsi="Times New Roman" w:cs="Times New Roman"/>
        </w:rPr>
        <w:t>bırakılmıştır (CMK m. 250/15). Maddede s</w:t>
      </w:r>
      <w:r w:rsidR="007B0128">
        <w:rPr>
          <w:rFonts w:ascii="Times New Roman" w:hAnsi="Times New Roman" w:cs="Times New Roman"/>
        </w:rPr>
        <w:t>öz</w:t>
      </w:r>
      <w:r w:rsidR="0010283C">
        <w:rPr>
          <w:rFonts w:ascii="Times New Roman" w:hAnsi="Times New Roman" w:cs="Times New Roman"/>
        </w:rPr>
        <w:t>ü</w:t>
      </w:r>
      <w:r w:rsidR="007B0128">
        <w:rPr>
          <w:rFonts w:ascii="Times New Roman" w:hAnsi="Times New Roman" w:cs="Times New Roman"/>
        </w:rPr>
        <w:t xml:space="preserve"> edilen </w:t>
      </w:r>
      <w:r w:rsidR="00985EEF">
        <w:rPr>
          <w:rFonts w:ascii="Times New Roman" w:hAnsi="Times New Roman" w:cs="Times New Roman"/>
        </w:rPr>
        <w:t xml:space="preserve">yönetmelik </w:t>
      </w:r>
      <w:r w:rsidR="007B0128">
        <w:rPr>
          <w:rFonts w:ascii="Times New Roman" w:hAnsi="Times New Roman" w:cs="Times New Roman"/>
        </w:rPr>
        <w:t>“Ceza Muhakemesinde Seri Muhakeme Usulü Yönetmeliği” (Yönetmelik)</w:t>
      </w:r>
      <w:r w:rsidR="00985EEF">
        <w:rPr>
          <w:rFonts w:ascii="Times New Roman" w:hAnsi="Times New Roman" w:cs="Times New Roman"/>
        </w:rPr>
        <w:t xml:space="preserve"> adıyla</w:t>
      </w:r>
      <w:r w:rsidR="007B0128">
        <w:rPr>
          <w:rFonts w:ascii="Times New Roman" w:hAnsi="Times New Roman" w:cs="Times New Roman"/>
        </w:rPr>
        <w:t xml:space="preserve"> </w:t>
      </w:r>
      <w:r w:rsidR="00213AC1">
        <w:rPr>
          <w:rFonts w:ascii="Times New Roman" w:hAnsi="Times New Roman" w:cs="Times New Roman"/>
        </w:rPr>
        <w:t>31.12.2019 tarihli Resmi Gazete’de yayımlanarak yürürlüğe girmiştir</w:t>
      </w:r>
      <w:r w:rsidR="00213AC1">
        <w:rPr>
          <w:rStyle w:val="FootnoteReference"/>
          <w:rFonts w:ascii="Times New Roman" w:hAnsi="Times New Roman" w:cs="Times New Roman"/>
        </w:rPr>
        <w:footnoteReference w:id="83"/>
      </w:r>
      <w:r w:rsidR="00213AC1">
        <w:rPr>
          <w:rFonts w:ascii="Times New Roman" w:hAnsi="Times New Roman" w:cs="Times New Roman"/>
        </w:rPr>
        <w:t>. Bu doğrultuda</w:t>
      </w:r>
      <w:r w:rsidR="00C81F4B">
        <w:rPr>
          <w:rFonts w:ascii="Times New Roman" w:hAnsi="Times New Roman" w:cs="Times New Roman"/>
        </w:rPr>
        <w:t>,</w:t>
      </w:r>
      <w:r w:rsidR="00213AC1">
        <w:rPr>
          <w:rFonts w:ascii="Times New Roman" w:hAnsi="Times New Roman" w:cs="Times New Roman"/>
        </w:rPr>
        <w:t xml:space="preserve"> henüz uygulamasına yeni başlanılmış olan bu usulün uygulama esas ve usullerine ilişkin açıklamalar</w:t>
      </w:r>
      <w:r w:rsidR="006B2D62">
        <w:rPr>
          <w:rFonts w:ascii="Times New Roman" w:hAnsi="Times New Roman" w:cs="Times New Roman"/>
        </w:rPr>
        <w:t>ımız</w:t>
      </w:r>
      <w:r w:rsidR="00213AC1">
        <w:rPr>
          <w:rFonts w:ascii="Times New Roman" w:hAnsi="Times New Roman" w:cs="Times New Roman"/>
        </w:rPr>
        <w:t xml:space="preserve">da CMK m. 250 ile birlikte Yönetmelik’te yer verilen hükümler temel alınmış, kurumun </w:t>
      </w:r>
      <w:r w:rsidR="006B2D62">
        <w:rPr>
          <w:rFonts w:ascii="Times New Roman" w:hAnsi="Times New Roman" w:cs="Times New Roman"/>
        </w:rPr>
        <w:t xml:space="preserve">genel özellikleri </w:t>
      </w:r>
      <w:r w:rsidR="00213AC1">
        <w:rPr>
          <w:rFonts w:ascii="Times New Roman" w:hAnsi="Times New Roman" w:cs="Times New Roman"/>
        </w:rPr>
        <w:t xml:space="preserve">Fransız hukukundaki örnek ile karşılaştırılmasına imkan verecek ölçüde </w:t>
      </w:r>
      <w:r w:rsidR="0010283C">
        <w:rPr>
          <w:rFonts w:ascii="Times New Roman" w:hAnsi="Times New Roman" w:cs="Times New Roman"/>
        </w:rPr>
        <w:t xml:space="preserve">sınırlandırılarak </w:t>
      </w:r>
      <w:r w:rsidR="00AB3594">
        <w:rPr>
          <w:rFonts w:ascii="Times New Roman" w:hAnsi="Times New Roman" w:cs="Times New Roman"/>
        </w:rPr>
        <w:t xml:space="preserve">ortaya konulmaya çalışılmıştır. </w:t>
      </w:r>
      <w:r w:rsidR="00860F28">
        <w:rPr>
          <w:rFonts w:ascii="Times New Roman" w:hAnsi="Times New Roman" w:cs="Times New Roman"/>
        </w:rPr>
        <w:t>Bu bölümde seri muhakeme usulüne ilişkin açıklamalarda y</w:t>
      </w:r>
      <w:r w:rsidR="0010283C">
        <w:rPr>
          <w:rFonts w:ascii="Times New Roman" w:hAnsi="Times New Roman" w:cs="Times New Roman"/>
        </w:rPr>
        <w:t xml:space="preserve">eri geldikçe Fransız hukukundaki </w:t>
      </w:r>
      <w:r w:rsidR="00860F28">
        <w:rPr>
          <w:rFonts w:ascii="Times New Roman" w:hAnsi="Times New Roman" w:cs="Times New Roman"/>
        </w:rPr>
        <w:t>suçluluğun ön kabulü üzerine duruşma usulüne ilişkin düzenleme</w:t>
      </w:r>
      <w:r w:rsidR="00985EEF">
        <w:rPr>
          <w:rFonts w:ascii="Times New Roman" w:hAnsi="Times New Roman" w:cs="Times New Roman"/>
        </w:rPr>
        <w:t>yle aras</w:t>
      </w:r>
      <w:r w:rsidR="0010283C">
        <w:rPr>
          <w:rFonts w:ascii="Times New Roman" w:hAnsi="Times New Roman" w:cs="Times New Roman"/>
        </w:rPr>
        <w:t>ındaki farklılıklara da değinilmiştir.</w:t>
      </w:r>
    </w:p>
    <w:p w14:paraId="7F9BAFE6" w14:textId="77777777" w:rsidR="00213AC1" w:rsidRDefault="00213AC1" w:rsidP="00213AC1">
      <w:pPr>
        <w:spacing w:line="360" w:lineRule="auto"/>
        <w:jc w:val="both"/>
        <w:rPr>
          <w:rFonts w:ascii="Times New Roman" w:hAnsi="Times New Roman" w:cs="Times New Roman"/>
        </w:rPr>
      </w:pPr>
    </w:p>
    <w:p w14:paraId="3B0C7ED8" w14:textId="06EA8F0D" w:rsidR="00F9452E" w:rsidRDefault="00213AC1" w:rsidP="00860F28">
      <w:pPr>
        <w:spacing w:line="360" w:lineRule="auto"/>
        <w:ind w:firstLine="720"/>
        <w:jc w:val="both"/>
        <w:rPr>
          <w:rFonts w:ascii="Times New Roman" w:hAnsi="Times New Roman" w:cs="Times New Roman"/>
        </w:rPr>
      </w:pPr>
      <w:r>
        <w:rPr>
          <w:rFonts w:ascii="Times New Roman" w:hAnsi="Times New Roman" w:cs="Times New Roman"/>
        </w:rPr>
        <w:t>S</w:t>
      </w:r>
      <w:r w:rsidR="00AA4348">
        <w:rPr>
          <w:rFonts w:ascii="Times New Roman" w:hAnsi="Times New Roman" w:cs="Times New Roman"/>
        </w:rPr>
        <w:t>eri muhakeme usulü</w:t>
      </w:r>
      <w:r>
        <w:rPr>
          <w:rFonts w:ascii="Times New Roman" w:hAnsi="Times New Roman" w:cs="Times New Roman"/>
        </w:rPr>
        <w:t>,</w:t>
      </w:r>
      <w:r w:rsidRPr="00213AC1">
        <w:rPr>
          <w:rFonts w:ascii="Times New Roman" w:hAnsi="Times New Roman" w:cs="Times New Roman"/>
        </w:rPr>
        <w:t xml:space="preserve"> </w:t>
      </w:r>
      <w:r>
        <w:rPr>
          <w:rFonts w:ascii="Times New Roman" w:hAnsi="Times New Roman" w:cs="Times New Roman"/>
        </w:rPr>
        <w:t>madde gerekçesinde belirtildiği şekliyle</w:t>
      </w:r>
      <w:r w:rsidR="00AA4348">
        <w:rPr>
          <w:rFonts w:ascii="Times New Roman" w:hAnsi="Times New Roman" w:cs="Times New Roman"/>
        </w:rPr>
        <w:t>,</w:t>
      </w:r>
      <w:r w:rsidR="00856AA4">
        <w:rPr>
          <w:rFonts w:ascii="Times New Roman" w:hAnsi="Times New Roman" w:cs="Times New Roman"/>
        </w:rPr>
        <w:t xml:space="preserve"> şüphelinin daha az bir </w:t>
      </w:r>
      <w:r w:rsidR="0066522E">
        <w:rPr>
          <w:rFonts w:ascii="Times New Roman" w:hAnsi="Times New Roman" w:cs="Times New Roman"/>
        </w:rPr>
        <w:t>yaptırım beklentisiyle bu usulü</w:t>
      </w:r>
      <w:r w:rsidR="00856AA4">
        <w:rPr>
          <w:rFonts w:ascii="Times New Roman" w:hAnsi="Times New Roman" w:cs="Times New Roman"/>
        </w:rPr>
        <w:t xml:space="preserve"> kabul etmesiyle baş</w:t>
      </w:r>
      <w:r w:rsidR="009B3862">
        <w:rPr>
          <w:rFonts w:ascii="Times New Roman" w:hAnsi="Times New Roman" w:cs="Times New Roman"/>
        </w:rPr>
        <w:t xml:space="preserve">lamakta, </w:t>
      </w:r>
      <w:r w:rsidR="0066522E">
        <w:rPr>
          <w:rFonts w:ascii="Times New Roman" w:hAnsi="Times New Roman" w:cs="Times New Roman"/>
        </w:rPr>
        <w:t>“</w:t>
      </w:r>
      <w:r w:rsidR="0066522E" w:rsidRPr="0066522E">
        <w:rPr>
          <w:rFonts w:ascii="Times New Roman" w:hAnsi="Times New Roman" w:cs="Times New Roman"/>
          <w:i/>
        </w:rPr>
        <w:t>bir tarafta şüpheli</w:t>
      </w:r>
      <w:r w:rsidR="00856AA4" w:rsidRPr="0066522E">
        <w:rPr>
          <w:rFonts w:ascii="Times New Roman" w:hAnsi="Times New Roman" w:cs="Times New Roman"/>
          <w:i/>
        </w:rPr>
        <w:t xml:space="preserve"> diğer tarafta savcılık ile hüküm ve denetim makamı olarak mahkemenin bulunduğu bir süreci ifade etmektedir</w:t>
      </w:r>
      <w:r w:rsidR="0066522E">
        <w:rPr>
          <w:rFonts w:ascii="Times New Roman" w:hAnsi="Times New Roman" w:cs="Times New Roman"/>
        </w:rPr>
        <w:t>”</w:t>
      </w:r>
      <w:r w:rsidR="00856AA4">
        <w:rPr>
          <w:rStyle w:val="FootnoteReference"/>
          <w:rFonts w:ascii="Times New Roman" w:hAnsi="Times New Roman" w:cs="Times New Roman"/>
        </w:rPr>
        <w:footnoteReference w:id="84"/>
      </w:r>
      <w:r w:rsidR="00856AA4">
        <w:rPr>
          <w:rFonts w:ascii="Times New Roman" w:hAnsi="Times New Roman" w:cs="Times New Roman"/>
        </w:rPr>
        <w:t xml:space="preserve">. </w:t>
      </w:r>
    </w:p>
    <w:p w14:paraId="37B03BB2" w14:textId="77777777" w:rsidR="00860F28" w:rsidRDefault="00860F28" w:rsidP="00860F28">
      <w:pPr>
        <w:spacing w:line="360" w:lineRule="auto"/>
        <w:ind w:firstLine="720"/>
        <w:jc w:val="both"/>
        <w:rPr>
          <w:rFonts w:ascii="Times New Roman" w:hAnsi="Times New Roman" w:cs="Times New Roman"/>
        </w:rPr>
      </w:pPr>
    </w:p>
    <w:p w14:paraId="37E9B178" w14:textId="21251C7D" w:rsidR="002965B8" w:rsidRPr="002965B8" w:rsidRDefault="002965B8" w:rsidP="003C2E4D">
      <w:pPr>
        <w:pStyle w:val="Heading2"/>
      </w:pPr>
      <w:r w:rsidRPr="002965B8">
        <w:t xml:space="preserve">B. </w:t>
      </w:r>
      <w:r>
        <w:tab/>
      </w:r>
      <w:r w:rsidRPr="002965B8">
        <w:t xml:space="preserve">Koşulları </w:t>
      </w:r>
    </w:p>
    <w:p w14:paraId="160E5851" w14:textId="77777777" w:rsidR="002965B8" w:rsidRDefault="002965B8" w:rsidP="002965B8">
      <w:pPr>
        <w:spacing w:line="360" w:lineRule="auto"/>
        <w:ind w:firstLine="720"/>
        <w:jc w:val="both"/>
        <w:rPr>
          <w:rFonts w:ascii="Times New Roman" w:hAnsi="Times New Roman" w:cs="Times New Roman"/>
        </w:rPr>
      </w:pPr>
    </w:p>
    <w:p w14:paraId="3F5EE036" w14:textId="08943BDB" w:rsidR="002965B8" w:rsidRDefault="002965B8" w:rsidP="002965B8">
      <w:pPr>
        <w:spacing w:line="360" w:lineRule="auto"/>
        <w:ind w:firstLine="720"/>
        <w:jc w:val="both"/>
        <w:rPr>
          <w:rFonts w:ascii="Times New Roman" w:hAnsi="Times New Roman" w:cs="Times New Roman"/>
        </w:rPr>
      </w:pPr>
      <w:r>
        <w:rPr>
          <w:rFonts w:ascii="Times New Roman" w:hAnsi="Times New Roman" w:cs="Times New Roman"/>
        </w:rPr>
        <w:t>Seri muhakeme usulünün uygulanma koşulları</w:t>
      </w:r>
      <w:r w:rsidR="00213AC1">
        <w:rPr>
          <w:rFonts w:ascii="Times New Roman" w:hAnsi="Times New Roman" w:cs="Times New Roman"/>
        </w:rPr>
        <w:t>,</w:t>
      </w:r>
      <w:r>
        <w:rPr>
          <w:rFonts w:ascii="Times New Roman" w:hAnsi="Times New Roman" w:cs="Times New Roman"/>
        </w:rPr>
        <w:t xml:space="preserve"> </w:t>
      </w:r>
      <w:r w:rsidR="00213AC1">
        <w:rPr>
          <w:rFonts w:ascii="Times New Roman" w:hAnsi="Times New Roman" w:cs="Times New Roman"/>
        </w:rPr>
        <w:t xml:space="preserve">CMK m. 250’den yola çıkılarak, </w:t>
      </w:r>
      <w:r>
        <w:rPr>
          <w:rFonts w:ascii="Times New Roman" w:hAnsi="Times New Roman" w:cs="Times New Roman"/>
        </w:rPr>
        <w:t xml:space="preserve">bu usul kapsamında </w:t>
      </w:r>
      <w:r w:rsidR="00213AC1">
        <w:rPr>
          <w:rFonts w:ascii="Times New Roman" w:hAnsi="Times New Roman" w:cs="Times New Roman"/>
        </w:rPr>
        <w:t>sayılan</w:t>
      </w:r>
      <w:r>
        <w:rPr>
          <w:rFonts w:ascii="Times New Roman" w:hAnsi="Times New Roman" w:cs="Times New Roman"/>
        </w:rPr>
        <w:t xml:space="preserve"> suçlardan birinin söz konusu olması, kamu davasının açılmasının ertelenmesine karar verilmemiş olması, şüphelinin bu usulün uygulanmasını kabul etmesi ve bu usulün uygulanmasına eng</w:t>
      </w:r>
      <w:r w:rsidR="00213AC1">
        <w:rPr>
          <w:rFonts w:ascii="Times New Roman" w:hAnsi="Times New Roman" w:cs="Times New Roman"/>
        </w:rPr>
        <w:t>el hallerin bulunmaması olarak belirlenebilir</w:t>
      </w:r>
      <w:r>
        <w:rPr>
          <w:rFonts w:ascii="Times New Roman" w:hAnsi="Times New Roman" w:cs="Times New Roman"/>
        </w:rPr>
        <w:t xml:space="preserve">. </w:t>
      </w:r>
    </w:p>
    <w:p w14:paraId="35CC47B7" w14:textId="77777777" w:rsidR="002965B8" w:rsidRDefault="002965B8" w:rsidP="002965B8">
      <w:pPr>
        <w:spacing w:line="360" w:lineRule="auto"/>
        <w:ind w:firstLine="720"/>
        <w:jc w:val="both"/>
        <w:rPr>
          <w:rFonts w:ascii="Times New Roman" w:hAnsi="Times New Roman" w:cs="Times New Roman"/>
        </w:rPr>
      </w:pPr>
    </w:p>
    <w:p w14:paraId="74369A51" w14:textId="787DC833" w:rsidR="002965B8" w:rsidRDefault="00856AA4" w:rsidP="00B95846">
      <w:pPr>
        <w:spacing w:line="360" w:lineRule="auto"/>
        <w:ind w:firstLine="720"/>
        <w:jc w:val="both"/>
        <w:rPr>
          <w:rFonts w:ascii="Times New Roman" w:hAnsi="Times New Roman" w:cs="Times New Roman"/>
        </w:rPr>
      </w:pPr>
      <w:r>
        <w:rPr>
          <w:rFonts w:ascii="Times New Roman" w:hAnsi="Times New Roman" w:cs="Times New Roman"/>
        </w:rPr>
        <w:t>Seri muhakeme usulü</w:t>
      </w:r>
      <w:r w:rsidR="00213AC1">
        <w:rPr>
          <w:rFonts w:ascii="Times New Roman" w:hAnsi="Times New Roman" w:cs="Times New Roman"/>
        </w:rPr>
        <w:t>nün uygula</w:t>
      </w:r>
      <w:r w:rsidR="008A0D9A">
        <w:rPr>
          <w:rFonts w:ascii="Times New Roman" w:hAnsi="Times New Roman" w:cs="Times New Roman"/>
        </w:rPr>
        <w:t>nabilmesinin ilk koşulu bu usul kapsamındaki</w:t>
      </w:r>
      <w:r w:rsidR="00213AC1">
        <w:rPr>
          <w:rFonts w:ascii="Times New Roman" w:hAnsi="Times New Roman" w:cs="Times New Roman"/>
        </w:rPr>
        <w:t xml:space="preserve"> suç tiplerinden birinin söz konusu olmasıdır.</w:t>
      </w:r>
      <w:r>
        <w:rPr>
          <w:rFonts w:ascii="Times New Roman" w:hAnsi="Times New Roman" w:cs="Times New Roman"/>
        </w:rPr>
        <w:t xml:space="preserve"> </w:t>
      </w:r>
      <w:r w:rsidR="00213AC1">
        <w:rPr>
          <w:rFonts w:ascii="Times New Roman" w:hAnsi="Times New Roman" w:cs="Times New Roman"/>
        </w:rPr>
        <w:t xml:space="preserve">Bu usul yalnızca </w:t>
      </w:r>
      <w:r>
        <w:rPr>
          <w:rFonts w:ascii="Times New Roman" w:hAnsi="Times New Roman" w:cs="Times New Roman"/>
        </w:rPr>
        <w:t>CMK m. 250/1 –a bendinde katalog halinde sayılarak belirlenen sınırlı sayıdaki suçlarda uygulanabilmektedir</w:t>
      </w:r>
      <w:r w:rsidR="004465F4">
        <w:rPr>
          <w:rStyle w:val="FootnoteReference"/>
          <w:rFonts w:ascii="Times New Roman" w:hAnsi="Times New Roman" w:cs="Times New Roman"/>
        </w:rPr>
        <w:footnoteReference w:id="85"/>
      </w:r>
      <w:r>
        <w:rPr>
          <w:rFonts w:ascii="Times New Roman" w:hAnsi="Times New Roman" w:cs="Times New Roman"/>
        </w:rPr>
        <w:t xml:space="preserve">. </w:t>
      </w:r>
      <w:r w:rsidR="00812757">
        <w:rPr>
          <w:rFonts w:ascii="Times New Roman" w:hAnsi="Times New Roman" w:cs="Times New Roman"/>
        </w:rPr>
        <w:t>Bu suçlar dışındaki suçlarda, aynı hafiflikte veya daha hafif olduğu düşünülse bile</w:t>
      </w:r>
      <w:r w:rsidR="003D3E84">
        <w:rPr>
          <w:rStyle w:val="FootnoteReference"/>
          <w:rFonts w:ascii="Times New Roman" w:hAnsi="Times New Roman" w:cs="Times New Roman"/>
        </w:rPr>
        <w:footnoteReference w:id="86"/>
      </w:r>
      <w:r w:rsidR="00812757">
        <w:rPr>
          <w:rFonts w:ascii="Times New Roman" w:hAnsi="Times New Roman" w:cs="Times New Roman"/>
        </w:rPr>
        <w:t xml:space="preserve">, seri usulün uygulanması mümkün değildir. </w:t>
      </w:r>
      <w:r w:rsidR="00FC76A4">
        <w:rPr>
          <w:rFonts w:ascii="Times New Roman" w:hAnsi="Times New Roman" w:cs="Times New Roman"/>
        </w:rPr>
        <w:t xml:space="preserve">CMK m. 250’de sayılan suçların haricinde Yönetmelik m. 5/1’de ayrıca ön ödeme ve uzlaştırma kapsamındaki suçların seri muhakeme usulü kapsamında olmadığı belirtilmiştir. </w:t>
      </w:r>
      <w:r w:rsidR="005E268F">
        <w:rPr>
          <w:rFonts w:ascii="Times New Roman" w:hAnsi="Times New Roman" w:cs="Times New Roman"/>
        </w:rPr>
        <w:t xml:space="preserve">Maddeye bakıldığında </w:t>
      </w:r>
      <w:r w:rsidR="00213AC1">
        <w:rPr>
          <w:rFonts w:ascii="Times New Roman" w:hAnsi="Times New Roman" w:cs="Times New Roman"/>
        </w:rPr>
        <w:t>Türk hukukunda</w:t>
      </w:r>
      <w:r w:rsidR="005E268F">
        <w:rPr>
          <w:rFonts w:ascii="Times New Roman" w:hAnsi="Times New Roman" w:cs="Times New Roman"/>
        </w:rPr>
        <w:t xml:space="preserve"> seri usulün</w:t>
      </w:r>
      <w:r w:rsidR="00213AC1">
        <w:rPr>
          <w:rFonts w:ascii="Times New Roman" w:hAnsi="Times New Roman" w:cs="Times New Roman"/>
        </w:rPr>
        <w:t xml:space="preserve"> kapsamın</w:t>
      </w:r>
      <w:r w:rsidR="005E268F">
        <w:rPr>
          <w:rFonts w:ascii="Times New Roman" w:hAnsi="Times New Roman" w:cs="Times New Roman"/>
        </w:rPr>
        <w:t>ın</w:t>
      </w:r>
      <w:r>
        <w:rPr>
          <w:rFonts w:ascii="Times New Roman" w:hAnsi="Times New Roman" w:cs="Times New Roman"/>
        </w:rPr>
        <w:t xml:space="preserve"> belirlenmesi</w:t>
      </w:r>
      <w:r w:rsidR="00AB3594">
        <w:rPr>
          <w:rFonts w:ascii="Times New Roman" w:hAnsi="Times New Roman" w:cs="Times New Roman"/>
        </w:rPr>
        <w:t xml:space="preserve">nde </w:t>
      </w:r>
      <w:r w:rsidR="00BE6D08">
        <w:rPr>
          <w:rFonts w:ascii="Times New Roman" w:hAnsi="Times New Roman" w:cs="Times New Roman"/>
        </w:rPr>
        <w:t>Fransız hukukund</w:t>
      </w:r>
      <w:r w:rsidR="005E268F">
        <w:rPr>
          <w:rFonts w:ascii="Times New Roman" w:hAnsi="Times New Roman" w:cs="Times New Roman"/>
        </w:rPr>
        <w:t xml:space="preserve">akinden </w:t>
      </w:r>
      <w:r>
        <w:rPr>
          <w:rFonts w:ascii="Times New Roman" w:hAnsi="Times New Roman" w:cs="Times New Roman"/>
        </w:rPr>
        <w:t xml:space="preserve">farklı bir yol izlendiği görülmektedir. </w:t>
      </w:r>
      <w:r w:rsidR="00FC76A4">
        <w:rPr>
          <w:rFonts w:ascii="Times New Roman" w:hAnsi="Times New Roman" w:cs="Times New Roman"/>
        </w:rPr>
        <w:t>Fransız hukukunda</w:t>
      </w:r>
      <w:r w:rsidR="00BE6D08">
        <w:rPr>
          <w:rFonts w:ascii="Times New Roman" w:hAnsi="Times New Roman" w:cs="Times New Roman"/>
        </w:rPr>
        <w:t xml:space="preserve"> suçluluğun ön kabulü üzerin</w:t>
      </w:r>
      <w:r w:rsidR="00FC76A4">
        <w:rPr>
          <w:rFonts w:ascii="Times New Roman" w:hAnsi="Times New Roman" w:cs="Times New Roman"/>
        </w:rPr>
        <w:t>e</w:t>
      </w:r>
      <w:r w:rsidR="00BE6D08">
        <w:rPr>
          <w:rFonts w:ascii="Times New Roman" w:hAnsi="Times New Roman" w:cs="Times New Roman"/>
        </w:rPr>
        <w:t xml:space="preserve"> duruşma</w:t>
      </w:r>
      <w:r w:rsidR="005E268F">
        <w:rPr>
          <w:rFonts w:ascii="Times New Roman" w:hAnsi="Times New Roman" w:cs="Times New Roman"/>
        </w:rPr>
        <w:t xml:space="preserve"> usulü</w:t>
      </w:r>
      <w:r>
        <w:rPr>
          <w:rFonts w:ascii="Times New Roman" w:hAnsi="Times New Roman" w:cs="Times New Roman"/>
        </w:rPr>
        <w:t xml:space="preserve"> </w:t>
      </w:r>
      <w:r w:rsidR="005E268F">
        <w:rPr>
          <w:rFonts w:ascii="Times New Roman" w:hAnsi="Times New Roman" w:cs="Times New Roman"/>
        </w:rPr>
        <w:t xml:space="preserve">kapsamındaki suçların </w:t>
      </w:r>
      <w:r w:rsidR="000D1A6C">
        <w:rPr>
          <w:rFonts w:ascii="Times New Roman" w:hAnsi="Times New Roman" w:cs="Times New Roman"/>
        </w:rPr>
        <w:t xml:space="preserve">belirlenmesinde </w:t>
      </w:r>
      <w:r w:rsidR="00FC76A4">
        <w:rPr>
          <w:rFonts w:ascii="Times New Roman" w:hAnsi="Times New Roman" w:cs="Times New Roman"/>
        </w:rPr>
        <w:t xml:space="preserve">sayma yöntemi yerine </w:t>
      </w:r>
      <w:r>
        <w:rPr>
          <w:rFonts w:ascii="Times New Roman" w:hAnsi="Times New Roman" w:cs="Times New Roman"/>
        </w:rPr>
        <w:t xml:space="preserve">yaptırım çeşidi ve miktarı yönünden kanuni </w:t>
      </w:r>
      <w:r w:rsidR="00FC76A4">
        <w:rPr>
          <w:rFonts w:ascii="Times New Roman" w:hAnsi="Times New Roman" w:cs="Times New Roman"/>
        </w:rPr>
        <w:t xml:space="preserve">üst </w:t>
      </w:r>
      <w:r>
        <w:rPr>
          <w:rFonts w:ascii="Times New Roman" w:hAnsi="Times New Roman" w:cs="Times New Roman"/>
        </w:rPr>
        <w:t>sınırlar</w:t>
      </w:r>
      <w:r w:rsidR="005E268F">
        <w:rPr>
          <w:rFonts w:ascii="Times New Roman" w:hAnsi="Times New Roman" w:cs="Times New Roman"/>
        </w:rPr>
        <w:t>ı</w:t>
      </w:r>
      <w:r w:rsidR="000D1A6C">
        <w:rPr>
          <w:rFonts w:ascii="Times New Roman" w:hAnsi="Times New Roman" w:cs="Times New Roman"/>
        </w:rPr>
        <w:t xml:space="preserve">n gösterilmesi </w:t>
      </w:r>
      <w:r w:rsidR="002965B8">
        <w:rPr>
          <w:rFonts w:ascii="Times New Roman" w:hAnsi="Times New Roman" w:cs="Times New Roman"/>
        </w:rPr>
        <w:t>terci</w:t>
      </w:r>
      <w:r w:rsidR="00FC76A4">
        <w:rPr>
          <w:rFonts w:ascii="Times New Roman" w:hAnsi="Times New Roman" w:cs="Times New Roman"/>
        </w:rPr>
        <w:t xml:space="preserve">h edilmiş, yalnızca kapsam dışında bırakılan </w:t>
      </w:r>
      <w:r w:rsidR="003E33E9">
        <w:rPr>
          <w:rFonts w:ascii="Times New Roman" w:hAnsi="Times New Roman" w:cs="Times New Roman"/>
        </w:rPr>
        <w:t>birkaç</w:t>
      </w:r>
      <w:r w:rsidR="00812757">
        <w:rPr>
          <w:rFonts w:ascii="Times New Roman" w:hAnsi="Times New Roman" w:cs="Times New Roman"/>
        </w:rPr>
        <w:t xml:space="preserve"> suç tip</w:t>
      </w:r>
      <w:r w:rsidR="00FC76A4">
        <w:rPr>
          <w:rFonts w:ascii="Times New Roman" w:hAnsi="Times New Roman" w:cs="Times New Roman"/>
        </w:rPr>
        <w:t xml:space="preserve">i sayılmıştır. </w:t>
      </w:r>
      <w:r w:rsidR="002965B8">
        <w:rPr>
          <w:rFonts w:ascii="Times New Roman" w:hAnsi="Times New Roman" w:cs="Times New Roman"/>
        </w:rPr>
        <w:t>Bu</w:t>
      </w:r>
      <w:r>
        <w:rPr>
          <w:rFonts w:ascii="Times New Roman" w:hAnsi="Times New Roman" w:cs="Times New Roman"/>
        </w:rPr>
        <w:t xml:space="preserve"> noktada </w:t>
      </w:r>
      <w:r w:rsidR="00FC76A4">
        <w:rPr>
          <w:rFonts w:ascii="Times New Roman" w:hAnsi="Times New Roman" w:cs="Times New Roman"/>
        </w:rPr>
        <w:t xml:space="preserve">bir yandan </w:t>
      </w:r>
      <w:r>
        <w:rPr>
          <w:rFonts w:ascii="Times New Roman" w:hAnsi="Times New Roman" w:cs="Times New Roman"/>
        </w:rPr>
        <w:t xml:space="preserve">Türk kanun koyucusunun </w:t>
      </w:r>
      <w:r w:rsidR="005E268F">
        <w:rPr>
          <w:rFonts w:ascii="Times New Roman" w:hAnsi="Times New Roman" w:cs="Times New Roman"/>
        </w:rPr>
        <w:t>seri muhakeme usulü kapsamındaki suçların</w:t>
      </w:r>
      <w:r w:rsidR="00FC76A4">
        <w:rPr>
          <w:rFonts w:ascii="Times New Roman" w:hAnsi="Times New Roman" w:cs="Times New Roman"/>
        </w:rPr>
        <w:t xml:space="preserve"> belirlenmesinde</w:t>
      </w:r>
      <w:r w:rsidR="005E268F">
        <w:rPr>
          <w:rFonts w:ascii="Times New Roman" w:hAnsi="Times New Roman" w:cs="Times New Roman"/>
        </w:rPr>
        <w:t xml:space="preserve"> </w:t>
      </w:r>
      <w:r w:rsidR="00955BF8">
        <w:rPr>
          <w:rFonts w:ascii="Times New Roman" w:hAnsi="Times New Roman" w:cs="Times New Roman"/>
        </w:rPr>
        <w:t xml:space="preserve">yalnızca </w:t>
      </w:r>
      <w:r w:rsidR="00FC76A4">
        <w:rPr>
          <w:rFonts w:ascii="Times New Roman" w:hAnsi="Times New Roman" w:cs="Times New Roman"/>
        </w:rPr>
        <w:t>ceza yaptırımının miktarını ölçüt almadığı</w:t>
      </w:r>
      <w:r w:rsidR="003E509A">
        <w:rPr>
          <w:rStyle w:val="FootnoteReference"/>
          <w:rFonts w:ascii="Times New Roman" w:hAnsi="Times New Roman" w:cs="Times New Roman"/>
        </w:rPr>
        <w:footnoteReference w:id="87"/>
      </w:r>
      <w:r w:rsidR="00FC76A4">
        <w:rPr>
          <w:rFonts w:ascii="Times New Roman" w:hAnsi="Times New Roman" w:cs="Times New Roman"/>
        </w:rPr>
        <w:t>, diğer yandan kapsamın Fransız hukukundaki suç kapsamından daha dar tutulduğu</w:t>
      </w:r>
      <w:r w:rsidR="00122288">
        <w:rPr>
          <w:rFonts w:ascii="Times New Roman" w:hAnsi="Times New Roman" w:cs="Times New Roman"/>
        </w:rPr>
        <w:t xml:space="preserve"> </w:t>
      </w:r>
      <w:r w:rsidR="003E33E9">
        <w:rPr>
          <w:rFonts w:ascii="Times New Roman" w:hAnsi="Times New Roman" w:cs="Times New Roman"/>
        </w:rPr>
        <w:t>görülmektedir</w:t>
      </w:r>
      <w:r w:rsidR="00122288">
        <w:rPr>
          <w:rFonts w:ascii="Times New Roman" w:hAnsi="Times New Roman" w:cs="Times New Roman"/>
        </w:rPr>
        <w:t xml:space="preserve">. </w:t>
      </w:r>
      <w:r w:rsidR="00812757">
        <w:rPr>
          <w:rFonts w:ascii="Times New Roman" w:hAnsi="Times New Roman" w:cs="Times New Roman"/>
        </w:rPr>
        <w:t xml:space="preserve">Türk hukukunda </w:t>
      </w:r>
      <w:r w:rsidR="00E233E5">
        <w:rPr>
          <w:rFonts w:ascii="Times New Roman" w:hAnsi="Times New Roman" w:cs="Times New Roman"/>
        </w:rPr>
        <w:t>seri muhakeme usulüne tabi suçların hafifliğinin belirlenmesinde</w:t>
      </w:r>
      <w:r w:rsidR="00812757">
        <w:rPr>
          <w:rFonts w:ascii="Times New Roman" w:hAnsi="Times New Roman" w:cs="Times New Roman"/>
        </w:rPr>
        <w:t xml:space="preserve"> cezanın tür ve miktarından ziyade</w:t>
      </w:r>
      <w:r w:rsidR="00E233E5">
        <w:rPr>
          <w:rFonts w:ascii="Times New Roman" w:hAnsi="Times New Roman" w:cs="Times New Roman"/>
        </w:rPr>
        <w:t xml:space="preserve"> suç tiplerindeki eylemlerin</w:t>
      </w:r>
      <w:r w:rsidR="00FC76A4">
        <w:rPr>
          <w:rFonts w:ascii="Times New Roman" w:hAnsi="Times New Roman" w:cs="Times New Roman"/>
        </w:rPr>
        <w:t xml:space="preserve"> </w:t>
      </w:r>
      <w:r w:rsidR="00E233E5">
        <w:rPr>
          <w:rFonts w:ascii="Times New Roman" w:hAnsi="Times New Roman" w:cs="Times New Roman"/>
        </w:rPr>
        <w:t>karmaşık yapıda olmamaları ve</w:t>
      </w:r>
      <w:r w:rsidR="00812757">
        <w:rPr>
          <w:rFonts w:ascii="Times New Roman" w:hAnsi="Times New Roman" w:cs="Times New Roman"/>
        </w:rPr>
        <w:t xml:space="preserve"> bu suçlarda</w:t>
      </w:r>
      <w:r w:rsidR="00E233E5">
        <w:rPr>
          <w:rFonts w:ascii="Times New Roman" w:hAnsi="Times New Roman" w:cs="Times New Roman"/>
        </w:rPr>
        <w:t xml:space="preserve"> delil elde etmenin kolay olmasının da dikkate alındığı </w:t>
      </w:r>
      <w:r w:rsidR="00062CFE">
        <w:rPr>
          <w:rFonts w:ascii="Times New Roman" w:hAnsi="Times New Roman" w:cs="Times New Roman"/>
        </w:rPr>
        <w:t>düşünülebilir</w:t>
      </w:r>
      <w:r w:rsidR="00B457F4">
        <w:rPr>
          <w:rStyle w:val="FootnoteReference"/>
          <w:rFonts w:ascii="Times New Roman" w:hAnsi="Times New Roman" w:cs="Times New Roman"/>
        </w:rPr>
        <w:footnoteReference w:id="88"/>
      </w:r>
      <w:r w:rsidR="00E233E5">
        <w:rPr>
          <w:rFonts w:ascii="Times New Roman" w:hAnsi="Times New Roman" w:cs="Times New Roman"/>
        </w:rPr>
        <w:t>.</w:t>
      </w:r>
      <w:r w:rsidR="006653B9">
        <w:rPr>
          <w:rFonts w:ascii="Times New Roman" w:hAnsi="Times New Roman" w:cs="Times New Roman"/>
        </w:rPr>
        <w:t xml:space="preserve"> Gerekçe’de bu usulün belirli bir önem derecesinin altında olan</w:t>
      </w:r>
      <w:r w:rsidR="0079379F">
        <w:rPr>
          <w:rFonts w:ascii="Times New Roman" w:hAnsi="Times New Roman" w:cs="Times New Roman"/>
        </w:rPr>
        <w:t xml:space="preserve"> </w:t>
      </w:r>
      <w:r w:rsidR="006653B9">
        <w:rPr>
          <w:rFonts w:ascii="Times New Roman" w:hAnsi="Times New Roman" w:cs="Times New Roman"/>
        </w:rPr>
        <w:t>suçlarda uygulanmak üzere getirildiği ifade edilmiştir</w:t>
      </w:r>
      <w:r w:rsidR="00626EFB">
        <w:rPr>
          <w:rStyle w:val="FootnoteReference"/>
          <w:rFonts w:ascii="Times New Roman" w:hAnsi="Times New Roman" w:cs="Times New Roman"/>
        </w:rPr>
        <w:footnoteReference w:id="89"/>
      </w:r>
      <w:r w:rsidR="006653B9">
        <w:rPr>
          <w:rFonts w:ascii="Times New Roman" w:hAnsi="Times New Roman" w:cs="Times New Roman"/>
        </w:rPr>
        <w:t>.</w:t>
      </w:r>
      <w:r w:rsidR="00E233E5">
        <w:rPr>
          <w:rFonts w:ascii="Times New Roman" w:hAnsi="Times New Roman" w:cs="Times New Roman"/>
        </w:rPr>
        <w:t xml:space="preserve"> </w:t>
      </w:r>
    </w:p>
    <w:p w14:paraId="36B136F3" w14:textId="77777777" w:rsidR="00B95846" w:rsidRDefault="00B95846" w:rsidP="00B95846">
      <w:pPr>
        <w:spacing w:line="360" w:lineRule="auto"/>
        <w:ind w:firstLine="720"/>
        <w:jc w:val="both"/>
        <w:rPr>
          <w:rFonts w:ascii="Times New Roman" w:hAnsi="Times New Roman" w:cs="Times New Roman"/>
        </w:rPr>
      </w:pPr>
    </w:p>
    <w:p w14:paraId="6DCB128E" w14:textId="3084B9B5" w:rsidR="002965B8" w:rsidRDefault="00CD6E6F" w:rsidP="002965B8">
      <w:pPr>
        <w:spacing w:line="360" w:lineRule="auto"/>
        <w:ind w:firstLine="720"/>
        <w:jc w:val="both"/>
        <w:rPr>
          <w:rFonts w:ascii="Times New Roman" w:hAnsi="Times New Roman" w:cs="Times New Roman"/>
        </w:rPr>
      </w:pPr>
      <w:r>
        <w:rPr>
          <w:rFonts w:ascii="Times New Roman" w:hAnsi="Times New Roman" w:cs="Times New Roman"/>
        </w:rPr>
        <w:t>Seri muhakeme usulüne başvurulabilmesinin ikinci koşulu</w:t>
      </w:r>
      <w:r w:rsidR="00F95641">
        <w:rPr>
          <w:rFonts w:ascii="Times New Roman" w:hAnsi="Times New Roman" w:cs="Times New Roman"/>
        </w:rPr>
        <w:t>,</w:t>
      </w:r>
      <w:r>
        <w:rPr>
          <w:rFonts w:ascii="Times New Roman" w:hAnsi="Times New Roman" w:cs="Times New Roman"/>
        </w:rPr>
        <w:t xml:space="preserve"> ş</w:t>
      </w:r>
      <w:r w:rsidR="0093181D">
        <w:rPr>
          <w:rFonts w:ascii="Times New Roman" w:hAnsi="Times New Roman" w:cs="Times New Roman"/>
        </w:rPr>
        <w:t>üpheli hakkında kamu davasının açılmasının ertelenmesine karar veril</w:t>
      </w:r>
      <w:r>
        <w:rPr>
          <w:rFonts w:ascii="Times New Roman" w:hAnsi="Times New Roman" w:cs="Times New Roman"/>
        </w:rPr>
        <w:t>me</w:t>
      </w:r>
      <w:r w:rsidR="0093181D">
        <w:rPr>
          <w:rFonts w:ascii="Times New Roman" w:hAnsi="Times New Roman" w:cs="Times New Roman"/>
        </w:rPr>
        <w:t>miş olması</w:t>
      </w:r>
      <w:r>
        <w:rPr>
          <w:rFonts w:ascii="Times New Roman" w:hAnsi="Times New Roman" w:cs="Times New Roman"/>
        </w:rPr>
        <w:t xml:space="preserve">dır. </w:t>
      </w:r>
      <w:r w:rsidR="0093181D">
        <w:rPr>
          <w:rFonts w:ascii="Times New Roman" w:hAnsi="Times New Roman" w:cs="Times New Roman"/>
        </w:rPr>
        <w:t>Bu durumda savcı öncelikle şüpheli bakımından daha lehe sonuç doğuran kamu davasının açılmasının ertelenmesinin koşullarının oluşup oluşmadığına bakarak uygulanması mümkün değilse seri muhakeme usulüne başvuracaktır</w:t>
      </w:r>
      <w:r w:rsidR="0093181D">
        <w:rPr>
          <w:rStyle w:val="FootnoteReference"/>
          <w:rFonts w:ascii="Times New Roman" w:hAnsi="Times New Roman" w:cs="Times New Roman"/>
        </w:rPr>
        <w:footnoteReference w:id="90"/>
      </w:r>
      <w:r w:rsidR="0093181D">
        <w:rPr>
          <w:rFonts w:ascii="Times New Roman" w:hAnsi="Times New Roman" w:cs="Times New Roman"/>
        </w:rPr>
        <w:t xml:space="preserve">. </w:t>
      </w:r>
      <w:r w:rsidR="00EF221A">
        <w:rPr>
          <w:rFonts w:ascii="Times New Roman" w:hAnsi="Times New Roman" w:cs="Times New Roman"/>
        </w:rPr>
        <w:t>CMK m. 250/1’de belirtilen bu koşuldan</w:t>
      </w:r>
      <w:r w:rsidR="00F95641">
        <w:rPr>
          <w:rFonts w:ascii="Times New Roman" w:hAnsi="Times New Roman" w:cs="Times New Roman"/>
        </w:rPr>
        <w:t>,</w:t>
      </w:r>
      <w:r w:rsidR="00EF221A">
        <w:rPr>
          <w:rFonts w:ascii="Times New Roman" w:hAnsi="Times New Roman" w:cs="Times New Roman"/>
        </w:rPr>
        <w:t xml:space="preserve"> seri muhakeme usulüne başvurulabilmesi için savcının kovuşturma </w:t>
      </w:r>
      <w:r w:rsidR="00AC5859">
        <w:rPr>
          <w:rFonts w:ascii="Times New Roman" w:hAnsi="Times New Roman" w:cs="Times New Roman"/>
        </w:rPr>
        <w:t>evresine</w:t>
      </w:r>
      <w:r w:rsidR="00EF221A">
        <w:rPr>
          <w:rFonts w:ascii="Times New Roman" w:hAnsi="Times New Roman" w:cs="Times New Roman"/>
        </w:rPr>
        <w:t xml:space="preserve"> geçme yönünde bir iradesinin oluşmasının, diğer bir deyişle kamu davası açılacak yeterli şüpheye ulaşılmış olmasının arandığı sonucuna ulaşılmaktadır</w:t>
      </w:r>
      <w:r w:rsidR="006609FB">
        <w:rPr>
          <w:rStyle w:val="FootnoteReference"/>
          <w:rFonts w:ascii="Times New Roman" w:hAnsi="Times New Roman" w:cs="Times New Roman"/>
        </w:rPr>
        <w:footnoteReference w:id="91"/>
      </w:r>
      <w:r w:rsidR="00EF221A">
        <w:rPr>
          <w:rFonts w:ascii="Times New Roman" w:hAnsi="Times New Roman" w:cs="Times New Roman"/>
        </w:rPr>
        <w:t xml:space="preserve">. Kanun’da </w:t>
      </w:r>
      <w:r w:rsidR="00197087">
        <w:rPr>
          <w:rFonts w:ascii="Times New Roman" w:hAnsi="Times New Roman" w:cs="Times New Roman"/>
        </w:rPr>
        <w:t xml:space="preserve">açıkça ifade edilmeyen </w:t>
      </w:r>
      <w:r w:rsidR="00EF221A">
        <w:rPr>
          <w:rFonts w:ascii="Times New Roman" w:hAnsi="Times New Roman" w:cs="Times New Roman"/>
        </w:rPr>
        <w:t xml:space="preserve">bu husus, Yönetmelik m. 5/2’de vurgulanmış, </w:t>
      </w:r>
      <w:r w:rsidR="00BE6D08">
        <w:rPr>
          <w:rFonts w:ascii="Times New Roman" w:hAnsi="Times New Roman" w:cs="Times New Roman"/>
        </w:rPr>
        <w:t xml:space="preserve">bu usulün </w:t>
      </w:r>
      <w:r w:rsidR="001001A4">
        <w:rPr>
          <w:rFonts w:ascii="Times New Roman" w:hAnsi="Times New Roman" w:cs="Times New Roman"/>
        </w:rPr>
        <w:t>“</w:t>
      </w:r>
      <w:r w:rsidR="00EF221A" w:rsidRPr="00430850">
        <w:rPr>
          <w:rFonts w:ascii="Times New Roman" w:hAnsi="Times New Roman" w:cs="Times New Roman"/>
          <w:i/>
        </w:rPr>
        <w:t>kamu davası açılabilmesi için yeterli şüphe</w:t>
      </w:r>
      <w:r w:rsidR="001001A4" w:rsidRPr="00430850">
        <w:rPr>
          <w:rFonts w:ascii="Times New Roman" w:hAnsi="Times New Roman" w:cs="Times New Roman"/>
          <w:i/>
        </w:rPr>
        <w:t xml:space="preserve"> oluşturacak delil elde edilmesi üzerine kamu davasının açılmasının ertelenmesine karar verilmediği takdirde</w:t>
      </w:r>
      <w:r w:rsidR="001001A4">
        <w:rPr>
          <w:rFonts w:ascii="Times New Roman" w:hAnsi="Times New Roman" w:cs="Times New Roman"/>
        </w:rPr>
        <w:t xml:space="preserve">” uygulanabileceği ifade edilmiştir. </w:t>
      </w:r>
      <w:r w:rsidR="00BE6D08">
        <w:rPr>
          <w:rFonts w:ascii="Times New Roman" w:hAnsi="Times New Roman" w:cs="Times New Roman"/>
        </w:rPr>
        <w:t>Bu</w:t>
      </w:r>
      <w:r w:rsidR="00B20F47">
        <w:rPr>
          <w:rFonts w:ascii="Times New Roman" w:hAnsi="Times New Roman" w:cs="Times New Roman"/>
        </w:rPr>
        <w:t xml:space="preserve"> noktada yeterli delile ulaşılmasına yönelik gerekli tüm soruşturma işlemlerinin tamamlanmış olması</w:t>
      </w:r>
      <w:r w:rsidR="00FA3D55">
        <w:rPr>
          <w:rFonts w:ascii="Times New Roman" w:hAnsi="Times New Roman" w:cs="Times New Roman"/>
        </w:rPr>
        <w:t xml:space="preserve"> gerektiği de</w:t>
      </w:r>
      <w:r w:rsidR="00B20F47">
        <w:rPr>
          <w:rFonts w:ascii="Times New Roman" w:hAnsi="Times New Roman" w:cs="Times New Roman"/>
        </w:rPr>
        <w:t xml:space="preserve"> bu koşul kapsamında </w:t>
      </w:r>
      <w:r w:rsidR="003E33E9">
        <w:rPr>
          <w:rFonts w:ascii="Times New Roman" w:hAnsi="Times New Roman" w:cs="Times New Roman"/>
        </w:rPr>
        <w:t>belirtilmelidir</w:t>
      </w:r>
      <w:r w:rsidR="00B20F47">
        <w:rPr>
          <w:rStyle w:val="FootnoteReference"/>
          <w:rFonts w:ascii="Times New Roman" w:hAnsi="Times New Roman" w:cs="Times New Roman"/>
        </w:rPr>
        <w:footnoteReference w:id="92"/>
      </w:r>
      <w:r w:rsidR="00B20F47">
        <w:rPr>
          <w:rFonts w:ascii="Times New Roman" w:hAnsi="Times New Roman" w:cs="Times New Roman"/>
        </w:rPr>
        <w:t xml:space="preserve">. </w:t>
      </w:r>
    </w:p>
    <w:p w14:paraId="656244D2" w14:textId="77777777" w:rsidR="0093181D" w:rsidRDefault="0093181D" w:rsidP="002965B8">
      <w:pPr>
        <w:spacing w:line="360" w:lineRule="auto"/>
        <w:ind w:firstLine="720"/>
        <w:jc w:val="both"/>
        <w:rPr>
          <w:rFonts w:ascii="Times New Roman" w:hAnsi="Times New Roman" w:cs="Times New Roman"/>
        </w:rPr>
      </w:pPr>
    </w:p>
    <w:p w14:paraId="6D15747C" w14:textId="399DD7E6" w:rsidR="00FB7FCB" w:rsidRDefault="0093181D" w:rsidP="00F95641">
      <w:pPr>
        <w:spacing w:line="360" w:lineRule="auto"/>
        <w:ind w:firstLine="720"/>
        <w:jc w:val="both"/>
        <w:rPr>
          <w:rFonts w:ascii="Times New Roman" w:hAnsi="Times New Roman" w:cs="Times New Roman"/>
        </w:rPr>
      </w:pPr>
      <w:r>
        <w:rPr>
          <w:rFonts w:ascii="Times New Roman" w:hAnsi="Times New Roman" w:cs="Times New Roman"/>
        </w:rPr>
        <w:t>Seri muhakeme usulünün diğer bir koşulu şüphelinin bu usulün uygulanmasını kabul ettiğini beyan etmesidir</w:t>
      </w:r>
      <w:r w:rsidR="00C42F20">
        <w:rPr>
          <w:rFonts w:ascii="Times New Roman" w:hAnsi="Times New Roman" w:cs="Times New Roman"/>
        </w:rPr>
        <w:t xml:space="preserve"> (CMK m. 250/3, Yönetmelik m. 5/3)</w:t>
      </w:r>
      <w:r>
        <w:rPr>
          <w:rFonts w:ascii="Times New Roman" w:hAnsi="Times New Roman" w:cs="Times New Roman"/>
        </w:rPr>
        <w:t xml:space="preserve">. Müdafiin </w:t>
      </w:r>
      <w:r w:rsidR="00D10FD4">
        <w:rPr>
          <w:rFonts w:ascii="Times New Roman" w:hAnsi="Times New Roman" w:cs="Times New Roman"/>
        </w:rPr>
        <w:t xml:space="preserve">kabul sırasında </w:t>
      </w:r>
      <w:r>
        <w:rPr>
          <w:rFonts w:ascii="Times New Roman" w:hAnsi="Times New Roman" w:cs="Times New Roman"/>
        </w:rPr>
        <w:t>hazır bulunması zorunluluğu</w:t>
      </w:r>
      <w:r w:rsidR="00D10FD4">
        <w:rPr>
          <w:rFonts w:ascii="Times New Roman" w:hAnsi="Times New Roman" w:cs="Times New Roman"/>
        </w:rPr>
        <w:t xml:space="preserve"> da bu koşul kapsamında</w:t>
      </w:r>
      <w:r>
        <w:rPr>
          <w:rFonts w:ascii="Times New Roman" w:hAnsi="Times New Roman" w:cs="Times New Roman"/>
        </w:rPr>
        <w:t xml:space="preserve"> kanunda açıkça düzenlenmiştir. </w:t>
      </w:r>
      <w:r w:rsidR="00D10FD4">
        <w:rPr>
          <w:rFonts w:ascii="Times New Roman" w:hAnsi="Times New Roman" w:cs="Times New Roman"/>
        </w:rPr>
        <w:t xml:space="preserve">Bu noktada belirtmek gerekir ki </w:t>
      </w:r>
      <w:r w:rsidR="00753D86">
        <w:rPr>
          <w:rFonts w:ascii="Times New Roman" w:hAnsi="Times New Roman" w:cs="Times New Roman"/>
        </w:rPr>
        <w:t xml:space="preserve">kabul beyanının içeriği yönünden </w:t>
      </w:r>
      <w:r>
        <w:rPr>
          <w:rFonts w:ascii="Times New Roman" w:hAnsi="Times New Roman" w:cs="Times New Roman"/>
        </w:rPr>
        <w:t>Türk hu</w:t>
      </w:r>
      <w:r w:rsidR="00F95641">
        <w:rPr>
          <w:rFonts w:ascii="Times New Roman" w:hAnsi="Times New Roman" w:cs="Times New Roman"/>
        </w:rPr>
        <w:t>kukundaki seri muhakeme usulü</w:t>
      </w:r>
      <w:r>
        <w:rPr>
          <w:rFonts w:ascii="Times New Roman" w:hAnsi="Times New Roman" w:cs="Times New Roman"/>
        </w:rPr>
        <w:t xml:space="preserve"> Fransız hukukundaki örnekten farklı </w:t>
      </w:r>
      <w:r w:rsidR="00F95641">
        <w:rPr>
          <w:rFonts w:ascii="Times New Roman" w:hAnsi="Times New Roman" w:cs="Times New Roman"/>
        </w:rPr>
        <w:t>düzenlenmiştir</w:t>
      </w:r>
      <w:r>
        <w:rPr>
          <w:rFonts w:ascii="Times New Roman" w:hAnsi="Times New Roman" w:cs="Times New Roman"/>
        </w:rPr>
        <w:t xml:space="preserve">. </w:t>
      </w:r>
      <w:r w:rsidR="00F95641">
        <w:rPr>
          <w:rFonts w:ascii="Times New Roman" w:hAnsi="Times New Roman" w:cs="Times New Roman"/>
        </w:rPr>
        <w:t>Fransız hukukunda s</w:t>
      </w:r>
      <w:r w:rsidR="00E95106">
        <w:rPr>
          <w:rFonts w:ascii="Times New Roman" w:hAnsi="Times New Roman" w:cs="Times New Roman"/>
        </w:rPr>
        <w:t xml:space="preserve">uçluluğun ön kabulü üzerine duruşma </w:t>
      </w:r>
      <w:r>
        <w:rPr>
          <w:rFonts w:ascii="Times New Roman" w:hAnsi="Times New Roman" w:cs="Times New Roman"/>
        </w:rPr>
        <w:t xml:space="preserve">usulünde şüpheli yalnızca hakkında bu usulün uygulanmasını kabul etmemekte, aynı zamanda kendisine isnat edilen eylemleri gerçekleştirdiğini </w:t>
      </w:r>
      <w:r w:rsidR="00F95641">
        <w:rPr>
          <w:rFonts w:ascii="Times New Roman" w:hAnsi="Times New Roman" w:cs="Times New Roman"/>
        </w:rPr>
        <w:t xml:space="preserve">de </w:t>
      </w:r>
      <w:r>
        <w:rPr>
          <w:rFonts w:ascii="Times New Roman" w:hAnsi="Times New Roman" w:cs="Times New Roman"/>
        </w:rPr>
        <w:t xml:space="preserve">ikrar etmektedir. </w:t>
      </w:r>
      <w:r w:rsidR="00D41B8D">
        <w:rPr>
          <w:rFonts w:ascii="Times New Roman" w:hAnsi="Times New Roman" w:cs="Times New Roman"/>
        </w:rPr>
        <w:t>B</w:t>
      </w:r>
      <w:r w:rsidR="007B23BA">
        <w:rPr>
          <w:rFonts w:ascii="Times New Roman" w:hAnsi="Times New Roman" w:cs="Times New Roman"/>
        </w:rPr>
        <w:t xml:space="preserve">u usulün uygulanmasını </w:t>
      </w:r>
      <w:r w:rsidR="00CB13A6">
        <w:rPr>
          <w:rFonts w:ascii="Times New Roman" w:hAnsi="Times New Roman" w:cs="Times New Roman"/>
        </w:rPr>
        <w:t xml:space="preserve">açıkça </w:t>
      </w:r>
      <w:r w:rsidR="007B23BA">
        <w:rPr>
          <w:rFonts w:ascii="Times New Roman" w:hAnsi="Times New Roman" w:cs="Times New Roman"/>
        </w:rPr>
        <w:t>şüphelinin isnat</w:t>
      </w:r>
      <w:r w:rsidR="00F904B7">
        <w:rPr>
          <w:rFonts w:ascii="Times New Roman" w:hAnsi="Times New Roman" w:cs="Times New Roman"/>
        </w:rPr>
        <w:t xml:space="preserve"> edilen eylemleri kabul etmesi koşuluna</w:t>
      </w:r>
      <w:r w:rsidR="007B23BA">
        <w:rPr>
          <w:rFonts w:ascii="Times New Roman" w:hAnsi="Times New Roman" w:cs="Times New Roman"/>
        </w:rPr>
        <w:t xml:space="preserve"> bağlamayan</w:t>
      </w:r>
      <w:r w:rsidR="007B23BA">
        <w:rPr>
          <w:rStyle w:val="FootnoteReference"/>
          <w:rFonts w:ascii="Times New Roman" w:hAnsi="Times New Roman" w:cs="Times New Roman"/>
        </w:rPr>
        <w:footnoteReference w:id="93"/>
      </w:r>
      <w:r w:rsidR="007B23BA">
        <w:rPr>
          <w:rFonts w:ascii="Times New Roman" w:hAnsi="Times New Roman" w:cs="Times New Roman"/>
        </w:rPr>
        <w:t xml:space="preserve"> </w:t>
      </w:r>
      <w:r>
        <w:rPr>
          <w:rFonts w:ascii="Times New Roman" w:hAnsi="Times New Roman" w:cs="Times New Roman"/>
        </w:rPr>
        <w:t xml:space="preserve">Türk hukukunda </w:t>
      </w:r>
      <w:r w:rsidR="00CA03BD">
        <w:rPr>
          <w:rFonts w:ascii="Times New Roman" w:hAnsi="Times New Roman" w:cs="Times New Roman"/>
        </w:rPr>
        <w:t xml:space="preserve">savcılığın elinde </w:t>
      </w:r>
      <w:r w:rsidR="00D41B8D">
        <w:rPr>
          <w:rFonts w:ascii="Times New Roman" w:hAnsi="Times New Roman" w:cs="Times New Roman"/>
        </w:rPr>
        <w:t xml:space="preserve">Fransız hukukundan farklı olarak </w:t>
      </w:r>
      <w:r w:rsidR="00CA03BD">
        <w:rPr>
          <w:rFonts w:ascii="Times New Roman" w:hAnsi="Times New Roman" w:cs="Times New Roman"/>
        </w:rPr>
        <w:t xml:space="preserve">ikrar </w:t>
      </w:r>
      <w:r w:rsidR="00CB13A6">
        <w:rPr>
          <w:rFonts w:ascii="Times New Roman" w:hAnsi="Times New Roman" w:cs="Times New Roman"/>
        </w:rPr>
        <w:t xml:space="preserve">beyanı </w:t>
      </w:r>
      <w:r w:rsidR="00CA03BD">
        <w:rPr>
          <w:rFonts w:ascii="Times New Roman" w:hAnsi="Times New Roman" w:cs="Times New Roman"/>
        </w:rPr>
        <w:t>bulunmamaktadır.</w:t>
      </w:r>
      <w:r w:rsidR="00E2402F">
        <w:rPr>
          <w:rFonts w:ascii="Times New Roman" w:hAnsi="Times New Roman" w:cs="Times New Roman"/>
        </w:rPr>
        <w:t xml:space="preserve"> </w:t>
      </w:r>
    </w:p>
    <w:p w14:paraId="69DD3C7F" w14:textId="77777777" w:rsidR="00FB7FCB" w:rsidRDefault="00FB7FCB" w:rsidP="00EC2902">
      <w:pPr>
        <w:spacing w:line="360" w:lineRule="auto"/>
        <w:jc w:val="both"/>
        <w:rPr>
          <w:rFonts w:ascii="Times New Roman" w:hAnsi="Times New Roman" w:cs="Times New Roman"/>
        </w:rPr>
      </w:pPr>
    </w:p>
    <w:p w14:paraId="2152630D" w14:textId="37D803E9" w:rsidR="002957F9" w:rsidRDefault="002957F9" w:rsidP="002965B8">
      <w:pPr>
        <w:spacing w:line="360" w:lineRule="auto"/>
        <w:ind w:firstLine="720"/>
        <w:jc w:val="both"/>
        <w:rPr>
          <w:rFonts w:ascii="Times New Roman" w:hAnsi="Times New Roman" w:cs="Times New Roman"/>
        </w:rPr>
      </w:pPr>
      <w:r>
        <w:rPr>
          <w:rFonts w:ascii="Times New Roman" w:hAnsi="Times New Roman" w:cs="Times New Roman"/>
        </w:rPr>
        <w:t>S</w:t>
      </w:r>
      <w:r w:rsidR="000A6347">
        <w:rPr>
          <w:rFonts w:ascii="Times New Roman" w:hAnsi="Times New Roman" w:cs="Times New Roman"/>
        </w:rPr>
        <w:t>on olarak CMK m. 250/11-</w:t>
      </w:r>
      <w:r w:rsidR="00BE2BCE">
        <w:rPr>
          <w:rFonts w:ascii="Times New Roman" w:hAnsi="Times New Roman" w:cs="Times New Roman"/>
        </w:rPr>
        <w:t xml:space="preserve">13 ile Yönetmelik m. 7’de </w:t>
      </w:r>
      <w:r>
        <w:rPr>
          <w:rFonts w:ascii="Times New Roman" w:hAnsi="Times New Roman" w:cs="Times New Roman"/>
        </w:rPr>
        <w:t>seri muhakeme usulünün uygulanması</w:t>
      </w:r>
      <w:r w:rsidR="00BE2BCE">
        <w:rPr>
          <w:rFonts w:ascii="Times New Roman" w:hAnsi="Times New Roman" w:cs="Times New Roman"/>
        </w:rPr>
        <w:t xml:space="preserve">na engel haller gösterilmiştir. </w:t>
      </w:r>
      <w:r>
        <w:rPr>
          <w:rFonts w:ascii="Times New Roman" w:hAnsi="Times New Roman" w:cs="Times New Roman"/>
        </w:rPr>
        <w:t>Buna göre bu usulün yaş küçüklüğü, sağır-dilsizlik ve akıl hastalığı hallerinin varlığı halinde uygulanması mümkün değildir (CMK m. 250/12</w:t>
      </w:r>
      <w:r w:rsidR="00BE4550">
        <w:rPr>
          <w:rFonts w:ascii="Times New Roman" w:hAnsi="Times New Roman" w:cs="Times New Roman"/>
        </w:rPr>
        <w:t>, Yönetmelik m. 7/1</w:t>
      </w:r>
      <w:r>
        <w:rPr>
          <w:rFonts w:ascii="Times New Roman" w:hAnsi="Times New Roman" w:cs="Times New Roman"/>
        </w:rPr>
        <w:t>).</w:t>
      </w:r>
      <w:r w:rsidR="00BE2BCE">
        <w:rPr>
          <w:rFonts w:ascii="Times New Roman" w:hAnsi="Times New Roman" w:cs="Times New Roman"/>
        </w:rPr>
        <w:t xml:space="preserve"> Suç faillerinden birinin bile bu haller kapsamında olması bu usulün uygulanmasına engeldir (Yönetmelik m. 7/2).</w:t>
      </w:r>
      <w:r>
        <w:rPr>
          <w:rFonts w:ascii="Times New Roman" w:hAnsi="Times New Roman" w:cs="Times New Roman"/>
        </w:rPr>
        <w:t xml:space="preserve"> </w:t>
      </w:r>
      <w:r w:rsidR="008203C2">
        <w:rPr>
          <w:rFonts w:ascii="Times New Roman" w:hAnsi="Times New Roman" w:cs="Times New Roman"/>
        </w:rPr>
        <w:t>Bu engel hallere yer verilme gerekçesi</w:t>
      </w:r>
      <w:r w:rsidR="00AC5859">
        <w:rPr>
          <w:rFonts w:ascii="Times New Roman" w:hAnsi="Times New Roman" w:cs="Times New Roman"/>
        </w:rPr>
        <w:t>,</w:t>
      </w:r>
      <w:r w:rsidR="006F4840">
        <w:rPr>
          <w:rFonts w:ascii="Times New Roman" w:hAnsi="Times New Roman" w:cs="Times New Roman"/>
        </w:rPr>
        <w:t xml:space="preserve"> Fransız hukukundakine benzer şekilde</w:t>
      </w:r>
      <w:r w:rsidR="00952177">
        <w:rPr>
          <w:rFonts w:ascii="Times New Roman" w:hAnsi="Times New Roman" w:cs="Times New Roman"/>
        </w:rPr>
        <w:t>,</w:t>
      </w:r>
      <w:r w:rsidR="006F4840">
        <w:rPr>
          <w:rFonts w:ascii="Times New Roman" w:hAnsi="Times New Roman" w:cs="Times New Roman"/>
        </w:rPr>
        <w:t xml:space="preserve"> kabul beyanında bu</w:t>
      </w:r>
      <w:r w:rsidR="008203C2">
        <w:rPr>
          <w:rFonts w:ascii="Times New Roman" w:hAnsi="Times New Roman" w:cs="Times New Roman"/>
        </w:rPr>
        <w:t>lunma iradelerinin geçerliliği sorunudur</w:t>
      </w:r>
      <w:r w:rsidR="006F4840">
        <w:rPr>
          <w:rStyle w:val="FootnoteReference"/>
          <w:rFonts w:ascii="Times New Roman" w:hAnsi="Times New Roman" w:cs="Times New Roman"/>
        </w:rPr>
        <w:footnoteReference w:id="94"/>
      </w:r>
      <w:r w:rsidR="006F4840">
        <w:rPr>
          <w:rFonts w:ascii="Times New Roman" w:hAnsi="Times New Roman" w:cs="Times New Roman"/>
        </w:rPr>
        <w:t xml:space="preserve">. </w:t>
      </w:r>
      <w:r w:rsidR="00D60848">
        <w:rPr>
          <w:rFonts w:ascii="Times New Roman" w:hAnsi="Times New Roman" w:cs="Times New Roman"/>
        </w:rPr>
        <w:t>Ancak Fransız hukukunda yalnızca yaş küçüklüğü engel haller arasında sayılmıştır</w:t>
      </w:r>
      <w:r w:rsidR="0079379F">
        <w:rPr>
          <w:rFonts w:ascii="Times New Roman" w:hAnsi="Times New Roman" w:cs="Times New Roman"/>
        </w:rPr>
        <w:t>. Bu yönüyle Türk hukukundaki düzenlemenin daha kapsamlı ve usulün getirilme amacına daha uygun olduğu görülmektedir. Zira yaş küçüklüğü gibi sağır-dilsizlik veya akıl hastalığının varlığı halinde de ge</w:t>
      </w:r>
      <w:r w:rsidR="000C5C8B">
        <w:rPr>
          <w:rFonts w:ascii="Times New Roman" w:hAnsi="Times New Roman" w:cs="Times New Roman"/>
        </w:rPr>
        <w:t>rek kabul iradesinin geçersizliği</w:t>
      </w:r>
      <w:r w:rsidR="0079379F">
        <w:rPr>
          <w:rFonts w:ascii="Times New Roman" w:hAnsi="Times New Roman" w:cs="Times New Roman"/>
        </w:rPr>
        <w:t xml:space="preserve"> gerekse bu kişiler hakkındaki cezanın bireyselleştirilebilmesi için hızlandırılmış bir usuldeki sürecin elverişli olmadığı </w:t>
      </w:r>
      <w:r w:rsidR="00150171">
        <w:rPr>
          <w:rFonts w:ascii="Times New Roman" w:hAnsi="Times New Roman" w:cs="Times New Roman"/>
        </w:rPr>
        <w:t>ifade edilebilir</w:t>
      </w:r>
      <w:r w:rsidR="0079379F">
        <w:rPr>
          <w:rFonts w:ascii="Times New Roman" w:hAnsi="Times New Roman" w:cs="Times New Roman"/>
        </w:rPr>
        <w:t xml:space="preserve">. </w:t>
      </w:r>
      <w:r w:rsidR="00D0010A">
        <w:rPr>
          <w:rFonts w:ascii="Times New Roman" w:hAnsi="Times New Roman" w:cs="Times New Roman"/>
        </w:rPr>
        <w:t xml:space="preserve">Bu hallerin yanı sıra </w:t>
      </w:r>
      <w:r w:rsidR="00D34364">
        <w:rPr>
          <w:rFonts w:ascii="Times New Roman" w:hAnsi="Times New Roman" w:cs="Times New Roman"/>
        </w:rPr>
        <w:t xml:space="preserve">Türk hukukunda </w:t>
      </w:r>
      <w:r>
        <w:rPr>
          <w:rFonts w:ascii="Times New Roman" w:hAnsi="Times New Roman" w:cs="Times New Roman"/>
        </w:rPr>
        <w:t>şüpheliye ulaşılamaması hali de bu usulün uygulanmas</w:t>
      </w:r>
      <w:r w:rsidR="00D34364">
        <w:rPr>
          <w:rFonts w:ascii="Times New Roman" w:hAnsi="Times New Roman" w:cs="Times New Roman"/>
        </w:rPr>
        <w:t>ı engellerinden biridir</w:t>
      </w:r>
      <w:r w:rsidR="0079379F">
        <w:rPr>
          <w:rFonts w:ascii="Times New Roman" w:hAnsi="Times New Roman" w:cs="Times New Roman"/>
        </w:rPr>
        <w:t xml:space="preserve"> (CMK m. 250/13). </w:t>
      </w:r>
      <w:r w:rsidR="00BE2BCE">
        <w:rPr>
          <w:rFonts w:ascii="Times New Roman" w:hAnsi="Times New Roman" w:cs="Times New Roman"/>
        </w:rPr>
        <w:t>Diğer bir uygulama engeli suçun iştirak halinde işlenmesi söz konusu olduğunda şeriklerden birinin bu usulü kabul etmemesidir</w:t>
      </w:r>
      <w:r w:rsidR="00216DC8">
        <w:rPr>
          <w:rFonts w:ascii="Times New Roman" w:hAnsi="Times New Roman" w:cs="Times New Roman"/>
        </w:rPr>
        <w:t xml:space="preserve"> (</w:t>
      </w:r>
      <w:r w:rsidR="00810481">
        <w:rPr>
          <w:rFonts w:ascii="Times New Roman" w:hAnsi="Times New Roman" w:cs="Times New Roman"/>
        </w:rPr>
        <w:t xml:space="preserve">CMK m. 250/11, </w:t>
      </w:r>
      <w:r w:rsidR="00216DC8">
        <w:rPr>
          <w:rFonts w:ascii="Times New Roman" w:hAnsi="Times New Roman" w:cs="Times New Roman"/>
        </w:rPr>
        <w:t>Yönetmelik m. 7/2)</w:t>
      </w:r>
      <w:r w:rsidR="00BE2BCE">
        <w:rPr>
          <w:rFonts w:ascii="Times New Roman" w:hAnsi="Times New Roman" w:cs="Times New Roman"/>
        </w:rPr>
        <w:t xml:space="preserve">. Bu durumda hiçbir şerik hakkında seri muhakeme usulüne başvurulamaz. </w:t>
      </w:r>
    </w:p>
    <w:p w14:paraId="6766C80C" w14:textId="77777777" w:rsidR="00FB7FCB" w:rsidRDefault="00FB7FCB" w:rsidP="002965B8">
      <w:pPr>
        <w:spacing w:line="360" w:lineRule="auto"/>
        <w:ind w:firstLine="720"/>
        <w:jc w:val="both"/>
        <w:rPr>
          <w:rFonts w:ascii="Times New Roman" w:hAnsi="Times New Roman" w:cs="Times New Roman"/>
        </w:rPr>
      </w:pPr>
    </w:p>
    <w:p w14:paraId="2C7B7A40" w14:textId="53E6DEBB" w:rsidR="00CA03BD" w:rsidRPr="00C20631" w:rsidRDefault="00AF340B" w:rsidP="00C20631">
      <w:pPr>
        <w:pStyle w:val="Heading2"/>
      </w:pPr>
      <w:r w:rsidRPr="00AF340B">
        <w:t xml:space="preserve">C. </w:t>
      </w:r>
      <w:r>
        <w:tab/>
      </w:r>
      <w:r w:rsidRPr="00AF340B">
        <w:t>Uygulanma Usulü</w:t>
      </w:r>
    </w:p>
    <w:p w14:paraId="403BC11B" w14:textId="77777777" w:rsidR="00427F4E" w:rsidRDefault="00427F4E" w:rsidP="00427F4E">
      <w:pPr>
        <w:spacing w:line="360" w:lineRule="auto"/>
        <w:jc w:val="both"/>
        <w:rPr>
          <w:rFonts w:ascii="Times New Roman" w:hAnsi="Times New Roman" w:cs="Times New Roman"/>
        </w:rPr>
      </w:pPr>
    </w:p>
    <w:p w14:paraId="36F8EEBB" w14:textId="20C0FA03" w:rsidR="00336858" w:rsidRDefault="00765617" w:rsidP="002965B8">
      <w:pPr>
        <w:spacing w:line="360" w:lineRule="auto"/>
        <w:ind w:firstLine="720"/>
        <w:jc w:val="both"/>
        <w:rPr>
          <w:rFonts w:ascii="Times New Roman" w:hAnsi="Times New Roman" w:cs="Times New Roman"/>
        </w:rPr>
      </w:pPr>
      <w:r>
        <w:rPr>
          <w:rFonts w:ascii="Times New Roman" w:hAnsi="Times New Roman" w:cs="Times New Roman"/>
        </w:rPr>
        <w:t>Türk hukukundaki seri muhakeme usulü</w:t>
      </w:r>
      <w:r w:rsidR="00941C25">
        <w:rPr>
          <w:rFonts w:ascii="Times New Roman" w:hAnsi="Times New Roman" w:cs="Times New Roman"/>
        </w:rPr>
        <w:t>ne başvurulması</w:t>
      </w:r>
      <w:r>
        <w:rPr>
          <w:rFonts w:ascii="Times New Roman" w:hAnsi="Times New Roman" w:cs="Times New Roman"/>
        </w:rPr>
        <w:t xml:space="preserve"> </w:t>
      </w:r>
      <w:r w:rsidR="00336858">
        <w:rPr>
          <w:rFonts w:ascii="Times New Roman" w:hAnsi="Times New Roman" w:cs="Times New Roman"/>
        </w:rPr>
        <w:t>Fransız hukukundan farklı olarak</w:t>
      </w:r>
      <w:r w:rsidR="00941C25">
        <w:rPr>
          <w:rFonts w:ascii="Times New Roman" w:hAnsi="Times New Roman" w:cs="Times New Roman"/>
        </w:rPr>
        <w:t xml:space="preserve"> </w:t>
      </w:r>
      <w:r w:rsidR="00336858">
        <w:rPr>
          <w:rFonts w:ascii="Times New Roman" w:hAnsi="Times New Roman" w:cs="Times New Roman"/>
        </w:rPr>
        <w:t xml:space="preserve">ihtiyari değildir. CMK m. 250/1 uyarınca yukarıda belirtilen koşulların varlığı halinde seri muhakeme usulü “uygulanır”. </w:t>
      </w:r>
      <w:r w:rsidR="005E53DD">
        <w:rPr>
          <w:rFonts w:ascii="Times New Roman" w:hAnsi="Times New Roman" w:cs="Times New Roman"/>
        </w:rPr>
        <w:t xml:space="preserve">Yönetmelik m. 5/2’de koşulları oluştuğu takdirde uygulanmasının zorunlu olduğu açıkça ifade edilmiştir. </w:t>
      </w:r>
      <w:r w:rsidR="00336858">
        <w:rPr>
          <w:rFonts w:ascii="Times New Roman" w:hAnsi="Times New Roman" w:cs="Times New Roman"/>
        </w:rPr>
        <w:t>Savcılığın bu usulün uygulanmasını teklif edip etmeme yönünde bir takdir yetkisi bulunmamaktadır</w:t>
      </w:r>
      <w:r w:rsidR="007B23BA">
        <w:rPr>
          <w:rStyle w:val="FootnoteReference"/>
          <w:rFonts w:ascii="Times New Roman" w:hAnsi="Times New Roman" w:cs="Times New Roman"/>
        </w:rPr>
        <w:footnoteReference w:id="95"/>
      </w:r>
      <w:r w:rsidR="00336858">
        <w:rPr>
          <w:rFonts w:ascii="Times New Roman" w:hAnsi="Times New Roman" w:cs="Times New Roman"/>
        </w:rPr>
        <w:t xml:space="preserve">. </w:t>
      </w:r>
      <w:r w:rsidR="003F1BDC">
        <w:rPr>
          <w:rFonts w:ascii="Times New Roman" w:hAnsi="Times New Roman" w:cs="Times New Roman"/>
        </w:rPr>
        <w:t>Bu doğrultuda s</w:t>
      </w:r>
      <w:r w:rsidR="00536C5C">
        <w:rPr>
          <w:rFonts w:ascii="Times New Roman" w:hAnsi="Times New Roman" w:cs="Times New Roman"/>
        </w:rPr>
        <w:t>avcının seri muhakeme usulüne başvurulması mümkün olduğu halde bu usule başvurmayarak iddianame düzenlemesi iddianamenin iadesi nedeni olarak düzenlenmiştir (CMK m. 174/1-c). Ş</w:t>
      </w:r>
      <w:r w:rsidR="00E71B15">
        <w:rPr>
          <w:rFonts w:ascii="Times New Roman" w:hAnsi="Times New Roman" w:cs="Times New Roman"/>
        </w:rPr>
        <w:t>üphelinin de henüz hakkındaki soruşturma devam ederken, iddianame düzenlenene kadar savcılığa başvurarak seri muhakeme usulün</w:t>
      </w:r>
      <w:r w:rsidR="00840BB7">
        <w:rPr>
          <w:rFonts w:ascii="Times New Roman" w:hAnsi="Times New Roman" w:cs="Times New Roman"/>
        </w:rPr>
        <w:t>ün uygulanmasını talep etmesi</w:t>
      </w:r>
      <w:r w:rsidR="00E71B15">
        <w:rPr>
          <w:rFonts w:ascii="Times New Roman" w:hAnsi="Times New Roman" w:cs="Times New Roman"/>
        </w:rPr>
        <w:t xml:space="preserve"> mümkündür (Yönetmelik m. 5/11). </w:t>
      </w:r>
    </w:p>
    <w:p w14:paraId="407B43DA" w14:textId="77777777" w:rsidR="00C20631" w:rsidRDefault="00C20631" w:rsidP="002965B8">
      <w:pPr>
        <w:spacing w:line="360" w:lineRule="auto"/>
        <w:ind w:firstLine="720"/>
        <w:jc w:val="both"/>
        <w:rPr>
          <w:rFonts w:ascii="Times New Roman" w:hAnsi="Times New Roman" w:cs="Times New Roman"/>
        </w:rPr>
      </w:pPr>
    </w:p>
    <w:p w14:paraId="3494833B" w14:textId="730EBC28" w:rsidR="00C20631" w:rsidRPr="00427F4E" w:rsidRDefault="00C20631" w:rsidP="009075CE">
      <w:pPr>
        <w:pStyle w:val="Heading2"/>
      </w:pPr>
      <w:r w:rsidRPr="00427F4E">
        <w:t xml:space="preserve">1. </w:t>
      </w:r>
      <w:r w:rsidRPr="00427F4E">
        <w:tab/>
      </w:r>
      <w:r>
        <w:t>Savcılığın Talebinin Oluşturulması</w:t>
      </w:r>
      <w:r w:rsidRPr="00427F4E">
        <w:t xml:space="preserve"> </w:t>
      </w:r>
    </w:p>
    <w:p w14:paraId="0BCAEFAD" w14:textId="77777777" w:rsidR="00336858" w:rsidRDefault="00336858" w:rsidP="002965B8">
      <w:pPr>
        <w:spacing w:line="360" w:lineRule="auto"/>
        <w:ind w:firstLine="720"/>
        <w:jc w:val="both"/>
        <w:rPr>
          <w:rFonts w:ascii="Times New Roman" w:hAnsi="Times New Roman" w:cs="Times New Roman"/>
        </w:rPr>
      </w:pPr>
    </w:p>
    <w:p w14:paraId="63E9F356" w14:textId="01228D9F" w:rsidR="00155A13" w:rsidRDefault="00C20631" w:rsidP="002965B8">
      <w:pPr>
        <w:spacing w:line="360" w:lineRule="auto"/>
        <w:ind w:firstLine="720"/>
        <w:jc w:val="both"/>
        <w:rPr>
          <w:rFonts w:ascii="Times New Roman" w:hAnsi="Times New Roman" w:cs="Times New Roman"/>
        </w:rPr>
      </w:pPr>
      <w:r>
        <w:rPr>
          <w:rFonts w:ascii="Times New Roman" w:hAnsi="Times New Roman" w:cs="Times New Roman"/>
        </w:rPr>
        <w:t>S</w:t>
      </w:r>
      <w:r w:rsidR="00336858">
        <w:rPr>
          <w:rFonts w:ascii="Times New Roman" w:hAnsi="Times New Roman" w:cs="Times New Roman"/>
        </w:rPr>
        <w:t>eri muhakeme usulünün uygulanması için gereken kanuni koşulların varlığını tespit eden savcı</w:t>
      </w:r>
      <w:r w:rsidR="00826ED7">
        <w:rPr>
          <w:rFonts w:ascii="Times New Roman" w:hAnsi="Times New Roman" w:cs="Times New Roman"/>
        </w:rPr>
        <w:t>,</w:t>
      </w:r>
      <w:r w:rsidR="00336858">
        <w:rPr>
          <w:rFonts w:ascii="Times New Roman" w:hAnsi="Times New Roman" w:cs="Times New Roman"/>
        </w:rPr>
        <w:t xml:space="preserve"> ya şahsen ya da kolluk görevlilerine talimat vererek, öncelikle şüpheliye seri muhakeme usulü hakkında bilgi verir</w:t>
      </w:r>
      <w:r w:rsidR="006D26A0">
        <w:rPr>
          <w:rFonts w:ascii="Times New Roman" w:hAnsi="Times New Roman" w:cs="Times New Roman"/>
        </w:rPr>
        <w:t xml:space="preserve"> (CMK m. 250/2, Yönetmelik m. 8/2)</w:t>
      </w:r>
      <w:r w:rsidR="00336858">
        <w:rPr>
          <w:rFonts w:ascii="Times New Roman" w:hAnsi="Times New Roman" w:cs="Times New Roman"/>
        </w:rPr>
        <w:t xml:space="preserve">. Devamında </w:t>
      </w:r>
      <w:r w:rsidR="006D26A0">
        <w:rPr>
          <w:rFonts w:ascii="Times New Roman" w:hAnsi="Times New Roman" w:cs="Times New Roman"/>
        </w:rPr>
        <w:t xml:space="preserve">savcı </w:t>
      </w:r>
      <w:r w:rsidR="00336858">
        <w:rPr>
          <w:rFonts w:ascii="Times New Roman" w:hAnsi="Times New Roman" w:cs="Times New Roman"/>
        </w:rPr>
        <w:t>bu usulün uygulanmasına yönelik teklifi</w:t>
      </w:r>
      <w:r w:rsidR="00F5025F">
        <w:rPr>
          <w:rFonts w:ascii="Times New Roman" w:hAnsi="Times New Roman" w:cs="Times New Roman"/>
        </w:rPr>
        <w:t>ni</w:t>
      </w:r>
      <w:r w:rsidR="00336858">
        <w:rPr>
          <w:rFonts w:ascii="Times New Roman" w:hAnsi="Times New Roman" w:cs="Times New Roman"/>
        </w:rPr>
        <w:t xml:space="preserve"> </w:t>
      </w:r>
      <w:r w:rsidR="002D6CD3">
        <w:rPr>
          <w:rFonts w:ascii="Times New Roman" w:hAnsi="Times New Roman" w:cs="Times New Roman"/>
        </w:rPr>
        <w:t xml:space="preserve">yapmak üzere şüpheliyi “en kısa zamanda” </w:t>
      </w:r>
      <w:r w:rsidR="00F5025F">
        <w:rPr>
          <w:rFonts w:ascii="Times New Roman" w:hAnsi="Times New Roman" w:cs="Times New Roman"/>
        </w:rPr>
        <w:t>davet eder</w:t>
      </w:r>
      <w:r w:rsidR="005C3D10">
        <w:rPr>
          <w:rFonts w:ascii="Times New Roman" w:hAnsi="Times New Roman" w:cs="Times New Roman"/>
        </w:rPr>
        <w:t>,</w:t>
      </w:r>
      <w:r w:rsidR="002D6CD3">
        <w:rPr>
          <w:rFonts w:ascii="Times New Roman" w:hAnsi="Times New Roman" w:cs="Times New Roman"/>
        </w:rPr>
        <w:t xml:space="preserve"> </w:t>
      </w:r>
      <w:r w:rsidR="000446BF">
        <w:rPr>
          <w:rFonts w:ascii="Times New Roman" w:hAnsi="Times New Roman" w:cs="Times New Roman"/>
        </w:rPr>
        <w:t xml:space="preserve">şüphelinin mazeretsiz olarak gelmemesi veya kendisine ulaşılamaması hallerinde soruşturmaya olağan usulde devam edilir </w:t>
      </w:r>
      <w:r w:rsidR="00F5025F">
        <w:rPr>
          <w:rFonts w:ascii="Times New Roman" w:hAnsi="Times New Roman" w:cs="Times New Roman"/>
        </w:rPr>
        <w:t>(Yönetmelik m. 9)</w:t>
      </w:r>
      <w:r w:rsidR="002D6CD3">
        <w:rPr>
          <w:rFonts w:ascii="Times New Roman" w:hAnsi="Times New Roman" w:cs="Times New Roman"/>
        </w:rPr>
        <w:t xml:space="preserve">. Savcının daveti üzerine gelen şüpheliye teklifi sunmadan önce savcı </w:t>
      </w:r>
      <w:r w:rsidR="003D3E84">
        <w:rPr>
          <w:rFonts w:ascii="Times New Roman" w:hAnsi="Times New Roman" w:cs="Times New Roman"/>
        </w:rPr>
        <w:t>öncelikle</w:t>
      </w:r>
      <w:r w:rsidR="002D6CD3">
        <w:rPr>
          <w:rFonts w:ascii="Times New Roman" w:hAnsi="Times New Roman" w:cs="Times New Roman"/>
        </w:rPr>
        <w:t xml:space="preserve"> bilgi verir (Yönetmelik m. 10/1)</w:t>
      </w:r>
      <w:r w:rsidR="00F5025F">
        <w:rPr>
          <w:rFonts w:ascii="Times New Roman" w:hAnsi="Times New Roman" w:cs="Times New Roman"/>
        </w:rPr>
        <w:t>.</w:t>
      </w:r>
      <w:r w:rsidR="002D6CD3">
        <w:rPr>
          <w:rFonts w:ascii="Times New Roman" w:hAnsi="Times New Roman" w:cs="Times New Roman"/>
        </w:rPr>
        <w:t xml:space="preserve"> Teklif öncesinde yapılan</w:t>
      </w:r>
      <w:r w:rsidR="00F5025F">
        <w:rPr>
          <w:rFonts w:ascii="Times New Roman" w:hAnsi="Times New Roman" w:cs="Times New Roman"/>
        </w:rPr>
        <w:t xml:space="preserve"> bu</w:t>
      </w:r>
      <w:r w:rsidR="002D6CD3">
        <w:rPr>
          <w:rFonts w:ascii="Times New Roman" w:hAnsi="Times New Roman" w:cs="Times New Roman"/>
        </w:rPr>
        <w:t xml:space="preserve"> bilgilendirmenin içeriği Yönetmelik m. 10’</w:t>
      </w:r>
      <w:r w:rsidR="00F5025F">
        <w:rPr>
          <w:rFonts w:ascii="Times New Roman" w:hAnsi="Times New Roman" w:cs="Times New Roman"/>
        </w:rPr>
        <w:t>da ayrın</w:t>
      </w:r>
      <w:r w:rsidR="002D6CD3">
        <w:rPr>
          <w:rFonts w:ascii="Times New Roman" w:hAnsi="Times New Roman" w:cs="Times New Roman"/>
        </w:rPr>
        <w:t xml:space="preserve">tılı olarak düzenlenmiştir. Savcı bizzat gerçekleştirdiği bu bilgilendirme sonrasında </w:t>
      </w:r>
      <w:r w:rsidR="00336858">
        <w:rPr>
          <w:rFonts w:ascii="Times New Roman" w:hAnsi="Times New Roman" w:cs="Times New Roman"/>
        </w:rPr>
        <w:t xml:space="preserve">şüpheliye </w:t>
      </w:r>
      <w:r w:rsidR="002D6CD3">
        <w:rPr>
          <w:rFonts w:ascii="Times New Roman" w:hAnsi="Times New Roman" w:cs="Times New Roman"/>
        </w:rPr>
        <w:t xml:space="preserve">teklifini sunar ve şüpheli </w:t>
      </w:r>
      <w:r w:rsidR="00336858">
        <w:rPr>
          <w:rFonts w:ascii="Times New Roman" w:hAnsi="Times New Roman" w:cs="Times New Roman"/>
        </w:rPr>
        <w:t xml:space="preserve">müdafii huzurunda teklifi kabul veya reddeden beyanını </w:t>
      </w:r>
      <w:r w:rsidR="002D6CD3">
        <w:rPr>
          <w:rFonts w:ascii="Times New Roman" w:hAnsi="Times New Roman" w:cs="Times New Roman"/>
        </w:rPr>
        <w:t>açıklar</w:t>
      </w:r>
      <w:r w:rsidR="009F79FD">
        <w:rPr>
          <w:rFonts w:ascii="Times New Roman" w:hAnsi="Times New Roman" w:cs="Times New Roman"/>
        </w:rPr>
        <w:t xml:space="preserve"> (CMK m. 250/3, Yönetmelik m. 10/1-d, m. 11)</w:t>
      </w:r>
      <w:r w:rsidR="00336858">
        <w:rPr>
          <w:rFonts w:ascii="Times New Roman" w:hAnsi="Times New Roman" w:cs="Times New Roman"/>
        </w:rPr>
        <w:t xml:space="preserve">. </w:t>
      </w:r>
      <w:r w:rsidR="002D6CD3">
        <w:rPr>
          <w:rFonts w:ascii="Times New Roman" w:hAnsi="Times New Roman" w:cs="Times New Roman"/>
        </w:rPr>
        <w:t>Görüldüğü üzere</w:t>
      </w:r>
      <w:r w:rsidR="006D26A0">
        <w:rPr>
          <w:rFonts w:ascii="Times New Roman" w:hAnsi="Times New Roman" w:cs="Times New Roman"/>
        </w:rPr>
        <w:t xml:space="preserve"> müdafiin hazır bulunması</w:t>
      </w:r>
      <w:r w:rsidR="00BE6DA2">
        <w:rPr>
          <w:rFonts w:ascii="Times New Roman" w:hAnsi="Times New Roman" w:cs="Times New Roman"/>
        </w:rPr>
        <w:t>,</w:t>
      </w:r>
      <w:r w:rsidR="006D26A0">
        <w:rPr>
          <w:rFonts w:ascii="Times New Roman" w:hAnsi="Times New Roman" w:cs="Times New Roman"/>
        </w:rPr>
        <w:t xml:space="preserve"> CMK m. 250/3’in kaleme alınış şekli </w:t>
      </w:r>
      <w:r w:rsidR="002738D9">
        <w:rPr>
          <w:rFonts w:ascii="Times New Roman" w:hAnsi="Times New Roman" w:cs="Times New Roman"/>
        </w:rPr>
        <w:t>takip edildiğinde</w:t>
      </w:r>
      <w:r w:rsidR="006D26A0">
        <w:rPr>
          <w:rFonts w:ascii="Times New Roman" w:hAnsi="Times New Roman" w:cs="Times New Roman"/>
        </w:rPr>
        <w:t xml:space="preserve"> savcının teklifi sunduğu </w:t>
      </w:r>
      <w:r w:rsidR="00BE6DA2">
        <w:rPr>
          <w:rFonts w:ascii="Times New Roman" w:hAnsi="Times New Roman" w:cs="Times New Roman"/>
        </w:rPr>
        <w:t xml:space="preserve">anda </w:t>
      </w:r>
      <w:r w:rsidR="006D26A0">
        <w:rPr>
          <w:rFonts w:ascii="Times New Roman" w:hAnsi="Times New Roman" w:cs="Times New Roman"/>
        </w:rPr>
        <w:t>değil</w:t>
      </w:r>
      <w:r w:rsidR="00BE6DA2">
        <w:rPr>
          <w:rStyle w:val="FootnoteReference"/>
          <w:rFonts w:ascii="Times New Roman" w:hAnsi="Times New Roman" w:cs="Times New Roman"/>
        </w:rPr>
        <w:footnoteReference w:id="96"/>
      </w:r>
      <w:r w:rsidR="006D26A0">
        <w:rPr>
          <w:rFonts w:ascii="Times New Roman" w:hAnsi="Times New Roman" w:cs="Times New Roman"/>
        </w:rPr>
        <w:t xml:space="preserve">, teklifin kabul </w:t>
      </w:r>
      <w:r w:rsidR="00BE6DA2">
        <w:rPr>
          <w:rFonts w:ascii="Times New Roman" w:hAnsi="Times New Roman" w:cs="Times New Roman"/>
        </w:rPr>
        <w:t xml:space="preserve">edildiği </w:t>
      </w:r>
      <w:r w:rsidR="006D26A0">
        <w:rPr>
          <w:rFonts w:ascii="Times New Roman" w:hAnsi="Times New Roman" w:cs="Times New Roman"/>
        </w:rPr>
        <w:t xml:space="preserve">anda zorunlu kılınmıştır. </w:t>
      </w:r>
      <w:r w:rsidR="009F79FD">
        <w:rPr>
          <w:rFonts w:ascii="Times New Roman" w:hAnsi="Times New Roman" w:cs="Times New Roman"/>
        </w:rPr>
        <w:t xml:space="preserve">Anılan Yönetmelik hükümlerinde de müdafiin hazır bulunmasının </w:t>
      </w:r>
      <w:r w:rsidR="00AB1D7C">
        <w:rPr>
          <w:rFonts w:ascii="Times New Roman" w:hAnsi="Times New Roman" w:cs="Times New Roman"/>
        </w:rPr>
        <w:t xml:space="preserve">yine </w:t>
      </w:r>
      <w:r w:rsidR="00BE6DA2">
        <w:rPr>
          <w:rFonts w:ascii="Times New Roman" w:hAnsi="Times New Roman" w:cs="Times New Roman"/>
        </w:rPr>
        <w:t>“</w:t>
      </w:r>
      <w:r w:rsidR="009F79FD">
        <w:rPr>
          <w:rFonts w:ascii="Times New Roman" w:hAnsi="Times New Roman" w:cs="Times New Roman"/>
        </w:rPr>
        <w:t>teklifi kabul</w:t>
      </w:r>
      <w:r w:rsidR="00BE6DA2">
        <w:rPr>
          <w:rFonts w:ascii="Times New Roman" w:hAnsi="Times New Roman" w:cs="Times New Roman"/>
        </w:rPr>
        <w:t>”</w:t>
      </w:r>
      <w:r w:rsidR="009F79FD">
        <w:rPr>
          <w:rFonts w:ascii="Times New Roman" w:hAnsi="Times New Roman" w:cs="Times New Roman"/>
        </w:rPr>
        <w:t xml:space="preserve"> anında aranacağı belirtilmiştir</w:t>
      </w:r>
      <w:r w:rsidR="008203C2">
        <w:rPr>
          <w:rFonts w:ascii="Times New Roman" w:hAnsi="Times New Roman" w:cs="Times New Roman"/>
        </w:rPr>
        <w:t xml:space="preserve"> (Yönetmelik m. 10/1-d, m. 11)</w:t>
      </w:r>
      <w:r w:rsidR="009F79FD">
        <w:rPr>
          <w:rFonts w:ascii="Times New Roman" w:hAnsi="Times New Roman" w:cs="Times New Roman"/>
        </w:rPr>
        <w:t>.</w:t>
      </w:r>
      <w:r w:rsidR="00435F79">
        <w:rPr>
          <w:rFonts w:ascii="Times New Roman" w:hAnsi="Times New Roman" w:cs="Times New Roman"/>
        </w:rPr>
        <w:t xml:space="preserve"> Her ne kadar </w:t>
      </w:r>
      <w:r w:rsidR="00AB1D7C">
        <w:rPr>
          <w:rFonts w:ascii="Times New Roman" w:hAnsi="Times New Roman" w:cs="Times New Roman"/>
        </w:rPr>
        <w:t xml:space="preserve">250. </w:t>
      </w:r>
      <w:r w:rsidR="00435F79">
        <w:rPr>
          <w:rFonts w:ascii="Times New Roman" w:hAnsi="Times New Roman" w:cs="Times New Roman"/>
        </w:rPr>
        <w:t>madde</w:t>
      </w:r>
      <w:r w:rsidR="00AB1D7C">
        <w:rPr>
          <w:rFonts w:ascii="Times New Roman" w:hAnsi="Times New Roman" w:cs="Times New Roman"/>
        </w:rPr>
        <w:t>nin</w:t>
      </w:r>
      <w:r w:rsidR="00435F79">
        <w:rPr>
          <w:rFonts w:ascii="Times New Roman" w:hAnsi="Times New Roman" w:cs="Times New Roman"/>
        </w:rPr>
        <w:t xml:space="preserve"> gerekçesinde müdafiin teklif sırasında hazır bulunmasının zorunlu olduğu </w:t>
      </w:r>
      <w:r w:rsidR="00AB1D7C">
        <w:rPr>
          <w:rFonts w:ascii="Times New Roman" w:hAnsi="Times New Roman" w:cs="Times New Roman"/>
        </w:rPr>
        <w:t>ifade edilmişse</w:t>
      </w:r>
      <w:r w:rsidR="00435F79">
        <w:rPr>
          <w:rFonts w:ascii="Times New Roman" w:hAnsi="Times New Roman" w:cs="Times New Roman"/>
        </w:rPr>
        <w:t xml:space="preserve"> de gerekçenin yalnızca bir yo</w:t>
      </w:r>
      <w:r w:rsidR="003716D5">
        <w:rPr>
          <w:rFonts w:ascii="Times New Roman" w:hAnsi="Times New Roman" w:cs="Times New Roman"/>
        </w:rPr>
        <w:t>rum aracı olduğu ve teklif ile kabul zamanları arasına düşünme süresi girebileceği</w:t>
      </w:r>
      <w:r w:rsidR="00435F79">
        <w:rPr>
          <w:rFonts w:ascii="Times New Roman" w:hAnsi="Times New Roman" w:cs="Times New Roman"/>
        </w:rPr>
        <w:t xml:space="preserve"> </w:t>
      </w:r>
      <w:r w:rsidR="003716D5">
        <w:rPr>
          <w:rFonts w:ascii="Times New Roman" w:hAnsi="Times New Roman" w:cs="Times New Roman"/>
        </w:rPr>
        <w:t>düşünüldüğünde</w:t>
      </w:r>
      <w:r w:rsidR="000E21DD">
        <w:rPr>
          <w:rFonts w:ascii="Times New Roman" w:hAnsi="Times New Roman" w:cs="Times New Roman"/>
        </w:rPr>
        <w:t>,</w:t>
      </w:r>
      <w:r w:rsidR="003716D5">
        <w:rPr>
          <w:rFonts w:ascii="Times New Roman" w:hAnsi="Times New Roman" w:cs="Times New Roman"/>
        </w:rPr>
        <w:t xml:space="preserve"> </w:t>
      </w:r>
      <w:r w:rsidR="00435F79">
        <w:rPr>
          <w:rFonts w:ascii="Times New Roman" w:hAnsi="Times New Roman" w:cs="Times New Roman"/>
        </w:rPr>
        <w:t>bu hususun mevzuat metnine açıkça eklenmesinin daha yerinde olduğu vurgulanmalıdır</w:t>
      </w:r>
      <w:r w:rsidR="00215904">
        <w:rPr>
          <w:rStyle w:val="FootnoteReference"/>
          <w:rFonts w:ascii="Times New Roman" w:hAnsi="Times New Roman" w:cs="Times New Roman"/>
        </w:rPr>
        <w:footnoteReference w:id="97"/>
      </w:r>
      <w:r w:rsidR="00435F79">
        <w:rPr>
          <w:rFonts w:ascii="Times New Roman" w:hAnsi="Times New Roman" w:cs="Times New Roman"/>
        </w:rPr>
        <w:t>.</w:t>
      </w:r>
      <w:r w:rsidR="009F79FD">
        <w:rPr>
          <w:rFonts w:ascii="Times New Roman" w:hAnsi="Times New Roman" w:cs="Times New Roman"/>
        </w:rPr>
        <w:t xml:space="preserve"> </w:t>
      </w:r>
      <w:r w:rsidR="00435F79">
        <w:rPr>
          <w:rFonts w:ascii="Times New Roman" w:hAnsi="Times New Roman" w:cs="Times New Roman"/>
        </w:rPr>
        <w:t xml:space="preserve">Bunun yanı sıra </w:t>
      </w:r>
      <w:r w:rsidR="00155A13">
        <w:rPr>
          <w:rFonts w:ascii="Times New Roman" w:hAnsi="Times New Roman" w:cs="Times New Roman"/>
        </w:rPr>
        <w:t>şüphelinin bilgilendirme esnasında müdafi güvencesinden yararlanmasına ilişkin bir hüküm getirilmediği, bilgilendirmenin doğru ve kapsamlı olarak gerçek</w:t>
      </w:r>
      <w:r w:rsidR="00EE0DB3">
        <w:rPr>
          <w:rFonts w:ascii="Times New Roman" w:hAnsi="Times New Roman" w:cs="Times New Roman"/>
        </w:rPr>
        <w:t>leştirilip gerçekleştirilmediği ve</w:t>
      </w:r>
      <w:r w:rsidR="00952177">
        <w:rPr>
          <w:rFonts w:ascii="Times New Roman" w:hAnsi="Times New Roman" w:cs="Times New Roman"/>
        </w:rPr>
        <w:t>ya</w:t>
      </w:r>
      <w:r w:rsidR="00EE0DB3">
        <w:rPr>
          <w:rFonts w:ascii="Times New Roman" w:hAnsi="Times New Roman" w:cs="Times New Roman"/>
        </w:rPr>
        <w:t xml:space="preserve"> </w:t>
      </w:r>
      <w:r w:rsidR="00D25ED1">
        <w:rPr>
          <w:rFonts w:ascii="Times New Roman" w:hAnsi="Times New Roman" w:cs="Times New Roman"/>
        </w:rPr>
        <w:t xml:space="preserve">bu esnada </w:t>
      </w:r>
      <w:r w:rsidR="00155A13">
        <w:rPr>
          <w:rFonts w:ascii="Times New Roman" w:hAnsi="Times New Roman" w:cs="Times New Roman"/>
        </w:rPr>
        <w:t xml:space="preserve">şüphelinin iradesi üzerinde </w:t>
      </w:r>
      <w:r w:rsidR="00435F79">
        <w:rPr>
          <w:rFonts w:ascii="Times New Roman" w:hAnsi="Times New Roman" w:cs="Times New Roman"/>
        </w:rPr>
        <w:t xml:space="preserve">olumsuz </w:t>
      </w:r>
      <w:r w:rsidR="00155A13">
        <w:rPr>
          <w:rFonts w:ascii="Times New Roman" w:hAnsi="Times New Roman" w:cs="Times New Roman"/>
        </w:rPr>
        <w:t>bir etkinin yaratılıp yaratılmadığının</w:t>
      </w:r>
      <w:r w:rsidR="002A1AD6">
        <w:rPr>
          <w:rStyle w:val="FootnoteReference"/>
          <w:rFonts w:ascii="Times New Roman" w:hAnsi="Times New Roman" w:cs="Times New Roman"/>
        </w:rPr>
        <w:footnoteReference w:id="98"/>
      </w:r>
      <w:r w:rsidR="00155A13">
        <w:rPr>
          <w:rFonts w:ascii="Times New Roman" w:hAnsi="Times New Roman" w:cs="Times New Roman"/>
        </w:rPr>
        <w:t xml:space="preserve"> </w:t>
      </w:r>
      <w:r w:rsidR="00435F79">
        <w:rPr>
          <w:rFonts w:ascii="Times New Roman" w:hAnsi="Times New Roman" w:cs="Times New Roman"/>
        </w:rPr>
        <w:t xml:space="preserve">denetlenmesi konusunda bir güvencenin yaratılmadığının da altı çizilmelidir. </w:t>
      </w:r>
      <w:r w:rsidR="00615E5C">
        <w:rPr>
          <w:rFonts w:ascii="Times New Roman" w:hAnsi="Times New Roman" w:cs="Times New Roman"/>
        </w:rPr>
        <w:t>Bu noktada</w:t>
      </w:r>
      <w:r w:rsidR="0071251F">
        <w:rPr>
          <w:rFonts w:ascii="Times New Roman" w:hAnsi="Times New Roman" w:cs="Times New Roman"/>
        </w:rPr>
        <w:t xml:space="preserve"> </w:t>
      </w:r>
      <w:r w:rsidR="00D25ED1">
        <w:rPr>
          <w:rFonts w:ascii="Times New Roman" w:hAnsi="Times New Roman" w:cs="Times New Roman"/>
        </w:rPr>
        <w:t xml:space="preserve">hükmün </w:t>
      </w:r>
      <w:r w:rsidR="0071251F">
        <w:rPr>
          <w:rFonts w:ascii="Times New Roman" w:hAnsi="Times New Roman" w:cs="Times New Roman"/>
        </w:rPr>
        <w:t>F</w:t>
      </w:r>
      <w:r w:rsidR="00615E5C">
        <w:rPr>
          <w:rFonts w:ascii="Times New Roman" w:hAnsi="Times New Roman" w:cs="Times New Roman"/>
        </w:rPr>
        <w:t xml:space="preserve">ransız hukukundaki düzenlemeden ayrıldığı </w:t>
      </w:r>
      <w:r w:rsidR="0071251F">
        <w:rPr>
          <w:rFonts w:ascii="Times New Roman" w:hAnsi="Times New Roman" w:cs="Times New Roman"/>
        </w:rPr>
        <w:t>görülmektedir. Fransız hukukunda</w:t>
      </w:r>
      <w:r w:rsidR="004E6D5A">
        <w:rPr>
          <w:rFonts w:ascii="Times New Roman" w:hAnsi="Times New Roman" w:cs="Times New Roman"/>
        </w:rPr>
        <w:t>ki usulde</w:t>
      </w:r>
      <w:r w:rsidR="0071251F">
        <w:rPr>
          <w:rFonts w:ascii="Times New Roman" w:hAnsi="Times New Roman" w:cs="Times New Roman"/>
        </w:rPr>
        <w:t xml:space="preserve"> </w:t>
      </w:r>
      <w:r w:rsidR="00435F79">
        <w:rPr>
          <w:rFonts w:ascii="Times New Roman" w:hAnsi="Times New Roman" w:cs="Times New Roman"/>
        </w:rPr>
        <w:t xml:space="preserve">zorunlu bir bilgilendirme </w:t>
      </w:r>
      <w:r w:rsidR="00C037BB">
        <w:rPr>
          <w:rFonts w:ascii="Times New Roman" w:hAnsi="Times New Roman" w:cs="Times New Roman"/>
        </w:rPr>
        <w:t>aşaması bulunmamakta</w:t>
      </w:r>
      <w:r w:rsidR="00435F79">
        <w:rPr>
          <w:rFonts w:ascii="Times New Roman" w:hAnsi="Times New Roman" w:cs="Times New Roman"/>
        </w:rPr>
        <w:t xml:space="preserve">, </w:t>
      </w:r>
      <w:r w:rsidR="00C037BB">
        <w:rPr>
          <w:rFonts w:ascii="Times New Roman" w:hAnsi="Times New Roman" w:cs="Times New Roman"/>
        </w:rPr>
        <w:t xml:space="preserve">ancak </w:t>
      </w:r>
      <w:r w:rsidR="00435F79">
        <w:rPr>
          <w:rFonts w:ascii="Times New Roman" w:hAnsi="Times New Roman" w:cs="Times New Roman"/>
        </w:rPr>
        <w:t xml:space="preserve">kanunda </w:t>
      </w:r>
      <w:r w:rsidR="0071251F">
        <w:rPr>
          <w:rFonts w:ascii="Times New Roman" w:hAnsi="Times New Roman" w:cs="Times New Roman"/>
        </w:rPr>
        <w:t xml:space="preserve">şüphelinin eylemleri kabul ettiğine ilişkin beyanının yapıldığı an ile savcının cezayı </w:t>
      </w:r>
      <w:r w:rsidR="00615E5C">
        <w:rPr>
          <w:rFonts w:ascii="Times New Roman" w:hAnsi="Times New Roman" w:cs="Times New Roman"/>
        </w:rPr>
        <w:t>“</w:t>
      </w:r>
      <w:r w:rsidR="0071251F">
        <w:rPr>
          <w:rFonts w:ascii="Times New Roman" w:hAnsi="Times New Roman" w:cs="Times New Roman"/>
        </w:rPr>
        <w:t>teklif ettiği anda</w:t>
      </w:r>
      <w:r w:rsidR="00615E5C">
        <w:rPr>
          <w:rFonts w:ascii="Times New Roman" w:hAnsi="Times New Roman" w:cs="Times New Roman"/>
        </w:rPr>
        <w:t>”</w:t>
      </w:r>
      <w:r w:rsidR="0071251F">
        <w:rPr>
          <w:rFonts w:ascii="Times New Roman" w:hAnsi="Times New Roman" w:cs="Times New Roman"/>
        </w:rPr>
        <w:t xml:space="preserve"> müdafiin </w:t>
      </w:r>
      <w:r w:rsidR="00615E5C">
        <w:rPr>
          <w:rFonts w:ascii="Times New Roman" w:hAnsi="Times New Roman" w:cs="Times New Roman"/>
        </w:rPr>
        <w:t xml:space="preserve">bulunmasının </w:t>
      </w:r>
      <w:r w:rsidR="0071251F">
        <w:rPr>
          <w:rFonts w:ascii="Times New Roman" w:hAnsi="Times New Roman" w:cs="Times New Roman"/>
        </w:rPr>
        <w:t>zorunlu</w:t>
      </w:r>
      <w:r w:rsidR="0010040A">
        <w:rPr>
          <w:rFonts w:ascii="Times New Roman" w:hAnsi="Times New Roman" w:cs="Times New Roman"/>
        </w:rPr>
        <w:t xml:space="preserve"> olduğu</w:t>
      </w:r>
      <w:r w:rsidR="0071251F">
        <w:rPr>
          <w:rFonts w:ascii="Times New Roman" w:hAnsi="Times New Roman" w:cs="Times New Roman"/>
        </w:rPr>
        <w:t xml:space="preserve"> </w:t>
      </w:r>
      <w:r w:rsidR="00C037BB">
        <w:rPr>
          <w:rFonts w:ascii="Times New Roman" w:hAnsi="Times New Roman" w:cs="Times New Roman"/>
        </w:rPr>
        <w:t>açıkça düzenlenmekted</w:t>
      </w:r>
      <w:r w:rsidR="0071251F">
        <w:rPr>
          <w:rFonts w:ascii="Times New Roman" w:hAnsi="Times New Roman" w:cs="Times New Roman"/>
        </w:rPr>
        <w:t>ir (Frans</w:t>
      </w:r>
      <w:r w:rsidR="00615E5C">
        <w:rPr>
          <w:rFonts w:ascii="Times New Roman" w:hAnsi="Times New Roman" w:cs="Times New Roman"/>
        </w:rPr>
        <w:t>ız CMK m. 495-8, f. 5). Hatta a</w:t>
      </w:r>
      <w:r w:rsidR="0071251F">
        <w:rPr>
          <w:rFonts w:ascii="Times New Roman" w:hAnsi="Times New Roman" w:cs="Times New Roman"/>
        </w:rPr>
        <w:t xml:space="preserve">ynı maddede </w:t>
      </w:r>
      <w:r w:rsidR="00B11105">
        <w:rPr>
          <w:rFonts w:ascii="Times New Roman" w:hAnsi="Times New Roman" w:cs="Times New Roman"/>
        </w:rPr>
        <w:t>şüphelinin müdafi hakkından feragat ed</w:t>
      </w:r>
      <w:r w:rsidR="0071251F">
        <w:rPr>
          <w:rFonts w:ascii="Times New Roman" w:hAnsi="Times New Roman" w:cs="Times New Roman"/>
        </w:rPr>
        <w:t xml:space="preserve">emeyeceği, müdafiin dosyayı her zaman </w:t>
      </w:r>
      <w:r w:rsidR="00B11105">
        <w:rPr>
          <w:rFonts w:ascii="Times New Roman" w:hAnsi="Times New Roman" w:cs="Times New Roman"/>
        </w:rPr>
        <w:t xml:space="preserve">yerinde </w:t>
      </w:r>
      <w:r w:rsidR="0071251F">
        <w:rPr>
          <w:rFonts w:ascii="Times New Roman" w:hAnsi="Times New Roman" w:cs="Times New Roman"/>
        </w:rPr>
        <w:t xml:space="preserve">inceleyebileceği ve </w:t>
      </w:r>
      <w:r w:rsidR="00C037BB">
        <w:rPr>
          <w:rFonts w:ascii="Times New Roman" w:hAnsi="Times New Roman" w:cs="Times New Roman"/>
        </w:rPr>
        <w:t xml:space="preserve">şüphelinin </w:t>
      </w:r>
      <w:r w:rsidR="0071251F">
        <w:rPr>
          <w:rFonts w:ascii="Times New Roman" w:hAnsi="Times New Roman" w:cs="Times New Roman"/>
        </w:rPr>
        <w:t>savcının olmadığı bir ortamda müdafiiyle görüşme hakkının bulu</w:t>
      </w:r>
      <w:r w:rsidR="0010040A">
        <w:rPr>
          <w:rFonts w:ascii="Times New Roman" w:hAnsi="Times New Roman" w:cs="Times New Roman"/>
        </w:rPr>
        <w:t>nduğu da açıkça belirtilerek güvence altına alınmıştır</w:t>
      </w:r>
      <w:r w:rsidR="00615E5C">
        <w:rPr>
          <w:rFonts w:ascii="Times New Roman" w:hAnsi="Times New Roman" w:cs="Times New Roman"/>
        </w:rPr>
        <w:t xml:space="preserve">. </w:t>
      </w:r>
      <w:r w:rsidR="009E00F4">
        <w:rPr>
          <w:rFonts w:ascii="Times New Roman" w:hAnsi="Times New Roman" w:cs="Times New Roman"/>
        </w:rPr>
        <w:t xml:space="preserve">Türk hukukundaki </w:t>
      </w:r>
      <w:r w:rsidR="0010040A">
        <w:rPr>
          <w:rFonts w:ascii="Times New Roman" w:hAnsi="Times New Roman" w:cs="Times New Roman"/>
        </w:rPr>
        <w:t xml:space="preserve">seri usule ilişkin </w:t>
      </w:r>
      <w:r w:rsidR="009E00F4">
        <w:rPr>
          <w:rFonts w:ascii="Times New Roman" w:hAnsi="Times New Roman" w:cs="Times New Roman"/>
        </w:rPr>
        <w:t xml:space="preserve">düzenlemeler </w:t>
      </w:r>
      <w:r w:rsidR="00F3118C">
        <w:rPr>
          <w:rFonts w:ascii="Times New Roman" w:hAnsi="Times New Roman" w:cs="Times New Roman"/>
        </w:rPr>
        <w:t xml:space="preserve">müdafi zorunluluğu getirse de </w:t>
      </w:r>
      <w:r w:rsidR="0071251F">
        <w:rPr>
          <w:rFonts w:ascii="Times New Roman" w:hAnsi="Times New Roman" w:cs="Times New Roman"/>
        </w:rPr>
        <w:t>Fransız hukukunda şüphelin</w:t>
      </w:r>
      <w:r w:rsidR="009E00F4">
        <w:rPr>
          <w:rFonts w:ascii="Times New Roman" w:hAnsi="Times New Roman" w:cs="Times New Roman"/>
        </w:rPr>
        <w:t xml:space="preserve">in müdafiden yararlanma hakkını sağlayan </w:t>
      </w:r>
      <w:r w:rsidR="00D25ED1">
        <w:rPr>
          <w:rFonts w:ascii="Times New Roman" w:hAnsi="Times New Roman" w:cs="Times New Roman"/>
        </w:rPr>
        <w:t xml:space="preserve">bu </w:t>
      </w:r>
      <w:r w:rsidR="009E00F4">
        <w:rPr>
          <w:rFonts w:ascii="Times New Roman" w:hAnsi="Times New Roman" w:cs="Times New Roman"/>
        </w:rPr>
        <w:t>kanuni güvenceleri içermemekte</w:t>
      </w:r>
      <w:r w:rsidR="00B51899">
        <w:rPr>
          <w:rFonts w:ascii="Times New Roman" w:hAnsi="Times New Roman" w:cs="Times New Roman"/>
        </w:rPr>
        <w:t>dir</w:t>
      </w:r>
      <w:r w:rsidR="009E00F4">
        <w:rPr>
          <w:rFonts w:ascii="Times New Roman" w:hAnsi="Times New Roman" w:cs="Times New Roman"/>
        </w:rPr>
        <w:t xml:space="preserve">. </w:t>
      </w:r>
    </w:p>
    <w:p w14:paraId="11149EA7" w14:textId="77777777" w:rsidR="002D6CD3" w:rsidRDefault="002D6CD3" w:rsidP="002965B8">
      <w:pPr>
        <w:spacing w:line="360" w:lineRule="auto"/>
        <w:ind w:firstLine="720"/>
        <w:jc w:val="both"/>
        <w:rPr>
          <w:rFonts w:ascii="Times New Roman" w:hAnsi="Times New Roman" w:cs="Times New Roman"/>
        </w:rPr>
      </w:pPr>
    </w:p>
    <w:p w14:paraId="1856EE60" w14:textId="1532FC15" w:rsidR="00336858" w:rsidRDefault="00336858" w:rsidP="002965B8">
      <w:pPr>
        <w:spacing w:line="360" w:lineRule="auto"/>
        <w:ind w:firstLine="720"/>
        <w:jc w:val="both"/>
        <w:rPr>
          <w:rFonts w:ascii="Times New Roman" w:hAnsi="Times New Roman" w:cs="Times New Roman"/>
        </w:rPr>
      </w:pPr>
      <w:r>
        <w:rPr>
          <w:rFonts w:ascii="Times New Roman" w:hAnsi="Times New Roman" w:cs="Times New Roman"/>
        </w:rPr>
        <w:t>Fransız hukukunda</w:t>
      </w:r>
      <w:r w:rsidR="00AB4E8F">
        <w:rPr>
          <w:rFonts w:ascii="Times New Roman" w:hAnsi="Times New Roman" w:cs="Times New Roman"/>
        </w:rPr>
        <w:t>ki gibi</w:t>
      </w:r>
      <w:r>
        <w:rPr>
          <w:rFonts w:ascii="Times New Roman" w:hAnsi="Times New Roman" w:cs="Times New Roman"/>
        </w:rPr>
        <w:t xml:space="preserve"> savcılığın teklifini düşünmek üzere süre talep edilmesi imkanı</w:t>
      </w:r>
      <w:r w:rsidR="00F25B44">
        <w:rPr>
          <w:rFonts w:ascii="Times New Roman" w:hAnsi="Times New Roman" w:cs="Times New Roman"/>
        </w:rPr>
        <w:t>na CMK metninde</w:t>
      </w:r>
      <w:r w:rsidR="007223BB">
        <w:rPr>
          <w:rFonts w:ascii="Times New Roman" w:hAnsi="Times New Roman" w:cs="Times New Roman"/>
        </w:rPr>
        <w:t xml:space="preserve"> yer verilmemiş, ancak daha sonra çıkarılan Yönetmelik’te şüphelinin talebi üzerine savcılığın teklifini değerlendirmek amacıyla bir ayı aşmayacak </w:t>
      </w:r>
      <w:r w:rsidR="00453099">
        <w:rPr>
          <w:rFonts w:ascii="Times New Roman" w:hAnsi="Times New Roman" w:cs="Times New Roman"/>
        </w:rPr>
        <w:t xml:space="preserve">makul </w:t>
      </w:r>
      <w:r w:rsidR="007223BB">
        <w:rPr>
          <w:rFonts w:ascii="Times New Roman" w:hAnsi="Times New Roman" w:cs="Times New Roman"/>
        </w:rPr>
        <w:t>bir süre verilebileceği öngörülmüştür (Yönetmelik m. 10/3)</w:t>
      </w:r>
      <w:r>
        <w:rPr>
          <w:rFonts w:ascii="Times New Roman" w:hAnsi="Times New Roman" w:cs="Times New Roman"/>
        </w:rPr>
        <w:t xml:space="preserve">. </w:t>
      </w:r>
      <w:r w:rsidR="00AB4E8F">
        <w:rPr>
          <w:rFonts w:ascii="Times New Roman" w:hAnsi="Times New Roman" w:cs="Times New Roman"/>
        </w:rPr>
        <w:t xml:space="preserve">Fransız hukukunda on gün olan düşünme süresi, Türk hukukunda bir ayı aşmayacak şekilde savcı tarafından takdir edilecek bir süre olarak belirlenmiştir. Bu durumda savcının </w:t>
      </w:r>
      <w:r w:rsidR="0078599B">
        <w:rPr>
          <w:rFonts w:ascii="Times New Roman" w:hAnsi="Times New Roman" w:cs="Times New Roman"/>
        </w:rPr>
        <w:t>birkaç</w:t>
      </w:r>
      <w:r w:rsidR="002B2D6F">
        <w:rPr>
          <w:rFonts w:ascii="Times New Roman" w:hAnsi="Times New Roman" w:cs="Times New Roman"/>
        </w:rPr>
        <w:t xml:space="preserve"> saat düşünüp cevap verilmesini</w:t>
      </w:r>
      <w:r w:rsidR="00AB4E8F">
        <w:rPr>
          <w:rFonts w:ascii="Times New Roman" w:hAnsi="Times New Roman" w:cs="Times New Roman"/>
        </w:rPr>
        <w:t xml:space="preserve"> istemesi veya bir ay içerisinde cevap verilmesini beklemesi mümkün olup, </w:t>
      </w:r>
      <w:r w:rsidR="00453099">
        <w:rPr>
          <w:rFonts w:ascii="Times New Roman" w:hAnsi="Times New Roman" w:cs="Times New Roman"/>
        </w:rPr>
        <w:t xml:space="preserve">makul </w:t>
      </w:r>
      <w:r w:rsidR="00AB4E8F">
        <w:rPr>
          <w:rFonts w:ascii="Times New Roman" w:hAnsi="Times New Roman" w:cs="Times New Roman"/>
        </w:rPr>
        <w:t>sürenin neye göre belirleneceği</w:t>
      </w:r>
      <w:r w:rsidR="000A68E9">
        <w:rPr>
          <w:rFonts w:ascii="Times New Roman" w:hAnsi="Times New Roman" w:cs="Times New Roman"/>
        </w:rPr>
        <w:t xml:space="preserve"> veya uzatılmasının talep edilip edilemeyeceği</w:t>
      </w:r>
      <w:r w:rsidR="00AB4E8F">
        <w:rPr>
          <w:rFonts w:ascii="Times New Roman" w:hAnsi="Times New Roman" w:cs="Times New Roman"/>
        </w:rPr>
        <w:t xml:space="preserve"> </w:t>
      </w:r>
      <w:r w:rsidR="0087429E">
        <w:rPr>
          <w:rFonts w:ascii="Times New Roman" w:hAnsi="Times New Roman" w:cs="Times New Roman"/>
        </w:rPr>
        <w:t>açık değildir</w:t>
      </w:r>
      <w:r w:rsidR="00AB4E8F">
        <w:rPr>
          <w:rFonts w:ascii="Times New Roman" w:hAnsi="Times New Roman" w:cs="Times New Roman"/>
        </w:rPr>
        <w:t xml:space="preserve">. </w:t>
      </w:r>
      <w:r w:rsidR="007A6B77">
        <w:rPr>
          <w:rFonts w:ascii="Times New Roman" w:hAnsi="Times New Roman" w:cs="Times New Roman"/>
        </w:rPr>
        <w:t>Bu durum</w:t>
      </w:r>
      <w:r w:rsidR="00D7480C">
        <w:rPr>
          <w:rFonts w:ascii="Times New Roman" w:hAnsi="Times New Roman" w:cs="Times New Roman"/>
        </w:rPr>
        <w:t>un</w:t>
      </w:r>
      <w:r w:rsidR="007A6B77">
        <w:rPr>
          <w:rFonts w:ascii="Times New Roman" w:hAnsi="Times New Roman" w:cs="Times New Roman"/>
        </w:rPr>
        <w:t xml:space="preserve"> uygula</w:t>
      </w:r>
      <w:r w:rsidR="000A68E9">
        <w:rPr>
          <w:rFonts w:ascii="Times New Roman" w:hAnsi="Times New Roman" w:cs="Times New Roman"/>
        </w:rPr>
        <w:t>mada eşitsizli</w:t>
      </w:r>
      <w:r w:rsidR="00D7480C">
        <w:rPr>
          <w:rFonts w:ascii="Times New Roman" w:hAnsi="Times New Roman" w:cs="Times New Roman"/>
        </w:rPr>
        <w:t xml:space="preserve">ğe yol açabilecek nitelikte olduğunun altı çizilmelidir. </w:t>
      </w:r>
      <w:r w:rsidR="007A6B77">
        <w:rPr>
          <w:rFonts w:ascii="Times New Roman" w:hAnsi="Times New Roman" w:cs="Times New Roman"/>
        </w:rPr>
        <w:t xml:space="preserve"> </w:t>
      </w:r>
    </w:p>
    <w:p w14:paraId="632CBB80" w14:textId="77777777" w:rsidR="004A15CC" w:rsidRDefault="004A15CC" w:rsidP="002965B8">
      <w:pPr>
        <w:spacing w:line="360" w:lineRule="auto"/>
        <w:ind w:firstLine="720"/>
        <w:jc w:val="both"/>
        <w:rPr>
          <w:rFonts w:ascii="Times New Roman" w:hAnsi="Times New Roman" w:cs="Times New Roman"/>
        </w:rPr>
      </w:pPr>
    </w:p>
    <w:p w14:paraId="4622184F" w14:textId="191931A6" w:rsidR="004A15CC" w:rsidRDefault="004A15CC" w:rsidP="002965B8">
      <w:pPr>
        <w:spacing w:line="360" w:lineRule="auto"/>
        <w:ind w:firstLine="720"/>
        <w:jc w:val="both"/>
        <w:rPr>
          <w:rFonts w:ascii="Times New Roman" w:hAnsi="Times New Roman" w:cs="Times New Roman"/>
        </w:rPr>
      </w:pPr>
      <w:r>
        <w:rPr>
          <w:rFonts w:ascii="Times New Roman" w:hAnsi="Times New Roman" w:cs="Times New Roman"/>
        </w:rPr>
        <w:t>Savcılığın teklifini kabul eden şüphelinin bu beyanını geri alıp alamayacağı husus</w:t>
      </w:r>
      <w:r w:rsidR="00FC3688">
        <w:rPr>
          <w:rFonts w:ascii="Times New Roman" w:hAnsi="Times New Roman" w:cs="Times New Roman"/>
        </w:rPr>
        <w:t>u</w:t>
      </w:r>
      <w:r w:rsidR="0087429E">
        <w:rPr>
          <w:rFonts w:ascii="Times New Roman" w:hAnsi="Times New Roman" w:cs="Times New Roman"/>
        </w:rPr>
        <w:t>na da yine Kanun metninde</w:t>
      </w:r>
      <w:r>
        <w:rPr>
          <w:rFonts w:ascii="Times New Roman" w:hAnsi="Times New Roman" w:cs="Times New Roman"/>
        </w:rPr>
        <w:t xml:space="preserve"> </w:t>
      </w:r>
      <w:r w:rsidR="0087429E">
        <w:rPr>
          <w:rFonts w:ascii="Times New Roman" w:hAnsi="Times New Roman" w:cs="Times New Roman"/>
        </w:rPr>
        <w:t>yer verilmemiş,</w:t>
      </w:r>
      <w:r>
        <w:rPr>
          <w:rFonts w:ascii="Times New Roman" w:hAnsi="Times New Roman" w:cs="Times New Roman"/>
        </w:rPr>
        <w:t xml:space="preserve"> Yönetmelik m. 5/4’te hüküm kuruluncaya kadar kabul </w:t>
      </w:r>
      <w:r w:rsidR="009E00F4">
        <w:rPr>
          <w:rFonts w:ascii="Times New Roman" w:hAnsi="Times New Roman" w:cs="Times New Roman"/>
        </w:rPr>
        <w:t>beyanının</w:t>
      </w:r>
      <w:r w:rsidR="0087429E">
        <w:rPr>
          <w:rFonts w:ascii="Times New Roman" w:hAnsi="Times New Roman" w:cs="Times New Roman"/>
        </w:rPr>
        <w:t xml:space="preserve"> geri alınabileceği düzenlenmiştir.</w:t>
      </w:r>
    </w:p>
    <w:p w14:paraId="17B578F8" w14:textId="77777777" w:rsidR="00740FA6" w:rsidRDefault="00740FA6" w:rsidP="002965B8">
      <w:pPr>
        <w:spacing w:line="360" w:lineRule="auto"/>
        <w:ind w:firstLine="720"/>
        <w:jc w:val="both"/>
        <w:rPr>
          <w:rFonts w:ascii="Times New Roman" w:hAnsi="Times New Roman" w:cs="Times New Roman"/>
        </w:rPr>
      </w:pPr>
    </w:p>
    <w:p w14:paraId="27EE8934" w14:textId="28B02B4B" w:rsidR="00740FA6" w:rsidRDefault="00740FA6" w:rsidP="002172C7">
      <w:pPr>
        <w:spacing w:line="360" w:lineRule="auto"/>
        <w:ind w:firstLine="720"/>
        <w:jc w:val="both"/>
        <w:rPr>
          <w:rFonts w:ascii="Times New Roman" w:hAnsi="Times New Roman" w:cs="Times New Roman"/>
        </w:rPr>
      </w:pPr>
      <w:r>
        <w:rPr>
          <w:rFonts w:ascii="Times New Roman" w:hAnsi="Times New Roman" w:cs="Times New Roman"/>
        </w:rPr>
        <w:t xml:space="preserve">Şüpheliye yöneltilen teklifle ilgili olarak ele alınması gereken diğer bir husus teklifin içeriğine ilişkindir. </w:t>
      </w:r>
      <w:r w:rsidR="00F25B44">
        <w:rPr>
          <w:rFonts w:ascii="Times New Roman" w:hAnsi="Times New Roman" w:cs="Times New Roman"/>
        </w:rPr>
        <w:t>CMK m. 250/3’t</w:t>
      </w:r>
      <w:r w:rsidR="00B933D2">
        <w:rPr>
          <w:rFonts w:ascii="Times New Roman" w:hAnsi="Times New Roman" w:cs="Times New Roman"/>
        </w:rPr>
        <w:t xml:space="preserve">e savcılığın şüpheliye </w:t>
      </w:r>
      <w:r w:rsidR="00F25B44">
        <w:rPr>
          <w:rFonts w:ascii="Times New Roman" w:hAnsi="Times New Roman" w:cs="Times New Roman"/>
        </w:rPr>
        <w:t>“</w:t>
      </w:r>
      <w:r w:rsidR="00B933D2">
        <w:rPr>
          <w:rFonts w:ascii="Times New Roman" w:hAnsi="Times New Roman" w:cs="Times New Roman"/>
        </w:rPr>
        <w:t>seri muhakeme usulünün uygulanmasını</w:t>
      </w:r>
      <w:r w:rsidR="00F25B44">
        <w:rPr>
          <w:rFonts w:ascii="Times New Roman" w:hAnsi="Times New Roman" w:cs="Times New Roman"/>
        </w:rPr>
        <w:t>”</w:t>
      </w:r>
      <w:r w:rsidR="00B933D2">
        <w:rPr>
          <w:rFonts w:ascii="Times New Roman" w:hAnsi="Times New Roman" w:cs="Times New Roman"/>
        </w:rPr>
        <w:t xml:space="preserve"> teklif edeceği belirtilmekte, </w:t>
      </w:r>
      <w:r w:rsidR="0076669E">
        <w:rPr>
          <w:rFonts w:ascii="Times New Roman" w:hAnsi="Times New Roman" w:cs="Times New Roman"/>
        </w:rPr>
        <w:t xml:space="preserve">bu ifadeden şüphelinin kabul etmeyi değerlendireceği teklifin yalnızca hakkında olağan usulden farklı bir usulün uygulanmasını ve </w:t>
      </w:r>
      <w:r w:rsidR="0010040A">
        <w:rPr>
          <w:rFonts w:ascii="Times New Roman" w:hAnsi="Times New Roman" w:cs="Times New Roman"/>
        </w:rPr>
        <w:t xml:space="preserve">kabul ederse </w:t>
      </w:r>
      <w:r w:rsidR="00D5231D">
        <w:rPr>
          <w:rFonts w:ascii="Times New Roman" w:hAnsi="Times New Roman" w:cs="Times New Roman"/>
        </w:rPr>
        <w:t>ceza</w:t>
      </w:r>
      <w:r w:rsidR="00F25B44">
        <w:rPr>
          <w:rFonts w:ascii="Times New Roman" w:hAnsi="Times New Roman" w:cs="Times New Roman"/>
        </w:rPr>
        <w:t>sın</w:t>
      </w:r>
      <w:r w:rsidR="00D5231D">
        <w:rPr>
          <w:rFonts w:ascii="Times New Roman" w:hAnsi="Times New Roman" w:cs="Times New Roman"/>
        </w:rPr>
        <w:t xml:space="preserve">da </w:t>
      </w:r>
      <w:r w:rsidR="00A60BB8">
        <w:rPr>
          <w:rFonts w:ascii="Times New Roman" w:hAnsi="Times New Roman" w:cs="Times New Roman"/>
        </w:rPr>
        <w:t xml:space="preserve">kanunda gösterilen </w:t>
      </w:r>
      <w:r w:rsidR="00F25B44">
        <w:rPr>
          <w:rFonts w:ascii="Times New Roman" w:hAnsi="Times New Roman" w:cs="Times New Roman"/>
        </w:rPr>
        <w:t>oranda</w:t>
      </w:r>
      <w:r w:rsidR="00D5231D">
        <w:rPr>
          <w:rFonts w:ascii="Times New Roman" w:hAnsi="Times New Roman" w:cs="Times New Roman"/>
        </w:rPr>
        <w:t xml:space="preserve"> </w:t>
      </w:r>
      <w:r w:rsidR="0076669E">
        <w:rPr>
          <w:rFonts w:ascii="Times New Roman" w:hAnsi="Times New Roman" w:cs="Times New Roman"/>
        </w:rPr>
        <w:t>indir</w:t>
      </w:r>
      <w:r w:rsidR="00D5231D">
        <w:rPr>
          <w:rFonts w:ascii="Times New Roman" w:hAnsi="Times New Roman" w:cs="Times New Roman"/>
        </w:rPr>
        <w:t>im yapılacağını içerdiği sonucuna ulaşılmaktadır.</w:t>
      </w:r>
      <w:r w:rsidR="0076669E">
        <w:rPr>
          <w:rFonts w:ascii="Times New Roman" w:hAnsi="Times New Roman" w:cs="Times New Roman"/>
        </w:rPr>
        <w:t xml:space="preserve"> </w:t>
      </w:r>
      <w:r w:rsidR="00D5231D">
        <w:rPr>
          <w:rFonts w:ascii="Times New Roman" w:hAnsi="Times New Roman" w:cs="Times New Roman"/>
        </w:rPr>
        <w:t>Ancak her ne kadar bu ifadeden</w:t>
      </w:r>
      <w:r w:rsidR="00B933D2">
        <w:rPr>
          <w:rFonts w:ascii="Times New Roman" w:hAnsi="Times New Roman" w:cs="Times New Roman"/>
        </w:rPr>
        <w:t xml:space="preserve"> </w:t>
      </w:r>
      <w:r w:rsidR="00EC2902">
        <w:rPr>
          <w:rFonts w:ascii="Times New Roman" w:hAnsi="Times New Roman" w:cs="Times New Roman"/>
        </w:rPr>
        <w:t>savcılığın seri usulün uygulanması teklifi</w:t>
      </w:r>
      <w:r w:rsidR="00D5231D">
        <w:rPr>
          <w:rFonts w:ascii="Times New Roman" w:hAnsi="Times New Roman" w:cs="Times New Roman"/>
        </w:rPr>
        <w:t>nin</w:t>
      </w:r>
      <w:r w:rsidR="00EC2902">
        <w:rPr>
          <w:rFonts w:ascii="Times New Roman" w:hAnsi="Times New Roman" w:cs="Times New Roman"/>
        </w:rPr>
        <w:t>, şüpheli hakkında ta</w:t>
      </w:r>
      <w:r w:rsidR="0010040A">
        <w:rPr>
          <w:rFonts w:ascii="Times New Roman" w:hAnsi="Times New Roman" w:cs="Times New Roman"/>
        </w:rPr>
        <w:t>lep edilen ceza miktarını</w:t>
      </w:r>
      <w:r w:rsidR="00D5231D">
        <w:rPr>
          <w:rFonts w:ascii="Times New Roman" w:hAnsi="Times New Roman" w:cs="Times New Roman"/>
        </w:rPr>
        <w:t xml:space="preserve"> içermediği anlaşılmaktaysa da</w:t>
      </w:r>
      <w:r w:rsidR="000477E8">
        <w:rPr>
          <w:rStyle w:val="FootnoteReference"/>
          <w:rFonts w:ascii="Times New Roman" w:hAnsi="Times New Roman" w:cs="Times New Roman"/>
        </w:rPr>
        <w:footnoteReference w:id="99"/>
      </w:r>
      <w:r w:rsidR="00D5231D">
        <w:rPr>
          <w:rFonts w:ascii="Times New Roman" w:hAnsi="Times New Roman" w:cs="Times New Roman"/>
        </w:rPr>
        <w:t>,</w:t>
      </w:r>
      <w:r w:rsidR="00EC2902">
        <w:rPr>
          <w:rFonts w:ascii="Times New Roman" w:hAnsi="Times New Roman" w:cs="Times New Roman"/>
        </w:rPr>
        <w:t xml:space="preserve"> Yönetmelik m. 10/2’de savcının teklifi yaparak şüpheli</w:t>
      </w:r>
      <w:r w:rsidR="00D5231D">
        <w:rPr>
          <w:rFonts w:ascii="Times New Roman" w:hAnsi="Times New Roman" w:cs="Times New Roman"/>
        </w:rPr>
        <w:t>ye yaptırımların neler olduğunu açıklayacağı</w:t>
      </w:r>
      <w:r w:rsidR="00EC2902">
        <w:rPr>
          <w:rFonts w:ascii="Times New Roman" w:hAnsi="Times New Roman" w:cs="Times New Roman"/>
        </w:rPr>
        <w:t xml:space="preserve"> ifadesine yer verilmiştir. Aynı doğrultuda Yönetmeliğe ek </w:t>
      </w:r>
      <w:r w:rsidR="00D5231D">
        <w:rPr>
          <w:rFonts w:ascii="Times New Roman" w:hAnsi="Times New Roman" w:cs="Times New Roman"/>
        </w:rPr>
        <w:t xml:space="preserve">olarak yayımlanan </w:t>
      </w:r>
      <w:r w:rsidR="002E1D87">
        <w:rPr>
          <w:rFonts w:ascii="Times New Roman" w:hAnsi="Times New Roman" w:cs="Times New Roman"/>
        </w:rPr>
        <w:t>kabul</w:t>
      </w:r>
      <w:r w:rsidR="00EC2902">
        <w:rPr>
          <w:rFonts w:ascii="Times New Roman" w:hAnsi="Times New Roman" w:cs="Times New Roman"/>
        </w:rPr>
        <w:t xml:space="preserve"> t</w:t>
      </w:r>
      <w:r w:rsidR="00F62A18">
        <w:rPr>
          <w:rFonts w:ascii="Times New Roman" w:hAnsi="Times New Roman" w:cs="Times New Roman"/>
        </w:rPr>
        <w:t>utanağı örneklerinde</w:t>
      </w:r>
      <w:r w:rsidR="002E1D87">
        <w:rPr>
          <w:rFonts w:ascii="Times New Roman" w:hAnsi="Times New Roman" w:cs="Times New Roman"/>
        </w:rPr>
        <w:t xml:space="preserve">, </w:t>
      </w:r>
      <w:r w:rsidR="00D5231D">
        <w:rPr>
          <w:rFonts w:ascii="Times New Roman" w:hAnsi="Times New Roman" w:cs="Times New Roman"/>
        </w:rPr>
        <w:t>teklif metninin</w:t>
      </w:r>
      <w:r w:rsidR="00EC2902">
        <w:rPr>
          <w:rFonts w:ascii="Times New Roman" w:hAnsi="Times New Roman" w:cs="Times New Roman"/>
        </w:rPr>
        <w:t xml:space="preserve"> savcılığın belirlediği temel cezayı </w:t>
      </w:r>
      <w:r w:rsidR="00A211EA">
        <w:rPr>
          <w:rFonts w:ascii="Times New Roman" w:hAnsi="Times New Roman" w:cs="Times New Roman"/>
        </w:rPr>
        <w:t xml:space="preserve">da </w:t>
      </w:r>
      <w:r w:rsidR="00EC2902">
        <w:rPr>
          <w:rFonts w:ascii="Times New Roman" w:hAnsi="Times New Roman" w:cs="Times New Roman"/>
        </w:rPr>
        <w:t>içerdiği görülmektedir</w:t>
      </w:r>
      <w:r w:rsidR="00EC2902">
        <w:rPr>
          <w:rStyle w:val="FootnoteReference"/>
          <w:rFonts w:ascii="Times New Roman" w:hAnsi="Times New Roman" w:cs="Times New Roman"/>
        </w:rPr>
        <w:footnoteReference w:id="100"/>
      </w:r>
      <w:r w:rsidR="00D5231D">
        <w:rPr>
          <w:rFonts w:ascii="Times New Roman" w:hAnsi="Times New Roman" w:cs="Times New Roman"/>
        </w:rPr>
        <w:t xml:space="preserve">. </w:t>
      </w:r>
      <w:r w:rsidR="00E27ED9">
        <w:rPr>
          <w:rFonts w:ascii="Times New Roman" w:hAnsi="Times New Roman" w:cs="Times New Roman"/>
        </w:rPr>
        <w:t>Yine Yönetmelik m. 10/8’de şüphelinin teklifi kabul etmesi üzerine kabul tutanağına savcı tarafından hesaplanan sonuç cezanın da yazılacağı ve kabul eden tarafından imzalanacağı belirtilmiştir. Bu hükümlerden anlaşıldığı üzere,</w:t>
      </w:r>
      <w:r w:rsidR="00D5231D">
        <w:rPr>
          <w:rFonts w:ascii="Times New Roman" w:hAnsi="Times New Roman" w:cs="Times New Roman"/>
        </w:rPr>
        <w:t xml:space="preserve"> Türk hukukunda da </w:t>
      </w:r>
      <w:r w:rsidR="00F25B44">
        <w:rPr>
          <w:rFonts w:ascii="Times New Roman" w:hAnsi="Times New Roman" w:cs="Times New Roman"/>
        </w:rPr>
        <w:t xml:space="preserve">Fransız hukukunda olduğu gibi, </w:t>
      </w:r>
      <w:r w:rsidR="00D5231D">
        <w:rPr>
          <w:rFonts w:ascii="Times New Roman" w:hAnsi="Times New Roman" w:cs="Times New Roman"/>
        </w:rPr>
        <w:t>ş</w:t>
      </w:r>
      <w:r w:rsidR="00EC2902">
        <w:rPr>
          <w:rFonts w:ascii="Times New Roman" w:hAnsi="Times New Roman" w:cs="Times New Roman"/>
        </w:rPr>
        <w:t>üpheliye savcılığın belirle</w:t>
      </w:r>
      <w:bookmarkStart w:id="0" w:name="_GoBack"/>
      <w:bookmarkEnd w:id="0"/>
      <w:r w:rsidR="00EC2902">
        <w:rPr>
          <w:rFonts w:ascii="Times New Roman" w:hAnsi="Times New Roman" w:cs="Times New Roman"/>
        </w:rPr>
        <w:t xml:space="preserve">miş olduğu ve hakkında uygulanmasını talep edeceği yaptırım tür ve miktarının </w:t>
      </w:r>
      <w:r w:rsidR="00D5231D">
        <w:rPr>
          <w:rFonts w:ascii="Times New Roman" w:hAnsi="Times New Roman" w:cs="Times New Roman"/>
        </w:rPr>
        <w:t>açıklan</w:t>
      </w:r>
      <w:r w:rsidR="00E27ED9">
        <w:rPr>
          <w:rFonts w:ascii="Times New Roman" w:hAnsi="Times New Roman" w:cs="Times New Roman"/>
        </w:rPr>
        <w:t>ması</w:t>
      </w:r>
      <w:r w:rsidR="00423F94">
        <w:rPr>
          <w:rFonts w:ascii="Times New Roman" w:hAnsi="Times New Roman" w:cs="Times New Roman"/>
        </w:rPr>
        <w:t xml:space="preserve"> ve şüphelinin bu yaptırım </w:t>
      </w:r>
      <w:r w:rsidR="00D5231D">
        <w:rPr>
          <w:rFonts w:ascii="Times New Roman" w:hAnsi="Times New Roman" w:cs="Times New Roman"/>
        </w:rPr>
        <w:t>ile olağan usulde alabileceği yaptırım arasında bir öngö</w:t>
      </w:r>
      <w:r w:rsidR="00E27ED9">
        <w:rPr>
          <w:rFonts w:ascii="Times New Roman" w:hAnsi="Times New Roman" w:cs="Times New Roman"/>
        </w:rPr>
        <w:t>rüde bulunarak tercihte bulunması söz konusudur</w:t>
      </w:r>
      <w:r w:rsidR="00D5231D">
        <w:rPr>
          <w:rFonts w:ascii="Times New Roman" w:hAnsi="Times New Roman" w:cs="Times New Roman"/>
        </w:rPr>
        <w:t xml:space="preserve">. </w:t>
      </w:r>
      <w:r w:rsidR="00F62A18">
        <w:rPr>
          <w:rFonts w:ascii="Times New Roman" w:hAnsi="Times New Roman" w:cs="Times New Roman"/>
        </w:rPr>
        <w:t xml:space="preserve">Buna karşılık </w:t>
      </w:r>
      <w:r w:rsidR="00D5231D">
        <w:rPr>
          <w:rFonts w:ascii="Times New Roman" w:hAnsi="Times New Roman" w:cs="Times New Roman"/>
        </w:rPr>
        <w:t xml:space="preserve">Fransız hukukundan farklı olarak Türk hukukunda </w:t>
      </w:r>
      <w:r w:rsidR="002172C7">
        <w:rPr>
          <w:rFonts w:ascii="Times New Roman" w:hAnsi="Times New Roman" w:cs="Times New Roman"/>
        </w:rPr>
        <w:t>seri muhakeme usulünde</w:t>
      </w:r>
      <w:r w:rsidR="00F62A18">
        <w:rPr>
          <w:rFonts w:ascii="Times New Roman" w:hAnsi="Times New Roman" w:cs="Times New Roman"/>
        </w:rPr>
        <w:t>,</w:t>
      </w:r>
      <w:r w:rsidR="002172C7">
        <w:rPr>
          <w:rFonts w:ascii="Times New Roman" w:hAnsi="Times New Roman" w:cs="Times New Roman"/>
        </w:rPr>
        <w:t xml:space="preserve"> </w:t>
      </w:r>
      <w:r w:rsidR="00423F94">
        <w:rPr>
          <w:rFonts w:ascii="Times New Roman" w:hAnsi="Times New Roman" w:cs="Times New Roman"/>
        </w:rPr>
        <w:t xml:space="preserve">indirimli ceza teklifi </w:t>
      </w:r>
      <w:r w:rsidR="00D5231D">
        <w:rPr>
          <w:rFonts w:ascii="Times New Roman" w:hAnsi="Times New Roman" w:cs="Times New Roman"/>
        </w:rPr>
        <w:t xml:space="preserve">karşılığında şüphelinin eylemleri üstlenmesi, ikrarı </w:t>
      </w:r>
      <w:r w:rsidR="00526D98">
        <w:rPr>
          <w:rFonts w:ascii="Times New Roman" w:hAnsi="Times New Roman" w:cs="Times New Roman"/>
        </w:rPr>
        <w:t xml:space="preserve">açıkça </w:t>
      </w:r>
      <w:r w:rsidR="00D5231D">
        <w:rPr>
          <w:rFonts w:ascii="Times New Roman" w:hAnsi="Times New Roman" w:cs="Times New Roman"/>
        </w:rPr>
        <w:t xml:space="preserve">aranmamıştır. </w:t>
      </w:r>
      <w:r w:rsidR="00F22CC1">
        <w:rPr>
          <w:rFonts w:ascii="Times New Roman" w:hAnsi="Times New Roman" w:cs="Times New Roman"/>
        </w:rPr>
        <w:t xml:space="preserve">Burada </w:t>
      </w:r>
      <w:r w:rsidR="00D7480C">
        <w:rPr>
          <w:rFonts w:ascii="Times New Roman" w:hAnsi="Times New Roman" w:cs="Times New Roman"/>
        </w:rPr>
        <w:t xml:space="preserve">cezada doğrudan </w:t>
      </w:r>
      <w:r w:rsidR="00F22CC1">
        <w:rPr>
          <w:rFonts w:ascii="Times New Roman" w:hAnsi="Times New Roman" w:cs="Times New Roman"/>
        </w:rPr>
        <w:t>indirim imkanı karşılığında</w:t>
      </w:r>
      <w:r w:rsidR="00F62A18">
        <w:rPr>
          <w:rFonts w:ascii="Times New Roman" w:hAnsi="Times New Roman" w:cs="Times New Roman"/>
        </w:rPr>
        <w:t>,</w:t>
      </w:r>
      <w:r w:rsidR="002172C7">
        <w:rPr>
          <w:rFonts w:ascii="Times New Roman" w:hAnsi="Times New Roman" w:cs="Times New Roman"/>
        </w:rPr>
        <w:t xml:space="preserve"> şüphelinin </w:t>
      </w:r>
      <w:r w:rsidR="00305761">
        <w:rPr>
          <w:rFonts w:ascii="Times New Roman" w:hAnsi="Times New Roman" w:cs="Times New Roman"/>
        </w:rPr>
        <w:t xml:space="preserve">eylemleri üstlenerek suçluluğuna ilişkin delil </w:t>
      </w:r>
      <w:r w:rsidR="00CD0BD1">
        <w:rPr>
          <w:rFonts w:ascii="Times New Roman" w:hAnsi="Times New Roman" w:cs="Times New Roman"/>
        </w:rPr>
        <w:t>elde edilmesi</w:t>
      </w:r>
      <w:r w:rsidR="00305761">
        <w:rPr>
          <w:rFonts w:ascii="Times New Roman" w:hAnsi="Times New Roman" w:cs="Times New Roman"/>
        </w:rPr>
        <w:t xml:space="preserve"> </w:t>
      </w:r>
      <w:r w:rsidR="00F25B44">
        <w:rPr>
          <w:rFonts w:ascii="Times New Roman" w:hAnsi="Times New Roman" w:cs="Times New Roman"/>
        </w:rPr>
        <w:t xml:space="preserve">değil, </w:t>
      </w:r>
      <w:r w:rsidR="002172C7">
        <w:rPr>
          <w:rFonts w:ascii="Times New Roman" w:hAnsi="Times New Roman" w:cs="Times New Roman"/>
        </w:rPr>
        <w:t xml:space="preserve">daha kısa süren ve olağan muhakeme işlemlerinin bazılarının dahil edilmediği </w:t>
      </w:r>
      <w:r w:rsidR="00F62A18">
        <w:rPr>
          <w:rFonts w:ascii="Times New Roman" w:hAnsi="Times New Roman" w:cs="Times New Roman"/>
        </w:rPr>
        <w:t xml:space="preserve">farklı </w:t>
      </w:r>
      <w:r w:rsidR="00CD0BD1">
        <w:rPr>
          <w:rFonts w:ascii="Times New Roman" w:hAnsi="Times New Roman" w:cs="Times New Roman"/>
        </w:rPr>
        <w:t xml:space="preserve">bir usulün uygulanması </w:t>
      </w:r>
      <w:r w:rsidR="00F22CC1">
        <w:rPr>
          <w:rFonts w:ascii="Times New Roman" w:hAnsi="Times New Roman" w:cs="Times New Roman"/>
        </w:rPr>
        <w:t>teşvik edilmektedir</w:t>
      </w:r>
      <w:r w:rsidR="00745C0A">
        <w:rPr>
          <w:rStyle w:val="FootnoteReference"/>
          <w:rFonts w:ascii="Times New Roman" w:hAnsi="Times New Roman" w:cs="Times New Roman"/>
        </w:rPr>
        <w:footnoteReference w:id="101"/>
      </w:r>
      <w:r w:rsidR="002172C7">
        <w:rPr>
          <w:rFonts w:ascii="Times New Roman" w:hAnsi="Times New Roman" w:cs="Times New Roman"/>
        </w:rPr>
        <w:t xml:space="preserve">. </w:t>
      </w:r>
    </w:p>
    <w:p w14:paraId="6A52740F" w14:textId="77777777" w:rsidR="00C1274D" w:rsidRDefault="00C1274D" w:rsidP="00F22CC1">
      <w:pPr>
        <w:spacing w:line="360" w:lineRule="auto"/>
        <w:jc w:val="both"/>
        <w:rPr>
          <w:rFonts w:ascii="Times New Roman" w:hAnsi="Times New Roman" w:cs="Times New Roman"/>
        </w:rPr>
      </w:pPr>
    </w:p>
    <w:p w14:paraId="03513253" w14:textId="41499369" w:rsidR="00025DE6" w:rsidRDefault="00E27ED9" w:rsidP="002965B8">
      <w:pPr>
        <w:spacing w:line="360" w:lineRule="auto"/>
        <w:ind w:firstLine="720"/>
        <w:jc w:val="both"/>
        <w:rPr>
          <w:rFonts w:ascii="Times New Roman" w:hAnsi="Times New Roman" w:cs="Times New Roman"/>
        </w:rPr>
      </w:pPr>
      <w:r>
        <w:rPr>
          <w:rFonts w:ascii="Times New Roman" w:hAnsi="Times New Roman" w:cs="Times New Roman"/>
        </w:rPr>
        <w:t xml:space="preserve">Seri muhakeme usulünde, olağan yargılama usulünden farklı olarak, </w:t>
      </w:r>
      <w:r w:rsidR="00C1274D">
        <w:rPr>
          <w:rFonts w:ascii="Times New Roman" w:hAnsi="Times New Roman" w:cs="Times New Roman"/>
        </w:rPr>
        <w:t xml:space="preserve">şüpheli hakkında uygulanacak cezayı </w:t>
      </w:r>
      <w:r>
        <w:rPr>
          <w:rFonts w:ascii="Times New Roman" w:hAnsi="Times New Roman" w:cs="Times New Roman"/>
        </w:rPr>
        <w:t xml:space="preserve">savcı </w:t>
      </w:r>
      <w:r w:rsidR="00C1274D">
        <w:rPr>
          <w:rFonts w:ascii="Times New Roman" w:hAnsi="Times New Roman" w:cs="Times New Roman"/>
        </w:rPr>
        <w:t>belirler. CMK</w:t>
      </w:r>
      <w:r>
        <w:rPr>
          <w:rFonts w:ascii="Times New Roman" w:hAnsi="Times New Roman" w:cs="Times New Roman"/>
        </w:rPr>
        <w:t xml:space="preserve"> m. 250/4</w:t>
      </w:r>
      <w:r w:rsidR="002104A2">
        <w:rPr>
          <w:rFonts w:ascii="Times New Roman" w:hAnsi="Times New Roman" w:cs="Times New Roman"/>
        </w:rPr>
        <w:t xml:space="preserve"> açıkça TCK m. 61’nin birinci fıkrasında</w:t>
      </w:r>
      <w:r w:rsidR="00C1274D">
        <w:rPr>
          <w:rFonts w:ascii="Times New Roman" w:hAnsi="Times New Roman" w:cs="Times New Roman"/>
        </w:rPr>
        <w:t xml:space="preserve"> yer alan hususları dik</w:t>
      </w:r>
      <w:r w:rsidR="00112142">
        <w:rPr>
          <w:rFonts w:ascii="Times New Roman" w:hAnsi="Times New Roman" w:cs="Times New Roman"/>
        </w:rPr>
        <w:t xml:space="preserve">kate alarak, hükmedilecek cezanın </w:t>
      </w:r>
      <w:r w:rsidR="00C1274D">
        <w:rPr>
          <w:rFonts w:ascii="Times New Roman" w:hAnsi="Times New Roman" w:cs="Times New Roman"/>
        </w:rPr>
        <w:t>türünü ve miktarını belirleme yetkisinin savcı tarafından kullanılacağını düzenlemekted</w:t>
      </w:r>
      <w:r>
        <w:rPr>
          <w:rFonts w:ascii="Times New Roman" w:hAnsi="Times New Roman" w:cs="Times New Roman"/>
        </w:rPr>
        <w:t>ir. Bu hükme göre s</w:t>
      </w:r>
      <w:r w:rsidR="00C1274D">
        <w:rPr>
          <w:rFonts w:ascii="Times New Roman" w:hAnsi="Times New Roman" w:cs="Times New Roman"/>
        </w:rPr>
        <w:t xml:space="preserve">avcı </w:t>
      </w:r>
      <w:r w:rsidR="002104A2">
        <w:rPr>
          <w:rFonts w:ascii="Times New Roman" w:hAnsi="Times New Roman" w:cs="Times New Roman"/>
        </w:rPr>
        <w:t xml:space="preserve">yalnızca </w:t>
      </w:r>
      <w:r w:rsidR="00C1274D">
        <w:rPr>
          <w:rFonts w:ascii="Times New Roman" w:hAnsi="Times New Roman" w:cs="Times New Roman"/>
        </w:rPr>
        <w:t>m. 61</w:t>
      </w:r>
      <w:r w:rsidR="002104A2">
        <w:rPr>
          <w:rFonts w:ascii="Times New Roman" w:hAnsi="Times New Roman" w:cs="Times New Roman"/>
        </w:rPr>
        <w:t>/1</w:t>
      </w:r>
      <w:r w:rsidR="00C1274D">
        <w:rPr>
          <w:rFonts w:ascii="Times New Roman" w:hAnsi="Times New Roman" w:cs="Times New Roman"/>
        </w:rPr>
        <w:t xml:space="preserve"> uyarınca alt ve üst sınırlar arasında ceza miktarını takdir etmekte serbest olup, </w:t>
      </w:r>
      <w:r w:rsidR="002104A2">
        <w:rPr>
          <w:rFonts w:ascii="Times New Roman" w:hAnsi="Times New Roman" w:cs="Times New Roman"/>
        </w:rPr>
        <w:t>maddenin diğer fıkralarındaki hususları dikkate al</w:t>
      </w:r>
      <w:r w:rsidR="00F904B7">
        <w:rPr>
          <w:rFonts w:ascii="Times New Roman" w:hAnsi="Times New Roman" w:cs="Times New Roman"/>
        </w:rPr>
        <w:t>a</w:t>
      </w:r>
      <w:r w:rsidR="002104A2">
        <w:rPr>
          <w:rFonts w:ascii="Times New Roman" w:hAnsi="Times New Roman" w:cs="Times New Roman"/>
        </w:rPr>
        <w:t>mayacaktır</w:t>
      </w:r>
      <w:r w:rsidR="002104A2">
        <w:rPr>
          <w:rStyle w:val="FootnoteReference"/>
          <w:rFonts w:ascii="Times New Roman" w:hAnsi="Times New Roman" w:cs="Times New Roman"/>
        </w:rPr>
        <w:footnoteReference w:id="102"/>
      </w:r>
      <w:r w:rsidR="002104A2">
        <w:rPr>
          <w:rFonts w:ascii="Times New Roman" w:hAnsi="Times New Roman" w:cs="Times New Roman"/>
        </w:rPr>
        <w:t xml:space="preserve">. Ceza miktarını belirleyen savcı, </w:t>
      </w:r>
      <w:r w:rsidR="00C1274D">
        <w:rPr>
          <w:rFonts w:ascii="Times New Roman" w:hAnsi="Times New Roman" w:cs="Times New Roman"/>
        </w:rPr>
        <w:t xml:space="preserve">belirlediği cezadan kanunda yer alan oranda indirim </w:t>
      </w:r>
      <w:r w:rsidR="002104A2">
        <w:rPr>
          <w:rFonts w:ascii="Times New Roman" w:hAnsi="Times New Roman" w:cs="Times New Roman"/>
        </w:rPr>
        <w:t>yapar.</w:t>
      </w:r>
      <w:r w:rsidR="00C1274D">
        <w:rPr>
          <w:rFonts w:ascii="Times New Roman" w:hAnsi="Times New Roman" w:cs="Times New Roman"/>
        </w:rPr>
        <w:t xml:space="preserve"> </w:t>
      </w:r>
      <w:r w:rsidR="00F904B7">
        <w:rPr>
          <w:rFonts w:ascii="Times New Roman" w:hAnsi="Times New Roman" w:cs="Times New Roman"/>
        </w:rPr>
        <w:t>Kanunda bu usule başvurulması halinde yapılacak indirim oranı savcının belirlediği</w:t>
      </w:r>
      <w:r w:rsidR="00574FCE">
        <w:rPr>
          <w:rFonts w:ascii="Times New Roman" w:hAnsi="Times New Roman" w:cs="Times New Roman"/>
        </w:rPr>
        <w:t xml:space="preserve"> temel</w:t>
      </w:r>
      <w:r w:rsidR="00F904B7">
        <w:rPr>
          <w:rFonts w:ascii="Times New Roman" w:hAnsi="Times New Roman" w:cs="Times New Roman"/>
        </w:rPr>
        <w:t xml:space="preserve"> cezanın yarısı olarak belirlenmiş olup (CMK m. 250/4), bu indirimin yapılması zorunludur</w:t>
      </w:r>
      <w:r w:rsidR="00F904B7">
        <w:rPr>
          <w:rStyle w:val="FootnoteReference"/>
          <w:rFonts w:ascii="Times New Roman" w:hAnsi="Times New Roman" w:cs="Times New Roman"/>
        </w:rPr>
        <w:footnoteReference w:id="103"/>
      </w:r>
      <w:r w:rsidR="00F904B7">
        <w:rPr>
          <w:rFonts w:ascii="Times New Roman" w:hAnsi="Times New Roman" w:cs="Times New Roman"/>
        </w:rPr>
        <w:t xml:space="preserve">. </w:t>
      </w:r>
      <w:r w:rsidR="00574FCE">
        <w:rPr>
          <w:rFonts w:ascii="Times New Roman" w:hAnsi="Times New Roman" w:cs="Times New Roman"/>
        </w:rPr>
        <w:t>Kanunda belirlenen</w:t>
      </w:r>
      <w:r w:rsidR="00C1274D">
        <w:rPr>
          <w:rFonts w:ascii="Times New Roman" w:hAnsi="Times New Roman" w:cs="Times New Roman"/>
        </w:rPr>
        <w:t xml:space="preserve"> orandaki indirimin haricinde başka bir indirim veya artırım yap</w:t>
      </w:r>
      <w:r w:rsidR="00574FCE">
        <w:rPr>
          <w:rFonts w:ascii="Times New Roman" w:hAnsi="Times New Roman" w:cs="Times New Roman"/>
        </w:rPr>
        <w:t>ıl</w:t>
      </w:r>
      <w:r w:rsidR="00C1274D">
        <w:rPr>
          <w:rFonts w:ascii="Times New Roman" w:hAnsi="Times New Roman" w:cs="Times New Roman"/>
        </w:rPr>
        <w:t>ması mümkün değildir</w:t>
      </w:r>
      <w:r w:rsidR="00C1274D">
        <w:rPr>
          <w:rStyle w:val="FootnoteReference"/>
          <w:rFonts w:ascii="Times New Roman" w:hAnsi="Times New Roman" w:cs="Times New Roman"/>
        </w:rPr>
        <w:footnoteReference w:id="104"/>
      </w:r>
      <w:r w:rsidR="00C1274D">
        <w:rPr>
          <w:rFonts w:ascii="Times New Roman" w:hAnsi="Times New Roman" w:cs="Times New Roman"/>
        </w:rPr>
        <w:t xml:space="preserve">. </w:t>
      </w:r>
      <w:r w:rsidR="00026ED2">
        <w:rPr>
          <w:rFonts w:ascii="Times New Roman" w:hAnsi="Times New Roman" w:cs="Times New Roman"/>
        </w:rPr>
        <w:t xml:space="preserve">Bu noktada </w:t>
      </w:r>
      <w:r w:rsidR="003A5457">
        <w:rPr>
          <w:rFonts w:ascii="Times New Roman" w:hAnsi="Times New Roman" w:cs="Times New Roman"/>
        </w:rPr>
        <w:t>CMK sistemi</w:t>
      </w:r>
      <w:r w:rsidR="0010040A">
        <w:rPr>
          <w:rFonts w:ascii="Times New Roman" w:hAnsi="Times New Roman" w:cs="Times New Roman"/>
        </w:rPr>
        <w:t>ndeki ceza belirleme yöntemi</w:t>
      </w:r>
      <w:r w:rsidR="003A5457">
        <w:rPr>
          <w:rFonts w:ascii="Times New Roman" w:hAnsi="Times New Roman" w:cs="Times New Roman"/>
        </w:rPr>
        <w:t xml:space="preserve"> Fransız hukukundan ayrılmaktadır. Fransız hukukunda savcı ilgili suçlar için kanunda öngörülen ceza miktarının </w:t>
      </w:r>
      <w:r w:rsidR="00E33906">
        <w:rPr>
          <w:rFonts w:ascii="Times New Roman" w:hAnsi="Times New Roman" w:cs="Times New Roman"/>
        </w:rPr>
        <w:t xml:space="preserve">alt ve üst </w:t>
      </w:r>
      <w:r w:rsidR="003A5457">
        <w:rPr>
          <w:rFonts w:ascii="Times New Roman" w:hAnsi="Times New Roman" w:cs="Times New Roman"/>
        </w:rPr>
        <w:t xml:space="preserve">sınırları arasında cezayı </w:t>
      </w:r>
      <w:r w:rsidR="00E33906">
        <w:rPr>
          <w:rFonts w:ascii="Times New Roman" w:hAnsi="Times New Roman" w:cs="Times New Roman"/>
        </w:rPr>
        <w:t xml:space="preserve">genel hükümlere göre </w:t>
      </w:r>
      <w:r w:rsidR="00026ED2">
        <w:rPr>
          <w:rFonts w:ascii="Times New Roman" w:hAnsi="Times New Roman" w:cs="Times New Roman"/>
        </w:rPr>
        <w:t>belirleyebil</w:t>
      </w:r>
      <w:r w:rsidR="00E33906">
        <w:rPr>
          <w:rFonts w:ascii="Times New Roman" w:hAnsi="Times New Roman" w:cs="Times New Roman"/>
        </w:rPr>
        <w:t>mekte ancak belirlenen sonuç ceza</w:t>
      </w:r>
      <w:r w:rsidR="003A5457">
        <w:rPr>
          <w:rFonts w:ascii="Times New Roman" w:hAnsi="Times New Roman" w:cs="Times New Roman"/>
        </w:rPr>
        <w:t xml:space="preserve"> miktar</w:t>
      </w:r>
      <w:r w:rsidR="00E33906">
        <w:rPr>
          <w:rFonts w:ascii="Times New Roman" w:hAnsi="Times New Roman" w:cs="Times New Roman"/>
        </w:rPr>
        <w:t>ı</w:t>
      </w:r>
      <w:r w:rsidR="003A5457">
        <w:rPr>
          <w:rFonts w:ascii="Times New Roman" w:hAnsi="Times New Roman" w:cs="Times New Roman"/>
        </w:rPr>
        <w:t xml:space="preserve"> belirli bir üst sınırı aş</w:t>
      </w:r>
      <w:r w:rsidR="004F20AA">
        <w:rPr>
          <w:rFonts w:ascii="Times New Roman" w:hAnsi="Times New Roman" w:cs="Times New Roman"/>
        </w:rPr>
        <w:t>a</w:t>
      </w:r>
      <w:r w:rsidR="003A5457">
        <w:rPr>
          <w:rFonts w:ascii="Times New Roman" w:hAnsi="Times New Roman" w:cs="Times New Roman"/>
        </w:rPr>
        <w:t>mamaktadır. Türk hukukunda bu şekilde</w:t>
      </w:r>
      <w:r w:rsidR="00815A0F">
        <w:rPr>
          <w:rFonts w:ascii="Times New Roman" w:hAnsi="Times New Roman" w:cs="Times New Roman"/>
        </w:rPr>
        <w:t xml:space="preserve"> ceza miktarına üst sınır </w:t>
      </w:r>
      <w:r w:rsidR="00026ED2">
        <w:rPr>
          <w:rFonts w:ascii="Times New Roman" w:hAnsi="Times New Roman" w:cs="Times New Roman"/>
        </w:rPr>
        <w:t>getirilmediği görülmektedir</w:t>
      </w:r>
      <w:r w:rsidR="00522AA3">
        <w:rPr>
          <w:rStyle w:val="FootnoteReference"/>
          <w:rFonts w:ascii="Times New Roman" w:hAnsi="Times New Roman" w:cs="Times New Roman"/>
        </w:rPr>
        <w:footnoteReference w:id="105"/>
      </w:r>
      <w:r w:rsidR="00026ED2">
        <w:rPr>
          <w:rFonts w:ascii="Times New Roman" w:hAnsi="Times New Roman" w:cs="Times New Roman"/>
        </w:rPr>
        <w:t xml:space="preserve">. </w:t>
      </w:r>
    </w:p>
    <w:p w14:paraId="09370A43" w14:textId="77777777" w:rsidR="00025DE6" w:rsidRDefault="00025DE6" w:rsidP="002965B8">
      <w:pPr>
        <w:spacing w:line="360" w:lineRule="auto"/>
        <w:ind w:firstLine="720"/>
        <w:jc w:val="both"/>
        <w:rPr>
          <w:rFonts w:ascii="Times New Roman" w:hAnsi="Times New Roman" w:cs="Times New Roman"/>
        </w:rPr>
      </w:pPr>
    </w:p>
    <w:p w14:paraId="5403A226" w14:textId="35E86E65" w:rsidR="00856AA4" w:rsidRDefault="00522AA3" w:rsidP="002E1D87">
      <w:pPr>
        <w:spacing w:line="360" w:lineRule="auto"/>
        <w:ind w:firstLine="720"/>
        <w:jc w:val="both"/>
        <w:rPr>
          <w:rFonts w:ascii="Times New Roman" w:hAnsi="Times New Roman" w:cs="Times New Roman"/>
        </w:rPr>
      </w:pPr>
      <w:r>
        <w:rPr>
          <w:rFonts w:ascii="Times New Roman" w:hAnsi="Times New Roman" w:cs="Times New Roman"/>
        </w:rPr>
        <w:t>Temel cezayı belirledikten sonra</w:t>
      </w:r>
      <w:r w:rsidR="00026ED2">
        <w:rPr>
          <w:rFonts w:ascii="Times New Roman" w:hAnsi="Times New Roman" w:cs="Times New Roman"/>
        </w:rPr>
        <w:t>, ş</w:t>
      </w:r>
      <w:r w:rsidR="00C1274D">
        <w:rPr>
          <w:rFonts w:ascii="Times New Roman" w:hAnsi="Times New Roman" w:cs="Times New Roman"/>
        </w:rPr>
        <w:t xml:space="preserve">üpheli hakkında belirlenen yaptırımın seçenek yaptırımlara </w:t>
      </w:r>
      <w:r w:rsidR="006D0790">
        <w:rPr>
          <w:rFonts w:ascii="Times New Roman" w:hAnsi="Times New Roman" w:cs="Times New Roman"/>
        </w:rPr>
        <w:t>çevrilmesi veya ertelenmesi ya da</w:t>
      </w:r>
      <w:r w:rsidR="00C1274D">
        <w:rPr>
          <w:rFonts w:ascii="Times New Roman" w:hAnsi="Times New Roman" w:cs="Times New Roman"/>
        </w:rPr>
        <w:t xml:space="preserve"> hükmün </w:t>
      </w:r>
      <w:r w:rsidR="00182CC5">
        <w:rPr>
          <w:rFonts w:ascii="Times New Roman" w:hAnsi="Times New Roman" w:cs="Times New Roman"/>
        </w:rPr>
        <w:t>açıklanmasının geri bırakılmasının koşulları oluşmuş ise bunların uygulanmasına karar vermek de yine savcının takdirindedir</w:t>
      </w:r>
      <w:r w:rsidR="00E27ED9">
        <w:rPr>
          <w:rFonts w:ascii="Times New Roman" w:hAnsi="Times New Roman" w:cs="Times New Roman"/>
        </w:rPr>
        <w:t xml:space="preserve"> (Yönetmelik m. 10/6, 7)</w:t>
      </w:r>
      <w:r w:rsidR="00182CC5">
        <w:rPr>
          <w:rFonts w:ascii="Times New Roman" w:hAnsi="Times New Roman" w:cs="Times New Roman"/>
        </w:rPr>
        <w:t xml:space="preserve">. </w:t>
      </w:r>
      <w:r w:rsidR="002C26AD">
        <w:rPr>
          <w:rFonts w:ascii="Times New Roman" w:hAnsi="Times New Roman" w:cs="Times New Roman"/>
        </w:rPr>
        <w:t xml:space="preserve">Fransız hukukunda da savcının cezanın yanında ek cezalara ve ertelemeye karar vermesi mümkün olup, </w:t>
      </w:r>
      <w:r w:rsidR="009E0FF4">
        <w:rPr>
          <w:rFonts w:ascii="Times New Roman" w:hAnsi="Times New Roman" w:cs="Times New Roman"/>
        </w:rPr>
        <w:t xml:space="preserve">savcı </w:t>
      </w:r>
      <w:r w:rsidR="002C26AD">
        <w:rPr>
          <w:rFonts w:ascii="Times New Roman" w:hAnsi="Times New Roman" w:cs="Times New Roman"/>
        </w:rPr>
        <w:t xml:space="preserve">cezanın infazına ilişkin hususları da belirleyebilmektedir (Fransız CMK m. 495-8, f. 2, 4). </w:t>
      </w:r>
    </w:p>
    <w:p w14:paraId="4541A636" w14:textId="77777777" w:rsidR="005F0418" w:rsidRDefault="005F0418" w:rsidP="00353561">
      <w:pPr>
        <w:spacing w:line="360" w:lineRule="auto"/>
        <w:jc w:val="both"/>
        <w:rPr>
          <w:rFonts w:ascii="Times New Roman" w:hAnsi="Times New Roman" w:cs="Times New Roman"/>
          <w:b/>
        </w:rPr>
      </w:pPr>
    </w:p>
    <w:p w14:paraId="13BCD714" w14:textId="32E202C1" w:rsidR="00C20631" w:rsidRDefault="00C20631" w:rsidP="009075CE">
      <w:pPr>
        <w:pStyle w:val="Heading2"/>
      </w:pPr>
      <w:r>
        <w:t xml:space="preserve">2. </w:t>
      </w:r>
      <w:r>
        <w:tab/>
        <w:t>Savcılığın Talebinin Mahkemeye Sunulması ve Değerlendirilmesi</w:t>
      </w:r>
    </w:p>
    <w:p w14:paraId="192BBC57" w14:textId="77777777" w:rsidR="00C20631" w:rsidRDefault="00C20631" w:rsidP="002104A2">
      <w:pPr>
        <w:spacing w:line="360" w:lineRule="auto"/>
        <w:jc w:val="both"/>
        <w:rPr>
          <w:rFonts w:ascii="Times New Roman" w:hAnsi="Times New Roman" w:cs="Times New Roman"/>
          <w:b/>
        </w:rPr>
      </w:pPr>
    </w:p>
    <w:p w14:paraId="5DA1F93C" w14:textId="7B43AE85" w:rsidR="00A80788" w:rsidRDefault="006A131C" w:rsidP="00130C7A">
      <w:pPr>
        <w:spacing w:line="360" w:lineRule="auto"/>
        <w:ind w:firstLine="720"/>
        <w:jc w:val="both"/>
        <w:rPr>
          <w:rFonts w:ascii="Times New Roman" w:hAnsi="Times New Roman" w:cs="Times New Roman"/>
        </w:rPr>
      </w:pPr>
      <w:r>
        <w:rPr>
          <w:rFonts w:ascii="Times New Roman" w:hAnsi="Times New Roman" w:cs="Times New Roman"/>
        </w:rPr>
        <w:t>Şüphelinin teklifi kabul etmesi ve kabul tutanağının imzalanmasını takiben</w:t>
      </w:r>
      <w:r w:rsidR="00C41ED2">
        <w:rPr>
          <w:rFonts w:ascii="Times New Roman" w:hAnsi="Times New Roman" w:cs="Times New Roman"/>
        </w:rPr>
        <w:t xml:space="preserve"> savcılık seri muhakeme usulünün uygulan</w:t>
      </w:r>
      <w:r w:rsidR="003A500A">
        <w:rPr>
          <w:rFonts w:ascii="Times New Roman" w:hAnsi="Times New Roman" w:cs="Times New Roman"/>
        </w:rPr>
        <w:t xml:space="preserve">ması amacıyla </w:t>
      </w:r>
      <w:r w:rsidR="00C41ED2">
        <w:rPr>
          <w:rFonts w:ascii="Times New Roman" w:hAnsi="Times New Roman" w:cs="Times New Roman"/>
        </w:rPr>
        <w:t xml:space="preserve">görevli mahkemeye talep yazısını </w:t>
      </w:r>
      <w:r w:rsidR="00F634AF">
        <w:rPr>
          <w:rFonts w:ascii="Times New Roman" w:hAnsi="Times New Roman" w:cs="Times New Roman"/>
        </w:rPr>
        <w:t>(“Talepname”, Yönetmelik m. 4, 12</w:t>
      </w:r>
      <w:r w:rsidR="000838DA">
        <w:rPr>
          <w:rFonts w:ascii="Times New Roman" w:hAnsi="Times New Roman" w:cs="Times New Roman"/>
        </w:rPr>
        <w:t xml:space="preserve">) </w:t>
      </w:r>
      <w:r w:rsidR="00C41ED2">
        <w:rPr>
          <w:rFonts w:ascii="Times New Roman" w:hAnsi="Times New Roman" w:cs="Times New Roman"/>
        </w:rPr>
        <w:t xml:space="preserve">sunar. </w:t>
      </w:r>
      <w:r w:rsidR="000838DA">
        <w:rPr>
          <w:rFonts w:ascii="Times New Roman" w:hAnsi="Times New Roman" w:cs="Times New Roman"/>
        </w:rPr>
        <w:t>Talepnamede</w:t>
      </w:r>
      <w:r w:rsidR="000D222D">
        <w:rPr>
          <w:rFonts w:ascii="Times New Roman" w:hAnsi="Times New Roman" w:cs="Times New Roman"/>
        </w:rPr>
        <w:t xml:space="preserve"> yer alması z</w:t>
      </w:r>
      <w:r w:rsidR="000838DA">
        <w:rPr>
          <w:rFonts w:ascii="Times New Roman" w:hAnsi="Times New Roman" w:cs="Times New Roman"/>
        </w:rPr>
        <w:t xml:space="preserve">orunlu hususlar CMK m. 250/8 ve Yönetmelik m. 12/2’de </w:t>
      </w:r>
      <w:r w:rsidR="000D222D">
        <w:rPr>
          <w:rFonts w:ascii="Times New Roman" w:hAnsi="Times New Roman" w:cs="Times New Roman"/>
        </w:rPr>
        <w:t>gösterilmiştir</w:t>
      </w:r>
      <w:r w:rsidR="0072080C">
        <w:rPr>
          <w:rStyle w:val="FootnoteReference"/>
          <w:rFonts w:ascii="Times New Roman" w:hAnsi="Times New Roman" w:cs="Times New Roman"/>
        </w:rPr>
        <w:footnoteReference w:id="106"/>
      </w:r>
      <w:r w:rsidR="000D222D">
        <w:rPr>
          <w:rFonts w:ascii="Times New Roman" w:hAnsi="Times New Roman" w:cs="Times New Roman"/>
        </w:rPr>
        <w:t xml:space="preserve">. </w:t>
      </w:r>
      <w:r w:rsidR="00A80788">
        <w:rPr>
          <w:rFonts w:ascii="Times New Roman" w:hAnsi="Times New Roman" w:cs="Times New Roman"/>
        </w:rPr>
        <w:t>Bu hususlar arasında savcılığın elde ettiği delil</w:t>
      </w:r>
      <w:r w:rsidR="00F634AF">
        <w:rPr>
          <w:rFonts w:ascii="Times New Roman" w:hAnsi="Times New Roman" w:cs="Times New Roman"/>
        </w:rPr>
        <w:t>lerin olayla ilişkilendirilmesine</w:t>
      </w:r>
      <w:r w:rsidR="00A80788">
        <w:rPr>
          <w:rFonts w:ascii="Times New Roman" w:hAnsi="Times New Roman" w:cs="Times New Roman"/>
        </w:rPr>
        <w:t xml:space="preserve"> veya cezanın ertelenmesi, güvenlik tedbirine karar verme gibi yetkilerini kullanma</w:t>
      </w:r>
      <w:r w:rsidR="00F634AF">
        <w:rPr>
          <w:rFonts w:ascii="Times New Roman" w:hAnsi="Times New Roman" w:cs="Times New Roman"/>
        </w:rPr>
        <w:t>sının</w:t>
      </w:r>
      <w:r w:rsidR="00A80788">
        <w:rPr>
          <w:rFonts w:ascii="Times New Roman" w:hAnsi="Times New Roman" w:cs="Times New Roman"/>
        </w:rPr>
        <w:t xml:space="preserve"> gerekçele</w:t>
      </w:r>
      <w:r w:rsidR="00AE403B">
        <w:rPr>
          <w:rFonts w:ascii="Times New Roman" w:hAnsi="Times New Roman" w:cs="Times New Roman"/>
        </w:rPr>
        <w:t>rine</w:t>
      </w:r>
      <w:r w:rsidR="00A80788">
        <w:rPr>
          <w:rFonts w:ascii="Times New Roman" w:hAnsi="Times New Roman" w:cs="Times New Roman"/>
        </w:rPr>
        <w:t xml:space="preserve"> açıkça </w:t>
      </w:r>
      <w:r w:rsidR="00F634AF">
        <w:rPr>
          <w:rFonts w:ascii="Times New Roman" w:hAnsi="Times New Roman" w:cs="Times New Roman"/>
        </w:rPr>
        <w:t>yer verilmemiştir</w:t>
      </w:r>
      <w:r w:rsidR="00A80788">
        <w:rPr>
          <w:rStyle w:val="FootnoteReference"/>
          <w:rFonts w:ascii="Times New Roman" w:hAnsi="Times New Roman" w:cs="Times New Roman"/>
        </w:rPr>
        <w:footnoteReference w:id="107"/>
      </w:r>
      <w:r w:rsidR="00A80788">
        <w:rPr>
          <w:rFonts w:ascii="Times New Roman" w:hAnsi="Times New Roman" w:cs="Times New Roman"/>
        </w:rPr>
        <w:t xml:space="preserve">. </w:t>
      </w:r>
    </w:p>
    <w:p w14:paraId="0FEBBBCC" w14:textId="77777777" w:rsidR="00A80788" w:rsidRDefault="00A80788" w:rsidP="00130C7A">
      <w:pPr>
        <w:spacing w:line="360" w:lineRule="auto"/>
        <w:ind w:firstLine="720"/>
        <w:jc w:val="both"/>
        <w:rPr>
          <w:rFonts w:ascii="Times New Roman" w:hAnsi="Times New Roman" w:cs="Times New Roman"/>
        </w:rPr>
      </w:pPr>
    </w:p>
    <w:p w14:paraId="1F7669A9" w14:textId="29E34C1D" w:rsidR="00130C7A" w:rsidRDefault="007B6B53" w:rsidP="00130C7A">
      <w:pPr>
        <w:spacing w:line="360" w:lineRule="auto"/>
        <w:ind w:firstLine="720"/>
        <w:jc w:val="both"/>
        <w:rPr>
          <w:rFonts w:ascii="Times New Roman" w:hAnsi="Times New Roman" w:cs="Times New Roman"/>
        </w:rPr>
      </w:pPr>
      <w:r>
        <w:rPr>
          <w:rFonts w:ascii="Times New Roman" w:hAnsi="Times New Roman" w:cs="Times New Roman"/>
        </w:rPr>
        <w:t>Yönetmelik’te mahkemenin seri muhakeme usulünü talepnameyi aldığı gün inceleyerek değ</w:t>
      </w:r>
      <w:r w:rsidR="008979A3">
        <w:rPr>
          <w:rFonts w:ascii="Times New Roman" w:hAnsi="Times New Roman" w:cs="Times New Roman"/>
        </w:rPr>
        <w:t>erlendireceği düzenlenmiştir. Bu</w:t>
      </w:r>
      <w:r>
        <w:rPr>
          <w:rFonts w:ascii="Times New Roman" w:hAnsi="Times New Roman" w:cs="Times New Roman"/>
        </w:rPr>
        <w:t xml:space="preserve"> doğrultuda  talepnameyi alan mahkeme, aynı gün değerlendirerek talepnamenin usulüne uygun olduğuna karar </w:t>
      </w:r>
      <w:r w:rsidR="008979A3">
        <w:rPr>
          <w:rFonts w:ascii="Times New Roman" w:hAnsi="Times New Roman" w:cs="Times New Roman"/>
        </w:rPr>
        <w:t xml:space="preserve">verirse </w:t>
      </w:r>
      <w:r w:rsidR="00B721E4">
        <w:rPr>
          <w:rFonts w:ascii="Times New Roman" w:hAnsi="Times New Roman" w:cs="Times New Roman"/>
        </w:rPr>
        <w:t xml:space="preserve">şüpheliyi </w:t>
      </w:r>
      <w:r>
        <w:rPr>
          <w:rFonts w:ascii="Times New Roman" w:hAnsi="Times New Roman" w:cs="Times New Roman"/>
        </w:rPr>
        <w:t>müdafi</w:t>
      </w:r>
      <w:r w:rsidR="00B721E4">
        <w:rPr>
          <w:rFonts w:ascii="Times New Roman" w:hAnsi="Times New Roman" w:cs="Times New Roman"/>
        </w:rPr>
        <w:t xml:space="preserve"> huzurunda</w:t>
      </w:r>
      <w:r>
        <w:rPr>
          <w:rFonts w:ascii="Times New Roman" w:hAnsi="Times New Roman" w:cs="Times New Roman"/>
        </w:rPr>
        <w:t xml:space="preserve"> dinlemek üzere çağırır (CMK m. 250/9). </w:t>
      </w:r>
      <w:r w:rsidR="00B721E4">
        <w:rPr>
          <w:rFonts w:ascii="Times New Roman" w:hAnsi="Times New Roman" w:cs="Times New Roman"/>
        </w:rPr>
        <w:t>Şüpheli</w:t>
      </w:r>
      <w:r w:rsidR="008979A3">
        <w:rPr>
          <w:rFonts w:ascii="Times New Roman" w:hAnsi="Times New Roman" w:cs="Times New Roman"/>
        </w:rPr>
        <w:t xml:space="preserve"> </w:t>
      </w:r>
      <w:r>
        <w:rPr>
          <w:rFonts w:ascii="Times New Roman" w:hAnsi="Times New Roman" w:cs="Times New Roman"/>
        </w:rPr>
        <w:t>mazeretsiz olarak</w:t>
      </w:r>
      <w:r w:rsidR="007000D8">
        <w:rPr>
          <w:rFonts w:ascii="Times New Roman" w:hAnsi="Times New Roman" w:cs="Times New Roman"/>
        </w:rPr>
        <w:t xml:space="preserve"> </w:t>
      </w:r>
      <w:r w:rsidR="004A116E">
        <w:rPr>
          <w:rFonts w:ascii="Times New Roman" w:hAnsi="Times New Roman" w:cs="Times New Roman"/>
        </w:rPr>
        <w:t>gelmezse bu usulden vazgeçmiş sayılır (CMK m. 250/9</w:t>
      </w:r>
      <w:r w:rsidR="009A0BE5">
        <w:rPr>
          <w:rFonts w:ascii="Times New Roman" w:hAnsi="Times New Roman" w:cs="Times New Roman"/>
        </w:rPr>
        <w:t>, Yönetmelik m. 13/5</w:t>
      </w:r>
      <w:r w:rsidR="004A116E">
        <w:rPr>
          <w:rFonts w:ascii="Times New Roman" w:hAnsi="Times New Roman" w:cs="Times New Roman"/>
        </w:rPr>
        <w:t xml:space="preserve">), </w:t>
      </w:r>
      <w:r>
        <w:rPr>
          <w:rFonts w:ascii="Times New Roman" w:hAnsi="Times New Roman" w:cs="Times New Roman"/>
        </w:rPr>
        <w:t xml:space="preserve">bu durumda </w:t>
      </w:r>
      <w:r w:rsidR="004A116E">
        <w:rPr>
          <w:rFonts w:ascii="Times New Roman" w:hAnsi="Times New Roman" w:cs="Times New Roman"/>
        </w:rPr>
        <w:t>savcılığın talebinin reddine karar verilir</w:t>
      </w:r>
      <w:r w:rsidR="004A116E">
        <w:rPr>
          <w:rStyle w:val="FootnoteReference"/>
          <w:rFonts w:ascii="Times New Roman" w:hAnsi="Times New Roman" w:cs="Times New Roman"/>
        </w:rPr>
        <w:footnoteReference w:id="108"/>
      </w:r>
      <w:r w:rsidR="004A116E">
        <w:rPr>
          <w:rFonts w:ascii="Times New Roman" w:hAnsi="Times New Roman" w:cs="Times New Roman"/>
        </w:rPr>
        <w:t xml:space="preserve">. </w:t>
      </w:r>
      <w:r w:rsidR="00B721E4">
        <w:rPr>
          <w:rFonts w:ascii="Times New Roman" w:hAnsi="Times New Roman" w:cs="Times New Roman"/>
        </w:rPr>
        <w:t xml:space="preserve">Şüpheli ile müdafiin mahkemeye gelmesi halinde mahkeme şüpheliyi müdafi huzurunda seri muhakeme usulü ile ilgili olarak dinler (Yönetmelik m. 13/1). </w:t>
      </w:r>
    </w:p>
    <w:p w14:paraId="1653D9AC" w14:textId="77777777" w:rsidR="00130C7A" w:rsidRDefault="00130C7A" w:rsidP="00130C7A">
      <w:pPr>
        <w:spacing w:line="360" w:lineRule="auto"/>
        <w:ind w:firstLine="720"/>
        <w:jc w:val="both"/>
        <w:rPr>
          <w:rFonts w:ascii="Times New Roman" w:hAnsi="Times New Roman" w:cs="Times New Roman"/>
        </w:rPr>
      </w:pPr>
    </w:p>
    <w:p w14:paraId="4609337C" w14:textId="00556572" w:rsidR="005F0418" w:rsidRDefault="003444CA" w:rsidP="00130C7A">
      <w:pPr>
        <w:spacing w:line="360" w:lineRule="auto"/>
        <w:ind w:firstLine="720"/>
        <w:jc w:val="both"/>
        <w:rPr>
          <w:rFonts w:ascii="Times New Roman" w:hAnsi="Times New Roman" w:cs="Times New Roman"/>
        </w:rPr>
      </w:pPr>
      <w:r>
        <w:rPr>
          <w:rFonts w:ascii="Times New Roman" w:hAnsi="Times New Roman" w:cs="Times New Roman"/>
        </w:rPr>
        <w:t xml:space="preserve">Burada </w:t>
      </w:r>
      <w:r w:rsidR="007E11AB">
        <w:rPr>
          <w:rFonts w:ascii="Times New Roman" w:hAnsi="Times New Roman" w:cs="Times New Roman"/>
        </w:rPr>
        <w:t>mahkemenin bu usul kapsamında gerçekleştirdiği</w:t>
      </w:r>
      <w:r>
        <w:rPr>
          <w:rFonts w:ascii="Times New Roman" w:hAnsi="Times New Roman" w:cs="Times New Roman"/>
        </w:rPr>
        <w:t xml:space="preserve"> dinleme işleminin niteliği veya duruşma açılarak gerçekleştirilip gerçekleştirilmeyeceği kanun metninde açıkça belirlenmemiştir</w:t>
      </w:r>
      <w:r w:rsidR="00852459">
        <w:rPr>
          <w:rStyle w:val="FootnoteReference"/>
          <w:rFonts w:ascii="Times New Roman" w:hAnsi="Times New Roman" w:cs="Times New Roman"/>
        </w:rPr>
        <w:footnoteReference w:id="109"/>
      </w:r>
      <w:r>
        <w:rPr>
          <w:rFonts w:ascii="Times New Roman" w:hAnsi="Times New Roman" w:cs="Times New Roman"/>
        </w:rPr>
        <w:t xml:space="preserve">. </w:t>
      </w:r>
      <w:r w:rsidR="004A33F9">
        <w:rPr>
          <w:rFonts w:ascii="Times New Roman" w:hAnsi="Times New Roman" w:cs="Times New Roman"/>
        </w:rPr>
        <w:t>Bu durum seri muhakeme usulünün Fransız hukukundaki örnekle arasında</w:t>
      </w:r>
      <w:r w:rsidR="005F0418">
        <w:rPr>
          <w:rFonts w:ascii="Times New Roman" w:hAnsi="Times New Roman" w:cs="Times New Roman"/>
        </w:rPr>
        <w:t>ki</w:t>
      </w:r>
      <w:r w:rsidR="004A33F9">
        <w:rPr>
          <w:rFonts w:ascii="Times New Roman" w:hAnsi="Times New Roman" w:cs="Times New Roman"/>
        </w:rPr>
        <w:t xml:space="preserve"> iki temel farklılığı</w:t>
      </w:r>
      <w:r w:rsidR="005F0418">
        <w:rPr>
          <w:rFonts w:ascii="Times New Roman" w:hAnsi="Times New Roman" w:cs="Times New Roman"/>
        </w:rPr>
        <w:t>nı</w:t>
      </w:r>
      <w:r w:rsidR="004A33F9">
        <w:rPr>
          <w:rFonts w:ascii="Times New Roman" w:hAnsi="Times New Roman" w:cs="Times New Roman"/>
        </w:rPr>
        <w:t xml:space="preserve"> ortaya çıkarmaktadır. İlki</w:t>
      </w:r>
      <w:r w:rsidR="002E1D87">
        <w:rPr>
          <w:rFonts w:ascii="Times New Roman" w:hAnsi="Times New Roman" w:cs="Times New Roman"/>
        </w:rPr>
        <w:t>,</w:t>
      </w:r>
      <w:r w:rsidR="004A33F9">
        <w:rPr>
          <w:rFonts w:ascii="Times New Roman" w:hAnsi="Times New Roman" w:cs="Times New Roman"/>
        </w:rPr>
        <w:t xml:space="preserve"> kurumların ceza muhakemesi sistemlerindeki yeri ve hukuki niteliği ile ilgilidir. </w:t>
      </w:r>
      <w:r w:rsidR="0035100F">
        <w:rPr>
          <w:rFonts w:ascii="Times New Roman" w:hAnsi="Times New Roman" w:cs="Times New Roman"/>
        </w:rPr>
        <w:t>Fransız hukukunda</w:t>
      </w:r>
      <w:r w:rsidR="005F0418">
        <w:rPr>
          <w:rFonts w:ascii="Times New Roman" w:hAnsi="Times New Roman" w:cs="Times New Roman"/>
        </w:rPr>
        <w:t xml:space="preserve"> suçluluğun ön kabulü üzerine duruşma usulü, ilgili başlıkta </w:t>
      </w:r>
      <w:r w:rsidR="008A3C11">
        <w:rPr>
          <w:rFonts w:ascii="Times New Roman" w:hAnsi="Times New Roman" w:cs="Times New Roman"/>
        </w:rPr>
        <w:t>değinildiği</w:t>
      </w:r>
      <w:r w:rsidR="005F0418">
        <w:rPr>
          <w:rFonts w:ascii="Times New Roman" w:hAnsi="Times New Roman" w:cs="Times New Roman"/>
        </w:rPr>
        <w:t xml:space="preserve"> üzere, kovuşturma evresine alternatif </w:t>
      </w:r>
      <w:r w:rsidR="002E1D87">
        <w:rPr>
          <w:rFonts w:ascii="Times New Roman" w:hAnsi="Times New Roman" w:cs="Times New Roman"/>
        </w:rPr>
        <w:t>yol</w:t>
      </w:r>
      <w:r w:rsidR="005F0418">
        <w:rPr>
          <w:rFonts w:ascii="Times New Roman" w:hAnsi="Times New Roman" w:cs="Times New Roman"/>
        </w:rPr>
        <w:t xml:space="preserve"> olarak değil, kovuşturma evresinin yürütülmesi çeşitlerinden biri olarak, bir alternatif kovuşturma usulü olarak, düzenlenmiştir. Bu doğrultuda Fransız hukukundaki usulde savcılığın talebini alan mahkem</w:t>
      </w:r>
      <w:r w:rsidR="008A3C11">
        <w:rPr>
          <w:rFonts w:ascii="Times New Roman" w:hAnsi="Times New Roman" w:cs="Times New Roman"/>
        </w:rPr>
        <w:t>e kovuşturma evresinde duruşma açarak</w:t>
      </w:r>
      <w:r w:rsidR="005F0418">
        <w:rPr>
          <w:rFonts w:ascii="Times New Roman" w:hAnsi="Times New Roman" w:cs="Times New Roman"/>
        </w:rPr>
        <w:t xml:space="preserve"> talebi incelemekte ve hüküm vermektedir. </w:t>
      </w:r>
      <w:r w:rsidR="008A3C11">
        <w:rPr>
          <w:rFonts w:ascii="Times New Roman" w:hAnsi="Times New Roman" w:cs="Times New Roman"/>
        </w:rPr>
        <w:t>Türk hukukunda</w:t>
      </w:r>
      <w:r w:rsidR="005F0418">
        <w:rPr>
          <w:rFonts w:ascii="Times New Roman" w:hAnsi="Times New Roman" w:cs="Times New Roman"/>
        </w:rPr>
        <w:t xml:space="preserve"> </w:t>
      </w:r>
      <w:r w:rsidR="004A33F9">
        <w:rPr>
          <w:rFonts w:ascii="Times New Roman" w:hAnsi="Times New Roman" w:cs="Times New Roman"/>
        </w:rPr>
        <w:t>mevzuat hükümlerine bakıldığında</w:t>
      </w:r>
      <w:r w:rsidR="008A3C11">
        <w:rPr>
          <w:rFonts w:ascii="Times New Roman" w:hAnsi="Times New Roman" w:cs="Times New Roman"/>
        </w:rPr>
        <w:t>,</w:t>
      </w:r>
      <w:r w:rsidR="004A33F9">
        <w:rPr>
          <w:rFonts w:ascii="Times New Roman" w:hAnsi="Times New Roman" w:cs="Times New Roman"/>
        </w:rPr>
        <w:t xml:space="preserve"> seri muhakeme usulü soruşturma sonunda uygulanmakta</w:t>
      </w:r>
      <w:r w:rsidR="00C47072">
        <w:rPr>
          <w:rStyle w:val="FootnoteReference"/>
          <w:rFonts w:ascii="Times New Roman" w:hAnsi="Times New Roman" w:cs="Times New Roman"/>
        </w:rPr>
        <w:footnoteReference w:id="110"/>
      </w:r>
      <w:r w:rsidR="004A33F9">
        <w:rPr>
          <w:rFonts w:ascii="Times New Roman" w:hAnsi="Times New Roman" w:cs="Times New Roman"/>
        </w:rPr>
        <w:t xml:space="preserve"> ancak </w:t>
      </w:r>
      <w:r w:rsidR="005F0418">
        <w:rPr>
          <w:rFonts w:ascii="Times New Roman" w:hAnsi="Times New Roman" w:cs="Times New Roman"/>
        </w:rPr>
        <w:t xml:space="preserve">devamında kovuşturma evresine </w:t>
      </w:r>
      <w:r w:rsidR="008A3C11">
        <w:rPr>
          <w:rFonts w:ascii="Times New Roman" w:hAnsi="Times New Roman" w:cs="Times New Roman"/>
        </w:rPr>
        <w:t>geçildiğine yönelik bir açıklık</w:t>
      </w:r>
      <w:r w:rsidR="005F0418">
        <w:rPr>
          <w:rFonts w:ascii="Times New Roman" w:hAnsi="Times New Roman" w:cs="Times New Roman"/>
        </w:rPr>
        <w:t xml:space="preserve"> içermemektedir</w:t>
      </w:r>
      <w:r w:rsidR="004A33F9">
        <w:rPr>
          <w:rFonts w:ascii="Times New Roman" w:hAnsi="Times New Roman" w:cs="Times New Roman"/>
        </w:rPr>
        <w:t xml:space="preserve">. </w:t>
      </w:r>
      <w:r w:rsidR="00276C1F">
        <w:rPr>
          <w:rFonts w:ascii="Times New Roman" w:hAnsi="Times New Roman" w:cs="Times New Roman"/>
        </w:rPr>
        <w:t xml:space="preserve">Yönetmelik m. 13/1 hükmünde mahkemece yapılacak dinlemenin içeriği “seri muhakeme usulü ile ilgili” </w:t>
      </w:r>
      <w:r w:rsidR="000567DD">
        <w:rPr>
          <w:rFonts w:ascii="Times New Roman" w:hAnsi="Times New Roman" w:cs="Times New Roman"/>
        </w:rPr>
        <w:t>olacak şekilde sınırlandırıldığı,</w:t>
      </w:r>
      <w:r w:rsidR="00276C1F">
        <w:rPr>
          <w:rFonts w:ascii="Times New Roman" w:hAnsi="Times New Roman" w:cs="Times New Roman"/>
        </w:rPr>
        <w:t xml:space="preserve"> mahkeme önündeki işlemlerle ilgili olarak </w:t>
      </w:r>
      <w:r w:rsidR="008A3C11">
        <w:rPr>
          <w:rFonts w:ascii="Times New Roman" w:hAnsi="Times New Roman" w:cs="Times New Roman"/>
        </w:rPr>
        <w:t>“</w:t>
      </w:r>
      <w:r w:rsidR="005F0418">
        <w:rPr>
          <w:rFonts w:ascii="Times New Roman" w:hAnsi="Times New Roman" w:cs="Times New Roman"/>
        </w:rPr>
        <w:t>duruşma</w:t>
      </w:r>
      <w:r w:rsidR="008A3C11">
        <w:rPr>
          <w:rFonts w:ascii="Times New Roman" w:hAnsi="Times New Roman" w:cs="Times New Roman"/>
        </w:rPr>
        <w:t>”</w:t>
      </w:r>
      <w:r w:rsidR="005F0418">
        <w:rPr>
          <w:rFonts w:ascii="Times New Roman" w:hAnsi="Times New Roman" w:cs="Times New Roman"/>
        </w:rPr>
        <w:t xml:space="preserve">dan </w:t>
      </w:r>
      <w:r w:rsidR="000567DD">
        <w:rPr>
          <w:rFonts w:ascii="Times New Roman" w:hAnsi="Times New Roman" w:cs="Times New Roman"/>
        </w:rPr>
        <w:t>söz edilmediği ve</w:t>
      </w:r>
      <w:r w:rsidR="002A2D75">
        <w:rPr>
          <w:rFonts w:ascii="Times New Roman" w:hAnsi="Times New Roman" w:cs="Times New Roman"/>
        </w:rPr>
        <w:t xml:space="preserve"> </w:t>
      </w:r>
      <w:r w:rsidR="008A3C11">
        <w:rPr>
          <w:rFonts w:ascii="Times New Roman" w:hAnsi="Times New Roman" w:cs="Times New Roman"/>
        </w:rPr>
        <w:t xml:space="preserve">bu aşamalarda da </w:t>
      </w:r>
      <w:r w:rsidR="001C0F68">
        <w:rPr>
          <w:rFonts w:ascii="Times New Roman" w:hAnsi="Times New Roman" w:cs="Times New Roman"/>
        </w:rPr>
        <w:t xml:space="preserve">“şüpheli” kavramının kullanıldığı göz önünde bulundurulduğunda </w:t>
      </w:r>
      <w:r w:rsidR="008A3C11">
        <w:rPr>
          <w:rFonts w:ascii="Times New Roman" w:hAnsi="Times New Roman" w:cs="Times New Roman"/>
        </w:rPr>
        <w:t xml:space="preserve">CMK metninden </w:t>
      </w:r>
      <w:r w:rsidR="00130C7A">
        <w:rPr>
          <w:rFonts w:ascii="Times New Roman" w:hAnsi="Times New Roman" w:cs="Times New Roman"/>
        </w:rPr>
        <w:t xml:space="preserve">mahkemenin talepnameyi almasıyla birlikte kovuşturma </w:t>
      </w:r>
      <w:r w:rsidR="004C306F">
        <w:rPr>
          <w:rFonts w:ascii="Times New Roman" w:hAnsi="Times New Roman" w:cs="Times New Roman"/>
        </w:rPr>
        <w:t>evresine</w:t>
      </w:r>
      <w:r w:rsidR="007523DA">
        <w:rPr>
          <w:rFonts w:ascii="Times New Roman" w:hAnsi="Times New Roman" w:cs="Times New Roman"/>
        </w:rPr>
        <w:t xml:space="preserve"> geçildiği </w:t>
      </w:r>
      <w:r w:rsidR="0080730A">
        <w:rPr>
          <w:rFonts w:ascii="Times New Roman" w:hAnsi="Times New Roman" w:cs="Times New Roman"/>
        </w:rPr>
        <w:t>anlaşılmamaktadır</w:t>
      </w:r>
      <w:r w:rsidR="00F34FBD">
        <w:rPr>
          <w:rStyle w:val="FootnoteReference"/>
          <w:rFonts w:ascii="Times New Roman" w:hAnsi="Times New Roman" w:cs="Times New Roman"/>
        </w:rPr>
        <w:footnoteReference w:id="111"/>
      </w:r>
      <w:r w:rsidR="000567DD">
        <w:rPr>
          <w:rFonts w:ascii="Times New Roman" w:hAnsi="Times New Roman" w:cs="Times New Roman"/>
        </w:rPr>
        <w:t xml:space="preserve">. </w:t>
      </w:r>
      <w:r w:rsidR="001C0F68">
        <w:rPr>
          <w:rFonts w:ascii="Times New Roman" w:hAnsi="Times New Roman" w:cs="Times New Roman"/>
        </w:rPr>
        <w:t xml:space="preserve">Yönetmelik m. 13/4’te talepnamenin reddedilmesi halinde </w:t>
      </w:r>
      <w:r w:rsidR="00E51E09">
        <w:rPr>
          <w:rFonts w:ascii="Times New Roman" w:hAnsi="Times New Roman" w:cs="Times New Roman"/>
        </w:rPr>
        <w:t xml:space="preserve">dosyanın savcılığa gönderilerek </w:t>
      </w:r>
      <w:r w:rsidR="001C0F68">
        <w:rPr>
          <w:rFonts w:ascii="Times New Roman" w:hAnsi="Times New Roman" w:cs="Times New Roman"/>
        </w:rPr>
        <w:t>“soruşturmanın genel hükümlere göre sonuçlandırılacağı” ifadesi de bu tespiti desteklemektedir. Zira ceza muhakemesinde evrelerden geri dönül</w:t>
      </w:r>
      <w:r w:rsidR="00E51E09">
        <w:rPr>
          <w:rFonts w:ascii="Times New Roman" w:hAnsi="Times New Roman" w:cs="Times New Roman"/>
        </w:rPr>
        <w:t>e</w:t>
      </w:r>
      <w:r w:rsidR="001C0F68">
        <w:rPr>
          <w:rFonts w:ascii="Times New Roman" w:hAnsi="Times New Roman" w:cs="Times New Roman"/>
        </w:rPr>
        <w:t xml:space="preserve">memesi kuralı </w:t>
      </w:r>
      <w:r w:rsidR="00E51E09">
        <w:rPr>
          <w:rFonts w:ascii="Times New Roman" w:hAnsi="Times New Roman" w:cs="Times New Roman"/>
        </w:rPr>
        <w:t>uyarınca</w:t>
      </w:r>
      <w:r w:rsidR="00130C7A">
        <w:rPr>
          <w:rFonts w:ascii="Times New Roman" w:hAnsi="Times New Roman" w:cs="Times New Roman"/>
        </w:rPr>
        <w:t xml:space="preserve"> </w:t>
      </w:r>
      <w:r w:rsidR="00E51E09">
        <w:rPr>
          <w:rFonts w:ascii="Times New Roman" w:hAnsi="Times New Roman" w:cs="Times New Roman"/>
        </w:rPr>
        <w:t>mahkemenin talepnameyi kovuştur</w:t>
      </w:r>
      <w:r w:rsidR="005F0418">
        <w:rPr>
          <w:rFonts w:ascii="Times New Roman" w:hAnsi="Times New Roman" w:cs="Times New Roman"/>
        </w:rPr>
        <w:t>ma evresinde</w:t>
      </w:r>
      <w:r w:rsidR="0028189C">
        <w:rPr>
          <w:rFonts w:ascii="Times New Roman" w:hAnsi="Times New Roman" w:cs="Times New Roman"/>
        </w:rPr>
        <w:t xml:space="preserve"> incelediğinin kabul edilmesi halinde, talepnamenin </w:t>
      </w:r>
      <w:r w:rsidR="00E51E09">
        <w:rPr>
          <w:rFonts w:ascii="Times New Roman" w:hAnsi="Times New Roman" w:cs="Times New Roman"/>
        </w:rPr>
        <w:t>redd</w:t>
      </w:r>
      <w:r w:rsidR="0028189C">
        <w:rPr>
          <w:rFonts w:ascii="Times New Roman" w:hAnsi="Times New Roman" w:cs="Times New Roman"/>
        </w:rPr>
        <w:t xml:space="preserve">i üzerine </w:t>
      </w:r>
      <w:r w:rsidR="00E51E09">
        <w:rPr>
          <w:rFonts w:ascii="Times New Roman" w:hAnsi="Times New Roman" w:cs="Times New Roman"/>
        </w:rPr>
        <w:t>soruşturmay</w:t>
      </w:r>
      <w:r w:rsidR="005F0418">
        <w:rPr>
          <w:rFonts w:ascii="Times New Roman" w:hAnsi="Times New Roman" w:cs="Times New Roman"/>
        </w:rPr>
        <w:t xml:space="preserve">a yeniden dönülerek devam edilmesi </w:t>
      </w:r>
      <w:r w:rsidR="00E51E09">
        <w:rPr>
          <w:rFonts w:ascii="Times New Roman" w:hAnsi="Times New Roman" w:cs="Times New Roman"/>
        </w:rPr>
        <w:t xml:space="preserve">mümkün </w:t>
      </w:r>
      <w:r w:rsidR="0028189C">
        <w:rPr>
          <w:rFonts w:ascii="Times New Roman" w:hAnsi="Times New Roman" w:cs="Times New Roman"/>
        </w:rPr>
        <w:t>olmayacaktır</w:t>
      </w:r>
      <w:r w:rsidR="00E51E09">
        <w:rPr>
          <w:rFonts w:ascii="Times New Roman" w:hAnsi="Times New Roman" w:cs="Times New Roman"/>
        </w:rPr>
        <w:t xml:space="preserve">. </w:t>
      </w:r>
      <w:r w:rsidR="00B766AC">
        <w:rPr>
          <w:rFonts w:ascii="Times New Roman" w:hAnsi="Times New Roman" w:cs="Times New Roman"/>
        </w:rPr>
        <w:t>Her ne kadar Gerekçe’de hakimin şüpheliyi dinlemesi sırasında bu usule uygun düştüğü ölçüde duruşmaya ilişkin usul hükümlerinin kıyasen uygulanabileceği belirtilmişse de</w:t>
      </w:r>
      <w:r w:rsidR="00E56069">
        <w:rPr>
          <w:rStyle w:val="FootnoteReference"/>
          <w:rFonts w:ascii="Times New Roman" w:hAnsi="Times New Roman" w:cs="Times New Roman"/>
        </w:rPr>
        <w:footnoteReference w:id="112"/>
      </w:r>
      <w:r w:rsidR="00B766AC">
        <w:rPr>
          <w:rFonts w:ascii="Times New Roman" w:hAnsi="Times New Roman" w:cs="Times New Roman"/>
        </w:rPr>
        <w:t>, gerekçenin bağlayıcı olmadığı dikkate alındığında</w:t>
      </w:r>
      <w:r w:rsidR="0035100F">
        <w:rPr>
          <w:rFonts w:ascii="Times New Roman" w:hAnsi="Times New Roman" w:cs="Times New Roman"/>
        </w:rPr>
        <w:t>,</w:t>
      </w:r>
      <w:r w:rsidR="005A4822">
        <w:rPr>
          <w:rFonts w:ascii="Times New Roman" w:hAnsi="Times New Roman" w:cs="Times New Roman"/>
        </w:rPr>
        <w:t xml:space="preserve"> yalnızca</w:t>
      </w:r>
      <w:r w:rsidR="00B766AC">
        <w:rPr>
          <w:rFonts w:ascii="Times New Roman" w:hAnsi="Times New Roman" w:cs="Times New Roman"/>
        </w:rPr>
        <w:t xml:space="preserve"> bu ifadeden seri muhakeme usulünü</w:t>
      </w:r>
      <w:r w:rsidR="0007382A">
        <w:rPr>
          <w:rFonts w:ascii="Times New Roman" w:hAnsi="Times New Roman" w:cs="Times New Roman"/>
        </w:rPr>
        <w:t>n</w:t>
      </w:r>
      <w:r w:rsidR="00B766AC">
        <w:rPr>
          <w:rFonts w:ascii="Times New Roman" w:hAnsi="Times New Roman" w:cs="Times New Roman"/>
        </w:rPr>
        <w:t xml:space="preserve"> kovuşturma evresinde duruşmalı </w:t>
      </w:r>
      <w:r w:rsidR="0007382A">
        <w:rPr>
          <w:rFonts w:ascii="Times New Roman" w:hAnsi="Times New Roman" w:cs="Times New Roman"/>
        </w:rPr>
        <w:t xml:space="preserve">yürütülen </w:t>
      </w:r>
      <w:r w:rsidR="00B766AC">
        <w:rPr>
          <w:rFonts w:ascii="Times New Roman" w:hAnsi="Times New Roman" w:cs="Times New Roman"/>
        </w:rPr>
        <w:t>bir usul olarak anlaşılacağı sonucuna ulaşmak mümkün değildir</w:t>
      </w:r>
      <w:r w:rsidR="000E207E">
        <w:rPr>
          <w:rStyle w:val="FootnoteReference"/>
          <w:rFonts w:ascii="Times New Roman" w:hAnsi="Times New Roman" w:cs="Times New Roman"/>
        </w:rPr>
        <w:footnoteReference w:id="113"/>
      </w:r>
      <w:r w:rsidR="00B766AC">
        <w:rPr>
          <w:rFonts w:ascii="Times New Roman" w:hAnsi="Times New Roman" w:cs="Times New Roman"/>
        </w:rPr>
        <w:t xml:space="preserve">. </w:t>
      </w:r>
    </w:p>
    <w:p w14:paraId="0B573315" w14:textId="77777777" w:rsidR="005F0418" w:rsidRDefault="005F0418" w:rsidP="00130C7A">
      <w:pPr>
        <w:spacing w:line="360" w:lineRule="auto"/>
        <w:ind w:firstLine="720"/>
        <w:jc w:val="both"/>
        <w:rPr>
          <w:rFonts w:ascii="Times New Roman" w:hAnsi="Times New Roman" w:cs="Times New Roman"/>
        </w:rPr>
      </w:pPr>
    </w:p>
    <w:p w14:paraId="37651A26" w14:textId="550E45DB" w:rsidR="009E6366" w:rsidRDefault="005F0418" w:rsidP="00130C7A">
      <w:pPr>
        <w:spacing w:line="360" w:lineRule="auto"/>
        <w:ind w:firstLine="720"/>
        <w:jc w:val="both"/>
        <w:rPr>
          <w:rFonts w:ascii="Times New Roman" w:hAnsi="Times New Roman" w:cs="Times New Roman"/>
        </w:rPr>
      </w:pPr>
      <w:r>
        <w:rPr>
          <w:rFonts w:ascii="Times New Roman" w:hAnsi="Times New Roman" w:cs="Times New Roman"/>
        </w:rPr>
        <w:t>İkinci farklılık</w:t>
      </w:r>
      <w:r w:rsidR="004A33F9">
        <w:rPr>
          <w:rFonts w:ascii="Times New Roman" w:hAnsi="Times New Roman" w:cs="Times New Roman"/>
        </w:rPr>
        <w:t xml:space="preserve"> mahkemenin </w:t>
      </w:r>
      <w:r w:rsidR="0035100F">
        <w:rPr>
          <w:rFonts w:ascii="Times New Roman" w:hAnsi="Times New Roman" w:cs="Times New Roman"/>
        </w:rPr>
        <w:t xml:space="preserve">yaptırım </w:t>
      </w:r>
      <w:r w:rsidR="004A33F9">
        <w:rPr>
          <w:rFonts w:ascii="Times New Roman" w:hAnsi="Times New Roman" w:cs="Times New Roman"/>
        </w:rPr>
        <w:t>hükmü</w:t>
      </w:r>
      <w:r w:rsidR="0035100F">
        <w:rPr>
          <w:rFonts w:ascii="Times New Roman" w:hAnsi="Times New Roman" w:cs="Times New Roman"/>
        </w:rPr>
        <w:t>nü</w:t>
      </w:r>
      <w:r w:rsidR="004A33F9">
        <w:rPr>
          <w:rFonts w:ascii="Times New Roman" w:hAnsi="Times New Roman" w:cs="Times New Roman"/>
        </w:rPr>
        <w:t xml:space="preserve"> aleni duruşmada vermesi </w:t>
      </w:r>
      <w:r>
        <w:rPr>
          <w:rFonts w:ascii="Times New Roman" w:hAnsi="Times New Roman" w:cs="Times New Roman"/>
        </w:rPr>
        <w:t xml:space="preserve">konusunda </w:t>
      </w:r>
      <w:r w:rsidR="003769C0">
        <w:rPr>
          <w:rFonts w:ascii="Times New Roman" w:hAnsi="Times New Roman" w:cs="Times New Roman"/>
        </w:rPr>
        <w:t xml:space="preserve">ortaya çıkmaktadır. </w:t>
      </w:r>
      <w:r w:rsidR="00A02934">
        <w:rPr>
          <w:rFonts w:ascii="Times New Roman" w:hAnsi="Times New Roman" w:cs="Times New Roman"/>
        </w:rPr>
        <w:t xml:space="preserve">Fransız hukukundaki </w:t>
      </w:r>
      <w:r w:rsidR="009E6366">
        <w:rPr>
          <w:rFonts w:ascii="Times New Roman" w:hAnsi="Times New Roman" w:cs="Times New Roman"/>
        </w:rPr>
        <w:t>us</w:t>
      </w:r>
      <w:r w:rsidR="0030652A">
        <w:rPr>
          <w:rFonts w:ascii="Times New Roman" w:hAnsi="Times New Roman" w:cs="Times New Roman"/>
        </w:rPr>
        <w:t>ul</w:t>
      </w:r>
      <w:r w:rsidR="00A02934">
        <w:rPr>
          <w:rFonts w:ascii="Times New Roman" w:hAnsi="Times New Roman" w:cs="Times New Roman"/>
        </w:rPr>
        <w:t>ün</w:t>
      </w:r>
      <w:r w:rsidR="0030652A">
        <w:rPr>
          <w:rFonts w:ascii="Times New Roman" w:hAnsi="Times New Roman" w:cs="Times New Roman"/>
        </w:rPr>
        <w:t xml:space="preserve"> duruşma açılarak yürütülmesi kabul edilmiş</w:t>
      </w:r>
      <w:r w:rsidR="009E6366">
        <w:rPr>
          <w:rFonts w:ascii="Times New Roman" w:hAnsi="Times New Roman" w:cs="Times New Roman"/>
        </w:rPr>
        <w:t xml:space="preserve">, hatta </w:t>
      </w:r>
      <w:r w:rsidR="00A02934">
        <w:rPr>
          <w:rFonts w:ascii="Times New Roman" w:hAnsi="Times New Roman" w:cs="Times New Roman"/>
        </w:rPr>
        <w:t>Fransız CMK hükmünün</w:t>
      </w:r>
      <w:r w:rsidR="0030652A">
        <w:rPr>
          <w:rFonts w:ascii="Times New Roman" w:hAnsi="Times New Roman" w:cs="Times New Roman"/>
        </w:rPr>
        <w:t xml:space="preserve"> ilk ha</w:t>
      </w:r>
      <w:r w:rsidR="00A02934">
        <w:rPr>
          <w:rFonts w:ascii="Times New Roman" w:hAnsi="Times New Roman" w:cs="Times New Roman"/>
        </w:rPr>
        <w:t xml:space="preserve">linde </w:t>
      </w:r>
      <w:r w:rsidR="00065C53">
        <w:rPr>
          <w:rFonts w:ascii="Times New Roman" w:hAnsi="Times New Roman" w:cs="Times New Roman"/>
        </w:rPr>
        <w:t>dinlemenin mahkeme odasında yapılacağına ilişkin hüküm</w:t>
      </w:r>
      <w:r w:rsidR="005A4822">
        <w:rPr>
          <w:rFonts w:ascii="Times New Roman" w:hAnsi="Times New Roman" w:cs="Times New Roman"/>
        </w:rPr>
        <w:t>,</w:t>
      </w:r>
      <w:r w:rsidR="00065C53">
        <w:rPr>
          <w:rFonts w:ascii="Times New Roman" w:hAnsi="Times New Roman" w:cs="Times New Roman"/>
        </w:rPr>
        <w:t xml:space="preserve"> </w:t>
      </w:r>
      <w:r w:rsidR="009E6366">
        <w:rPr>
          <w:rFonts w:ascii="Times New Roman" w:hAnsi="Times New Roman" w:cs="Times New Roman"/>
        </w:rPr>
        <w:t>kişi hakkında</w:t>
      </w:r>
      <w:r w:rsidR="00A02934">
        <w:rPr>
          <w:rFonts w:ascii="Times New Roman" w:hAnsi="Times New Roman" w:cs="Times New Roman"/>
        </w:rPr>
        <w:t xml:space="preserve"> hürriyeti bağlayıcı bir cezaya hükmedilen bir sürecin</w:t>
      </w:r>
      <w:r w:rsidR="009E6366">
        <w:rPr>
          <w:rFonts w:ascii="Times New Roman" w:hAnsi="Times New Roman" w:cs="Times New Roman"/>
        </w:rPr>
        <w:t xml:space="preserve"> aleni </w:t>
      </w:r>
      <w:r w:rsidR="0030652A">
        <w:rPr>
          <w:rFonts w:ascii="Times New Roman" w:hAnsi="Times New Roman" w:cs="Times New Roman"/>
        </w:rPr>
        <w:t xml:space="preserve">duruşmada </w:t>
      </w:r>
      <w:r w:rsidR="00DE72A9">
        <w:rPr>
          <w:rFonts w:ascii="Times New Roman" w:hAnsi="Times New Roman" w:cs="Times New Roman"/>
        </w:rPr>
        <w:t>yürütülmesi</w:t>
      </w:r>
      <w:r w:rsidR="0030652A">
        <w:rPr>
          <w:rFonts w:ascii="Times New Roman" w:hAnsi="Times New Roman" w:cs="Times New Roman"/>
        </w:rPr>
        <w:t xml:space="preserve"> gerektiği gerekçesiyle</w:t>
      </w:r>
      <w:r w:rsidR="009E6366">
        <w:rPr>
          <w:rFonts w:ascii="Times New Roman" w:hAnsi="Times New Roman" w:cs="Times New Roman"/>
        </w:rPr>
        <w:t xml:space="preserve"> </w:t>
      </w:r>
      <w:r w:rsidR="00065C53">
        <w:rPr>
          <w:rFonts w:ascii="Times New Roman" w:hAnsi="Times New Roman" w:cs="Times New Roman"/>
        </w:rPr>
        <w:t xml:space="preserve">Fransız AYM tarafından </w:t>
      </w:r>
      <w:r w:rsidR="00A02934">
        <w:rPr>
          <w:rFonts w:ascii="Times New Roman" w:hAnsi="Times New Roman" w:cs="Times New Roman"/>
        </w:rPr>
        <w:t>Anayasa</w:t>
      </w:r>
      <w:r w:rsidR="0035100F">
        <w:rPr>
          <w:rFonts w:ascii="Times New Roman" w:hAnsi="Times New Roman" w:cs="Times New Roman"/>
        </w:rPr>
        <w:t>’</w:t>
      </w:r>
      <w:r w:rsidR="00A02934">
        <w:rPr>
          <w:rFonts w:ascii="Times New Roman" w:hAnsi="Times New Roman" w:cs="Times New Roman"/>
        </w:rPr>
        <w:t>ya aykırı</w:t>
      </w:r>
      <w:r w:rsidR="0098586E">
        <w:rPr>
          <w:rFonts w:ascii="Times New Roman" w:hAnsi="Times New Roman" w:cs="Times New Roman"/>
        </w:rPr>
        <w:t xml:space="preserve"> bulunmuştur</w:t>
      </w:r>
      <w:r w:rsidR="00DE72A9">
        <w:rPr>
          <w:rFonts w:ascii="Times New Roman" w:hAnsi="Times New Roman" w:cs="Times New Roman"/>
        </w:rPr>
        <w:t>.</w:t>
      </w:r>
      <w:r w:rsidR="0030652A">
        <w:rPr>
          <w:rFonts w:ascii="Times New Roman" w:hAnsi="Times New Roman" w:cs="Times New Roman"/>
        </w:rPr>
        <w:t xml:space="preserve"> </w:t>
      </w:r>
      <w:r w:rsidR="00065C53">
        <w:rPr>
          <w:rFonts w:ascii="Times New Roman" w:hAnsi="Times New Roman" w:cs="Times New Roman"/>
        </w:rPr>
        <w:t>Bu doğrultuda</w:t>
      </w:r>
      <w:r w:rsidR="00A02934">
        <w:rPr>
          <w:rFonts w:ascii="Times New Roman" w:hAnsi="Times New Roman" w:cs="Times New Roman"/>
        </w:rPr>
        <w:t xml:space="preserve"> kanun metni</w:t>
      </w:r>
      <w:r w:rsidR="0030652A">
        <w:rPr>
          <w:rFonts w:ascii="Times New Roman" w:hAnsi="Times New Roman" w:cs="Times New Roman"/>
        </w:rPr>
        <w:t xml:space="preserve"> </w:t>
      </w:r>
      <w:r w:rsidR="00065C53">
        <w:rPr>
          <w:rFonts w:ascii="Times New Roman" w:hAnsi="Times New Roman" w:cs="Times New Roman"/>
        </w:rPr>
        <w:t>dinlemenin “aleni duruşmada”</w:t>
      </w:r>
      <w:r w:rsidR="00DE57BA">
        <w:rPr>
          <w:rFonts w:ascii="Times New Roman" w:hAnsi="Times New Roman" w:cs="Times New Roman"/>
        </w:rPr>
        <w:t xml:space="preserve"> yapılacağı şeklinde </w:t>
      </w:r>
      <w:r w:rsidR="0030652A">
        <w:rPr>
          <w:rFonts w:ascii="Times New Roman" w:hAnsi="Times New Roman" w:cs="Times New Roman"/>
        </w:rPr>
        <w:t>değiştiril</w:t>
      </w:r>
      <w:r w:rsidR="00F42D27">
        <w:rPr>
          <w:rFonts w:ascii="Times New Roman" w:hAnsi="Times New Roman" w:cs="Times New Roman"/>
        </w:rPr>
        <w:t xml:space="preserve">miştir. </w:t>
      </w:r>
      <w:r w:rsidR="00852459">
        <w:rPr>
          <w:rFonts w:ascii="Times New Roman" w:hAnsi="Times New Roman" w:cs="Times New Roman"/>
        </w:rPr>
        <w:t xml:space="preserve">Seri muhakeme usulünde </w:t>
      </w:r>
      <w:r w:rsidR="009D0F29">
        <w:rPr>
          <w:rFonts w:ascii="Times New Roman" w:hAnsi="Times New Roman" w:cs="Times New Roman"/>
        </w:rPr>
        <w:t xml:space="preserve">ise </w:t>
      </w:r>
      <w:r w:rsidR="00852459">
        <w:rPr>
          <w:rFonts w:ascii="Times New Roman" w:hAnsi="Times New Roman" w:cs="Times New Roman"/>
        </w:rPr>
        <w:t>mahkeme</w:t>
      </w:r>
      <w:r w:rsidR="005A4822">
        <w:rPr>
          <w:rFonts w:ascii="Times New Roman" w:hAnsi="Times New Roman" w:cs="Times New Roman"/>
        </w:rPr>
        <w:t>nin</w:t>
      </w:r>
      <w:r w:rsidR="00852459">
        <w:rPr>
          <w:rFonts w:ascii="Times New Roman" w:hAnsi="Times New Roman" w:cs="Times New Roman"/>
        </w:rPr>
        <w:t xml:space="preserve"> incelemesi sonucunda savcının belirlediği </w:t>
      </w:r>
      <w:r w:rsidR="00065C53">
        <w:rPr>
          <w:rFonts w:ascii="Times New Roman" w:hAnsi="Times New Roman" w:cs="Times New Roman"/>
        </w:rPr>
        <w:t>ceza</w:t>
      </w:r>
      <w:r w:rsidR="00852459">
        <w:rPr>
          <w:rFonts w:ascii="Times New Roman" w:hAnsi="Times New Roman" w:cs="Times New Roman"/>
        </w:rPr>
        <w:t xml:space="preserve"> doğrultusunda hürriyeti bağlayıcı </w:t>
      </w:r>
      <w:r w:rsidR="009D0F29">
        <w:rPr>
          <w:rFonts w:ascii="Times New Roman" w:hAnsi="Times New Roman" w:cs="Times New Roman"/>
        </w:rPr>
        <w:t>bir yaptırıma hükmed</w:t>
      </w:r>
      <w:r w:rsidR="009554B1">
        <w:rPr>
          <w:rFonts w:ascii="Times New Roman" w:hAnsi="Times New Roman" w:cs="Times New Roman"/>
        </w:rPr>
        <w:t>il</w:t>
      </w:r>
      <w:r w:rsidR="009D0F29">
        <w:rPr>
          <w:rFonts w:ascii="Times New Roman" w:hAnsi="Times New Roman" w:cs="Times New Roman"/>
        </w:rPr>
        <w:t>ebilmekte, ancak</w:t>
      </w:r>
      <w:r w:rsidR="00852459">
        <w:rPr>
          <w:rFonts w:ascii="Times New Roman" w:hAnsi="Times New Roman" w:cs="Times New Roman"/>
        </w:rPr>
        <w:t xml:space="preserve"> bu hükmün </w:t>
      </w:r>
      <w:r w:rsidR="00DE72A9">
        <w:rPr>
          <w:rFonts w:ascii="Times New Roman" w:hAnsi="Times New Roman" w:cs="Times New Roman"/>
        </w:rPr>
        <w:t xml:space="preserve">aleni </w:t>
      </w:r>
      <w:r w:rsidR="00852459">
        <w:rPr>
          <w:rFonts w:ascii="Times New Roman" w:hAnsi="Times New Roman" w:cs="Times New Roman"/>
        </w:rPr>
        <w:t xml:space="preserve">duruşmada verileceği kanunda düzenlenmemektedir. </w:t>
      </w:r>
      <w:r w:rsidR="002939F3">
        <w:rPr>
          <w:rFonts w:ascii="Times New Roman" w:hAnsi="Times New Roman" w:cs="Times New Roman"/>
        </w:rPr>
        <w:t>Bu yönüyle</w:t>
      </w:r>
      <w:r w:rsidR="009D0F29">
        <w:rPr>
          <w:rFonts w:ascii="Times New Roman" w:hAnsi="Times New Roman" w:cs="Times New Roman"/>
        </w:rPr>
        <w:t xml:space="preserve"> kurum</w:t>
      </w:r>
      <w:r w:rsidR="002939F3">
        <w:rPr>
          <w:rFonts w:ascii="Times New Roman" w:hAnsi="Times New Roman" w:cs="Times New Roman"/>
        </w:rPr>
        <w:t xml:space="preserve"> </w:t>
      </w:r>
      <w:r w:rsidR="0035100F">
        <w:rPr>
          <w:rFonts w:ascii="Times New Roman" w:hAnsi="Times New Roman" w:cs="Times New Roman"/>
        </w:rPr>
        <w:t xml:space="preserve">esasında </w:t>
      </w:r>
      <w:r w:rsidR="002939F3">
        <w:rPr>
          <w:rFonts w:ascii="Times New Roman" w:hAnsi="Times New Roman" w:cs="Times New Roman"/>
        </w:rPr>
        <w:t xml:space="preserve">1412 sayılı mülga Ceza Muhakemeleri Usulü Kanunu’nda (m. 386-391) yer verilen sulh ceza hakiminin ceza kararnamesi uygulamasına benzer </w:t>
      </w:r>
      <w:r w:rsidR="0004293D">
        <w:rPr>
          <w:rFonts w:ascii="Times New Roman" w:hAnsi="Times New Roman" w:cs="Times New Roman"/>
        </w:rPr>
        <w:t>özellik</w:t>
      </w:r>
      <w:r w:rsidR="002939F3">
        <w:rPr>
          <w:rFonts w:ascii="Times New Roman" w:hAnsi="Times New Roman" w:cs="Times New Roman"/>
        </w:rPr>
        <w:t xml:space="preserve"> göstermekt</w:t>
      </w:r>
      <w:r w:rsidR="009D0F29">
        <w:rPr>
          <w:rFonts w:ascii="Times New Roman" w:hAnsi="Times New Roman" w:cs="Times New Roman"/>
        </w:rPr>
        <w:t>edir</w:t>
      </w:r>
      <w:r w:rsidR="002939F3">
        <w:rPr>
          <w:rStyle w:val="FootnoteReference"/>
          <w:rFonts w:ascii="Times New Roman" w:hAnsi="Times New Roman" w:cs="Times New Roman"/>
        </w:rPr>
        <w:footnoteReference w:id="114"/>
      </w:r>
      <w:r w:rsidR="009D0F29">
        <w:rPr>
          <w:rFonts w:ascii="Times New Roman" w:hAnsi="Times New Roman" w:cs="Times New Roman"/>
        </w:rPr>
        <w:t>.</w:t>
      </w:r>
      <w:r w:rsidR="002939F3">
        <w:rPr>
          <w:rFonts w:ascii="Times New Roman" w:hAnsi="Times New Roman" w:cs="Times New Roman"/>
        </w:rPr>
        <w:t xml:space="preserve"> </w:t>
      </w:r>
      <w:r w:rsidR="009D0F29">
        <w:rPr>
          <w:rFonts w:ascii="Times New Roman" w:hAnsi="Times New Roman" w:cs="Times New Roman"/>
        </w:rPr>
        <w:t xml:space="preserve">Duruşmasız bir usul olan ve hürriyeti bağlayıcı bir cezaya hükmedilebilen ceza kararnamesi usulüne </w:t>
      </w:r>
      <w:r w:rsidR="00852459">
        <w:rPr>
          <w:rFonts w:ascii="Times New Roman" w:hAnsi="Times New Roman" w:cs="Times New Roman"/>
        </w:rPr>
        <w:t xml:space="preserve">ilişkin AYM’nin yaklaşımı, bu konuda Fransız </w:t>
      </w:r>
      <w:r w:rsidR="00A72D18">
        <w:rPr>
          <w:rFonts w:ascii="Times New Roman" w:hAnsi="Times New Roman" w:cs="Times New Roman"/>
        </w:rPr>
        <w:t>AYM’den</w:t>
      </w:r>
      <w:r w:rsidR="00852459">
        <w:rPr>
          <w:rFonts w:ascii="Times New Roman" w:hAnsi="Times New Roman" w:cs="Times New Roman"/>
        </w:rPr>
        <w:t xml:space="preserve"> ayrılan bir bakış açısı ortaya koymaktadır. AYM </w:t>
      </w:r>
      <w:r w:rsidR="00F22F4E">
        <w:rPr>
          <w:rFonts w:ascii="Times New Roman" w:hAnsi="Times New Roman" w:cs="Times New Roman"/>
        </w:rPr>
        <w:t xml:space="preserve">bu konuda </w:t>
      </w:r>
      <w:r w:rsidR="00065C53">
        <w:rPr>
          <w:rFonts w:ascii="Times New Roman" w:hAnsi="Times New Roman" w:cs="Times New Roman"/>
        </w:rPr>
        <w:t>2004 yılında verdiği</w:t>
      </w:r>
      <w:r w:rsidR="009D0F29">
        <w:rPr>
          <w:rFonts w:ascii="Times New Roman" w:hAnsi="Times New Roman" w:cs="Times New Roman"/>
        </w:rPr>
        <w:t xml:space="preserve"> kararında </w:t>
      </w:r>
      <w:r w:rsidR="0004293D">
        <w:rPr>
          <w:rFonts w:ascii="Times New Roman" w:hAnsi="Times New Roman" w:cs="Times New Roman"/>
        </w:rPr>
        <w:t xml:space="preserve">ceza kararnamesi usulünde </w:t>
      </w:r>
      <w:r w:rsidR="009D0F29">
        <w:rPr>
          <w:rFonts w:ascii="Times New Roman" w:hAnsi="Times New Roman" w:cs="Times New Roman"/>
        </w:rPr>
        <w:t xml:space="preserve">basit suçlarla ilgili olarak </w:t>
      </w:r>
      <w:r w:rsidR="0004293D">
        <w:rPr>
          <w:rFonts w:ascii="Times New Roman" w:hAnsi="Times New Roman" w:cs="Times New Roman"/>
        </w:rPr>
        <w:t xml:space="preserve">aleni duruşma yapılmaksızın </w:t>
      </w:r>
      <w:r w:rsidR="001C1940">
        <w:rPr>
          <w:rFonts w:ascii="Times New Roman" w:hAnsi="Times New Roman" w:cs="Times New Roman"/>
        </w:rPr>
        <w:t>hük</w:t>
      </w:r>
      <w:r w:rsidR="009D0F29">
        <w:rPr>
          <w:rFonts w:ascii="Times New Roman" w:hAnsi="Times New Roman" w:cs="Times New Roman"/>
        </w:rPr>
        <w:t>üm verilebilmesinin</w:t>
      </w:r>
      <w:r w:rsidR="0004293D">
        <w:rPr>
          <w:rFonts w:ascii="Times New Roman" w:hAnsi="Times New Roman" w:cs="Times New Roman"/>
        </w:rPr>
        <w:t xml:space="preserve"> Anayasa’ya aykırı olmadığı</w:t>
      </w:r>
      <w:r w:rsidR="00852459">
        <w:rPr>
          <w:rFonts w:ascii="Times New Roman" w:hAnsi="Times New Roman" w:cs="Times New Roman"/>
        </w:rPr>
        <w:t>nı kabul et</w:t>
      </w:r>
      <w:r w:rsidR="0004293D">
        <w:rPr>
          <w:rFonts w:ascii="Times New Roman" w:hAnsi="Times New Roman" w:cs="Times New Roman"/>
        </w:rPr>
        <w:t>miş, önemli olanın maddi gerçeğin araştırılma</w:t>
      </w:r>
      <w:r w:rsidR="00947BC2">
        <w:rPr>
          <w:rFonts w:ascii="Times New Roman" w:hAnsi="Times New Roman" w:cs="Times New Roman"/>
        </w:rPr>
        <w:t>sına engel olunmaması</w:t>
      </w:r>
      <w:r w:rsidR="00852459">
        <w:rPr>
          <w:rFonts w:ascii="Times New Roman" w:hAnsi="Times New Roman" w:cs="Times New Roman"/>
        </w:rPr>
        <w:t xml:space="preserve"> olduğunu </w:t>
      </w:r>
      <w:r w:rsidR="0004293D">
        <w:rPr>
          <w:rFonts w:ascii="Times New Roman" w:hAnsi="Times New Roman" w:cs="Times New Roman"/>
        </w:rPr>
        <w:t>vur</w:t>
      </w:r>
      <w:r w:rsidR="00852459">
        <w:rPr>
          <w:rFonts w:ascii="Times New Roman" w:hAnsi="Times New Roman" w:cs="Times New Roman"/>
        </w:rPr>
        <w:t>gula</w:t>
      </w:r>
      <w:r w:rsidR="0004293D">
        <w:rPr>
          <w:rFonts w:ascii="Times New Roman" w:hAnsi="Times New Roman" w:cs="Times New Roman"/>
        </w:rPr>
        <w:t>mıştır</w:t>
      </w:r>
      <w:r w:rsidR="0004293D">
        <w:rPr>
          <w:rStyle w:val="FootnoteReference"/>
          <w:rFonts w:ascii="Times New Roman" w:hAnsi="Times New Roman" w:cs="Times New Roman"/>
        </w:rPr>
        <w:footnoteReference w:id="115"/>
      </w:r>
      <w:r w:rsidR="0004293D">
        <w:rPr>
          <w:rFonts w:ascii="Times New Roman" w:hAnsi="Times New Roman" w:cs="Times New Roman"/>
        </w:rPr>
        <w:t xml:space="preserve">. </w:t>
      </w:r>
      <w:r w:rsidR="00065C53">
        <w:rPr>
          <w:rFonts w:ascii="Times New Roman" w:hAnsi="Times New Roman" w:cs="Times New Roman"/>
        </w:rPr>
        <w:t>Bu ne</w:t>
      </w:r>
      <w:r w:rsidR="007713AD">
        <w:rPr>
          <w:rFonts w:ascii="Times New Roman" w:hAnsi="Times New Roman" w:cs="Times New Roman"/>
        </w:rPr>
        <w:t xml:space="preserve">denle </w:t>
      </w:r>
      <w:r w:rsidR="00D3074E">
        <w:rPr>
          <w:rFonts w:ascii="Times New Roman" w:hAnsi="Times New Roman" w:cs="Times New Roman"/>
        </w:rPr>
        <w:t xml:space="preserve">olağan muhakeme usulünün dışında kalan alternatif usullerde aleni duruşmaya yer verilmesi konusunda </w:t>
      </w:r>
      <w:r w:rsidR="007713AD">
        <w:rPr>
          <w:rFonts w:ascii="Times New Roman" w:hAnsi="Times New Roman" w:cs="Times New Roman"/>
        </w:rPr>
        <w:t>Türk hukuku</w:t>
      </w:r>
      <w:r w:rsidR="00D3074E">
        <w:rPr>
          <w:rFonts w:ascii="Times New Roman" w:hAnsi="Times New Roman" w:cs="Times New Roman"/>
        </w:rPr>
        <w:t xml:space="preserve"> ile Fransız hukuku arasında</w:t>
      </w:r>
      <w:r w:rsidR="00065C53">
        <w:rPr>
          <w:rFonts w:ascii="Times New Roman" w:hAnsi="Times New Roman" w:cs="Times New Roman"/>
        </w:rPr>
        <w:t xml:space="preserve"> yaklaşım farklılığının olduğu ifade edilebilecektir. </w:t>
      </w:r>
    </w:p>
    <w:p w14:paraId="34E6049E" w14:textId="77777777" w:rsidR="009A4661" w:rsidRDefault="009A4661" w:rsidP="00130C7A">
      <w:pPr>
        <w:spacing w:line="360" w:lineRule="auto"/>
        <w:ind w:firstLine="720"/>
        <w:jc w:val="both"/>
        <w:rPr>
          <w:rFonts w:ascii="Times New Roman" w:hAnsi="Times New Roman" w:cs="Times New Roman"/>
        </w:rPr>
      </w:pPr>
    </w:p>
    <w:p w14:paraId="774C0367" w14:textId="5DBBCA76" w:rsidR="009A4661" w:rsidRDefault="00EC55A5" w:rsidP="00F02306">
      <w:pPr>
        <w:spacing w:line="360" w:lineRule="auto"/>
        <w:ind w:firstLine="720"/>
        <w:jc w:val="both"/>
        <w:rPr>
          <w:rFonts w:ascii="Times New Roman" w:hAnsi="Times New Roman" w:cs="Times New Roman"/>
        </w:rPr>
      </w:pPr>
      <w:r>
        <w:rPr>
          <w:rFonts w:ascii="Times New Roman" w:hAnsi="Times New Roman" w:cs="Times New Roman"/>
        </w:rPr>
        <w:t>S</w:t>
      </w:r>
      <w:r w:rsidR="009A4661">
        <w:rPr>
          <w:rFonts w:ascii="Times New Roman" w:hAnsi="Times New Roman" w:cs="Times New Roman"/>
        </w:rPr>
        <w:t xml:space="preserve">eri muhakeme usulünde mahkeme önündeki sürece mağdurun katılmasının mümkün olup olmadığına ilişkin </w:t>
      </w:r>
      <w:r w:rsidR="00F02306">
        <w:rPr>
          <w:rFonts w:ascii="Times New Roman" w:hAnsi="Times New Roman" w:cs="Times New Roman"/>
        </w:rPr>
        <w:t xml:space="preserve">düzenlemeye </w:t>
      </w:r>
      <w:r w:rsidR="00CB4354">
        <w:rPr>
          <w:rFonts w:ascii="Times New Roman" w:hAnsi="Times New Roman" w:cs="Times New Roman"/>
        </w:rPr>
        <w:t xml:space="preserve">de </w:t>
      </w:r>
      <w:r w:rsidR="00F02306">
        <w:rPr>
          <w:rFonts w:ascii="Times New Roman" w:hAnsi="Times New Roman" w:cs="Times New Roman"/>
        </w:rPr>
        <w:t>yer veril</w:t>
      </w:r>
      <w:r w:rsidR="007809EF">
        <w:rPr>
          <w:rFonts w:ascii="Times New Roman" w:hAnsi="Times New Roman" w:cs="Times New Roman"/>
        </w:rPr>
        <w:t>me</w:t>
      </w:r>
      <w:r w:rsidR="009A4661">
        <w:rPr>
          <w:rFonts w:ascii="Times New Roman" w:hAnsi="Times New Roman" w:cs="Times New Roman"/>
        </w:rPr>
        <w:t>miş</w:t>
      </w:r>
      <w:r w:rsidR="00F02306">
        <w:rPr>
          <w:rFonts w:ascii="Times New Roman" w:hAnsi="Times New Roman" w:cs="Times New Roman"/>
        </w:rPr>
        <w:t xml:space="preserve">, </w:t>
      </w:r>
      <w:r w:rsidR="009A4661">
        <w:rPr>
          <w:rFonts w:ascii="Times New Roman" w:hAnsi="Times New Roman" w:cs="Times New Roman"/>
        </w:rPr>
        <w:t>mağdurun seri usuldeki konumu ve katılma imkanı</w:t>
      </w:r>
      <w:r>
        <w:rPr>
          <w:rFonts w:ascii="Times New Roman" w:hAnsi="Times New Roman" w:cs="Times New Roman"/>
        </w:rPr>
        <w:t>na ilişkin hükümler bakımından da</w:t>
      </w:r>
      <w:r w:rsidR="00F933B7">
        <w:rPr>
          <w:rFonts w:ascii="Times New Roman" w:hAnsi="Times New Roman" w:cs="Times New Roman"/>
        </w:rPr>
        <w:t xml:space="preserve"> bu usul </w:t>
      </w:r>
      <w:r>
        <w:rPr>
          <w:rFonts w:ascii="Times New Roman" w:hAnsi="Times New Roman" w:cs="Times New Roman"/>
        </w:rPr>
        <w:t xml:space="preserve">Fransız hukukundan ayrılmıştır. </w:t>
      </w:r>
      <w:r w:rsidR="00CB4354">
        <w:rPr>
          <w:rFonts w:ascii="Times New Roman" w:hAnsi="Times New Roman" w:cs="Times New Roman"/>
        </w:rPr>
        <w:t xml:space="preserve">Fransız hukukunda mağdurun belirli olması halinde duruşma tarihinin tebliğ edileceği ve dilerse duruşmaya katılabileceği veya Fransız hukukunda tanınan şahsi dava hakkını kullanabileceği açıkça düzenlenmiştir (Fransız CMK m. 495-13, f. 1). Seri muhakeme usulünde ise mağdurlarla ilgili olarak </w:t>
      </w:r>
      <w:r w:rsidR="00F02306">
        <w:rPr>
          <w:rFonts w:ascii="Times New Roman" w:hAnsi="Times New Roman" w:cs="Times New Roman"/>
        </w:rPr>
        <w:t>CMK’de talepnamede mağdur veya suçtan zarar görenlerin kimliklerine yer verileceği belirtilmiş</w:t>
      </w:r>
      <w:r w:rsidR="007A2454">
        <w:rPr>
          <w:rFonts w:ascii="Times New Roman" w:hAnsi="Times New Roman" w:cs="Times New Roman"/>
        </w:rPr>
        <w:t xml:space="preserve"> (CMK m. 250/8-b)</w:t>
      </w:r>
      <w:r w:rsidR="00F02306">
        <w:rPr>
          <w:rFonts w:ascii="Times New Roman" w:hAnsi="Times New Roman" w:cs="Times New Roman"/>
        </w:rPr>
        <w:t>, Yönetmelik’te ise seri usul sonunda verilen hükmün mağdur ve suçtan zarar görenlere veya katılma hakkını kullanabilecek kişilere tebliğ edileceği öngörülmüşt</w:t>
      </w:r>
      <w:r w:rsidR="004E3BC5">
        <w:rPr>
          <w:rFonts w:ascii="Times New Roman" w:hAnsi="Times New Roman" w:cs="Times New Roman"/>
        </w:rPr>
        <w:t>ür (Yönetmelik m. 14/2</w:t>
      </w:r>
      <w:r w:rsidR="00F02306">
        <w:rPr>
          <w:rFonts w:ascii="Times New Roman" w:hAnsi="Times New Roman" w:cs="Times New Roman"/>
        </w:rPr>
        <w:t xml:space="preserve">). </w:t>
      </w:r>
      <w:r w:rsidR="00CB4354">
        <w:rPr>
          <w:rFonts w:ascii="Times New Roman" w:hAnsi="Times New Roman" w:cs="Times New Roman"/>
        </w:rPr>
        <w:t xml:space="preserve">Seri muhakeme usulü kapsamındaki suçların genellikle şahısların mağdur olduğu suçlardan oluşmadığı tespit edilmekteyse de hakkı olmayan yere tecavüz (TCK m. 154/ 2, 3) suçu gibi mağdurun belirli bir şahıs olabildiği suç tipleri bakımından bu şahısların zararının giderilebilmesi ve katılma hakkını kullanabilmesine ilişkin olarak ayrı düzenleme ve açıklık bulunmadığı görülmektedir. </w:t>
      </w:r>
      <w:r w:rsidR="00765DB8">
        <w:rPr>
          <w:rFonts w:ascii="Times New Roman" w:hAnsi="Times New Roman" w:cs="Times New Roman"/>
        </w:rPr>
        <w:t>Her ne kadar</w:t>
      </w:r>
      <w:r w:rsidR="005D6301">
        <w:rPr>
          <w:rFonts w:ascii="Times New Roman" w:hAnsi="Times New Roman" w:cs="Times New Roman"/>
        </w:rPr>
        <w:t>,</w:t>
      </w:r>
      <w:r w:rsidR="00765DB8">
        <w:rPr>
          <w:rFonts w:ascii="Times New Roman" w:hAnsi="Times New Roman" w:cs="Times New Roman"/>
        </w:rPr>
        <w:t xml:space="preserve"> </w:t>
      </w:r>
      <w:r w:rsidR="005D6301">
        <w:rPr>
          <w:rFonts w:ascii="Times New Roman" w:hAnsi="Times New Roman" w:cs="Times New Roman"/>
        </w:rPr>
        <w:t xml:space="preserve">yukarıda </w:t>
      </w:r>
      <w:r w:rsidR="00765DB8">
        <w:rPr>
          <w:rFonts w:ascii="Times New Roman" w:hAnsi="Times New Roman" w:cs="Times New Roman"/>
        </w:rPr>
        <w:t>değinildiği gibi, Fransız hukukunda mağdurun konumu ve ceza yargılaması sürecine dahil olma imkanları Türk hukukundan yapısal olarak farklı olsa da, olağan usulün dışın</w:t>
      </w:r>
      <w:r w:rsidR="007809EF">
        <w:rPr>
          <w:rFonts w:ascii="Times New Roman" w:hAnsi="Times New Roman" w:cs="Times New Roman"/>
        </w:rPr>
        <w:t>a çıkan</w:t>
      </w:r>
      <w:r w:rsidR="00765DB8">
        <w:rPr>
          <w:rFonts w:ascii="Times New Roman" w:hAnsi="Times New Roman" w:cs="Times New Roman"/>
        </w:rPr>
        <w:t xml:space="preserve"> bir muhakeme usulünde </w:t>
      </w:r>
      <w:r w:rsidR="004E3BC5">
        <w:rPr>
          <w:rFonts w:ascii="Times New Roman" w:hAnsi="Times New Roman" w:cs="Times New Roman"/>
        </w:rPr>
        <w:t xml:space="preserve">mağdurun bu usule nasıl dahil edileceğinin </w:t>
      </w:r>
      <w:r w:rsidR="007809EF">
        <w:rPr>
          <w:rFonts w:ascii="Times New Roman" w:hAnsi="Times New Roman" w:cs="Times New Roman"/>
        </w:rPr>
        <w:t xml:space="preserve">kendi yapısal özelliklerine uygun şekilde </w:t>
      </w:r>
      <w:r w:rsidR="00A26F25">
        <w:rPr>
          <w:rFonts w:ascii="Times New Roman" w:hAnsi="Times New Roman" w:cs="Times New Roman"/>
        </w:rPr>
        <w:t>ayrıca gözetilmemesi bir eksiklik olarak görülebilecektir</w:t>
      </w:r>
      <w:r w:rsidR="004B1C4E">
        <w:rPr>
          <w:rStyle w:val="FootnoteReference"/>
          <w:rFonts w:ascii="Times New Roman" w:hAnsi="Times New Roman" w:cs="Times New Roman"/>
        </w:rPr>
        <w:footnoteReference w:id="116"/>
      </w:r>
      <w:r w:rsidR="00A26F25">
        <w:rPr>
          <w:rFonts w:ascii="Times New Roman" w:hAnsi="Times New Roman" w:cs="Times New Roman"/>
        </w:rPr>
        <w:t xml:space="preserve">.  </w:t>
      </w:r>
    </w:p>
    <w:p w14:paraId="3762B3C8" w14:textId="77777777" w:rsidR="009E6366" w:rsidRDefault="009E6366" w:rsidP="002104A2">
      <w:pPr>
        <w:spacing w:line="360" w:lineRule="auto"/>
        <w:jc w:val="both"/>
        <w:rPr>
          <w:rFonts w:ascii="Times New Roman" w:hAnsi="Times New Roman" w:cs="Times New Roman"/>
        </w:rPr>
      </w:pPr>
    </w:p>
    <w:p w14:paraId="38BAB40C" w14:textId="01ABCA25" w:rsidR="00BD7673" w:rsidRDefault="005D4B0D" w:rsidP="00C30641">
      <w:pPr>
        <w:spacing w:line="360" w:lineRule="auto"/>
        <w:ind w:firstLine="720"/>
        <w:jc w:val="both"/>
        <w:rPr>
          <w:rFonts w:ascii="Times New Roman" w:hAnsi="Times New Roman" w:cs="Times New Roman"/>
        </w:rPr>
      </w:pPr>
      <w:r>
        <w:rPr>
          <w:rFonts w:ascii="Times New Roman" w:hAnsi="Times New Roman" w:cs="Times New Roman"/>
        </w:rPr>
        <w:t>Mahkeme</w:t>
      </w:r>
      <w:r w:rsidR="007000D8">
        <w:rPr>
          <w:rFonts w:ascii="Times New Roman" w:hAnsi="Times New Roman" w:cs="Times New Roman"/>
        </w:rPr>
        <w:t xml:space="preserve"> </w:t>
      </w:r>
      <w:r>
        <w:rPr>
          <w:rFonts w:ascii="Times New Roman" w:hAnsi="Times New Roman" w:cs="Times New Roman"/>
        </w:rPr>
        <w:t xml:space="preserve">dinlemeyi gerçekleştirdikten sonra </w:t>
      </w:r>
      <w:r w:rsidR="004A116E">
        <w:rPr>
          <w:rFonts w:ascii="Times New Roman" w:hAnsi="Times New Roman" w:cs="Times New Roman"/>
        </w:rPr>
        <w:t>seri muhakeme usulünün koşullarının oluşup oluşmadığını de</w:t>
      </w:r>
      <w:r w:rsidR="009E6366">
        <w:rPr>
          <w:rFonts w:ascii="Times New Roman" w:hAnsi="Times New Roman" w:cs="Times New Roman"/>
        </w:rPr>
        <w:t>netleyerek de</w:t>
      </w:r>
      <w:r w:rsidR="004A116E">
        <w:rPr>
          <w:rFonts w:ascii="Times New Roman" w:hAnsi="Times New Roman" w:cs="Times New Roman"/>
        </w:rPr>
        <w:t>ğerlendirir. Bu kapsamda hakim şüphelinin bilgilendirilip bilgilendirilmediğini, teklifin müdafi huzurunda kabul edilip edilmediğini, bu usulün</w:t>
      </w:r>
      <w:r w:rsidR="00853B11">
        <w:rPr>
          <w:rFonts w:ascii="Times New Roman" w:hAnsi="Times New Roman" w:cs="Times New Roman"/>
        </w:rPr>
        <w:t xml:space="preserve"> uygulama alanındaki suçlardan birinin </w:t>
      </w:r>
      <w:r w:rsidR="009E6366">
        <w:rPr>
          <w:rFonts w:ascii="Times New Roman" w:hAnsi="Times New Roman" w:cs="Times New Roman"/>
        </w:rPr>
        <w:t xml:space="preserve">söz konusu </w:t>
      </w:r>
      <w:r w:rsidR="00853B11">
        <w:rPr>
          <w:rFonts w:ascii="Times New Roman" w:hAnsi="Times New Roman" w:cs="Times New Roman"/>
        </w:rPr>
        <w:t>olup olmadığını</w:t>
      </w:r>
      <w:r w:rsidR="004A116E">
        <w:rPr>
          <w:rFonts w:ascii="Times New Roman" w:hAnsi="Times New Roman" w:cs="Times New Roman"/>
        </w:rPr>
        <w:t xml:space="preserve"> </w:t>
      </w:r>
      <w:r w:rsidR="007000D8">
        <w:rPr>
          <w:rFonts w:ascii="Times New Roman" w:hAnsi="Times New Roman" w:cs="Times New Roman"/>
        </w:rPr>
        <w:t>denetleyecektir</w:t>
      </w:r>
      <w:r w:rsidR="00544AA7">
        <w:rPr>
          <w:rFonts w:ascii="Times New Roman" w:hAnsi="Times New Roman" w:cs="Times New Roman"/>
        </w:rPr>
        <w:t>.</w:t>
      </w:r>
      <w:r w:rsidR="009A0BE5">
        <w:rPr>
          <w:rFonts w:ascii="Times New Roman" w:hAnsi="Times New Roman" w:cs="Times New Roman"/>
        </w:rPr>
        <w:t xml:space="preserve"> </w:t>
      </w:r>
      <w:r w:rsidR="009E6366">
        <w:rPr>
          <w:rFonts w:ascii="Times New Roman" w:hAnsi="Times New Roman" w:cs="Times New Roman"/>
        </w:rPr>
        <w:t xml:space="preserve">Burada hakimin </w:t>
      </w:r>
      <w:r w:rsidR="00A26F25">
        <w:rPr>
          <w:rFonts w:ascii="Times New Roman" w:hAnsi="Times New Roman" w:cs="Times New Roman"/>
        </w:rPr>
        <w:t>savcılığın talepnamesini</w:t>
      </w:r>
      <w:r w:rsidR="009E6366">
        <w:rPr>
          <w:rFonts w:ascii="Times New Roman" w:hAnsi="Times New Roman" w:cs="Times New Roman"/>
        </w:rPr>
        <w:t xml:space="preserve"> hükme bağlaması için değerlendireceği üç husus </w:t>
      </w:r>
      <w:r>
        <w:rPr>
          <w:rFonts w:ascii="Times New Roman" w:hAnsi="Times New Roman" w:cs="Times New Roman"/>
        </w:rPr>
        <w:t>belirlenmiştir.</w:t>
      </w:r>
      <w:r w:rsidR="009E6366">
        <w:rPr>
          <w:rFonts w:ascii="Times New Roman" w:hAnsi="Times New Roman" w:cs="Times New Roman"/>
        </w:rPr>
        <w:t xml:space="preserve"> Bunlar eylemin seri muhakeme usulü kapsamında </w:t>
      </w:r>
      <w:r w:rsidR="00213AD5">
        <w:rPr>
          <w:rFonts w:ascii="Times New Roman" w:hAnsi="Times New Roman" w:cs="Times New Roman"/>
        </w:rPr>
        <w:t>olması</w:t>
      </w:r>
      <w:r w:rsidR="009E6366">
        <w:rPr>
          <w:rFonts w:ascii="Times New Roman" w:hAnsi="Times New Roman" w:cs="Times New Roman"/>
        </w:rPr>
        <w:t>, bu usulün uygulanmasının kanuna uygun olarak teklif edilmiş olması ve teklifin şüphelinin müdafii huzurunda özgür ira</w:t>
      </w:r>
      <w:r w:rsidR="00C16179">
        <w:rPr>
          <w:rFonts w:ascii="Times New Roman" w:hAnsi="Times New Roman" w:cs="Times New Roman"/>
        </w:rPr>
        <w:t>desiyle kab</w:t>
      </w:r>
      <w:r w:rsidR="00996A7B">
        <w:rPr>
          <w:rFonts w:ascii="Times New Roman" w:hAnsi="Times New Roman" w:cs="Times New Roman"/>
        </w:rPr>
        <w:t>ul edil</w:t>
      </w:r>
      <w:r w:rsidR="00C16179">
        <w:rPr>
          <w:rFonts w:ascii="Times New Roman" w:hAnsi="Times New Roman" w:cs="Times New Roman"/>
        </w:rPr>
        <w:t>miş olmasıdır (</w:t>
      </w:r>
      <w:r w:rsidR="009E6366">
        <w:rPr>
          <w:rFonts w:ascii="Times New Roman" w:hAnsi="Times New Roman" w:cs="Times New Roman"/>
        </w:rPr>
        <w:t>CM</w:t>
      </w:r>
      <w:r w:rsidR="00C16179">
        <w:rPr>
          <w:rFonts w:ascii="Times New Roman" w:hAnsi="Times New Roman" w:cs="Times New Roman"/>
        </w:rPr>
        <w:t>K m. 250/9, Yönetmelik m. 13/4,</w:t>
      </w:r>
      <w:r w:rsidR="009E6366">
        <w:rPr>
          <w:rFonts w:ascii="Times New Roman" w:hAnsi="Times New Roman" w:cs="Times New Roman"/>
        </w:rPr>
        <w:t xml:space="preserve"> m. 14/1). Bu üç husus dışında bir denetim veya yargı faaliyeti kapsamında başkaca bir işlem yapması mümkün </w:t>
      </w:r>
      <w:r w:rsidR="00C16179">
        <w:rPr>
          <w:rFonts w:ascii="Times New Roman" w:hAnsi="Times New Roman" w:cs="Times New Roman"/>
        </w:rPr>
        <w:t>olmayıp,</w:t>
      </w:r>
      <w:r w:rsidR="009E6366">
        <w:rPr>
          <w:rFonts w:ascii="Times New Roman" w:hAnsi="Times New Roman" w:cs="Times New Roman"/>
        </w:rPr>
        <w:t xml:space="preserve"> </w:t>
      </w:r>
      <w:r w:rsidR="00213AD5">
        <w:rPr>
          <w:rFonts w:ascii="Times New Roman" w:hAnsi="Times New Roman" w:cs="Times New Roman"/>
        </w:rPr>
        <w:t>hüküm kurma</w:t>
      </w:r>
      <w:r w:rsidR="005F36ED">
        <w:rPr>
          <w:rFonts w:ascii="Times New Roman" w:hAnsi="Times New Roman" w:cs="Times New Roman"/>
        </w:rPr>
        <w:t xml:space="preserve"> </w:t>
      </w:r>
      <w:r w:rsidR="00213AD5">
        <w:rPr>
          <w:rFonts w:ascii="Times New Roman" w:hAnsi="Times New Roman" w:cs="Times New Roman"/>
        </w:rPr>
        <w:t xml:space="preserve">veya reddetme </w:t>
      </w:r>
      <w:r w:rsidR="005F36ED">
        <w:rPr>
          <w:rFonts w:ascii="Times New Roman" w:hAnsi="Times New Roman" w:cs="Times New Roman"/>
        </w:rPr>
        <w:t>nedenleri</w:t>
      </w:r>
      <w:r w:rsidR="00853B11">
        <w:rPr>
          <w:rFonts w:ascii="Times New Roman" w:hAnsi="Times New Roman" w:cs="Times New Roman"/>
        </w:rPr>
        <w:t xml:space="preserve"> yalnızca bu hususlarla sınırlıdır</w:t>
      </w:r>
      <w:r w:rsidR="00772A1B">
        <w:rPr>
          <w:rStyle w:val="FootnoteReference"/>
          <w:rFonts w:ascii="Times New Roman" w:hAnsi="Times New Roman" w:cs="Times New Roman"/>
        </w:rPr>
        <w:footnoteReference w:id="117"/>
      </w:r>
      <w:r w:rsidR="00853B11">
        <w:rPr>
          <w:rFonts w:ascii="Times New Roman" w:hAnsi="Times New Roman" w:cs="Times New Roman"/>
        </w:rPr>
        <w:t xml:space="preserve">. </w:t>
      </w:r>
      <w:r w:rsidR="00CB4354">
        <w:rPr>
          <w:rFonts w:ascii="Times New Roman" w:hAnsi="Times New Roman" w:cs="Times New Roman"/>
        </w:rPr>
        <w:t xml:space="preserve">Hakimin </w:t>
      </w:r>
      <w:r w:rsidR="0069765D">
        <w:rPr>
          <w:rFonts w:ascii="Times New Roman" w:hAnsi="Times New Roman" w:cs="Times New Roman"/>
        </w:rPr>
        <w:t xml:space="preserve">denetim yetkisi kapsamında </w:t>
      </w:r>
      <w:r w:rsidR="00CB4354">
        <w:rPr>
          <w:rFonts w:ascii="Times New Roman" w:hAnsi="Times New Roman" w:cs="Times New Roman"/>
        </w:rPr>
        <w:t>şüpheliye</w:t>
      </w:r>
      <w:r w:rsidR="00BD7673">
        <w:rPr>
          <w:rFonts w:ascii="Times New Roman" w:hAnsi="Times New Roman" w:cs="Times New Roman"/>
        </w:rPr>
        <w:t xml:space="preserve"> isnat edile</w:t>
      </w:r>
      <w:r w:rsidR="0069765D">
        <w:rPr>
          <w:rFonts w:ascii="Times New Roman" w:hAnsi="Times New Roman" w:cs="Times New Roman"/>
        </w:rPr>
        <w:t>n eylemlerin hukuki nitelendir</w:t>
      </w:r>
      <w:r w:rsidR="00BD7673">
        <w:rPr>
          <w:rFonts w:ascii="Times New Roman" w:hAnsi="Times New Roman" w:cs="Times New Roman"/>
        </w:rPr>
        <w:t>mesinin farklı olduğunu tespit ederek, bu durumda katalog suçlar arasında yer almayan bir suç bakımından bu usulün uygulanamayacağı</w:t>
      </w:r>
      <w:r w:rsidR="00081089">
        <w:rPr>
          <w:rFonts w:ascii="Times New Roman" w:hAnsi="Times New Roman" w:cs="Times New Roman"/>
        </w:rPr>
        <w:t xml:space="preserve">na karar vermesi de mümkündür. </w:t>
      </w:r>
      <w:r w:rsidR="0069765D">
        <w:rPr>
          <w:rFonts w:ascii="Times New Roman" w:hAnsi="Times New Roman" w:cs="Times New Roman"/>
        </w:rPr>
        <w:t xml:space="preserve">Ayrıca </w:t>
      </w:r>
      <w:r w:rsidR="00081089">
        <w:rPr>
          <w:rFonts w:ascii="Times New Roman" w:hAnsi="Times New Roman" w:cs="Times New Roman"/>
        </w:rPr>
        <w:t xml:space="preserve">Gerekçe’de mahkemenin </w:t>
      </w:r>
      <w:r w:rsidR="00BD7673">
        <w:rPr>
          <w:rFonts w:ascii="Times New Roman" w:hAnsi="Times New Roman" w:cs="Times New Roman"/>
        </w:rPr>
        <w:t xml:space="preserve">savcılığın hukuki nitelendirmesiyle bağlı </w:t>
      </w:r>
      <w:r w:rsidR="00081089">
        <w:rPr>
          <w:rFonts w:ascii="Times New Roman" w:hAnsi="Times New Roman" w:cs="Times New Roman"/>
        </w:rPr>
        <w:t>olmadığı, farklı bir sonuca ulaşması halinde hukuki nitelemenin yerinde olmadığına dayanarak reddetmesi</w:t>
      </w:r>
      <w:r w:rsidR="00213AD5">
        <w:rPr>
          <w:rFonts w:ascii="Times New Roman" w:hAnsi="Times New Roman" w:cs="Times New Roman"/>
        </w:rPr>
        <w:t>nin</w:t>
      </w:r>
      <w:r w:rsidR="00081089">
        <w:rPr>
          <w:rFonts w:ascii="Times New Roman" w:hAnsi="Times New Roman" w:cs="Times New Roman"/>
        </w:rPr>
        <w:t xml:space="preserve"> mümkün olduğu belirtilmiştir. </w:t>
      </w:r>
      <w:r w:rsidR="00030D67">
        <w:rPr>
          <w:rFonts w:ascii="Times New Roman" w:hAnsi="Times New Roman" w:cs="Times New Roman"/>
        </w:rPr>
        <w:t>Yine</w:t>
      </w:r>
      <w:r w:rsidR="00C67DB1">
        <w:rPr>
          <w:rFonts w:ascii="Times New Roman" w:hAnsi="Times New Roman" w:cs="Times New Roman"/>
        </w:rPr>
        <w:t xml:space="preserve"> Gerekçe’de </w:t>
      </w:r>
      <w:r w:rsidR="00BD7673">
        <w:rPr>
          <w:rFonts w:ascii="Times New Roman" w:hAnsi="Times New Roman" w:cs="Times New Roman"/>
        </w:rPr>
        <w:t>mahkemenin olaya ilişkin maddi gerçeği araştırmak üzere delil toplaması, tanık dinlemesi gibi işlemlere başvurması imkanı</w:t>
      </w:r>
      <w:r w:rsidR="00C30641">
        <w:rPr>
          <w:rFonts w:ascii="Times New Roman" w:hAnsi="Times New Roman" w:cs="Times New Roman"/>
        </w:rPr>
        <w:t xml:space="preserve">nın olmadığı, </w:t>
      </w:r>
      <w:r w:rsidR="00C67DB1">
        <w:rPr>
          <w:rFonts w:ascii="Times New Roman" w:hAnsi="Times New Roman" w:cs="Times New Roman"/>
        </w:rPr>
        <w:t>hakimin maddi gerçeğin araştırılmasını gerekli gördüğünde</w:t>
      </w:r>
      <w:r w:rsidR="00C30641">
        <w:rPr>
          <w:rFonts w:ascii="Times New Roman" w:hAnsi="Times New Roman" w:cs="Times New Roman"/>
        </w:rPr>
        <w:t xml:space="preserve"> talebi reddedeceği </w:t>
      </w:r>
      <w:r w:rsidR="00030D67">
        <w:rPr>
          <w:rFonts w:ascii="Times New Roman" w:hAnsi="Times New Roman" w:cs="Times New Roman"/>
        </w:rPr>
        <w:t xml:space="preserve">de </w:t>
      </w:r>
      <w:r w:rsidR="00C30641">
        <w:rPr>
          <w:rFonts w:ascii="Times New Roman" w:hAnsi="Times New Roman" w:cs="Times New Roman"/>
        </w:rPr>
        <w:t>belirtilmiştir</w:t>
      </w:r>
      <w:r w:rsidR="00C30641">
        <w:rPr>
          <w:rStyle w:val="FootnoteReference"/>
          <w:rFonts w:ascii="Times New Roman" w:hAnsi="Times New Roman" w:cs="Times New Roman"/>
        </w:rPr>
        <w:footnoteReference w:id="118"/>
      </w:r>
      <w:r w:rsidR="00C30641">
        <w:rPr>
          <w:rFonts w:ascii="Times New Roman" w:hAnsi="Times New Roman" w:cs="Times New Roman"/>
        </w:rPr>
        <w:t xml:space="preserve">. Bu şekilde Türk hukukunda hakimin talepnameyi denetleme ve değerlendirme yetkisinin kapsamının önemli bir kısmının madde metni yerine Gerekçe’de </w:t>
      </w:r>
      <w:r w:rsidR="0069765D">
        <w:rPr>
          <w:rFonts w:ascii="Times New Roman" w:hAnsi="Times New Roman" w:cs="Times New Roman"/>
        </w:rPr>
        <w:t>açıklanması,</w:t>
      </w:r>
      <w:r w:rsidR="00C30641">
        <w:rPr>
          <w:rFonts w:ascii="Times New Roman" w:hAnsi="Times New Roman" w:cs="Times New Roman"/>
        </w:rPr>
        <w:t xml:space="preserve"> mahkeme önündeki faaliyetin </w:t>
      </w:r>
      <w:r w:rsidR="00F46C0D">
        <w:rPr>
          <w:rFonts w:ascii="Times New Roman" w:hAnsi="Times New Roman" w:cs="Times New Roman"/>
        </w:rPr>
        <w:t>içeriğini</w:t>
      </w:r>
      <w:r w:rsidR="0069765D">
        <w:rPr>
          <w:rFonts w:ascii="Times New Roman" w:hAnsi="Times New Roman" w:cs="Times New Roman"/>
        </w:rPr>
        <w:t>n</w:t>
      </w:r>
      <w:r w:rsidR="00F46C0D">
        <w:rPr>
          <w:rFonts w:ascii="Times New Roman" w:hAnsi="Times New Roman" w:cs="Times New Roman"/>
        </w:rPr>
        <w:t xml:space="preserve"> ve </w:t>
      </w:r>
      <w:r w:rsidR="00C30641">
        <w:rPr>
          <w:rFonts w:ascii="Times New Roman" w:hAnsi="Times New Roman" w:cs="Times New Roman"/>
        </w:rPr>
        <w:t>niteliğini</w:t>
      </w:r>
      <w:r w:rsidR="0069765D">
        <w:rPr>
          <w:rFonts w:ascii="Times New Roman" w:hAnsi="Times New Roman" w:cs="Times New Roman"/>
        </w:rPr>
        <w:t>n</w:t>
      </w:r>
      <w:r w:rsidR="00C30641">
        <w:rPr>
          <w:rFonts w:ascii="Times New Roman" w:hAnsi="Times New Roman" w:cs="Times New Roman"/>
        </w:rPr>
        <w:t xml:space="preserve"> </w:t>
      </w:r>
      <w:r w:rsidR="0069765D">
        <w:rPr>
          <w:rFonts w:ascii="Times New Roman" w:hAnsi="Times New Roman" w:cs="Times New Roman"/>
        </w:rPr>
        <w:t xml:space="preserve">belirlenmesinde karışıklık yaratabilecektir. </w:t>
      </w:r>
    </w:p>
    <w:p w14:paraId="6E6E945B" w14:textId="77777777" w:rsidR="00BD7673" w:rsidRDefault="00BD7673" w:rsidP="009E6366">
      <w:pPr>
        <w:spacing w:line="360" w:lineRule="auto"/>
        <w:ind w:firstLine="720"/>
        <w:jc w:val="both"/>
        <w:rPr>
          <w:rFonts w:ascii="Times New Roman" w:hAnsi="Times New Roman" w:cs="Times New Roman"/>
        </w:rPr>
      </w:pPr>
    </w:p>
    <w:p w14:paraId="5DEA2A91" w14:textId="53E478F4" w:rsidR="00853B11" w:rsidRDefault="005F36ED" w:rsidP="009E6366">
      <w:pPr>
        <w:spacing w:line="360" w:lineRule="auto"/>
        <w:ind w:firstLine="720"/>
        <w:jc w:val="both"/>
        <w:rPr>
          <w:rFonts w:ascii="Times New Roman" w:hAnsi="Times New Roman" w:cs="Times New Roman"/>
        </w:rPr>
      </w:pPr>
      <w:r>
        <w:rPr>
          <w:rFonts w:ascii="Times New Roman" w:hAnsi="Times New Roman" w:cs="Times New Roman"/>
        </w:rPr>
        <w:t>Yönetmelik m. 13/2 uyarınca, talepnamenin gerekli şekil ve içerikte olmadığını, maddi hata bulunduğunu, erteleme, hükmün açıklanmasının geri bırakılması veya seçenek yaptırımların koşullarının oluşmadığını veya cezanın mahiyetine uygun bir güvenlik tedbiri</w:t>
      </w:r>
      <w:r w:rsidR="00996A7B">
        <w:rPr>
          <w:rFonts w:ascii="Times New Roman" w:hAnsi="Times New Roman" w:cs="Times New Roman"/>
        </w:rPr>
        <w:t>nin</w:t>
      </w:r>
      <w:r>
        <w:rPr>
          <w:rFonts w:ascii="Times New Roman" w:hAnsi="Times New Roman" w:cs="Times New Roman"/>
        </w:rPr>
        <w:t xml:space="preserve"> eksik olduğunu tespit ettiğinde </w:t>
      </w:r>
      <w:r w:rsidR="009E6366">
        <w:rPr>
          <w:rFonts w:ascii="Times New Roman" w:hAnsi="Times New Roman" w:cs="Times New Roman"/>
        </w:rPr>
        <w:t xml:space="preserve">mahkemenin </w:t>
      </w:r>
      <w:r>
        <w:rPr>
          <w:rFonts w:ascii="Times New Roman" w:hAnsi="Times New Roman" w:cs="Times New Roman"/>
        </w:rPr>
        <w:t>ret kararı vermeksizin talepnameyi düzeltilmesi için savcılığa iade etmesi g</w:t>
      </w:r>
      <w:r w:rsidR="0085633D">
        <w:rPr>
          <w:rFonts w:ascii="Times New Roman" w:hAnsi="Times New Roman" w:cs="Times New Roman"/>
        </w:rPr>
        <w:t>erekir.</w:t>
      </w:r>
      <w:r>
        <w:rPr>
          <w:rFonts w:ascii="Times New Roman" w:hAnsi="Times New Roman" w:cs="Times New Roman"/>
        </w:rPr>
        <w:t xml:space="preserve"> </w:t>
      </w:r>
      <w:r w:rsidR="00030D67">
        <w:rPr>
          <w:rFonts w:ascii="Times New Roman" w:hAnsi="Times New Roman" w:cs="Times New Roman"/>
        </w:rPr>
        <w:t xml:space="preserve">Bunun üzerine eksiklikleri veya hataları gideren savcılık talepnameyi yeniden mahkemeye gönderecektir (Yönetmelik m. 13/3). </w:t>
      </w:r>
    </w:p>
    <w:p w14:paraId="7B18AF0D" w14:textId="77777777" w:rsidR="00163CD2" w:rsidRDefault="00163CD2" w:rsidP="002104A2">
      <w:pPr>
        <w:spacing w:line="360" w:lineRule="auto"/>
        <w:jc w:val="both"/>
        <w:rPr>
          <w:rFonts w:ascii="Times New Roman" w:hAnsi="Times New Roman" w:cs="Times New Roman"/>
        </w:rPr>
      </w:pPr>
    </w:p>
    <w:p w14:paraId="40002590" w14:textId="3F7770DE" w:rsidR="00C20631" w:rsidRDefault="00C20631" w:rsidP="009075CE">
      <w:pPr>
        <w:pStyle w:val="Heading2"/>
      </w:pPr>
      <w:r w:rsidRPr="00C20631">
        <w:t xml:space="preserve">3. </w:t>
      </w:r>
      <w:r>
        <w:tab/>
      </w:r>
      <w:r w:rsidRPr="00C20631">
        <w:t xml:space="preserve">Talebin Mahkemece Karara Bağlanması </w:t>
      </w:r>
    </w:p>
    <w:p w14:paraId="287AD3C1" w14:textId="77777777" w:rsidR="009075CE" w:rsidRPr="009075CE" w:rsidRDefault="009075CE" w:rsidP="009075CE"/>
    <w:p w14:paraId="469BA7D5" w14:textId="5753351D" w:rsidR="007000D8" w:rsidRDefault="007000D8" w:rsidP="00163CD2">
      <w:pPr>
        <w:spacing w:line="360" w:lineRule="auto"/>
        <w:ind w:firstLine="720"/>
        <w:jc w:val="both"/>
        <w:rPr>
          <w:rFonts w:ascii="Times New Roman" w:hAnsi="Times New Roman" w:cs="Times New Roman"/>
        </w:rPr>
      </w:pPr>
      <w:r>
        <w:rPr>
          <w:rFonts w:ascii="Times New Roman" w:hAnsi="Times New Roman" w:cs="Times New Roman"/>
        </w:rPr>
        <w:t>Mahkeme</w:t>
      </w:r>
      <w:r w:rsidR="004A116E">
        <w:rPr>
          <w:rFonts w:ascii="Times New Roman" w:hAnsi="Times New Roman" w:cs="Times New Roman"/>
        </w:rPr>
        <w:t xml:space="preserve"> koşullar</w:t>
      </w:r>
      <w:r w:rsidR="00163CD2">
        <w:rPr>
          <w:rFonts w:ascii="Times New Roman" w:hAnsi="Times New Roman" w:cs="Times New Roman"/>
        </w:rPr>
        <w:t>ın</w:t>
      </w:r>
      <w:r w:rsidR="004A116E">
        <w:rPr>
          <w:rFonts w:ascii="Times New Roman" w:hAnsi="Times New Roman" w:cs="Times New Roman"/>
        </w:rPr>
        <w:t xml:space="preserve"> </w:t>
      </w:r>
      <w:r w:rsidR="00163CD2">
        <w:rPr>
          <w:rFonts w:ascii="Times New Roman" w:hAnsi="Times New Roman" w:cs="Times New Roman"/>
        </w:rPr>
        <w:t xml:space="preserve">oluşmadığını tespit ederse, talebin reddine karar vererek dosyayı soruşturmanın olağan usulle tamamlanması için savcılığa gönderir. </w:t>
      </w:r>
      <w:r>
        <w:rPr>
          <w:rFonts w:ascii="Times New Roman" w:hAnsi="Times New Roman" w:cs="Times New Roman"/>
        </w:rPr>
        <w:t xml:space="preserve">Bu durumda </w:t>
      </w:r>
      <w:r w:rsidR="00996A7B">
        <w:rPr>
          <w:rFonts w:ascii="Times New Roman" w:hAnsi="Times New Roman" w:cs="Times New Roman"/>
        </w:rPr>
        <w:t xml:space="preserve">şüphelinin </w:t>
      </w:r>
      <w:r>
        <w:rPr>
          <w:rFonts w:ascii="Times New Roman" w:hAnsi="Times New Roman" w:cs="Times New Roman"/>
        </w:rPr>
        <w:t>seri muhakeme usulünü kabul ettiğine ilişkin beyanları ve bu usul kapsamındaki diğer belgeler takip eden soruşturma ve kovuşturma işlemlerinde delil olarak kullanılamaz (CMK m. 250/10</w:t>
      </w:r>
      <w:r w:rsidR="00E50A66">
        <w:rPr>
          <w:rFonts w:ascii="Times New Roman" w:hAnsi="Times New Roman" w:cs="Times New Roman"/>
        </w:rPr>
        <w:t>, Yönetmelik m. 5/8</w:t>
      </w:r>
      <w:r>
        <w:rPr>
          <w:rFonts w:ascii="Times New Roman" w:hAnsi="Times New Roman" w:cs="Times New Roman"/>
        </w:rPr>
        <w:t xml:space="preserve">). </w:t>
      </w:r>
      <w:r w:rsidR="00C07DAB">
        <w:rPr>
          <w:rFonts w:ascii="Times New Roman" w:hAnsi="Times New Roman" w:cs="Times New Roman"/>
        </w:rPr>
        <w:t xml:space="preserve">Benzer bir hüküm Fransız hukukunda da yer almakta, </w:t>
      </w:r>
      <w:r w:rsidR="00CC2705">
        <w:rPr>
          <w:rFonts w:ascii="Times New Roman" w:hAnsi="Times New Roman" w:cs="Times New Roman"/>
        </w:rPr>
        <w:t xml:space="preserve">şüphelinin </w:t>
      </w:r>
      <w:r w:rsidR="00C07DAB">
        <w:rPr>
          <w:rFonts w:ascii="Times New Roman" w:hAnsi="Times New Roman" w:cs="Times New Roman"/>
        </w:rPr>
        <w:t>seri usuldeki beyanları ile belgelerin ileri sürülemeyeceği ve tutanakların gönd</w:t>
      </w:r>
      <w:r w:rsidR="00CC2705">
        <w:rPr>
          <w:rFonts w:ascii="Times New Roman" w:hAnsi="Times New Roman" w:cs="Times New Roman"/>
        </w:rPr>
        <w:t>erilemeyeceği açıkça düzenlenmektedir</w:t>
      </w:r>
      <w:r w:rsidR="00C07DAB">
        <w:rPr>
          <w:rFonts w:ascii="Times New Roman" w:hAnsi="Times New Roman" w:cs="Times New Roman"/>
        </w:rPr>
        <w:t xml:space="preserve">. </w:t>
      </w:r>
    </w:p>
    <w:p w14:paraId="14C152E1" w14:textId="77777777" w:rsidR="007000D8" w:rsidRDefault="007000D8" w:rsidP="00163CD2">
      <w:pPr>
        <w:spacing w:line="360" w:lineRule="auto"/>
        <w:ind w:firstLine="720"/>
        <w:jc w:val="both"/>
        <w:rPr>
          <w:rFonts w:ascii="Times New Roman" w:hAnsi="Times New Roman" w:cs="Times New Roman"/>
        </w:rPr>
      </w:pPr>
    </w:p>
    <w:p w14:paraId="5FD284F2" w14:textId="76B564CD" w:rsidR="00584B1E" w:rsidRDefault="007000D8" w:rsidP="00FD0F60">
      <w:pPr>
        <w:spacing w:line="360" w:lineRule="auto"/>
        <w:ind w:firstLine="720"/>
        <w:jc w:val="both"/>
        <w:rPr>
          <w:rFonts w:ascii="Times New Roman" w:hAnsi="Times New Roman" w:cs="Times New Roman"/>
        </w:rPr>
      </w:pPr>
      <w:r>
        <w:rPr>
          <w:rFonts w:ascii="Times New Roman" w:hAnsi="Times New Roman" w:cs="Times New Roman"/>
        </w:rPr>
        <w:t>Mahkeme k</w:t>
      </w:r>
      <w:r w:rsidR="00163CD2">
        <w:rPr>
          <w:rFonts w:ascii="Times New Roman" w:hAnsi="Times New Roman" w:cs="Times New Roman"/>
        </w:rPr>
        <w:t xml:space="preserve">oşulların oluştuğuna kanaat </w:t>
      </w:r>
      <w:r>
        <w:rPr>
          <w:rFonts w:ascii="Times New Roman" w:hAnsi="Times New Roman" w:cs="Times New Roman"/>
        </w:rPr>
        <w:t xml:space="preserve">getirdiğinde ise, </w:t>
      </w:r>
      <w:r w:rsidR="00163CD2">
        <w:rPr>
          <w:rFonts w:ascii="Times New Roman" w:hAnsi="Times New Roman" w:cs="Times New Roman"/>
        </w:rPr>
        <w:t xml:space="preserve">savcılığın talepnamesinde sunduğu yaptırım doğrultusunda </w:t>
      </w:r>
      <w:r w:rsidR="00062EC5">
        <w:rPr>
          <w:rFonts w:ascii="Times New Roman" w:hAnsi="Times New Roman" w:cs="Times New Roman"/>
        </w:rPr>
        <w:t>şüpheli</w:t>
      </w:r>
      <w:r w:rsidR="00163CD2">
        <w:rPr>
          <w:rFonts w:ascii="Times New Roman" w:hAnsi="Times New Roman" w:cs="Times New Roman"/>
        </w:rPr>
        <w:t xml:space="preserve"> hakkında hüküm kurar</w:t>
      </w:r>
      <w:r w:rsidR="0092633C">
        <w:rPr>
          <w:rFonts w:ascii="Times New Roman" w:hAnsi="Times New Roman" w:cs="Times New Roman"/>
        </w:rPr>
        <w:t xml:space="preserve"> (CMK m. 250/9)</w:t>
      </w:r>
      <w:r w:rsidR="00163CD2">
        <w:rPr>
          <w:rFonts w:ascii="Times New Roman" w:hAnsi="Times New Roman" w:cs="Times New Roman"/>
        </w:rPr>
        <w:t>.</w:t>
      </w:r>
      <w:r w:rsidR="0092633C">
        <w:rPr>
          <w:rFonts w:ascii="Times New Roman" w:hAnsi="Times New Roman" w:cs="Times New Roman"/>
        </w:rPr>
        <w:t xml:space="preserve"> </w:t>
      </w:r>
      <w:r w:rsidR="009E6366">
        <w:rPr>
          <w:rFonts w:ascii="Times New Roman" w:hAnsi="Times New Roman" w:cs="Times New Roman"/>
        </w:rPr>
        <w:t>H</w:t>
      </w:r>
      <w:r w:rsidR="0092633C">
        <w:rPr>
          <w:rFonts w:ascii="Times New Roman" w:hAnsi="Times New Roman" w:cs="Times New Roman"/>
        </w:rPr>
        <w:t>akimin</w:t>
      </w:r>
      <w:r w:rsidR="00584B1E">
        <w:rPr>
          <w:rFonts w:ascii="Times New Roman" w:hAnsi="Times New Roman" w:cs="Times New Roman"/>
        </w:rPr>
        <w:t>,</w:t>
      </w:r>
      <w:r w:rsidR="0092633C">
        <w:rPr>
          <w:rFonts w:ascii="Times New Roman" w:hAnsi="Times New Roman" w:cs="Times New Roman"/>
        </w:rPr>
        <w:t xml:space="preserve"> koşulların oluştuğuna karar verdiği bir talep</w:t>
      </w:r>
      <w:r w:rsidR="005A1D24">
        <w:rPr>
          <w:rFonts w:ascii="Times New Roman" w:hAnsi="Times New Roman" w:cs="Times New Roman"/>
        </w:rPr>
        <w:t xml:space="preserve">namedeki yaptırımı değiştirmek </w:t>
      </w:r>
      <w:r w:rsidR="0092633C">
        <w:rPr>
          <w:rFonts w:ascii="Times New Roman" w:hAnsi="Times New Roman" w:cs="Times New Roman"/>
        </w:rPr>
        <w:t>gibi bir yetkisi</w:t>
      </w:r>
      <w:r w:rsidR="00584B1E">
        <w:rPr>
          <w:rFonts w:ascii="Times New Roman" w:hAnsi="Times New Roman" w:cs="Times New Roman"/>
        </w:rPr>
        <w:t xml:space="preserve"> bulunmamaktadır. Bu durumda </w:t>
      </w:r>
      <w:r w:rsidR="00282C44">
        <w:rPr>
          <w:rFonts w:ascii="Times New Roman" w:hAnsi="Times New Roman" w:cs="Times New Roman"/>
        </w:rPr>
        <w:t>esasında</w:t>
      </w:r>
      <w:r w:rsidR="00893D72">
        <w:rPr>
          <w:rFonts w:ascii="Times New Roman" w:hAnsi="Times New Roman" w:cs="Times New Roman"/>
        </w:rPr>
        <w:t>,</w:t>
      </w:r>
      <w:r w:rsidR="00282C44">
        <w:rPr>
          <w:rFonts w:ascii="Times New Roman" w:hAnsi="Times New Roman" w:cs="Times New Roman"/>
        </w:rPr>
        <w:t xml:space="preserve"> </w:t>
      </w:r>
      <w:r w:rsidR="00584B1E">
        <w:rPr>
          <w:rFonts w:ascii="Times New Roman" w:hAnsi="Times New Roman" w:cs="Times New Roman"/>
        </w:rPr>
        <w:t>teklif ve kabul edilen y</w:t>
      </w:r>
      <w:r w:rsidR="0092633C">
        <w:rPr>
          <w:rFonts w:ascii="Times New Roman" w:hAnsi="Times New Roman" w:cs="Times New Roman"/>
        </w:rPr>
        <w:t>aptırımın</w:t>
      </w:r>
      <w:r>
        <w:rPr>
          <w:rFonts w:ascii="Times New Roman" w:hAnsi="Times New Roman" w:cs="Times New Roman"/>
        </w:rPr>
        <w:t xml:space="preserve"> belirlenmesinde </w:t>
      </w:r>
      <w:r w:rsidR="00584B1E">
        <w:rPr>
          <w:rFonts w:ascii="Times New Roman" w:hAnsi="Times New Roman" w:cs="Times New Roman"/>
        </w:rPr>
        <w:t xml:space="preserve">maddi hata dışında, </w:t>
      </w:r>
      <w:r w:rsidR="0092633C">
        <w:rPr>
          <w:rFonts w:ascii="Times New Roman" w:hAnsi="Times New Roman" w:cs="Times New Roman"/>
        </w:rPr>
        <w:t xml:space="preserve">bir </w:t>
      </w:r>
      <w:r w:rsidR="00584B1E">
        <w:rPr>
          <w:rFonts w:ascii="Times New Roman" w:hAnsi="Times New Roman" w:cs="Times New Roman"/>
        </w:rPr>
        <w:t>orantısızlık</w:t>
      </w:r>
      <w:r w:rsidR="0092633C">
        <w:rPr>
          <w:rFonts w:ascii="Times New Roman" w:hAnsi="Times New Roman" w:cs="Times New Roman"/>
        </w:rPr>
        <w:t xml:space="preserve"> veya hakkaniyete aykırı bir sonuç tespit eden hakim</w:t>
      </w:r>
      <w:r w:rsidR="00C16179">
        <w:rPr>
          <w:rFonts w:ascii="Times New Roman" w:hAnsi="Times New Roman" w:cs="Times New Roman"/>
        </w:rPr>
        <w:t>in</w:t>
      </w:r>
      <w:r w:rsidR="00767D2F">
        <w:rPr>
          <w:rFonts w:ascii="Times New Roman" w:hAnsi="Times New Roman" w:cs="Times New Roman"/>
        </w:rPr>
        <w:t>,</w:t>
      </w:r>
      <w:r w:rsidR="0092633C">
        <w:rPr>
          <w:rFonts w:ascii="Times New Roman" w:hAnsi="Times New Roman" w:cs="Times New Roman"/>
        </w:rPr>
        <w:t xml:space="preserve"> </w:t>
      </w:r>
      <w:r w:rsidR="005A1D24">
        <w:rPr>
          <w:rFonts w:ascii="Times New Roman" w:hAnsi="Times New Roman" w:cs="Times New Roman"/>
        </w:rPr>
        <w:t>yaptırımda değişiklik yapamayacağı için</w:t>
      </w:r>
      <w:r w:rsidR="00767D2F">
        <w:rPr>
          <w:rFonts w:ascii="Times New Roman" w:hAnsi="Times New Roman" w:cs="Times New Roman"/>
        </w:rPr>
        <w:t>,</w:t>
      </w:r>
      <w:r w:rsidR="005A1D24">
        <w:rPr>
          <w:rFonts w:ascii="Times New Roman" w:hAnsi="Times New Roman" w:cs="Times New Roman"/>
        </w:rPr>
        <w:t xml:space="preserve"> </w:t>
      </w:r>
      <w:r w:rsidR="0092633C">
        <w:rPr>
          <w:rFonts w:ascii="Times New Roman" w:hAnsi="Times New Roman" w:cs="Times New Roman"/>
        </w:rPr>
        <w:t>talep</w:t>
      </w:r>
      <w:r w:rsidR="00A131C3">
        <w:rPr>
          <w:rFonts w:ascii="Times New Roman" w:hAnsi="Times New Roman" w:cs="Times New Roman"/>
        </w:rPr>
        <w:t>namenin reddine karar ver</w:t>
      </w:r>
      <w:r w:rsidR="00282C44">
        <w:rPr>
          <w:rFonts w:ascii="Times New Roman" w:hAnsi="Times New Roman" w:cs="Times New Roman"/>
        </w:rPr>
        <w:t>ebil</w:t>
      </w:r>
      <w:r w:rsidR="00A131C3">
        <w:rPr>
          <w:rFonts w:ascii="Times New Roman" w:hAnsi="Times New Roman" w:cs="Times New Roman"/>
        </w:rPr>
        <w:t>mesi gerekir</w:t>
      </w:r>
      <w:r w:rsidR="0092633C">
        <w:rPr>
          <w:rFonts w:ascii="Times New Roman" w:hAnsi="Times New Roman" w:cs="Times New Roman"/>
        </w:rPr>
        <w:t xml:space="preserve">. </w:t>
      </w:r>
      <w:r w:rsidR="00FD0F60">
        <w:rPr>
          <w:rFonts w:ascii="Times New Roman" w:hAnsi="Times New Roman" w:cs="Times New Roman"/>
        </w:rPr>
        <w:t>Ancak</w:t>
      </w:r>
      <w:r w:rsidR="00CC2705">
        <w:rPr>
          <w:rFonts w:ascii="Times New Roman" w:hAnsi="Times New Roman" w:cs="Times New Roman"/>
        </w:rPr>
        <w:t xml:space="preserve"> </w:t>
      </w:r>
      <w:r w:rsidR="00A131C3">
        <w:rPr>
          <w:rFonts w:ascii="Times New Roman" w:hAnsi="Times New Roman" w:cs="Times New Roman"/>
        </w:rPr>
        <w:t>Yönetmelik m</w:t>
      </w:r>
      <w:r w:rsidR="008F08A2">
        <w:rPr>
          <w:rFonts w:ascii="Times New Roman" w:hAnsi="Times New Roman" w:cs="Times New Roman"/>
        </w:rPr>
        <w:t>.</w:t>
      </w:r>
      <w:r w:rsidR="00A131C3">
        <w:rPr>
          <w:rFonts w:ascii="Times New Roman" w:hAnsi="Times New Roman" w:cs="Times New Roman"/>
        </w:rPr>
        <w:t xml:space="preserve"> 14/1’deki ifadeden hakimin denetim yetkisi kapsamında olan üç hususun varlığını tespit ettiği</w:t>
      </w:r>
      <w:r w:rsidR="00035242">
        <w:rPr>
          <w:rFonts w:ascii="Times New Roman" w:hAnsi="Times New Roman" w:cs="Times New Roman"/>
        </w:rPr>
        <w:t xml:space="preserve"> sürece hüküm ve</w:t>
      </w:r>
      <w:r w:rsidR="00FD0F60">
        <w:rPr>
          <w:rFonts w:ascii="Times New Roman" w:hAnsi="Times New Roman" w:cs="Times New Roman"/>
        </w:rPr>
        <w:t>rmesi gerektiği anlaşılmaktadır</w:t>
      </w:r>
      <w:r w:rsidR="00A131C3">
        <w:rPr>
          <w:rFonts w:ascii="Times New Roman" w:hAnsi="Times New Roman" w:cs="Times New Roman"/>
        </w:rPr>
        <w:t xml:space="preserve">. </w:t>
      </w:r>
      <w:r w:rsidR="00FD0F60">
        <w:rPr>
          <w:rFonts w:ascii="Times New Roman" w:hAnsi="Times New Roman" w:cs="Times New Roman"/>
        </w:rPr>
        <w:t xml:space="preserve">Dolayısıyla </w:t>
      </w:r>
      <w:r w:rsidR="00035242">
        <w:rPr>
          <w:rFonts w:ascii="Times New Roman" w:hAnsi="Times New Roman" w:cs="Times New Roman"/>
        </w:rPr>
        <w:t>cezanın eylemin ağırlığıyla orantısız veya yeterince temellendiri</w:t>
      </w:r>
      <w:r w:rsidR="00FD0F60">
        <w:rPr>
          <w:rFonts w:ascii="Times New Roman" w:hAnsi="Times New Roman" w:cs="Times New Roman"/>
        </w:rPr>
        <w:t>lmemiş olduğunu tespit etse dahi</w:t>
      </w:r>
      <w:r w:rsidR="00035242">
        <w:rPr>
          <w:rFonts w:ascii="Times New Roman" w:hAnsi="Times New Roman" w:cs="Times New Roman"/>
        </w:rPr>
        <w:t xml:space="preserve"> </w:t>
      </w:r>
      <w:r w:rsidR="00FD0F60">
        <w:rPr>
          <w:rFonts w:ascii="Times New Roman" w:hAnsi="Times New Roman" w:cs="Times New Roman"/>
        </w:rPr>
        <w:t xml:space="preserve">hakimin </w:t>
      </w:r>
      <w:r w:rsidR="00035242">
        <w:rPr>
          <w:rFonts w:ascii="Times New Roman" w:hAnsi="Times New Roman" w:cs="Times New Roman"/>
        </w:rPr>
        <w:t xml:space="preserve">talebi reddetmesi mümkün </w:t>
      </w:r>
      <w:r w:rsidR="00767D2F">
        <w:rPr>
          <w:rFonts w:ascii="Times New Roman" w:hAnsi="Times New Roman" w:cs="Times New Roman"/>
        </w:rPr>
        <w:t>gözükmemektedir</w:t>
      </w:r>
      <w:r w:rsidR="00D37462">
        <w:rPr>
          <w:rStyle w:val="FootnoteReference"/>
          <w:rFonts w:ascii="Times New Roman" w:hAnsi="Times New Roman" w:cs="Times New Roman"/>
        </w:rPr>
        <w:footnoteReference w:id="119"/>
      </w:r>
      <w:r w:rsidR="00035242">
        <w:rPr>
          <w:rFonts w:ascii="Times New Roman" w:hAnsi="Times New Roman" w:cs="Times New Roman"/>
        </w:rPr>
        <w:t xml:space="preserve">. </w:t>
      </w:r>
      <w:r w:rsidR="00767D2F">
        <w:rPr>
          <w:rFonts w:ascii="Times New Roman" w:hAnsi="Times New Roman" w:cs="Times New Roman"/>
        </w:rPr>
        <w:t xml:space="preserve">Hükmün </w:t>
      </w:r>
      <w:r w:rsidR="00035242">
        <w:rPr>
          <w:rFonts w:ascii="Times New Roman" w:hAnsi="Times New Roman" w:cs="Times New Roman"/>
        </w:rPr>
        <w:t xml:space="preserve">Fransız hukukundaki düzenlemeden bu yönüyle de ayrıldığı görülmektedir. </w:t>
      </w:r>
      <w:r w:rsidR="00D32921">
        <w:rPr>
          <w:rFonts w:ascii="Times New Roman" w:hAnsi="Times New Roman" w:cs="Times New Roman"/>
        </w:rPr>
        <w:t xml:space="preserve">İlgili bölümde açıklandığı üzere </w:t>
      </w:r>
      <w:r w:rsidR="00035242">
        <w:rPr>
          <w:rFonts w:ascii="Times New Roman" w:hAnsi="Times New Roman" w:cs="Times New Roman"/>
        </w:rPr>
        <w:t>Fransız CMK uyarınca hakim savcının talebini denetim yetkisi kapsamında cezanın orantılılığını da</w:t>
      </w:r>
      <w:r w:rsidR="00D16DC1">
        <w:rPr>
          <w:rFonts w:ascii="Times New Roman" w:hAnsi="Times New Roman" w:cs="Times New Roman"/>
        </w:rPr>
        <w:t xml:space="preserve"> ret sebebi olarak</w:t>
      </w:r>
      <w:r w:rsidR="00035242">
        <w:rPr>
          <w:rFonts w:ascii="Times New Roman" w:hAnsi="Times New Roman" w:cs="Times New Roman"/>
        </w:rPr>
        <w:t xml:space="preserve"> dikkate alabilmektedir. </w:t>
      </w:r>
    </w:p>
    <w:p w14:paraId="6EDB336E" w14:textId="77777777" w:rsidR="00584B1E" w:rsidRDefault="00584B1E" w:rsidP="00584B1E">
      <w:pPr>
        <w:spacing w:line="360" w:lineRule="auto"/>
        <w:ind w:firstLine="720"/>
        <w:jc w:val="both"/>
        <w:rPr>
          <w:rFonts w:ascii="Times New Roman" w:hAnsi="Times New Roman" w:cs="Times New Roman"/>
        </w:rPr>
      </w:pPr>
    </w:p>
    <w:p w14:paraId="62F6633C" w14:textId="36457CDD" w:rsidR="009C04EF" w:rsidRDefault="007000D8" w:rsidP="00861C41">
      <w:pPr>
        <w:spacing w:line="360" w:lineRule="auto"/>
        <w:ind w:firstLine="720"/>
        <w:jc w:val="both"/>
        <w:rPr>
          <w:rFonts w:ascii="Times New Roman" w:hAnsi="Times New Roman" w:cs="Times New Roman"/>
        </w:rPr>
      </w:pPr>
      <w:r>
        <w:rPr>
          <w:rFonts w:ascii="Times New Roman" w:hAnsi="Times New Roman" w:cs="Times New Roman"/>
        </w:rPr>
        <w:t xml:space="preserve">Mahkemenin </w:t>
      </w:r>
      <w:r w:rsidR="001C54C3">
        <w:rPr>
          <w:rFonts w:ascii="Times New Roman" w:hAnsi="Times New Roman" w:cs="Times New Roman"/>
        </w:rPr>
        <w:t>savcılığın talep ettiği yaptırımı onaylayan</w:t>
      </w:r>
      <w:r>
        <w:rPr>
          <w:rFonts w:ascii="Times New Roman" w:hAnsi="Times New Roman" w:cs="Times New Roman"/>
        </w:rPr>
        <w:t xml:space="preserve"> kararı</w:t>
      </w:r>
      <w:r w:rsidR="004F0A8A">
        <w:rPr>
          <w:rFonts w:ascii="Times New Roman" w:hAnsi="Times New Roman" w:cs="Times New Roman"/>
        </w:rPr>
        <w:t xml:space="preserve"> CMK</w:t>
      </w:r>
      <w:r w:rsidR="006230A0">
        <w:rPr>
          <w:rFonts w:ascii="Times New Roman" w:hAnsi="Times New Roman" w:cs="Times New Roman"/>
        </w:rPr>
        <w:t xml:space="preserve"> ve Yönetmelik’te </w:t>
      </w:r>
      <w:r w:rsidR="004F0A8A">
        <w:rPr>
          <w:rFonts w:ascii="Times New Roman" w:hAnsi="Times New Roman" w:cs="Times New Roman"/>
        </w:rPr>
        <w:t>“</w:t>
      </w:r>
      <w:r w:rsidR="006230A0">
        <w:rPr>
          <w:rFonts w:ascii="Times New Roman" w:hAnsi="Times New Roman" w:cs="Times New Roman"/>
        </w:rPr>
        <w:t>hüküm</w:t>
      </w:r>
      <w:r w:rsidR="004F0A8A">
        <w:rPr>
          <w:rFonts w:ascii="Times New Roman" w:hAnsi="Times New Roman" w:cs="Times New Roman"/>
        </w:rPr>
        <w:t>”</w:t>
      </w:r>
      <w:r w:rsidR="006230A0">
        <w:rPr>
          <w:rFonts w:ascii="Times New Roman" w:hAnsi="Times New Roman" w:cs="Times New Roman"/>
        </w:rPr>
        <w:t xml:space="preserve"> olarak ifade edilmekte, </w:t>
      </w:r>
      <w:r>
        <w:rPr>
          <w:rFonts w:ascii="Times New Roman" w:hAnsi="Times New Roman" w:cs="Times New Roman"/>
        </w:rPr>
        <w:t xml:space="preserve">CMK m. 223 kapsamında mahkumiyet hükmü niteliği </w:t>
      </w:r>
      <w:r w:rsidR="00F242A8">
        <w:rPr>
          <w:rFonts w:ascii="Times New Roman" w:hAnsi="Times New Roman" w:cs="Times New Roman"/>
        </w:rPr>
        <w:t xml:space="preserve">taşıdığı </w:t>
      </w:r>
      <w:r w:rsidR="006230A0">
        <w:rPr>
          <w:rFonts w:ascii="Times New Roman" w:hAnsi="Times New Roman" w:cs="Times New Roman"/>
        </w:rPr>
        <w:t>kabul edilmektedir</w:t>
      </w:r>
      <w:r w:rsidR="00F242A8">
        <w:rPr>
          <w:rStyle w:val="FootnoteReference"/>
          <w:rFonts w:ascii="Times New Roman" w:hAnsi="Times New Roman" w:cs="Times New Roman"/>
        </w:rPr>
        <w:footnoteReference w:id="120"/>
      </w:r>
      <w:r w:rsidR="00F242A8">
        <w:rPr>
          <w:rFonts w:ascii="Times New Roman" w:hAnsi="Times New Roman" w:cs="Times New Roman"/>
        </w:rPr>
        <w:t>. Bu doğrultuda hakimin onay kararı</w:t>
      </w:r>
      <w:r w:rsidR="006230A0">
        <w:rPr>
          <w:rFonts w:ascii="Times New Roman" w:hAnsi="Times New Roman" w:cs="Times New Roman"/>
        </w:rPr>
        <w:t xml:space="preserve"> doğrudan</w:t>
      </w:r>
      <w:r w:rsidR="00F242A8">
        <w:rPr>
          <w:rFonts w:ascii="Times New Roman" w:hAnsi="Times New Roman" w:cs="Times New Roman"/>
        </w:rPr>
        <w:t xml:space="preserve"> icra edile</w:t>
      </w:r>
      <w:r w:rsidR="006230A0">
        <w:rPr>
          <w:rFonts w:ascii="Times New Roman" w:hAnsi="Times New Roman" w:cs="Times New Roman"/>
        </w:rPr>
        <w:t>bilecek ve adli sicile işlen</w:t>
      </w:r>
      <w:r w:rsidR="00F242A8">
        <w:rPr>
          <w:rFonts w:ascii="Times New Roman" w:hAnsi="Times New Roman" w:cs="Times New Roman"/>
        </w:rPr>
        <w:t>ecektir</w:t>
      </w:r>
      <w:r w:rsidR="005F6A39">
        <w:rPr>
          <w:rStyle w:val="FootnoteReference"/>
          <w:rFonts w:ascii="Times New Roman" w:hAnsi="Times New Roman" w:cs="Times New Roman"/>
        </w:rPr>
        <w:footnoteReference w:id="121"/>
      </w:r>
      <w:r w:rsidR="00F242A8">
        <w:rPr>
          <w:rFonts w:ascii="Times New Roman" w:hAnsi="Times New Roman" w:cs="Times New Roman"/>
        </w:rPr>
        <w:t xml:space="preserve">. </w:t>
      </w:r>
      <w:r w:rsidR="004F0A8A">
        <w:rPr>
          <w:rFonts w:ascii="Times New Roman" w:hAnsi="Times New Roman" w:cs="Times New Roman"/>
        </w:rPr>
        <w:t>Bununla birlikte</w:t>
      </w:r>
      <w:r w:rsidR="00D32921">
        <w:rPr>
          <w:rFonts w:ascii="Times New Roman" w:hAnsi="Times New Roman" w:cs="Times New Roman"/>
        </w:rPr>
        <w:t>,</w:t>
      </w:r>
      <w:r w:rsidR="00F242A8">
        <w:rPr>
          <w:rFonts w:ascii="Times New Roman" w:hAnsi="Times New Roman" w:cs="Times New Roman"/>
        </w:rPr>
        <w:t xml:space="preserve"> savcılık makamının belirlediği cezanın mahkeme tarafından kamu davası açılmaksızın ve tartışılmaksızın onaylandığı bir kararın hüküm niteliği taşıdığı</w:t>
      </w:r>
      <w:r w:rsidR="000B16BE">
        <w:rPr>
          <w:rFonts w:ascii="Times New Roman" w:hAnsi="Times New Roman" w:cs="Times New Roman"/>
        </w:rPr>
        <w:t>nın açık olduğu söylenemeyecektir</w:t>
      </w:r>
      <w:r w:rsidR="00F242A8">
        <w:rPr>
          <w:rFonts w:ascii="Times New Roman" w:hAnsi="Times New Roman" w:cs="Times New Roman"/>
        </w:rPr>
        <w:t xml:space="preserve">. Hüküm genel </w:t>
      </w:r>
      <w:r w:rsidR="000B16BE">
        <w:rPr>
          <w:rFonts w:ascii="Times New Roman" w:hAnsi="Times New Roman" w:cs="Times New Roman"/>
        </w:rPr>
        <w:t xml:space="preserve">tanımı </w:t>
      </w:r>
      <w:r w:rsidR="00F242A8">
        <w:rPr>
          <w:rFonts w:ascii="Times New Roman" w:hAnsi="Times New Roman" w:cs="Times New Roman"/>
        </w:rPr>
        <w:t>itibari</w:t>
      </w:r>
      <w:r w:rsidR="006A3AD2">
        <w:rPr>
          <w:rFonts w:ascii="Times New Roman" w:hAnsi="Times New Roman" w:cs="Times New Roman"/>
        </w:rPr>
        <w:t>yle ceza uyuşmazlığının esasını çözen kararlar</w:t>
      </w:r>
      <w:r w:rsidR="001D795D">
        <w:rPr>
          <w:rFonts w:ascii="Times New Roman" w:hAnsi="Times New Roman" w:cs="Times New Roman"/>
        </w:rPr>
        <w:t>ı ifade etmektedir</w:t>
      </w:r>
      <w:r w:rsidR="006A3AD2">
        <w:rPr>
          <w:rStyle w:val="FootnoteReference"/>
          <w:rFonts w:ascii="Times New Roman" w:hAnsi="Times New Roman" w:cs="Times New Roman"/>
        </w:rPr>
        <w:footnoteReference w:id="122"/>
      </w:r>
      <w:r w:rsidR="006A3AD2">
        <w:rPr>
          <w:rFonts w:ascii="Times New Roman" w:hAnsi="Times New Roman" w:cs="Times New Roman"/>
        </w:rPr>
        <w:t>. Bu yönüyle seri muhakeme usulünde hakimin uyuşmazlığın esasıyla ilgili fa</w:t>
      </w:r>
      <w:r w:rsidR="000B16BE">
        <w:rPr>
          <w:rFonts w:ascii="Times New Roman" w:hAnsi="Times New Roman" w:cs="Times New Roman"/>
        </w:rPr>
        <w:t>aliyetinin sınırlandırılmış olmasının</w:t>
      </w:r>
      <w:r w:rsidR="001D795D">
        <w:rPr>
          <w:rFonts w:ascii="Times New Roman" w:hAnsi="Times New Roman" w:cs="Times New Roman"/>
        </w:rPr>
        <w:t xml:space="preserve"> onay kararının hüküm niteliği taşıdığı konusunda tereddüt </w:t>
      </w:r>
      <w:r w:rsidR="006230A0">
        <w:rPr>
          <w:rFonts w:ascii="Times New Roman" w:hAnsi="Times New Roman" w:cs="Times New Roman"/>
        </w:rPr>
        <w:t>oluşturduğuna dikkat çekilmelidir</w:t>
      </w:r>
      <w:r w:rsidR="001D795D">
        <w:rPr>
          <w:rFonts w:ascii="Times New Roman" w:hAnsi="Times New Roman" w:cs="Times New Roman"/>
        </w:rPr>
        <w:t xml:space="preserve">. </w:t>
      </w:r>
      <w:r w:rsidR="00F242A8">
        <w:rPr>
          <w:rFonts w:ascii="Times New Roman" w:hAnsi="Times New Roman" w:cs="Times New Roman"/>
        </w:rPr>
        <w:t xml:space="preserve">Fransız hukukundaki usulde </w:t>
      </w:r>
      <w:r w:rsidR="006230A0">
        <w:rPr>
          <w:rFonts w:ascii="Times New Roman" w:hAnsi="Times New Roman" w:cs="Times New Roman"/>
        </w:rPr>
        <w:t>Türk hukukundan farklı olarak hakimin verdiği</w:t>
      </w:r>
      <w:r w:rsidR="00F242A8">
        <w:rPr>
          <w:rFonts w:ascii="Times New Roman" w:hAnsi="Times New Roman" w:cs="Times New Roman"/>
        </w:rPr>
        <w:t xml:space="preserve"> onay kararnamesinin mahkumiyet hükmünün sonuçlarını doğuracağı ve derhal infaz edilebilir olduğu kanun metninde açıkça </w:t>
      </w:r>
      <w:r w:rsidR="006230A0">
        <w:rPr>
          <w:rFonts w:ascii="Times New Roman" w:hAnsi="Times New Roman" w:cs="Times New Roman"/>
        </w:rPr>
        <w:t>düzenlenmiştir</w:t>
      </w:r>
      <w:r w:rsidR="00F242A8">
        <w:rPr>
          <w:rFonts w:ascii="Times New Roman" w:hAnsi="Times New Roman" w:cs="Times New Roman"/>
        </w:rPr>
        <w:t xml:space="preserve"> (Fransız CMK m. 495-11, f. 2). </w:t>
      </w:r>
      <w:r w:rsidR="00D32921">
        <w:rPr>
          <w:rFonts w:ascii="Times New Roman" w:hAnsi="Times New Roman" w:cs="Times New Roman"/>
        </w:rPr>
        <w:t xml:space="preserve">Fransız hukukunda hakimin esasla ilgili denetim yetkisi sınırlandırılmış olsa da mağdurun da katılabildiği aleni duruşmada cezanın orantılılığının dikkate alındığı bir usul söz konusudur.  </w:t>
      </w:r>
    </w:p>
    <w:p w14:paraId="57C721A0" w14:textId="77777777" w:rsidR="000A68E9" w:rsidRDefault="000A68E9" w:rsidP="00861C41">
      <w:pPr>
        <w:spacing w:line="360" w:lineRule="auto"/>
        <w:ind w:firstLine="720"/>
        <w:jc w:val="both"/>
        <w:rPr>
          <w:rFonts w:ascii="Times New Roman" w:hAnsi="Times New Roman" w:cs="Times New Roman"/>
        </w:rPr>
      </w:pPr>
    </w:p>
    <w:p w14:paraId="20735216" w14:textId="353DBA7C" w:rsidR="00F40690" w:rsidRPr="00861C41" w:rsidRDefault="00B21016" w:rsidP="001D6727">
      <w:pPr>
        <w:spacing w:line="360" w:lineRule="auto"/>
        <w:ind w:firstLine="720"/>
        <w:jc w:val="both"/>
        <w:rPr>
          <w:rFonts w:ascii="Times New Roman" w:hAnsi="Times New Roman" w:cs="Times New Roman"/>
        </w:rPr>
      </w:pPr>
      <w:r>
        <w:rPr>
          <w:rFonts w:ascii="Times New Roman" w:hAnsi="Times New Roman" w:cs="Times New Roman"/>
        </w:rPr>
        <w:t xml:space="preserve">CMK m. 250/14 uyarınca mahkemenin talepname doğrultusunda </w:t>
      </w:r>
      <w:r w:rsidR="006230A0">
        <w:rPr>
          <w:rFonts w:ascii="Times New Roman" w:hAnsi="Times New Roman" w:cs="Times New Roman"/>
        </w:rPr>
        <w:t xml:space="preserve">kurduğu hükme </w:t>
      </w:r>
      <w:r>
        <w:rPr>
          <w:rFonts w:ascii="Times New Roman" w:hAnsi="Times New Roman" w:cs="Times New Roman"/>
        </w:rPr>
        <w:t xml:space="preserve">karşı itiraz yoluna başvurulması mümkündür. </w:t>
      </w:r>
      <w:r w:rsidR="00315AD7">
        <w:rPr>
          <w:rFonts w:ascii="Times New Roman" w:hAnsi="Times New Roman" w:cs="Times New Roman"/>
        </w:rPr>
        <w:t xml:space="preserve">Yukarıda belirtildiği üzere hüküm olarak nitelendirilen bir karara karşı istinaf kanun yolunun açılmamış olması </w:t>
      </w:r>
      <w:r w:rsidR="0005696C">
        <w:rPr>
          <w:rFonts w:ascii="Times New Roman" w:hAnsi="Times New Roman" w:cs="Times New Roman"/>
        </w:rPr>
        <w:t xml:space="preserve">ve </w:t>
      </w:r>
      <w:r w:rsidR="00315AD7">
        <w:rPr>
          <w:rFonts w:ascii="Times New Roman" w:hAnsi="Times New Roman" w:cs="Times New Roman"/>
        </w:rPr>
        <w:t>itiraz kanu</w:t>
      </w:r>
      <w:r w:rsidR="0005696C">
        <w:rPr>
          <w:rFonts w:ascii="Times New Roman" w:hAnsi="Times New Roman" w:cs="Times New Roman"/>
        </w:rPr>
        <w:t>n yoluna tabi tutulmuş olması</w:t>
      </w:r>
      <w:r w:rsidR="00315AD7">
        <w:rPr>
          <w:rFonts w:ascii="Times New Roman" w:hAnsi="Times New Roman" w:cs="Times New Roman"/>
        </w:rPr>
        <w:t xml:space="preserve"> düzenlemeyi</w:t>
      </w:r>
      <w:r w:rsidR="00755ED1">
        <w:rPr>
          <w:rFonts w:ascii="Times New Roman" w:hAnsi="Times New Roman" w:cs="Times New Roman"/>
        </w:rPr>
        <w:t xml:space="preserve"> bu yönden</w:t>
      </w:r>
      <w:r w:rsidR="00F64AD9">
        <w:rPr>
          <w:rFonts w:ascii="Times New Roman" w:hAnsi="Times New Roman" w:cs="Times New Roman"/>
        </w:rPr>
        <w:t xml:space="preserve"> de</w:t>
      </w:r>
      <w:r w:rsidR="00315AD7">
        <w:rPr>
          <w:rFonts w:ascii="Times New Roman" w:hAnsi="Times New Roman" w:cs="Times New Roman"/>
        </w:rPr>
        <w:t xml:space="preserve"> karışık hale getirmektedir</w:t>
      </w:r>
      <w:r w:rsidR="00FA13C0">
        <w:rPr>
          <w:rStyle w:val="FootnoteReference"/>
          <w:rFonts w:ascii="Times New Roman" w:hAnsi="Times New Roman" w:cs="Times New Roman"/>
        </w:rPr>
        <w:footnoteReference w:id="123"/>
      </w:r>
      <w:r w:rsidR="00315AD7">
        <w:rPr>
          <w:rFonts w:ascii="Times New Roman" w:hAnsi="Times New Roman" w:cs="Times New Roman"/>
        </w:rPr>
        <w:t>. Türk hukukundan farklı olarak Fransız hukukundaki usulde hakimin onay kararnamesine karşı olağan kanun yo</w:t>
      </w:r>
      <w:r w:rsidR="00463E49">
        <w:rPr>
          <w:rFonts w:ascii="Times New Roman" w:hAnsi="Times New Roman" w:cs="Times New Roman"/>
        </w:rPr>
        <w:t>lu olan istinafa</w:t>
      </w:r>
      <w:r w:rsidR="0005696C">
        <w:rPr>
          <w:rFonts w:ascii="Times New Roman" w:hAnsi="Times New Roman" w:cs="Times New Roman"/>
        </w:rPr>
        <w:t xml:space="preserve"> başvurma imkanı tanınmış</w:t>
      </w:r>
      <w:r w:rsidR="00FA13C0">
        <w:rPr>
          <w:rFonts w:ascii="Times New Roman" w:hAnsi="Times New Roman" w:cs="Times New Roman"/>
        </w:rPr>
        <w:t xml:space="preserve"> (Fransız CMK m. 495-11, f. 3)</w:t>
      </w:r>
      <w:r w:rsidR="0005696C">
        <w:rPr>
          <w:rFonts w:ascii="Times New Roman" w:hAnsi="Times New Roman" w:cs="Times New Roman"/>
        </w:rPr>
        <w:t>, böylece bu usul</w:t>
      </w:r>
      <w:r w:rsidR="00463E49">
        <w:rPr>
          <w:rFonts w:ascii="Times New Roman" w:hAnsi="Times New Roman" w:cs="Times New Roman"/>
        </w:rPr>
        <w:t xml:space="preserve">de </w:t>
      </w:r>
      <w:r w:rsidR="0005696C">
        <w:rPr>
          <w:rFonts w:ascii="Times New Roman" w:hAnsi="Times New Roman" w:cs="Times New Roman"/>
        </w:rPr>
        <w:t>verilen kararla ilgili olarak bir üst derece mahkemesi önünde denetim</w:t>
      </w:r>
      <w:r w:rsidR="00767D2F">
        <w:rPr>
          <w:rFonts w:ascii="Times New Roman" w:hAnsi="Times New Roman" w:cs="Times New Roman"/>
        </w:rPr>
        <w:t xml:space="preserve"> imkanı veren bir kanun yolu </w:t>
      </w:r>
      <w:r w:rsidR="0005696C">
        <w:rPr>
          <w:rFonts w:ascii="Times New Roman" w:hAnsi="Times New Roman" w:cs="Times New Roman"/>
        </w:rPr>
        <w:t>sunulmuş</w:t>
      </w:r>
      <w:r w:rsidR="00463E49">
        <w:rPr>
          <w:rFonts w:ascii="Times New Roman" w:hAnsi="Times New Roman" w:cs="Times New Roman"/>
        </w:rPr>
        <w:t>tur</w:t>
      </w:r>
      <w:r w:rsidR="0005696C">
        <w:rPr>
          <w:rStyle w:val="FootnoteReference"/>
          <w:rFonts w:ascii="Times New Roman" w:hAnsi="Times New Roman" w:cs="Times New Roman"/>
        </w:rPr>
        <w:footnoteReference w:id="124"/>
      </w:r>
      <w:r w:rsidR="0005696C">
        <w:rPr>
          <w:rFonts w:ascii="Times New Roman" w:hAnsi="Times New Roman" w:cs="Times New Roman"/>
        </w:rPr>
        <w:t xml:space="preserve">. </w:t>
      </w:r>
    </w:p>
    <w:p w14:paraId="60A9FC93" w14:textId="729214BF" w:rsidR="002E61B1" w:rsidRPr="00710B84" w:rsidRDefault="00215523" w:rsidP="003447D4">
      <w:pPr>
        <w:pStyle w:val="Heading1"/>
      </w:pPr>
      <w:r>
        <w:t>I</w:t>
      </w:r>
      <w:r w:rsidR="0064554F">
        <w:t xml:space="preserve">V. </w:t>
      </w:r>
      <w:r w:rsidR="0064554F">
        <w:tab/>
        <w:t>TÜRK VE FRANSIZ HUKUKLARIN</w:t>
      </w:r>
      <w:r w:rsidR="00324821">
        <w:t xml:space="preserve">DAKİ </w:t>
      </w:r>
      <w:r w:rsidR="001C54C3">
        <w:t>DÜZENLEMELERE</w:t>
      </w:r>
      <w:r>
        <w:t xml:space="preserve"> YÖNELİK </w:t>
      </w:r>
      <w:r w:rsidR="0033273E">
        <w:t>ÖNE ÇIKAN</w:t>
      </w:r>
      <w:r>
        <w:t xml:space="preserve"> DEĞERLENDİRMELER </w:t>
      </w:r>
    </w:p>
    <w:p w14:paraId="71E2DA54" w14:textId="77777777" w:rsidR="009B4FE6" w:rsidRDefault="009B4FE6" w:rsidP="00353561">
      <w:pPr>
        <w:spacing w:line="360" w:lineRule="auto"/>
        <w:jc w:val="both"/>
        <w:rPr>
          <w:rFonts w:ascii="Times New Roman" w:hAnsi="Times New Roman" w:cs="Times New Roman"/>
        </w:rPr>
      </w:pPr>
    </w:p>
    <w:p w14:paraId="6669FF7E" w14:textId="7806AB5D" w:rsidR="00130882" w:rsidRDefault="00130882" w:rsidP="00353561">
      <w:pPr>
        <w:spacing w:line="360" w:lineRule="auto"/>
        <w:jc w:val="both"/>
        <w:rPr>
          <w:rFonts w:ascii="Times New Roman" w:hAnsi="Times New Roman" w:cs="Times New Roman"/>
        </w:rPr>
      </w:pPr>
      <w:r>
        <w:rPr>
          <w:rFonts w:ascii="Times New Roman" w:hAnsi="Times New Roman" w:cs="Times New Roman"/>
        </w:rPr>
        <w:tab/>
      </w:r>
      <w:r w:rsidR="00EC2AE2">
        <w:rPr>
          <w:rFonts w:ascii="Times New Roman" w:hAnsi="Times New Roman" w:cs="Times New Roman"/>
        </w:rPr>
        <w:t>Türk ve Fransız hukuklarındaki seri usullerin yukarıda ele alınan düzenlenme şekilleri ve özellikleri karşılaştırıldığında</w:t>
      </w:r>
      <w:r w:rsidR="00CC3425">
        <w:rPr>
          <w:rFonts w:ascii="Times New Roman" w:hAnsi="Times New Roman" w:cs="Times New Roman"/>
        </w:rPr>
        <w:t>,</w:t>
      </w:r>
      <w:r w:rsidR="00EC2AE2">
        <w:rPr>
          <w:rFonts w:ascii="Times New Roman" w:hAnsi="Times New Roman" w:cs="Times New Roman"/>
        </w:rPr>
        <w:t xml:space="preserve"> bu iki kurumun </w:t>
      </w:r>
      <w:r w:rsidR="00CC3425">
        <w:rPr>
          <w:rFonts w:ascii="Times New Roman" w:hAnsi="Times New Roman" w:cs="Times New Roman"/>
        </w:rPr>
        <w:t xml:space="preserve">özellikle </w:t>
      </w:r>
      <w:r w:rsidR="00EC2AE2">
        <w:rPr>
          <w:rFonts w:ascii="Times New Roman" w:hAnsi="Times New Roman" w:cs="Times New Roman"/>
        </w:rPr>
        <w:t xml:space="preserve">adil yargılanma hakkı kapsamında </w:t>
      </w:r>
      <w:r w:rsidR="00CC3425">
        <w:rPr>
          <w:rFonts w:ascii="Times New Roman" w:hAnsi="Times New Roman" w:cs="Times New Roman"/>
        </w:rPr>
        <w:t>yer alan bazı güvencelerle,</w:t>
      </w:r>
      <w:r w:rsidR="00EC2AE2">
        <w:rPr>
          <w:rFonts w:ascii="Times New Roman" w:hAnsi="Times New Roman" w:cs="Times New Roman"/>
        </w:rPr>
        <w:t xml:space="preserve"> ceza muhakemesi sisteminin genel yapısı ve bu yapıdaki süjelerin rolleriyle ve nihayet ceza muhakemesinin etkinliğiyle ilgili bazı tespitler öne çıkmaktadır. Bu bölümde</w:t>
      </w:r>
      <w:r w:rsidR="0042116F">
        <w:rPr>
          <w:rFonts w:ascii="Times New Roman" w:hAnsi="Times New Roman" w:cs="Times New Roman"/>
        </w:rPr>
        <w:t>,</w:t>
      </w:r>
      <w:r w:rsidR="00EC2AE2">
        <w:rPr>
          <w:rFonts w:ascii="Times New Roman" w:hAnsi="Times New Roman" w:cs="Times New Roman"/>
        </w:rPr>
        <w:t xml:space="preserve"> </w:t>
      </w:r>
      <w:r w:rsidR="00CC3425">
        <w:rPr>
          <w:rFonts w:ascii="Times New Roman" w:hAnsi="Times New Roman" w:cs="Times New Roman"/>
        </w:rPr>
        <w:t xml:space="preserve">öne çıkan </w:t>
      </w:r>
      <w:r w:rsidR="00EC2AE2">
        <w:rPr>
          <w:rFonts w:ascii="Times New Roman" w:hAnsi="Times New Roman" w:cs="Times New Roman"/>
        </w:rPr>
        <w:t xml:space="preserve">bu tespitlerin </w:t>
      </w:r>
      <w:r w:rsidR="00AF5509">
        <w:rPr>
          <w:rFonts w:ascii="Times New Roman" w:hAnsi="Times New Roman" w:cs="Times New Roman"/>
        </w:rPr>
        <w:t xml:space="preserve">karşılaştırmalı bir yolla </w:t>
      </w:r>
      <w:r w:rsidR="00EC2AE2">
        <w:rPr>
          <w:rFonts w:ascii="Times New Roman" w:hAnsi="Times New Roman" w:cs="Times New Roman"/>
        </w:rPr>
        <w:t xml:space="preserve">genel bir çerçevede ele alınmasına çalışılmıştır. </w:t>
      </w:r>
    </w:p>
    <w:p w14:paraId="6DB7D908" w14:textId="77777777" w:rsidR="00CC3425" w:rsidRDefault="00CC3425" w:rsidP="00353561">
      <w:pPr>
        <w:spacing w:line="360" w:lineRule="auto"/>
        <w:jc w:val="both"/>
        <w:rPr>
          <w:rFonts w:ascii="Times New Roman" w:hAnsi="Times New Roman" w:cs="Times New Roman"/>
        </w:rPr>
      </w:pPr>
    </w:p>
    <w:p w14:paraId="3E1EF6BE" w14:textId="7B121EC8" w:rsidR="00FC5CA5" w:rsidRDefault="001C54C3" w:rsidP="003447D4">
      <w:pPr>
        <w:pStyle w:val="Heading2"/>
      </w:pPr>
      <w:r>
        <w:t>A</w:t>
      </w:r>
      <w:r w:rsidR="00687C1F" w:rsidRPr="00710B84">
        <w:t xml:space="preserve">. </w:t>
      </w:r>
      <w:r w:rsidR="00687C1F" w:rsidRPr="00710B84">
        <w:tab/>
      </w:r>
      <w:r w:rsidR="00043B16" w:rsidRPr="00710B84">
        <w:t xml:space="preserve"> </w:t>
      </w:r>
      <w:r w:rsidR="00E81A49" w:rsidRPr="00A25C34">
        <w:t>Adil Yargılanma Hakkı Kapsamındaki Güvenceler</w:t>
      </w:r>
    </w:p>
    <w:p w14:paraId="2E6ED8D4" w14:textId="77777777" w:rsidR="001C54C3" w:rsidRDefault="001C54C3" w:rsidP="001C54C3">
      <w:pPr>
        <w:spacing w:line="360" w:lineRule="auto"/>
        <w:jc w:val="both"/>
        <w:rPr>
          <w:rFonts w:ascii="Times New Roman" w:hAnsi="Times New Roman" w:cs="Times New Roman"/>
          <w:b/>
        </w:rPr>
      </w:pPr>
    </w:p>
    <w:p w14:paraId="15C14D13" w14:textId="4E607B60" w:rsidR="00196F49" w:rsidRDefault="0030224F" w:rsidP="006C363A">
      <w:pPr>
        <w:spacing w:line="360" w:lineRule="auto"/>
        <w:ind w:firstLine="720"/>
        <w:jc w:val="both"/>
        <w:rPr>
          <w:rFonts w:ascii="Times New Roman" w:hAnsi="Times New Roman" w:cs="Times New Roman"/>
        </w:rPr>
      </w:pPr>
      <w:r>
        <w:rPr>
          <w:rFonts w:ascii="Times New Roman" w:hAnsi="Times New Roman" w:cs="Times New Roman"/>
        </w:rPr>
        <w:t>Seri ve</w:t>
      </w:r>
      <w:r w:rsidR="007205AB">
        <w:rPr>
          <w:rFonts w:ascii="Times New Roman" w:hAnsi="Times New Roman" w:cs="Times New Roman"/>
        </w:rPr>
        <w:t>ya</w:t>
      </w:r>
      <w:r>
        <w:rPr>
          <w:rFonts w:ascii="Times New Roman" w:hAnsi="Times New Roman" w:cs="Times New Roman"/>
        </w:rPr>
        <w:t xml:space="preserve"> basit</w:t>
      </w:r>
      <w:r w:rsidR="007205AB">
        <w:rPr>
          <w:rFonts w:ascii="Times New Roman" w:hAnsi="Times New Roman" w:cs="Times New Roman"/>
        </w:rPr>
        <w:t>leştirilmiş</w:t>
      </w:r>
      <w:r>
        <w:rPr>
          <w:rFonts w:ascii="Times New Roman" w:hAnsi="Times New Roman" w:cs="Times New Roman"/>
        </w:rPr>
        <w:t xml:space="preserve"> </w:t>
      </w:r>
      <w:r w:rsidR="007205AB">
        <w:rPr>
          <w:rFonts w:ascii="Times New Roman" w:hAnsi="Times New Roman" w:cs="Times New Roman"/>
        </w:rPr>
        <w:t xml:space="preserve">bir </w:t>
      </w:r>
      <w:r>
        <w:rPr>
          <w:rFonts w:ascii="Times New Roman" w:hAnsi="Times New Roman" w:cs="Times New Roman"/>
        </w:rPr>
        <w:t xml:space="preserve">muhakeme usulü öngören kurumların her biri </w:t>
      </w:r>
      <w:r w:rsidR="00FD7C11">
        <w:rPr>
          <w:rFonts w:ascii="Times New Roman" w:hAnsi="Times New Roman" w:cs="Times New Roman"/>
        </w:rPr>
        <w:t xml:space="preserve"> süreci hızlandırmak</w:t>
      </w:r>
      <w:r>
        <w:rPr>
          <w:rFonts w:ascii="Times New Roman" w:hAnsi="Times New Roman" w:cs="Times New Roman"/>
        </w:rPr>
        <w:t xml:space="preserve"> amacıyla olağan muhakeme sürecinin işlemlerini ve düzenini değiştirmektedir. Bu </w:t>
      </w:r>
      <w:r w:rsidR="00C00E65">
        <w:rPr>
          <w:rFonts w:ascii="Times New Roman" w:hAnsi="Times New Roman" w:cs="Times New Roman"/>
        </w:rPr>
        <w:t>değişime bağlı olarak olağan usulde temin edilen</w:t>
      </w:r>
      <w:r>
        <w:rPr>
          <w:rFonts w:ascii="Times New Roman" w:hAnsi="Times New Roman" w:cs="Times New Roman"/>
        </w:rPr>
        <w:t xml:space="preserve"> adil yargılanma hakkı kapsamındaki güvencelerin</w:t>
      </w:r>
      <w:r w:rsidR="0093484C">
        <w:rPr>
          <w:rFonts w:ascii="Times New Roman" w:hAnsi="Times New Roman" w:cs="Times New Roman"/>
        </w:rPr>
        <w:t xml:space="preserve"> </w:t>
      </w:r>
      <w:r w:rsidR="00FD7C11">
        <w:rPr>
          <w:rFonts w:ascii="Times New Roman" w:hAnsi="Times New Roman" w:cs="Times New Roman"/>
        </w:rPr>
        <w:t xml:space="preserve">de </w:t>
      </w:r>
      <w:r w:rsidR="0093484C">
        <w:rPr>
          <w:rFonts w:ascii="Times New Roman" w:hAnsi="Times New Roman" w:cs="Times New Roman"/>
        </w:rPr>
        <w:t>bazıları</w:t>
      </w:r>
      <w:r>
        <w:rPr>
          <w:rFonts w:ascii="Times New Roman" w:hAnsi="Times New Roman" w:cs="Times New Roman"/>
        </w:rPr>
        <w:t xml:space="preserve"> devre dışı </w:t>
      </w:r>
      <w:r w:rsidR="0093484C">
        <w:rPr>
          <w:rFonts w:ascii="Times New Roman" w:hAnsi="Times New Roman" w:cs="Times New Roman"/>
        </w:rPr>
        <w:t xml:space="preserve">bırakılmakta veya sınırlandırılmaktadır. </w:t>
      </w:r>
    </w:p>
    <w:p w14:paraId="7E89107D" w14:textId="77777777" w:rsidR="00196F49" w:rsidRDefault="00196F49" w:rsidP="006C363A">
      <w:pPr>
        <w:spacing w:line="360" w:lineRule="auto"/>
        <w:ind w:firstLine="720"/>
        <w:jc w:val="both"/>
        <w:rPr>
          <w:rFonts w:ascii="Times New Roman" w:hAnsi="Times New Roman" w:cs="Times New Roman"/>
        </w:rPr>
      </w:pPr>
    </w:p>
    <w:p w14:paraId="47F2C00F" w14:textId="33B69544" w:rsidR="00B46F94" w:rsidRDefault="00B46F94" w:rsidP="006C363A">
      <w:pPr>
        <w:spacing w:line="360" w:lineRule="auto"/>
        <w:ind w:firstLine="720"/>
        <w:jc w:val="both"/>
        <w:rPr>
          <w:rFonts w:ascii="Times New Roman" w:hAnsi="Times New Roman" w:cs="Times New Roman"/>
        </w:rPr>
      </w:pPr>
      <w:r>
        <w:rPr>
          <w:rFonts w:ascii="Times New Roman" w:hAnsi="Times New Roman" w:cs="Times New Roman"/>
        </w:rPr>
        <w:t>A</w:t>
      </w:r>
      <w:r w:rsidR="00FD7C11">
        <w:rPr>
          <w:rFonts w:ascii="Times New Roman" w:hAnsi="Times New Roman" w:cs="Times New Roman"/>
        </w:rPr>
        <w:t>vrupa İnsan Hakları Mahkemesi (A</w:t>
      </w:r>
      <w:r>
        <w:rPr>
          <w:rFonts w:ascii="Times New Roman" w:hAnsi="Times New Roman" w:cs="Times New Roman"/>
        </w:rPr>
        <w:t>İHM</w:t>
      </w:r>
      <w:r w:rsidR="0023048B">
        <w:rPr>
          <w:rFonts w:ascii="Times New Roman" w:hAnsi="Times New Roman" w:cs="Times New Roman"/>
        </w:rPr>
        <w:t>) bu konuda</w:t>
      </w:r>
      <w:r w:rsidR="00FD7C11">
        <w:rPr>
          <w:rFonts w:ascii="Times New Roman" w:hAnsi="Times New Roman" w:cs="Times New Roman"/>
        </w:rPr>
        <w:t>, sanığın suçluluğunun hızlandırılmış bir usulle tespit edilmesine yönelik bir muhakeme sürecinin bazı haklardan feragat edilmesini gerektirdiğini ve AİHS m. 6’nın şüpheli veya sanığın kendi özgür iradesiyle ceza muhakemesindeki bazı güvencelerden bu şekilde feragat etmesini engellemediğini ifade etmiştir</w:t>
      </w:r>
      <w:r w:rsidR="00C92D70">
        <w:rPr>
          <w:rStyle w:val="FootnoteReference"/>
          <w:rFonts w:ascii="Times New Roman" w:hAnsi="Times New Roman" w:cs="Times New Roman"/>
        </w:rPr>
        <w:footnoteReference w:id="125"/>
      </w:r>
      <w:r w:rsidR="00FD7C11">
        <w:rPr>
          <w:rFonts w:ascii="Times New Roman" w:hAnsi="Times New Roman" w:cs="Times New Roman"/>
        </w:rPr>
        <w:t>.</w:t>
      </w:r>
      <w:r>
        <w:rPr>
          <w:rFonts w:ascii="Times New Roman" w:hAnsi="Times New Roman" w:cs="Times New Roman"/>
        </w:rPr>
        <w:t xml:space="preserve"> </w:t>
      </w:r>
      <w:r w:rsidR="00FD7C11" w:rsidRPr="00B46F94">
        <w:rPr>
          <w:rFonts w:ascii="Times New Roman" w:hAnsi="Times New Roman" w:cs="Times New Roman"/>
          <w:i/>
        </w:rPr>
        <w:t>Natsvlishvili ve Togonidze/ Gürcistan</w:t>
      </w:r>
      <w:r w:rsidR="00FD7C11">
        <w:rPr>
          <w:rFonts w:ascii="Times New Roman" w:hAnsi="Times New Roman" w:cs="Times New Roman"/>
        </w:rPr>
        <w:t xml:space="preserve"> kararında</w:t>
      </w:r>
      <w:r>
        <w:rPr>
          <w:rFonts w:ascii="Times New Roman" w:hAnsi="Times New Roman" w:cs="Times New Roman"/>
        </w:rPr>
        <w:t xml:space="preserve"> </w:t>
      </w:r>
      <w:r w:rsidR="0023048B">
        <w:rPr>
          <w:rFonts w:ascii="Times New Roman" w:hAnsi="Times New Roman" w:cs="Times New Roman"/>
        </w:rPr>
        <w:t xml:space="preserve">Mahkeme, </w:t>
      </w:r>
      <w:r w:rsidR="00FD7C11">
        <w:rPr>
          <w:rFonts w:ascii="Times New Roman" w:hAnsi="Times New Roman" w:cs="Times New Roman"/>
        </w:rPr>
        <w:t xml:space="preserve">Gürcistan’da muhakemenin hızlandırılmasına yönelik alternatif usuller kapsamında uygulanan iddia pazarlığı benzeri kurumu adil yargılanma hakkına etkisi yönünden değerlendirmiş, </w:t>
      </w:r>
      <w:r>
        <w:rPr>
          <w:rFonts w:ascii="Times New Roman" w:hAnsi="Times New Roman" w:cs="Times New Roman"/>
        </w:rPr>
        <w:t>AİHS</w:t>
      </w:r>
      <w:r w:rsidR="00B14EDF">
        <w:rPr>
          <w:rFonts w:ascii="Times New Roman" w:hAnsi="Times New Roman" w:cs="Times New Roman"/>
        </w:rPr>
        <w:t xml:space="preserve"> m. 6’ya aykırılık bulunmadığı</w:t>
      </w:r>
      <w:r w:rsidR="00FD7C11">
        <w:rPr>
          <w:rFonts w:ascii="Times New Roman" w:hAnsi="Times New Roman" w:cs="Times New Roman"/>
        </w:rPr>
        <w:t xml:space="preserve"> sonucuna ulaşmıştır</w:t>
      </w:r>
      <w:r>
        <w:rPr>
          <w:rStyle w:val="FootnoteReference"/>
          <w:rFonts w:ascii="Times New Roman" w:hAnsi="Times New Roman" w:cs="Times New Roman"/>
        </w:rPr>
        <w:footnoteReference w:id="126"/>
      </w:r>
      <w:r>
        <w:rPr>
          <w:rFonts w:ascii="Times New Roman" w:hAnsi="Times New Roman" w:cs="Times New Roman"/>
        </w:rPr>
        <w:t xml:space="preserve">. </w:t>
      </w:r>
      <w:r w:rsidR="00FD7C11" w:rsidRPr="00FD7C11">
        <w:rPr>
          <w:rFonts w:ascii="Times New Roman" w:hAnsi="Times New Roman" w:cs="Times New Roman"/>
        </w:rPr>
        <w:t>Bu kararda AİHM</w:t>
      </w:r>
      <w:r w:rsidRPr="00FD7C11">
        <w:rPr>
          <w:rFonts w:ascii="Times New Roman" w:hAnsi="Times New Roman" w:cs="Times New Roman"/>
        </w:rPr>
        <w:t xml:space="preserve"> </w:t>
      </w:r>
      <w:r>
        <w:rPr>
          <w:rFonts w:ascii="Times New Roman" w:hAnsi="Times New Roman" w:cs="Times New Roman"/>
        </w:rPr>
        <w:t>öncelikle, failin soruşturma makamlarıyla işbirliği veya ikrarı karşılığında cezada indirim almasını sağlayan usuli yöntemlerin Avrupa ceza adaleti sistemlerinin genelinde bulunan bir özellik olduğunun altını çizmiştir. Buradan yola çıkarak Mahkeme iddia pazarlığı usulünün yerinde olmayan bir usul olduğunun otomatik olarak söylenemeyeceğini, doğru icra edildiği takdirde hem muhakeme sürecini hızlandırmak ve mahkemelerin iş yükünü azaltmak hem de yolsuzluk ve örgütlü suçlulukla mücadelede faydalı bir araç olacağını belirtmiştir</w:t>
      </w:r>
      <w:r>
        <w:rPr>
          <w:rStyle w:val="FootnoteReference"/>
          <w:rFonts w:ascii="Times New Roman" w:hAnsi="Times New Roman" w:cs="Times New Roman"/>
        </w:rPr>
        <w:footnoteReference w:id="127"/>
      </w:r>
      <w:r>
        <w:rPr>
          <w:rFonts w:ascii="Times New Roman" w:hAnsi="Times New Roman" w:cs="Times New Roman"/>
        </w:rPr>
        <w:t xml:space="preserve">. </w:t>
      </w:r>
      <w:r w:rsidR="00FD7C11">
        <w:rPr>
          <w:rFonts w:ascii="Times New Roman" w:hAnsi="Times New Roman" w:cs="Times New Roman"/>
        </w:rPr>
        <w:t>Ancak AİHM’e göre bu usulün adil yargılanma hakkının ihlaline yol açmaması</w:t>
      </w:r>
      <w:r>
        <w:rPr>
          <w:rFonts w:ascii="Times New Roman" w:hAnsi="Times New Roman" w:cs="Times New Roman"/>
        </w:rPr>
        <w:t xml:space="preserve"> için ş</w:t>
      </w:r>
      <w:r w:rsidR="00FD7C11">
        <w:rPr>
          <w:rFonts w:ascii="Times New Roman" w:hAnsi="Times New Roman" w:cs="Times New Roman"/>
        </w:rPr>
        <w:t xml:space="preserve">üpheli veya sanığın </w:t>
      </w:r>
      <w:r w:rsidR="001E5C13">
        <w:rPr>
          <w:rFonts w:ascii="Times New Roman" w:hAnsi="Times New Roman" w:cs="Times New Roman"/>
        </w:rPr>
        <w:t xml:space="preserve">bu usul kapsamındaki anlaşmayı </w:t>
      </w:r>
      <w:r>
        <w:rPr>
          <w:rFonts w:ascii="Times New Roman" w:hAnsi="Times New Roman" w:cs="Times New Roman"/>
        </w:rPr>
        <w:t>hukuki sonuçları hakkında yete</w:t>
      </w:r>
      <w:r w:rsidR="009147C5">
        <w:rPr>
          <w:rFonts w:ascii="Times New Roman" w:hAnsi="Times New Roman" w:cs="Times New Roman"/>
        </w:rPr>
        <w:t>rince bilgilendirilmiş olarak</w:t>
      </w:r>
      <w:r>
        <w:rPr>
          <w:rFonts w:ascii="Times New Roman" w:hAnsi="Times New Roman" w:cs="Times New Roman"/>
        </w:rPr>
        <w:t xml:space="preserve"> özgür iradesiyle </w:t>
      </w:r>
      <w:r w:rsidR="001E5C13">
        <w:rPr>
          <w:rFonts w:ascii="Times New Roman" w:hAnsi="Times New Roman" w:cs="Times New Roman"/>
        </w:rPr>
        <w:t>kabul etmesi</w:t>
      </w:r>
      <w:r>
        <w:rPr>
          <w:rFonts w:ascii="Times New Roman" w:hAnsi="Times New Roman" w:cs="Times New Roman"/>
        </w:rPr>
        <w:t xml:space="preserve"> ve anlaşmanın </w:t>
      </w:r>
      <w:r w:rsidR="009147C5">
        <w:rPr>
          <w:rFonts w:ascii="Times New Roman" w:hAnsi="Times New Roman" w:cs="Times New Roman"/>
        </w:rPr>
        <w:t xml:space="preserve">kapsamı ile adil şekilde gerçekleştirilmiş olduğunun </w:t>
      </w:r>
      <w:r>
        <w:rPr>
          <w:rFonts w:ascii="Times New Roman" w:hAnsi="Times New Roman" w:cs="Times New Roman"/>
        </w:rPr>
        <w:t>mutlaka yeterli yargısal denetime tabi tutulmuş olması gerekir</w:t>
      </w:r>
      <w:r>
        <w:rPr>
          <w:rStyle w:val="FootnoteReference"/>
          <w:rFonts w:ascii="Times New Roman" w:hAnsi="Times New Roman" w:cs="Times New Roman"/>
        </w:rPr>
        <w:footnoteReference w:id="128"/>
      </w:r>
      <w:r>
        <w:rPr>
          <w:rFonts w:ascii="Times New Roman" w:hAnsi="Times New Roman" w:cs="Times New Roman"/>
        </w:rPr>
        <w:t>. Bu yaklaşım doğrultusunda AİHM, iddia pazarlığı benzeri hızlandırılmış bir alternatif usulle ilgili olarak</w:t>
      </w:r>
      <w:r w:rsidR="00C76481">
        <w:rPr>
          <w:rFonts w:ascii="Times New Roman" w:hAnsi="Times New Roman" w:cs="Times New Roman"/>
        </w:rPr>
        <w:t xml:space="preserve">, </w:t>
      </w:r>
      <w:r>
        <w:rPr>
          <w:rFonts w:ascii="Times New Roman" w:hAnsi="Times New Roman" w:cs="Times New Roman"/>
        </w:rPr>
        <w:t xml:space="preserve">bu usulün şüphelinin kendi iradesiyle tercih ve teklif edilmesi, şüpheliye dosyayla ilgili verilere erişim imkanının sağlanması, şüphelinin muhakeme sürecinin tamamında müdafiden yararlanma imkanının tanınması, savcılık ile anlaşma ve kabul sırasında herhangi bir baskıya maruz kalıp kalmadığının mahkeme tarafından denetlenmiş olması </w:t>
      </w:r>
      <w:r w:rsidR="00C76481">
        <w:rPr>
          <w:rFonts w:ascii="Times New Roman" w:hAnsi="Times New Roman" w:cs="Times New Roman"/>
        </w:rPr>
        <w:t xml:space="preserve">hususlarını dikkate alarak olayda </w:t>
      </w:r>
      <w:r>
        <w:rPr>
          <w:rFonts w:ascii="Times New Roman" w:hAnsi="Times New Roman" w:cs="Times New Roman"/>
        </w:rPr>
        <w:t>adil yargılanma hakkının ihlal edilmediğine karar vermiştir</w:t>
      </w:r>
      <w:r w:rsidR="00C76481">
        <w:rPr>
          <w:rStyle w:val="FootnoteReference"/>
          <w:rFonts w:ascii="Times New Roman" w:hAnsi="Times New Roman" w:cs="Times New Roman"/>
        </w:rPr>
        <w:footnoteReference w:id="129"/>
      </w:r>
      <w:r>
        <w:rPr>
          <w:rFonts w:ascii="Times New Roman" w:hAnsi="Times New Roman" w:cs="Times New Roman"/>
        </w:rPr>
        <w:t xml:space="preserve">. Ayrıca bu usulün yargısal denetime tabi olma koşulunu sağlaması bakımından, mahkemenin savcılık ve şüpheli arasındaki anlaşmayı onaylamak zorunda olmamasını, mahkemenin savcılığın eylem karşılığında önerdiği cezanın yerindeliğini denetlemesini ve </w:t>
      </w:r>
      <w:r w:rsidR="00D80D8E">
        <w:rPr>
          <w:rFonts w:ascii="Times New Roman" w:hAnsi="Times New Roman" w:cs="Times New Roman"/>
        </w:rPr>
        <w:t>değiştirebilmesini, mahkemenin sanık</w:t>
      </w:r>
      <w:r>
        <w:rPr>
          <w:rFonts w:ascii="Times New Roman" w:hAnsi="Times New Roman" w:cs="Times New Roman"/>
        </w:rPr>
        <w:t xml:space="preserve"> hakkındaki suçlamaların yeterli delille desteklenmiş olduğunu denetlemesini de olumlu özellikler olarak değerlendirmiştir</w:t>
      </w:r>
      <w:r>
        <w:rPr>
          <w:rStyle w:val="FootnoteReference"/>
          <w:rFonts w:ascii="Times New Roman" w:hAnsi="Times New Roman" w:cs="Times New Roman"/>
        </w:rPr>
        <w:footnoteReference w:id="130"/>
      </w:r>
      <w:r>
        <w:rPr>
          <w:rFonts w:ascii="Times New Roman" w:hAnsi="Times New Roman" w:cs="Times New Roman"/>
        </w:rPr>
        <w:t xml:space="preserve">. </w:t>
      </w:r>
    </w:p>
    <w:p w14:paraId="45D999EC" w14:textId="77777777" w:rsidR="00B46F94" w:rsidRDefault="00B46F94" w:rsidP="00E81A49">
      <w:pPr>
        <w:spacing w:line="360" w:lineRule="auto"/>
        <w:ind w:firstLine="720"/>
        <w:jc w:val="both"/>
        <w:rPr>
          <w:rFonts w:ascii="Times New Roman" w:hAnsi="Times New Roman" w:cs="Times New Roman"/>
        </w:rPr>
      </w:pPr>
    </w:p>
    <w:p w14:paraId="3BD5D568" w14:textId="2C11C019" w:rsidR="00754AFB" w:rsidRDefault="00E81A49" w:rsidP="0023048B">
      <w:pPr>
        <w:spacing w:line="360" w:lineRule="auto"/>
        <w:ind w:firstLine="720"/>
        <w:jc w:val="both"/>
        <w:rPr>
          <w:rFonts w:ascii="Times New Roman" w:hAnsi="Times New Roman" w:cs="Times New Roman"/>
        </w:rPr>
      </w:pPr>
      <w:r>
        <w:rPr>
          <w:rFonts w:ascii="Times New Roman" w:hAnsi="Times New Roman" w:cs="Times New Roman"/>
        </w:rPr>
        <w:t xml:space="preserve">Fransız hukukunda </w:t>
      </w:r>
      <w:r w:rsidR="00B46F94">
        <w:rPr>
          <w:rFonts w:ascii="Times New Roman" w:hAnsi="Times New Roman" w:cs="Times New Roman"/>
        </w:rPr>
        <w:t xml:space="preserve">da </w:t>
      </w:r>
      <w:r>
        <w:rPr>
          <w:rFonts w:ascii="Times New Roman" w:hAnsi="Times New Roman" w:cs="Times New Roman"/>
        </w:rPr>
        <w:t>suçluluğun ön kabulü üzerine duruşma usulü</w:t>
      </w:r>
      <w:r w:rsidR="00324037">
        <w:rPr>
          <w:rFonts w:ascii="Times New Roman" w:hAnsi="Times New Roman" w:cs="Times New Roman"/>
        </w:rPr>
        <w:t xml:space="preserve">nün adil yargılanma hakkını bazı yönlerden ihlal ettiği </w:t>
      </w:r>
      <w:r w:rsidR="003F0A2D">
        <w:rPr>
          <w:rFonts w:ascii="Times New Roman" w:hAnsi="Times New Roman" w:cs="Times New Roman"/>
        </w:rPr>
        <w:t>Fransız AYM</w:t>
      </w:r>
      <w:r w:rsidR="00B46F94">
        <w:rPr>
          <w:rFonts w:ascii="Times New Roman" w:hAnsi="Times New Roman" w:cs="Times New Roman"/>
        </w:rPr>
        <w:t xml:space="preserve"> önünde </w:t>
      </w:r>
      <w:r w:rsidR="00324037">
        <w:rPr>
          <w:rFonts w:ascii="Times New Roman" w:hAnsi="Times New Roman" w:cs="Times New Roman"/>
        </w:rPr>
        <w:t xml:space="preserve">ileri sürülmüştür. </w:t>
      </w:r>
      <w:r w:rsidR="004F2B95">
        <w:rPr>
          <w:rFonts w:ascii="Times New Roman" w:hAnsi="Times New Roman" w:cs="Times New Roman"/>
        </w:rPr>
        <w:t>Bu usulün adil yargılanma hakkı kapsamındaki</w:t>
      </w:r>
      <w:r>
        <w:rPr>
          <w:rFonts w:ascii="Times New Roman" w:hAnsi="Times New Roman" w:cs="Times New Roman"/>
        </w:rPr>
        <w:t xml:space="preserve"> güvenceleri taşıyıp taşımadığını inceleyen Fransız </w:t>
      </w:r>
      <w:r w:rsidR="00B46F94">
        <w:rPr>
          <w:rFonts w:ascii="Times New Roman" w:hAnsi="Times New Roman" w:cs="Times New Roman"/>
        </w:rPr>
        <w:t>AYM,</w:t>
      </w:r>
      <w:r w:rsidR="00611765">
        <w:rPr>
          <w:rFonts w:ascii="Times New Roman" w:hAnsi="Times New Roman" w:cs="Times New Roman"/>
        </w:rPr>
        <w:t xml:space="preserve"> </w:t>
      </w:r>
      <w:r>
        <w:rPr>
          <w:rFonts w:ascii="Times New Roman" w:hAnsi="Times New Roman" w:cs="Times New Roman"/>
        </w:rPr>
        <w:t>2004 yılında verdiği kararında suçluluğun ön kabulü üzerine duruşma usulünün yargı önünde eşitlik ilkesi, masumiyet kari</w:t>
      </w:r>
      <w:r w:rsidR="00B46F94">
        <w:rPr>
          <w:rFonts w:ascii="Times New Roman" w:hAnsi="Times New Roman" w:cs="Times New Roman"/>
        </w:rPr>
        <w:t>nesi ve adil yargılanma hakkını ihlal etmediğin</w:t>
      </w:r>
      <w:r w:rsidR="0023048B">
        <w:rPr>
          <w:rFonts w:ascii="Times New Roman" w:hAnsi="Times New Roman" w:cs="Times New Roman"/>
        </w:rPr>
        <w:t>e hükmetmiştir</w:t>
      </w:r>
      <w:r>
        <w:rPr>
          <w:rStyle w:val="FootnoteReference"/>
          <w:rFonts w:ascii="Times New Roman" w:hAnsi="Times New Roman" w:cs="Times New Roman"/>
        </w:rPr>
        <w:footnoteReference w:id="131"/>
      </w:r>
      <w:r>
        <w:rPr>
          <w:rFonts w:ascii="Times New Roman" w:hAnsi="Times New Roman" w:cs="Times New Roman"/>
        </w:rPr>
        <w:t xml:space="preserve">. </w:t>
      </w:r>
      <w:r w:rsidR="00611765">
        <w:rPr>
          <w:rFonts w:ascii="Times New Roman" w:hAnsi="Times New Roman" w:cs="Times New Roman"/>
        </w:rPr>
        <w:t xml:space="preserve">Fransız AYM, </w:t>
      </w:r>
      <w:r w:rsidR="00754AFB">
        <w:rPr>
          <w:rFonts w:ascii="Times New Roman" w:hAnsi="Times New Roman" w:cs="Times New Roman"/>
        </w:rPr>
        <w:t>bu usulde müdafiin gerek savcılık önünde teklifi değerlendirme ve kabul aşamasında gerekse mahkeme önündeki aşamada her zaman hazır bulunmasını, şüphelinin müdafii ile serbestçe görüşebilmesini ve müdafiin her zaman dosyayı inceleme imkanının bulunmasını, şüphelinin teklifi düşünmek için on günlük süreden istifade edebilecek olmasını ve bu usulde verilen mahkumiyet hükmüne karşı on gün içerisinde kanun yoluna başvurma hakkının bulunmasını ge</w:t>
      </w:r>
      <w:r w:rsidR="004F2B95">
        <w:rPr>
          <w:rFonts w:ascii="Times New Roman" w:hAnsi="Times New Roman" w:cs="Times New Roman"/>
        </w:rPr>
        <w:t>rekçe göstererek, Fransız CMK’de</w:t>
      </w:r>
      <w:r w:rsidR="00754AFB">
        <w:rPr>
          <w:rFonts w:ascii="Times New Roman" w:hAnsi="Times New Roman" w:cs="Times New Roman"/>
        </w:rPr>
        <w:t xml:space="preserve"> </w:t>
      </w:r>
      <w:r w:rsidR="004F2B95">
        <w:rPr>
          <w:rFonts w:ascii="Times New Roman" w:hAnsi="Times New Roman" w:cs="Times New Roman"/>
        </w:rPr>
        <w:t>yer verilen</w:t>
      </w:r>
      <w:r w:rsidR="00754AFB">
        <w:rPr>
          <w:rFonts w:ascii="Times New Roman" w:hAnsi="Times New Roman" w:cs="Times New Roman"/>
        </w:rPr>
        <w:t xml:space="preserve"> bu usuli imkanların bir bütün olarak değerlendirildiğinde adil yargılanma hakkının ihlal edilmediğini belirtmiştir</w:t>
      </w:r>
      <w:r w:rsidR="00754AFB">
        <w:rPr>
          <w:rStyle w:val="FootnoteReference"/>
          <w:rFonts w:ascii="Times New Roman" w:hAnsi="Times New Roman" w:cs="Times New Roman"/>
        </w:rPr>
        <w:footnoteReference w:id="132"/>
      </w:r>
      <w:r w:rsidR="00754AFB">
        <w:rPr>
          <w:rFonts w:ascii="Times New Roman" w:hAnsi="Times New Roman" w:cs="Times New Roman"/>
        </w:rPr>
        <w:t>. Fransız AYM’nin bu kararında ele alınan diğer bir husus Fransız hukukundaki usulün failin ikrarı karşılığında uygulanabilmesinin masumiyet karinesini ihlal edip etmediği sorununa ilişkindir. Mahkeme bu konuda şüphelinin kendisine isnat edilen eylemleri kabul etmeyi özgür iradesiyle ve müdafii huzurunda tercih ettiği ve daha sonraki aşamada şüphelinin kabul beyanının samimiyeti ve geçerliliğinin mahkeme tarafından ayrıca denetleneceği, bu usulün uygulanmasının tamamlanamadığı takdirde devam eden olağan usuldeki muhakeme süreçlerinde şüphelinin ikrarının delil olarak kullanılamayacağı gibi güvenceler kanunda düzenlendiği için masumiyet karinesini ihlal etmediği sonucuna ulaşmıştır</w:t>
      </w:r>
      <w:r w:rsidR="00754AFB">
        <w:rPr>
          <w:rStyle w:val="FootnoteReference"/>
          <w:rFonts w:ascii="Times New Roman" w:hAnsi="Times New Roman" w:cs="Times New Roman"/>
        </w:rPr>
        <w:footnoteReference w:id="133"/>
      </w:r>
      <w:r w:rsidR="00754AFB">
        <w:rPr>
          <w:rFonts w:ascii="Times New Roman" w:hAnsi="Times New Roman" w:cs="Times New Roman"/>
        </w:rPr>
        <w:t xml:space="preserve">. </w:t>
      </w:r>
      <w:r w:rsidR="00602FAC">
        <w:rPr>
          <w:rFonts w:ascii="Times New Roman" w:hAnsi="Times New Roman" w:cs="Times New Roman"/>
        </w:rPr>
        <w:t>Bu kararda Fransız AYM, suçluluğun ön kabulü üzerine duruşma usulünde savcılığın cezayı belirlemesinin iddia ve yargı makamlarının ayrılığı ilkesini ihlal ettiği iddiasını, bu usulde savcılığın belirlediği cezanın yalnızca hakim tarafından onaylandığı sürece geçerli olacağı, hakimin savcılığın belirlediği cezanın olaydaki veriler ve failin kişiliğine göre temellendirilmiş olup olmadığını denetleyeceğini, olağan usulde yargılama yapılmasını daha yerinde görmesi halinde veya mağdur tarafından olaya ilişkin yeni bir olgu sunan delillerin getirilmesi halinde teklifi reddedebileceğini gerekçe göstererek geçerli bulmamıştır</w:t>
      </w:r>
      <w:r w:rsidR="00602FAC">
        <w:rPr>
          <w:rStyle w:val="FootnoteReference"/>
          <w:rFonts w:ascii="Times New Roman" w:hAnsi="Times New Roman" w:cs="Times New Roman"/>
        </w:rPr>
        <w:footnoteReference w:id="134"/>
      </w:r>
      <w:r w:rsidR="00602FAC">
        <w:rPr>
          <w:rFonts w:ascii="Times New Roman" w:hAnsi="Times New Roman" w:cs="Times New Roman"/>
        </w:rPr>
        <w:t>.</w:t>
      </w:r>
      <w:r w:rsidR="00D33B49">
        <w:rPr>
          <w:rFonts w:ascii="Times New Roman" w:hAnsi="Times New Roman" w:cs="Times New Roman"/>
        </w:rPr>
        <w:t xml:space="preserve"> </w:t>
      </w:r>
    </w:p>
    <w:p w14:paraId="4CB77AA8" w14:textId="5B4B2558" w:rsidR="0085611A" w:rsidRDefault="0085611A" w:rsidP="00E81A49">
      <w:pPr>
        <w:spacing w:line="360" w:lineRule="auto"/>
        <w:jc w:val="both"/>
        <w:rPr>
          <w:rFonts w:ascii="Times New Roman" w:hAnsi="Times New Roman" w:cs="Times New Roman"/>
        </w:rPr>
      </w:pPr>
    </w:p>
    <w:p w14:paraId="7DE4B165" w14:textId="77777777" w:rsidR="00AF4947" w:rsidRDefault="00D80D8E" w:rsidP="00754AFB">
      <w:pPr>
        <w:spacing w:line="360" w:lineRule="auto"/>
        <w:ind w:firstLine="720"/>
        <w:jc w:val="both"/>
        <w:rPr>
          <w:rFonts w:ascii="Times New Roman" w:hAnsi="Times New Roman" w:cs="Times New Roman"/>
        </w:rPr>
      </w:pPr>
      <w:r>
        <w:rPr>
          <w:rFonts w:ascii="Times New Roman" w:hAnsi="Times New Roman" w:cs="Times New Roman"/>
        </w:rPr>
        <w:t>Fransız hukukunda</w:t>
      </w:r>
      <w:r w:rsidR="00602FAC">
        <w:rPr>
          <w:rFonts w:ascii="Times New Roman" w:hAnsi="Times New Roman" w:cs="Times New Roman"/>
        </w:rPr>
        <w:t xml:space="preserve"> bu usul </w:t>
      </w:r>
      <w:r w:rsidR="007205AB">
        <w:rPr>
          <w:rFonts w:ascii="Times New Roman" w:hAnsi="Times New Roman" w:cs="Times New Roman"/>
        </w:rPr>
        <w:t>ayrıca</w:t>
      </w:r>
      <w:r w:rsidR="001553DB">
        <w:rPr>
          <w:rFonts w:ascii="Times New Roman" w:hAnsi="Times New Roman" w:cs="Times New Roman"/>
        </w:rPr>
        <w:t>,</w:t>
      </w:r>
      <w:r w:rsidR="007205AB">
        <w:rPr>
          <w:rFonts w:ascii="Times New Roman" w:hAnsi="Times New Roman" w:cs="Times New Roman"/>
        </w:rPr>
        <w:t xml:space="preserve"> </w:t>
      </w:r>
      <w:r w:rsidR="00602FAC">
        <w:rPr>
          <w:rFonts w:ascii="Times New Roman" w:hAnsi="Times New Roman" w:cs="Times New Roman"/>
        </w:rPr>
        <w:t xml:space="preserve">adil yargılanma hakkı kapsamında korunan </w:t>
      </w:r>
      <w:r>
        <w:rPr>
          <w:rFonts w:ascii="Times New Roman" w:hAnsi="Times New Roman" w:cs="Times New Roman"/>
        </w:rPr>
        <w:t xml:space="preserve">savunma hakkının bir parçası olan </w:t>
      </w:r>
      <w:r w:rsidR="00602FAC">
        <w:rPr>
          <w:rFonts w:ascii="Times New Roman" w:hAnsi="Times New Roman" w:cs="Times New Roman"/>
        </w:rPr>
        <w:t>delil elde etme ve araştırılmasını talep etme imkanı</w:t>
      </w:r>
      <w:r w:rsidR="001553DB">
        <w:rPr>
          <w:rFonts w:ascii="Times New Roman" w:hAnsi="Times New Roman" w:cs="Times New Roman"/>
        </w:rPr>
        <w:t>nı sınırladığı gerekçesiyle</w:t>
      </w:r>
      <w:r w:rsidR="00602FAC">
        <w:rPr>
          <w:rFonts w:ascii="Times New Roman" w:hAnsi="Times New Roman" w:cs="Times New Roman"/>
        </w:rPr>
        <w:t xml:space="preserve"> </w:t>
      </w:r>
      <w:r>
        <w:rPr>
          <w:rFonts w:ascii="Times New Roman" w:hAnsi="Times New Roman" w:cs="Times New Roman"/>
        </w:rPr>
        <w:t>eleştirilmiştir. B</w:t>
      </w:r>
      <w:r w:rsidR="00602FAC">
        <w:rPr>
          <w:rFonts w:ascii="Times New Roman" w:hAnsi="Times New Roman" w:cs="Times New Roman"/>
        </w:rPr>
        <w:t>azı yazarlar</w:t>
      </w:r>
      <w:r w:rsidR="00611765">
        <w:rPr>
          <w:rFonts w:ascii="Times New Roman" w:hAnsi="Times New Roman" w:cs="Times New Roman"/>
        </w:rPr>
        <w:t xml:space="preserve"> </w:t>
      </w:r>
      <w:r w:rsidR="00602FAC">
        <w:rPr>
          <w:rFonts w:ascii="Times New Roman" w:hAnsi="Times New Roman" w:cs="Times New Roman"/>
        </w:rPr>
        <w:t xml:space="preserve">tarafından </w:t>
      </w:r>
      <w:r w:rsidR="00E81A49">
        <w:rPr>
          <w:rFonts w:ascii="Times New Roman" w:hAnsi="Times New Roman" w:cs="Times New Roman"/>
        </w:rPr>
        <w:t>suçluluğun ön</w:t>
      </w:r>
      <w:r w:rsidR="00611765">
        <w:rPr>
          <w:rFonts w:ascii="Times New Roman" w:hAnsi="Times New Roman" w:cs="Times New Roman"/>
        </w:rPr>
        <w:t xml:space="preserve"> kabulü üzerine duruşma usulünde</w:t>
      </w:r>
      <w:r w:rsidR="00E81A49">
        <w:rPr>
          <w:rFonts w:ascii="Times New Roman" w:hAnsi="Times New Roman" w:cs="Times New Roman"/>
        </w:rPr>
        <w:t xml:space="preserve"> ikrarın delil değerine bağla</w:t>
      </w:r>
      <w:r w:rsidR="00611765">
        <w:rPr>
          <w:rFonts w:ascii="Times New Roman" w:hAnsi="Times New Roman" w:cs="Times New Roman"/>
        </w:rPr>
        <w:t>nan</w:t>
      </w:r>
      <w:r w:rsidR="00E81A49">
        <w:rPr>
          <w:rFonts w:ascii="Times New Roman" w:hAnsi="Times New Roman" w:cs="Times New Roman"/>
        </w:rPr>
        <w:t xml:space="preserve"> sonucun</w:t>
      </w:r>
      <w:r w:rsidR="00611765">
        <w:rPr>
          <w:rFonts w:ascii="Times New Roman" w:hAnsi="Times New Roman" w:cs="Times New Roman"/>
        </w:rPr>
        <w:t>,</w:t>
      </w:r>
      <w:r w:rsidR="00E81A49">
        <w:rPr>
          <w:rFonts w:ascii="Times New Roman" w:hAnsi="Times New Roman" w:cs="Times New Roman"/>
        </w:rPr>
        <w:t xml:space="preserve"> maddi gerçeğin araştırılması bakımından</w:t>
      </w:r>
      <w:r w:rsidR="00602FAC">
        <w:rPr>
          <w:rFonts w:ascii="Times New Roman" w:hAnsi="Times New Roman" w:cs="Times New Roman"/>
        </w:rPr>
        <w:t xml:space="preserve"> sakıncalı olduğuna dikkat çekil</w:t>
      </w:r>
      <w:r w:rsidR="00E81A49">
        <w:rPr>
          <w:rFonts w:ascii="Times New Roman" w:hAnsi="Times New Roman" w:cs="Times New Roman"/>
        </w:rPr>
        <w:t>miştir</w:t>
      </w:r>
      <w:r w:rsidR="00482165">
        <w:rPr>
          <w:rStyle w:val="FootnoteReference"/>
          <w:rFonts w:ascii="Times New Roman" w:hAnsi="Times New Roman" w:cs="Times New Roman"/>
        </w:rPr>
        <w:footnoteReference w:id="135"/>
      </w:r>
      <w:r w:rsidR="00E81A49">
        <w:rPr>
          <w:rFonts w:ascii="Times New Roman" w:hAnsi="Times New Roman" w:cs="Times New Roman"/>
        </w:rPr>
        <w:t xml:space="preserve">. Bu usulde şüphelinin ikrar etmesinin, </w:t>
      </w:r>
      <w:r>
        <w:rPr>
          <w:rFonts w:ascii="Times New Roman" w:hAnsi="Times New Roman" w:cs="Times New Roman"/>
        </w:rPr>
        <w:t xml:space="preserve">daha sonra </w:t>
      </w:r>
      <w:r w:rsidR="00E81A49">
        <w:rPr>
          <w:rFonts w:ascii="Times New Roman" w:hAnsi="Times New Roman" w:cs="Times New Roman"/>
        </w:rPr>
        <w:t>mahkeme önündeki aşamada gerçekleştirilecek suçluluğun tespitine yönelik faaliyeti kısaltacağı ve basitleştireceği anlaşılabilir olsa da, ikrarı her zaman geri alabileceği düşünüldüğünde ikrarı destekleyecek delillerin de</w:t>
      </w:r>
      <w:r w:rsidR="000266C2">
        <w:rPr>
          <w:rFonts w:ascii="Times New Roman" w:hAnsi="Times New Roman" w:cs="Times New Roman"/>
        </w:rPr>
        <w:t xml:space="preserve"> mutlaka</w:t>
      </w:r>
      <w:r w:rsidR="00E81A49">
        <w:rPr>
          <w:rFonts w:ascii="Times New Roman" w:hAnsi="Times New Roman" w:cs="Times New Roman"/>
        </w:rPr>
        <w:t xml:space="preserve"> sunulması gerektiği </w:t>
      </w:r>
      <w:r w:rsidR="00FB35C4">
        <w:rPr>
          <w:rFonts w:ascii="Times New Roman" w:hAnsi="Times New Roman" w:cs="Times New Roman"/>
        </w:rPr>
        <w:t>ifade edilmiştir.</w:t>
      </w:r>
      <w:r w:rsidR="00E81A49">
        <w:rPr>
          <w:rFonts w:ascii="Times New Roman" w:hAnsi="Times New Roman" w:cs="Times New Roman"/>
        </w:rPr>
        <w:t xml:space="preserve"> Hakimin suçluluğun ön kabulü üzerine yapılan duruşmada ikrarın varlığının yanı sıra onu destekleyen delillerin bulunup bulunmadığını da incelemesi gerektiği, bunun mahkemenin ceza yargılamasındaki asli görevi olduğu vurgulanmaktadır</w:t>
      </w:r>
      <w:r w:rsidR="00E81A49">
        <w:rPr>
          <w:rStyle w:val="FootnoteReference"/>
          <w:rFonts w:ascii="Times New Roman" w:hAnsi="Times New Roman" w:cs="Times New Roman"/>
        </w:rPr>
        <w:footnoteReference w:id="136"/>
      </w:r>
      <w:r w:rsidR="00E81A49">
        <w:rPr>
          <w:rFonts w:ascii="Times New Roman" w:hAnsi="Times New Roman" w:cs="Times New Roman"/>
        </w:rPr>
        <w:t xml:space="preserve">. </w:t>
      </w:r>
    </w:p>
    <w:p w14:paraId="5D5C70A2" w14:textId="77777777" w:rsidR="00AF4947" w:rsidRDefault="00AF4947" w:rsidP="00754AFB">
      <w:pPr>
        <w:spacing w:line="360" w:lineRule="auto"/>
        <w:ind w:firstLine="720"/>
        <w:jc w:val="both"/>
        <w:rPr>
          <w:rFonts w:ascii="Times New Roman" w:hAnsi="Times New Roman" w:cs="Times New Roman"/>
        </w:rPr>
      </w:pPr>
    </w:p>
    <w:p w14:paraId="1CF6D4E2" w14:textId="66AE388E" w:rsidR="00AC0ED4" w:rsidRDefault="00F26ED9" w:rsidP="00754AFB">
      <w:pPr>
        <w:spacing w:line="360" w:lineRule="auto"/>
        <w:ind w:firstLine="720"/>
        <w:jc w:val="both"/>
        <w:rPr>
          <w:rFonts w:ascii="Times New Roman" w:hAnsi="Times New Roman" w:cs="Times New Roman"/>
        </w:rPr>
      </w:pPr>
      <w:r>
        <w:rPr>
          <w:rFonts w:ascii="Times New Roman" w:hAnsi="Times New Roman" w:cs="Times New Roman"/>
        </w:rPr>
        <w:t xml:space="preserve">Türk hukukunda </w:t>
      </w:r>
      <w:r w:rsidR="000266C2">
        <w:rPr>
          <w:rFonts w:ascii="Times New Roman" w:hAnsi="Times New Roman" w:cs="Times New Roman"/>
        </w:rPr>
        <w:t>da seri muhakeme usulünün düzenleniş şekli dikkate alındığında delil elde etme ve sunma imkanı bakımından benzer sonuca ulaşılması mümkündür. Seri muhakeme usulünde şüphelinin isnat edilen eylemleri gerçekleştirdiğini kabul etmesi, ikrarı CMK’de açıkça bir koşul olarak aranmamıştır. Bu durumda Türk hukukunda Fransız hukukundan farklı olarak savcının talepnamesinde bir ikrar delili de yer almayacağı için savcının yürüttüğü delil toplama faaliyeti</w:t>
      </w:r>
      <w:r w:rsidR="00500D5B">
        <w:rPr>
          <w:rFonts w:ascii="Times New Roman" w:hAnsi="Times New Roman" w:cs="Times New Roman"/>
        </w:rPr>
        <w:t>nin</w:t>
      </w:r>
      <w:r w:rsidR="000266C2">
        <w:rPr>
          <w:rFonts w:ascii="Times New Roman" w:hAnsi="Times New Roman" w:cs="Times New Roman"/>
        </w:rPr>
        <w:t xml:space="preserve">, şüphelinin delil araştırılmasını isteme veya delil sunma hakkını kullanabilmesinin önemi daha fazladır. Her ne kadar Yönetmelik m. 8/1’de savcının maddi gerçeği araştırma yükümlülüğünün ortadan kalkmadığı tekrar edilse de, özellikle mahkeme önündeki aşamada delil </w:t>
      </w:r>
      <w:r w:rsidR="00C91860">
        <w:rPr>
          <w:rFonts w:ascii="Times New Roman" w:hAnsi="Times New Roman" w:cs="Times New Roman"/>
        </w:rPr>
        <w:t xml:space="preserve">ikamesinin </w:t>
      </w:r>
      <w:r w:rsidR="000266C2">
        <w:rPr>
          <w:rFonts w:ascii="Times New Roman" w:hAnsi="Times New Roman" w:cs="Times New Roman"/>
        </w:rPr>
        <w:t>yapılamaması, tanık dinlenememesi</w:t>
      </w:r>
      <w:r w:rsidR="00BE6BFC">
        <w:rPr>
          <w:rStyle w:val="FootnoteReference"/>
          <w:rFonts w:ascii="Times New Roman" w:hAnsi="Times New Roman" w:cs="Times New Roman"/>
        </w:rPr>
        <w:footnoteReference w:id="137"/>
      </w:r>
      <w:r w:rsidR="000266C2">
        <w:rPr>
          <w:rFonts w:ascii="Times New Roman" w:hAnsi="Times New Roman" w:cs="Times New Roman"/>
        </w:rPr>
        <w:t xml:space="preserve"> şüphelinin üstlenmemiş olduğu isnatlara karşı savunmasını hazırlama imkanını önemli ölçüde kısıtlamaktadır. Bu nedenle </w:t>
      </w:r>
      <w:r w:rsidR="0027503F">
        <w:rPr>
          <w:rFonts w:ascii="Times New Roman" w:hAnsi="Times New Roman" w:cs="Times New Roman"/>
        </w:rPr>
        <w:t xml:space="preserve">Türk hukukunda seri muhakeme usulü düzenlenirken </w:t>
      </w:r>
      <w:r w:rsidR="000266C2">
        <w:rPr>
          <w:rFonts w:ascii="Times New Roman" w:hAnsi="Times New Roman" w:cs="Times New Roman"/>
        </w:rPr>
        <w:t xml:space="preserve">Fransız hukukundaki şüphelinin eylemleri ikrar etmesi koşulunun alınmamasının, şüphelinin </w:t>
      </w:r>
      <w:r w:rsidR="001553DB">
        <w:rPr>
          <w:rFonts w:ascii="Times New Roman" w:hAnsi="Times New Roman" w:cs="Times New Roman"/>
        </w:rPr>
        <w:t>aklanma hakkı</w:t>
      </w:r>
      <w:r w:rsidR="000266C2">
        <w:rPr>
          <w:rFonts w:ascii="Times New Roman" w:hAnsi="Times New Roman" w:cs="Times New Roman"/>
        </w:rPr>
        <w:t xml:space="preserve"> ve bu yönde savunma geliştirme imkanı bakımından bir fark yaratmadığı sonucuna ulaşılabilecektir. </w:t>
      </w:r>
      <w:r w:rsidR="00AC0ED4">
        <w:rPr>
          <w:rFonts w:ascii="Times New Roman" w:hAnsi="Times New Roman" w:cs="Times New Roman"/>
        </w:rPr>
        <w:t>Şüpheli ikrar etmiş olmasa dahi savcının teklifini kabul ettikten sonraki aşamalarda eylemlere karşı çıkma olanağı bakımından ikrar etmiş biriyle aynı güvencelere sahiptir</w:t>
      </w:r>
      <w:r w:rsidR="00102E4A">
        <w:rPr>
          <w:rFonts w:ascii="Times New Roman" w:hAnsi="Times New Roman" w:cs="Times New Roman"/>
        </w:rPr>
        <w:t>.</w:t>
      </w:r>
      <w:r w:rsidR="0027503F">
        <w:rPr>
          <w:rFonts w:ascii="Times New Roman" w:hAnsi="Times New Roman" w:cs="Times New Roman"/>
        </w:rPr>
        <w:t xml:space="preserve"> </w:t>
      </w:r>
      <w:r w:rsidR="00AC0ED4">
        <w:rPr>
          <w:rFonts w:ascii="Times New Roman" w:hAnsi="Times New Roman" w:cs="Times New Roman"/>
        </w:rPr>
        <w:t xml:space="preserve">Bu durum Türk hukukunda kanun koyucunun Fransız hukukundaki örnekten ikrar koşulu noktasında ayrılmayı tercih etmesinin nedeninin şüphelilerin seri muhakeme usulünü kabul etme konusunda daha az çekince göstermelerini istemesi olduğunu düşündürmektedir. </w:t>
      </w:r>
    </w:p>
    <w:p w14:paraId="211C47A2" w14:textId="77777777" w:rsidR="00BD6BC6" w:rsidRPr="00BD6BC6" w:rsidRDefault="00BD6BC6" w:rsidP="00101541">
      <w:pPr>
        <w:spacing w:line="360" w:lineRule="auto"/>
        <w:jc w:val="both"/>
        <w:rPr>
          <w:rFonts w:ascii="Times New Roman" w:hAnsi="Times New Roman" w:cs="Times New Roman"/>
          <w:b/>
        </w:rPr>
      </w:pPr>
    </w:p>
    <w:p w14:paraId="019F9158" w14:textId="24A352E8" w:rsidR="00D637A9" w:rsidRDefault="00AC0ED4" w:rsidP="000C4EA4">
      <w:pPr>
        <w:spacing w:line="360" w:lineRule="auto"/>
        <w:ind w:firstLine="720"/>
        <w:jc w:val="both"/>
        <w:rPr>
          <w:rFonts w:ascii="Times New Roman" w:hAnsi="Times New Roman" w:cs="Times New Roman"/>
        </w:rPr>
      </w:pPr>
      <w:r>
        <w:rPr>
          <w:rFonts w:ascii="Times New Roman" w:hAnsi="Times New Roman" w:cs="Times New Roman"/>
        </w:rPr>
        <w:t xml:space="preserve">Şüphelinin savunma hakkı ve adil yargılanma hakkı açısından dikkat çekilmesi gereken diğer bir husus, seri muhakeme usulünde </w:t>
      </w:r>
      <w:r w:rsidR="00F26ED9">
        <w:rPr>
          <w:rFonts w:ascii="Times New Roman" w:hAnsi="Times New Roman" w:cs="Times New Roman"/>
        </w:rPr>
        <w:t>savcının talepnamesinde belirlediği ceza miktarı</w:t>
      </w:r>
      <w:r>
        <w:rPr>
          <w:rFonts w:ascii="Times New Roman" w:hAnsi="Times New Roman" w:cs="Times New Roman"/>
        </w:rPr>
        <w:t>nın</w:t>
      </w:r>
      <w:r w:rsidR="00F26ED9">
        <w:rPr>
          <w:rFonts w:ascii="Times New Roman" w:hAnsi="Times New Roman" w:cs="Times New Roman"/>
        </w:rPr>
        <w:t xml:space="preserve"> veya uygulanan tedbirlerin gerekçelerinin yer alması zorunluluğuna veya cezanın delillerle açıkça temellendir</w:t>
      </w:r>
      <w:r>
        <w:rPr>
          <w:rFonts w:ascii="Times New Roman" w:hAnsi="Times New Roman" w:cs="Times New Roman"/>
        </w:rPr>
        <w:t>ilmiş olmasına yer verilmemiş olmasıdır</w:t>
      </w:r>
      <w:r>
        <w:rPr>
          <w:rStyle w:val="FootnoteReference"/>
          <w:rFonts w:ascii="Times New Roman" w:hAnsi="Times New Roman" w:cs="Times New Roman"/>
        </w:rPr>
        <w:footnoteReference w:id="138"/>
      </w:r>
      <w:r w:rsidR="00F26ED9">
        <w:rPr>
          <w:rFonts w:ascii="Times New Roman" w:hAnsi="Times New Roman" w:cs="Times New Roman"/>
        </w:rPr>
        <w:t>.</w:t>
      </w:r>
      <w:r>
        <w:rPr>
          <w:rFonts w:ascii="Times New Roman" w:hAnsi="Times New Roman" w:cs="Times New Roman"/>
        </w:rPr>
        <w:t xml:space="preserve"> </w:t>
      </w:r>
      <w:r w:rsidR="00F26ED9">
        <w:rPr>
          <w:rFonts w:ascii="Times New Roman" w:hAnsi="Times New Roman" w:cs="Times New Roman"/>
        </w:rPr>
        <w:t>Savcının talebinin içerdiği dayanakları gösterme zorunluluğuna yer verilmemiş olması</w:t>
      </w:r>
      <w:r w:rsidR="00A75105">
        <w:rPr>
          <w:rFonts w:ascii="Times New Roman" w:hAnsi="Times New Roman" w:cs="Times New Roman"/>
        </w:rPr>
        <w:t>nın</w:t>
      </w:r>
      <w:r w:rsidR="00F26ED9">
        <w:rPr>
          <w:rFonts w:ascii="Times New Roman" w:hAnsi="Times New Roman" w:cs="Times New Roman"/>
        </w:rPr>
        <w:t xml:space="preserve"> hakimin denetimini kısıtladığı ve keyfiliğe yol açma ihtimali taşıdığı i</w:t>
      </w:r>
      <w:r w:rsidR="002557FA">
        <w:rPr>
          <w:rFonts w:ascii="Times New Roman" w:hAnsi="Times New Roman" w:cs="Times New Roman"/>
        </w:rPr>
        <w:t>çin yerinde olmadığı ifade edilmelidir</w:t>
      </w:r>
      <w:r w:rsidR="00F26ED9">
        <w:rPr>
          <w:rStyle w:val="FootnoteReference"/>
          <w:rFonts w:ascii="Times New Roman" w:hAnsi="Times New Roman" w:cs="Times New Roman"/>
        </w:rPr>
        <w:footnoteReference w:id="139"/>
      </w:r>
      <w:r w:rsidR="00F26ED9">
        <w:rPr>
          <w:rFonts w:ascii="Times New Roman" w:hAnsi="Times New Roman" w:cs="Times New Roman"/>
        </w:rPr>
        <w:t>.</w:t>
      </w:r>
      <w:r>
        <w:rPr>
          <w:rFonts w:ascii="Times New Roman" w:hAnsi="Times New Roman" w:cs="Times New Roman"/>
        </w:rPr>
        <w:t xml:space="preserve"> Aynı sorun </w:t>
      </w:r>
      <w:r w:rsidR="008566B3">
        <w:rPr>
          <w:rFonts w:ascii="Times New Roman" w:hAnsi="Times New Roman" w:cs="Times New Roman"/>
        </w:rPr>
        <w:t xml:space="preserve">mahkemenin </w:t>
      </w:r>
      <w:r>
        <w:rPr>
          <w:rFonts w:ascii="Times New Roman" w:hAnsi="Times New Roman" w:cs="Times New Roman"/>
        </w:rPr>
        <w:t xml:space="preserve">savcının talebini onayladığı </w:t>
      </w:r>
      <w:r w:rsidR="008566B3">
        <w:rPr>
          <w:rFonts w:ascii="Times New Roman" w:hAnsi="Times New Roman" w:cs="Times New Roman"/>
        </w:rPr>
        <w:t>kararında</w:t>
      </w:r>
      <w:r w:rsidR="002557FA">
        <w:rPr>
          <w:rFonts w:ascii="Times New Roman" w:hAnsi="Times New Roman" w:cs="Times New Roman"/>
        </w:rPr>
        <w:t>ki</w:t>
      </w:r>
      <w:r>
        <w:rPr>
          <w:rFonts w:ascii="Times New Roman" w:hAnsi="Times New Roman" w:cs="Times New Roman"/>
        </w:rPr>
        <w:t xml:space="preserve"> gerekçe</w:t>
      </w:r>
      <w:r w:rsidR="002557FA">
        <w:rPr>
          <w:rFonts w:ascii="Times New Roman" w:hAnsi="Times New Roman" w:cs="Times New Roman"/>
        </w:rPr>
        <w:t>lerin içeriğinin veya hakimin denetiminin kapsamında kalan hususların</w:t>
      </w:r>
      <w:r>
        <w:rPr>
          <w:rFonts w:ascii="Times New Roman" w:hAnsi="Times New Roman" w:cs="Times New Roman"/>
        </w:rPr>
        <w:t xml:space="preserve"> </w:t>
      </w:r>
      <w:r w:rsidR="00FB0831">
        <w:rPr>
          <w:rFonts w:ascii="Times New Roman" w:hAnsi="Times New Roman" w:cs="Times New Roman"/>
        </w:rPr>
        <w:t xml:space="preserve">kanunda </w:t>
      </w:r>
      <w:r>
        <w:rPr>
          <w:rFonts w:ascii="Times New Roman" w:hAnsi="Times New Roman" w:cs="Times New Roman"/>
        </w:rPr>
        <w:t xml:space="preserve">ayrıca </w:t>
      </w:r>
      <w:r w:rsidR="002557FA">
        <w:rPr>
          <w:rFonts w:ascii="Times New Roman" w:hAnsi="Times New Roman" w:cs="Times New Roman"/>
        </w:rPr>
        <w:t>belirtilmemiş olmasında</w:t>
      </w:r>
      <w:r>
        <w:rPr>
          <w:rFonts w:ascii="Times New Roman" w:hAnsi="Times New Roman" w:cs="Times New Roman"/>
        </w:rPr>
        <w:t xml:space="preserve"> da görülebilir. Fransız hukukunda hakimin onay kararnamesinin gerekçeli olması gerektiği ve gerekçenin içermesi gereken hususların neler olduğu Fransız CMK’de açıkça düzenlenmiştir.</w:t>
      </w:r>
      <w:r w:rsidR="00E23553">
        <w:rPr>
          <w:rFonts w:ascii="Times New Roman" w:hAnsi="Times New Roman" w:cs="Times New Roman"/>
        </w:rPr>
        <w:t xml:space="preserve"> Buna göre g</w:t>
      </w:r>
      <w:r w:rsidR="002557FA">
        <w:rPr>
          <w:rFonts w:ascii="Times New Roman" w:hAnsi="Times New Roman" w:cs="Times New Roman"/>
        </w:rPr>
        <w:t>erekçe</w:t>
      </w:r>
      <w:r w:rsidR="00E23553">
        <w:rPr>
          <w:rFonts w:ascii="Times New Roman" w:hAnsi="Times New Roman" w:cs="Times New Roman"/>
        </w:rPr>
        <w:t xml:space="preserve"> </w:t>
      </w:r>
      <w:r w:rsidR="002557FA">
        <w:rPr>
          <w:rFonts w:ascii="Times New Roman" w:hAnsi="Times New Roman" w:cs="Times New Roman"/>
        </w:rPr>
        <w:t xml:space="preserve">cezanın orantılılığını ve somut olayla temellendirilmiş olduğunu </w:t>
      </w:r>
      <w:r w:rsidR="00731661">
        <w:rPr>
          <w:rFonts w:ascii="Times New Roman" w:hAnsi="Times New Roman" w:cs="Times New Roman"/>
        </w:rPr>
        <w:t>da içermeli</w:t>
      </w:r>
      <w:r w:rsidR="00E23553">
        <w:rPr>
          <w:rFonts w:ascii="Times New Roman" w:hAnsi="Times New Roman" w:cs="Times New Roman"/>
        </w:rPr>
        <w:t>dir.</w:t>
      </w:r>
      <w:r>
        <w:rPr>
          <w:rFonts w:ascii="Times New Roman" w:hAnsi="Times New Roman" w:cs="Times New Roman"/>
        </w:rPr>
        <w:t xml:space="preserve"> Yukarıda da belirtildiği gibi bu </w:t>
      </w:r>
      <w:r w:rsidR="008566B3">
        <w:rPr>
          <w:rFonts w:ascii="Times New Roman" w:hAnsi="Times New Roman" w:cs="Times New Roman"/>
        </w:rPr>
        <w:t xml:space="preserve">hüküm </w:t>
      </w:r>
      <w:r>
        <w:rPr>
          <w:rFonts w:ascii="Times New Roman" w:hAnsi="Times New Roman" w:cs="Times New Roman"/>
        </w:rPr>
        <w:t xml:space="preserve">hem sanık açısından savunma hakkı ve kanun yoluna başvuru hakkının etkin bir şekilde kullanılmasını güvence altına almakta hem de </w:t>
      </w:r>
      <w:r w:rsidR="00316A2F">
        <w:rPr>
          <w:rFonts w:ascii="Times New Roman" w:hAnsi="Times New Roman" w:cs="Times New Roman"/>
        </w:rPr>
        <w:t xml:space="preserve">hakimin hangi hususları denetleme yetkisi olduğunu gösterdiği için yargı makamı güvencesini de sağlamaktadır. </w:t>
      </w:r>
      <w:r w:rsidR="008566B3">
        <w:rPr>
          <w:rFonts w:ascii="Times New Roman" w:hAnsi="Times New Roman" w:cs="Times New Roman"/>
        </w:rPr>
        <w:t>Zira</w:t>
      </w:r>
      <w:r w:rsidR="00316A2F">
        <w:rPr>
          <w:rFonts w:ascii="Times New Roman" w:hAnsi="Times New Roman" w:cs="Times New Roman"/>
        </w:rPr>
        <w:t xml:space="preserve"> gerek AİHM </w:t>
      </w:r>
      <w:r w:rsidR="00731661">
        <w:rPr>
          <w:rFonts w:ascii="Times New Roman" w:hAnsi="Times New Roman" w:cs="Times New Roman"/>
        </w:rPr>
        <w:t>içtihadında</w:t>
      </w:r>
      <w:r w:rsidR="00316A2F">
        <w:rPr>
          <w:rFonts w:ascii="Times New Roman" w:hAnsi="Times New Roman" w:cs="Times New Roman"/>
        </w:rPr>
        <w:t xml:space="preserve"> gerekse </w:t>
      </w:r>
      <w:r w:rsidR="008566B3">
        <w:rPr>
          <w:rFonts w:ascii="Times New Roman" w:hAnsi="Times New Roman" w:cs="Times New Roman"/>
        </w:rPr>
        <w:t>Avrupa Konseyi’nin 17 Eylül 1987 tarihli Ceza Yargılamasının Basitleştirilmesine İlişkin Tavsiye Kararında</w:t>
      </w:r>
      <w:r w:rsidR="004D1E67">
        <w:rPr>
          <w:rStyle w:val="FootnoteReference"/>
          <w:rFonts w:ascii="Times New Roman" w:hAnsi="Times New Roman" w:cs="Times New Roman"/>
        </w:rPr>
        <w:footnoteReference w:id="140"/>
      </w:r>
      <w:r w:rsidR="00316A2F">
        <w:rPr>
          <w:rFonts w:ascii="Times New Roman" w:hAnsi="Times New Roman" w:cs="Times New Roman"/>
        </w:rPr>
        <w:t xml:space="preserve"> savcı ile şüphelinin anlaşmasıyla şekillenen usullerde mahkeme denetiminin tesis edilmiş olması olmazsa olmaz bir koşuldur. </w:t>
      </w:r>
      <w:r w:rsidR="002557FA">
        <w:rPr>
          <w:rFonts w:ascii="Times New Roman" w:hAnsi="Times New Roman" w:cs="Times New Roman"/>
        </w:rPr>
        <w:t>CMK’de savcının cezayı belirleme</w:t>
      </w:r>
      <w:r w:rsidR="002557FA" w:rsidRPr="002557FA">
        <w:rPr>
          <w:rFonts w:ascii="Times New Roman" w:hAnsi="Times New Roman" w:cs="Times New Roman"/>
        </w:rPr>
        <w:t xml:space="preserve"> </w:t>
      </w:r>
      <w:r w:rsidR="002557FA">
        <w:rPr>
          <w:rFonts w:ascii="Times New Roman" w:hAnsi="Times New Roman" w:cs="Times New Roman"/>
        </w:rPr>
        <w:t xml:space="preserve">ve bireyselleştirmesinin dayanaklarının, yeterli şüpheyi oluşturan delillerin olayla bağlantısının gerekçelendirilerek sunulması zorunluluğunun açıkça </w:t>
      </w:r>
      <w:r w:rsidR="00731661">
        <w:rPr>
          <w:rFonts w:ascii="Times New Roman" w:hAnsi="Times New Roman" w:cs="Times New Roman"/>
        </w:rPr>
        <w:t>belirtilmemiş olması</w:t>
      </w:r>
      <w:r w:rsidR="002557FA">
        <w:rPr>
          <w:rFonts w:ascii="Times New Roman" w:hAnsi="Times New Roman" w:cs="Times New Roman"/>
        </w:rPr>
        <w:t xml:space="preserve">, hakimin de bu hususları denetlemek zorunda olduğu, değiştirme yetkisi bulunmayan ceza miktarının somut olay koşullarına göre orantılı olup olmadığını gözetme yetkisinin açıkça yer almaması </w:t>
      </w:r>
      <w:r w:rsidR="00106DDC">
        <w:rPr>
          <w:rFonts w:ascii="Times New Roman" w:hAnsi="Times New Roman" w:cs="Times New Roman"/>
        </w:rPr>
        <w:t xml:space="preserve">bu usuldeki </w:t>
      </w:r>
      <w:r w:rsidR="007205AB">
        <w:rPr>
          <w:rFonts w:ascii="Times New Roman" w:hAnsi="Times New Roman" w:cs="Times New Roman"/>
        </w:rPr>
        <w:t>yargısal denetim güvencesini etkisiz hale getirmektedir. Bu nedenle aslında, hakimin denetlemek zorunda olduğu gösterilmediği için savcının talepnamesinde delillerin olayla ilişkilendirilmiş olmasının dahi y</w:t>
      </w:r>
      <w:r w:rsidR="00E74749">
        <w:rPr>
          <w:rFonts w:ascii="Times New Roman" w:hAnsi="Times New Roman" w:cs="Times New Roman"/>
        </w:rPr>
        <w:t>eterli bir güvence oluşturacağını</w:t>
      </w:r>
      <w:r w:rsidR="007205AB">
        <w:rPr>
          <w:rFonts w:ascii="Times New Roman" w:hAnsi="Times New Roman" w:cs="Times New Roman"/>
        </w:rPr>
        <w:t xml:space="preserve"> belirtmek güçtür. Dolayısıyla Yönetmelik’te yer alan,</w:t>
      </w:r>
      <w:r w:rsidR="00191A12">
        <w:rPr>
          <w:rFonts w:ascii="Times New Roman" w:hAnsi="Times New Roman" w:cs="Times New Roman"/>
        </w:rPr>
        <w:t xml:space="preserve"> hakimin yalnızca üç </w:t>
      </w:r>
      <w:r w:rsidR="005039F8">
        <w:rPr>
          <w:rFonts w:ascii="Times New Roman" w:hAnsi="Times New Roman" w:cs="Times New Roman"/>
        </w:rPr>
        <w:t>hususu</w:t>
      </w:r>
      <w:r w:rsidR="00191A12">
        <w:rPr>
          <w:rFonts w:ascii="Times New Roman" w:hAnsi="Times New Roman" w:cs="Times New Roman"/>
        </w:rPr>
        <w:t xml:space="preserve"> d</w:t>
      </w:r>
      <w:r w:rsidR="007205AB">
        <w:rPr>
          <w:rFonts w:ascii="Times New Roman" w:hAnsi="Times New Roman" w:cs="Times New Roman"/>
        </w:rPr>
        <w:t>eğerlendirerek hüküm kuracağı şeklindeki</w:t>
      </w:r>
      <w:r w:rsidR="00E40AB6">
        <w:rPr>
          <w:rFonts w:ascii="Times New Roman" w:hAnsi="Times New Roman" w:cs="Times New Roman"/>
        </w:rPr>
        <w:t xml:space="preserve"> </w:t>
      </w:r>
      <w:r w:rsidR="00507D03">
        <w:rPr>
          <w:rFonts w:ascii="Times New Roman" w:hAnsi="Times New Roman" w:cs="Times New Roman"/>
        </w:rPr>
        <w:t>ifade</w:t>
      </w:r>
      <w:r w:rsidR="00191A12">
        <w:rPr>
          <w:rStyle w:val="FootnoteReference"/>
          <w:rFonts w:ascii="Times New Roman" w:hAnsi="Times New Roman" w:cs="Times New Roman"/>
        </w:rPr>
        <w:footnoteReference w:id="141"/>
      </w:r>
      <w:r w:rsidR="00191A12">
        <w:rPr>
          <w:rFonts w:ascii="Times New Roman" w:hAnsi="Times New Roman" w:cs="Times New Roman"/>
        </w:rPr>
        <w:t xml:space="preserve"> hakimin bu usuldeki denetim makamı rolünü oldukça sınırlamaktadır. </w:t>
      </w:r>
      <w:r w:rsidR="00AB6208">
        <w:rPr>
          <w:rFonts w:ascii="Times New Roman" w:hAnsi="Times New Roman" w:cs="Times New Roman"/>
        </w:rPr>
        <w:t>Bu noktada</w:t>
      </w:r>
      <w:r w:rsidR="005039F8">
        <w:rPr>
          <w:rFonts w:ascii="Times New Roman" w:hAnsi="Times New Roman" w:cs="Times New Roman"/>
        </w:rPr>
        <w:t xml:space="preserve"> ayrıca</w:t>
      </w:r>
      <w:r w:rsidR="00AB6208">
        <w:rPr>
          <w:rFonts w:ascii="Times New Roman" w:hAnsi="Times New Roman" w:cs="Times New Roman"/>
        </w:rPr>
        <w:t xml:space="preserve"> mahkemenin denetimine savcının belirlediği düşünme süresinin dahil edilmediğine de dikkat çekmek gerekir. Savcılığın bir aya kadar geniş bir aralıkta belirleyebileceği düşünme süresinin yeterli ve makul olup olmadığı, şüphelinin kabul iradesi üzerindeki baskının bir göstergesi de olabileceği için, denetime tabi olmalıdır. </w:t>
      </w:r>
      <w:r w:rsidR="00334D4D">
        <w:rPr>
          <w:rFonts w:ascii="Times New Roman" w:hAnsi="Times New Roman" w:cs="Times New Roman"/>
        </w:rPr>
        <w:t>Öte</w:t>
      </w:r>
      <w:r w:rsidR="007205AB">
        <w:rPr>
          <w:rFonts w:ascii="Times New Roman" w:hAnsi="Times New Roman" w:cs="Times New Roman"/>
        </w:rPr>
        <w:t xml:space="preserve"> yandan</w:t>
      </w:r>
      <w:r w:rsidR="0077604A">
        <w:rPr>
          <w:rFonts w:ascii="Times New Roman" w:hAnsi="Times New Roman" w:cs="Times New Roman"/>
        </w:rPr>
        <w:t xml:space="preserve"> hakimin savcının soruşturma </w:t>
      </w:r>
      <w:r w:rsidR="00E57D1D">
        <w:rPr>
          <w:rFonts w:ascii="Times New Roman" w:hAnsi="Times New Roman" w:cs="Times New Roman"/>
        </w:rPr>
        <w:t xml:space="preserve">evresinde </w:t>
      </w:r>
      <w:r w:rsidR="0077604A">
        <w:rPr>
          <w:rFonts w:ascii="Times New Roman" w:hAnsi="Times New Roman" w:cs="Times New Roman"/>
        </w:rPr>
        <w:t xml:space="preserve">edindiği yeterli şüpheye dayanarak tespit ettiği maddi olguları ve cezayı yeni delil elde etmeksizin ve tartışmaksızın kabul etmesi, yeterli şüphenin hükmü oluşturacak kesin kanaate ulaşmış olduğunu da göstermemektedir. Kanun’da seri muhakeme usulü sonucunda şüphenin sanık aleyhine yenilmiş olması gerektiğini temin eden bir düzenleme bulunmaması şüpheden sanık yararlanır ilkesinin ihlali </w:t>
      </w:r>
      <w:r w:rsidR="00B519F3">
        <w:rPr>
          <w:rFonts w:ascii="Times New Roman" w:hAnsi="Times New Roman" w:cs="Times New Roman"/>
        </w:rPr>
        <w:t xml:space="preserve">anlamına </w:t>
      </w:r>
      <w:r w:rsidR="00E74749">
        <w:rPr>
          <w:rFonts w:ascii="Times New Roman" w:hAnsi="Times New Roman" w:cs="Times New Roman"/>
        </w:rPr>
        <w:t xml:space="preserve">da </w:t>
      </w:r>
      <w:r w:rsidR="00B519F3">
        <w:rPr>
          <w:rFonts w:ascii="Times New Roman" w:hAnsi="Times New Roman" w:cs="Times New Roman"/>
        </w:rPr>
        <w:t>gelmektedir</w:t>
      </w:r>
      <w:r w:rsidR="0077604A">
        <w:rPr>
          <w:rStyle w:val="FootnoteReference"/>
          <w:rFonts w:ascii="Times New Roman" w:hAnsi="Times New Roman" w:cs="Times New Roman"/>
        </w:rPr>
        <w:footnoteReference w:id="142"/>
      </w:r>
      <w:r w:rsidR="0077604A">
        <w:rPr>
          <w:rFonts w:ascii="Times New Roman" w:hAnsi="Times New Roman" w:cs="Times New Roman"/>
        </w:rPr>
        <w:t xml:space="preserve">. </w:t>
      </w:r>
    </w:p>
    <w:p w14:paraId="08E439E9" w14:textId="77777777" w:rsidR="00BD6BC6" w:rsidRDefault="00BD6BC6" w:rsidP="001C54C3">
      <w:pPr>
        <w:spacing w:line="360" w:lineRule="auto"/>
        <w:jc w:val="both"/>
        <w:rPr>
          <w:rFonts w:ascii="Times New Roman" w:hAnsi="Times New Roman" w:cs="Times New Roman"/>
        </w:rPr>
      </w:pPr>
    </w:p>
    <w:p w14:paraId="57CA08B8" w14:textId="51FA42DF" w:rsidR="00A75105" w:rsidRDefault="004B7DCD" w:rsidP="00BD6BC6">
      <w:pPr>
        <w:spacing w:line="360" w:lineRule="auto"/>
        <w:ind w:firstLine="720"/>
        <w:jc w:val="both"/>
        <w:rPr>
          <w:rFonts w:ascii="Times New Roman" w:hAnsi="Times New Roman" w:cs="Times New Roman"/>
        </w:rPr>
      </w:pPr>
      <w:r>
        <w:rPr>
          <w:rFonts w:ascii="Times New Roman" w:hAnsi="Times New Roman" w:cs="Times New Roman"/>
        </w:rPr>
        <w:t xml:space="preserve">Adil yargılanma hakkı kapsamında değinilmesi gereken diğer bir husus, Türk hukukunda </w:t>
      </w:r>
      <w:r w:rsidR="00E81A49">
        <w:rPr>
          <w:rFonts w:ascii="Times New Roman" w:hAnsi="Times New Roman" w:cs="Times New Roman"/>
        </w:rPr>
        <w:t>Fransız hukukundan farklı olarak</w:t>
      </w:r>
      <w:r>
        <w:rPr>
          <w:rFonts w:ascii="Times New Roman" w:hAnsi="Times New Roman" w:cs="Times New Roman"/>
        </w:rPr>
        <w:t>,</w:t>
      </w:r>
      <w:r w:rsidR="00E81A49">
        <w:rPr>
          <w:rFonts w:ascii="Times New Roman" w:hAnsi="Times New Roman" w:cs="Times New Roman"/>
        </w:rPr>
        <w:t xml:space="preserve"> müdafiin </w:t>
      </w:r>
      <w:r w:rsidR="00C46D23">
        <w:rPr>
          <w:rFonts w:ascii="Times New Roman" w:hAnsi="Times New Roman" w:cs="Times New Roman"/>
        </w:rPr>
        <w:t xml:space="preserve">teklif yapılırken hazır bulunmasına, </w:t>
      </w:r>
      <w:r w:rsidR="00E81A49">
        <w:rPr>
          <w:rFonts w:ascii="Times New Roman" w:hAnsi="Times New Roman" w:cs="Times New Roman"/>
        </w:rPr>
        <w:t>dosyayı inceleme yetkisinin</w:t>
      </w:r>
      <w:r>
        <w:rPr>
          <w:rFonts w:ascii="Times New Roman" w:hAnsi="Times New Roman" w:cs="Times New Roman"/>
        </w:rPr>
        <w:t xml:space="preserve"> seri usulde </w:t>
      </w:r>
      <w:r w:rsidR="006458CA">
        <w:rPr>
          <w:rFonts w:ascii="Times New Roman" w:hAnsi="Times New Roman" w:cs="Times New Roman"/>
        </w:rPr>
        <w:t>nasıl</w:t>
      </w:r>
      <w:r>
        <w:rPr>
          <w:rFonts w:ascii="Times New Roman" w:hAnsi="Times New Roman" w:cs="Times New Roman"/>
        </w:rPr>
        <w:t xml:space="preserve"> kullanılabileceğine veya</w:t>
      </w:r>
      <w:r w:rsidR="00E81A49">
        <w:rPr>
          <w:rFonts w:ascii="Times New Roman" w:hAnsi="Times New Roman" w:cs="Times New Roman"/>
        </w:rPr>
        <w:t xml:space="preserve"> </w:t>
      </w:r>
      <w:r>
        <w:rPr>
          <w:rFonts w:ascii="Times New Roman" w:hAnsi="Times New Roman" w:cs="Times New Roman"/>
        </w:rPr>
        <w:t xml:space="preserve">bu usulde şüphelinin müdafii ile bağımsız olarak görüşebilmesinin mümkün olduğuna ilişkin </w:t>
      </w:r>
      <w:r w:rsidR="00E81A49">
        <w:rPr>
          <w:rFonts w:ascii="Times New Roman" w:hAnsi="Times New Roman" w:cs="Times New Roman"/>
        </w:rPr>
        <w:t xml:space="preserve">güvence sağlayan hükümlere </w:t>
      </w:r>
      <w:r w:rsidR="006458CA">
        <w:rPr>
          <w:rFonts w:ascii="Times New Roman" w:hAnsi="Times New Roman" w:cs="Times New Roman"/>
        </w:rPr>
        <w:t xml:space="preserve">kanunda açıkça </w:t>
      </w:r>
      <w:r w:rsidR="00E81A49">
        <w:rPr>
          <w:rFonts w:ascii="Times New Roman" w:hAnsi="Times New Roman" w:cs="Times New Roman"/>
        </w:rPr>
        <w:t xml:space="preserve">yer </w:t>
      </w:r>
      <w:r>
        <w:rPr>
          <w:rFonts w:ascii="Times New Roman" w:hAnsi="Times New Roman" w:cs="Times New Roman"/>
        </w:rPr>
        <w:t xml:space="preserve">verilmemiş olmasıdır. Her ne kadar </w:t>
      </w:r>
      <w:r w:rsidR="007205AB">
        <w:rPr>
          <w:rFonts w:ascii="Times New Roman" w:hAnsi="Times New Roman" w:cs="Times New Roman"/>
        </w:rPr>
        <w:t xml:space="preserve">müdafiin </w:t>
      </w:r>
      <w:r w:rsidR="00AF1B46">
        <w:rPr>
          <w:rFonts w:ascii="Times New Roman" w:hAnsi="Times New Roman" w:cs="Times New Roman"/>
        </w:rPr>
        <w:t>genel hükümler kapsamındaki</w:t>
      </w:r>
      <w:r w:rsidR="00E81A49">
        <w:rPr>
          <w:rFonts w:ascii="Times New Roman" w:hAnsi="Times New Roman" w:cs="Times New Roman"/>
        </w:rPr>
        <w:t xml:space="preserve"> </w:t>
      </w:r>
      <w:r w:rsidR="007205AB">
        <w:rPr>
          <w:rFonts w:ascii="Times New Roman" w:hAnsi="Times New Roman" w:cs="Times New Roman"/>
        </w:rPr>
        <w:t>yetkilerini kullanması</w:t>
      </w:r>
      <w:r>
        <w:rPr>
          <w:rFonts w:ascii="Times New Roman" w:hAnsi="Times New Roman" w:cs="Times New Roman"/>
        </w:rPr>
        <w:t xml:space="preserve"> mümkünse de, savcının maddi gerçeği araştırma yükümlülüğünü yineleyerek güvence altına alan Yönetmelik m. 8 gibi</w:t>
      </w:r>
      <w:r w:rsidR="00106DDC">
        <w:rPr>
          <w:rFonts w:ascii="Times New Roman" w:hAnsi="Times New Roman" w:cs="Times New Roman"/>
        </w:rPr>
        <w:t>,</w:t>
      </w:r>
      <w:r>
        <w:rPr>
          <w:rFonts w:ascii="Times New Roman" w:hAnsi="Times New Roman" w:cs="Times New Roman"/>
        </w:rPr>
        <w:t xml:space="preserve"> müdafiin yetkilerinin de ayrıca gösterilmesi</w:t>
      </w:r>
      <w:r w:rsidR="00C16CA9">
        <w:rPr>
          <w:rFonts w:ascii="Times New Roman" w:hAnsi="Times New Roman" w:cs="Times New Roman"/>
        </w:rPr>
        <w:t>nin savunma hakkı kapsamında</w:t>
      </w:r>
      <w:r>
        <w:rPr>
          <w:rFonts w:ascii="Times New Roman" w:hAnsi="Times New Roman" w:cs="Times New Roman"/>
        </w:rPr>
        <w:t xml:space="preserve"> güvence sağlayabileceği</w:t>
      </w:r>
      <w:r w:rsidR="0025690B">
        <w:rPr>
          <w:rFonts w:ascii="Times New Roman" w:hAnsi="Times New Roman" w:cs="Times New Roman"/>
        </w:rPr>
        <w:t xml:space="preserve"> </w:t>
      </w:r>
      <w:r>
        <w:rPr>
          <w:rFonts w:ascii="Times New Roman" w:hAnsi="Times New Roman" w:cs="Times New Roman"/>
        </w:rPr>
        <w:t xml:space="preserve">ifade edilebilir. </w:t>
      </w:r>
      <w:r w:rsidR="00DC50EF">
        <w:rPr>
          <w:rFonts w:ascii="Times New Roman" w:hAnsi="Times New Roman" w:cs="Times New Roman"/>
        </w:rPr>
        <w:t xml:space="preserve">Savunma hakkı ve müdafi güvencesi bakımından özellikle müdafiin teklifin yapıldığı sırada hazır bulunmasına ilişkin olarak Fransız hukukundaki örnektekine benzer şekilde açık bir düzenlemenin yer alması önemlidir. </w:t>
      </w:r>
    </w:p>
    <w:p w14:paraId="6F9EC042" w14:textId="77777777" w:rsidR="00B80FB9" w:rsidRPr="0077604A" w:rsidRDefault="00B80FB9" w:rsidP="00BD6BC6">
      <w:pPr>
        <w:spacing w:line="360" w:lineRule="auto"/>
        <w:ind w:firstLine="720"/>
        <w:jc w:val="both"/>
        <w:rPr>
          <w:rFonts w:ascii="Times New Roman" w:hAnsi="Times New Roman" w:cs="Times New Roman"/>
        </w:rPr>
      </w:pPr>
    </w:p>
    <w:p w14:paraId="6D8112A8" w14:textId="44F14B32" w:rsidR="001C54C3" w:rsidRDefault="001C54C3" w:rsidP="003447D4">
      <w:pPr>
        <w:pStyle w:val="Heading2"/>
      </w:pPr>
      <w:r>
        <w:t xml:space="preserve">B. </w:t>
      </w:r>
      <w:r>
        <w:tab/>
        <w:t xml:space="preserve">Ceza </w:t>
      </w:r>
      <w:r w:rsidR="009E777B">
        <w:t>Muhakemesi</w:t>
      </w:r>
      <w:r w:rsidR="00625F89">
        <w:t xml:space="preserve">nin </w:t>
      </w:r>
      <w:r w:rsidR="0062069B">
        <w:t>Yapısı</w:t>
      </w:r>
      <w:r w:rsidR="00625F89">
        <w:t xml:space="preserve"> ve </w:t>
      </w:r>
      <w:r w:rsidR="00D03B35">
        <w:t>Süjelerin</w:t>
      </w:r>
      <w:r w:rsidR="0033785E">
        <w:t xml:space="preserve"> Rollerindeki Değişim</w:t>
      </w:r>
    </w:p>
    <w:p w14:paraId="4D2DBC9E" w14:textId="77777777" w:rsidR="00C8316E" w:rsidRDefault="00C8316E" w:rsidP="00C729CC">
      <w:pPr>
        <w:spacing w:line="360" w:lineRule="auto"/>
        <w:ind w:firstLine="720"/>
        <w:jc w:val="both"/>
        <w:rPr>
          <w:rFonts w:ascii="Times New Roman" w:hAnsi="Times New Roman" w:cs="Times New Roman"/>
        </w:rPr>
      </w:pPr>
    </w:p>
    <w:p w14:paraId="2F485D3E" w14:textId="0B81113C" w:rsidR="00F6140B" w:rsidRDefault="008454F0" w:rsidP="00C729CC">
      <w:pPr>
        <w:spacing w:line="360" w:lineRule="auto"/>
        <w:ind w:firstLine="720"/>
        <w:jc w:val="both"/>
        <w:rPr>
          <w:rFonts w:ascii="Times New Roman" w:hAnsi="Times New Roman" w:cs="Times New Roman"/>
        </w:rPr>
      </w:pPr>
      <w:r>
        <w:rPr>
          <w:rFonts w:ascii="Times New Roman" w:hAnsi="Times New Roman" w:cs="Times New Roman"/>
        </w:rPr>
        <w:t xml:space="preserve">Kıta Avrupası ceza muhakemesi sistemini benimseyen </w:t>
      </w:r>
      <w:r w:rsidR="009912C3">
        <w:rPr>
          <w:rFonts w:ascii="Times New Roman" w:hAnsi="Times New Roman" w:cs="Times New Roman"/>
        </w:rPr>
        <w:t xml:space="preserve">Türk ve Fransız hukuklarında yer verilen </w:t>
      </w:r>
      <w:r w:rsidR="00A0547F">
        <w:rPr>
          <w:rFonts w:ascii="Times New Roman" w:hAnsi="Times New Roman" w:cs="Times New Roman"/>
        </w:rPr>
        <w:t xml:space="preserve">seri usullerin </w:t>
      </w:r>
      <w:r w:rsidR="000F3273">
        <w:rPr>
          <w:rFonts w:ascii="Times New Roman" w:hAnsi="Times New Roman" w:cs="Times New Roman"/>
        </w:rPr>
        <w:t>her ikisinin</w:t>
      </w:r>
      <w:r w:rsidR="009912C3">
        <w:rPr>
          <w:rFonts w:ascii="Times New Roman" w:hAnsi="Times New Roman" w:cs="Times New Roman"/>
        </w:rPr>
        <w:t xml:space="preserve"> de</w:t>
      </w:r>
      <w:r>
        <w:rPr>
          <w:rFonts w:ascii="Times New Roman" w:hAnsi="Times New Roman" w:cs="Times New Roman"/>
        </w:rPr>
        <w:t xml:space="preserve"> </w:t>
      </w:r>
      <w:r w:rsidR="009912C3">
        <w:rPr>
          <w:rFonts w:ascii="Times New Roman" w:hAnsi="Times New Roman" w:cs="Times New Roman"/>
        </w:rPr>
        <w:t xml:space="preserve">ceza muhakemesi </w:t>
      </w:r>
      <w:r>
        <w:rPr>
          <w:rFonts w:ascii="Times New Roman" w:hAnsi="Times New Roman" w:cs="Times New Roman"/>
        </w:rPr>
        <w:t>sisteminin klasik yapısını</w:t>
      </w:r>
      <w:r w:rsidR="000F3273">
        <w:rPr>
          <w:rFonts w:ascii="Times New Roman" w:hAnsi="Times New Roman" w:cs="Times New Roman"/>
        </w:rPr>
        <w:t xml:space="preserve"> değiştirdiği</w:t>
      </w:r>
      <w:r w:rsidR="009D53D9">
        <w:rPr>
          <w:rFonts w:ascii="Times New Roman" w:hAnsi="Times New Roman" w:cs="Times New Roman"/>
        </w:rPr>
        <w:t xml:space="preserve"> görülmektedir. Ceza muhakemesinde rol üstlenen makamların amacı olaya ilişkin maddi gerçeğe </w:t>
      </w:r>
      <w:r w:rsidR="00345AEF">
        <w:rPr>
          <w:rFonts w:ascii="Times New Roman" w:hAnsi="Times New Roman" w:cs="Times New Roman"/>
        </w:rPr>
        <w:t xml:space="preserve">şüpheli ve sanığın haklarına saygılı biçimde </w:t>
      </w:r>
      <w:r w:rsidR="009D53D9">
        <w:rPr>
          <w:rFonts w:ascii="Times New Roman" w:hAnsi="Times New Roman" w:cs="Times New Roman"/>
        </w:rPr>
        <w:t>ulaşmaktır ve bu amaca yönelik soruşturma ve kovuşturma faaliyeti kamu adına yürütülür</w:t>
      </w:r>
      <w:r w:rsidR="00985EEF">
        <w:rPr>
          <w:rStyle w:val="FootnoteReference"/>
          <w:rFonts w:ascii="Times New Roman" w:hAnsi="Times New Roman" w:cs="Times New Roman"/>
        </w:rPr>
        <w:footnoteReference w:id="143"/>
      </w:r>
      <w:r w:rsidR="009D53D9">
        <w:rPr>
          <w:rFonts w:ascii="Times New Roman" w:hAnsi="Times New Roman" w:cs="Times New Roman"/>
        </w:rPr>
        <w:t xml:space="preserve">. </w:t>
      </w:r>
      <w:r w:rsidR="00A0547F">
        <w:rPr>
          <w:rFonts w:ascii="Times New Roman" w:hAnsi="Times New Roman" w:cs="Times New Roman"/>
        </w:rPr>
        <w:t xml:space="preserve">Ceza muhakemesinin kamusallığı nedeniyle </w:t>
      </w:r>
      <w:r w:rsidR="009D53D9">
        <w:rPr>
          <w:rFonts w:ascii="Times New Roman" w:hAnsi="Times New Roman" w:cs="Times New Roman"/>
        </w:rPr>
        <w:t xml:space="preserve">şüphelinin </w:t>
      </w:r>
      <w:r w:rsidR="00A0547F">
        <w:rPr>
          <w:rFonts w:ascii="Times New Roman" w:hAnsi="Times New Roman" w:cs="Times New Roman"/>
        </w:rPr>
        <w:t xml:space="preserve">irade açıklamalarının ceza muhakemesinin yapılıp yapılmaması konusunda süreci yönlendirmesi </w:t>
      </w:r>
      <w:r w:rsidR="009D53D9">
        <w:rPr>
          <w:rFonts w:ascii="Times New Roman" w:hAnsi="Times New Roman" w:cs="Times New Roman"/>
        </w:rPr>
        <w:t>her iki hukuk düzenine de kural olarak yabancıdır</w:t>
      </w:r>
      <w:r w:rsidR="00A12C06">
        <w:rPr>
          <w:rStyle w:val="FootnoteReference"/>
          <w:rFonts w:ascii="Times New Roman" w:hAnsi="Times New Roman" w:cs="Times New Roman"/>
        </w:rPr>
        <w:footnoteReference w:id="144"/>
      </w:r>
      <w:r w:rsidR="009D53D9">
        <w:rPr>
          <w:rFonts w:ascii="Times New Roman" w:hAnsi="Times New Roman" w:cs="Times New Roman"/>
        </w:rPr>
        <w:t>. Bu nedenle şüpheliyle anlaşılarak, ceza muhakemesi usulünün ve hükmedilecek ceza miktarının değiştirilebil</w:t>
      </w:r>
      <w:r w:rsidR="000F3273">
        <w:rPr>
          <w:rFonts w:ascii="Times New Roman" w:hAnsi="Times New Roman" w:cs="Times New Roman"/>
        </w:rPr>
        <w:t>mesini öngören bu seri usuller</w:t>
      </w:r>
      <w:r w:rsidR="00E71AB4">
        <w:rPr>
          <w:rFonts w:ascii="Times New Roman" w:hAnsi="Times New Roman" w:cs="Times New Roman"/>
        </w:rPr>
        <w:t>le birlikte</w:t>
      </w:r>
      <w:r w:rsidR="009D53D9">
        <w:rPr>
          <w:rFonts w:ascii="Times New Roman" w:hAnsi="Times New Roman" w:cs="Times New Roman"/>
        </w:rPr>
        <w:t xml:space="preserve"> Kıta Avrupası </w:t>
      </w:r>
      <w:r w:rsidR="00665E85">
        <w:rPr>
          <w:rFonts w:ascii="Times New Roman" w:hAnsi="Times New Roman" w:cs="Times New Roman"/>
        </w:rPr>
        <w:t xml:space="preserve">hukuk </w:t>
      </w:r>
      <w:r w:rsidR="009D53D9">
        <w:rPr>
          <w:rFonts w:ascii="Times New Roman" w:hAnsi="Times New Roman" w:cs="Times New Roman"/>
        </w:rPr>
        <w:t xml:space="preserve">sistemine yabancı bir kurumun sisteme dahil edilmesi eleştiri konusu edilmektedir. Özellikle </w:t>
      </w:r>
      <w:r w:rsidR="00F6140B">
        <w:rPr>
          <w:rFonts w:ascii="Times New Roman" w:hAnsi="Times New Roman" w:cs="Times New Roman"/>
        </w:rPr>
        <w:t xml:space="preserve">Fransız hukukunda suçluluğun ön kabulü üzerine duruşma usulüne </w:t>
      </w:r>
      <w:r w:rsidR="006C048A">
        <w:rPr>
          <w:rFonts w:ascii="Times New Roman" w:hAnsi="Times New Roman" w:cs="Times New Roman"/>
        </w:rPr>
        <w:t xml:space="preserve">başvurulabilmesi </w:t>
      </w:r>
      <w:r w:rsidR="00665E85">
        <w:rPr>
          <w:rFonts w:ascii="Times New Roman" w:hAnsi="Times New Roman" w:cs="Times New Roman"/>
        </w:rPr>
        <w:t xml:space="preserve">açıkça </w:t>
      </w:r>
      <w:r w:rsidR="006C048A">
        <w:rPr>
          <w:rFonts w:ascii="Times New Roman" w:hAnsi="Times New Roman" w:cs="Times New Roman"/>
        </w:rPr>
        <w:t>ikra</w:t>
      </w:r>
      <w:r w:rsidR="009D53D9">
        <w:rPr>
          <w:rFonts w:ascii="Times New Roman" w:hAnsi="Times New Roman" w:cs="Times New Roman"/>
        </w:rPr>
        <w:t>rın varlığı koşuluna bağlandığı ve</w:t>
      </w:r>
      <w:r w:rsidR="006C048A">
        <w:rPr>
          <w:rFonts w:ascii="Times New Roman" w:hAnsi="Times New Roman" w:cs="Times New Roman"/>
        </w:rPr>
        <w:t xml:space="preserve"> şüphelinin ikrar etmesi karşılığında ona daha haf</w:t>
      </w:r>
      <w:r w:rsidR="009D53D9">
        <w:rPr>
          <w:rFonts w:ascii="Times New Roman" w:hAnsi="Times New Roman" w:cs="Times New Roman"/>
        </w:rPr>
        <w:t>if bir ceza teklif edildiği için,</w:t>
      </w:r>
      <w:r w:rsidR="006C048A">
        <w:rPr>
          <w:rFonts w:ascii="Times New Roman" w:hAnsi="Times New Roman" w:cs="Times New Roman"/>
        </w:rPr>
        <w:t xml:space="preserve"> </w:t>
      </w:r>
      <w:r w:rsidR="00642F5A">
        <w:rPr>
          <w:rFonts w:ascii="Times New Roman" w:hAnsi="Times New Roman" w:cs="Times New Roman"/>
        </w:rPr>
        <w:t>Anglo</w:t>
      </w:r>
      <w:r w:rsidR="00985A2A">
        <w:rPr>
          <w:rFonts w:ascii="Times New Roman" w:hAnsi="Times New Roman" w:cs="Times New Roman"/>
        </w:rPr>
        <w:t xml:space="preserve">sakson hukuk </w:t>
      </w:r>
      <w:r w:rsidR="0062069B">
        <w:rPr>
          <w:rFonts w:ascii="Times New Roman" w:hAnsi="Times New Roman" w:cs="Times New Roman"/>
        </w:rPr>
        <w:t xml:space="preserve">sistemindeki iddia pazarlığı </w:t>
      </w:r>
      <w:r w:rsidR="00E71AB4">
        <w:rPr>
          <w:rFonts w:ascii="Times New Roman" w:hAnsi="Times New Roman" w:cs="Times New Roman"/>
        </w:rPr>
        <w:t>(</w:t>
      </w:r>
      <w:r w:rsidR="00E71AB4" w:rsidRPr="00E71AB4">
        <w:rPr>
          <w:rFonts w:ascii="Times New Roman" w:hAnsi="Times New Roman" w:cs="Times New Roman"/>
          <w:i/>
        </w:rPr>
        <w:t>plea bargaining</w:t>
      </w:r>
      <w:r w:rsidR="00E71AB4">
        <w:rPr>
          <w:rFonts w:ascii="Times New Roman" w:hAnsi="Times New Roman" w:cs="Times New Roman"/>
        </w:rPr>
        <w:t xml:space="preserve">) </w:t>
      </w:r>
      <w:r w:rsidR="00D03B35">
        <w:rPr>
          <w:rFonts w:ascii="Times New Roman" w:hAnsi="Times New Roman" w:cs="Times New Roman"/>
        </w:rPr>
        <w:t>ile aynı mahiyette ol</w:t>
      </w:r>
      <w:r w:rsidR="006C048A">
        <w:rPr>
          <w:rFonts w:ascii="Times New Roman" w:hAnsi="Times New Roman" w:cs="Times New Roman"/>
        </w:rPr>
        <w:t>duğu,</w:t>
      </w:r>
      <w:r w:rsidR="00D03B35">
        <w:rPr>
          <w:rFonts w:ascii="Times New Roman" w:hAnsi="Times New Roman" w:cs="Times New Roman"/>
        </w:rPr>
        <w:t xml:space="preserve"> </w:t>
      </w:r>
      <w:r w:rsidR="006C048A">
        <w:rPr>
          <w:rFonts w:ascii="Times New Roman" w:hAnsi="Times New Roman" w:cs="Times New Roman"/>
        </w:rPr>
        <w:t xml:space="preserve">bu usulle </w:t>
      </w:r>
      <w:r w:rsidR="00D03B35">
        <w:rPr>
          <w:rFonts w:ascii="Times New Roman" w:hAnsi="Times New Roman" w:cs="Times New Roman"/>
        </w:rPr>
        <w:t>Fransız hukukunun geleneksel yapısına uygun düşmeyen bir usule yer verildiği</w:t>
      </w:r>
      <w:r w:rsidR="00D03B35">
        <w:rPr>
          <w:rStyle w:val="FootnoteReference"/>
          <w:rFonts w:ascii="Times New Roman" w:hAnsi="Times New Roman" w:cs="Times New Roman"/>
        </w:rPr>
        <w:footnoteReference w:id="145"/>
      </w:r>
      <w:r w:rsidR="006C048A">
        <w:rPr>
          <w:rFonts w:ascii="Times New Roman" w:hAnsi="Times New Roman" w:cs="Times New Roman"/>
        </w:rPr>
        <w:t xml:space="preserve"> ve</w:t>
      </w:r>
      <w:r w:rsidR="00D03B35">
        <w:rPr>
          <w:rFonts w:ascii="Times New Roman" w:hAnsi="Times New Roman" w:cs="Times New Roman"/>
        </w:rPr>
        <w:t xml:space="preserve"> Fransız ceza </w:t>
      </w:r>
      <w:r w:rsidR="00976C73">
        <w:rPr>
          <w:rFonts w:ascii="Times New Roman" w:hAnsi="Times New Roman" w:cs="Times New Roman"/>
        </w:rPr>
        <w:t>muhakemesi</w:t>
      </w:r>
      <w:r w:rsidR="000103BE">
        <w:rPr>
          <w:rFonts w:ascii="Times New Roman" w:hAnsi="Times New Roman" w:cs="Times New Roman"/>
        </w:rPr>
        <w:t xml:space="preserve"> sisteminin “A</w:t>
      </w:r>
      <w:r w:rsidR="00D03B35">
        <w:rPr>
          <w:rFonts w:ascii="Times New Roman" w:hAnsi="Times New Roman" w:cs="Times New Roman"/>
        </w:rPr>
        <w:t>merikanlaştırıldığı” iddiasıyla karşı çıkılmış</w:t>
      </w:r>
      <w:r w:rsidR="006C048A">
        <w:rPr>
          <w:rFonts w:ascii="Times New Roman" w:hAnsi="Times New Roman" w:cs="Times New Roman"/>
        </w:rPr>
        <w:t>tır</w:t>
      </w:r>
      <w:r w:rsidR="006C048A">
        <w:rPr>
          <w:rStyle w:val="FootnoteReference"/>
          <w:rFonts w:ascii="Times New Roman" w:hAnsi="Times New Roman" w:cs="Times New Roman"/>
        </w:rPr>
        <w:footnoteReference w:id="146"/>
      </w:r>
      <w:r w:rsidR="006C048A">
        <w:rPr>
          <w:rFonts w:ascii="Times New Roman" w:hAnsi="Times New Roman" w:cs="Times New Roman"/>
        </w:rPr>
        <w:t xml:space="preserve">. </w:t>
      </w:r>
    </w:p>
    <w:p w14:paraId="6CDC9444" w14:textId="77777777" w:rsidR="00082643" w:rsidRDefault="00082643" w:rsidP="00C729CC">
      <w:pPr>
        <w:spacing w:line="360" w:lineRule="auto"/>
        <w:ind w:firstLine="720"/>
        <w:jc w:val="both"/>
        <w:rPr>
          <w:rFonts w:ascii="Times New Roman" w:hAnsi="Times New Roman" w:cs="Times New Roman"/>
        </w:rPr>
      </w:pPr>
    </w:p>
    <w:p w14:paraId="76119D31" w14:textId="39E7B285" w:rsidR="000F3273" w:rsidRDefault="00F6140B" w:rsidP="000F3273">
      <w:pPr>
        <w:spacing w:line="360" w:lineRule="auto"/>
        <w:ind w:firstLine="720"/>
        <w:jc w:val="both"/>
        <w:rPr>
          <w:rFonts w:ascii="Times New Roman" w:hAnsi="Times New Roman" w:cs="Times New Roman"/>
        </w:rPr>
      </w:pPr>
      <w:r>
        <w:rPr>
          <w:rFonts w:ascii="Times New Roman" w:hAnsi="Times New Roman" w:cs="Times New Roman"/>
        </w:rPr>
        <w:t>Bu noktada belirtmek gerekir ki gerek Fransız hukukundaki gerekse Türk hukukundaki seri usul A</w:t>
      </w:r>
      <w:r w:rsidR="00985A2A">
        <w:rPr>
          <w:rFonts w:ascii="Times New Roman" w:hAnsi="Times New Roman" w:cs="Times New Roman"/>
        </w:rPr>
        <w:t>nglosakson</w:t>
      </w:r>
      <w:r>
        <w:rPr>
          <w:rFonts w:ascii="Times New Roman" w:hAnsi="Times New Roman" w:cs="Times New Roman"/>
        </w:rPr>
        <w:t xml:space="preserve"> hukukundaki iddia pazarlığı kurumunun </w:t>
      </w:r>
      <w:r w:rsidR="00642F5A">
        <w:rPr>
          <w:rFonts w:ascii="Times New Roman" w:hAnsi="Times New Roman" w:cs="Times New Roman"/>
        </w:rPr>
        <w:t xml:space="preserve">tam </w:t>
      </w:r>
      <w:r>
        <w:rPr>
          <w:rFonts w:ascii="Times New Roman" w:hAnsi="Times New Roman" w:cs="Times New Roman"/>
        </w:rPr>
        <w:t>karşılığı değildir</w:t>
      </w:r>
      <w:r w:rsidR="00AA104D">
        <w:rPr>
          <w:rStyle w:val="FootnoteReference"/>
          <w:rFonts w:ascii="Times New Roman" w:hAnsi="Times New Roman" w:cs="Times New Roman"/>
        </w:rPr>
        <w:footnoteReference w:id="147"/>
      </w:r>
      <w:r>
        <w:rPr>
          <w:rFonts w:ascii="Times New Roman" w:hAnsi="Times New Roman" w:cs="Times New Roman"/>
        </w:rPr>
        <w:t xml:space="preserve">. </w:t>
      </w:r>
      <w:r w:rsidR="00E71AB4">
        <w:rPr>
          <w:rFonts w:ascii="Times New Roman" w:hAnsi="Times New Roman" w:cs="Times New Roman"/>
        </w:rPr>
        <w:t>Bununla birlikte</w:t>
      </w:r>
      <w:r>
        <w:rPr>
          <w:rFonts w:ascii="Times New Roman" w:hAnsi="Times New Roman" w:cs="Times New Roman"/>
        </w:rPr>
        <w:t xml:space="preserve"> ceza muhakemesinin olağan usulünün kısaltılmasını ve </w:t>
      </w:r>
      <w:r w:rsidR="004813B9">
        <w:rPr>
          <w:rFonts w:ascii="Times New Roman" w:hAnsi="Times New Roman" w:cs="Times New Roman"/>
        </w:rPr>
        <w:t xml:space="preserve">belirlenecek </w:t>
      </w:r>
      <w:r>
        <w:rPr>
          <w:rFonts w:ascii="Times New Roman" w:hAnsi="Times New Roman" w:cs="Times New Roman"/>
        </w:rPr>
        <w:t>ceza</w:t>
      </w:r>
      <w:r w:rsidR="004813B9">
        <w:rPr>
          <w:rFonts w:ascii="Times New Roman" w:hAnsi="Times New Roman" w:cs="Times New Roman"/>
        </w:rPr>
        <w:t>nın</w:t>
      </w:r>
      <w:r>
        <w:rPr>
          <w:rFonts w:ascii="Times New Roman" w:hAnsi="Times New Roman" w:cs="Times New Roman"/>
        </w:rPr>
        <w:t xml:space="preserve"> miktarını şüphelinin </w:t>
      </w:r>
      <w:r w:rsidR="00E71AB4">
        <w:rPr>
          <w:rFonts w:ascii="Times New Roman" w:hAnsi="Times New Roman" w:cs="Times New Roman"/>
        </w:rPr>
        <w:t>kabulüne</w:t>
      </w:r>
      <w:r>
        <w:rPr>
          <w:rFonts w:ascii="Times New Roman" w:hAnsi="Times New Roman" w:cs="Times New Roman"/>
        </w:rPr>
        <w:t xml:space="preserve"> ve </w:t>
      </w:r>
      <w:r w:rsidR="0084053F">
        <w:rPr>
          <w:rFonts w:ascii="Times New Roman" w:hAnsi="Times New Roman" w:cs="Times New Roman"/>
        </w:rPr>
        <w:t>savcılık ve</w:t>
      </w:r>
      <w:r w:rsidR="0008768D">
        <w:rPr>
          <w:rFonts w:ascii="Times New Roman" w:hAnsi="Times New Roman" w:cs="Times New Roman"/>
        </w:rPr>
        <w:t>ya</w:t>
      </w:r>
      <w:r w:rsidR="0084053F">
        <w:rPr>
          <w:rFonts w:ascii="Times New Roman" w:hAnsi="Times New Roman" w:cs="Times New Roman"/>
        </w:rPr>
        <w:t xml:space="preserve"> </w:t>
      </w:r>
      <w:r w:rsidR="00642F5A">
        <w:rPr>
          <w:rFonts w:ascii="Times New Roman" w:hAnsi="Times New Roman" w:cs="Times New Roman"/>
        </w:rPr>
        <w:t xml:space="preserve">yargı makamlarıyla </w:t>
      </w:r>
      <w:r>
        <w:rPr>
          <w:rFonts w:ascii="Times New Roman" w:hAnsi="Times New Roman" w:cs="Times New Roman"/>
        </w:rPr>
        <w:t>karşılıklı anlaşılmasına bağladığı için klasik Kıta Avrupası tahkik s</w:t>
      </w:r>
      <w:r w:rsidR="00985A2A">
        <w:rPr>
          <w:rFonts w:ascii="Times New Roman" w:hAnsi="Times New Roman" w:cs="Times New Roman"/>
        </w:rPr>
        <w:t>isteminin yapısından uzak Anglosakson hukuk</w:t>
      </w:r>
      <w:r>
        <w:rPr>
          <w:rFonts w:ascii="Times New Roman" w:hAnsi="Times New Roman" w:cs="Times New Roman"/>
        </w:rPr>
        <w:t xml:space="preserve"> sistemine ait özellikler göstermektedir</w:t>
      </w:r>
      <w:r w:rsidR="009C4A0C">
        <w:rPr>
          <w:rStyle w:val="FootnoteReference"/>
          <w:rFonts w:ascii="Times New Roman" w:hAnsi="Times New Roman" w:cs="Times New Roman"/>
        </w:rPr>
        <w:footnoteReference w:id="148"/>
      </w:r>
      <w:r>
        <w:rPr>
          <w:rFonts w:ascii="Times New Roman" w:hAnsi="Times New Roman" w:cs="Times New Roman"/>
        </w:rPr>
        <w:t>.</w:t>
      </w:r>
      <w:r w:rsidR="00980CFC">
        <w:rPr>
          <w:rFonts w:ascii="Times New Roman" w:hAnsi="Times New Roman" w:cs="Times New Roman"/>
        </w:rPr>
        <w:t xml:space="preserve"> </w:t>
      </w:r>
      <w:r w:rsidR="00665E85">
        <w:rPr>
          <w:rFonts w:ascii="Times New Roman" w:hAnsi="Times New Roman" w:cs="Times New Roman"/>
        </w:rPr>
        <w:t xml:space="preserve">Ancak hem Türk hukuku hem de Fransız hukukunda </w:t>
      </w:r>
      <w:r>
        <w:rPr>
          <w:rFonts w:ascii="Times New Roman" w:hAnsi="Times New Roman" w:cs="Times New Roman"/>
        </w:rPr>
        <w:t>şüphelinin ikrarı veya kısaltılmış bir usulün uygulanmasını kabul beyanı karşılığında</w:t>
      </w:r>
      <w:r w:rsidR="00ED04EC">
        <w:rPr>
          <w:rFonts w:ascii="Times New Roman" w:hAnsi="Times New Roman" w:cs="Times New Roman"/>
        </w:rPr>
        <w:t>,</w:t>
      </w:r>
      <w:r>
        <w:rPr>
          <w:rFonts w:ascii="Times New Roman" w:hAnsi="Times New Roman" w:cs="Times New Roman"/>
        </w:rPr>
        <w:t xml:space="preserve"> verilecek cezanın miktarı üzerinde veya isnat edilen eylemlerin </w:t>
      </w:r>
      <w:r w:rsidR="00ED04EC">
        <w:rPr>
          <w:rFonts w:ascii="Times New Roman" w:hAnsi="Times New Roman" w:cs="Times New Roman"/>
        </w:rPr>
        <w:t>hukuki nitelemesi</w:t>
      </w:r>
      <w:r w:rsidR="00271316">
        <w:rPr>
          <w:rFonts w:ascii="Times New Roman" w:hAnsi="Times New Roman" w:cs="Times New Roman"/>
        </w:rPr>
        <w:t xml:space="preserve"> üzerinde herhangi bir p</w:t>
      </w:r>
      <w:r w:rsidR="000F3273">
        <w:rPr>
          <w:rFonts w:ascii="Times New Roman" w:hAnsi="Times New Roman" w:cs="Times New Roman"/>
        </w:rPr>
        <w:t xml:space="preserve">azarlık </w:t>
      </w:r>
      <w:r w:rsidR="00ED04EC">
        <w:rPr>
          <w:rFonts w:ascii="Times New Roman" w:hAnsi="Times New Roman" w:cs="Times New Roman"/>
        </w:rPr>
        <w:t xml:space="preserve">yapılması </w:t>
      </w:r>
      <w:r w:rsidR="000F3273">
        <w:rPr>
          <w:rFonts w:ascii="Times New Roman" w:hAnsi="Times New Roman" w:cs="Times New Roman"/>
        </w:rPr>
        <w:t>söz konusu değildir</w:t>
      </w:r>
      <w:r w:rsidR="00271316">
        <w:rPr>
          <w:rStyle w:val="FootnoteReference"/>
          <w:rFonts w:ascii="Times New Roman" w:hAnsi="Times New Roman" w:cs="Times New Roman"/>
        </w:rPr>
        <w:footnoteReference w:id="149"/>
      </w:r>
      <w:r w:rsidR="00271316">
        <w:rPr>
          <w:rFonts w:ascii="Times New Roman" w:hAnsi="Times New Roman" w:cs="Times New Roman"/>
        </w:rPr>
        <w:t xml:space="preserve">. </w:t>
      </w:r>
    </w:p>
    <w:p w14:paraId="4BDFB053" w14:textId="77777777" w:rsidR="000F3273" w:rsidRDefault="000F3273" w:rsidP="000F3273">
      <w:pPr>
        <w:spacing w:line="360" w:lineRule="auto"/>
        <w:ind w:firstLine="720"/>
        <w:jc w:val="both"/>
        <w:rPr>
          <w:rFonts w:ascii="Times New Roman" w:hAnsi="Times New Roman" w:cs="Times New Roman"/>
        </w:rPr>
      </w:pPr>
    </w:p>
    <w:p w14:paraId="0540054F" w14:textId="032BAE67" w:rsidR="00445E7F" w:rsidRDefault="009C4A0C" w:rsidP="000F3273">
      <w:pPr>
        <w:spacing w:line="360" w:lineRule="auto"/>
        <w:ind w:firstLine="720"/>
        <w:jc w:val="both"/>
        <w:rPr>
          <w:rFonts w:ascii="Times New Roman" w:hAnsi="Times New Roman" w:cs="Times New Roman"/>
        </w:rPr>
      </w:pPr>
      <w:r>
        <w:rPr>
          <w:rFonts w:ascii="Times New Roman" w:hAnsi="Times New Roman" w:cs="Times New Roman"/>
        </w:rPr>
        <w:t>Fransız hukukunda seri usulle birlikte getirilen yapısal değişiklik</w:t>
      </w:r>
      <w:r w:rsidR="00D03B35">
        <w:rPr>
          <w:rFonts w:ascii="Times New Roman" w:hAnsi="Times New Roman" w:cs="Times New Roman"/>
        </w:rPr>
        <w:t xml:space="preserve"> </w:t>
      </w:r>
      <w:r>
        <w:rPr>
          <w:rFonts w:ascii="Times New Roman" w:hAnsi="Times New Roman" w:cs="Times New Roman"/>
        </w:rPr>
        <w:t xml:space="preserve">ceza muhakemesinde </w:t>
      </w:r>
      <w:r w:rsidR="00D03B35">
        <w:rPr>
          <w:rFonts w:ascii="Times New Roman" w:hAnsi="Times New Roman" w:cs="Times New Roman"/>
        </w:rPr>
        <w:t xml:space="preserve">maddi gerçeğe ulaşılmasının başlı başına bir amaç olmaktan çıkarıldığı, yargılamanın amacının delil elde etmek olmaya başladığı </w:t>
      </w:r>
      <w:r>
        <w:rPr>
          <w:rFonts w:ascii="Times New Roman" w:hAnsi="Times New Roman" w:cs="Times New Roman"/>
        </w:rPr>
        <w:t>yönünden de eleştirilmektedir</w:t>
      </w:r>
      <w:r w:rsidR="00AA2CB7">
        <w:rPr>
          <w:rStyle w:val="FootnoteReference"/>
          <w:rFonts w:ascii="Times New Roman" w:hAnsi="Times New Roman" w:cs="Times New Roman"/>
        </w:rPr>
        <w:footnoteReference w:id="150"/>
      </w:r>
      <w:r w:rsidR="00AA2CB7">
        <w:rPr>
          <w:rFonts w:ascii="Times New Roman" w:hAnsi="Times New Roman" w:cs="Times New Roman"/>
        </w:rPr>
        <w:t xml:space="preserve">. </w:t>
      </w:r>
      <w:r w:rsidR="0048446C">
        <w:rPr>
          <w:rFonts w:ascii="Times New Roman" w:hAnsi="Times New Roman" w:cs="Times New Roman"/>
        </w:rPr>
        <w:t>Türk hukukundaki seri muhakeme usulü bakımından da</w:t>
      </w:r>
      <w:r w:rsidR="00445E7F">
        <w:rPr>
          <w:rFonts w:ascii="Times New Roman" w:hAnsi="Times New Roman" w:cs="Times New Roman"/>
        </w:rPr>
        <w:t xml:space="preserve"> </w:t>
      </w:r>
      <w:r w:rsidR="00692E87">
        <w:rPr>
          <w:rFonts w:ascii="Times New Roman" w:hAnsi="Times New Roman" w:cs="Times New Roman"/>
        </w:rPr>
        <w:t>benzer bir</w:t>
      </w:r>
      <w:r w:rsidR="0048446C">
        <w:rPr>
          <w:rFonts w:ascii="Times New Roman" w:hAnsi="Times New Roman" w:cs="Times New Roman"/>
        </w:rPr>
        <w:t xml:space="preserve"> değerlendirmenin geçerli olduğunu söylemek mümkündür. </w:t>
      </w:r>
      <w:r w:rsidR="00445E7F">
        <w:rPr>
          <w:rFonts w:ascii="Times New Roman" w:hAnsi="Times New Roman" w:cs="Times New Roman"/>
        </w:rPr>
        <w:t xml:space="preserve">Seri muhakeme usulünde </w:t>
      </w:r>
      <w:r w:rsidR="00257433">
        <w:rPr>
          <w:rFonts w:ascii="Times New Roman" w:hAnsi="Times New Roman" w:cs="Times New Roman"/>
        </w:rPr>
        <w:t>delillerin soruşturma evresinde savcılık tarafından edinilenlerle sınırlı olduğu, seri usulün uygulanma</w:t>
      </w:r>
      <w:r w:rsidR="00AB1854">
        <w:rPr>
          <w:rFonts w:ascii="Times New Roman" w:hAnsi="Times New Roman" w:cs="Times New Roman"/>
        </w:rPr>
        <w:t xml:space="preserve">sı sırasında hakim önünde delillerin sunularak tartışılması </w:t>
      </w:r>
      <w:r w:rsidR="00257433">
        <w:rPr>
          <w:rFonts w:ascii="Times New Roman" w:hAnsi="Times New Roman" w:cs="Times New Roman"/>
        </w:rPr>
        <w:t xml:space="preserve">veya soruşturmanın genişletilmesi imkanının bulunmaması maddi gerçeğe ulaşılması amacının ne ölçüde </w:t>
      </w:r>
      <w:r>
        <w:rPr>
          <w:rFonts w:ascii="Times New Roman" w:hAnsi="Times New Roman" w:cs="Times New Roman"/>
        </w:rPr>
        <w:t>devam ettiğini sorgulatmaktadır</w:t>
      </w:r>
      <w:r w:rsidR="00257433">
        <w:rPr>
          <w:rFonts w:ascii="Times New Roman" w:hAnsi="Times New Roman" w:cs="Times New Roman"/>
        </w:rPr>
        <w:t xml:space="preserve">. </w:t>
      </w:r>
    </w:p>
    <w:p w14:paraId="1BACAAF2" w14:textId="77777777" w:rsidR="00D03B35" w:rsidRDefault="00D03B35" w:rsidP="00D03B35">
      <w:pPr>
        <w:spacing w:line="360" w:lineRule="auto"/>
        <w:jc w:val="both"/>
        <w:rPr>
          <w:rFonts w:ascii="Times New Roman" w:hAnsi="Times New Roman" w:cs="Times New Roman"/>
        </w:rPr>
      </w:pPr>
    </w:p>
    <w:p w14:paraId="4A26C17B" w14:textId="3A4B6D23" w:rsidR="00D03B35" w:rsidRDefault="00D03B35" w:rsidP="00D03B35">
      <w:pPr>
        <w:spacing w:line="360" w:lineRule="auto"/>
        <w:jc w:val="both"/>
        <w:rPr>
          <w:rFonts w:ascii="Times New Roman" w:hAnsi="Times New Roman" w:cs="Times New Roman"/>
        </w:rPr>
      </w:pPr>
      <w:r>
        <w:rPr>
          <w:rFonts w:ascii="Times New Roman" w:hAnsi="Times New Roman" w:cs="Times New Roman"/>
        </w:rPr>
        <w:tab/>
      </w:r>
      <w:r w:rsidR="00AE5222">
        <w:rPr>
          <w:rFonts w:ascii="Times New Roman" w:hAnsi="Times New Roman" w:cs="Times New Roman"/>
        </w:rPr>
        <w:t xml:space="preserve">Türk ve Fransız hukuklarındaki seri usullerin </w:t>
      </w:r>
      <w:r w:rsidR="004C0C1F">
        <w:rPr>
          <w:rFonts w:ascii="Times New Roman" w:hAnsi="Times New Roman" w:cs="Times New Roman"/>
        </w:rPr>
        <w:t xml:space="preserve">yukarıda belirtilen özellikleri </w:t>
      </w:r>
      <w:r w:rsidR="00AE5222">
        <w:rPr>
          <w:rFonts w:ascii="Times New Roman" w:hAnsi="Times New Roman" w:cs="Times New Roman"/>
        </w:rPr>
        <w:t xml:space="preserve">ceza </w:t>
      </w:r>
      <w:r w:rsidR="00F02A27">
        <w:rPr>
          <w:rFonts w:ascii="Times New Roman" w:hAnsi="Times New Roman" w:cs="Times New Roman"/>
        </w:rPr>
        <w:t>muhakemesindeki</w:t>
      </w:r>
      <w:r w:rsidR="00AE5222">
        <w:rPr>
          <w:rFonts w:ascii="Times New Roman" w:hAnsi="Times New Roman" w:cs="Times New Roman"/>
        </w:rPr>
        <w:t xml:space="preserve"> süjelerin rolleri ve konumlarını</w:t>
      </w:r>
      <w:r w:rsidR="00A045E7">
        <w:rPr>
          <w:rFonts w:ascii="Times New Roman" w:hAnsi="Times New Roman" w:cs="Times New Roman"/>
        </w:rPr>
        <w:t xml:space="preserve"> da</w:t>
      </w:r>
      <w:r w:rsidR="00AE5222">
        <w:rPr>
          <w:rFonts w:ascii="Times New Roman" w:hAnsi="Times New Roman" w:cs="Times New Roman"/>
        </w:rPr>
        <w:t xml:space="preserve"> önemli ölçüde değiş</w:t>
      </w:r>
      <w:r w:rsidR="00B96DD7">
        <w:rPr>
          <w:rFonts w:ascii="Times New Roman" w:hAnsi="Times New Roman" w:cs="Times New Roman"/>
        </w:rPr>
        <w:t>tirmiştir.</w:t>
      </w:r>
      <w:r w:rsidR="001A09F6">
        <w:rPr>
          <w:rFonts w:ascii="Times New Roman" w:hAnsi="Times New Roman" w:cs="Times New Roman"/>
        </w:rPr>
        <w:t xml:space="preserve"> </w:t>
      </w:r>
      <w:r w:rsidR="004C1C05">
        <w:rPr>
          <w:rFonts w:ascii="Times New Roman" w:hAnsi="Times New Roman" w:cs="Times New Roman"/>
        </w:rPr>
        <w:t xml:space="preserve">Bu konuda Fransız hukukunda ileri sürülen tespit ve eleştiriler Türk hukuku bakımından da geçerlidir. </w:t>
      </w:r>
      <w:r w:rsidR="001A09F6">
        <w:rPr>
          <w:rFonts w:ascii="Times New Roman" w:hAnsi="Times New Roman" w:cs="Times New Roman"/>
        </w:rPr>
        <w:t xml:space="preserve">Bu </w:t>
      </w:r>
      <w:r w:rsidR="004C1C05">
        <w:rPr>
          <w:rFonts w:ascii="Times New Roman" w:hAnsi="Times New Roman" w:cs="Times New Roman"/>
        </w:rPr>
        <w:t>usuller kapsamında</w:t>
      </w:r>
      <w:r w:rsidR="001A09F6">
        <w:rPr>
          <w:rFonts w:ascii="Times New Roman" w:hAnsi="Times New Roman" w:cs="Times New Roman"/>
        </w:rPr>
        <w:t xml:space="preserve"> olağan ceza yargılamasında hakimin, savcının ve bazen müdafiin de yargılama faaliyetine katılma şekli değişmektedir. </w:t>
      </w:r>
      <w:r w:rsidR="004C1C05">
        <w:rPr>
          <w:rFonts w:ascii="Times New Roman" w:hAnsi="Times New Roman" w:cs="Times New Roman"/>
        </w:rPr>
        <w:t>Ö</w:t>
      </w:r>
      <w:r w:rsidR="004C0C1F">
        <w:rPr>
          <w:rFonts w:ascii="Times New Roman" w:hAnsi="Times New Roman" w:cs="Times New Roman"/>
        </w:rPr>
        <w:t>zellikle ceza muhakemesinde yargı makamının konumunun zayıflatıldığı, iddia makamı olarak savcılığın yetki ve rolünün öne çıktığı tespit edilmektedir</w:t>
      </w:r>
      <w:r w:rsidR="001672FD">
        <w:rPr>
          <w:rStyle w:val="FootnoteReference"/>
          <w:rFonts w:ascii="Times New Roman" w:hAnsi="Times New Roman" w:cs="Times New Roman"/>
        </w:rPr>
        <w:footnoteReference w:id="151"/>
      </w:r>
      <w:r w:rsidR="004C0C1F">
        <w:rPr>
          <w:rFonts w:ascii="Times New Roman" w:hAnsi="Times New Roman" w:cs="Times New Roman"/>
        </w:rPr>
        <w:t xml:space="preserve">. </w:t>
      </w:r>
      <w:r w:rsidR="00BA503C">
        <w:rPr>
          <w:rFonts w:ascii="Times New Roman" w:hAnsi="Times New Roman" w:cs="Times New Roman"/>
        </w:rPr>
        <w:t>Her iki hukuk sisteminde</w:t>
      </w:r>
      <w:r w:rsidR="001672FD">
        <w:rPr>
          <w:rFonts w:ascii="Times New Roman" w:hAnsi="Times New Roman" w:cs="Times New Roman"/>
        </w:rPr>
        <w:t>ki seri usul kapsamında,</w:t>
      </w:r>
      <w:r>
        <w:rPr>
          <w:rFonts w:ascii="Times New Roman" w:hAnsi="Times New Roman" w:cs="Times New Roman"/>
        </w:rPr>
        <w:t xml:space="preserve"> </w:t>
      </w:r>
      <w:r w:rsidR="001672FD">
        <w:rPr>
          <w:rFonts w:ascii="Times New Roman" w:hAnsi="Times New Roman" w:cs="Times New Roman"/>
        </w:rPr>
        <w:t xml:space="preserve">mahkeme </w:t>
      </w:r>
      <w:r>
        <w:rPr>
          <w:rFonts w:ascii="Times New Roman" w:hAnsi="Times New Roman" w:cs="Times New Roman"/>
        </w:rPr>
        <w:t>ceza yargılamasına konu olan olayla ilgili olarak yalnızca savcılığın takdir ve talep ettiği cezayı gözden geçirerek onaylamakla sınırlı bir işlev üstlenmektedir. Anglo</w:t>
      </w:r>
      <w:r w:rsidR="00985A2A">
        <w:rPr>
          <w:rFonts w:ascii="Times New Roman" w:hAnsi="Times New Roman" w:cs="Times New Roman"/>
        </w:rPr>
        <w:t>sakson hukuk sistemlerinde</w:t>
      </w:r>
      <w:r>
        <w:rPr>
          <w:rFonts w:ascii="Times New Roman" w:hAnsi="Times New Roman" w:cs="Times New Roman"/>
        </w:rPr>
        <w:t xml:space="preserve"> benimsenen </w:t>
      </w:r>
      <w:r w:rsidR="0048446C">
        <w:rPr>
          <w:rFonts w:ascii="Times New Roman" w:hAnsi="Times New Roman" w:cs="Times New Roman"/>
        </w:rPr>
        <w:t xml:space="preserve">iddia pazarlığı benzeri </w:t>
      </w:r>
      <w:r>
        <w:rPr>
          <w:rFonts w:ascii="Times New Roman" w:hAnsi="Times New Roman" w:cs="Times New Roman"/>
        </w:rPr>
        <w:t>diğer usuller</w:t>
      </w:r>
      <w:r w:rsidR="001672FD">
        <w:rPr>
          <w:rFonts w:ascii="Times New Roman" w:hAnsi="Times New Roman" w:cs="Times New Roman"/>
        </w:rPr>
        <w:t>den farklı olarak burada hakim</w:t>
      </w:r>
      <w:r>
        <w:rPr>
          <w:rFonts w:ascii="Times New Roman" w:hAnsi="Times New Roman" w:cs="Times New Roman"/>
        </w:rPr>
        <w:t xml:space="preserve"> savcılığın talep ettiği cezayı değiştirme, talep üzerinde pazarlık etme veya tartışma imkanına sahip değildir. Bu nedenle, yalnızca talebi onaylama veya reddetmekten ibaret bir yargılama yetkisine sahip olması, hakimi bir denetim makamına </w:t>
      </w:r>
      <w:r w:rsidR="001672FD">
        <w:rPr>
          <w:rFonts w:ascii="Times New Roman" w:hAnsi="Times New Roman" w:cs="Times New Roman"/>
        </w:rPr>
        <w:t>indirgemektedir</w:t>
      </w:r>
      <w:r>
        <w:rPr>
          <w:rFonts w:ascii="Times New Roman" w:hAnsi="Times New Roman" w:cs="Times New Roman"/>
        </w:rPr>
        <w:t xml:space="preserve">. Halbuki Avrupa Konseyi’nin 17 Eylül 1987 tarihli Tavsiye Kararında ceza </w:t>
      </w:r>
      <w:r w:rsidR="000103BE">
        <w:rPr>
          <w:rFonts w:ascii="Times New Roman" w:hAnsi="Times New Roman" w:cs="Times New Roman"/>
        </w:rPr>
        <w:t>muhakemesi</w:t>
      </w:r>
      <w:r>
        <w:rPr>
          <w:rFonts w:ascii="Times New Roman" w:hAnsi="Times New Roman" w:cs="Times New Roman"/>
        </w:rPr>
        <w:t xml:space="preserve"> sürecinin basitleştirilmesi</w:t>
      </w:r>
      <w:r w:rsidRPr="00333364">
        <w:rPr>
          <w:rFonts w:ascii="Times New Roman" w:hAnsi="Times New Roman" w:cs="Times New Roman"/>
        </w:rPr>
        <w:t xml:space="preserve"> </w:t>
      </w:r>
      <w:r>
        <w:rPr>
          <w:rFonts w:ascii="Times New Roman" w:hAnsi="Times New Roman" w:cs="Times New Roman"/>
        </w:rPr>
        <w:t>failin ikrarına dayalı bir usule bağlanacaksa bunun ceza yargılamasının temel ilkelerini gözeten bir yargı makamının merkezde olduğu bir sistemi öngörmesi gerek</w:t>
      </w:r>
      <w:r w:rsidR="00CF3544">
        <w:rPr>
          <w:rFonts w:ascii="Times New Roman" w:hAnsi="Times New Roman" w:cs="Times New Roman"/>
        </w:rPr>
        <w:t>tiği vurgulanmıştır</w:t>
      </w:r>
      <w:r>
        <w:rPr>
          <w:rStyle w:val="FootnoteReference"/>
          <w:rFonts w:ascii="Times New Roman" w:hAnsi="Times New Roman" w:cs="Times New Roman"/>
        </w:rPr>
        <w:footnoteReference w:id="152"/>
      </w:r>
      <w:r w:rsidR="000D5C1A">
        <w:rPr>
          <w:rFonts w:ascii="Times New Roman" w:hAnsi="Times New Roman" w:cs="Times New Roman"/>
        </w:rPr>
        <w:t>.</w:t>
      </w:r>
      <w:r w:rsidR="001A09F6">
        <w:rPr>
          <w:rFonts w:ascii="Times New Roman" w:hAnsi="Times New Roman" w:cs="Times New Roman"/>
        </w:rPr>
        <w:t xml:space="preserve"> </w:t>
      </w:r>
      <w:r w:rsidR="00E31433">
        <w:rPr>
          <w:rFonts w:ascii="Times New Roman" w:hAnsi="Times New Roman" w:cs="Times New Roman"/>
        </w:rPr>
        <w:t xml:space="preserve">Yine aynı şekilde hükmü veren makam olarak hakime tanınan </w:t>
      </w:r>
      <w:r w:rsidR="004C1C05">
        <w:rPr>
          <w:rFonts w:ascii="Times New Roman" w:hAnsi="Times New Roman" w:cs="Times New Roman"/>
        </w:rPr>
        <w:t>temel cezayı belirleme ve cezayı seçenek yaptırımlara çevirme, erteleme yetkilerinin</w:t>
      </w:r>
      <w:r w:rsidR="00E31433">
        <w:rPr>
          <w:rFonts w:ascii="Times New Roman" w:hAnsi="Times New Roman" w:cs="Times New Roman"/>
        </w:rPr>
        <w:t xml:space="preserve"> de bu usulle savcıya aktarılması hakimin ceza muhakemesindeki </w:t>
      </w:r>
      <w:r w:rsidR="004C1C05">
        <w:rPr>
          <w:rFonts w:ascii="Times New Roman" w:hAnsi="Times New Roman" w:cs="Times New Roman"/>
        </w:rPr>
        <w:t xml:space="preserve">konumunu zayıflatmakta, muhakemedeki ağırlığın savcılığa kaymasına yol açmaktadır. </w:t>
      </w:r>
      <w:r w:rsidR="00647618">
        <w:rPr>
          <w:rFonts w:ascii="Times New Roman" w:hAnsi="Times New Roman" w:cs="Times New Roman"/>
        </w:rPr>
        <w:t xml:space="preserve">Özellikle </w:t>
      </w:r>
      <w:r w:rsidR="00416940">
        <w:rPr>
          <w:rFonts w:ascii="Times New Roman" w:hAnsi="Times New Roman" w:cs="Times New Roman"/>
        </w:rPr>
        <w:t xml:space="preserve">Türk hukuku bakımından, hakim ve savcı arasındaki </w:t>
      </w:r>
      <w:r w:rsidR="004C1C05">
        <w:rPr>
          <w:rFonts w:ascii="Times New Roman" w:hAnsi="Times New Roman" w:cs="Times New Roman"/>
        </w:rPr>
        <w:t>bu konum ve yetki değişikliğinin sınırlarının</w:t>
      </w:r>
      <w:r w:rsidR="00416940">
        <w:rPr>
          <w:rFonts w:ascii="Times New Roman" w:hAnsi="Times New Roman" w:cs="Times New Roman"/>
        </w:rPr>
        <w:t xml:space="preserve"> </w:t>
      </w:r>
      <w:r w:rsidR="009C4A0C">
        <w:rPr>
          <w:rFonts w:ascii="Times New Roman" w:hAnsi="Times New Roman" w:cs="Times New Roman"/>
        </w:rPr>
        <w:t xml:space="preserve">kanunda </w:t>
      </w:r>
      <w:r w:rsidR="00416940">
        <w:rPr>
          <w:rFonts w:ascii="Times New Roman" w:hAnsi="Times New Roman" w:cs="Times New Roman"/>
        </w:rPr>
        <w:t xml:space="preserve">yeterince belirlenmemiş olmasının sorun yarattığı ifade edilmelidir. Bu kapsamda, </w:t>
      </w:r>
      <w:r w:rsidR="00FF3522">
        <w:rPr>
          <w:rFonts w:ascii="Times New Roman" w:hAnsi="Times New Roman" w:cs="Times New Roman"/>
        </w:rPr>
        <w:t xml:space="preserve">özellikle </w:t>
      </w:r>
      <w:r w:rsidR="00416940">
        <w:rPr>
          <w:rFonts w:ascii="Times New Roman" w:hAnsi="Times New Roman" w:cs="Times New Roman"/>
        </w:rPr>
        <w:t xml:space="preserve">seri muhakeme usulünde </w:t>
      </w:r>
      <w:r w:rsidR="00B93036">
        <w:rPr>
          <w:rFonts w:ascii="Times New Roman" w:hAnsi="Times New Roman" w:cs="Times New Roman"/>
        </w:rPr>
        <w:t xml:space="preserve">savcının </w:t>
      </w:r>
      <w:r w:rsidR="00647618">
        <w:rPr>
          <w:rFonts w:ascii="Times New Roman" w:hAnsi="Times New Roman" w:cs="Times New Roman"/>
        </w:rPr>
        <w:t xml:space="preserve">hükmün açıklanmasının geri bırakılması </w:t>
      </w:r>
      <w:r w:rsidR="00B93036">
        <w:rPr>
          <w:rFonts w:ascii="Times New Roman" w:hAnsi="Times New Roman" w:cs="Times New Roman"/>
        </w:rPr>
        <w:t xml:space="preserve">kararı vermeye kıyasen yetkilendirilmiş olması, aslen hükmü açıklama yetkisine sahip makama ait olan bu yetkinin kanunda sınırları gösterilmeksizin devredilmesi anlamına geldiği ve hukuk tekniği açısından tartışılır olduğu </w:t>
      </w:r>
      <w:r w:rsidR="00416940">
        <w:rPr>
          <w:rFonts w:ascii="Times New Roman" w:hAnsi="Times New Roman" w:cs="Times New Roman"/>
        </w:rPr>
        <w:t>tespit edilmiştir</w:t>
      </w:r>
      <w:r w:rsidR="00B93036">
        <w:rPr>
          <w:rStyle w:val="FootnoteReference"/>
          <w:rFonts w:ascii="Times New Roman" w:hAnsi="Times New Roman" w:cs="Times New Roman"/>
        </w:rPr>
        <w:footnoteReference w:id="153"/>
      </w:r>
      <w:r w:rsidR="00B93036">
        <w:rPr>
          <w:rFonts w:ascii="Times New Roman" w:hAnsi="Times New Roman" w:cs="Times New Roman"/>
        </w:rPr>
        <w:t xml:space="preserve">. </w:t>
      </w:r>
    </w:p>
    <w:p w14:paraId="4BD97508" w14:textId="77777777" w:rsidR="00D03B35" w:rsidRDefault="00D03B35" w:rsidP="00D03B35">
      <w:pPr>
        <w:spacing w:line="360" w:lineRule="auto"/>
        <w:jc w:val="both"/>
        <w:rPr>
          <w:rFonts w:ascii="Times New Roman" w:hAnsi="Times New Roman" w:cs="Times New Roman"/>
        </w:rPr>
      </w:pPr>
    </w:p>
    <w:p w14:paraId="5173547D" w14:textId="1B7AF32B" w:rsidR="001C54C3" w:rsidRDefault="007D55B7" w:rsidP="00BC799A">
      <w:pPr>
        <w:spacing w:line="360" w:lineRule="auto"/>
        <w:ind w:firstLine="720"/>
        <w:jc w:val="both"/>
        <w:rPr>
          <w:rFonts w:ascii="Times New Roman" w:hAnsi="Times New Roman" w:cs="Times New Roman"/>
        </w:rPr>
      </w:pPr>
      <w:r>
        <w:rPr>
          <w:rFonts w:ascii="Times New Roman" w:hAnsi="Times New Roman" w:cs="Times New Roman"/>
        </w:rPr>
        <w:t>Fransız hukukunda</w:t>
      </w:r>
      <w:r w:rsidR="00793522">
        <w:rPr>
          <w:rFonts w:ascii="Times New Roman" w:hAnsi="Times New Roman" w:cs="Times New Roman"/>
        </w:rPr>
        <w:t>,</w:t>
      </w:r>
      <w:r>
        <w:rPr>
          <w:rFonts w:ascii="Times New Roman" w:hAnsi="Times New Roman" w:cs="Times New Roman"/>
        </w:rPr>
        <w:t xml:space="preserve"> suçluluğun ön kabulü üzerine duruşma usulünde </w:t>
      </w:r>
      <w:r w:rsidR="00416940">
        <w:rPr>
          <w:rFonts w:ascii="Times New Roman" w:hAnsi="Times New Roman" w:cs="Times New Roman"/>
        </w:rPr>
        <w:t xml:space="preserve">şüphelinin </w:t>
      </w:r>
      <w:r w:rsidR="00D03B35">
        <w:rPr>
          <w:rFonts w:ascii="Times New Roman" w:hAnsi="Times New Roman" w:cs="Times New Roman"/>
        </w:rPr>
        <w:t>kendisine verilecek cezanın daha ağır olm</w:t>
      </w:r>
      <w:r w:rsidR="00416940">
        <w:rPr>
          <w:rFonts w:ascii="Times New Roman" w:hAnsi="Times New Roman" w:cs="Times New Roman"/>
        </w:rPr>
        <w:t>ası ihtimaliyle karşı karşıya kalması nedeniyle</w:t>
      </w:r>
      <w:r>
        <w:rPr>
          <w:rFonts w:ascii="Times New Roman" w:hAnsi="Times New Roman" w:cs="Times New Roman"/>
        </w:rPr>
        <w:t>,</w:t>
      </w:r>
      <w:r w:rsidR="00D03B35">
        <w:rPr>
          <w:rFonts w:ascii="Times New Roman" w:hAnsi="Times New Roman" w:cs="Times New Roman"/>
        </w:rPr>
        <w:t xml:space="preserve"> </w:t>
      </w:r>
      <w:r>
        <w:rPr>
          <w:rFonts w:ascii="Times New Roman" w:hAnsi="Times New Roman" w:cs="Times New Roman"/>
        </w:rPr>
        <w:t>teklifi kabul etme</w:t>
      </w:r>
      <w:r w:rsidR="00D03B35">
        <w:rPr>
          <w:rFonts w:ascii="Times New Roman" w:hAnsi="Times New Roman" w:cs="Times New Roman"/>
        </w:rPr>
        <w:t xml:space="preserve"> iradesinin tam olarak özgür olmadığı</w:t>
      </w:r>
      <w:r w:rsidR="00416940">
        <w:rPr>
          <w:rFonts w:ascii="Times New Roman" w:hAnsi="Times New Roman" w:cs="Times New Roman"/>
        </w:rPr>
        <w:t>na da dikkat çekilmiştir</w:t>
      </w:r>
      <w:r w:rsidR="00D03B35">
        <w:rPr>
          <w:rStyle w:val="FootnoteReference"/>
          <w:rFonts w:ascii="Times New Roman" w:hAnsi="Times New Roman" w:cs="Times New Roman"/>
        </w:rPr>
        <w:footnoteReference w:id="154"/>
      </w:r>
      <w:r w:rsidR="00D03B35">
        <w:rPr>
          <w:rFonts w:ascii="Times New Roman" w:hAnsi="Times New Roman" w:cs="Times New Roman"/>
        </w:rPr>
        <w:t xml:space="preserve">. Bu usulde </w:t>
      </w:r>
      <w:r>
        <w:rPr>
          <w:rFonts w:ascii="Times New Roman" w:hAnsi="Times New Roman" w:cs="Times New Roman"/>
        </w:rPr>
        <w:t xml:space="preserve">aslında </w:t>
      </w:r>
      <w:r w:rsidR="00D03B35">
        <w:rPr>
          <w:rFonts w:ascii="Times New Roman" w:hAnsi="Times New Roman" w:cs="Times New Roman"/>
        </w:rPr>
        <w:t xml:space="preserve">kanun koyucu, ceza yargılaması sürecinin hızlandırılabilmesi için </w:t>
      </w:r>
      <w:r w:rsidR="00416940">
        <w:rPr>
          <w:rFonts w:ascii="Times New Roman" w:hAnsi="Times New Roman" w:cs="Times New Roman"/>
        </w:rPr>
        <w:t>şüphelinin</w:t>
      </w:r>
      <w:r w:rsidR="00D03B35">
        <w:rPr>
          <w:rFonts w:ascii="Times New Roman" w:hAnsi="Times New Roman" w:cs="Times New Roman"/>
        </w:rPr>
        <w:t xml:space="preserve"> normalde alacağı cezanın ağırlığının baskısı karşısında daha hafif bir ceza imkanı sunularak ikrara yönelmesini sağlamaktadır</w:t>
      </w:r>
      <w:r w:rsidR="00D03B35">
        <w:rPr>
          <w:rStyle w:val="FootnoteReference"/>
          <w:rFonts w:ascii="Times New Roman" w:hAnsi="Times New Roman" w:cs="Times New Roman"/>
        </w:rPr>
        <w:footnoteReference w:id="155"/>
      </w:r>
      <w:r w:rsidR="00D03B35">
        <w:rPr>
          <w:rFonts w:ascii="Times New Roman" w:hAnsi="Times New Roman" w:cs="Times New Roman"/>
        </w:rPr>
        <w:t>. Bu nedenle bu usuldeki asıl amaç, suçluluğu ikrar eden faile daha uygun ve etkili bir cezanın verilmesini sağlamaktan ziyade ağır ceza korkusu altındaki sanığın ikrar</w:t>
      </w:r>
      <w:r w:rsidR="00AB4799">
        <w:rPr>
          <w:rFonts w:ascii="Times New Roman" w:hAnsi="Times New Roman" w:cs="Times New Roman"/>
        </w:rPr>
        <w:t>a</w:t>
      </w:r>
      <w:r w:rsidR="00D03B35">
        <w:rPr>
          <w:rFonts w:ascii="Times New Roman" w:hAnsi="Times New Roman" w:cs="Times New Roman"/>
        </w:rPr>
        <w:t xml:space="preserve"> yönelmesini sağlamaya dönüşmekte, </w:t>
      </w:r>
      <w:r w:rsidR="004B6B34">
        <w:rPr>
          <w:rFonts w:ascii="Times New Roman" w:hAnsi="Times New Roman" w:cs="Times New Roman"/>
        </w:rPr>
        <w:t>şüpheli</w:t>
      </w:r>
      <w:r w:rsidR="00D03B35">
        <w:rPr>
          <w:rFonts w:ascii="Times New Roman" w:hAnsi="Times New Roman" w:cs="Times New Roman"/>
        </w:rPr>
        <w:t xml:space="preserve"> ceza yargılamasından daha az cezayla nasıl çıkabileceğini hesaplamaya yönelik bir tutum sergilemektedir. Bu durum ceza yargılamasında müdafiin rolünü de önemli ölçüde değiştirmekte, müdafi savunmadan ziyade tavsiye verme ve stratejik yönlendirme işini üstlenmektedir. Bu doğrultuda, aslında müdafi yardımını zorunlu kılan </w:t>
      </w:r>
      <w:r w:rsidR="00B16089">
        <w:rPr>
          <w:rFonts w:ascii="Times New Roman" w:hAnsi="Times New Roman" w:cs="Times New Roman"/>
        </w:rPr>
        <w:t>bu usulün</w:t>
      </w:r>
      <w:r w:rsidR="00D03B35">
        <w:rPr>
          <w:rFonts w:ascii="Times New Roman" w:hAnsi="Times New Roman" w:cs="Times New Roman"/>
        </w:rPr>
        <w:t xml:space="preserve"> ceza yargılamasındaki savunma hakkının güvencelerini sağladığı ifade edilse de, müdafiin üstlendiği savunma görevinin içeriğinin değiştiği ve ikinci planda kaldığı görülmektedir</w:t>
      </w:r>
      <w:r w:rsidR="00D03B35">
        <w:rPr>
          <w:rStyle w:val="FootnoteReference"/>
          <w:rFonts w:ascii="Times New Roman" w:hAnsi="Times New Roman" w:cs="Times New Roman"/>
        </w:rPr>
        <w:footnoteReference w:id="156"/>
      </w:r>
      <w:r w:rsidR="00D03B35">
        <w:rPr>
          <w:rFonts w:ascii="Times New Roman" w:hAnsi="Times New Roman" w:cs="Times New Roman"/>
        </w:rPr>
        <w:t xml:space="preserve">. </w:t>
      </w:r>
      <w:r>
        <w:rPr>
          <w:rFonts w:ascii="Times New Roman" w:hAnsi="Times New Roman" w:cs="Times New Roman"/>
        </w:rPr>
        <w:t>B</w:t>
      </w:r>
      <w:r w:rsidR="00416940">
        <w:rPr>
          <w:rFonts w:ascii="Times New Roman" w:hAnsi="Times New Roman" w:cs="Times New Roman"/>
        </w:rPr>
        <w:t>enzer bir tespit Türk hukukundaki seri muhakeme usulü için de yapılabilir. Türk hukukunda da şüpheli</w:t>
      </w:r>
      <w:r w:rsidR="008C56C2">
        <w:rPr>
          <w:rFonts w:ascii="Times New Roman" w:hAnsi="Times New Roman" w:cs="Times New Roman"/>
        </w:rPr>
        <w:t xml:space="preserve"> açıkça</w:t>
      </w:r>
      <w:r w:rsidR="00416940">
        <w:rPr>
          <w:rFonts w:ascii="Times New Roman" w:hAnsi="Times New Roman" w:cs="Times New Roman"/>
        </w:rPr>
        <w:t xml:space="preserve"> </w:t>
      </w:r>
      <w:r w:rsidR="008C56C2">
        <w:rPr>
          <w:rFonts w:ascii="Times New Roman" w:hAnsi="Times New Roman" w:cs="Times New Roman"/>
        </w:rPr>
        <w:t xml:space="preserve">eylemleri </w:t>
      </w:r>
      <w:r w:rsidR="00416940">
        <w:rPr>
          <w:rFonts w:ascii="Times New Roman" w:hAnsi="Times New Roman" w:cs="Times New Roman"/>
        </w:rPr>
        <w:t xml:space="preserve">ikrar edecek olmasa dahi hakkında uygulanacak yaptırımı öğrenerek olağan usulde alabileceği yaptırıma </w:t>
      </w:r>
      <w:r>
        <w:rPr>
          <w:rFonts w:ascii="Times New Roman" w:hAnsi="Times New Roman" w:cs="Times New Roman"/>
        </w:rPr>
        <w:t>oranla</w:t>
      </w:r>
      <w:r w:rsidR="00416940">
        <w:rPr>
          <w:rFonts w:ascii="Times New Roman" w:hAnsi="Times New Roman" w:cs="Times New Roman"/>
        </w:rPr>
        <w:t xml:space="preserve"> ne </w:t>
      </w:r>
      <w:r>
        <w:rPr>
          <w:rFonts w:ascii="Times New Roman" w:hAnsi="Times New Roman" w:cs="Times New Roman"/>
        </w:rPr>
        <w:t>kadar indirim alacağını</w:t>
      </w:r>
      <w:r w:rsidR="00416940">
        <w:rPr>
          <w:rFonts w:ascii="Times New Roman" w:hAnsi="Times New Roman" w:cs="Times New Roman"/>
        </w:rPr>
        <w:t xml:space="preserve"> </w:t>
      </w:r>
      <w:r>
        <w:rPr>
          <w:rFonts w:ascii="Times New Roman" w:hAnsi="Times New Roman" w:cs="Times New Roman"/>
        </w:rPr>
        <w:t xml:space="preserve">kabul esnasında </w:t>
      </w:r>
      <w:r w:rsidR="00C64DD4">
        <w:rPr>
          <w:rFonts w:ascii="Times New Roman" w:hAnsi="Times New Roman" w:cs="Times New Roman"/>
        </w:rPr>
        <w:t>dikkate alacaktır. Burada şüpheli ile müdafiin seri usul ile olağan usul arasında yaptırım</w:t>
      </w:r>
      <w:r w:rsidR="00A65F24">
        <w:rPr>
          <w:rFonts w:ascii="Times New Roman" w:hAnsi="Times New Roman" w:cs="Times New Roman"/>
        </w:rPr>
        <w:t>ı hafifletme</w:t>
      </w:r>
      <w:r w:rsidR="00C64DD4">
        <w:rPr>
          <w:rFonts w:ascii="Times New Roman" w:hAnsi="Times New Roman" w:cs="Times New Roman"/>
        </w:rPr>
        <w:t xml:space="preserve"> imkanı ile bağlantılı bir strateji geliştirmesi söz kon</w:t>
      </w:r>
      <w:r w:rsidR="00A65F24">
        <w:rPr>
          <w:rFonts w:ascii="Times New Roman" w:hAnsi="Times New Roman" w:cs="Times New Roman"/>
        </w:rPr>
        <w:t>usu olacaktır</w:t>
      </w:r>
      <w:r w:rsidR="00BC799A">
        <w:rPr>
          <w:rFonts w:ascii="Times New Roman" w:hAnsi="Times New Roman" w:cs="Times New Roman"/>
        </w:rPr>
        <w:t xml:space="preserve">. Şüpheliye teklifin yapılması esnasında müdafiin hazır bulunması zorunluluğunun </w:t>
      </w:r>
      <w:r w:rsidR="002C5B03">
        <w:rPr>
          <w:rFonts w:ascii="Times New Roman" w:hAnsi="Times New Roman" w:cs="Times New Roman"/>
        </w:rPr>
        <w:t>açıkça güvenceye alınmadığı</w:t>
      </w:r>
      <w:r w:rsidR="00BC799A">
        <w:rPr>
          <w:rFonts w:ascii="Times New Roman" w:hAnsi="Times New Roman" w:cs="Times New Roman"/>
        </w:rPr>
        <w:t xml:space="preserve"> </w:t>
      </w:r>
      <w:r w:rsidR="00C64DD4">
        <w:rPr>
          <w:rFonts w:ascii="Times New Roman" w:hAnsi="Times New Roman" w:cs="Times New Roman"/>
        </w:rPr>
        <w:t xml:space="preserve">ve bir aya kadar </w:t>
      </w:r>
      <w:r w:rsidR="00BC799A">
        <w:rPr>
          <w:rFonts w:ascii="Times New Roman" w:hAnsi="Times New Roman" w:cs="Times New Roman"/>
        </w:rPr>
        <w:t xml:space="preserve">olan </w:t>
      </w:r>
      <w:r w:rsidR="00C64DD4">
        <w:rPr>
          <w:rFonts w:ascii="Times New Roman" w:hAnsi="Times New Roman" w:cs="Times New Roman"/>
        </w:rPr>
        <w:t>düşünme süresinin</w:t>
      </w:r>
      <w:r w:rsidR="00BC799A">
        <w:rPr>
          <w:rFonts w:ascii="Times New Roman" w:hAnsi="Times New Roman" w:cs="Times New Roman"/>
        </w:rPr>
        <w:t xml:space="preserve"> uzunluğunun</w:t>
      </w:r>
      <w:r>
        <w:rPr>
          <w:rFonts w:ascii="Times New Roman" w:hAnsi="Times New Roman" w:cs="Times New Roman"/>
        </w:rPr>
        <w:t xml:space="preserve"> </w:t>
      </w:r>
      <w:r w:rsidR="00C64DD4">
        <w:rPr>
          <w:rFonts w:ascii="Times New Roman" w:hAnsi="Times New Roman" w:cs="Times New Roman"/>
        </w:rPr>
        <w:t>savcı tarafınd</w:t>
      </w:r>
      <w:r w:rsidR="00BC799A">
        <w:rPr>
          <w:rFonts w:ascii="Times New Roman" w:hAnsi="Times New Roman" w:cs="Times New Roman"/>
        </w:rPr>
        <w:t>an takdir edilerek belirlene</w:t>
      </w:r>
      <w:r w:rsidR="00C64DD4">
        <w:rPr>
          <w:rFonts w:ascii="Times New Roman" w:hAnsi="Times New Roman" w:cs="Times New Roman"/>
        </w:rPr>
        <w:t xml:space="preserve">ceği de göz önünde bulundurulduğunda </w:t>
      </w:r>
      <w:r w:rsidR="00416940">
        <w:rPr>
          <w:rFonts w:ascii="Times New Roman" w:hAnsi="Times New Roman" w:cs="Times New Roman"/>
        </w:rPr>
        <w:t>şüphelinin savcının teklifini kabul etme irade</w:t>
      </w:r>
      <w:r>
        <w:rPr>
          <w:rFonts w:ascii="Times New Roman" w:hAnsi="Times New Roman" w:cs="Times New Roman"/>
        </w:rPr>
        <w:t>si</w:t>
      </w:r>
      <w:r w:rsidR="00BC799A">
        <w:rPr>
          <w:rFonts w:ascii="Times New Roman" w:hAnsi="Times New Roman" w:cs="Times New Roman"/>
        </w:rPr>
        <w:t>nin ne ölçüde özgür olacağı</w:t>
      </w:r>
      <w:r w:rsidR="004E125D">
        <w:rPr>
          <w:rFonts w:ascii="Times New Roman" w:hAnsi="Times New Roman" w:cs="Times New Roman"/>
        </w:rPr>
        <w:t xml:space="preserve"> </w:t>
      </w:r>
      <w:r w:rsidR="00C64DD4">
        <w:rPr>
          <w:rFonts w:ascii="Times New Roman" w:hAnsi="Times New Roman" w:cs="Times New Roman"/>
        </w:rPr>
        <w:t>Fransız hukukundaki</w:t>
      </w:r>
      <w:r w:rsidR="004E125D">
        <w:rPr>
          <w:rFonts w:ascii="Times New Roman" w:hAnsi="Times New Roman" w:cs="Times New Roman"/>
        </w:rPr>
        <w:t xml:space="preserve"> </w:t>
      </w:r>
      <w:r w:rsidR="00F07575">
        <w:rPr>
          <w:rFonts w:ascii="Times New Roman" w:hAnsi="Times New Roman" w:cs="Times New Roman"/>
        </w:rPr>
        <w:t>kadar</w:t>
      </w:r>
      <w:r>
        <w:rPr>
          <w:rFonts w:ascii="Times New Roman" w:hAnsi="Times New Roman" w:cs="Times New Roman"/>
        </w:rPr>
        <w:t xml:space="preserve"> </w:t>
      </w:r>
      <w:r w:rsidR="00416940">
        <w:rPr>
          <w:rFonts w:ascii="Times New Roman" w:hAnsi="Times New Roman" w:cs="Times New Roman"/>
        </w:rPr>
        <w:t xml:space="preserve">geçerli </w:t>
      </w:r>
      <w:r w:rsidR="00C64DD4">
        <w:rPr>
          <w:rFonts w:ascii="Times New Roman" w:hAnsi="Times New Roman" w:cs="Times New Roman"/>
        </w:rPr>
        <w:t xml:space="preserve">bir </w:t>
      </w:r>
      <w:r w:rsidR="006778D1">
        <w:rPr>
          <w:rFonts w:ascii="Times New Roman" w:hAnsi="Times New Roman" w:cs="Times New Roman"/>
        </w:rPr>
        <w:t>tartışmadır</w:t>
      </w:r>
      <w:r w:rsidR="00BC799A">
        <w:rPr>
          <w:rFonts w:ascii="Times New Roman" w:hAnsi="Times New Roman" w:cs="Times New Roman"/>
        </w:rPr>
        <w:t xml:space="preserve">. </w:t>
      </w:r>
      <w:r w:rsidR="00C64DD4">
        <w:rPr>
          <w:rFonts w:ascii="Times New Roman" w:hAnsi="Times New Roman" w:cs="Times New Roman"/>
        </w:rPr>
        <w:t xml:space="preserve"> </w:t>
      </w:r>
    </w:p>
    <w:p w14:paraId="56A0834E" w14:textId="77777777" w:rsidR="00B11BF9" w:rsidRPr="00BC799A" w:rsidRDefault="00B11BF9" w:rsidP="00BC799A">
      <w:pPr>
        <w:spacing w:line="360" w:lineRule="auto"/>
        <w:ind w:firstLine="720"/>
        <w:jc w:val="both"/>
        <w:rPr>
          <w:rFonts w:ascii="Times New Roman" w:hAnsi="Times New Roman" w:cs="Times New Roman"/>
        </w:rPr>
      </w:pPr>
    </w:p>
    <w:p w14:paraId="2136AC96" w14:textId="7D6EACA4" w:rsidR="00333364" w:rsidRPr="009970B3" w:rsidRDefault="007A5F56" w:rsidP="003447D4">
      <w:pPr>
        <w:pStyle w:val="Heading2"/>
      </w:pPr>
      <w:r>
        <w:t xml:space="preserve">C.  </w:t>
      </w:r>
      <w:r>
        <w:tab/>
      </w:r>
      <w:r w:rsidR="00557494">
        <w:t>Ceza</w:t>
      </w:r>
      <w:r w:rsidR="00393D79">
        <w:t>nın ve Ceza</w:t>
      </w:r>
      <w:r w:rsidR="00557494">
        <w:t xml:space="preserve"> Muhakemesinin</w:t>
      </w:r>
      <w:r w:rsidR="00A43AF8">
        <w:t xml:space="preserve"> Etkinliği</w:t>
      </w:r>
      <w:r w:rsidR="00557494">
        <w:t xml:space="preserve"> </w:t>
      </w:r>
    </w:p>
    <w:p w14:paraId="19082865" w14:textId="77777777" w:rsidR="00A82329" w:rsidRDefault="00A82329" w:rsidP="00B84748">
      <w:pPr>
        <w:spacing w:line="360" w:lineRule="auto"/>
        <w:jc w:val="both"/>
        <w:rPr>
          <w:rFonts w:ascii="Times New Roman" w:hAnsi="Times New Roman" w:cs="Times New Roman"/>
        </w:rPr>
      </w:pPr>
    </w:p>
    <w:p w14:paraId="3A5B63D8" w14:textId="67B2012E" w:rsidR="00B42BEF" w:rsidRDefault="00E23CFE" w:rsidP="00844EC4">
      <w:pPr>
        <w:spacing w:line="360" w:lineRule="auto"/>
        <w:ind w:hanging="284"/>
        <w:jc w:val="both"/>
        <w:rPr>
          <w:rFonts w:ascii="Times New Roman" w:hAnsi="Times New Roman" w:cs="Times New Roman"/>
        </w:rPr>
      </w:pPr>
      <w:r>
        <w:rPr>
          <w:rFonts w:ascii="Times New Roman" w:hAnsi="Times New Roman" w:cs="Times New Roman"/>
        </w:rPr>
        <w:tab/>
      </w:r>
      <w:r w:rsidR="00FD09D4">
        <w:rPr>
          <w:rFonts w:ascii="Times New Roman" w:hAnsi="Times New Roman" w:cs="Times New Roman"/>
        </w:rPr>
        <w:tab/>
      </w:r>
      <w:r w:rsidR="007C5FD3">
        <w:rPr>
          <w:rFonts w:ascii="Times New Roman" w:hAnsi="Times New Roman" w:cs="Times New Roman"/>
        </w:rPr>
        <w:t>Fransız hukukunda suçluluğun ön kabulü üzerine duruşma</w:t>
      </w:r>
      <w:r w:rsidR="007E66B2">
        <w:rPr>
          <w:rFonts w:ascii="Times New Roman" w:hAnsi="Times New Roman" w:cs="Times New Roman"/>
        </w:rPr>
        <w:t xml:space="preserve"> usulünün getirilmesinden beklenen fayda </w:t>
      </w:r>
      <w:r>
        <w:rPr>
          <w:rFonts w:ascii="Times New Roman" w:hAnsi="Times New Roman" w:cs="Times New Roman"/>
        </w:rPr>
        <w:t xml:space="preserve">2 Eylül 2004 tarihli Sirküler’de </w:t>
      </w:r>
      <w:r w:rsidR="00486F7A">
        <w:rPr>
          <w:rFonts w:ascii="Times New Roman" w:hAnsi="Times New Roman" w:cs="Times New Roman"/>
        </w:rPr>
        <w:t>duruşma aşamasındaki iş yükünü hafifletmek, hüküm verme sürecini kısaltmak ve hükmedilen cezanın bireyselleştirilmesini ve etkinliğini güçlendirmek olarak</w:t>
      </w:r>
      <w:r>
        <w:rPr>
          <w:rFonts w:ascii="Times New Roman" w:hAnsi="Times New Roman" w:cs="Times New Roman"/>
        </w:rPr>
        <w:t xml:space="preserve"> tarif edilmiştir</w:t>
      </w:r>
      <w:r w:rsidR="00A518A6">
        <w:rPr>
          <w:rStyle w:val="FootnoteReference"/>
          <w:rFonts w:ascii="Times New Roman" w:hAnsi="Times New Roman" w:cs="Times New Roman"/>
        </w:rPr>
        <w:footnoteReference w:id="157"/>
      </w:r>
      <w:r>
        <w:rPr>
          <w:rFonts w:ascii="Times New Roman" w:hAnsi="Times New Roman" w:cs="Times New Roman"/>
        </w:rPr>
        <w:t xml:space="preserve">. </w:t>
      </w:r>
      <w:r w:rsidR="00486F7A">
        <w:rPr>
          <w:rFonts w:ascii="Times New Roman" w:hAnsi="Times New Roman" w:cs="Times New Roman"/>
        </w:rPr>
        <w:t xml:space="preserve">Bu </w:t>
      </w:r>
      <w:r w:rsidR="007E66B2">
        <w:rPr>
          <w:rFonts w:ascii="Times New Roman" w:hAnsi="Times New Roman" w:cs="Times New Roman"/>
        </w:rPr>
        <w:t>faydanın</w:t>
      </w:r>
      <w:r w:rsidR="00486F7A">
        <w:rPr>
          <w:rFonts w:ascii="Times New Roman" w:hAnsi="Times New Roman" w:cs="Times New Roman"/>
        </w:rPr>
        <w:t xml:space="preserve"> ne ölçüde sağlandığı konusunda Fransız hukukunda farklı görüşler ve değerlendirmeler bulunmaktadır. </w:t>
      </w:r>
      <w:r w:rsidR="00A518A6">
        <w:rPr>
          <w:rFonts w:ascii="Times New Roman" w:hAnsi="Times New Roman" w:cs="Times New Roman"/>
        </w:rPr>
        <w:t xml:space="preserve">Bir </w:t>
      </w:r>
      <w:r w:rsidR="00E631C5">
        <w:rPr>
          <w:rFonts w:ascii="Times New Roman" w:hAnsi="Times New Roman" w:cs="Times New Roman"/>
        </w:rPr>
        <w:t>yandan</w:t>
      </w:r>
      <w:r w:rsidR="00A518A6">
        <w:rPr>
          <w:rFonts w:ascii="Times New Roman" w:hAnsi="Times New Roman" w:cs="Times New Roman"/>
        </w:rPr>
        <w:t xml:space="preserve"> sürecin kısalması ve ekonomik hale gelmesinde </w:t>
      </w:r>
      <w:r w:rsidR="007C5FD3">
        <w:rPr>
          <w:rFonts w:ascii="Times New Roman" w:hAnsi="Times New Roman" w:cs="Times New Roman"/>
        </w:rPr>
        <w:t>bu usulün</w:t>
      </w:r>
      <w:r w:rsidR="00B01332">
        <w:rPr>
          <w:rFonts w:ascii="Times New Roman" w:hAnsi="Times New Roman" w:cs="Times New Roman"/>
        </w:rPr>
        <w:t xml:space="preserve"> başarılı olduğu</w:t>
      </w:r>
      <w:r w:rsidR="00A518A6">
        <w:rPr>
          <w:rFonts w:ascii="Times New Roman" w:hAnsi="Times New Roman" w:cs="Times New Roman"/>
        </w:rPr>
        <w:t xml:space="preserve"> belirti</w:t>
      </w:r>
      <w:r w:rsidR="00E631C5">
        <w:rPr>
          <w:rFonts w:ascii="Times New Roman" w:hAnsi="Times New Roman" w:cs="Times New Roman"/>
        </w:rPr>
        <w:t>li</w:t>
      </w:r>
      <w:r w:rsidR="00A518A6">
        <w:rPr>
          <w:rFonts w:ascii="Times New Roman" w:hAnsi="Times New Roman" w:cs="Times New Roman"/>
        </w:rPr>
        <w:t xml:space="preserve">rken, </w:t>
      </w:r>
      <w:r w:rsidR="00E631C5">
        <w:rPr>
          <w:rFonts w:ascii="Times New Roman" w:hAnsi="Times New Roman" w:cs="Times New Roman"/>
        </w:rPr>
        <w:t>diğer yandan</w:t>
      </w:r>
      <w:r w:rsidR="00A518A6">
        <w:rPr>
          <w:rFonts w:ascii="Times New Roman" w:hAnsi="Times New Roman" w:cs="Times New Roman"/>
        </w:rPr>
        <w:t xml:space="preserve"> bu usule tabi suçlar bakımından yapılan olağa</w:t>
      </w:r>
      <w:r w:rsidR="00E631C5">
        <w:rPr>
          <w:rFonts w:ascii="Times New Roman" w:hAnsi="Times New Roman" w:cs="Times New Roman"/>
        </w:rPr>
        <w:t>n yargılamadan farklı olmadığı ifade edil</w:t>
      </w:r>
      <w:r w:rsidR="00A518A6">
        <w:rPr>
          <w:rFonts w:ascii="Times New Roman" w:hAnsi="Times New Roman" w:cs="Times New Roman"/>
        </w:rPr>
        <w:t xml:space="preserve">mektedir. </w:t>
      </w:r>
      <w:r w:rsidR="00691963">
        <w:rPr>
          <w:rFonts w:ascii="Times New Roman" w:hAnsi="Times New Roman" w:cs="Times New Roman"/>
        </w:rPr>
        <w:t>Türk hukukunda seri muhakeme usulünün yargılama süresinin kısaltılması ve usul ekonomisi sağlanması konularındaki başarısı zaman içerisinde ortaya çıkacak olsa da, Fransız hukukundaki yaklaşık on beş yıllık tecrübe</w:t>
      </w:r>
      <w:r w:rsidR="002B29BD">
        <w:rPr>
          <w:rFonts w:ascii="Times New Roman" w:hAnsi="Times New Roman" w:cs="Times New Roman"/>
        </w:rPr>
        <w:t xml:space="preserve">den bazı sonuçların çıkarılması mümkündür. </w:t>
      </w:r>
    </w:p>
    <w:p w14:paraId="541BA47F" w14:textId="77777777" w:rsidR="00B42BEF" w:rsidRDefault="00B42BEF" w:rsidP="00B84748">
      <w:pPr>
        <w:spacing w:line="360" w:lineRule="auto"/>
        <w:jc w:val="both"/>
        <w:rPr>
          <w:rFonts w:ascii="Times New Roman" w:hAnsi="Times New Roman" w:cs="Times New Roman"/>
        </w:rPr>
      </w:pPr>
    </w:p>
    <w:p w14:paraId="54E00B17" w14:textId="5985A091" w:rsidR="00E23CFE" w:rsidRDefault="00AE20C2" w:rsidP="00042C4F">
      <w:pPr>
        <w:spacing w:line="360" w:lineRule="auto"/>
        <w:ind w:firstLine="720"/>
        <w:jc w:val="both"/>
        <w:rPr>
          <w:rFonts w:ascii="Times New Roman" w:hAnsi="Times New Roman" w:cs="Times New Roman"/>
        </w:rPr>
      </w:pPr>
      <w:r>
        <w:rPr>
          <w:rFonts w:ascii="Times New Roman" w:hAnsi="Times New Roman" w:cs="Times New Roman"/>
        </w:rPr>
        <w:t>Yargılama</w:t>
      </w:r>
      <w:r w:rsidR="00B42BEF">
        <w:rPr>
          <w:rFonts w:ascii="Times New Roman" w:hAnsi="Times New Roman" w:cs="Times New Roman"/>
        </w:rPr>
        <w:t xml:space="preserve"> süresinin kısaltılması konusunda, Fransız hukukunda </w:t>
      </w:r>
      <w:r w:rsidR="00A518A6">
        <w:rPr>
          <w:rFonts w:ascii="Times New Roman" w:hAnsi="Times New Roman" w:cs="Times New Roman"/>
        </w:rPr>
        <w:t>özellikle</w:t>
      </w:r>
      <w:r w:rsidR="00B42BEF">
        <w:rPr>
          <w:rFonts w:ascii="Times New Roman" w:hAnsi="Times New Roman" w:cs="Times New Roman"/>
        </w:rPr>
        <w:t>,</w:t>
      </w:r>
      <w:r w:rsidR="00A518A6">
        <w:rPr>
          <w:rFonts w:ascii="Times New Roman" w:hAnsi="Times New Roman" w:cs="Times New Roman"/>
        </w:rPr>
        <w:t xml:space="preserve"> failin isnat edilen eylemleri kabul ettiğine ilişkin beyanını duruşma aşamasında geri alması halinde yargılamanın baştan başlayacak olmasının fazladan zaman kaybettirdiğine dikkat çekilmektedir</w:t>
      </w:r>
      <w:r w:rsidR="00A518A6">
        <w:rPr>
          <w:rStyle w:val="FootnoteReference"/>
          <w:rFonts w:ascii="Times New Roman" w:hAnsi="Times New Roman" w:cs="Times New Roman"/>
        </w:rPr>
        <w:footnoteReference w:id="158"/>
      </w:r>
      <w:r w:rsidR="00A518A6">
        <w:rPr>
          <w:rFonts w:ascii="Times New Roman" w:hAnsi="Times New Roman" w:cs="Times New Roman"/>
        </w:rPr>
        <w:t xml:space="preserve">. </w:t>
      </w:r>
      <w:r w:rsidR="002B29BD">
        <w:rPr>
          <w:rFonts w:ascii="Times New Roman" w:hAnsi="Times New Roman" w:cs="Times New Roman"/>
        </w:rPr>
        <w:t xml:space="preserve">Bu sorunun </w:t>
      </w:r>
      <w:r w:rsidR="00B42BEF">
        <w:rPr>
          <w:rFonts w:ascii="Times New Roman" w:hAnsi="Times New Roman" w:cs="Times New Roman"/>
        </w:rPr>
        <w:t xml:space="preserve">Türk hukukundaki </w:t>
      </w:r>
      <w:r w:rsidR="00010239">
        <w:rPr>
          <w:rFonts w:ascii="Times New Roman" w:hAnsi="Times New Roman" w:cs="Times New Roman"/>
        </w:rPr>
        <w:t>seri muhakeme usulü bakımından</w:t>
      </w:r>
      <w:r w:rsidR="002B29BD">
        <w:rPr>
          <w:rFonts w:ascii="Times New Roman" w:hAnsi="Times New Roman" w:cs="Times New Roman"/>
        </w:rPr>
        <w:t xml:space="preserve"> ne ölçüde geçerli olduğu tartışılabilir.</w:t>
      </w:r>
      <w:r w:rsidR="00010239">
        <w:rPr>
          <w:rFonts w:ascii="Times New Roman" w:hAnsi="Times New Roman" w:cs="Times New Roman"/>
        </w:rPr>
        <w:t xml:space="preserve"> Seri muhakeme usulünde şüphelinin mahkeme önündeki aşamada kabul be</w:t>
      </w:r>
      <w:r w:rsidR="002B29BD">
        <w:rPr>
          <w:rFonts w:ascii="Times New Roman" w:hAnsi="Times New Roman" w:cs="Times New Roman"/>
        </w:rPr>
        <w:t>yanını geri alması halinde talebin</w:t>
      </w:r>
      <w:r w:rsidR="00010239">
        <w:rPr>
          <w:rFonts w:ascii="Times New Roman" w:hAnsi="Times New Roman" w:cs="Times New Roman"/>
        </w:rPr>
        <w:t xml:space="preserve"> reddedilerek soruşturma</w:t>
      </w:r>
      <w:r w:rsidR="002B29BD">
        <w:rPr>
          <w:rFonts w:ascii="Times New Roman" w:hAnsi="Times New Roman" w:cs="Times New Roman"/>
        </w:rPr>
        <w:t>nın</w:t>
      </w:r>
      <w:r w:rsidR="00010239">
        <w:rPr>
          <w:rFonts w:ascii="Times New Roman" w:hAnsi="Times New Roman" w:cs="Times New Roman"/>
        </w:rPr>
        <w:t xml:space="preserve"> olağan usulle sonuçlandırılaca</w:t>
      </w:r>
      <w:r w:rsidR="002B29BD">
        <w:rPr>
          <w:rFonts w:ascii="Times New Roman" w:hAnsi="Times New Roman" w:cs="Times New Roman"/>
        </w:rPr>
        <w:t>ğı düzenlenmiştir</w:t>
      </w:r>
      <w:r w:rsidR="00010239">
        <w:rPr>
          <w:rFonts w:ascii="Times New Roman" w:hAnsi="Times New Roman" w:cs="Times New Roman"/>
        </w:rPr>
        <w:t xml:space="preserve"> (Yönetmelik m. 13/4). Bu durumda </w:t>
      </w:r>
      <w:r w:rsidR="002B29BD">
        <w:rPr>
          <w:rFonts w:ascii="Times New Roman" w:hAnsi="Times New Roman" w:cs="Times New Roman"/>
        </w:rPr>
        <w:t xml:space="preserve">Türk hukukunda </w:t>
      </w:r>
      <w:r w:rsidR="00010239">
        <w:rPr>
          <w:rFonts w:ascii="Times New Roman" w:hAnsi="Times New Roman" w:cs="Times New Roman"/>
        </w:rPr>
        <w:t>yargılamaya baştan başla</w:t>
      </w:r>
      <w:r w:rsidR="007331C8">
        <w:rPr>
          <w:rFonts w:ascii="Times New Roman" w:hAnsi="Times New Roman" w:cs="Times New Roman"/>
        </w:rPr>
        <w:t>nmayacağı anlaşılmakta, savcılığın</w:t>
      </w:r>
      <w:r w:rsidR="00010239">
        <w:rPr>
          <w:rFonts w:ascii="Times New Roman" w:hAnsi="Times New Roman" w:cs="Times New Roman"/>
        </w:rPr>
        <w:t xml:space="preserve"> </w:t>
      </w:r>
      <w:r w:rsidR="00C5264D">
        <w:rPr>
          <w:rFonts w:ascii="Times New Roman" w:hAnsi="Times New Roman" w:cs="Times New Roman"/>
        </w:rPr>
        <w:t>aynı</w:t>
      </w:r>
      <w:r w:rsidR="00010239">
        <w:rPr>
          <w:rFonts w:ascii="Times New Roman" w:hAnsi="Times New Roman" w:cs="Times New Roman"/>
        </w:rPr>
        <w:t xml:space="preserve"> dosyayla ilgili olarak</w:t>
      </w:r>
      <w:r w:rsidR="007331C8">
        <w:rPr>
          <w:rFonts w:ascii="Times New Roman" w:hAnsi="Times New Roman" w:cs="Times New Roman"/>
        </w:rPr>
        <w:t>,</w:t>
      </w:r>
      <w:r w:rsidR="00010239">
        <w:rPr>
          <w:rFonts w:ascii="Times New Roman" w:hAnsi="Times New Roman" w:cs="Times New Roman"/>
        </w:rPr>
        <w:t xml:space="preserve"> şüphelinin seri </w:t>
      </w:r>
      <w:r w:rsidR="00C5264D">
        <w:rPr>
          <w:rFonts w:ascii="Times New Roman" w:hAnsi="Times New Roman" w:cs="Times New Roman"/>
        </w:rPr>
        <w:t>usulü kabul ettiğine ilişkin</w:t>
      </w:r>
      <w:r w:rsidR="00010239">
        <w:rPr>
          <w:rFonts w:ascii="Times New Roman" w:hAnsi="Times New Roman" w:cs="Times New Roman"/>
        </w:rPr>
        <w:t xml:space="preserve"> beyanları ve </w:t>
      </w:r>
      <w:r w:rsidR="00C5264D">
        <w:rPr>
          <w:rFonts w:ascii="Times New Roman" w:hAnsi="Times New Roman" w:cs="Times New Roman"/>
        </w:rPr>
        <w:t xml:space="preserve">bu usulde </w:t>
      </w:r>
      <w:r w:rsidR="00010239">
        <w:rPr>
          <w:rFonts w:ascii="Times New Roman" w:hAnsi="Times New Roman" w:cs="Times New Roman"/>
        </w:rPr>
        <w:t xml:space="preserve">elde edilen belgeler dışında kalan </w:t>
      </w:r>
      <w:r w:rsidR="00C5264D">
        <w:rPr>
          <w:rFonts w:ascii="Times New Roman" w:hAnsi="Times New Roman" w:cs="Times New Roman"/>
        </w:rPr>
        <w:t xml:space="preserve">(CMK m. 250/10, Yönetmelik m. 5/8) </w:t>
      </w:r>
      <w:r w:rsidR="00010239">
        <w:rPr>
          <w:rFonts w:ascii="Times New Roman" w:hAnsi="Times New Roman" w:cs="Times New Roman"/>
        </w:rPr>
        <w:t>deliller</w:t>
      </w:r>
      <w:r w:rsidR="007331C8">
        <w:rPr>
          <w:rFonts w:ascii="Times New Roman" w:hAnsi="Times New Roman" w:cs="Times New Roman"/>
        </w:rPr>
        <w:t xml:space="preserve"> </w:t>
      </w:r>
      <w:r w:rsidR="00010239">
        <w:rPr>
          <w:rFonts w:ascii="Times New Roman" w:hAnsi="Times New Roman" w:cs="Times New Roman"/>
        </w:rPr>
        <w:t xml:space="preserve">ile birlikte olağan usule devam edebileceği sonucuna ulaşılmaktadır. Bu nedenle muhakeme sürecinin tamamının baştan gerçekleştirilmesi ile vakit kaybedilmesi söz konusu </w:t>
      </w:r>
      <w:r w:rsidR="007331C8">
        <w:rPr>
          <w:rFonts w:ascii="Times New Roman" w:hAnsi="Times New Roman" w:cs="Times New Roman"/>
        </w:rPr>
        <w:t>olmayacaktır</w:t>
      </w:r>
      <w:r w:rsidR="002B29BD">
        <w:rPr>
          <w:rFonts w:ascii="Times New Roman" w:hAnsi="Times New Roman" w:cs="Times New Roman"/>
        </w:rPr>
        <w:t xml:space="preserve">. Hatta bu doğrultuda, seri usulde elde edilen beyan ve belgelere ilişkin delil yasağının </w:t>
      </w:r>
      <w:r w:rsidR="00C5264D">
        <w:rPr>
          <w:rFonts w:ascii="Times New Roman" w:hAnsi="Times New Roman" w:cs="Times New Roman"/>
        </w:rPr>
        <w:t xml:space="preserve">(CMK m. 250/10, Yönetmelik m. 5/8) </w:t>
      </w:r>
      <w:r w:rsidR="002B29BD">
        <w:rPr>
          <w:rFonts w:ascii="Times New Roman" w:hAnsi="Times New Roman" w:cs="Times New Roman"/>
        </w:rPr>
        <w:t>yalnızca bu usulün kabulüyle bağlantılı olan beyan ve belgeler</w:t>
      </w:r>
      <w:r w:rsidR="0036131E">
        <w:rPr>
          <w:rFonts w:ascii="Times New Roman" w:hAnsi="Times New Roman" w:cs="Times New Roman"/>
        </w:rPr>
        <w:t>le sınırlı olarak uygulanması</w:t>
      </w:r>
      <w:r w:rsidR="002B29BD">
        <w:rPr>
          <w:rFonts w:ascii="Times New Roman" w:hAnsi="Times New Roman" w:cs="Times New Roman"/>
        </w:rPr>
        <w:t xml:space="preserve"> sürecin hızlandırılmas</w:t>
      </w:r>
      <w:r w:rsidR="0036131E">
        <w:rPr>
          <w:rFonts w:ascii="Times New Roman" w:hAnsi="Times New Roman" w:cs="Times New Roman"/>
        </w:rPr>
        <w:t xml:space="preserve">ı amacı bakımından daha yerindedir. </w:t>
      </w:r>
      <w:r w:rsidR="00010239">
        <w:rPr>
          <w:rFonts w:ascii="Times New Roman" w:hAnsi="Times New Roman" w:cs="Times New Roman"/>
        </w:rPr>
        <w:t xml:space="preserve">Bununla birlikte </w:t>
      </w:r>
      <w:r w:rsidR="00942620">
        <w:rPr>
          <w:rFonts w:ascii="Times New Roman" w:hAnsi="Times New Roman" w:cs="Times New Roman"/>
        </w:rPr>
        <w:t xml:space="preserve">Türk hukukundaki hükümler dikkate alındığında seri muhakeme usulü bakımından sürecin hızlandırılmasına yönelik bazı engellerin </w:t>
      </w:r>
      <w:r w:rsidR="00010239">
        <w:rPr>
          <w:rFonts w:ascii="Times New Roman" w:hAnsi="Times New Roman" w:cs="Times New Roman"/>
        </w:rPr>
        <w:t xml:space="preserve">oluşabilmesi </w:t>
      </w:r>
      <w:r w:rsidR="002B29BD">
        <w:rPr>
          <w:rFonts w:ascii="Times New Roman" w:hAnsi="Times New Roman" w:cs="Times New Roman"/>
        </w:rPr>
        <w:t xml:space="preserve">de </w:t>
      </w:r>
      <w:r w:rsidR="00010239">
        <w:rPr>
          <w:rFonts w:ascii="Times New Roman" w:hAnsi="Times New Roman" w:cs="Times New Roman"/>
        </w:rPr>
        <w:t>mümkündür.</w:t>
      </w:r>
      <w:r w:rsidR="00942620">
        <w:rPr>
          <w:rFonts w:ascii="Times New Roman" w:hAnsi="Times New Roman" w:cs="Times New Roman"/>
        </w:rPr>
        <w:t xml:space="preserve"> </w:t>
      </w:r>
      <w:r w:rsidR="001D4731">
        <w:rPr>
          <w:rFonts w:ascii="Times New Roman" w:hAnsi="Times New Roman" w:cs="Times New Roman"/>
        </w:rPr>
        <w:t>S</w:t>
      </w:r>
      <w:r w:rsidR="00010239">
        <w:rPr>
          <w:rFonts w:ascii="Times New Roman" w:hAnsi="Times New Roman" w:cs="Times New Roman"/>
        </w:rPr>
        <w:t xml:space="preserve">eri muhakeme usulünde </w:t>
      </w:r>
      <w:r w:rsidR="00942620">
        <w:rPr>
          <w:rFonts w:ascii="Times New Roman" w:hAnsi="Times New Roman" w:cs="Times New Roman"/>
        </w:rPr>
        <w:t>esasen yargı makamına ait iş yükünün savcılık tarafından üstlenilmesi</w:t>
      </w:r>
      <w:r w:rsidR="001D4731">
        <w:rPr>
          <w:rFonts w:ascii="Times New Roman" w:hAnsi="Times New Roman" w:cs="Times New Roman"/>
        </w:rPr>
        <w:t>,</w:t>
      </w:r>
      <w:r w:rsidR="00942620">
        <w:rPr>
          <w:rFonts w:ascii="Times New Roman" w:hAnsi="Times New Roman" w:cs="Times New Roman"/>
        </w:rPr>
        <w:t xml:space="preserve"> </w:t>
      </w:r>
      <w:r w:rsidR="00010239">
        <w:rPr>
          <w:rFonts w:ascii="Times New Roman" w:hAnsi="Times New Roman" w:cs="Times New Roman"/>
        </w:rPr>
        <w:t xml:space="preserve">savcılığın cezayı belirleme, bireyselleştirme, </w:t>
      </w:r>
      <w:r w:rsidR="001D4731">
        <w:rPr>
          <w:rFonts w:ascii="Times New Roman" w:hAnsi="Times New Roman" w:cs="Times New Roman"/>
        </w:rPr>
        <w:t xml:space="preserve">hükmün açıklanmasının geri bırakılmasının uygulanması gibi yetkilerini kullanırken </w:t>
      </w:r>
      <w:r w:rsidR="00010239">
        <w:rPr>
          <w:rFonts w:ascii="Times New Roman" w:hAnsi="Times New Roman" w:cs="Times New Roman"/>
        </w:rPr>
        <w:t xml:space="preserve">şüpheliyle görüşme </w:t>
      </w:r>
      <w:r w:rsidR="002B29BD">
        <w:rPr>
          <w:rFonts w:ascii="Times New Roman" w:hAnsi="Times New Roman" w:cs="Times New Roman"/>
        </w:rPr>
        <w:t>veya yazışma mesaisinin artması</w:t>
      </w:r>
      <w:r w:rsidR="001D4731">
        <w:rPr>
          <w:rFonts w:ascii="Times New Roman" w:hAnsi="Times New Roman" w:cs="Times New Roman"/>
        </w:rPr>
        <w:t xml:space="preserve"> </w:t>
      </w:r>
      <w:r w:rsidR="00942620">
        <w:rPr>
          <w:rFonts w:ascii="Times New Roman" w:hAnsi="Times New Roman" w:cs="Times New Roman"/>
        </w:rPr>
        <w:t>süreci hızlandırmanın önüne geç</w:t>
      </w:r>
      <w:r w:rsidR="001D4731">
        <w:rPr>
          <w:rFonts w:ascii="Times New Roman" w:hAnsi="Times New Roman" w:cs="Times New Roman"/>
        </w:rPr>
        <w:t>ebilecektir</w:t>
      </w:r>
      <w:r w:rsidR="00942620">
        <w:rPr>
          <w:rStyle w:val="FootnoteReference"/>
          <w:rFonts w:ascii="Times New Roman" w:hAnsi="Times New Roman" w:cs="Times New Roman"/>
        </w:rPr>
        <w:footnoteReference w:id="159"/>
      </w:r>
      <w:r w:rsidR="00942620">
        <w:rPr>
          <w:rFonts w:ascii="Times New Roman" w:hAnsi="Times New Roman" w:cs="Times New Roman"/>
        </w:rPr>
        <w:t>.</w:t>
      </w:r>
      <w:r w:rsidR="00010239" w:rsidRPr="00010239">
        <w:rPr>
          <w:rFonts w:ascii="Times New Roman" w:hAnsi="Times New Roman" w:cs="Times New Roman"/>
        </w:rPr>
        <w:t xml:space="preserve"> </w:t>
      </w:r>
      <w:r w:rsidR="00AD6353">
        <w:rPr>
          <w:rFonts w:ascii="Times New Roman" w:hAnsi="Times New Roman" w:cs="Times New Roman"/>
        </w:rPr>
        <w:t xml:space="preserve"> </w:t>
      </w:r>
    </w:p>
    <w:p w14:paraId="4F1CF80A" w14:textId="77777777" w:rsidR="00A518A6" w:rsidRDefault="00A518A6" w:rsidP="00B84748">
      <w:pPr>
        <w:spacing w:line="360" w:lineRule="auto"/>
        <w:jc w:val="both"/>
        <w:rPr>
          <w:rFonts w:ascii="Times New Roman" w:hAnsi="Times New Roman" w:cs="Times New Roman"/>
        </w:rPr>
      </w:pPr>
    </w:p>
    <w:p w14:paraId="2F66D780" w14:textId="00D71A1B" w:rsidR="00942620" w:rsidRDefault="00A518A6" w:rsidP="00773A4C">
      <w:pPr>
        <w:spacing w:line="360" w:lineRule="auto"/>
        <w:jc w:val="both"/>
        <w:rPr>
          <w:rFonts w:ascii="Times New Roman" w:hAnsi="Times New Roman" w:cs="Times New Roman"/>
        </w:rPr>
      </w:pPr>
      <w:r>
        <w:rPr>
          <w:rFonts w:ascii="Times New Roman" w:hAnsi="Times New Roman" w:cs="Times New Roman"/>
        </w:rPr>
        <w:tab/>
      </w:r>
      <w:r w:rsidR="00A76463">
        <w:rPr>
          <w:rFonts w:ascii="Times New Roman" w:hAnsi="Times New Roman" w:cs="Times New Roman"/>
        </w:rPr>
        <w:t xml:space="preserve">Suçluluğun ön kabulü üzerine duruşma usulüyle ilgili olarak Fransız hukukunda </w:t>
      </w:r>
      <w:r w:rsidR="007E66B2">
        <w:rPr>
          <w:rFonts w:ascii="Times New Roman" w:hAnsi="Times New Roman" w:cs="Times New Roman"/>
        </w:rPr>
        <w:t>tartışılan</w:t>
      </w:r>
      <w:r w:rsidR="00A76463">
        <w:rPr>
          <w:rFonts w:ascii="Times New Roman" w:hAnsi="Times New Roman" w:cs="Times New Roman"/>
        </w:rPr>
        <w:t xml:space="preserve"> </w:t>
      </w:r>
      <w:r w:rsidR="00942620">
        <w:rPr>
          <w:rFonts w:ascii="Times New Roman" w:hAnsi="Times New Roman" w:cs="Times New Roman"/>
        </w:rPr>
        <w:t xml:space="preserve">diğer </w:t>
      </w:r>
      <w:r w:rsidR="00A76463">
        <w:rPr>
          <w:rFonts w:ascii="Times New Roman" w:hAnsi="Times New Roman" w:cs="Times New Roman"/>
        </w:rPr>
        <w:t>bir husus da bu usulde verilen cezaların etkinliğidir. Bir yandan bu usul sürecinde f</w:t>
      </w:r>
      <w:r>
        <w:rPr>
          <w:rFonts w:ascii="Times New Roman" w:hAnsi="Times New Roman" w:cs="Times New Roman"/>
        </w:rPr>
        <w:t xml:space="preserve">ailin alacağı cezanın mahiyeti ve sonuçlarıyla ilgili </w:t>
      </w:r>
      <w:r w:rsidR="00A76463">
        <w:rPr>
          <w:rFonts w:ascii="Times New Roman" w:hAnsi="Times New Roman" w:cs="Times New Roman"/>
        </w:rPr>
        <w:t xml:space="preserve">devamlı </w:t>
      </w:r>
      <w:r>
        <w:rPr>
          <w:rFonts w:ascii="Times New Roman" w:hAnsi="Times New Roman" w:cs="Times New Roman"/>
        </w:rPr>
        <w:t xml:space="preserve">bilgilendirilmesi </w:t>
      </w:r>
      <w:r w:rsidR="000C440F">
        <w:rPr>
          <w:rFonts w:ascii="Times New Roman" w:hAnsi="Times New Roman" w:cs="Times New Roman"/>
        </w:rPr>
        <w:t>nedeniyle</w:t>
      </w:r>
      <w:r>
        <w:rPr>
          <w:rFonts w:ascii="Times New Roman" w:hAnsi="Times New Roman" w:cs="Times New Roman"/>
        </w:rPr>
        <w:t xml:space="preserve"> cezanın etkinliğini artıran bir usul olması öne çıkarılmaktadır</w:t>
      </w:r>
      <w:r w:rsidR="0061124D">
        <w:rPr>
          <w:rStyle w:val="FootnoteReference"/>
          <w:rFonts w:ascii="Times New Roman" w:hAnsi="Times New Roman" w:cs="Times New Roman"/>
        </w:rPr>
        <w:footnoteReference w:id="160"/>
      </w:r>
      <w:r w:rsidR="00A76463">
        <w:rPr>
          <w:rFonts w:ascii="Times New Roman" w:hAnsi="Times New Roman" w:cs="Times New Roman"/>
        </w:rPr>
        <w:t>. Zira f</w:t>
      </w:r>
      <w:r>
        <w:rPr>
          <w:rFonts w:ascii="Times New Roman" w:hAnsi="Times New Roman" w:cs="Times New Roman"/>
        </w:rPr>
        <w:t xml:space="preserve">ailin eylemleri ve cezayı kabulüne dayanan bu usulde, fail kabul edip etmeme sürecinde birçok kez kendisine teklif edilen cezayı hem miktarı hem de diğer sonuçları itibariyle incelemekte, kendisine gerek </w:t>
      </w:r>
      <w:r w:rsidR="00A76463">
        <w:rPr>
          <w:rFonts w:ascii="Times New Roman" w:hAnsi="Times New Roman" w:cs="Times New Roman"/>
        </w:rPr>
        <w:t xml:space="preserve">teklifi veren savcılık gerekse </w:t>
      </w:r>
      <w:r>
        <w:rPr>
          <w:rFonts w:ascii="Times New Roman" w:hAnsi="Times New Roman" w:cs="Times New Roman"/>
        </w:rPr>
        <w:t>m</w:t>
      </w:r>
      <w:r w:rsidR="002F2F39">
        <w:rPr>
          <w:rFonts w:ascii="Times New Roman" w:hAnsi="Times New Roman" w:cs="Times New Roman"/>
        </w:rPr>
        <w:t>üdafii ve duruşma aşamasında mahkeme tarafından açıklanmakta</w:t>
      </w:r>
      <w:r>
        <w:rPr>
          <w:rFonts w:ascii="Times New Roman" w:hAnsi="Times New Roman" w:cs="Times New Roman"/>
        </w:rPr>
        <w:t>dır</w:t>
      </w:r>
      <w:r w:rsidR="002F2F39">
        <w:rPr>
          <w:rStyle w:val="FootnoteReference"/>
          <w:rFonts w:ascii="Times New Roman" w:hAnsi="Times New Roman" w:cs="Times New Roman"/>
        </w:rPr>
        <w:footnoteReference w:id="161"/>
      </w:r>
      <w:r>
        <w:rPr>
          <w:rFonts w:ascii="Times New Roman" w:hAnsi="Times New Roman" w:cs="Times New Roman"/>
        </w:rPr>
        <w:t xml:space="preserve">. </w:t>
      </w:r>
      <w:r w:rsidR="00F414F7">
        <w:rPr>
          <w:rFonts w:ascii="Times New Roman" w:hAnsi="Times New Roman" w:cs="Times New Roman"/>
        </w:rPr>
        <w:t>Burada failin eyleminin kınanırlığı ve cezanın sonuçları ile ilgili olarak ayrıca bilgilendirilebilmesinde bu usuldeki duruşma süreçlerinin daha samimi ve birebir iletişime imkan veren ortamlar</w:t>
      </w:r>
      <w:r w:rsidR="00793522">
        <w:rPr>
          <w:rFonts w:ascii="Times New Roman" w:hAnsi="Times New Roman" w:cs="Times New Roman"/>
        </w:rPr>
        <w:t>da yapılabilmesi etkilidir</w:t>
      </w:r>
      <w:r w:rsidR="00830105">
        <w:rPr>
          <w:rFonts w:ascii="Times New Roman" w:hAnsi="Times New Roman" w:cs="Times New Roman"/>
        </w:rPr>
        <w:t>. Savcı kendi</w:t>
      </w:r>
      <w:r w:rsidR="00F414F7">
        <w:rPr>
          <w:rFonts w:ascii="Times New Roman" w:hAnsi="Times New Roman" w:cs="Times New Roman"/>
        </w:rPr>
        <w:t xml:space="preserve"> odasında </w:t>
      </w:r>
      <w:r w:rsidR="004B6B34">
        <w:rPr>
          <w:rFonts w:ascii="Times New Roman" w:hAnsi="Times New Roman" w:cs="Times New Roman"/>
        </w:rPr>
        <w:t xml:space="preserve">şüpheliyle </w:t>
      </w:r>
      <w:r w:rsidR="00F414F7">
        <w:rPr>
          <w:rFonts w:ascii="Times New Roman" w:hAnsi="Times New Roman" w:cs="Times New Roman"/>
        </w:rPr>
        <w:t xml:space="preserve">görüşürken hakim olağan </w:t>
      </w:r>
      <w:r w:rsidR="009D6053">
        <w:rPr>
          <w:rFonts w:ascii="Times New Roman" w:hAnsi="Times New Roman" w:cs="Times New Roman"/>
        </w:rPr>
        <w:t>muhakeme</w:t>
      </w:r>
      <w:r w:rsidR="00F414F7">
        <w:rPr>
          <w:rFonts w:ascii="Times New Roman" w:hAnsi="Times New Roman" w:cs="Times New Roman"/>
        </w:rPr>
        <w:t xml:space="preserve"> sürecinden farklı olarak kalabalık olmayan bir duruşma salonunda neredeyse birebir </w:t>
      </w:r>
      <w:r w:rsidR="004B6B34">
        <w:rPr>
          <w:rFonts w:ascii="Times New Roman" w:hAnsi="Times New Roman" w:cs="Times New Roman"/>
        </w:rPr>
        <w:t xml:space="preserve">şüpheliyle </w:t>
      </w:r>
      <w:r w:rsidR="00F414F7">
        <w:rPr>
          <w:rFonts w:ascii="Times New Roman" w:hAnsi="Times New Roman" w:cs="Times New Roman"/>
        </w:rPr>
        <w:t>görüşerek hükmü ve sonuçlarını açıklayabilmektedir</w:t>
      </w:r>
      <w:r w:rsidR="00F414F7">
        <w:rPr>
          <w:rStyle w:val="FootnoteReference"/>
          <w:rFonts w:ascii="Times New Roman" w:hAnsi="Times New Roman" w:cs="Times New Roman"/>
        </w:rPr>
        <w:footnoteReference w:id="162"/>
      </w:r>
      <w:r w:rsidR="00F414F7">
        <w:rPr>
          <w:rFonts w:ascii="Times New Roman" w:hAnsi="Times New Roman" w:cs="Times New Roman"/>
        </w:rPr>
        <w:t xml:space="preserve">. </w:t>
      </w:r>
      <w:r w:rsidR="00071430">
        <w:rPr>
          <w:rFonts w:ascii="Times New Roman" w:hAnsi="Times New Roman" w:cs="Times New Roman"/>
        </w:rPr>
        <w:t>Buna karşılık</w:t>
      </w:r>
      <w:r w:rsidR="00A76463">
        <w:rPr>
          <w:rFonts w:ascii="Times New Roman" w:hAnsi="Times New Roman" w:cs="Times New Roman"/>
        </w:rPr>
        <w:t xml:space="preserve"> </w:t>
      </w:r>
      <w:r w:rsidR="008E12DE">
        <w:rPr>
          <w:rFonts w:ascii="Times New Roman" w:hAnsi="Times New Roman" w:cs="Times New Roman"/>
        </w:rPr>
        <w:t>uygulamad</w:t>
      </w:r>
      <w:r w:rsidR="00A76463">
        <w:rPr>
          <w:rFonts w:ascii="Times New Roman" w:hAnsi="Times New Roman" w:cs="Times New Roman"/>
        </w:rPr>
        <w:t>a</w:t>
      </w:r>
      <w:r w:rsidR="008E12DE">
        <w:rPr>
          <w:rFonts w:ascii="Times New Roman" w:hAnsi="Times New Roman" w:cs="Times New Roman"/>
        </w:rPr>
        <w:t xml:space="preserve"> failin her zaman cezanın mahiyetini </w:t>
      </w:r>
      <w:r w:rsidR="003C0993">
        <w:rPr>
          <w:rFonts w:ascii="Times New Roman" w:hAnsi="Times New Roman" w:cs="Times New Roman"/>
        </w:rPr>
        <w:t xml:space="preserve">veya bu usulün uygulanma şeklini </w:t>
      </w:r>
      <w:r w:rsidR="00071430">
        <w:rPr>
          <w:rFonts w:ascii="Times New Roman" w:hAnsi="Times New Roman" w:cs="Times New Roman"/>
        </w:rPr>
        <w:t>kavrayamadığı, ö</w:t>
      </w:r>
      <w:r w:rsidR="008E12DE">
        <w:rPr>
          <w:rFonts w:ascii="Times New Roman" w:hAnsi="Times New Roman" w:cs="Times New Roman"/>
        </w:rPr>
        <w:t xml:space="preserve">zellikle </w:t>
      </w:r>
      <w:r w:rsidR="003C0993">
        <w:rPr>
          <w:rFonts w:ascii="Times New Roman" w:hAnsi="Times New Roman" w:cs="Times New Roman"/>
        </w:rPr>
        <w:t>faillerin savcılıkla anlaştıktan sonra mahkeme aşamasının işlevini kavramakta zorlandıkları</w:t>
      </w:r>
      <w:r w:rsidR="008E12DE">
        <w:rPr>
          <w:rFonts w:ascii="Times New Roman" w:hAnsi="Times New Roman" w:cs="Times New Roman"/>
        </w:rPr>
        <w:t xml:space="preserve"> ifade edilmektedir</w:t>
      </w:r>
      <w:r w:rsidR="008E12DE">
        <w:rPr>
          <w:rStyle w:val="FootnoteReference"/>
          <w:rFonts w:ascii="Times New Roman" w:hAnsi="Times New Roman" w:cs="Times New Roman"/>
        </w:rPr>
        <w:footnoteReference w:id="163"/>
      </w:r>
      <w:r w:rsidR="008E12DE">
        <w:rPr>
          <w:rFonts w:ascii="Times New Roman" w:hAnsi="Times New Roman" w:cs="Times New Roman"/>
        </w:rPr>
        <w:t>.</w:t>
      </w:r>
      <w:r w:rsidR="003C0993">
        <w:rPr>
          <w:rFonts w:ascii="Times New Roman" w:hAnsi="Times New Roman" w:cs="Times New Roman"/>
        </w:rPr>
        <w:t xml:space="preserve"> </w:t>
      </w:r>
      <w:r w:rsidR="00F414F7">
        <w:rPr>
          <w:rFonts w:ascii="Times New Roman" w:hAnsi="Times New Roman" w:cs="Times New Roman"/>
        </w:rPr>
        <w:t>Aynı şekilde esasen mahkeme aşamasında yapılan duruşmada salonun kalabalık olmayışı ve savcının bulunmayışının failin yargılama süreci ve yargı makamının ağırlığını ve ciddiyet</w:t>
      </w:r>
      <w:r w:rsidR="00332583">
        <w:rPr>
          <w:rFonts w:ascii="Times New Roman" w:hAnsi="Times New Roman" w:cs="Times New Roman"/>
        </w:rPr>
        <w:t>i</w:t>
      </w:r>
      <w:r w:rsidR="00F414F7">
        <w:rPr>
          <w:rFonts w:ascii="Times New Roman" w:hAnsi="Times New Roman" w:cs="Times New Roman"/>
        </w:rPr>
        <w:t>ni hissetmesini engellediği de ifade edilmiştir</w:t>
      </w:r>
      <w:r w:rsidR="00F414F7">
        <w:rPr>
          <w:rStyle w:val="FootnoteReference"/>
          <w:rFonts w:ascii="Times New Roman" w:hAnsi="Times New Roman" w:cs="Times New Roman"/>
        </w:rPr>
        <w:footnoteReference w:id="164"/>
      </w:r>
      <w:r w:rsidR="00F414F7">
        <w:rPr>
          <w:rFonts w:ascii="Times New Roman" w:hAnsi="Times New Roman" w:cs="Times New Roman"/>
        </w:rPr>
        <w:t>.</w:t>
      </w:r>
      <w:r w:rsidR="00942620">
        <w:rPr>
          <w:rFonts w:ascii="Times New Roman" w:hAnsi="Times New Roman" w:cs="Times New Roman"/>
        </w:rPr>
        <w:t xml:space="preserve">  </w:t>
      </w:r>
      <w:r w:rsidR="00C86E0E">
        <w:rPr>
          <w:rFonts w:ascii="Times New Roman" w:hAnsi="Times New Roman" w:cs="Times New Roman"/>
        </w:rPr>
        <w:t xml:space="preserve">Türk hukukunda da </w:t>
      </w:r>
      <w:r w:rsidR="00EE4052">
        <w:rPr>
          <w:rFonts w:ascii="Times New Roman" w:hAnsi="Times New Roman" w:cs="Times New Roman"/>
        </w:rPr>
        <w:t>seri muhakeme usulünün ağırlıklı olarak savcılıkta gerçekleştiği ve şüphelinin eylemlerinin cezai sonuçları ile ilgili olarak mahkeme önünde yüzleştirilmekten ziyade savcılık makamıyla iletişim içerisinde olduğu göz önünde bulundurulduğunda, verilen cezanın caydırıcılık yönünden etkinliğinin azaldığı ifade edilebilir</w:t>
      </w:r>
      <w:r w:rsidR="00EE4052">
        <w:rPr>
          <w:rStyle w:val="FootnoteReference"/>
          <w:rFonts w:ascii="Times New Roman" w:hAnsi="Times New Roman" w:cs="Times New Roman"/>
        </w:rPr>
        <w:footnoteReference w:id="165"/>
      </w:r>
      <w:r w:rsidR="00EE4052">
        <w:rPr>
          <w:rFonts w:ascii="Times New Roman" w:hAnsi="Times New Roman" w:cs="Times New Roman"/>
        </w:rPr>
        <w:t xml:space="preserve">. </w:t>
      </w:r>
      <w:r w:rsidR="009D6053">
        <w:rPr>
          <w:rFonts w:ascii="Times New Roman" w:hAnsi="Times New Roman" w:cs="Times New Roman"/>
        </w:rPr>
        <w:t>Bu doğrultuda</w:t>
      </w:r>
      <w:r w:rsidR="00B843E3">
        <w:rPr>
          <w:rFonts w:ascii="Times New Roman" w:hAnsi="Times New Roman" w:cs="Times New Roman"/>
        </w:rPr>
        <w:t xml:space="preserve"> cezanın mahiyeti ve sonuçlarının açıklanarak caydırıcılığın sağlanabilmesi bakımından</w:t>
      </w:r>
      <w:r w:rsidR="00F1228D">
        <w:rPr>
          <w:rFonts w:ascii="Times New Roman" w:hAnsi="Times New Roman" w:cs="Times New Roman"/>
        </w:rPr>
        <w:t>,</w:t>
      </w:r>
      <w:r w:rsidR="00B843E3">
        <w:rPr>
          <w:rFonts w:ascii="Times New Roman" w:hAnsi="Times New Roman" w:cs="Times New Roman"/>
        </w:rPr>
        <w:t xml:space="preserve"> </w:t>
      </w:r>
      <w:r w:rsidR="00DF2C8E">
        <w:rPr>
          <w:rFonts w:ascii="Times New Roman" w:hAnsi="Times New Roman" w:cs="Times New Roman"/>
        </w:rPr>
        <w:t xml:space="preserve">Türk hukukunda </w:t>
      </w:r>
      <w:r w:rsidR="00B843E3">
        <w:rPr>
          <w:rFonts w:ascii="Times New Roman" w:hAnsi="Times New Roman" w:cs="Times New Roman"/>
        </w:rPr>
        <w:t xml:space="preserve">savcılığın teklif sırasında </w:t>
      </w:r>
      <w:r w:rsidR="00F1228D">
        <w:rPr>
          <w:rFonts w:ascii="Times New Roman" w:hAnsi="Times New Roman" w:cs="Times New Roman"/>
        </w:rPr>
        <w:t>yapması gereken “</w:t>
      </w:r>
      <w:r w:rsidR="00B843E3">
        <w:rPr>
          <w:rFonts w:ascii="Times New Roman" w:hAnsi="Times New Roman" w:cs="Times New Roman"/>
        </w:rPr>
        <w:t>ceza miktarını v</w:t>
      </w:r>
      <w:r w:rsidR="009D6053">
        <w:rPr>
          <w:rFonts w:ascii="Times New Roman" w:hAnsi="Times New Roman" w:cs="Times New Roman"/>
        </w:rPr>
        <w:t>e sonuçl</w:t>
      </w:r>
      <w:r w:rsidR="00F1228D">
        <w:rPr>
          <w:rFonts w:ascii="Times New Roman" w:hAnsi="Times New Roman" w:cs="Times New Roman"/>
        </w:rPr>
        <w:t>arını” içeren</w:t>
      </w:r>
      <w:r w:rsidR="009D6053">
        <w:rPr>
          <w:rFonts w:ascii="Times New Roman" w:hAnsi="Times New Roman" w:cs="Times New Roman"/>
        </w:rPr>
        <w:t xml:space="preserve"> bilgilendirmenin doğru ve kapsamlı olarak yapılmasının önemi vurgulanmalıdır. </w:t>
      </w:r>
    </w:p>
    <w:p w14:paraId="41BA710F" w14:textId="77777777" w:rsidR="00942620" w:rsidRDefault="00942620" w:rsidP="00773A4C">
      <w:pPr>
        <w:spacing w:line="360" w:lineRule="auto"/>
        <w:jc w:val="both"/>
        <w:rPr>
          <w:rFonts w:ascii="Times New Roman" w:hAnsi="Times New Roman" w:cs="Times New Roman"/>
        </w:rPr>
      </w:pPr>
    </w:p>
    <w:p w14:paraId="113FBCB2" w14:textId="55ACA51A" w:rsidR="003356B5" w:rsidRDefault="00BE5842" w:rsidP="00942620">
      <w:pPr>
        <w:spacing w:line="360" w:lineRule="auto"/>
        <w:ind w:firstLine="720"/>
        <w:jc w:val="both"/>
        <w:rPr>
          <w:rFonts w:ascii="Times New Roman" w:hAnsi="Times New Roman" w:cs="Times New Roman"/>
        </w:rPr>
      </w:pPr>
      <w:r>
        <w:rPr>
          <w:rFonts w:ascii="Times New Roman" w:hAnsi="Times New Roman" w:cs="Times New Roman"/>
        </w:rPr>
        <w:t xml:space="preserve">Son olarak, </w:t>
      </w:r>
      <w:r w:rsidR="00393D79">
        <w:rPr>
          <w:rFonts w:ascii="Times New Roman" w:hAnsi="Times New Roman" w:cs="Times New Roman"/>
        </w:rPr>
        <w:t xml:space="preserve">Fransız hukukunda </w:t>
      </w:r>
      <w:r w:rsidR="009970B3">
        <w:rPr>
          <w:rFonts w:ascii="Times New Roman" w:hAnsi="Times New Roman" w:cs="Times New Roman"/>
        </w:rPr>
        <w:t>suçluluğun ön kabulü üzerine duru</w:t>
      </w:r>
      <w:r w:rsidR="0095692E">
        <w:rPr>
          <w:rFonts w:ascii="Times New Roman" w:hAnsi="Times New Roman" w:cs="Times New Roman"/>
        </w:rPr>
        <w:t>ş</w:t>
      </w:r>
      <w:r w:rsidR="003356B5">
        <w:rPr>
          <w:rFonts w:ascii="Times New Roman" w:hAnsi="Times New Roman" w:cs="Times New Roman"/>
        </w:rPr>
        <w:t>ma usulü</w:t>
      </w:r>
      <w:r w:rsidR="009970B3">
        <w:rPr>
          <w:rFonts w:ascii="Times New Roman" w:hAnsi="Times New Roman" w:cs="Times New Roman"/>
        </w:rPr>
        <w:t xml:space="preserve"> </w:t>
      </w:r>
      <w:r w:rsidR="003356B5">
        <w:rPr>
          <w:rFonts w:ascii="Times New Roman" w:hAnsi="Times New Roman" w:cs="Times New Roman"/>
        </w:rPr>
        <w:t xml:space="preserve">genel olarak ceza muhakemesinin etkinliğini sağlamada başarılı bir uygulama olarak addedilmekle birlikte </w:t>
      </w:r>
      <w:r w:rsidR="009970B3">
        <w:rPr>
          <w:rFonts w:ascii="Times New Roman" w:hAnsi="Times New Roman" w:cs="Times New Roman"/>
        </w:rPr>
        <w:t>bazı etik sorunları içerip i</w:t>
      </w:r>
      <w:r w:rsidR="00942620">
        <w:rPr>
          <w:rFonts w:ascii="Times New Roman" w:hAnsi="Times New Roman" w:cs="Times New Roman"/>
        </w:rPr>
        <w:t xml:space="preserve">çermediği üzerine </w:t>
      </w:r>
      <w:r w:rsidR="007B3412">
        <w:rPr>
          <w:rFonts w:ascii="Times New Roman" w:hAnsi="Times New Roman" w:cs="Times New Roman"/>
        </w:rPr>
        <w:t xml:space="preserve">de </w:t>
      </w:r>
      <w:r w:rsidR="00942620">
        <w:rPr>
          <w:rFonts w:ascii="Times New Roman" w:hAnsi="Times New Roman" w:cs="Times New Roman"/>
        </w:rPr>
        <w:t>düşünülmektedir</w:t>
      </w:r>
      <w:r w:rsidR="00313C54">
        <w:rPr>
          <w:rFonts w:ascii="Times New Roman" w:hAnsi="Times New Roman" w:cs="Times New Roman"/>
        </w:rPr>
        <w:t xml:space="preserve">. </w:t>
      </w:r>
      <w:r w:rsidR="009970B3">
        <w:rPr>
          <w:rFonts w:ascii="Times New Roman" w:hAnsi="Times New Roman" w:cs="Times New Roman"/>
        </w:rPr>
        <w:t>Suçluluğun önceden kabul edilmesi halinde cezada indirimin uygulanacak olmasının</w:t>
      </w:r>
      <w:r w:rsidR="00030741">
        <w:rPr>
          <w:rFonts w:ascii="Times New Roman" w:hAnsi="Times New Roman" w:cs="Times New Roman"/>
        </w:rPr>
        <w:t>, failleri</w:t>
      </w:r>
      <w:r w:rsidR="009970B3">
        <w:rPr>
          <w:rFonts w:ascii="Times New Roman" w:hAnsi="Times New Roman" w:cs="Times New Roman"/>
        </w:rPr>
        <w:t xml:space="preserve"> gerçeğe uygun olmadığı halde savcılığın teklifini kabul etme fırsatını kaçırmamak için eylemleri kabul etmeye yöneltip yöneltmediği dikkat edilmesi gereken bir noktadır</w:t>
      </w:r>
      <w:r w:rsidR="009970B3">
        <w:rPr>
          <w:rStyle w:val="FootnoteReference"/>
          <w:rFonts w:ascii="Times New Roman" w:hAnsi="Times New Roman" w:cs="Times New Roman"/>
        </w:rPr>
        <w:footnoteReference w:id="166"/>
      </w:r>
      <w:r w:rsidR="009970B3">
        <w:rPr>
          <w:rFonts w:ascii="Times New Roman" w:hAnsi="Times New Roman" w:cs="Times New Roman"/>
        </w:rPr>
        <w:t>. Yine benzer şekilde</w:t>
      </w:r>
      <w:r>
        <w:rPr>
          <w:rFonts w:ascii="Times New Roman" w:hAnsi="Times New Roman" w:cs="Times New Roman"/>
        </w:rPr>
        <w:t>,</w:t>
      </w:r>
      <w:r w:rsidR="009970B3">
        <w:rPr>
          <w:rFonts w:ascii="Times New Roman" w:hAnsi="Times New Roman" w:cs="Times New Roman"/>
        </w:rPr>
        <w:t xml:space="preserve"> süreci hızlandırma ve dosyayı kapatma arzusunun savcılığı teklifini hazırlarken ve müdafii </w:t>
      </w:r>
      <w:r w:rsidR="001D6848">
        <w:rPr>
          <w:rFonts w:ascii="Times New Roman" w:hAnsi="Times New Roman" w:cs="Times New Roman"/>
        </w:rPr>
        <w:t>şüpheliye</w:t>
      </w:r>
      <w:r w:rsidR="009970B3">
        <w:rPr>
          <w:rFonts w:ascii="Times New Roman" w:hAnsi="Times New Roman" w:cs="Times New Roman"/>
        </w:rPr>
        <w:t xml:space="preserve"> verilen teklifi değerlendirirken nasıl etkileyeceği de ayrı bir soru</w:t>
      </w:r>
      <w:r w:rsidR="00042C4F">
        <w:rPr>
          <w:rFonts w:ascii="Times New Roman" w:hAnsi="Times New Roman" w:cs="Times New Roman"/>
        </w:rPr>
        <w:t>n</w:t>
      </w:r>
      <w:r w:rsidR="00313C54">
        <w:rPr>
          <w:rFonts w:ascii="Times New Roman" w:hAnsi="Times New Roman" w:cs="Times New Roman"/>
        </w:rPr>
        <w:t xml:space="preserve">dur. Fransız hukukundaki </w:t>
      </w:r>
      <w:r>
        <w:rPr>
          <w:rFonts w:ascii="Times New Roman" w:hAnsi="Times New Roman" w:cs="Times New Roman"/>
        </w:rPr>
        <w:t>uygulamada</w:t>
      </w:r>
      <w:r w:rsidR="00313C54">
        <w:rPr>
          <w:rFonts w:ascii="Times New Roman" w:hAnsi="Times New Roman" w:cs="Times New Roman"/>
        </w:rPr>
        <w:t xml:space="preserve"> h</w:t>
      </w:r>
      <w:r w:rsidR="00042C4F">
        <w:rPr>
          <w:rFonts w:ascii="Times New Roman" w:hAnsi="Times New Roman" w:cs="Times New Roman"/>
        </w:rPr>
        <w:t>akimler</w:t>
      </w:r>
      <w:r w:rsidR="00313C54">
        <w:rPr>
          <w:rFonts w:ascii="Times New Roman" w:hAnsi="Times New Roman" w:cs="Times New Roman"/>
        </w:rPr>
        <w:t>in</w:t>
      </w:r>
      <w:r w:rsidR="00042C4F">
        <w:rPr>
          <w:rFonts w:ascii="Times New Roman" w:hAnsi="Times New Roman" w:cs="Times New Roman"/>
        </w:rPr>
        <w:t xml:space="preserve"> </w:t>
      </w:r>
      <w:r>
        <w:rPr>
          <w:rFonts w:ascii="Times New Roman" w:hAnsi="Times New Roman" w:cs="Times New Roman"/>
        </w:rPr>
        <w:t>de savcıların o ana kadar yürütmüş oldukları karşılıklı anlaşma sürecindeki çabalarını ve sonuçlanmaya hazır durumdaki bir dosyanın akıbetini bozmayı istemedikleri ifade edilmektedir</w:t>
      </w:r>
      <w:r w:rsidR="00E23B38">
        <w:rPr>
          <w:rFonts w:ascii="Times New Roman" w:hAnsi="Times New Roman" w:cs="Times New Roman"/>
        </w:rPr>
        <w:t>.</w:t>
      </w:r>
      <w:r>
        <w:rPr>
          <w:rFonts w:ascii="Times New Roman" w:hAnsi="Times New Roman" w:cs="Times New Roman"/>
        </w:rPr>
        <w:t xml:space="preserve"> Hakimlerin </w:t>
      </w:r>
      <w:r w:rsidR="00042C4F">
        <w:rPr>
          <w:rFonts w:ascii="Times New Roman" w:hAnsi="Times New Roman" w:cs="Times New Roman"/>
        </w:rPr>
        <w:t>genellikle yeni bir delil veya bilgi ortaya çıkmadığı sürece savcılıktan gelen teklifleri onay</w:t>
      </w:r>
      <w:r w:rsidR="00313C54">
        <w:rPr>
          <w:rFonts w:ascii="Times New Roman" w:hAnsi="Times New Roman" w:cs="Times New Roman"/>
        </w:rPr>
        <w:t>lamakta tereddüt etmedikleri ve uygulamada bu usule başvurulan dosyalarda teklifin reddi kararına çok nadiren rastlandığı tespit edilmiş, b</w:t>
      </w:r>
      <w:r w:rsidR="00042C4F">
        <w:rPr>
          <w:rFonts w:ascii="Times New Roman" w:hAnsi="Times New Roman" w:cs="Times New Roman"/>
        </w:rPr>
        <w:t>u durumun hakimlerin yargılamadaki rolünün bir tasdik makamına dönüşme</w:t>
      </w:r>
      <w:r w:rsidR="00313C54">
        <w:rPr>
          <w:rFonts w:ascii="Times New Roman" w:hAnsi="Times New Roman" w:cs="Times New Roman"/>
        </w:rPr>
        <w:t>sine yol açtığı ileri sürülmüştür</w:t>
      </w:r>
      <w:r w:rsidR="00042C4F">
        <w:rPr>
          <w:rStyle w:val="FootnoteReference"/>
          <w:rFonts w:ascii="Times New Roman" w:hAnsi="Times New Roman" w:cs="Times New Roman"/>
        </w:rPr>
        <w:footnoteReference w:id="167"/>
      </w:r>
      <w:r w:rsidR="00042C4F">
        <w:rPr>
          <w:rFonts w:ascii="Times New Roman" w:hAnsi="Times New Roman" w:cs="Times New Roman"/>
        </w:rPr>
        <w:t xml:space="preserve">. </w:t>
      </w:r>
      <w:r w:rsidR="00D04FD8">
        <w:rPr>
          <w:rFonts w:ascii="Times New Roman" w:hAnsi="Times New Roman" w:cs="Times New Roman"/>
        </w:rPr>
        <w:t>Fransız hukukunda seri usulde muhakemenin hızlandırılması ve etkinliğin artırılması kaygısıyla muhakeme süjelerinin olağan usuldeki görevleri</w:t>
      </w:r>
      <w:r w:rsidR="00F45000">
        <w:rPr>
          <w:rFonts w:ascii="Times New Roman" w:hAnsi="Times New Roman" w:cs="Times New Roman"/>
        </w:rPr>
        <w:t xml:space="preserve">yle ilgili </w:t>
      </w:r>
      <w:r w:rsidR="00A941EE">
        <w:rPr>
          <w:rFonts w:ascii="Times New Roman" w:hAnsi="Times New Roman" w:cs="Times New Roman"/>
        </w:rPr>
        <w:t xml:space="preserve">etik sorunların </w:t>
      </w:r>
      <w:r w:rsidR="00E23B38">
        <w:rPr>
          <w:rFonts w:ascii="Times New Roman" w:hAnsi="Times New Roman" w:cs="Times New Roman"/>
        </w:rPr>
        <w:t xml:space="preserve">ortaya çıkmasının </w:t>
      </w:r>
      <w:r w:rsidR="00D04FD8">
        <w:rPr>
          <w:rFonts w:ascii="Times New Roman" w:hAnsi="Times New Roman" w:cs="Times New Roman"/>
        </w:rPr>
        <w:t>Türk hukuku bakımından da bir sorun oluştur</w:t>
      </w:r>
      <w:r w:rsidR="00F45000">
        <w:rPr>
          <w:rFonts w:ascii="Times New Roman" w:hAnsi="Times New Roman" w:cs="Times New Roman"/>
        </w:rPr>
        <w:t xml:space="preserve">up oluşturmayacağı zaman içerisinde ortaya çıkacaktır. </w:t>
      </w:r>
    </w:p>
    <w:p w14:paraId="43E9C04B" w14:textId="0DFB7F70" w:rsidR="00C00E65" w:rsidRPr="00D04466" w:rsidRDefault="00942620" w:rsidP="00B80FB9">
      <w:pPr>
        <w:pStyle w:val="Heading1"/>
        <w:ind w:firstLine="720"/>
      </w:pPr>
      <w:r>
        <w:t>SONU</w:t>
      </w:r>
      <w:r w:rsidR="00620099" w:rsidRPr="00620099">
        <w:t>Ç</w:t>
      </w:r>
      <w:r w:rsidR="00C00E65">
        <w:rPr>
          <w:rFonts w:cs="Times New Roman"/>
        </w:rPr>
        <w:t xml:space="preserve"> </w:t>
      </w:r>
    </w:p>
    <w:p w14:paraId="206E5619" w14:textId="77777777" w:rsidR="00C00E65" w:rsidRDefault="00C00E65" w:rsidP="00A4255E">
      <w:pPr>
        <w:spacing w:line="360" w:lineRule="auto"/>
        <w:ind w:firstLine="720"/>
        <w:jc w:val="both"/>
        <w:rPr>
          <w:rFonts w:ascii="Times New Roman" w:hAnsi="Times New Roman" w:cs="Times New Roman"/>
        </w:rPr>
      </w:pPr>
    </w:p>
    <w:p w14:paraId="4D29AAD2" w14:textId="76A14FCF" w:rsidR="00813B69" w:rsidRDefault="001F02B8" w:rsidP="0025690B">
      <w:pPr>
        <w:spacing w:line="360" w:lineRule="auto"/>
        <w:ind w:firstLine="720"/>
        <w:jc w:val="both"/>
        <w:rPr>
          <w:rFonts w:ascii="Times New Roman" w:hAnsi="Times New Roman" w:cs="Times New Roman"/>
        </w:rPr>
      </w:pPr>
      <w:r>
        <w:rPr>
          <w:rFonts w:ascii="Times New Roman" w:hAnsi="Times New Roman" w:cs="Times New Roman"/>
        </w:rPr>
        <w:t xml:space="preserve">Çalışmada ele alınan karşılaştırma sonucunda, </w:t>
      </w:r>
      <w:r w:rsidR="00F01D92">
        <w:rPr>
          <w:rFonts w:ascii="Times New Roman" w:hAnsi="Times New Roman" w:cs="Times New Roman"/>
        </w:rPr>
        <w:t>Türk hu</w:t>
      </w:r>
      <w:r w:rsidR="00411F39">
        <w:rPr>
          <w:rFonts w:ascii="Times New Roman" w:hAnsi="Times New Roman" w:cs="Times New Roman"/>
        </w:rPr>
        <w:t>kukundaki seri muhakeme usulü</w:t>
      </w:r>
      <w:r>
        <w:rPr>
          <w:rFonts w:ascii="Times New Roman" w:hAnsi="Times New Roman" w:cs="Times New Roman"/>
        </w:rPr>
        <w:t>nün</w:t>
      </w:r>
      <w:r w:rsidR="00F01D92">
        <w:rPr>
          <w:rFonts w:ascii="Times New Roman" w:hAnsi="Times New Roman" w:cs="Times New Roman"/>
        </w:rPr>
        <w:t xml:space="preserve"> Fransız hukukundaki örnekten </w:t>
      </w:r>
      <w:r w:rsidR="003D5AEC">
        <w:rPr>
          <w:rFonts w:ascii="Times New Roman" w:hAnsi="Times New Roman" w:cs="Times New Roman"/>
        </w:rPr>
        <w:t>esinlenilmekle birlikte b</w:t>
      </w:r>
      <w:r w:rsidR="00D95ED8">
        <w:rPr>
          <w:rFonts w:ascii="Times New Roman" w:hAnsi="Times New Roman" w:cs="Times New Roman"/>
        </w:rPr>
        <w:t xml:space="preserve">azı </w:t>
      </w:r>
      <w:r>
        <w:rPr>
          <w:rFonts w:ascii="Times New Roman" w:hAnsi="Times New Roman" w:cs="Times New Roman"/>
        </w:rPr>
        <w:t>konularda</w:t>
      </w:r>
      <w:r w:rsidR="003D5AEC">
        <w:rPr>
          <w:rFonts w:ascii="Times New Roman" w:hAnsi="Times New Roman" w:cs="Times New Roman"/>
        </w:rPr>
        <w:t xml:space="preserve"> </w:t>
      </w:r>
      <w:r w:rsidR="00F01D92">
        <w:rPr>
          <w:rFonts w:ascii="Times New Roman" w:hAnsi="Times New Roman" w:cs="Times New Roman"/>
        </w:rPr>
        <w:t xml:space="preserve">farklı şekilde </w:t>
      </w:r>
      <w:r w:rsidR="00411F39">
        <w:rPr>
          <w:rFonts w:ascii="Times New Roman" w:hAnsi="Times New Roman" w:cs="Times New Roman"/>
        </w:rPr>
        <w:t xml:space="preserve">kaleme </w:t>
      </w:r>
      <w:r>
        <w:rPr>
          <w:rFonts w:ascii="Times New Roman" w:hAnsi="Times New Roman" w:cs="Times New Roman"/>
        </w:rPr>
        <w:t>alındığı tespit edilmiştir.</w:t>
      </w:r>
      <w:r w:rsidR="00BF173B">
        <w:rPr>
          <w:rFonts w:ascii="Times New Roman" w:hAnsi="Times New Roman" w:cs="Times New Roman"/>
        </w:rPr>
        <w:t xml:space="preserve"> </w:t>
      </w:r>
      <w:r>
        <w:rPr>
          <w:rFonts w:ascii="Times New Roman" w:hAnsi="Times New Roman" w:cs="Times New Roman"/>
        </w:rPr>
        <w:t>B</w:t>
      </w:r>
      <w:r w:rsidR="00FA530C">
        <w:rPr>
          <w:rFonts w:ascii="Times New Roman" w:hAnsi="Times New Roman" w:cs="Times New Roman"/>
        </w:rPr>
        <w:t>u farklılıkların bir kısmının</w:t>
      </w:r>
      <w:r w:rsidR="00056DFA">
        <w:rPr>
          <w:rFonts w:ascii="Times New Roman" w:hAnsi="Times New Roman" w:cs="Times New Roman"/>
        </w:rPr>
        <w:t xml:space="preserve"> </w:t>
      </w:r>
      <w:r w:rsidR="00411F39">
        <w:rPr>
          <w:rFonts w:ascii="Times New Roman" w:hAnsi="Times New Roman" w:cs="Times New Roman"/>
        </w:rPr>
        <w:t>iki hukuk sisteminin</w:t>
      </w:r>
      <w:r w:rsidR="000915E6">
        <w:rPr>
          <w:rFonts w:ascii="Times New Roman" w:hAnsi="Times New Roman" w:cs="Times New Roman"/>
        </w:rPr>
        <w:t xml:space="preserve"> yapısal özellikleriyle</w:t>
      </w:r>
      <w:r w:rsidR="00BF173B">
        <w:rPr>
          <w:rFonts w:ascii="Times New Roman" w:hAnsi="Times New Roman" w:cs="Times New Roman"/>
        </w:rPr>
        <w:t xml:space="preserve"> ve kanun koyucunun </w:t>
      </w:r>
      <w:r>
        <w:rPr>
          <w:rFonts w:ascii="Times New Roman" w:hAnsi="Times New Roman" w:cs="Times New Roman"/>
        </w:rPr>
        <w:t>beklentisiyle</w:t>
      </w:r>
      <w:r w:rsidR="00056DFA">
        <w:rPr>
          <w:rFonts w:ascii="Times New Roman" w:hAnsi="Times New Roman" w:cs="Times New Roman"/>
        </w:rPr>
        <w:t xml:space="preserve"> </w:t>
      </w:r>
      <w:r w:rsidR="00D95ED8">
        <w:rPr>
          <w:rFonts w:ascii="Times New Roman" w:hAnsi="Times New Roman" w:cs="Times New Roman"/>
        </w:rPr>
        <w:t>açıklanabilir</w:t>
      </w:r>
      <w:r>
        <w:rPr>
          <w:rFonts w:ascii="Times New Roman" w:hAnsi="Times New Roman" w:cs="Times New Roman"/>
        </w:rPr>
        <w:t xml:space="preserve">, </w:t>
      </w:r>
      <w:r w:rsidR="00F752F8">
        <w:rPr>
          <w:rFonts w:ascii="Times New Roman" w:hAnsi="Times New Roman" w:cs="Times New Roman"/>
        </w:rPr>
        <w:t xml:space="preserve">anlaşılabilir </w:t>
      </w:r>
      <w:r w:rsidR="00FA530C">
        <w:rPr>
          <w:rFonts w:ascii="Times New Roman" w:hAnsi="Times New Roman" w:cs="Times New Roman"/>
        </w:rPr>
        <w:t>o</w:t>
      </w:r>
      <w:r>
        <w:rPr>
          <w:rFonts w:ascii="Times New Roman" w:hAnsi="Times New Roman" w:cs="Times New Roman"/>
        </w:rPr>
        <w:t>lduğu;</w:t>
      </w:r>
      <w:r w:rsidR="00FA530C">
        <w:rPr>
          <w:rFonts w:ascii="Times New Roman" w:hAnsi="Times New Roman" w:cs="Times New Roman"/>
        </w:rPr>
        <w:t xml:space="preserve"> ancak </w:t>
      </w:r>
      <w:r w:rsidR="00452252">
        <w:rPr>
          <w:rFonts w:ascii="Times New Roman" w:hAnsi="Times New Roman" w:cs="Times New Roman"/>
        </w:rPr>
        <w:t>diğer</w:t>
      </w:r>
      <w:r w:rsidR="0001536C">
        <w:rPr>
          <w:rFonts w:ascii="Times New Roman" w:hAnsi="Times New Roman" w:cs="Times New Roman"/>
        </w:rPr>
        <w:t xml:space="preserve"> </w:t>
      </w:r>
      <w:r w:rsidR="00056DFA">
        <w:rPr>
          <w:rFonts w:ascii="Times New Roman" w:hAnsi="Times New Roman" w:cs="Times New Roman"/>
        </w:rPr>
        <w:t xml:space="preserve">bazı farklılıkların </w:t>
      </w:r>
      <w:r w:rsidR="007358F5">
        <w:rPr>
          <w:rFonts w:ascii="Times New Roman" w:hAnsi="Times New Roman" w:cs="Times New Roman"/>
        </w:rPr>
        <w:t>ce</w:t>
      </w:r>
      <w:r w:rsidR="00EB6E84">
        <w:rPr>
          <w:rFonts w:ascii="Times New Roman" w:hAnsi="Times New Roman" w:cs="Times New Roman"/>
        </w:rPr>
        <w:t>za muhakemesi hukukunun amacı,</w:t>
      </w:r>
      <w:r w:rsidR="007358F5">
        <w:rPr>
          <w:rFonts w:ascii="Times New Roman" w:hAnsi="Times New Roman" w:cs="Times New Roman"/>
        </w:rPr>
        <w:t xml:space="preserve"> temel ilkeleri </w:t>
      </w:r>
      <w:r w:rsidR="00EB6E84">
        <w:rPr>
          <w:rFonts w:ascii="Times New Roman" w:hAnsi="Times New Roman" w:cs="Times New Roman"/>
        </w:rPr>
        <w:t xml:space="preserve">ve adil yargılanma hakkının gerekleri </w:t>
      </w:r>
      <w:r w:rsidR="007358F5">
        <w:rPr>
          <w:rFonts w:ascii="Times New Roman" w:hAnsi="Times New Roman" w:cs="Times New Roman"/>
        </w:rPr>
        <w:t xml:space="preserve">yönünden </w:t>
      </w:r>
      <w:r w:rsidR="00EB6E84">
        <w:rPr>
          <w:rFonts w:ascii="Times New Roman" w:hAnsi="Times New Roman" w:cs="Times New Roman"/>
        </w:rPr>
        <w:t>birtakım sorunları barındırdığı</w:t>
      </w:r>
      <w:r w:rsidR="007358F5">
        <w:rPr>
          <w:rFonts w:ascii="Times New Roman" w:hAnsi="Times New Roman" w:cs="Times New Roman"/>
        </w:rPr>
        <w:t xml:space="preserve"> </w:t>
      </w:r>
      <w:r w:rsidR="00056DFA">
        <w:rPr>
          <w:rFonts w:ascii="Times New Roman" w:hAnsi="Times New Roman" w:cs="Times New Roman"/>
        </w:rPr>
        <w:t xml:space="preserve">sonucuna ulaşılmıştır. </w:t>
      </w:r>
    </w:p>
    <w:p w14:paraId="664F30FA" w14:textId="77777777" w:rsidR="0025690B" w:rsidRDefault="0025690B" w:rsidP="00411F39">
      <w:pPr>
        <w:spacing w:line="360" w:lineRule="auto"/>
        <w:jc w:val="both"/>
        <w:rPr>
          <w:rFonts w:ascii="Times New Roman" w:hAnsi="Times New Roman" w:cs="Times New Roman"/>
        </w:rPr>
      </w:pPr>
    </w:p>
    <w:p w14:paraId="5BB7D68C" w14:textId="334D5100" w:rsidR="00FA530C" w:rsidRDefault="003D5AEC" w:rsidP="00EB6E84">
      <w:pPr>
        <w:spacing w:line="360" w:lineRule="auto"/>
        <w:ind w:firstLine="720"/>
        <w:jc w:val="both"/>
        <w:rPr>
          <w:rFonts w:ascii="Times New Roman" w:hAnsi="Times New Roman" w:cs="Times New Roman"/>
        </w:rPr>
      </w:pPr>
      <w:r>
        <w:rPr>
          <w:rFonts w:ascii="Times New Roman" w:hAnsi="Times New Roman" w:cs="Times New Roman"/>
        </w:rPr>
        <w:t>Bu doğrultuda,</w:t>
      </w:r>
      <w:r w:rsidR="00813B69">
        <w:rPr>
          <w:rFonts w:ascii="Times New Roman" w:hAnsi="Times New Roman" w:cs="Times New Roman"/>
        </w:rPr>
        <w:t xml:space="preserve"> </w:t>
      </w:r>
      <w:r w:rsidR="00D95ED8">
        <w:rPr>
          <w:rFonts w:ascii="Times New Roman" w:hAnsi="Times New Roman" w:cs="Times New Roman"/>
        </w:rPr>
        <w:t xml:space="preserve">ilgili bölümdeki açıklamalar ışığında, </w:t>
      </w:r>
      <w:r w:rsidR="00FA530C">
        <w:rPr>
          <w:rFonts w:ascii="Times New Roman" w:hAnsi="Times New Roman" w:cs="Times New Roman"/>
        </w:rPr>
        <w:t>seri muhakeme usulünün kaps</w:t>
      </w:r>
      <w:r w:rsidR="00136C1B">
        <w:rPr>
          <w:rFonts w:ascii="Times New Roman" w:hAnsi="Times New Roman" w:cs="Times New Roman"/>
        </w:rPr>
        <w:t>amında yer alan suçların ağırlığı</w:t>
      </w:r>
      <w:r w:rsidR="00FA530C">
        <w:rPr>
          <w:rFonts w:ascii="Times New Roman" w:hAnsi="Times New Roman" w:cs="Times New Roman"/>
        </w:rPr>
        <w:t xml:space="preserve"> v</w:t>
      </w:r>
      <w:r w:rsidR="00136C1B">
        <w:rPr>
          <w:rFonts w:ascii="Times New Roman" w:hAnsi="Times New Roman" w:cs="Times New Roman"/>
        </w:rPr>
        <w:t>e</w:t>
      </w:r>
      <w:r w:rsidR="00D95ED8">
        <w:rPr>
          <w:rFonts w:ascii="Times New Roman" w:hAnsi="Times New Roman" w:cs="Times New Roman"/>
        </w:rPr>
        <w:t xml:space="preserve"> </w:t>
      </w:r>
      <w:r w:rsidR="007D70CB">
        <w:rPr>
          <w:rFonts w:ascii="Times New Roman" w:hAnsi="Times New Roman" w:cs="Times New Roman"/>
        </w:rPr>
        <w:t>çeşitlerinin</w:t>
      </w:r>
      <w:r w:rsidR="00D95ED8">
        <w:rPr>
          <w:rFonts w:ascii="Times New Roman" w:hAnsi="Times New Roman" w:cs="Times New Roman"/>
        </w:rPr>
        <w:t xml:space="preserve"> belirlenmesi, ikrar koşulunun</w:t>
      </w:r>
      <w:r w:rsidR="00136C1B">
        <w:rPr>
          <w:rFonts w:ascii="Times New Roman" w:hAnsi="Times New Roman" w:cs="Times New Roman"/>
        </w:rPr>
        <w:t xml:space="preserve"> </w:t>
      </w:r>
      <w:r w:rsidR="00FA530C">
        <w:rPr>
          <w:rFonts w:ascii="Times New Roman" w:hAnsi="Times New Roman" w:cs="Times New Roman"/>
        </w:rPr>
        <w:t>aranması, bu usu</w:t>
      </w:r>
      <w:r w:rsidR="00D95ED8">
        <w:rPr>
          <w:rFonts w:ascii="Times New Roman" w:hAnsi="Times New Roman" w:cs="Times New Roman"/>
        </w:rPr>
        <w:t>lün uygulanmasına engel hallerin kapsamı</w:t>
      </w:r>
      <w:r w:rsidR="00FA530C">
        <w:rPr>
          <w:rFonts w:ascii="Times New Roman" w:hAnsi="Times New Roman" w:cs="Times New Roman"/>
        </w:rPr>
        <w:t>, savcılığın cezayı belirleme</w:t>
      </w:r>
      <w:r w:rsidR="00136C1B">
        <w:rPr>
          <w:rFonts w:ascii="Times New Roman" w:hAnsi="Times New Roman" w:cs="Times New Roman"/>
        </w:rPr>
        <w:t xml:space="preserve"> yöntemi</w:t>
      </w:r>
      <w:r w:rsidR="005A58D5">
        <w:rPr>
          <w:rFonts w:ascii="Times New Roman" w:hAnsi="Times New Roman" w:cs="Times New Roman"/>
        </w:rPr>
        <w:t>, sınırları</w:t>
      </w:r>
      <w:r w:rsidR="00FA530C">
        <w:rPr>
          <w:rFonts w:ascii="Times New Roman" w:hAnsi="Times New Roman" w:cs="Times New Roman"/>
        </w:rPr>
        <w:t xml:space="preserve"> ve </w:t>
      </w:r>
      <w:r w:rsidR="00136C1B">
        <w:rPr>
          <w:rFonts w:ascii="Times New Roman" w:hAnsi="Times New Roman" w:cs="Times New Roman"/>
        </w:rPr>
        <w:t xml:space="preserve">sonuç cezada </w:t>
      </w:r>
      <w:r w:rsidR="00FA530C">
        <w:rPr>
          <w:rFonts w:ascii="Times New Roman" w:hAnsi="Times New Roman" w:cs="Times New Roman"/>
        </w:rPr>
        <w:t>indirim</w:t>
      </w:r>
      <w:r w:rsidR="00136C1B">
        <w:rPr>
          <w:rFonts w:ascii="Times New Roman" w:hAnsi="Times New Roman" w:cs="Times New Roman"/>
        </w:rPr>
        <w:t xml:space="preserve"> yapılması</w:t>
      </w:r>
      <w:r w:rsidR="00FA530C">
        <w:rPr>
          <w:rFonts w:ascii="Times New Roman" w:hAnsi="Times New Roman" w:cs="Times New Roman"/>
        </w:rPr>
        <w:t xml:space="preserve">, aleni bir duruşmaya yer verilmesi ve mağdurun katılma usulüne ilişkin düzenlemeler bakımından her iki ülkenin ceza muhakemesi sistemlerindeki yapısal farklılıkların ve kanun koyucunun </w:t>
      </w:r>
      <w:r w:rsidR="000F2F16">
        <w:rPr>
          <w:rFonts w:ascii="Times New Roman" w:hAnsi="Times New Roman" w:cs="Times New Roman"/>
        </w:rPr>
        <w:t>seri usulden beklentilerinin</w:t>
      </w:r>
      <w:r w:rsidR="00911C61">
        <w:rPr>
          <w:rFonts w:ascii="Times New Roman" w:hAnsi="Times New Roman" w:cs="Times New Roman"/>
        </w:rPr>
        <w:t xml:space="preserve"> farklılık yaratmasının olağan olduğu ifade edilebilir</w:t>
      </w:r>
      <w:r w:rsidR="00FA530C">
        <w:rPr>
          <w:rFonts w:ascii="Times New Roman" w:hAnsi="Times New Roman" w:cs="Times New Roman"/>
        </w:rPr>
        <w:t xml:space="preserve">. </w:t>
      </w:r>
      <w:r w:rsidR="007D70CB">
        <w:rPr>
          <w:rFonts w:ascii="Times New Roman" w:hAnsi="Times New Roman" w:cs="Times New Roman"/>
        </w:rPr>
        <w:t>Ancak</w:t>
      </w:r>
      <w:r w:rsidR="00911C61">
        <w:rPr>
          <w:rFonts w:ascii="Times New Roman" w:hAnsi="Times New Roman" w:cs="Times New Roman"/>
        </w:rPr>
        <w:t xml:space="preserve">, </w:t>
      </w:r>
      <w:r w:rsidR="00D95ED8">
        <w:rPr>
          <w:rFonts w:ascii="Times New Roman" w:hAnsi="Times New Roman" w:cs="Times New Roman"/>
        </w:rPr>
        <w:t>Türk hukuku</w:t>
      </w:r>
      <w:r w:rsidR="000F2F16">
        <w:rPr>
          <w:rFonts w:ascii="Times New Roman" w:hAnsi="Times New Roman" w:cs="Times New Roman"/>
        </w:rPr>
        <w:t xml:space="preserve">nda </w:t>
      </w:r>
      <w:r w:rsidR="00D95ED8">
        <w:rPr>
          <w:rFonts w:ascii="Times New Roman" w:hAnsi="Times New Roman" w:cs="Times New Roman"/>
        </w:rPr>
        <w:t>mağdurun seri</w:t>
      </w:r>
      <w:r w:rsidR="00452252">
        <w:rPr>
          <w:rFonts w:ascii="Times New Roman" w:hAnsi="Times New Roman" w:cs="Times New Roman"/>
        </w:rPr>
        <w:t xml:space="preserve"> usule katılma imkan</w:t>
      </w:r>
      <w:r w:rsidR="00911C61">
        <w:rPr>
          <w:rFonts w:ascii="Times New Roman" w:hAnsi="Times New Roman" w:cs="Times New Roman"/>
        </w:rPr>
        <w:t>ları</w:t>
      </w:r>
      <w:r w:rsidR="00452252">
        <w:rPr>
          <w:rFonts w:ascii="Times New Roman" w:hAnsi="Times New Roman" w:cs="Times New Roman"/>
        </w:rPr>
        <w:t xml:space="preserve"> ve usulü</w:t>
      </w:r>
      <w:r w:rsidR="00911C61">
        <w:rPr>
          <w:rFonts w:ascii="Times New Roman" w:hAnsi="Times New Roman" w:cs="Times New Roman"/>
        </w:rPr>
        <w:t xml:space="preserve"> ile</w:t>
      </w:r>
      <w:r w:rsidR="00D95ED8">
        <w:rPr>
          <w:rFonts w:ascii="Times New Roman" w:hAnsi="Times New Roman" w:cs="Times New Roman"/>
        </w:rPr>
        <w:t xml:space="preserve"> aleni d</w:t>
      </w:r>
      <w:r w:rsidR="00452252">
        <w:rPr>
          <w:rFonts w:ascii="Times New Roman" w:hAnsi="Times New Roman" w:cs="Times New Roman"/>
        </w:rPr>
        <w:t>uruşmanın bulunup bulunmadığı</w:t>
      </w:r>
      <w:r w:rsidR="00D95ED8">
        <w:rPr>
          <w:rFonts w:ascii="Times New Roman" w:hAnsi="Times New Roman" w:cs="Times New Roman"/>
        </w:rPr>
        <w:t xml:space="preserve"> </w:t>
      </w:r>
      <w:r w:rsidR="00452252">
        <w:rPr>
          <w:rFonts w:ascii="Times New Roman" w:hAnsi="Times New Roman" w:cs="Times New Roman"/>
        </w:rPr>
        <w:t xml:space="preserve">hususlarında kanun koyucunun </w:t>
      </w:r>
      <w:r w:rsidR="00D95ED8">
        <w:rPr>
          <w:rFonts w:ascii="Times New Roman" w:hAnsi="Times New Roman" w:cs="Times New Roman"/>
        </w:rPr>
        <w:t>Fransız hukuk</w:t>
      </w:r>
      <w:r w:rsidR="007D70CB">
        <w:rPr>
          <w:rFonts w:ascii="Times New Roman" w:hAnsi="Times New Roman" w:cs="Times New Roman"/>
        </w:rPr>
        <w:t>undakinden</w:t>
      </w:r>
      <w:r w:rsidR="00452252">
        <w:rPr>
          <w:rFonts w:ascii="Times New Roman" w:hAnsi="Times New Roman" w:cs="Times New Roman"/>
        </w:rPr>
        <w:t xml:space="preserve"> farklı y</w:t>
      </w:r>
      <w:r w:rsidR="007D70CB">
        <w:rPr>
          <w:rFonts w:ascii="Times New Roman" w:hAnsi="Times New Roman" w:cs="Times New Roman"/>
        </w:rPr>
        <w:t>aklaşımda olması</w:t>
      </w:r>
      <w:r w:rsidR="00452252">
        <w:rPr>
          <w:rFonts w:ascii="Times New Roman" w:hAnsi="Times New Roman" w:cs="Times New Roman"/>
        </w:rPr>
        <w:t xml:space="preserve"> </w:t>
      </w:r>
      <w:r w:rsidR="00D95ED8">
        <w:rPr>
          <w:rFonts w:ascii="Times New Roman" w:hAnsi="Times New Roman" w:cs="Times New Roman"/>
        </w:rPr>
        <w:t>mümkünse de</w:t>
      </w:r>
      <w:r w:rsidR="000915E6">
        <w:rPr>
          <w:rFonts w:ascii="Times New Roman" w:hAnsi="Times New Roman" w:cs="Times New Roman"/>
        </w:rPr>
        <w:t>,</w:t>
      </w:r>
      <w:r w:rsidR="00D95ED8">
        <w:rPr>
          <w:rFonts w:ascii="Times New Roman" w:hAnsi="Times New Roman" w:cs="Times New Roman"/>
        </w:rPr>
        <w:t xml:space="preserve"> mevzuatta </w:t>
      </w:r>
      <w:r w:rsidR="00452252">
        <w:rPr>
          <w:rFonts w:ascii="Times New Roman" w:hAnsi="Times New Roman" w:cs="Times New Roman"/>
        </w:rPr>
        <w:t>bu husu</w:t>
      </w:r>
      <w:r w:rsidR="00047D62">
        <w:rPr>
          <w:rFonts w:ascii="Times New Roman" w:hAnsi="Times New Roman" w:cs="Times New Roman"/>
        </w:rPr>
        <w:t xml:space="preserve">slara ilişkin </w:t>
      </w:r>
      <w:r w:rsidR="00D95ED8">
        <w:rPr>
          <w:rFonts w:ascii="Times New Roman" w:hAnsi="Times New Roman" w:cs="Times New Roman"/>
        </w:rPr>
        <w:t xml:space="preserve">açık </w:t>
      </w:r>
      <w:r w:rsidR="007D70CB">
        <w:rPr>
          <w:rFonts w:ascii="Times New Roman" w:hAnsi="Times New Roman" w:cs="Times New Roman"/>
        </w:rPr>
        <w:t>düzenlemelere</w:t>
      </w:r>
      <w:r w:rsidR="00D95ED8">
        <w:rPr>
          <w:rFonts w:ascii="Times New Roman" w:hAnsi="Times New Roman" w:cs="Times New Roman"/>
        </w:rPr>
        <w:t xml:space="preserve"> yer verilmemesinin bir eksiklik olduğunun altı çizilmelidir. </w:t>
      </w:r>
    </w:p>
    <w:p w14:paraId="1A83F7E2" w14:textId="77777777" w:rsidR="00FA530C" w:rsidRDefault="00FA530C" w:rsidP="00EB6E84">
      <w:pPr>
        <w:spacing w:line="360" w:lineRule="auto"/>
        <w:ind w:firstLine="720"/>
        <w:jc w:val="both"/>
        <w:rPr>
          <w:rFonts w:ascii="Times New Roman" w:hAnsi="Times New Roman" w:cs="Times New Roman"/>
        </w:rPr>
      </w:pPr>
    </w:p>
    <w:p w14:paraId="73B0A35E" w14:textId="1798C7A3" w:rsidR="006153B8" w:rsidRDefault="00452252" w:rsidP="00DB6E3B">
      <w:pPr>
        <w:spacing w:line="360" w:lineRule="auto"/>
        <w:ind w:firstLine="720"/>
        <w:jc w:val="both"/>
        <w:rPr>
          <w:rFonts w:ascii="Times New Roman" w:hAnsi="Times New Roman" w:cs="Times New Roman"/>
        </w:rPr>
      </w:pPr>
      <w:r>
        <w:rPr>
          <w:rFonts w:ascii="Times New Roman" w:hAnsi="Times New Roman" w:cs="Times New Roman"/>
        </w:rPr>
        <w:t xml:space="preserve">Bunun yanı sıra, </w:t>
      </w:r>
      <w:r w:rsidR="007D70CB">
        <w:rPr>
          <w:rFonts w:ascii="Times New Roman" w:hAnsi="Times New Roman" w:cs="Times New Roman"/>
        </w:rPr>
        <w:t xml:space="preserve">diğer </w:t>
      </w:r>
      <w:r>
        <w:rPr>
          <w:rFonts w:ascii="Times New Roman" w:hAnsi="Times New Roman" w:cs="Times New Roman"/>
        </w:rPr>
        <w:t xml:space="preserve">bazı hususlarda </w:t>
      </w:r>
      <w:r w:rsidR="000915E6">
        <w:rPr>
          <w:rFonts w:ascii="Times New Roman" w:hAnsi="Times New Roman" w:cs="Times New Roman"/>
        </w:rPr>
        <w:t>Türk hukukunda</w:t>
      </w:r>
      <w:r>
        <w:rPr>
          <w:rFonts w:ascii="Times New Roman" w:hAnsi="Times New Roman" w:cs="Times New Roman"/>
        </w:rPr>
        <w:t xml:space="preserve"> </w:t>
      </w:r>
      <w:r w:rsidR="00136C1B">
        <w:rPr>
          <w:rFonts w:ascii="Times New Roman" w:hAnsi="Times New Roman" w:cs="Times New Roman"/>
        </w:rPr>
        <w:t xml:space="preserve">Fransız hukukundakine </w:t>
      </w:r>
      <w:r w:rsidR="007D70CB">
        <w:rPr>
          <w:rFonts w:ascii="Times New Roman" w:hAnsi="Times New Roman" w:cs="Times New Roman"/>
        </w:rPr>
        <w:t>benzer kurallara</w:t>
      </w:r>
      <w:r w:rsidR="00DB6E3B">
        <w:rPr>
          <w:rFonts w:ascii="Times New Roman" w:hAnsi="Times New Roman" w:cs="Times New Roman"/>
        </w:rPr>
        <w:t xml:space="preserve"> yer verilmekle birlikte</w:t>
      </w:r>
      <w:r>
        <w:rPr>
          <w:rFonts w:ascii="Times New Roman" w:hAnsi="Times New Roman" w:cs="Times New Roman"/>
        </w:rPr>
        <w:t>,</w:t>
      </w:r>
      <w:r w:rsidR="00DB6E3B">
        <w:rPr>
          <w:rFonts w:ascii="Times New Roman" w:hAnsi="Times New Roman" w:cs="Times New Roman"/>
        </w:rPr>
        <w:t xml:space="preserve"> </w:t>
      </w:r>
      <w:r>
        <w:rPr>
          <w:rFonts w:ascii="Times New Roman" w:hAnsi="Times New Roman" w:cs="Times New Roman"/>
        </w:rPr>
        <w:t>bu kural</w:t>
      </w:r>
      <w:r w:rsidR="007D70CB">
        <w:rPr>
          <w:rFonts w:ascii="Times New Roman" w:hAnsi="Times New Roman" w:cs="Times New Roman"/>
        </w:rPr>
        <w:t>lar</w:t>
      </w:r>
      <w:r>
        <w:rPr>
          <w:rFonts w:ascii="Times New Roman" w:hAnsi="Times New Roman" w:cs="Times New Roman"/>
        </w:rPr>
        <w:t>ın içeriği yönünden</w:t>
      </w:r>
      <w:r w:rsidR="00DB6E3B">
        <w:rPr>
          <w:rFonts w:ascii="Times New Roman" w:hAnsi="Times New Roman" w:cs="Times New Roman"/>
        </w:rPr>
        <w:t xml:space="preserve"> </w:t>
      </w:r>
      <w:r>
        <w:rPr>
          <w:rFonts w:ascii="Times New Roman" w:hAnsi="Times New Roman" w:cs="Times New Roman"/>
        </w:rPr>
        <w:t xml:space="preserve">farklılık veya </w:t>
      </w:r>
      <w:r w:rsidR="00DB6E3B">
        <w:rPr>
          <w:rFonts w:ascii="Times New Roman" w:hAnsi="Times New Roman" w:cs="Times New Roman"/>
        </w:rPr>
        <w:t>eksik</w:t>
      </w:r>
      <w:r>
        <w:rPr>
          <w:rFonts w:ascii="Times New Roman" w:hAnsi="Times New Roman" w:cs="Times New Roman"/>
        </w:rPr>
        <w:t xml:space="preserve">liklerin </w:t>
      </w:r>
      <w:r w:rsidR="00DB6E3B">
        <w:rPr>
          <w:rFonts w:ascii="Times New Roman" w:hAnsi="Times New Roman" w:cs="Times New Roman"/>
        </w:rPr>
        <w:t>bulunduğu tespit edilmiştir. Bu kapsamda</w:t>
      </w:r>
      <w:r w:rsidR="00136C1B">
        <w:rPr>
          <w:rFonts w:ascii="Times New Roman" w:hAnsi="Times New Roman" w:cs="Times New Roman"/>
        </w:rPr>
        <w:t>,</w:t>
      </w:r>
      <w:r w:rsidR="00DB6E3B">
        <w:rPr>
          <w:rFonts w:ascii="Times New Roman" w:hAnsi="Times New Roman" w:cs="Times New Roman"/>
        </w:rPr>
        <w:t xml:space="preserve"> müdafiin bulunması zorunluluğu, savcının talebini</w:t>
      </w:r>
      <w:r w:rsidR="00136C1B">
        <w:rPr>
          <w:rFonts w:ascii="Times New Roman" w:hAnsi="Times New Roman" w:cs="Times New Roman"/>
        </w:rPr>
        <w:t>n</w:t>
      </w:r>
      <w:r w:rsidR="00DB6E3B">
        <w:rPr>
          <w:rFonts w:ascii="Times New Roman" w:hAnsi="Times New Roman" w:cs="Times New Roman"/>
        </w:rPr>
        <w:t xml:space="preserve"> hakim önünde denetime tabi tutulması, hakimin talebi onay</w:t>
      </w:r>
      <w:r w:rsidR="00136C1B">
        <w:rPr>
          <w:rFonts w:ascii="Times New Roman" w:hAnsi="Times New Roman" w:cs="Times New Roman"/>
        </w:rPr>
        <w:t>lama</w:t>
      </w:r>
      <w:r w:rsidR="00DB6E3B">
        <w:rPr>
          <w:rFonts w:ascii="Times New Roman" w:hAnsi="Times New Roman" w:cs="Times New Roman"/>
        </w:rPr>
        <w:t xml:space="preserve"> zorunluluğunun olmaması, kanun yoluna başvuru imkanı her iki hukuk sisteminde de yer verilen hususlardır. Bu yönüyle </w:t>
      </w:r>
      <w:r w:rsidR="00136C1B">
        <w:rPr>
          <w:rFonts w:ascii="Times New Roman" w:hAnsi="Times New Roman" w:cs="Times New Roman"/>
        </w:rPr>
        <w:t xml:space="preserve">düzenlemelerin </w:t>
      </w:r>
      <w:r w:rsidR="00390656">
        <w:rPr>
          <w:rFonts w:ascii="Times New Roman" w:hAnsi="Times New Roman" w:cs="Times New Roman"/>
        </w:rPr>
        <w:t>özellikle AİHM içtihadı ve anılan Avrupa Konseyi Tavsiye Kararı’nda</w:t>
      </w:r>
      <w:r w:rsidR="005325FA">
        <w:rPr>
          <w:rFonts w:ascii="Times New Roman" w:hAnsi="Times New Roman" w:cs="Times New Roman"/>
        </w:rPr>
        <w:t xml:space="preserve"> </w:t>
      </w:r>
      <w:r w:rsidR="00DB6E3B">
        <w:rPr>
          <w:rFonts w:ascii="Times New Roman" w:hAnsi="Times New Roman" w:cs="Times New Roman"/>
        </w:rPr>
        <w:t>vurgulanan koşulları sağlamaya yönelik olduğu görülmektedir. Ancak anılan hususlardaki düzenlemelerin içeriği</w:t>
      </w:r>
      <w:r w:rsidR="007D70CB">
        <w:rPr>
          <w:rFonts w:ascii="Times New Roman" w:hAnsi="Times New Roman" w:cs="Times New Roman"/>
        </w:rPr>
        <w:t xml:space="preserve">ne bakıldığında, Türk hukukundaki hükümlerin </w:t>
      </w:r>
      <w:r w:rsidR="000F2F16">
        <w:rPr>
          <w:rFonts w:ascii="Times New Roman" w:hAnsi="Times New Roman" w:cs="Times New Roman"/>
        </w:rPr>
        <w:t xml:space="preserve">AİHM ve Avrupa Konseyi kararında şüphelinin </w:t>
      </w:r>
      <w:r w:rsidR="00813B69">
        <w:rPr>
          <w:rFonts w:ascii="Times New Roman" w:hAnsi="Times New Roman" w:cs="Times New Roman"/>
        </w:rPr>
        <w:t>iradesi</w:t>
      </w:r>
      <w:r w:rsidR="00A339EE">
        <w:rPr>
          <w:rFonts w:ascii="Times New Roman" w:hAnsi="Times New Roman" w:cs="Times New Roman"/>
        </w:rPr>
        <w:t>ne</w:t>
      </w:r>
      <w:r w:rsidR="00813B69">
        <w:rPr>
          <w:rFonts w:ascii="Times New Roman" w:hAnsi="Times New Roman" w:cs="Times New Roman"/>
        </w:rPr>
        <w:t xml:space="preserve"> ve</w:t>
      </w:r>
      <w:r w:rsidR="000F2F16">
        <w:rPr>
          <w:rFonts w:ascii="Times New Roman" w:hAnsi="Times New Roman" w:cs="Times New Roman"/>
        </w:rPr>
        <w:t>ya</w:t>
      </w:r>
      <w:r w:rsidR="00813B69">
        <w:rPr>
          <w:rFonts w:ascii="Times New Roman" w:hAnsi="Times New Roman" w:cs="Times New Roman"/>
        </w:rPr>
        <w:t xml:space="preserve"> karşılıklı anlaşmaya dayalı alternatif usu</w:t>
      </w:r>
      <w:r w:rsidR="00A339EE">
        <w:rPr>
          <w:rFonts w:ascii="Times New Roman" w:hAnsi="Times New Roman" w:cs="Times New Roman"/>
        </w:rPr>
        <w:t xml:space="preserve">llerin adil yargılanma hakkını </w:t>
      </w:r>
      <w:r w:rsidR="00813B69">
        <w:rPr>
          <w:rFonts w:ascii="Times New Roman" w:hAnsi="Times New Roman" w:cs="Times New Roman"/>
        </w:rPr>
        <w:t>ihla</w:t>
      </w:r>
      <w:r w:rsidR="0038003A">
        <w:rPr>
          <w:rFonts w:ascii="Times New Roman" w:hAnsi="Times New Roman" w:cs="Times New Roman"/>
        </w:rPr>
        <w:t xml:space="preserve">l etmemesi için </w:t>
      </w:r>
      <w:r w:rsidR="00A72272">
        <w:rPr>
          <w:rFonts w:ascii="Times New Roman" w:hAnsi="Times New Roman" w:cs="Times New Roman"/>
        </w:rPr>
        <w:t xml:space="preserve">aranan </w:t>
      </w:r>
      <w:r w:rsidR="00DB6E3B">
        <w:rPr>
          <w:rFonts w:ascii="Times New Roman" w:hAnsi="Times New Roman" w:cs="Times New Roman"/>
        </w:rPr>
        <w:t>koşulları sağlamakta yetersiz</w:t>
      </w:r>
      <w:r w:rsidR="00136C1B">
        <w:rPr>
          <w:rFonts w:ascii="Times New Roman" w:hAnsi="Times New Roman" w:cs="Times New Roman"/>
        </w:rPr>
        <w:t xml:space="preserve"> olduğu sonucuna ulaşı</w:t>
      </w:r>
      <w:r w:rsidR="00963145">
        <w:rPr>
          <w:rFonts w:ascii="Times New Roman" w:hAnsi="Times New Roman" w:cs="Times New Roman"/>
        </w:rPr>
        <w:t>lmaktadır.</w:t>
      </w:r>
      <w:r w:rsidR="00A72272">
        <w:rPr>
          <w:rFonts w:ascii="Times New Roman" w:hAnsi="Times New Roman" w:cs="Times New Roman"/>
        </w:rPr>
        <w:t xml:space="preserve"> Bu kapsamda </w:t>
      </w:r>
      <w:r w:rsidR="00963145">
        <w:rPr>
          <w:rFonts w:ascii="Times New Roman" w:hAnsi="Times New Roman" w:cs="Times New Roman"/>
        </w:rPr>
        <w:t>m</w:t>
      </w:r>
      <w:r w:rsidR="00136C1B">
        <w:rPr>
          <w:rFonts w:ascii="Times New Roman" w:hAnsi="Times New Roman" w:cs="Times New Roman"/>
        </w:rPr>
        <w:t xml:space="preserve">üdafiin hazır bulunması zorunluluğu </w:t>
      </w:r>
      <w:r w:rsidR="009E1A2A">
        <w:rPr>
          <w:rFonts w:ascii="Times New Roman" w:hAnsi="Times New Roman" w:cs="Times New Roman"/>
        </w:rPr>
        <w:t>Fransız hukukundan farklı olarak,</w:t>
      </w:r>
      <w:r w:rsidR="00390656">
        <w:rPr>
          <w:rFonts w:ascii="Times New Roman" w:hAnsi="Times New Roman" w:cs="Times New Roman"/>
        </w:rPr>
        <w:t xml:space="preserve"> CMK’de</w:t>
      </w:r>
      <w:r w:rsidR="009E1A2A">
        <w:rPr>
          <w:rFonts w:ascii="Times New Roman" w:hAnsi="Times New Roman" w:cs="Times New Roman"/>
        </w:rPr>
        <w:t xml:space="preserve"> </w:t>
      </w:r>
      <w:r w:rsidR="005725AB">
        <w:rPr>
          <w:rFonts w:ascii="Times New Roman" w:hAnsi="Times New Roman" w:cs="Times New Roman"/>
        </w:rPr>
        <w:t>bilgilendirme veya teklif aşamasını kapsayaca</w:t>
      </w:r>
      <w:r w:rsidR="00136C1B">
        <w:rPr>
          <w:rFonts w:ascii="Times New Roman" w:hAnsi="Times New Roman" w:cs="Times New Roman"/>
        </w:rPr>
        <w:t>k şekilde ifade edilmemiş</w:t>
      </w:r>
      <w:r w:rsidR="005725AB">
        <w:rPr>
          <w:rFonts w:ascii="Times New Roman" w:hAnsi="Times New Roman" w:cs="Times New Roman"/>
        </w:rPr>
        <w:t>, müdafiin dosyaya erişimi veya bu usuldeki yetkilerinin kapsamı ile ilgili özel dü</w:t>
      </w:r>
      <w:r w:rsidR="00056DFA">
        <w:rPr>
          <w:rFonts w:ascii="Times New Roman" w:hAnsi="Times New Roman" w:cs="Times New Roman"/>
        </w:rPr>
        <w:t>z</w:t>
      </w:r>
      <w:r w:rsidR="005325FA">
        <w:rPr>
          <w:rFonts w:ascii="Times New Roman" w:hAnsi="Times New Roman" w:cs="Times New Roman"/>
        </w:rPr>
        <w:t>enlemeye yer verilmemiş</w:t>
      </w:r>
      <w:r w:rsidR="00136C1B">
        <w:rPr>
          <w:rFonts w:ascii="Times New Roman" w:hAnsi="Times New Roman" w:cs="Times New Roman"/>
        </w:rPr>
        <w:t xml:space="preserve">tir. </w:t>
      </w:r>
      <w:r w:rsidR="00047D62">
        <w:rPr>
          <w:rFonts w:ascii="Times New Roman" w:hAnsi="Times New Roman" w:cs="Times New Roman"/>
        </w:rPr>
        <w:t xml:space="preserve">Yine </w:t>
      </w:r>
      <w:r w:rsidR="00716688">
        <w:rPr>
          <w:rFonts w:ascii="Times New Roman" w:hAnsi="Times New Roman" w:cs="Times New Roman"/>
        </w:rPr>
        <w:t>Türk hukukundaki usulde</w:t>
      </w:r>
      <w:r w:rsidR="00963145">
        <w:rPr>
          <w:rFonts w:ascii="Times New Roman" w:hAnsi="Times New Roman" w:cs="Times New Roman"/>
        </w:rPr>
        <w:t xml:space="preserve"> y</w:t>
      </w:r>
      <w:r w:rsidR="00A0771A">
        <w:rPr>
          <w:rFonts w:ascii="Times New Roman" w:hAnsi="Times New Roman" w:cs="Times New Roman"/>
        </w:rPr>
        <w:t xml:space="preserve">argısal denetime </w:t>
      </w:r>
      <w:r w:rsidR="00963145">
        <w:rPr>
          <w:rFonts w:ascii="Times New Roman" w:hAnsi="Times New Roman" w:cs="Times New Roman"/>
        </w:rPr>
        <w:t xml:space="preserve">yer verilmiş </w:t>
      </w:r>
      <w:r w:rsidR="00A0771A">
        <w:rPr>
          <w:rFonts w:ascii="Times New Roman" w:hAnsi="Times New Roman" w:cs="Times New Roman"/>
        </w:rPr>
        <w:t>olmasına rağmen, Fransız hukukundan farklı olarak hakimin savcının ta</w:t>
      </w:r>
      <w:r w:rsidR="00963145">
        <w:rPr>
          <w:rFonts w:ascii="Times New Roman" w:hAnsi="Times New Roman" w:cs="Times New Roman"/>
        </w:rPr>
        <w:t>lepnamesini denetleme yetkisi</w:t>
      </w:r>
      <w:r w:rsidR="00A0771A">
        <w:rPr>
          <w:rFonts w:ascii="Times New Roman" w:hAnsi="Times New Roman" w:cs="Times New Roman"/>
        </w:rPr>
        <w:t xml:space="preserve"> Yönetmelik’te gösterilen hu</w:t>
      </w:r>
      <w:r w:rsidR="00963145">
        <w:rPr>
          <w:rFonts w:ascii="Times New Roman" w:hAnsi="Times New Roman" w:cs="Times New Roman"/>
        </w:rPr>
        <w:t xml:space="preserve">suslarla </w:t>
      </w:r>
      <w:r w:rsidR="007D70CB">
        <w:rPr>
          <w:rFonts w:ascii="Times New Roman" w:hAnsi="Times New Roman" w:cs="Times New Roman"/>
        </w:rPr>
        <w:t xml:space="preserve">geniş ölçüde </w:t>
      </w:r>
      <w:r w:rsidR="00963145">
        <w:rPr>
          <w:rFonts w:ascii="Times New Roman" w:hAnsi="Times New Roman" w:cs="Times New Roman"/>
        </w:rPr>
        <w:t xml:space="preserve">sınırlandırılmış </w:t>
      </w:r>
      <w:r w:rsidR="000915E6">
        <w:rPr>
          <w:rFonts w:ascii="Times New Roman" w:hAnsi="Times New Roman" w:cs="Times New Roman"/>
        </w:rPr>
        <w:t>ve</w:t>
      </w:r>
      <w:r w:rsidR="00A0771A">
        <w:rPr>
          <w:rFonts w:ascii="Times New Roman" w:hAnsi="Times New Roman" w:cs="Times New Roman"/>
        </w:rPr>
        <w:t xml:space="preserve"> </w:t>
      </w:r>
      <w:r w:rsidR="00A72272">
        <w:rPr>
          <w:rFonts w:ascii="Times New Roman" w:hAnsi="Times New Roman" w:cs="Times New Roman"/>
        </w:rPr>
        <w:t>denetim yetkisinin içeriğine ilişki</w:t>
      </w:r>
      <w:r w:rsidR="007D70CB">
        <w:rPr>
          <w:rFonts w:ascii="Times New Roman" w:hAnsi="Times New Roman" w:cs="Times New Roman"/>
        </w:rPr>
        <w:t>n bazı hususlar Kanun metni yerine Gerekçe’ye</w:t>
      </w:r>
      <w:r w:rsidR="00A72272">
        <w:rPr>
          <w:rFonts w:ascii="Times New Roman" w:hAnsi="Times New Roman" w:cs="Times New Roman"/>
        </w:rPr>
        <w:t xml:space="preserve"> </w:t>
      </w:r>
      <w:r w:rsidR="000915E6">
        <w:rPr>
          <w:rFonts w:ascii="Times New Roman" w:hAnsi="Times New Roman" w:cs="Times New Roman"/>
        </w:rPr>
        <w:t>bırakılmış</w:t>
      </w:r>
      <w:r w:rsidR="00282064">
        <w:rPr>
          <w:rFonts w:ascii="Times New Roman" w:hAnsi="Times New Roman" w:cs="Times New Roman"/>
        </w:rPr>
        <w:t xml:space="preserve">tır. Ayrıca </w:t>
      </w:r>
      <w:r w:rsidR="00A0771A">
        <w:rPr>
          <w:rFonts w:ascii="Times New Roman" w:hAnsi="Times New Roman" w:cs="Times New Roman"/>
        </w:rPr>
        <w:t>cezanın orantılılığı, cezanın somut olayla ve failin kişiliğiyle temellendirilmiş olup</w:t>
      </w:r>
      <w:r w:rsidR="00963145">
        <w:rPr>
          <w:rFonts w:ascii="Times New Roman" w:hAnsi="Times New Roman" w:cs="Times New Roman"/>
        </w:rPr>
        <w:t xml:space="preserve"> olmadığı</w:t>
      </w:r>
      <w:r w:rsidR="00716688">
        <w:rPr>
          <w:rFonts w:ascii="Times New Roman" w:hAnsi="Times New Roman" w:cs="Times New Roman"/>
        </w:rPr>
        <w:t xml:space="preserve"> </w:t>
      </w:r>
      <w:r w:rsidR="00963145">
        <w:rPr>
          <w:rFonts w:ascii="Times New Roman" w:hAnsi="Times New Roman" w:cs="Times New Roman"/>
        </w:rPr>
        <w:t xml:space="preserve">konularını içermemektedir. </w:t>
      </w:r>
      <w:r w:rsidR="007D70CB">
        <w:rPr>
          <w:rFonts w:ascii="Times New Roman" w:hAnsi="Times New Roman" w:cs="Times New Roman"/>
        </w:rPr>
        <w:t xml:space="preserve">Bu hususlarda </w:t>
      </w:r>
      <w:r w:rsidR="00A0771A">
        <w:rPr>
          <w:rFonts w:ascii="Times New Roman" w:hAnsi="Times New Roman" w:cs="Times New Roman"/>
        </w:rPr>
        <w:t>Fransız hukukunda</w:t>
      </w:r>
      <w:r w:rsidR="00047D62">
        <w:rPr>
          <w:rFonts w:ascii="Times New Roman" w:hAnsi="Times New Roman" w:cs="Times New Roman"/>
        </w:rPr>
        <w:t>ki düzenlemelerden ayrıl</w:t>
      </w:r>
      <w:r w:rsidR="00963145">
        <w:rPr>
          <w:rFonts w:ascii="Times New Roman" w:hAnsi="Times New Roman" w:cs="Times New Roman"/>
        </w:rPr>
        <w:t>ması,</w:t>
      </w:r>
      <w:r w:rsidR="00A0771A">
        <w:rPr>
          <w:rFonts w:ascii="Times New Roman" w:hAnsi="Times New Roman" w:cs="Times New Roman"/>
        </w:rPr>
        <w:t xml:space="preserve"> adil yargılanma hakkının sağlanması için aranan koşullar kapsamında</w:t>
      </w:r>
      <w:r w:rsidR="00282064">
        <w:rPr>
          <w:rFonts w:ascii="Times New Roman" w:hAnsi="Times New Roman" w:cs="Times New Roman"/>
        </w:rPr>
        <w:t xml:space="preserve"> olan</w:t>
      </w:r>
      <w:r w:rsidR="00612770">
        <w:rPr>
          <w:rFonts w:ascii="Times New Roman" w:hAnsi="Times New Roman" w:cs="Times New Roman"/>
        </w:rPr>
        <w:t xml:space="preserve"> </w:t>
      </w:r>
      <w:r w:rsidR="00A0771A">
        <w:rPr>
          <w:rFonts w:ascii="Times New Roman" w:hAnsi="Times New Roman" w:cs="Times New Roman"/>
        </w:rPr>
        <w:t>şüphelinin bu usulü yeterince aydınlatılmış olarak ve özgür</w:t>
      </w:r>
      <w:r w:rsidR="00963145">
        <w:rPr>
          <w:rFonts w:ascii="Times New Roman" w:hAnsi="Times New Roman" w:cs="Times New Roman"/>
        </w:rPr>
        <w:t xml:space="preserve"> iradesiyle kabul etmiş olması</w:t>
      </w:r>
      <w:r w:rsidR="00A0771A">
        <w:rPr>
          <w:rFonts w:ascii="Times New Roman" w:hAnsi="Times New Roman" w:cs="Times New Roman"/>
        </w:rPr>
        <w:t xml:space="preserve">, yeterli yargısal </w:t>
      </w:r>
      <w:r w:rsidR="00963145">
        <w:rPr>
          <w:rFonts w:ascii="Times New Roman" w:hAnsi="Times New Roman" w:cs="Times New Roman"/>
        </w:rPr>
        <w:t>denetimin tesis edilmiş olması</w:t>
      </w:r>
      <w:r w:rsidR="00A0771A">
        <w:rPr>
          <w:rFonts w:ascii="Times New Roman" w:hAnsi="Times New Roman" w:cs="Times New Roman"/>
        </w:rPr>
        <w:t xml:space="preserve">, şüphelinin verilere erişimi ile müdafiden </w:t>
      </w:r>
      <w:r w:rsidR="00963145">
        <w:rPr>
          <w:rFonts w:ascii="Times New Roman" w:hAnsi="Times New Roman" w:cs="Times New Roman"/>
        </w:rPr>
        <w:t xml:space="preserve">yararlanma hakkının sağlanması </w:t>
      </w:r>
      <w:r w:rsidR="000915E6">
        <w:rPr>
          <w:rFonts w:ascii="Times New Roman" w:hAnsi="Times New Roman" w:cs="Times New Roman"/>
        </w:rPr>
        <w:t>gibi</w:t>
      </w:r>
      <w:r w:rsidR="00963145">
        <w:rPr>
          <w:rFonts w:ascii="Times New Roman" w:hAnsi="Times New Roman" w:cs="Times New Roman"/>
        </w:rPr>
        <w:t xml:space="preserve"> güvenceleri etkisiz bırakmaktadır.</w:t>
      </w:r>
      <w:r w:rsidR="00A0771A">
        <w:rPr>
          <w:rFonts w:ascii="Times New Roman" w:hAnsi="Times New Roman" w:cs="Times New Roman"/>
        </w:rPr>
        <w:t xml:space="preserve"> CMK hükümlerinin içeriğinin bu hususlarda eksik veya muğla</w:t>
      </w:r>
      <w:r w:rsidR="00282064">
        <w:rPr>
          <w:rFonts w:ascii="Times New Roman" w:hAnsi="Times New Roman" w:cs="Times New Roman"/>
        </w:rPr>
        <w:t>k olması</w:t>
      </w:r>
      <w:r w:rsidR="00A0771A">
        <w:rPr>
          <w:rFonts w:ascii="Times New Roman" w:hAnsi="Times New Roman" w:cs="Times New Roman"/>
        </w:rPr>
        <w:t xml:space="preserve"> </w:t>
      </w:r>
      <w:r w:rsidR="00963145">
        <w:rPr>
          <w:rFonts w:ascii="Times New Roman" w:hAnsi="Times New Roman" w:cs="Times New Roman"/>
        </w:rPr>
        <w:t xml:space="preserve">yargısal </w:t>
      </w:r>
      <w:r w:rsidR="00716688">
        <w:rPr>
          <w:rFonts w:ascii="Times New Roman" w:hAnsi="Times New Roman" w:cs="Times New Roman"/>
        </w:rPr>
        <w:t>faaliyeti</w:t>
      </w:r>
      <w:r w:rsidR="00963145">
        <w:rPr>
          <w:rFonts w:ascii="Times New Roman" w:hAnsi="Times New Roman" w:cs="Times New Roman"/>
        </w:rPr>
        <w:t xml:space="preserve"> zayıflatarak savcılığın </w:t>
      </w:r>
      <w:r w:rsidR="007D70CB">
        <w:rPr>
          <w:rFonts w:ascii="Times New Roman" w:hAnsi="Times New Roman" w:cs="Times New Roman"/>
        </w:rPr>
        <w:t>rolünün</w:t>
      </w:r>
      <w:r w:rsidR="00963145">
        <w:rPr>
          <w:rFonts w:ascii="Times New Roman" w:hAnsi="Times New Roman" w:cs="Times New Roman"/>
        </w:rPr>
        <w:t xml:space="preserve"> öne çıkmasına </w:t>
      </w:r>
      <w:r w:rsidR="00282064">
        <w:rPr>
          <w:rFonts w:ascii="Times New Roman" w:hAnsi="Times New Roman" w:cs="Times New Roman"/>
        </w:rPr>
        <w:t xml:space="preserve">da </w:t>
      </w:r>
      <w:r w:rsidR="00963145">
        <w:rPr>
          <w:rFonts w:ascii="Times New Roman" w:hAnsi="Times New Roman" w:cs="Times New Roman"/>
        </w:rPr>
        <w:t xml:space="preserve">yol açmaktadır. </w:t>
      </w:r>
      <w:r w:rsidR="00282064">
        <w:rPr>
          <w:rFonts w:ascii="Times New Roman" w:hAnsi="Times New Roman" w:cs="Times New Roman"/>
        </w:rPr>
        <w:t>Etkin bir yargısal</w:t>
      </w:r>
      <w:r w:rsidR="00E45E24">
        <w:rPr>
          <w:rFonts w:ascii="Times New Roman" w:hAnsi="Times New Roman" w:cs="Times New Roman"/>
        </w:rPr>
        <w:t xml:space="preserve"> d</w:t>
      </w:r>
      <w:r w:rsidR="00282064">
        <w:rPr>
          <w:rFonts w:ascii="Times New Roman" w:hAnsi="Times New Roman" w:cs="Times New Roman"/>
        </w:rPr>
        <w:t>enetimin sağlanabilmesi için</w:t>
      </w:r>
      <w:r w:rsidR="00963145">
        <w:rPr>
          <w:rFonts w:ascii="Times New Roman" w:hAnsi="Times New Roman" w:cs="Times New Roman"/>
        </w:rPr>
        <w:t xml:space="preserve"> </w:t>
      </w:r>
      <w:r w:rsidR="004D251C">
        <w:rPr>
          <w:rFonts w:ascii="Times New Roman" w:hAnsi="Times New Roman" w:cs="Times New Roman"/>
        </w:rPr>
        <w:t xml:space="preserve">AİHM </w:t>
      </w:r>
      <w:r w:rsidR="00872656">
        <w:rPr>
          <w:rFonts w:ascii="Times New Roman" w:hAnsi="Times New Roman" w:cs="Times New Roman"/>
        </w:rPr>
        <w:t>içtihadında</w:t>
      </w:r>
      <w:r w:rsidR="004D251C">
        <w:rPr>
          <w:rFonts w:ascii="Times New Roman" w:hAnsi="Times New Roman" w:cs="Times New Roman"/>
        </w:rPr>
        <w:t xml:space="preserve"> da vurgulandığı üzere</w:t>
      </w:r>
      <w:r w:rsidR="00963145">
        <w:rPr>
          <w:rFonts w:ascii="Times New Roman" w:hAnsi="Times New Roman" w:cs="Times New Roman"/>
        </w:rPr>
        <w:t>,</w:t>
      </w:r>
      <w:r w:rsidR="004D251C">
        <w:rPr>
          <w:rFonts w:ascii="Times New Roman" w:hAnsi="Times New Roman" w:cs="Times New Roman"/>
        </w:rPr>
        <w:t xml:space="preserve"> cezanın y</w:t>
      </w:r>
      <w:r w:rsidR="00872656">
        <w:rPr>
          <w:rFonts w:ascii="Times New Roman" w:hAnsi="Times New Roman" w:cs="Times New Roman"/>
        </w:rPr>
        <w:t xml:space="preserve">erindeliğinin </w:t>
      </w:r>
      <w:r w:rsidR="00282064">
        <w:rPr>
          <w:rFonts w:ascii="Times New Roman" w:hAnsi="Times New Roman" w:cs="Times New Roman"/>
        </w:rPr>
        <w:t>ve</w:t>
      </w:r>
      <w:r w:rsidR="00872656">
        <w:rPr>
          <w:rFonts w:ascii="Times New Roman" w:hAnsi="Times New Roman" w:cs="Times New Roman"/>
        </w:rPr>
        <w:t xml:space="preserve"> </w:t>
      </w:r>
      <w:r w:rsidR="004B6B34">
        <w:rPr>
          <w:rFonts w:ascii="Times New Roman" w:hAnsi="Times New Roman" w:cs="Times New Roman"/>
        </w:rPr>
        <w:t>şüpheli</w:t>
      </w:r>
      <w:r w:rsidR="00872656">
        <w:rPr>
          <w:rFonts w:ascii="Times New Roman" w:hAnsi="Times New Roman" w:cs="Times New Roman"/>
        </w:rPr>
        <w:t xml:space="preserve"> hakkındaki suçlamanın yeterli delille desteklenmiş olmasını</w:t>
      </w:r>
      <w:r w:rsidR="00963145">
        <w:rPr>
          <w:rFonts w:ascii="Times New Roman" w:hAnsi="Times New Roman" w:cs="Times New Roman"/>
        </w:rPr>
        <w:t xml:space="preserve">n </w:t>
      </w:r>
      <w:r w:rsidR="00E45E24">
        <w:rPr>
          <w:rFonts w:ascii="Times New Roman" w:hAnsi="Times New Roman" w:cs="Times New Roman"/>
        </w:rPr>
        <w:t>da denetim kapsamına alınması yerinde olacaktır.</w:t>
      </w:r>
      <w:r w:rsidR="00963145">
        <w:rPr>
          <w:rFonts w:ascii="Times New Roman" w:hAnsi="Times New Roman" w:cs="Times New Roman"/>
        </w:rPr>
        <w:t xml:space="preserve"> </w:t>
      </w:r>
      <w:r w:rsidR="00872656">
        <w:rPr>
          <w:rFonts w:ascii="Times New Roman" w:hAnsi="Times New Roman" w:cs="Times New Roman"/>
        </w:rPr>
        <w:t>Etkin ve yeterli bir yargısal denetimden söz edilebilmesi için seri usulde savcılığa devredilen yargısal yetkilerin aslen mahkemelere ait olduğunun göz ardı edil</w:t>
      </w:r>
      <w:r w:rsidR="001F1D0B">
        <w:rPr>
          <w:rFonts w:ascii="Times New Roman" w:hAnsi="Times New Roman" w:cs="Times New Roman"/>
        </w:rPr>
        <w:t>emeyeceği</w:t>
      </w:r>
      <w:r w:rsidR="00872656">
        <w:rPr>
          <w:rFonts w:ascii="Times New Roman" w:hAnsi="Times New Roman" w:cs="Times New Roman"/>
        </w:rPr>
        <w:t xml:space="preserve"> bir denetim yetkisi tanınması zorunludur. </w:t>
      </w:r>
      <w:r w:rsidR="00CA2A1B">
        <w:rPr>
          <w:rFonts w:ascii="Times New Roman" w:hAnsi="Times New Roman" w:cs="Times New Roman"/>
        </w:rPr>
        <w:t xml:space="preserve">Çalışmada karşılaştırılan düzenlemelere ve sonuçlarına bakıldığında, </w:t>
      </w:r>
      <w:r w:rsidR="00612770">
        <w:rPr>
          <w:rFonts w:ascii="Times New Roman" w:hAnsi="Times New Roman" w:cs="Times New Roman"/>
        </w:rPr>
        <w:t xml:space="preserve">Türk hukukunda adil yargılanma hakkı ve ceza muhakemesinin temel ilkelerinin sağladığı güvenceleri </w:t>
      </w:r>
      <w:r w:rsidR="00255A08">
        <w:rPr>
          <w:rFonts w:ascii="Times New Roman" w:hAnsi="Times New Roman" w:cs="Times New Roman"/>
        </w:rPr>
        <w:t>ortadan kaldırmayan etkin bir alternatif tes</w:t>
      </w:r>
      <w:r w:rsidR="00CA2A1B">
        <w:rPr>
          <w:rFonts w:ascii="Times New Roman" w:hAnsi="Times New Roman" w:cs="Times New Roman"/>
        </w:rPr>
        <w:t xml:space="preserve">is edilebilmesi için, mevzuattaki </w:t>
      </w:r>
      <w:r w:rsidR="00255A08">
        <w:rPr>
          <w:rFonts w:ascii="Times New Roman" w:hAnsi="Times New Roman" w:cs="Times New Roman"/>
        </w:rPr>
        <w:t>düzenlemelerin çizdiği genel çerçevenin içeriğinin</w:t>
      </w:r>
      <w:r w:rsidR="006C346D">
        <w:rPr>
          <w:rFonts w:ascii="Times New Roman" w:hAnsi="Times New Roman" w:cs="Times New Roman"/>
        </w:rPr>
        <w:t xml:space="preserve"> </w:t>
      </w:r>
      <w:r w:rsidR="00255A08">
        <w:rPr>
          <w:rFonts w:ascii="Times New Roman" w:hAnsi="Times New Roman" w:cs="Times New Roman"/>
        </w:rPr>
        <w:t>daha açık</w:t>
      </w:r>
      <w:r w:rsidR="00260F44">
        <w:rPr>
          <w:rFonts w:ascii="Times New Roman" w:hAnsi="Times New Roman" w:cs="Times New Roman"/>
        </w:rPr>
        <w:t>, anlaşılır</w:t>
      </w:r>
      <w:r w:rsidR="00255A08">
        <w:rPr>
          <w:rFonts w:ascii="Times New Roman" w:hAnsi="Times New Roman" w:cs="Times New Roman"/>
        </w:rPr>
        <w:t xml:space="preserve"> ve kapsamlı olarak düzenlenmesinin gerektiği ifade edilmelidir. </w:t>
      </w:r>
    </w:p>
    <w:p w14:paraId="77431CEB" w14:textId="77777777" w:rsidR="005B05B4" w:rsidRDefault="005B05B4" w:rsidP="00047D62">
      <w:pPr>
        <w:spacing w:line="360" w:lineRule="auto"/>
        <w:jc w:val="both"/>
        <w:rPr>
          <w:rFonts w:ascii="Times New Roman" w:hAnsi="Times New Roman" w:cs="Times New Roman"/>
        </w:rPr>
      </w:pPr>
    </w:p>
    <w:p w14:paraId="45C5EAD7" w14:textId="2124C9CD" w:rsidR="004A6C37" w:rsidRDefault="00612770" w:rsidP="00FB25AE">
      <w:pPr>
        <w:spacing w:line="360" w:lineRule="auto"/>
        <w:ind w:firstLine="720"/>
        <w:jc w:val="both"/>
        <w:rPr>
          <w:rFonts w:ascii="Times New Roman" w:hAnsi="Times New Roman" w:cs="Times New Roman"/>
        </w:rPr>
      </w:pPr>
      <w:r>
        <w:rPr>
          <w:rFonts w:ascii="Times New Roman" w:hAnsi="Times New Roman" w:cs="Times New Roman"/>
        </w:rPr>
        <w:t>S</w:t>
      </w:r>
      <w:r w:rsidR="00716688">
        <w:rPr>
          <w:rFonts w:ascii="Times New Roman" w:hAnsi="Times New Roman" w:cs="Times New Roman"/>
        </w:rPr>
        <w:t>on olarak, s</w:t>
      </w:r>
      <w:r w:rsidR="0038003A">
        <w:rPr>
          <w:rFonts w:ascii="Times New Roman" w:hAnsi="Times New Roman" w:cs="Times New Roman"/>
        </w:rPr>
        <w:t xml:space="preserve">eri </w:t>
      </w:r>
      <w:r w:rsidR="006153B8">
        <w:rPr>
          <w:rFonts w:ascii="Times New Roman" w:hAnsi="Times New Roman" w:cs="Times New Roman"/>
        </w:rPr>
        <w:t xml:space="preserve">muhakeme usulünde </w:t>
      </w:r>
      <w:r w:rsidR="00A430FB">
        <w:rPr>
          <w:rFonts w:ascii="Times New Roman" w:hAnsi="Times New Roman" w:cs="Times New Roman"/>
        </w:rPr>
        <w:t xml:space="preserve">Fransız hukukundan farklı olarak </w:t>
      </w:r>
      <w:r w:rsidR="00654CE9">
        <w:rPr>
          <w:rFonts w:ascii="Times New Roman" w:hAnsi="Times New Roman" w:cs="Times New Roman"/>
        </w:rPr>
        <w:t>ge</w:t>
      </w:r>
      <w:r w:rsidR="008A7FCF">
        <w:rPr>
          <w:rFonts w:ascii="Times New Roman" w:hAnsi="Times New Roman" w:cs="Times New Roman"/>
        </w:rPr>
        <w:t xml:space="preserve">rek </w:t>
      </w:r>
      <w:r w:rsidR="00EB6E84">
        <w:rPr>
          <w:rFonts w:ascii="Times New Roman" w:hAnsi="Times New Roman" w:cs="Times New Roman"/>
        </w:rPr>
        <w:t xml:space="preserve">şüphelinin </w:t>
      </w:r>
      <w:r w:rsidR="008A7FCF">
        <w:rPr>
          <w:rFonts w:ascii="Times New Roman" w:hAnsi="Times New Roman" w:cs="Times New Roman"/>
        </w:rPr>
        <w:t>ikrarın</w:t>
      </w:r>
      <w:r w:rsidR="00EB6E84">
        <w:rPr>
          <w:rFonts w:ascii="Times New Roman" w:hAnsi="Times New Roman" w:cs="Times New Roman"/>
        </w:rPr>
        <w:t>ın</w:t>
      </w:r>
      <w:r w:rsidR="00654CE9">
        <w:rPr>
          <w:rFonts w:ascii="Times New Roman" w:hAnsi="Times New Roman" w:cs="Times New Roman"/>
        </w:rPr>
        <w:t xml:space="preserve"> varlığının açıkça aranmamış olması, gerekse cezada otomatik bir indirim yapılması yönteminin tercih edilmesi</w:t>
      </w:r>
      <w:r w:rsidR="009644B9">
        <w:rPr>
          <w:rFonts w:ascii="Times New Roman" w:hAnsi="Times New Roman" w:cs="Times New Roman"/>
        </w:rPr>
        <w:t>nin</w:t>
      </w:r>
      <w:r w:rsidR="00654CE9">
        <w:rPr>
          <w:rFonts w:ascii="Times New Roman" w:hAnsi="Times New Roman" w:cs="Times New Roman"/>
        </w:rPr>
        <w:t xml:space="preserve"> kanun koyucunun </w:t>
      </w:r>
      <w:r w:rsidR="006153B8">
        <w:rPr>
          <w:rFonts w:ascii="Times New Roman" w:hAnsi="Times New Roman" w:cs="Times New Roman"/>
        </w:rPr>
        <w:t xml:space="preserve">öncelikli amacının </w:t>
      </w:r>
      <w:r w:rsidR="00654CE9">
        <w:rPr>
          <w:rFonts w:ascii="Times New Roman" w:hAnsi="Times New Roman" w:cs="Times New Roman"/>
        </w:rPr>
        <w:t xml:space="preserve">şüpheliyi seri </w:t>
      </w:r>
      <w:r w:rsidR="006153B8">
        <w:rPr>
          <w:rFonts w:ascii="Times New Roman" w:hAnsi="Times New Roman" w:cs="Times New Roman"/>
        </w:rPr>
        <w:t xml:space="preserve">usulü kabul etmeye teşvik etmek olduğuna </w:t>
      </w:r>
      <w:r w:rsidR="000915E6">
        <w:rPr>
          <w:rFonts w:ascii="Times New Roman" w:hAnsi="Times New Roman" w:cs="Times New Roman"/>
        </w:rPr>
        <w:t xml:space="preserve">işaret </w:t>
      </w:r>
      <w:r w:rsidR="009644B9">
        <w:rPr>
          <w:rFonts w:ascii="Times New Roman" w:hAnsi="Times New Roman" w:cs="Times New Roman"/>
        </w:rPr>
        <w:t>etmektedir</w:t>
      </w:r>
      <w:r w:rsidR="00654CE9">
        <w:rPr>
          <w:rFonts w:ascii="Times New Roman" w:hAnsi="Times New Roman" w:cs="Times New Roman"/>
        </w:rPr>
        <w:t>.</w:t>
      </w:r>
      <w:r w:rsidR="00812641">
        <w:rPr>
          <w:rFonts w:ascii="Times New Roman" w:hAnsi="Times New Roman" w:cs="Times New Roman"/>
        </w:rPr>
        <w:t xml:space="preserve"> </w:t>
      </w:r>
      <w:r w:rsidR="007529FA">
        <w:rPr>
          <w:rFonts w:ascii="Times New Roman" w:hAnsi="Times New Roman" w:cs="Times New Roman"/>
        </w:rPr>
        <w:t>Bu doğrultuda s</w:t>
      </w:r>
      <w:r w:rsidR="00DF197E">
        <w:rPr>
          <w:rFonts w:ascii="Times New Roman" w:hAnsi="Times New Roman" w:cs="Times New Roman"/>
        </w:rPr>
        <w:t xml:space="preserve">eri muhakeme </w:t>
      </w:r>
      <w:r w:rsidR="00654CE9">
        <w:rPr>
          <w:rFonts w:ascii="Times New Roman" w:hAnsi="Times New Roman" w:cs="Times New Roman"/>
        </w:rPr>
        <w:t>usulün</w:t>
      </w:r>
      <w:r w:rsidR="00DF197E">
        <w:rPr>
          <w:rFonts w:ascii="Times New Roman" w:hAnsi="Times New Roman" w:cs="Times New Roman"/>
        </w:rPr>
        <w:t>ün</w:t>
      </w:r>
      <w:r w:rsidR="00654CE9">
        <w:rPr>
          <w:rFonts w:ascii="Times New Roman" w:hAnsi="Times New Roman" w:cs="Times New Roman"/>
        </w:rPr>
        <w:t xml:space="preserve"> düzenlenmesinde k</w:t>
      </w:r>
      <w:r w:rsidR="00500E24">
        <w:rPr>
          <w:rFonts w:ascii="Times New Roman" w:hAnsi="Times New Roman" w:cs="Times New Roman"/>
        </w:rPr>
        <w:t xml:space="preserve">anun koyucunun </w:t>
      </w:r>
      <w:r w:rsidR="008A7FCF">
        <w:rPr>
          <w:rFonts w:ascii="Times New Roman" w:hAnsi="Times New Roman" w:cs="Times New Roman"/>
        </w:rPr>
        <w:t xml:space="preserve">ceza muhakemesi sürecini </w:t>
      </w:r>
      <w:r w:rsidR="00500E24">
        <w:rPr>
          <w:rFonts w:ascii="Times New Roman" w:hAnsi="Times New Roman" w:cs="Times New Roman"/>
        </w:rPr>
        <w:t>hızlandırma kayg</w:t>
      </w:r>
      <w:r w:rsidR="00A430FB">
        <w:rPr>
          <w:rFonts w:ascii="Times New Roman" w:hAnsi="Times New Roman" w:cs="Times New Roman"/>
        </w:rPr>
        <w:t>ısı</w:t>
      </w:r>
      <w:r w:rsidR="00A23B21">
        <w:rPr>
          <w:rFonts w:ascii="Times New Roman" w:hAnsi="Times New Roman" w:cs="Times New Roman"/>
        </w:rPr>
        <w:t>nın ağır bastığı</w:t>
      </w:r>
      <w:r w:rsidR="005A5E0B">
        <w:rPr>
          <w:rFonts w:ascii="Times New Roman" w:hAnsi="Times New Roman" w:cs="Times New Roman"/>
        </w:rPr>
        <w:t xml:space="preserve"> söylenebilir. Ancak b</w:t>
      </w:r>
      <w:r w:rsidR="00A430FB">
        <w:rPr>
          <w:rFonts w:ascii="Times New Roman" w:hAnsi="Times New Roman" w:cs="Times New Roman"/>
        </w:rPr>
        <w:t>u kaygı</w:t>
      </w:r>
      <w:r w:rsidR="00A23B21">
        <w:rPr>
          <w:rFonts w:ascii="Times New Roman" w:hAnsi="Times New Roman" w:cs="Times New Roman"/>
        </w:rPr>
        <w:t>,</w:t>
      </w:r>
      <w:r w:rsidR="008A7FCF">
        <w:rPr>
          <w:rFonts w:ascii="Times New Roman" w:hAnsi="Times New Roman" w:cs="Times New Roman"/>
        </w:rPr>
        <w:t xml:space="preserve"> ceza muhakemesinin makul sürede sonuçlanması, iş yükünün azaltılarak özellikle yeni suçluluk türlerine daha etkin bir cevap verilebilmesini sağlama menfaatleri ile muhakemenin adil yargılama güvencelerini sağlayacak şekilde yürütülmesindeki menfaat arasındaki dengenin bozulmasına yol açabilmektedir. </w:t>
      </w:r>
      <w:r w:rsidR="00767B84">
        <w:rPr>
          <w:rFonts w:ascii="Times New Roman" w:hAnsi="Times New Roman" w:cs="Times New Roman"/>
        </w:rPr>
        <w:t>Bu nokt</w:t>
      </w:r>
      <w:r w:rsidR="007E1601">
        <w:rPr>
          <w:rFonts w:ascii="Times New Roman" w:hAnsi="Times New Roman" w:cs="Times New Roman"/>
        </w:rPr>
        <w:t xml:space="preserve">ada ceza muhakemesinde </w:t>
      </w:r>
      <w:r w:rsidR="00FB25AE">
        <w:rPr>
          <w:rFonts w:ascii="Times New Roman" w:hAnsi="Times New Roman" w:cs="Times New Roman"/>
        </w:rPr>
        <w:t xml:space="preserve">çabukluğun </w:t>
      </w:r>
      <w:r w:rsidR="00A23B21">
        <w:rPr>
          <w:rFonts w:ascii="Times New Roman" w:hAnsi="Times New Roman" w:cs="Times New Roman"/>
        </w:rPr>
        <w:t xml:space="preserve">tek başına bir amaç olmadığı, muhakemenin </w:t>
      </w:r>
      <w:r w:rsidR="007E1601">
        <w:rPr>
          <w:rFonts w:ascii="Times New Roman" w:hAnsi="Times New Roman" w:cs="Times New Roman"/>
        </w:rPr>
        <w:t>“hakikatin araştırılması bakımından mümkün olduğu kadar çabuk sonuçlanmasına</w:t>
      </w:r>
      <w:r w:rsidR="000F4018">
        <w:rPr>
          <w:rFonts w:ascii="Times New Roman" w:hAnsi="Times New Roman" w:cs="Times New Roman"/>
        </w:rPr>
        <w:t>”</w:t>
      </w:r>
      <w:r w:rsidR="007E1601">
        <w:rPr>
          <w:rStyle w:val="FootnoteReference"/>
          <w:rFonts w:ascii="Times New Roman" w:hAnsi="Times New Roman" w:cs="Times New Roman"/>
        </w:rPr>
        <w:footnoteReference w:id="168"/>
      </w:r>
      <w:r w:rsidR="007E1601">
        <w:rPr>
          <w:rFonts w:ascii="Times New Roman" w:hAnsi="Times New Roman" w:cs="Times New Roman"/>
        </w:rPr>
        <w:t xml:space="preserve"> izin veren bir yaklaşım</w:t>
      </w:r>
      <w:r w:rsidR="00A23B21">
        <w:rPr>
          <w:rFonts w:ascii="Times New Roman" w:hAnsi="Times New Roman" w:cs="Times New Roman"/>
        </w:rPr>
        <w:t>ın benimsenmesi</w:t>
      </w:r>
      <w:r w:rsidR="007E1601">
        <w:rPr>
          <w:rFonts w:ascii="Times New Roman" w:hAnsi="Times New Roman" w:cs="Times New Roman"/>
        </w:rPr>
        <w:t xml:space="preserve"> </w:t>
      </w:r>
      <w:r w:rsidR="00A23B21">
        <w:rPr>
          <w:rFonts w:ascii="Times New Roman" w:hAnsi="Times New Roman" w:cs="Times New Roman"/>
        </w:rPr>
        <w:t xml:space="preserve">gerektiği </w:t>
      </w:r>
      <w:r w:rsidR="005A5E0B">
        <w:rPr>
          <w:rFonts w:ascii="Times New Roman" w:hAnsi="Times New Roman" w:cs="Times New Roman"/>
        </w:rPr>
        <w:t>vurgulanmalıdır</w:t>
      </w:r>
      <w:r w:rsidR="00C30C26">
        <w:rPr>
          <w:rStyle w:val="FootnoteReference"/>
          <w:rFonts w:ascii="Times New Roman" w:hAnsi="Times New Roman" w:cs="Times New Roman"/>
        </w:rPr>
        <w:footnoteReference w:id="169"/>
      </w:r>
      <w:r w:rsidR="00A23B21">
        <w:rPr>
          <w:rFonts w:ascii="Times New Roman" w:hAnsi="Times New Roman" w:cs="Times New Roman"/>
        </w:rPr>
        <w:t>.</w:t>
      </w:r>
      <w:r w:rsidR="007E1601">
        <w:rPr>
          <w:rFonts w:ascii="Times New Roman" w:hAnsi="Times New Roman" w:cs="Times New Roman"/>
        </w:rPr>
        <w:t xml:space="preserve"> </w:t>
      </w:r>
    </w:p>
    <w:p w14:paraId="17E5E8E8" w14:textId="77777777" w:rsidR="00612770" w:rsidRPr="00A73D7B" w:rsidRDefault="00612770" w:rsidP="00612770">
      <w:pPr>
        <w:spacing w:line="360" w:lineRule="auto"/>
        <w:jc w:val="both"/>
        <w:rPr>
          <w:rFonts w:ascii="Times New Roman" w:hAnsi="Times New Roman" w:cs="Times New Roman"/>
        </w:rPr>
        <w:sectPr w:rsidR="00612770" w:rsidRPr="00A73D7B" w:rsidSect="00844EC4">
          <w:footerReference w:type="even" r:id="rId8"/>
          <w:footerReference w:type="default" r:id="rId9"/>
          <w:pgSz w:w="11900" w:h="16840"/>
          <w:pgMar w:top="1440" w:right="1552" w:bottom="1440" w:left="1560" w:header="708" w:footer="708" w:gutter="0"/>
          <w:cols w:space="708"/>
          <w:docGrid w:linePitch="360"/>
        </w:sectPr>
      </w:pPr>
    </w:p>
    <w:p w14:paraId="4FC36784" w14:textId="08F2A9FA" w:rsidR="00720F28" w:rsidRDefault="00720F28" w:rsidP="000E781D">
      <w:pPr>
        <w:spacing w:line="360" w:lineRule="auto"/>
        <w:jc w:val="both"/>
        <w:rPr>
          <w:rFonts w:ascii="Times New Roman" w:hAnsi="Times New Roman" w:cs="Times New Roman"/>
          <w:b/>
        </w:rPr>
      </w:pPr>
    </w:p>
    <w:p w14:paraId="58AE2E60" w14:textId="77777777" w:rsidR="000C6E22" w:rsidRDefault="000C6E22" w:rsidP="003E7FA2">
      <w:pPr>
        <w:spacing w:line="360" w:lineRule="auto"/>
        <w:jc w:val="both"/>
        <w:rPr>
          <w:rFonts w:ascii="Times New Roman" w:hAnsi="Times New Roman" w:cs="Times New Roman"/>
          <w:b/>
        </w:rPr>
      </w:pPr>
      <w:r w:rsidRPr="00F803C5">
        <w:rPr>
          <w:rFonts w:ascii="Times New Roman" w:hAnsi="Times New Roman" w:cs="Times New Roman"/>
          <w:b/>
        </w:rPr>
        <w:t>KAYNAKÇA</w:t>
      </w:r>
    </w:p>
    <w:p w14:paraId="3734EE55" w14:textId="77777777" w:rsidR="000C6E22" w:rsidRPr="008673B8" w:rsidRDefault="000C6E22" w:rsidP="000E781D">
      <w:pPr>
        <w:spacing w:line="360" w:lineRule="auto"/>
        <w:jc w:val="both"/>
        <w:rPr>
          <w:rFonts w:ascii="Times New Roman" w:hAnsi="Times New Roman" w:cs="Times New Roman"/>
          <w:b/>
        </w:rPr>
      </w:pPr>
    </w:p>
    <w:p w14:paraId="0F204155" w14:textId="342ACD8B"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ALDEMİR</w:t>
      </w:r>
      <w:r>
        <w:rPr>
          <w:rFonts w:ascii="Times New Roman" w:hAnsi="Times New Roman" w:cs="Times New Roman"/>
        </w:rPr>
        <w:t xml:space="preserve">, Hüsnü, </w:t>
      </w:r>
      <w:r w:rsidR="00442E34" w:rsidRPr="00442E34">
        <w:rPr>
          <w:rFonts w:ascii="Times New Roman" w:hAnsi="Times New Roman" w:cs="Times New Roman"/>
          <w:i/>
        </w:rPr>
        <w:t xml:space="preserve">Ceza Yargılamasında Seri Muhakeme ve Basit Yargılama Usulleri, </w:t>
      </w:r>
      <w:r w:rsidR="00442E34" w:rsidRPr="00442E34">
        <w:rPr>
          <w:rFonts w:ascii="Times New Roman" w:hAnsi="Times New Roman" w:cs="Times New Roman"/>
        </w:rPr>
        <w:t>2. Baskı, Adalet Yayınevi, Ankara, 2020.</w:t>
      </w:r>
      <w:r w:rsidR="00442E34">
        <w:rPr>
          <w:rFonts w:ascii="Times New Roman" w:hAnsi="Times New Roman" w:cs="Times New Roman"/>
          <w:i/>
        </w:rPr>
        <w:t xml:space="preserve"> </w:t>
      </w:r>
    </w:p>
    <w:p w14:paraId="63771525" w14:textId="6216FE5F"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ANCELOT</w:t>
      </w:r>
      <w:r>
        <w:rPr>
          <w:rFonts w:ascii="Times New Roman" w:hAnsi="Times New Roman" w:cs="Times New Roman"/>
        </w:rPr>
        <w:t xml:space="preserve">, </w:t>
      </w:r>
      <w:r w:rsidR="006249ED">
        <w:rPr>
          <w:rFonts w:ascii="Times New Roman" w:hAnsi="Times New Roman" w:cs="Times New Roman"/>
        </w:rPr>
        <w:t>Lydie</w:t>
      </w:r>
      <w:r w:rsidRPr="00EA167E">
        <w:rPr>
          <w:rFonts w:ascii="Times New Roman" w:hAnsi="Times New Roman" w:cs="Times New Roman"/>
        </w:rPr>
        <w:t xml:space="preserve">/ </w:t>
      </w:r>
      <w:r w:rsidRPr="00E56569">
        <w:rPr>
          <w:rFonts w:ascii="Times New Roman" w:hAnsi="Times New Roman" w:cs="Times New Roman"/>
          <w:b/>
        </w:rPr>
        <w:t>DORIAT-DUBAN</w:t>
      </w:r>
      <w:r>
        <w:rPr>
          <w:rFonts w:ascii="Times New Roman" w:hAnsi="Times New Roman" w:cs="Times New Roman"/>
        </w:rPr>
        <w:t xml:space="preserve">, </w:t>
      </w:r>
      <w:r w:rsidRPr="00EA167E">
        <w:rPr>
          <w:rFonts w:ascii="Times New Roman" w:hAnsi="Times New Roman" w:cs="Times New Roman"/>
        </w:rPr>
        <w:t xml:space="preserve">Myriam, </w:t>
      </w:r>
      <w:r w:rsidRPr="00E56569">
        <w:rPr>
          <w:rFonts w:ascii="Times New Roman" w:hAnsi="Times New Roman" w:cs="Times New Roman"/>
          <w:i/>
        </w:rPr>
        <w:t>“La Procédure de Comparution Sur Reconnaissance Préalable de Culpabilité: L’Eclairage de L’Economie du Droit Sur L’Equité du Plaider Coupable”</w:t>
      </w:r>
      <w:r w:rsidRPr="00EA167E">
        <w:rPr>
          <w:rFonts w:ascii="Times New Roman" w:hAnsi="Times New Roman" w:cs="Times New Roman"/>
        </w:rPr>
        <w:t>, Archives de Politique Criminelle,</w:t>
      </w:r>
      <w:r w:rsidR="0046639B">
        <w:rPr>
          <w:rFonts w:ascii="Times New Roman" w:hAnsi="Times New Roman" w:cs="Times New Roman"/>
        </w:rPr>
        <w:t xml:space="preserve"> Editions A. Pédone, No. </w:t>
      </w:r>
      <w:r w:rsidRPr="00EA167E">
        <w:rPr>
          <w:rFonts w:ascii="Times New Roman" w:hAnsi="Times New Roman" w:cs="Times New Roman"/>
        </w:rPr>
        <w:t xml:space="preserve">32, </w:t>
      </w:r>
      <w:r w:rsidR="000506A7">
        <w:rPr>
          <w:rFonts w:ascii="Times New Roman" w:hAnsi="Times New Roman" w:cs="Times New Roman"/>
        </w:rPr>
        <w:t xml:space="preserve">2010/1, </w:t>
      </w:r>
      <w:r w:rsidRPr="00EA167E">
        <w:rPr>
          <w:rFonts w:ascii="Times New Roman" w:hAnsi="Times New Roman" w:cs="Times New Roman"/>
        </w:rPr>
        <w:t xml:space="preserve">s. 269-287. </w:t>
      </w:r>
    </w:p>
    <w:p w14:paraId="6A732047" w14:textId="62428A93" w:rsidR="00B37B51" w:rsidRDefault="00B37B51" w:rsidP="000E781D">
      <w:pPr>
        <w:spacing w:line="360" w:lineRule="auto"/>
        <w:jc w:val="both"/>
        <w:rPr>
          <w:rFonts w:ascii="Times New Roman" w:hAnsi="Times New Roman" w:cs="Times New Roman"/>
        </w:rPr>
      </w:pPr>
      <w:r w:rsidRPr="00B27C84">
        <w:rPr>
          <w:rFonts w:ascii="Times New Roman" w:hAnsi="Times New Roman" w:cs="Times New Roman"/>
          <w:b/>
        </w:rPr>
        <w:t>CENTEL</w:t>
      </w:r>
      <w:r>
        <w:rPr>
          <w:rFonts w:ascii="Times New Roman" w:hAnsi="Times New Roman" w:cs="Times New Roman"/>
        </w:rPr>
        <w:t>,</w:t>
      </w:r>
      <w:r w:rsidR="006249ED">
        <w:rPr>
          <w:rFonts w:ascii="Times New Roman" w:hAnsi="Times New Roman" w:cs="Times New Roman"/>
        </w:rPr>
        <w:t xml:space="preserve"> Nur</w:t>
      </w:r>
      <w:r w:rsidRPr="00985EEF">
        <w:rPr>
          <w:rFonts w:ascii="Times New Roman" w:hAnsi="Times New Roman" w:cs="Times New Roman"/>
        </w:rPr>
        <w:t xml:space="preserve">/ </w:t>
      </w:r>
      <w:r w:rsidRPr="00B27C84">
        <w:rPr>
          <w:rFonts w:ascii="Times New Roman" w:hAnsi="Times New Roman" w:cs="Times New Roman"/>
          <w:b/>
        </w:rPr>
        <w:t>ZAFER</w:t>
      </w:r>
      <w:r>
        <w:rPr>
          <w:rFonts w:ascii="Times New Roman" w:hAnsi="Times New Roman" w:cs="Times New Roman"/>
        </w:rPr>
        <w:t>,</w:t>
      </w:r>
      <w:r w:rsidRPr="00985EEF">
        <w:rPr>
          <w:rFonts w:ascii="Times New Roman" w:hAnsi="Times New Roman" w:cs="Times New Roman"/>
        </w:rPr>
        <w:t xml:space="preserve"> Hamide,</w:t>
      </w:r>
      <w:r w:rsidR="00B27C84">
        <w:rPr>
          <w:rFonts w:ascii="Times New Roman" w:hAnsi="Times New Roman" w:cs="Times New Roman"/>
        </w:rPr>
        <w:t xml:space="preserve"> </w:t>
      </w:r>
      <w:r w:rsidR="00B27C84" w:rsidRPr="00B27C84">
        <w:rPr>
          <w:rFonts w:ascii="Times New Roman" w:hAnsi="Times New Roman" w:cs="Times New Roman"/>
          <w:i/>
        </w:rPr>
        <w:t>Ceza Muhakemesi Hukuku</w:t>
      </w:r>
      <w:r w:rsidR="00B27C84" w:rsidRPr="00B27C84">
        <w:rPr>
          <w:rFonts w:ascii="Times New Roman" w:hAnsi="Times New Roman" w:cs="Times New Roman"/>
        </w:rPr>
        <w:t>, 17. Bası, Beta Yayınları, İstanbul, 2020.</w:t>
      </w:r>
      <w:r w:rsidR="00621FA0">
        <w:rPr>
          <w:rFonts w:ascii="Times New Roman" w:hAnsi="Times New Roman" w:cs="Times New Roman"/>
        </w:rPr>
        <w:t xml:space="preserve"> </w:t>
      </w:r>
    </w:p>
    <w:p w14:paraId="5DAA3CF3" w14:textId="334195E6"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CERE</w:t>
      </w:r>
      <w:r>
        <w:rPr>
          <w:rFonts w:ascii="Times New Roman" w:hAnsi="Times New Roman" w:cs="Times New Roman"/>
        </w:rPr>
        <w:t xml:space="preserve">, </w:t>
      </w:r>
      <w:r w:rsidRPr="00047844">
        <w:rPr>
          <w:rFonts w:ascii="Times New Roman" w:hAnsi="Times New Roman" w:cs="Times New Roman"/>
        </w:rPr>
        <w:t xml:space="preserve">Jean Paul, </w:t>
      </w:r>
      <w:r w:rsidRPr="00E56569">
        <w:rPr>
          <w:rFonts w:ascii="Times New Roman" w:hAnsi="Times New Roman" w:cs="Times New Roman"/>
          <w:i/>
        </w:rPr>
        <w:t>“De La Composition Pénale A La Comparution Sur Reconnaissance Préalable De Culpabilité: “Le Plaider Coupable</w:t>
      </w:r>
      <w:r w:rsidR="000506A7" w:rsidRPr="00E56569">
        <w:rPr>
          <w:rFonts w:ascii="Times New Roman" w:hAnsi="Times New Roman" w:cs="Times New Roman"/>
          <w:i/>
        </w:rPr>
        <w:t>” A La Française”</w:t>
      </w:r>
      <w:r w:rsidR="000506A7">
        <w:rPr>
          <w:rFonts w:ascii="Times New Roman" w:hAnsi="Times New Roman" w:cs="Times New Roman"/>
        </w:rPr>
        <w:t>, AJ Pénal, Editions</w:t>
      </w:r>
      <w:r w:rsidRPr="00047844">
        <w:rPr>
          <w:rFonts w:ascii="Times New Roman" w:hAnsi="Times New Roman" w:cs="Times New Roman"/>
        </w:rPr>
        <w:t xml:space="preserve"> Dalloz, 2003, s. 45 vd.</w:t>
      </w:r>
      <w:r w:rsidR="00850E0D">
        <w:rPr>
          <w:rFonts w:ascii="Times New Roman" w:hAnsi="Times New Roman" w:cs="Times New Roman"/>
        </w:rPr>
        <w:t xml:space="preserve"> </w:t>
      </w:r>
    </w:p>
    <w:p w14:paraId="4D1D515E" w14:textId="77777777"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DELAGE</w:t>
      </w:r>
      <w:r>
        <w:rPr>
          <w:rFonts w:ascii="Times New Roman" w:hAnsi="Times New Roman" w:cs="Times New Roman"/>
        </w:rPr>
        <w:t xml:space="preserve">, </w:t>
      </w:r>
      <w:r w:rsidRPr="001C362B">
        <w:rPr>
          <w:rFonts w:ascii="Times New Roman" w:hAnsi="Times New Roman" w:cs="Times New Roman"/>
        </w:rPr>
        <w:t>Pierre-Jerôme</w:t>
      </w:r>
      <w:r>
        <w:rPr>
          <w:rFonts w:ascii="Times New Roman" w:hAnsi="Times New Roman" w:cs="Times New Roman"/>
        </w:rPr>
        <w:t xml:space="preserve">, </w:t>
      </w:r>
      <w:r w:rsidRPr="00E56569">
        <w:rPr>
          <w:rFonts w:ascii="Times New Roman" w:hAnsi="Times New Roman" w:cs="Times New Roman"/>
          <w:i/>
        </w:rPr>
        <w:t>“La Comparution Sur Reconnaissance Préalable de Culpabilité: Quand la Pratique Ramène A La Théorie”</w:t>
      </w:r>
      <w:r w:rsidRPr="001C362B">
        <w:rPr>
          <w:rFonts w:ascii="Times New Roman" w:hAnsi="Times New Roman" w:cs="Times New Roman"/>
        </w:rPr>
        <w:t>, Recueil Dalloz, 2005, s. 1970.</w:t>
      </w:r>
    </w:p>
    <w:p w14:paraId="78C75484" w14:textId="6FB29E14"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DESPREZ</w:t>
      </w:r>
      <w:r w:rsidRPr="00360B5B">
        <w:rPr>
          <w:rFonts w:ascii="Times New Roman" w:hAnsi="Times New Roman" w:cs="Times New Roman"/>
        </w:rPr>
        <w:t xml:space="preserve">, François, </w:t>
      </w:r>
      <w:r w:rsidRPr="00E56569">
        <w:rPr>
          <w:rFonts w:ascii="Times New Roman" w:hAnsi="Times New Roman" w:cs="Times New Roman"/>
          <w:i/>
        </w:rPr>
        <w:t>“La Comparution Sur Reconnaissance Préalable de Culpabilité: 18 Mois d’Application à Montpellier (1er Octobre 2004-1er Avril 2006)”</w:t>
      </w:r>
      <w:r w:rsidRPr="00360B5B">
        <w:rPr>
          <w:rFonts w:ascii="Times New Roman" w:hAnsi="Times New Roman" w:cs="Times New Roman"/>
        </w:rPr>
        <w:t>, Archives de Politique Criminell</w:t>
      </w:r>
      <w:r w:rsidR="00A91891">
        <w:rPr>
          <w:rFonts w:ascii="Times New Roman" w:hAnsi="Times New Roman" w:cs="Times New Roman"/>
        </w:rPr>
        <w:t>e, Editions A.Pédone, No.</w:t>
      </w:r>
      <w:r w:rsidRPr="00360B5B">
        <w:rPr>
          <w:rFonts w:ascii="Times New Roman" w:hAnsi="Times New Roman" w:cs="Times New Roman"/>
        </w:rPr>
        <w:t xml:space="preserve"> 28, </w:t>
      </w:r>
      <w:r w:rsidR="00C35924">
        <w:rPr>
          <w:rFonts w:ascii="Times New Roman" w:hAnsi="Times New Roman" w:cs="Times New Roman"/>
        </w:rPr>
        <w:t xml:space="preserve">2006/1, </w:t>
      </w:r>
      <w:r w:rsidRPr="00360B5B">
        <w:rPr>
          <w:rFonts w:ascii="Times New Roman" w:hAnsi="Times New Roman" w:cs="Times New Roman"/>
        </w:rPr>
        <w:t xml:space="preserve">s. 109-134. </w:t>
      </w:r>
    </w:p>
    <w:p w14:paraId="12025633" w14:textId="7CC52C74"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DREYER</w:t>
      </w:r>
      <w:r>
        <w:rPr>
          <w:rFonts w:ascii="Times New Roman" w:hAnsi="Times New Roman" w:cs="Times New Roman"/>
        </w:rPr>
        <w:t>,</w:t>
      </w:r>
      <w:r w:rsidR="006249ED">
        <w:rPr>
          <w:rFonts w:ascii="Times New Roman" w:hAnsi="Times New Roman" w:cs="Times New Roman"/>
        </w:rPr>
        <w:t xml:space="preserve"> Emmanuel</w:t>
      </w:r>
      <w:r w:rsidRPr="0047759A">
        <w:rPr>
          <w:rFonts w:ascii="Times New Roman" w:hAnsi="Times New Roman" w:cs="Times New Roman"/>
        </w:rPr>
        <w:t xml:space="preserve">/ </w:t>
      </w:r>
      <w:r w:rsidRPr="00E56569">
        <w:rPr>
          <w:rFonts w:ascii="Times New Roman" w:hAnsi="Times New Roman" w:cs="Times New Roman"/>
          <w:b/>
        </w:rPr>
        <w:t>MOUYSSET</w:t>
      </w:r>
      <w:r>
        <w:rPr>
          <w:rFonts w:ascii="Times New Roman" w:hAnsi="Times New Roman" w:cs="Times New Roman"/>
        </w:rPr>
        <w:t>,</w:t>
      </w:r>
      <w:r w:rsidRPr="0047759A">
        <w:rPr>
          <w:rFonts w:ascii="Times New Roman" w:hAnsi="Times New Roman" w:cs="Times New Roman"/>
        </w:rPr>
        <w:t xml:space="preserve"> Olivier, </w:t>
      </w:r>
      <w:r w:rsidRPr="00E56569">
        <w:rPr>
          <w:rFonts w:ascii="Times New Roman" w:hAnsi="Times New Roman" w:cs="Times New Roman"/>
          <w:i/>
        </w:rPr>
        <w:t>Procédure Pénale</w:t>
      </w:r>
      <w:r w:rsidRPr="0047759A">
        <w:rPr>
          <w:rFonts w:ascii="Times New Roman" w:hAnsi="Times New Roman" w:cs="Times New Roman"/>
        </w:rPr>
        <w:t xml:space="preserve">, LGDJ, Lextenso Editions, 2016. </w:t>
      </w:r>
    </w:p>
    <w:p w14:paraId="7EB19AF2" w14:textId="77777777"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DURAN</w:t>
      </w:r>
      <w:r>
        <w:rPr>
          <w:rFonts w:ascii="Times New Roman" w:hAnsi="Times New Roman" w:cs="Times New Roman"/>
        </w:rPr>
        <w:t>, Mustafa</w:t>
      </w:r>
      <w:r w:rsidRPr="00F019BD">
        <w:rPr>
          <w:rFonts w:ascii="Times New Roman" w:hAnsi="Times New Roman" w:cs="Times New Roman"/>
        </w:rPr>
        <w:t xml:space="preserve">, </w:t>
      </w:r>
      <w:r w:rsidRPr="00E56569">
        <w:rPr>
          <w:rFonts w:ascii="Times New Roman" w:hAnsi="Times New Roman" w:cs="Times New Roman"/>
          <w:i/>
        </w:rPr>
        <w:t>Fransız Adli Yargı Sistemi</w:t>
      </w:r>
      <w:r w:rsidRPr="00F019BD">
        <w:rPr>
          <w:rFonts w:ascii="Times New Roman" w:hAnsi="Times New Roman" w:cs="Times New Roman"/>
        </w:rPr>
        <w:t xml:space="preserve">, Adalet Yayınevi, Ankara, 2014. </w:t>
      </w:r>
    </w:p>
    <w:p w14:paraId="7E922D7F" w14:textId="77777777" w:rsidR="00B37B51" w:rsidRPr="00301B9B"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FLOREANCIG</w:t>
      </w:r>
      <w:r w:rsidRPr="00301B9B">
        <w:rPr>
          <w:rFonts w:ascii="Times New Roman" w:hAnsi="Times New Roman" w:cs="Times New Roman"/>
        </w:rPr>
        <w:t xml:space="preserve">, Diane, </w:t>
      </w:r>
      <w:r w:rsidRPr="00E56569">
        <w:rPr>
          <w:rFonts w:ascii="Times New Roman" w:hAnsi="Times New Roman" w:cs="Times New Roman"/>
          <w:i/>
        </w:rPr>
        <w:t>Les Alternatives en Procédure Pénale</w:t>
      </w:r>
      <w:r w:rsidRPr="00301B9B">
        <w:rPr>
          <w:rFonts w:ascii="Times New Roman" w:hAnsi="Times New Roman" w:cs="Times New Roman"/>
        </w:rPr>
        <w:t xml:space="preserve">, Yüksek Lisans Tezi, Université Paris II – Panthéon Assas, Paris, 2013. </w:t>
      </w:r>
    </w:p>
    <w:p w14:paraId="48E85D71" w14:textId="53A5CE2B"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GIACOPELLI</w:t>
      </w:r>
      <w:r w:rsidRPr="00EF5306">
        <w:rPr>
          <w:rFonts w:ascii="Times New Roman" w:hAnsi="Times New Roman" w:cs="Times New Roman"/>
        </w:rPr>
        <w:t xml:space="preserve">, Muriel, </w:t>
      </w:r>
      <w:r w:rsidRPr="00E56569">
        <w:rPr>
          <w:rFonts w:ascii="Times New Roman" w:hAnsi="Times New Roman" w:cs="Times New Roman"/>
          <w:i/>
        </w:rPr>
        <w:t>“Les Procédures Alternatives aux Poursuites, Essai de Théorie Générale”</w:t>
      </w:r>
      <w:r w:rsidRPr="00EF5306">
        <w:rPr>
          <w:rFonts w:ascii="Times New Roman" w:hAnsi="Times New Roman" w:cs="Times New Roman"/>
        </w:rPr>
        <w:t>, Revue de Science Criminelle et de</w:t>
      </w:r>
      <w:r w:rsidR="00CC7BED">
        <w:rPr>
          <w:rFonts w:ascii="Times New Roman" w:hAnsi="Times New Roman" w:cs="Times New Roman"/>
        </w:rPr>
        <w:t xml:space="preserve"> Droit Pénal Comparé, No.</w:t>
      </w:r>
      <w:r w:rsidRPr="00EF5306">
        <w:rPr>
          <w:rFonts w:ascii="Times New Roman" w:hAnsi="Times New Roman" w:cs="Times New Roman"/>
        </w:rPr>
        <w:t xml:space="preserve"> 3, </w:t>
      </w:r>
      <w:r w:rsidR="00CA0E91">
        <w:rPr>
          <w:rFonts w:ascii="Times New Roman" w:hAnsi="Times New Roman" w:cs="Times New Roman"/>
        </w:rPr>
        <w:t xml:space="preserve">2012/3, Editions </w:t>
      </w:r>
      <w:r w:rsidRPr="00EF5306">
        <w:rPr>
          <w:rFonts w:ascii="Times New Roman" w:hAnsi="Times New Roman" w:cs="Times New Roman"/>
        </w:rPr>
        <w:t xml:space="preserve">Dalloz, Paris, s. 505-521. </w:t>
      </w:r>
    </w:p>
    <w:p w14:paraId="250F0F78" w14:textId="53239157" w:rsidR="007A1F94" w:rsidRDefault="007A1F94" w:rsidP="000E781D">
      <w:pPr>
        <w:spacing w:line="360" w:lineRule="auto"/>
        <w:jc w:val="both"/>
        <w:rPr>
          <w:rFonts w:ascii="Times New Roman" w:hAnsi="Times New Roman" w:cs="Times New Roman"/>
        </w:rPr>
      </w:pPr>
      <w:r w:rsidRPr="007A1F94">
        <w:rPr>
          <w:rFonts w:ascii="Times New Roman" w:hAnsi="Times New Roman" w:cs="Times New Roman"/>
          <w:b/>
        </w:rPr>
        <w:t>GÖKCEN</w:t>
      </w:r>
      <w:r>
        <w:rPr>
          <w:rFonts w:ascii="Times New Roman" w:hAnsi="Times New Roman" w:cs="Times New Roman"/>
        </w:rPr>
        <w:t>,</w:t>
      </w:r>
      <w:r w:rsidR="006249ED">
        <w:rPr>
          <w:rFonts w:ascii="Times New Roman" w:hAnsi="Times New Roman" w:cs="Times New Roman"/>
        </w:rPr>
        <w:t xml:space="preserve"> Ahmet</w:t>
      </w:r>
      <w:r>
        <w:rPr>
          <w:rFonts w:ascii="Times New Roman" w:hAnsi="Times New Roman" w:cs="Times New Roman"/>
        </w:rPr>
        <w:t xml:space="preserve">/ </w:t>
      </w:r>
      <w:r w:rsidRPr="007A1F94">
        <w:rPr>
          <w:rFonts w:ascii="Times New Roman" w:hAnsi="Times New Roman" w:cs="Times New Roman"/>
          <w:b/>
        </w:rPr>
        <w:t>BALCI</w:t>
      </w:r>
      <w:r>
        <w:rPr>
          <w:rFonts w:ascii="Times New Roman" w:hAnsi="Times New Roman" w:cs="Times New Roman"/>
        </w:rPr>
        <w:t xml:space="preserve">, Murat/ </w:t>
      </w:r>
      <w:r w:rsidRPr="007A1F94">
        <w:rPr>
          <w:rFonts w:ascii="Times New Roman" w:hAnsi="Times New Roman" w:cs="Times New Roman"/>
          <w:b/>
        </w:rPr>
        <w:t xml:space="preserve">ALŞAHİN, </w:t>
      </w:r>
      <w:r>
        <w:rPr>
          <w:rFonts w:ascii="Times New Roman" w:hAnsi="Times New Roman" w:cs="Times New Roman"/>
        </w:rPr>
        <w:t>M. Emin</w:t>
      </w:r>
      <w:r w:rsidRPr="007A1F94">
        <w:rPr>
          <w:rFonts w:ascii="Times New Roman" w:hAnsi="Times New Roman" w:cs="Times New Roman"/>
        </w:rPr>
        <w:t xml:space="preserve">/ </w:t>
      </w:r>
      <w:r w:rsidRPr="007A1F94">
        <w:rPr>
          <w:rFonts w:ascii="Times New Roman" w:hAnsi="Times New Roman" w:cs="Times New Roman"/>
          <w:b/>
        </w:rPr>
        <w:t>ÇAKIR,</w:t>
      </w:r>
      <w:r>
        <w:rPr>
          <w:rFonts w:ascii="Times New Roman" w:hAnsi="Times New Roman" w:cs="Times New Roman"/>
        </w:rPr>
        <w:t xml:space="preserve"> </w:t>
      </w:r>
      <w:r w:rsidRPr="007A1F94">
        <w:rPr>
          <w:rFonts w:ascii="Times New Roman" w:hAnsi="Times New Roman" w:cs="Times New Roman"/>
        </w:rPr>
        <w:t>Kerim</w:t>
      </w:r>
      <w:r>
        <w:rPr>
          <w:rFonts w:ascii="Times New Roman" w:hAnsi="Times New Roman" w:cs="Times New Roman"/>
        </w:rPr>
        <w:t xml:space="preserve">, </w:t>
      </w:r>
      <w:r w:rsidRPr="007A1F94">
        <w:rPr>
          <w:rFonts w:ascii="Times New Roman" w:hAnsi="Times New Roman" w:cs="Times New Roman"/>
          <w:i/>
        </w:rPr>
        <w:t>Ceza Muhakemesi Hukuku</w:t>
      </w:r>
      <w:r w:rsidRPr="007A1F94">
        <w:rPr>
          <w:rFonts w:ascii="Times New Roman" w:hAnsi="Times New Roman" w:cs="Times New Roman"/>
        </w:rPr>
        <w:t>, Adalet Yayınevi, Ankara, 2020</w:t>
      </w:r>
      <w:r>
        <w:rPr>
          <w:rFonts w:ascii="Times New Roman" w:hAnsi="Times New Roman" w:cs="Times New Roman"/>
        </w:rPr>
        <w:t xml:space="preserve">. </w:t>
      </w:r>
    </w:p>
    <w:p w14:paraId="15559F15" w14:textId="0D8EC227" w:rsidR="00B37B51" w:rsidRPr="001F7104"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KIZILARSLAN</w:t>
      </w:r>
      <w:r w:rsidRPr="001F7104">
        <w:rPr>
          <w:rFonts w:ascii="Times New Roman" w:hAnsi="Times New Roman" w:cs="Times New Roman"/>
        </w:rPr>
        <w:t xml:space="preserve">, Hakan, </w:t>
      </w:r>
      <w:r w:rsidRPr="00E56569">
        <w:rPr>
          <w:rFonts w:ascii="Times New Roman" w:hAnsi="Times New Roman" w:cs="Times New Roman"/>
          <w:i/>
        </w:rPr>
        <w:t>“7188 Sayılı Kanun’la Ceza Muhakemesi Hukukuna Getirilen Seri Muhakeme ve Basit Yargılama Usulleri”</w:t>
      </w:r>
      <w:r w:rsidRPr="001F7104">
        <w:rPr>
          <w:rFonts w:ascii="Times New Roman" w:hAnsi="Times New Roman" w:cs="Times New Roman"/>
        </w:rPr>
        <w:t>, Bahçeşehir Üniversi</w:t>
      </w:r>
      <w:r w:rsidR="00CA0E91">
        <w:rPr>
          <w:rFonts w:ascii="Times New Roman" w:hAnsi="Times New Roman" w:cs="Times New Roman"/>
        </w:rPr>
        <w:t>tesi Hukuk Fakültesi Dergisi, Sayı: 183-184, Cilt:</w:t>
      </w:r>
      <w:r w:rsidRPr="001F7104">
        <w:rPr>
          <w:rFonts w:ascii="Times New Roman" w:hAnsi="Times New Roman" w:cs="Times New Roman"/>
        </w:rPr>
        <w:t xml:space="preserve"> 14, Kasım-Aralık 2019, s. 1885-1960. </w:t>
      </w:r>
    </w:p>
    <w:p w14:paraId="10C492BE" w14:textId="1393A7ED" w:rsidR="00B37B51" w:rsidRPr="007E160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KUNTER</w:t>
      </w:r>
      <w:r>
        <w:rPr>
          <w:rFonts w:ascii="Times New Roman" w:hAnsi="Times New Roman" w:cs="Times New Roman"/>
        </w:rPr>
        <w:t>,</w:t>
      </w:r>
      <w:r w:rsidRPr="007E1601">
        <w:rPr>
          <w:rFonts w:ascii="Times New Roman" w:hAnsi="Times New Roman" w:cs="Times New Roman"/>
        </w:rPr>
        <w:t xml:space="preserve"> </w:t>
      </w:r>
      <w:r>
        <w:rPr>
          <w:rFonts w:ascii="Times New Roman" w:hAnsi="Times New Roman" w:cs="Times New Roman"/>
        </w:rPr>
        <w:t>Nurullah</w:t>
      </w:r>
      <w:r w:rsidRPr="007E1601">
        <w:rPr>
          <w:rFonts w:ascii="Times New Roman" w:hAnsi="Times New Roman" w:cs="Times New Roman"/>
        </w:rPr>
        <w:t xml:space="preserve">/ </w:t>
      </w:r>
      <w:r w:rsidRPr="00E56569">
        <w:rPr>
          <w:rFonts w:ascii="Times New Roman" w:hAnsi="Times New Roman" w:cs="Times New Roman"/>
          <w:b/>
        </w:rPr>
        <w:t>YENİSEY</w:t>
      </w:r>
      <w:r>
        <w:rPr>
          <w:rFonts w:ascii="Times New Roman" w:hAnsi="Times New Roman" w:cs="Times New Roman"/>
        </w:rPr>
        <w:t>,</w:t>
      </w:r>
      <w:r w:rsidRPr="007E1601">
        <w:rPr>
          <w:rFonts w:ascii="Times New Roman" w:hAnsi="Times New Roman" w:cs="Times New Roman"/>
        </w:rPr>
        <w:t xml:space="preserve"> </w:t>
      </w:r>
      <w:r>
        <w:rPr>
          <w:rFonts w:ascii="Times New Roman" w:hAnsi="Times New Roman" w:cs="Times New Roman"/>
        </w:rPr>
        <w:t xml:space="preserve">Feridun/ </w:t>
      </w:r>
      <w:r w:rsidRPr="00E56569">
        <w:rPr>
          <w:rFonts w:ascii="Times New Roman" w:hAnsi="Times New Roman" w:cs="Times New Roman"/>
          <w:b/>
        </w:rPr>
        <w:t>NUHOĞLU</w:t>
      </w:r>
      <w:r>
        <w:rPr>
          <w:rFonts w:ascii="Times New Roman" w:hAnsi="Times New Roman" w:cs="Times New Roman"/>
        </w:rPr>
        <w:t>,</w:t>
      </w:r>
      <w:r w:rsidRPr="007E1601">
        <w:rPr>
          <w:rFonts w:ascii="Times New Roman" w:hAnsi="Times New Roman" w:cs="Times New Roman"/>
        </w:rPr>
        <w:t xml:space="preserve"> Ayşe, </w:t>
      </w:r>
      <w:r w:rsidRPr="00E56569">
        <w:rPr>
          <w:rFonts w:ascii="Times New Roman" w:hAnsi="Times New Roman" w:cs="Times New Roman"/>
          <w:i/>
        </w:rPr>
        <w:t>Muhakeme Hukuku Dalı Olarak Ceza Muhakemesi Hukuku</w:t>
      </w:r>
      <w:r w:rsidRPr="007E1601">
        <w:rPr>
          <w:rFonts w:ascii="Times New Roman" w:hAnsi="Times New Roman" w:cs="Times New Roman"/>
        </w:rPr>
        <w:t xml:space="preserve">, </w:t>
      </w:r>
      <w:r w:rsidR="006B174C">
        <w:rPr>
          <w:rFonts w:ascii="Times New Roman" w:hAnsi="Times New Roman" w:cs="Times New Roman"/>
        </w:rPr>
        <w:t xml:space="preserve">18. Bası, </w:t>
      </w:r>
      <w:r w:rsidRPr="007E1601">
        <w:rPr>
          <w:rFonts w:ascii="Times New Roman" w:hAnsi="Times New Roman" w:cs="Times New Roman"/>
        </w:rPr>
        <w:t xml:space="preserve">Beta Yayınları, İstanbul, 2010. </w:t>
      </w:r>
    </w:p>
    <w:p w14:paraId="603E39A5" w14:textId="77777777"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LETURMY</w:t>
      </w:r>
      <w:r>
        <w:rPr>
          <w:rFonts w:ascii="Times New Roman" w:hAnsi="Times New Roman" w:cs="Times New Roman"/>
        </w:rPr>
        <w:t xml:space="preserve">, </w:t>
      </w:r>
      <w:r w:rsidRPr="002F1F87">
        <w:rPr>
          <w:rFonts w:ascii="Times New Roman" w:hAnsi="Times New Roman" w:cs="Times New Roman"/>
        </w:rPr>
        <w:t xml:space="preserve">Laurence/ </w:t>
      </w:r>
      <w:r w:rsidRPr="00E56569">
        <w:rPr>
          <w:rFonts w:ascii="Times New Roman" w:hAnsi="Times New Roman" w:cs="Times New Roman"/>
          <w:b/>
        </w:rPr>
        <w:t>BOSSAN</w:t>
      </w:r>
      <w:r>
        <w:rPr>
          <w:rFonts w:ascii="Times New Roman" w:hAnsi="Times New Roman" w:cs="Times New Roman"/>
        </w:rPr>
        <w:t xml:space="preserve">, </w:t>
      </w:r>
      <w:r w:rsidRPr="002F1F87">
        <w:rPr>
          <w:rFonts w:ascii="Times New Roman" w:hAnsi="Times New Roman" w:cs="Times New Roman"/>
        </w:rPr>
        <w:t>Jerome</w:t>
      </w:r>
      <w:r>
        <w:rPr>
          <w:rFonts w:ascii="Times New Roman" w:hAnsi="Times New Roman" w:cs="Times New Roman"/>
        </w:rPr>
        <w:t xml:space="preserve">, </w:t>
      </w:r>
      <w:r w:rsidRPr="00E56569">
        <w:rPr>
          <w:rFonts w:ascii="Times New Roman" w:hAnsi="Times New Roman" w:cs="Times New Roman"/>
          <w:i/>
        </w:rPr>
        <w:t>La Comparution sur Reconnaissance Préalable de la Culpabilité: Bilans et Perspectives, (Rapport de recherche)</w:t>
      </w:r>
      <w:r w:rsidRPr="002F1F87">
        <w:rPr>
          <w:rFonts w:ascii="Times New Roman" w:hAnsi="Times New Roman" w:cs="Times New Roman"/>
        </w:rPr>
        <w:t xml:space="preserve">, Mission de Recherche Droit et Justice, 2019. </w:t>
      </w:r>
    </w:p>
    <w:p w14:paraId="4E3658BD" w14:textId="61504CAB"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MAYAUD</w:t>
      </w:r>
      <w:r>
        <w:rPr>
          <w:rFonts w:ascii="Times New Roman" w:hAnsi="Times New Roman" w:cs="Times New Roman"/>
        </w:rPr>
        <w:t xml:space="preserve">, Yves, </w:t>
      </w:r>
      <w:r w:rsidRPr="00E56569">
        <w:rPr>
          <w:rFonts w:ascii="Times New Roman" w:hAnsi="Times New Roman" w:cs="Times New Roman"/>
          <w:i/>
        </w:rPr>
        <w:t>Droit Pénal Général</w:t>
      </w:r>
      <w:r w:rsidRPr="009D52AF">
        <w:rPr>
          <w:rFonts w:ascii="Times New Roman" w:hAnsi="Times New Roman" w:cs="Times New Roman"/>
        </w:rPr>
        <w:t xml:space="preserve">, </w:t>
      </w:r>
      <w:r w:rsidR="00D94F7D" w:rsidRPr="00D94F7D">
        <w:rPr>
          <w:rFonts w:ascii="Times New Roman" w:hAnsi="Times New Roman" w:cs="Times New Roman"/>
        </w:rPr>
        <w:t xml:space="preserve">Güncelleştirilmiş 5. Bası, </w:t>
      </w:r>
      <w:r w:rsidRPr="009D52AF">
        <w:rPr>
          <w:rFonts w:ascii="Times New Roman" w:hAnsi="Times New Roman" w:cs="Times New Roman"/>
        </w:rPr>
        <w:t xml:space="preserve">PUF, Paris, 2015. </w:t>
      </w:r>
    </w:p>
    <w:p w14:paraId="47FD749E" w14:textId="77777777" w:rsidR="00B37B51" w:rsidRDefault="00B37B51" w:rsidP="001337E2">
      <w:pPr>
        <w:spacing w:line="360" w:lineRule="auto"/>
        <w:jc w:val="both"/>
        <w:rPr>
          <w:rFonts w:ascii="Times New Roman" w:hAnsi="Times New Roman" w:cs="Times New Roman"/>
        </w:rPr>
      </w:pPr>
      <w:r w:rsidRPr="00E56569">
        <w:rPr>
          <w:rFonts w:ascii="Times New Roman" w:hAnsi="Times New Roman" w:cs="Times New Roman"/>
          <w:b/>
        </w:rPr>
        <w:t>MOLINS</w:t>
      </w:r>
      <w:r>
        <w:rPr>
          <w:rFonts w:ascii="Times New Roman" w:hAnsi="Times New Roman" w:cs="Times New Roman"/>
        </w:rPr>
        <w:t xml:space="preserve">, </w:t>
      </w:r>
      <w:r w:rsidRPr="006A6D3F">
        <w:rPr>
          <w:rFonts w:ascii="Times New Roman" w:hAnsi="Times New Roman" w:cs="Times New Roman"/>
        </w:rPr>
        <w:t xml:space="preserve">François, </w:t>
      </w:r>
      <w:r w:rsidRPr="00E56569">
        <w:rPr>
          <w:rFonts w:ascii="Times New Roman" w:hAnsi="Times New Roman" w:cs="Times New Roman"/>
          <w:i/>
        </w:rPr>
        <w:t>Comparution Sur Reconnaissance Préalable de la Culpabilité</w:t>
      </w:r>
      <w:r w:rsidRPr="006A6D3F">
        <w:rPr>
          <w:rFonts w:ascii="Times New Roman" w:hAnsi="Times New Roman" w:cs="Times New Roman"/>
        </w:rPr>
        <w:t xml:space="preserve">, Repertoire de Droit Pénal et de Procèdure Pénale, Editions Dalloz, 2018. </w:t>
      </w:r>
    </w:p>
    <w:p w14:paraId="0300BE09" w14:textId="17A30E3B" w:rsidR="00BB5D63" w:rsidRDefault="00BB5D63" w:rsidP="001337E2">
      <w:pPr>
        <w:spacing w:line="360" w:lineRule="auto"/>
        <w:jc w:val="both"/>
        <w:rPr>
          <w:rFonts w:ascii="Times New Roman" w:hAnsi="Times New Roman" w:cs="Times New Roman"/>
        </w:rPr>
      </w:pPr>
      <w:r w:rsidRPr="00BB5D63">
        <w:rPr>
          <w:rFonts w:ascii="Times New Roman" w:hAnsi="Times New Roman" w:cs="Times New Roman"/>
          <w:b/>
        </w:rPr>
        <w:t>PAMUK</w:t>
      </w:r>
      <w:r>
        <w:rPr>
          <w:rFonts w:ascii="Times New Roman" w:hAnsi="Times New Roman" w:cs="Times New Roman"/>
        </w:rPr>
        <w:t>, Gülfem</w:t>
      </w:r>
      <w:r w:rsidRPr="00BB5D63">
        <w:rPr>
          <w:rFonts w:ascii="Times New Roman" w:hAnsi="Times New Roman" w:cs="Times New Roman"/>
        </w:rPr>
        <w:t xml:space="preserve">, </w:t>
      </w:r>
      <w:r w:rsidRPr="00BB5D63">
        <w:rPr>
          <w:rFonts w:ascii="Times New Roman" w:hAnsi="Times New Roman" w:cs="Times New Roman"/>
          <w:i/>
        </w:rPr>
        <w:t>Türk ve Fransız Ceza Muhakemesi Hukuku’nda Mağdurun Makam Olarak Yeri</w:t>
      </w:r>
      <w:r w:rsidRPr="00BB5D63">
        <w:rPr>
          <w:rFonts w:ascii="Times New Roman" w:hAnsi="Times New Roman" w:cs="Times New Roman"/>
        </w:rPr>
        <w:t>,</w:t>
      </w:r>
      <w:r>
        <w:rPr>
          <w:rFonts w:ascii="Times New Roman" w:hAnsi="Times New Roman" w:cs="Times New Roman"/>
        </w:rPr>
        <w:t xml:space="preserve"> Beta Yayınları, İstanbul, 2012. </w:t>
      </w:r>
    </w:p>
    <w:p w14:paraId="22D08F2F" w14:textId="51057C8B" w:rsidR="00873F52" w:rsidRDefault="00873F52" w:rsidP="001337E2">
      <w:pPr>
        <w:spacing w:line="360" w:lineRule="auto"/>
        <w:jc w:val="both"/>
        <w:rPr>
          <w:rFonts w:ascii="Times New Roman" w:hAnsi="Times New Roman" w:cs="Times New Roman"/>
        </w:rPr>
      </w:pPr>
      <w:r w:rsidRPr="00873F52">
        <w:rPr>
          <w:rFonts w:ascii="Times New Roman" w:hAnsi="Times New Roman" w:cs="Times New Roman"/>
          <w:b/>
        </w:rPr>
        <w:t>PRADEL</w:t>
      </w:r>
      <w:r w:rsidRPr="00873F52">
        <w:rPr>
          <w:rFonts w:ascii="Times New Roman" w:hAnsi="Times New Roman" w:cs="Times New Roman"/>
        </w:rPr>
        <w:t xml:space="preserve">, Jean, </w:t>
      </w:r>
      <w:r w:rsidRPr="00873F52">
        <w:rPr>
          <w:rFonts w:ascii="Times New Roman" w:hAnsi="Times New Roman" w:cs="Times New Roman"/>
          <w:i/>
        </w:rPr>
        <w:t>Procédure Pénale</w:t>
      </w:r>
      <w:r w:rsidRPr="00873F52">
        <w:rPr>
          <w:rFonts w:ascii="Times New Roman" w:hAnsi="Times New Roman" w:cs="Times New Roman"/>
        </w:rPr>
        <w:t>, 16. Bası, Editions Cujas, Paris, 2011.</w:t>
      </w:r>
    </w:p>
    <w:p w14:paraId="12C16394" w14:textId="0191527F" w:rsidR="00B37B51" w:rsidRDefault="00B37B51" w:rsidP="001337E2">
      <w:pPr>
        <w:spacing w:line="360" w:lineRule="auto"/>
        <w:jc w:val="both"/>
        <w:rPr>
          <w:rFonts w:ascii="Times New Roman" w:hAnsi="Times New Roman" w:cs="Times New Roman"/>
        </w:rPr>
      </w:pPr>
      <w:r w:rsidRPr="00E56569">
        <w:rPr>
          <w:rFonts w:ascii="Times New Roman" w:hAnsi="Times New Roman" w:cs="Times New Roman"/>
          <w:b/>
        </w:rPr>
        <w:t>STEFANI</w:t>
      </w:r>
      <w:r>
        <w:rPr>
          <w:rFonts w:ascii="Times New Roman" w:hAnsi="Times New Roman" w:cs="Times New Roman"/>
        </w:rPr>
        <w:t>,</w:t>
      </w:r>
      <w:r w:rsidR="006249ED">
        <w:rPr>
          <w:rFonts w:ascii="Times New Roman" w:hAnsi="Times New Roman" w:cs="Times New Roman"/>
        </w:rPr>
        <w:t xml:space="preserve"> Gaston</w:t>
      </w:r>
      <w:r w:rsidRPr="0003221F">
        <w:rPr>
          <w:rFonts w:ascii="Times New Roman" w:hAnsi="Times New Roman" w:cs="Times New Roman"/>
        </w:rPr>
        <w:t xml:space="preserve">/ </w:t>
      </w:r>
      <w:r w:rsidRPr="00E56569">
        <w:rPr>
          <w:rFonts w:ascii="Times New Roman" w:hAnsi="Times New Roman" w:cs="Times New Roman"/>
          <w:b/>
        </w:rPr>
        <w:t>LEVASSEUR</w:t>
      </w:r>
      <w:r>
        <w:rPr>
          <w:rFonts w:ascii="Times New Roman" w:hAnsi="Times New Roman" w:cs="Times New Roman"/>
        </w:rPr>
        <w:t>,</w:t>
      </w:r>
      <w:r w:rsidR="006249ED">
        <w:rPr>
          <w:rFonts w:ascii="Times New Roman" w:hAnsi="Times New Roman" w:cs="Times New Roman"/>
        </w:rPr>
        <w:t xml:space="preserve"> Georges</w:t>
      </w:r>
      <w:r w:rsidRPr="0003221F">
        <w:rPr>
          <w:rFonts w:ascii="Times New Roman" w:hAnsi="Times New Roman" w:cs="Times New Roman"/>
        </w:rPr>
        <w:t xml:space="preserve">/ </w:t>
      </w:r>
      <w:r w:rsidRPr="00E56569">
        <w:rPr>
          <w:rFonts w:ascii="Times New Roman" w:hAnsi="Times New Roman" w:cs="Times New Roman"/>
          <w:b/>
        </w:rPr>
        <w:t>BOULOC</w:t>
      </w:r>
      <w:r>
        <w:rPr>
          <w:rFonts w:ascii="Times New Roman" w:hAnsi="Times New Roman" w:cs="Times New Roman"/>
        </w:rPr>
        <w:t>,</w:t>
      </w:r>
      <w:r w:rsidRPr="0003221F">
        <w:rPr>
          <w:rFonts w:ascii="Times New Roman" w:hAnsi="Times New Roman" w:cs="Times New Roman"/>
        </w:rPr>
        <w:t xml:space="preserve"> Bernard, </w:t>
      </w:r>
      <w:r w:rsidRPr="00E56569">
        <w:rPr>
          <w:rFonts w:ascii="Times New Roman" w:hAnsi="Times New Roman" w:cs="Times New Roman"/>
          <w:i/>
        </w:rPr>
        <w:t>Procédure Pénale</w:t>
      </w:r>
      <w:r w:rsidRPr="0003221F">
        <w:rPr>
          <w:rFonts w:ascii="Times New Roman" w:hAnsi="Times New Roman" w:cs="Times New Roman"/>
        </w:rPr>
        <w:t xml:space="preserve">, </w:t>
      </w:r>
      <w:r w:rsidR="00CA0E91" w:rsidRPr="0003221F">
        <w:rPr>
          <w:rFonts w:ascii="Times New Roman" w:hAnsi="Times New Roman" w:cs="Times New Roman"/>
        </w:rPr>
        <w:t xml:space="preserve">26. Bası, </w:t>
      </w:r>
      <w:r w:rsidRPr="0003221F">
        <w:rPr>
          <w:rFonts w:ascii="Times New Roman" w:hAnsi="Times New Roman" w:cs="Times New Roman"/>
        </w:rPr>
        <w:t xml:space="preserve">Editions Dalloz, 2018. </w:t>
      </w:r>
    </w:p>
    <w:p w14:paraId="59A96398" w14:textId="4C742357" w:rsidR="00BA342D" w:rsidRDefault="00BA342D" w:rsidP="001337E2">
      <w:pPr>
        <w:spacing w:line="360" w:lineRule="auto"/>
        <w:jc w:val="both"/>
        <w:rPr>
          <w:rFonts w:ascii="Times New Roman" w:hAnsi="Times New Roman" w:cs="Times New Roman"/>
        </w:rPr>
      </w:pPr>
      <w:r w:rsidRPr="00BA342D">
        <w:rPr>
          <w:rFonts w:ascii="Times New Roman" w:hAnsi="Times New Roman" w:cs="Times New Roman"/>
          <w:b/>
        </w:rPr>
        <w:t>ŞAHİN</w:t>
      </w:r>
      <w:r>
        <w:rPr>
          <w:rFonts w:ascii="Times New Roman" w:hAnsi="Times New Roman" w:cs="Times New Roman"/>
        </w:rPr>
        <w:t xml:space="preserve">, Cumhur/ </w:t>
      </w:r>
      <w:r w:rsidRPr="00BA342D">
        <w:rPr>
          <w:rFonts w:ascii="Times New Roman" w:hAnsi="Times New Roman" w:cs="Times New Roman"/>
          <w:b/>
        </w:rPr>
        <w:t>GÖKTÜRK</w:t>
      </w:r>
      <w:r w:rsidRPr="00BA342D">
        <w:rPr>
          <w:rFonts w:ascii="Times New Roman" w:hAnsi="Times New Roman" w:cs="Times New Roman"/>
        </w:rPr>
        <w:t>, Neslihan</w:t>
      </w:r>
      <w:r>
        <w:rPr>
          <w:rFonts w:ascii="Times New Roman" w:hAnsi="Times New Roman" w:cs="Times New Roman"/>
        </w:rPr>
        <w:t>,</w:t>
      </w:r>
      <w:r w:rsidRPr="00BA342D">
        <w:rPr>
          <w:rFonts w:ascii="Times New Roman" w:hAnsi="Times New Roman" w:cs="Times New Roman"/>
        </w:rPr>
        <w:t xml:space="preserve"> </w:t>
      </w:r>
      <w:r w:rsidRPr="00BA342D">
        <w:rPr>
          <w:rFonts w:ascii="Times New Roman" w:hAnsi="Times New Roman" w:cs="Times New Roman"/>
          <w:i/>
        </w:rPr>
        <w:t>Ceza Muhakemesi Hukuku II</w:t>
      </w:r>
      <w:r w:rsidRPr="00BA342D">
        <w:rPr>
          <w:rFonts w:ascii="Times New Roman" w:hAnsi="Times New Roman" w:cs="Times New Roman"/>
        </w:rPr>
        <w:t xml:space="preserve">, 10. Bası, Seçkin Yayınları, Ankara, 2020. </w:t>
      </w:r>
    </w:p>
    <w:p w14:paraId="2015E13C" w14:textId="39E5EBB4" w:rsidR="00B37B51" w:rsidRDefault="00B37B51" w:rsidP="001337E2">
      <w:pPr>
        <w:spacing w:line="360" w:lineRule="auto"/>
        <w:jc w:val="both"/>
        <w:rPr>
          <w:rFonts w:ascii="Times New Roman" w:hAnsi="Times New Roman" w:cs="Times New Roman"/>
        </w:rPr>
      </w:pPr>
      <w:r w:rsidRPr="00E56569">
        <w:rPr>
          <w:rFonts w:ascii="Times New Roman" w:hAnsi="Times New Roman" w:cs="Times New Roman"/>
          <w:b/>
        </w:rPr>
        <w:t>UĞURLUBAY</w:t>
      </w:r>
      <w:r w:rsidRPr="001F7104">
        <w:rPr>
          <w:rFonts w:ascii="Times New Roman" w:hAnsi="Times New Roman" w:cs="Times New Roman"/>
        </w:rPr>
        <w:t xml:space="preserve">, Gülsün A. Aygörmez/ </w:t>
      </w:r>
      <w:r w:rsidRPr="00E56569">
        <w:rPr>
          <w:rFonts w:ascii="Times New Roman" w:hAnsi="Times New Roman" w:cs="Times New Roman"/>
          <w:b/>
        </w:rPr>
        <w:t>HAYDAR</w:t>
      </w:r>
      <w:r w:rsidRPr="001F7104">
        <w:rPr>
          <w:rFonts w:ascii="Times New Roman" w:hAnsi="Times New Roman" w:cs="Times New Roman"/>
        </w:rPr>
        <w:t xml:space="preserve">, Nuran/ </w:t>
      </w:r>
      <w:r w:rsidRPr="00E56569">
        <w:rPr>
          <w:rFonts w:ascii="Times New Roman" w:hAnsi="Times New Roman" w:cs="Times New Roman"/>
          <w:b/>
        </w:rPr>
        <w:t>KORKMAZ</w:t>
      </w:r>
      <w:r w:rsidRPr="001F7104">
        <w:rPr>
          <w:rFonts w:ascii="Times New Roman" w:hAnsi="Times New Roman" w:cs="Times New Roman"/>
        </w:rPr>
        <w:t xml:space="preserve">, Mehmet, </w:t>
      </w:r>
      <w:r w:rsidRPr="00E56569">
        <w:rPr>
          <w:rFonts w:ascii="Times New Roman" w:hAnsi="Times New Roman" w:cs="Times New Roman"/>
          <w:i/>
        </w:rPr>
        <w:t xml:space="preserve">“Seri Muhakeme Usulüne İlişkin Sorunlar”, </w:t>
      </w:r>
      <w:r w:rsidR="006A23F0">
        <w:rPr>
          <w:rFonts w:ascii="Times New Roman" w:hAnsi="Times New Roman" w:cs="Times New Roman"/>
        </w:rPr>
        <w:t>ASBÜ Hukuk Fakültesi Dergisi, Sayı:</w:t>
      </w:r>
      <w:r w:rsidRPr="001F7104">
        <w:rPr>
          <w:rFonts w:ascii="Times New Roman" w:hAnsi="Times New Roman" w:cs="Times New Roman"/>
        </w:rPr>
        <w:t xml:space="preserve"> 2019/2, s. 255-306. </w:t>
      </w:r>
    </w:p>
    <w:p w14:paraId="026E84AE" w14:textId="77777777" w:rsidR="00B37B51" w:rsidRPr="00985EEF"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VOLFF,</w:t>
      </w:r>
      <w:r>
        <w:rPr>
          <w:rFonts w:ascii="Times New Roman" w:hAnsi="Times New Roman" w:cs="Times New Roman"/>
        </w:rPr>
        <w:t xml:space="preserve"> Jean, </w:t>
      </w:r>
      <w:r w:rsidRPr="00E56569">
        <w:rPr>
          <w:rFonts w:ascii="Times New Roman" w:hAnsi="Times New Roman" w:cs="Times New Roman"/>
          <w:i/>
        </w:rPr>
        <w:t>“Ordonnance Pénale En Matière Correctionnelle”</w:t>
      </w:r>
      <w:r>
        <w:rPr>
          <w:rFonts w:ascii="Times New Roman" w:hAnsi="Times New Roman" w:cs="Times New Roman"/>
        </w:rPr>
        <w:t xml:space="preserve">, Recueil Dalloz, 2003, s. 2777. </w:t>
      </w:r>
    </w:p>
    <w:p w14:paraId="366A7D25" w14:textId="2787A84E"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YENİSEY</w:t>
      </w:r>
      <w:r w:rsidRPr="003D134E">
        <w:rPr>
          <w:rFonts w:ascii="Times New Roman" w:hAnsi="Times New Roman" w:cs="Times New Roman"/>
        </w:rPr>
        <w:t xml:space="preserve">, Feridun, </w:t>
      </w:r>
      <w:r w:rsidRPr="00E56569">
        <w:rPr>
          <w:rFonts w:ascii="Times New Roman" w:hAnsi="Times New Roman" w:cs="Times New Roman"/>
          <w:i/>
        </w:rPr>
        <w:t>“Ceza Muhakemesi Süjelerinin İradelerinin Ceza Muhakemesinin Yürüyüşüne Etkisi Sorunu”</w:t>
      </w:r>
      <w:r w:rsidRPr="003D134E">
        <w:rPr>
          <w:rFonts w:ascii="Times New Roman" w:hAnsi="Times New Roman" w:cs="Times New Roman"/>
        </w:rPr>
        <w:t xml:space="preserve">, Marmara Üniversitesi Hukuk Fakültesi </w:t>
      </w:r>
      <w:r w:rsidR="006A23F0">
        <w:rPr>
          <w:rFonts w:ascii="Times New Roman" w:hAnsi="Times New Roman" w:cs="Times New Roman"/>
        </w:rPr>
        <w:t>Hukuk Araştırmaları Dergisi, Sayı:</w:t>
      </w:r>
      <w:r w:rsidRPr="001F7104">
        <w:rPr>
          <w:rFonts w:ascii="Times New Roman" w:hAnsi="Times New Roman" w:cs="Times New Roman"/>
        </w:rPr>
        <w:t xml:space="preserve"> 19/2, Aralık 2013, s. 453-470. </w:t>
      </w:r>
    </w:p>
    <w:p w14:paraId="682FAC91" w14:textId="6347CD19" w:rsidR="008D612E" w:rsidRDefault="008D612E" w:rsidP="000E781D">
      <w:pPr>
        <w:spacing w:line="360" w:lineRule="auto"/>
        <w:jc w:val="both"/>
        <w:rPr>
          <w:rFonts w:ascii="Times New Roman" w:hAnsi="Times New Roman" w:cs="Times New Roman"/>
        </w:rPr>
      </w:pPr>
      <w:r w:rsidRPr="008D612E">
        <w:rPr>
          <w:rFonts w:ascii="Times New Roman" w:hAnsi="Times New Roman" w:cs="Times New Roman"/>
          <w:b/>
        </w:rPr>
        <w:t>YENİSEY</w:t>
      </w:r>
      <w:r>
        <w:rPr>
          <w:rFonts w:ascii="Times New Roman" w:hAnsi="Times New Roman" w:cs="Times New Roman"/>
        </w:rPr>
        <w:t xml:space="preserve">, </w:t>
      </w:r>
      <w:r w:rsidRPr="008D612E">
        <w:rPr>
          <w:rFonts w:ascii="Times New Roman" w:hAnsi="Times New Roman" w:cs="Times New Roman"/>
        </w:rPr>
        <w:t xml:space="preserve">Feridun, “Adli Teşkilat ve Muhakeme Usulü”, Ayşe Nuhoğlu (der.), </w:t>
      </w:r>
      <w:r w:rsidRPr="008D612E">
        <w:rPr>
          <w:rFonts w:ascii="Times New Roman" w:hAnsi="Times New Roman" w:cs="Times New Roman"/>
          <w:i/>
        </w:rPr>
        <w:t>Ceza Muhakemesi Hukuku Başvuru Kitabı</w:t>
      </w:r>
      <w:r w:rsidRPr="008D612E">
        <w:rPr>
          <w:rFonts w:ascii="Times New Roman" w:hAnsi="Times New Roman" w:cs="Times New Roman"/>
        </w:rPr>
        <w:t xml:space="preserve">, </w:t>
      </w:r>
      <w:r w:rsidR="0040161F">
        <w:rPr>
          <w:rFonts w:ascii="Times New Roman" w:hAnsi="Times New Roman" w:cs="Times New Roman"/>
        </w:rPr>
        <w:t xml:space="preserve">5. Baskı, </w:t>
      </w:r>
      <w:r w:rsidRPr="008D612E">
        <w:rPr>
          <w:rFonts w:ascii="Times New Roman" w:hAnsi="Times New Roman" w:cs="Times New Roman"/>
        </w:rPr>
        <w:t>Bilge Yayınevi, Ankara, 2020, s. 15-34</w:t>
      </w:r>
      <w:r>
        <w:rPr>
          <w:rFonts w:ascii="Times New Roman" w:hAnsi="Times New Roman" w:cs="Times New Roman"/>
        </w:rPr>
        <w:t xml:space="preserve">. </w:t>
      </w:r>
      <w:r w:rsidR="00A714A7">
        <w:rPr>
          <w:rFonts w:ascii="Times New Roman" w:hAnsi="Times New Roman" w:cs="Times New Roman"/>
        </w:rPr>
        <w:t>(Adli Teşkilat)</w:t>
      </w:r>
    </w:p>
    <w:p w14:paraId="0966A7AD" w14:textId="0D715B1F" w:rsidR="006A3AD2" w:rsidRDefault="006A3AD2" w:rsidP="000E781D">
      <w:pPr>
        <w:spacing w:line="360" w:lineRule="auto"/>
        <w:jc w:val="both"/>
        <w:rPr>
          <w:rFonts w:ascii="Times New Roman" w:hAnsi="Times New Roman" w:cs="Times New Roman"/>
        </w:rPr>
      </w:pPr>
      <w:r w:rsidRPr="006A3AD2">
        <w:rPr>
          <w:rFonts w:ascii="Times New Roman" w:hAnsi="Times New Roman" w:cs="Times New Roman"/>
          <w:b/>
        </w:rPr>
        <w:t>YENİSEY</w:t>
      </w:r>
      <w:r>
        <w:rPr>
          <w:rFonts w:ascii="Times New Roman" w:hAnsi="Times New Roman" w:cs="Times New Roman"/>
        </w:rPr>
        <w:t>,</w:t>
      </w:r>
      <w:r w:rsidRPr="006A3AD2">
        <w:rPr>
          <w:rFonts w:ascii="Times New Roman" w:hAnsi="Times New Roman" w:cs="Times New Roman"/>
        </w:rPr>
        <w:t xml:space="preserve"> </w:t>
      </w:r>
      <w:r>
        <w:rPr>
          <w:rFonts w:ascii="Times New Roman" w:hAnsi="Times New Roman" w:cs="Times New Roman"/>
        </w:rPr>
        <w:t>Feridun</w:t>
      </w:r>
      <w:r w:rsidRPr="006A3AD2">
        <w:rPr>
          <w:rFonts w:ascii="Times New Roman" w:hAnsi="Times New Roman" w:cs="Times New Roman"/>
        </w:rPr>
        <w:t xml:space="preserve">/ </w:t>
      </w:r>
      <w:r w:rsidRPr="006A3AD2">
        <w:rPr>
          <w:rFonts w:ascii="Times New Roman" w:hAnsi="Times New Roman" w:cs="Times New Roman"/>
          <w:b/>
        </w:rPr>
        <w:t>NUHOĞLU</w:t>
      </w:r>
      <w:r>
        <w:rPr>
          <w:rFonts w:ascii="Times New Roman" w:hAnsi="Times New Roman" w:cs="Times New Roman"/>
        </w:rPr>
        <w:t>,</w:t>
      </w:r>
      <w:r w:rsidRPr="006A3AD2">
        <w:rPr>
          <w:rFonts w:ascii="Times New Roman" w:hAnsi="Times New Roman" w:cs="Times New Roman"/>
        </w:rPr>
        <w:t xml:space="preserve"> Ayşe, </w:t>
      </w:r>
      <w:r w:rsidRPr="006A3AD2">
        <w:rPr>
          <w:rFonts w:ascii="Times New Roman" w:hAnsi="Times New Roman" w:cs="Times New Roman"/>
          <w:i/>
        </w:rPr>
        <w:t>Ceza Muhakemesi Hukuku</w:t>
      </w:r>
      <w:r w:rsidRPr="006A3AD2">
        <w:rPr>
          <w:rFonts w:ascii="Times New Roman" w:hAnsi="Times New Roman" w:cs="Times New Roman"/>
        </w:rPr>
        <w:t>, Güncellenmiş 7. Bası, Seçkin Yayınevi, Ankara,</w:t>
      </w:r>
      <w:r>
        <w:rPr>
          <w:rFonts w:ascii="Times New Roman" w:hAnsi="Times New Roman" w:cs="Times New Roman"/>
        </w:rPr>
        <w:t xml:space="preserve"> 2019. </w:t>
      </w:r>
    </w:p>
    <w:p w14:paraId="6C4CE430" w14:textId="7059F0AB" w:rsidR="00AB3E22" w:rsidRPr="001F7104" w:rsidRDefault="00AB3E22" w:rsidP="000E781D">
      <w:pPr>
        <w:spacing w:line="360" w:lineRule="auto"/>
        <w:jc w:val="both"/>
        <w:rPr>
          <w:rFonts w:ascii="Times New Roman" w:hAnsi="Times New Roman" w:cs="Times New Roman"/>
        </w:rPr>
      </w:pPr>
      <w:r w:rsidRPr="00AB3E22">
        <w:rPr>
          <w:rFonts w:ascii="Times New Roman" w:hAnsi="Times New Roman" w:cs="Times New Roman"/>
          <w:b/>
        </w:rPr>
        <w:t>YURTCAN</w:t>
      </w:r>
      <w:r>
        <w:rPr>
          <w:rFonts w:ascii="Times New Roman" w:hAnsi="Times New Roman" w:cs="Times New Roman"/>
        </w:rPr>
        <w:t xml:space="preserve">, </w:t>
      </w:r>
      <w:r w:rsidRPr="00AB3E22">
        <w:rPr>
          <w:rFonts w:ascii="Times New Roman" w:hAnsi="Times New Roman" w:cs="Times New Roman"/>
        </w:rPr>
        <w:t xml:space="preserve">Erdener, </w:t>
      </w:r>
      <w:r w:rsidRPr="00AB3E22">
        <w:rPr>
          <w:rFonts w:ascii="Times New Roman" w:hAnsi="Times New Roman" w:cs="Times New Roman"/>
          <w:i/>
        </w:rPr>
        <w:t>Ceza Yargılaması Hukuku</w:t>
      </w:r>
      <w:r w:rsidRPr="00AB3E22">
        <w:rPr>
          <w:rFonts w:ascii="Times New Roman" w:hAnsi="Times New Roman" w:cs="Times New Roman"/>
        </w:rPr>
        <w:t>, 16. Bası,</w:t>
      </w:r>
      <w:r>
        <w:rPr>
          <w:rFonts w:ascii="Times New Roman" w:hAnsi="Times New Roman" w:cs="Times New Roman"/>
        </w:rPr>
        <w:t xml:space="preserve"> Seçkin Yayınevi, Ankara, 2019. </w:t>
      </w:r>
    </w:p>
    <w:p w14:paraId="2E4FD699" w14:textId="5ABB572A" w:rsidR="00B37B51" w:rsidRDefault="00B37B51" w:rsidP="000E781D">
      <w:pPr>
        <w:spacing w:line="360" w:lineRule="auto"/>
        <w:jc w:val="both"/>
        <w:rPr>
          <w:rFonts w:ascii="Times New Roman" w:hAnsi="Times New Roman" w:cs="Times New Roman"/>
        </w:rPr>
      </w:pPr>
      <w:r w:rsidRPr="00E56569">
        <w:rPr>
          <w:rFonts w:ascii="Times New Roman" w:hAnsi="Times New Roman" w:cs="Times New Roman"/>
          <w:b/>
        </w:rPr>
        <w:t>ZOC</w:t>
      </w:r>
      <w:r w:rsidR="00A67CC4" w:rsidRPr="00E56569">
        <w:rPr>
          <w:rFonts w:ascii="Times New Roman" w:hAnsi="Times New Roman" w:cs="Times New Roman"/>
          <w:b/>
        </w:rPr>
        <w:t>C</w:t>
      </w:r>
      <w:r w:rsidRPr="00E56569">
        <w:rPr>
          <w:rFonts w:ascii="Times New Roman" w:hAnsi="Times New Roman" w:cs="Times New Roman"/>
          <w:b/>
        </w:rPr>
        <w:t>HETTO</w:t>
      </w:r>
      <w:r>
        <w:rPr>
          <w:rFonts w:ascii="Times New Roman" w:hAnsi="Times New Roman" w:cs="Times New Roman"/>
        </w:rPr>
        <w:t xml:space="preserve">, François, </w:t>
      </w:r>
      <w:r w:rsidRPr="00E56569">
        <w:rPr>
          <w:rFonts w:ascii="Times New Roman" w:hAnsi="Times New Roman" w:cs="Times New Roman"/>
          <w:i/>
        </w:rPr>
        <w:t>Rapport d’Information du Sénat Relatif aux Procédures Accélérées de Jugement en Matière Pénale</w:t>
      </w:r>
      <w:r w:rsidRPr="001D0EA8">
        <w:rPr>
          <w:rFonts w:ascii="Times New Roman" w:hAnsi="Times New Roman" w:cs="Times New Roman"/>
        </w:rPr>
        <w:t xml:space="preserve">, 2005-2006. </w:t>
      </w:r>
    </w:p>
    <w:sectPr w:rsidR="00B37B51" w:rsidSect="00A0137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2FF8D" w14:textId="77777777" w:rsidR="0085633D" w:rsidRDefault="0085633D" w:rsidP="00705A6E">
      <w:r>
        <w:separator/>
      </w:r>
    </w:p>
  </w:endnote>
  <w:endnote w:type="continuationSeparator" w:id="0">
    <w:p w14:paraId="71F9C57C" w14:textId="77777777" w:rsidR="0085633D" w:rsidRDefault="0085633D" w:rsidP="0070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0F21A" w14:textId="77777777" w:rsidR="0085633D" w:rsidRDefault="0085633D" w:rsidP="00E5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8B83E" w14:textId="77777777" w:rsidR="0085633D" w:rsidRDefault="0085633D" w:rsidP="00DE48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FCA4" w14:textId="77777777" w:rsidR="0085633D" w:rsidRDefault="0085633D" w:rsidP="00E5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D98">
      <w:rPr>
        <w:rStyle w:val="PageNumber"/>
        <w:noProof/>
      </w:rPr>
      <w:t>1</w:t>
    </w:r>
    <w:r>
      <w:rPr>
        <w:rStyle w:val="PageNumber"/>
      </w:rPr>
      <w:fldChar w:fldCharType="end"/>
    </w:r>
  </w:p>
  <w:p w14:paraId="475FAFE0" w14:textId="77777777" w:rsidR="0085633D" w:rsidRDefault="0085633D" w:rsidP="00DE48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55433" w14:textId="77777777" w:rsidR="0085633D" w:rsidRDefault="0085633D" w:rsidP="00705A6E">
      <w:r>
        <w:separator/>
      </w:r>
    </w:p>
  </w:footnote>
  <w:footnote w:type="continuationSeparator" w:id="0">
    <w:p w14:paraId="49511FBB" w14:textId="77777777" w:rsidR="0085633D" w:rsidRDefault="0085633D" w:rsidP="00705A6E">
      <w:r>
        <w:continuationSeparator/>
      </w:r>
    </w:p>
  </w:footnote>
  <w:footnote w:id="1">
    <w:p w14:paraId="6F9B412C" w14:textId="04377E5D" w:rsidR="0085633D" w:rsidRPr="002040B3" w:rsidRDefault="0085633D" w:rsidP="00AF1655">
      <w:pPr>
        <w:pStyle w:val="FootnoteText"/>
        <w:rPr>
          <w:lang w:val="tr-TR"/>
        </w:rPr>
      </w:pPr>
      <w:r w:rsidRPr="002040B3">
        <w:rPr>
          <w:rStyle w:val="FootnoteReference"/>
          <w:lang w:val="tr-TR"/>
        </w:rPr>
        <w:t>*</w:t>
      </w:r>
      <w:r w:rsidRPr="002040B3">
        <w:rPr>
          <w:lang w:val="tr-TR"/>
        </w:rPr>
        <w:t xml:space="preserve"> T.C. Maltepe Üniversitesi Hukuk Fakültesi Ceza ve Ceza Muhakemesi Hukuku Anabilim Dalı Araştırma Görevlisi, Yazarın ORCID Belirleyicisi: 0000-0002-6071-2080.  E-posta: </w:t>
      </w:r>
      <w:hyperlink r:id="rId1" w:history="1">
        <w:r w:rsidRPr="002040B3">
          <w:rPr>
            <w:rStyle w:val="Hyperlink"/>
            <w:lang w:val="tr-TR"/>
          </w:rPr>
          <w:t>melikeyetimoglu@maltepe.edu.tr</w:t>
        </w:r>
      </w:hyperlink>
      <w:r w:rsidRPr="002040B3">
        <w:rPr>
          <w:rStyle w:val="Hyperlink"/>
          <w:lang w:val="tr-TR"/>
        </w:rPr>
        <w:t xml:space="preserve">. </w:t>
      </w:r>
    </w:p>
  </w:footnote>
  <w:footnote w:id="2">
    <w:p w14:paraId="0E77D663" w14:textId="091DCE5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17.10.2019 tarihli 7188 sayılı “Ceza Muhakemesi Kanunu ve Bazı Kanunlarda Değişiklik Yapılması Hakkında Kanun”, RG. 24.10.2019, S. 30928  </w:t>
      </w:r>
      <w:hyperlink r:id="rId2" w:history="1">
        <w:r w:rsidRPr="002040B3">
          <w:rPr>
            <w:rStyle w:val="Hyperlink"/>
            <w:rFonts w:cs="Times New Roman"/>
            <w:lang w:val="tr-TR"/>
          </w:rPr>
          <w:t>https://www.resmigazete.gov.tr/eskiler/2019/10/20191024-25.htm</w:t>
        </w:r>
      </w:hyperlink>
      <w:r w:rsidRPr="002040B3">
        <w:rPr>
          <w:lang w:val="tr-TR"/>
        </w:rPr>
        <w:t xml:space="preserve"> (erişim tarihi: 10.12.2019).</w:t>
      </w:r>
    </w:p>
  </w:footnote>
  <w:footnote w:id="3">
    <w:p w14:paraId="224F5EE7" w14:textId="28B776B7"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Fransızca “</w:t>
      </w:r>
      <w:r w:rsidRPr="002040B3">
        <w:rPr>
          <w:i/>
          <w:lang w:val="tr-TR"/>
        </w:rPr>
        <w:t>comparution sur reconnaissance préalable de la culpabilité</w:t>
      </w:r>
      <w:r w:rsidRPr="002040B3">
        <w:rPr>
          <w:lang w:val="tr-TR"/>
        </w:rPr>
        <w:t xml:space="preserve">” terimi “suçluluğun yargılamadan önce fail tarafından kabulü” olarak da tercüme edilmektedir. Mustafa Duran, </w:t>
      </w:r>
      <w:r w:rsidRPr="002040B3">
        <w:rPr>
          <w:i/>
          <w:lang w:val="tr-TR"/>
        </w:rPr>
        <w:t>Fransız Adli Yargı Sistemi</w:t>
      </w:r>
      <w:r w:rsidRPr="002040B3">
        <w:rPr>
          <w:lang w:val="tr-TR"/>
        </w:rPr>
        <w:t xml:space="preserve">, Adalet Yayınevi, Ankara, 2014, s. 112. Terimin diğer bir karşılığı “suçluluğun ön kabulü üzerine mahkeme önüne çıkma” veya “itirafa dayalı muhakeme” olarak ifade edilmiştir. Hakan Kızılarslan, </w:t>
      </w:r>
      <w:r w:rsidRPr="002040B3">
        <w:rPr>
          <w:i/>
          <w:lang w:val="tr-TR"/>
        </w:rPr>
        <w:t>“7188 Sayılı Kanun’la Ceza Muhakemesi Hukukuna Getirilen Seri Muhakeme ve Basit Yargılama Usulleri”</w:t>
      </w:r>
      <w:r w:rsidRPr="002040B3">
        <w:rPr>
          <w:lang w:val="tr-TR"/>
        </w:rPr>
        <w:t xml:space="preserve">, Bahçeşehir Üniversitesi Hukuk Fakültesi Dergisi, Sayı: 183-184, Cilt: 14, Kasım-Aralık 2019, s. 1885-1960, s. 1900, 1902. Yine bu kurumun karşılığı olarak “ikrar muhakemesi usulü” terimi de kullanılmaktadır. Gülfem Pamuk, </w:t>
      </w:r>
      <w:r w:rsidRPr="002040B3">
        <w:rPr>
          <w:i/>
          <w:lang w:val="tr-TR"/>
        </w:rPr>
        <w:t>Türk ve Fransız Ceza Muhakemesi Hukuku’nda Mağdurun Makam Olarak Yeri</w:t>
      </w:r>
      <w:r w:rsidRPr="002040B3">
        <w:rPr>
          <w:lang w:val="tr-TR"/>
        </w:rPr>
        <w:t xml:space="preserve">, Beta Yayınları, İstanbul, 2012, s. 117. Fransız hukukunda bu usul mahkeme önünde duruşmalı olarak uygulandığı için, çalışmada Gerekçe’de kullanılan “suçluluğun ön kabulü üzerine duruşma” ifadesinin kullanılması tercih edilmiştir. </w:t>
      </w:r>
    </w:p>
  </w:footnote>
  <w:footnote w:id="4">
    <w:p w14:paraId="6C52D21D" w14:textId="417C6736" w:rsidR="0085633D" w:rsidRPr="002040B3" w:rsidRDefault="0085633D" w:rsidP="00AF1655">
      <w:pPr>
        <w:pStyle w:val="FootnoteText"/>
        <w:rPr>
          <w:lang w:val="tr-TR"/>
        </w:rPr>
      </w:pPr>
      <w:r w:rsidRPr="002040B3">
        <w:rPr>
          <w:rStyle w:val="FootnoteReference"/>
          <w:rFonts w:cs="Times New Roman"/>
          <w:lang w:val="tr-TR"/>
        </w:rPr>
        <w:footnoteRef/>
      </w:r>
      <w:hyperlink r:id="rId3" w:history="1">
        <w:r w:rsidRPr="002040B3">
          <w:rPr>
            <w:rStyle w:val="Hyperlink"/>
            <w:rFonts w:cs="Times New Roman"/>
            <w:lang w:val="tr-TR"/>
          </w:rPr>
          <w:t>https://mevzuat.tbmm.gov.tr/mevzuat/faces/kanunmaddeleri?pkanunlarno=256570&amp;pkanunnumarasi=7188</w:t>
        </w:r>
      </w:hyperlink>
      <w:r w:rsidRPr="002040B3">
        <w:rPr>
          <w:lang w:val="tr-TR"/>
        </w:rPr>
        <w:t xml:space="preserve">  (erişim tarihi: 10.12.2019).</w:t>
      </w:r>
    </w:p>
  </w:footnote>
  <w:footnote w:id="5">
    <w:p w14:paraId="7AF85E81" w14:textId="5E5F4620" w:rsidR="0085633D" w:rsidRPr="002040B3" w:rsidRDefault="0085633D" w:rsidP="00AF1655">
      <w:pPr>
        <w:pStyle w:val="FootnoteText"/>
        <w:rPr>
          <w:lang w:val="tr-TR"/>
        </w:rPr>
      </w:pPr>
      <w:r w:rsidRPr="002040B3">
        <w:rPr>
          <w:rStyle w:val="FootnoteReference"/>
          <w:rFonts w:cs="Times New Roman"/>
          <w:lang w:val="tr-TR"/>
        </w:rPr>
        <w:footnoteRef/>
      </w:r>
      <w:hyperlink r:id="rId4" w:history="1">
        <w:r w:rsidRPr="002040B3">
          <w:rPr>
            <w:rStyle w:val="Hyperlink"/>
            <w:rFonts w:cs="Times New Roman"/>
            <w:lang w:val="tr-TR"/>
          </w:rPr>
          <w:t>https://mevzuat.tbmm.gov.tr/mevzuat/faces/kanunmaddeleri?pkanunlarno=256570&amp;pkanunnumarasi=7188</w:t>
        </w:r>
      </w:hyperlink>
      <w:r w:rsidRPr="002040B3">
        <w:rPr>
          <w:lang w:val="tr-TR"/>
        </w:rPr>
        <w:t xml:space="preserve"> (erişim tarihi: 10.12.2019).</w:t>
      </w:r>
    </w:p>
  </w:footnote>
  <w:footnote w:id="6">
    <w:p w14:paraId="6530DB1B" w14:textId="7442B076" w:rsidR="0085633D" w:rsidRPr="002040B3" w:rsidRDefault="0085633D" w:rsidP="00AF1655">
      <w:pPr>
        <w:pStyle w:val="FootnoteText"/>
        <w:rPr>
          <w:rFonts w:cs="Times New Roman"/>
          <w:lang w:val="tr-TR"/>
        </w:rPr>
      </w:pPr>
      <w:r w:rsidRPr="002040B3">
        <w:rPr>
          <w:rStyle w:val="FootnoteReference"/>
          <w:rFonts w:cs="Times New Roman"/>
          <w:lang w:val="tr-TR"/>
        </w:rPr>
        <w:footnoteRef/>
      </w:r>
      <w:hyperlink r:id="rId5" w:history="1">
        <w:r w:rsidRPr="002040B3">
          <w:rPr>
            <w:rStyle w:val="Hyperlink"/>
            <w:rFonts w:cs="Times New Roman"/>
            <w:lang w:val="tr-TR"/>
          </w:rPr>
          <w:t>https://www.legifrance.gouv.fr/affichCode.do;jsessionid=89F54B4156045EFB398B9A0932965C09.tplgfr32s_1?cidTexte=LEGITEXT000006071154&amp;dateTexte=20191119</w:t>
        </w:r>
      </w:hyperlink>
      <w:r w:rsidRPr="002040B3">
        <w:rPr>
          <w:rFonts w:cs="Times New Roman"/>
          <w:lang w:val="tr-TR"/>
        </w:rPr>
        <w:t xml:space="preserve"> (erişim tarihi: 10.12.2019).</w:t>
      </w:r>
    </w:p>
  </w:footnote>
  <w:footnote w:id="7">
    <w:p w14:paraId="138DA41B"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09.03.2004 tarih, 2004-204 sayılı Kanun, JORF No. 59, 10.03.2004. </w:t>
      </w:r>
    </w:p>
  </w:footnote>
  <w:footnote w:id="8">
    <w:p w14:paraId="64B71700" w14:textId="3473A43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13.12.2011 tarih, 2011-1862 sayılı Kanun, JORF No. 0289, 14.12.2011. François Molins, </w:t>
      </w:r>
      <w:r w:rsidRPr="002040B3">
        <w:rPr>
          <w:i/>
          <w:lang w:val="tr-TR"/>
        </w:rPr>
        <w:t>Comparution Sur Reconnaissance Préalable de la Culpabilité</w:t>
      </w:r>
      <w:r w:rsidRPr="002040B3">
        <w:rPr>
          <w:lang w:val="tr-TR"/>
        </w:rPr>
        <w:t xml:space="preserve">, Repertoire de Droit Pénal et de Procédure Pénale, Editions Dalloz, 2018, parag. 4. </w:t>
      </w:r>
    </w:p>
  </w:footnote>
  <w:footnote w:id="9">
    <w:p w14:paraId="6C6E9F61" w14:textId="5CDB0CC0"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François Zocchetto, </w:t>
      </w:r>
      <w:r w:rsidRPr="002040B3">
        <w:rPr>
          <w:i/>
          <w:lang w:val="tr-TR"/>
        </w:rPr>
        <w:t>Rapport d’Information du Sénat Relatif aux Procédures Accélérées de Jugement en Matière Pénale</w:t>
      </w:r>
      <w:r w:rsidRPr="002040B3">
        <w:rPr>
          <w:lang w:val="tr-TR"/>
        </w:rPr>
        <w:t xml:space="preserve">, 2005-2006, s. 11; Farklı ülkelerdeki örneklere ilişkin Fransız Senatosu Bilgi Notu için bkz. Les documents de Travail du Sénat - Étude de législation comparée n° 146 - mai 2005 – Les procédures pénales accélérées, </w:t>
      </w:r>
      <w:hyperlink r:id="rId6" w:history="1">
        <w:r w:rsidRPr="002040B3">
          <w:rPr>
            <w:rStyle w:val="Hyperlink"/>
            <w:lang w:val="tr-TR"/>
          </w:rPr>
          <w:t>https://www.senat.fr/lc/lc146/lc1460.html</w:t>
        </w:r>
      </w:hyperlink>
      <w:r w:rsidRPr="002040B3">
        <w:rPr>
          <w:lang w:val="tr-TR"/>
        </w:rPr>
        <w:t xml:space="preserve"> (erişim tarihi: 13.12.2019).</w:t>
      </w:r>
    </w:p>
  </w:footnote>
  <w:footnote w:id="10">
    <w:p w14:paraId="6B4C0664" w14:textId="3563DC76"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2. </w:t>
      </w:r>
    </w:p>
  </w:footnote>
  <w:footnote w:id="11">
    <w:p w14:paraId="6297E648" w14:textId="54E10554"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Zocchetto, s. 9. </w:t>
      </w:r>
    </w:p>
  </w:footnote>
  <w:footnote w:id="12">
    <w:p w14:paraId="534B0520" w14:textId="1103CE2F"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Jean Pradel, </w:t>
      </w:r>
      <w:r w:rsidRPr="002040B3">
        <w:rPr>
          <w:i/>
          <w:lang w:val="tr-TR"/>
        </w:rPr>
        <w:t>Procédure Pénale</w:t>
      </w:r>
      <w:r w:rsidRPr="002040B3">
        <w:rPr>
          <w:lang w:val="tr-TR"/>
        </w:rPr>
        <w:t xml:space="preserve">, 16. Bası, Editions Cujas, Paris, 2011, s. 525. </w:t>
      </w:r>
    </w:p>
  </w:footnote>
  <w:footnote w:id="13">
    <w:p w14:paraId="05748FA3" w14:textId="23CCF31E"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Zocchetto, s. 9; Muriel Giacopelli, </w:t>
      </w:r>
      <w:r w:rsidRPr="002040B3">
        <w:rPr>
          <w:i/>
          <w:lang w:val="tr-TR"/>
        </w:rPr>
        <w:t>“Les Procédures Alternatives aux Poursuites, Essai de Théorie Générale”</w:t>
      </w:r>
      <w:r w:rsidRPr="002040B3">
        <w:rPr>
          <w:lang w:val="tr-TR"/>
        </w:rPr>
        <w:t xml:space="preserve">, Revue de Science Criminelle et de Droit Pénal Comparé, No. 3, 2012/3, Editions Dalloz, Paris, s. 505-521, s. 507-508. </w:t>
      </w:r>
    </w:p>
  </w:footnote>
  <w:footnote w:id="14">
    <w:p w14:paraId="6568AF46" w14:textId="2490A24E"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Diane Floréancig, </w:t>
      </w:r>
      <w:r w:rsidRPr="002040B3">
        <w:rPr>
          <w:i/>
          <w:lang w:val="tr-TR"/>
        </w:rPr>
        <w:t>Les Alternatives en Procédure Pénale</w:t>
      </w:r>
      <w:r w:rsidRPr="002040B3">
        <w:rPr>
          <w:lang w:val="tr-TR"/>
        </w:rPr>
        <w:t xml:space="preserve">, Yüksek Lisans Tezi, Université Paris II – Panthéon Assas, Paris, 2013, s. 16. </w:t>
      </w:r>
    </w:p>
  </w:footnote>
  <w:footnote w:id="15">
    <w:p w14:paraId="342B9AC2" w14:textId="31FCDEE1"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Zocchetto, s. 9. </w:t>
      </w:r>
    </w:p>
  </w:footnote>
  <w:footnote w:id="16">
    <w:p w14:paraId="473963A3" w14:textId="4CFF3D45" w:rsidR="0085633D" w:rsidRPr="002040B3" w:rsidRDefault="0085633D" w:rsidP="00AF1655">
      <w:pPr>
        <w:pStyle w:val="FootnoteText"/>
        <w:rPr>
          <w:lang w:val="tr-TR"/>
        </w:rPr>
      </w:pPr>
      <w:r w:rsidRPr="002040B3">
        <w:rPr>
          <w:vertAlign w:val="superscript"/>
          <w:lang w:val="tr-TR"/>
        </w:rPr>
        <w:footnoteRef/>
      </w:r>
      <w:r w:rsidRPr="002040B3">
        <w:rPr>
          <w:lang w:val="tr-TR"/>
        </w:rPr>
        <w:t xml:space="preserve"> Zocchetto, s. 10. </w:t>
      </w:r>
    </w:p>
  </w:footnote>
  <w:footnote w:id="17">
    <w:p w14:paraId="091C154F" w14:textId="48C8AB89"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Zocchetto, s. 10-11.</w:t>
      </w:r>
    </w:p>
  </w:footnote>
  <w:footnote w:id="18">
    <w:p w14:paraId="70362F8C" w14:textId="0011BA8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Floréancig, s. 16.</w:t>
      </w:r>
    </w:p>
  </w:footnote>
  <w:footnote w:id="19">
    <w:p w14:paraId="1C8F77E3" w14:textId="5FD55F3A"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Emmanuel Dreyer/ Olivier Mouysset, </w:t>
      </w:r>
      <w:r w:rsidRPr="002040B3">
        <w:rPr>
          <w:i/>
          <w:lang w:val="tr-TR"/>
        </w:rPr>
        <w:t>Procédure Pénale</w:t>
      </w:r>
      <w:r w:rsidRPr="002040B3">
        <w:rPr>
          <w:lang w:val="tr-TR"/>
        </w:rPr>
        <w:t xml:space="preserve">, LGDJ, Lextenso Editions, 2016, s. 79; Giacopelli, s. 505; Floréancig, s. 16; Molins, parag. 1. </w:t>
      </w:r>
    </w:p>
  </w:footnote>
  <w:footnote w:id="20">
    <w:p w14:paraId="0F9C82F3" w14:textId="3B779C4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525; Dreyer/ Mouysset, s. 79; Kovuşturmaya seçenek uygulamalar bu doğrultuda “üçüncü yol” (</w:t>
      </w:r>
      <w:r w:rsidRPr="002040B3">
        <w:rPr>
          <w:i/>
          <w:lang w:val="tr-TR"/>
        </w:rPr>
        <w:t>troisème voie</w:t>
      </w:r>
      <w:r w:rsidRPr="002040B3">
        <w:rPr>
          <w:lang w:val="tr-TR"/>
        </w:rPr>
        <w:t xml:space="preserve">) olarak da anılmaktadır. Zocchetto, s. 10. </w:t>
      </w:r>
    </w:p>
  </w:footnote>
  <w:footnote w:id="21">
    <w:p w14:paraId="2C1CC61F" w14:textId="6E77594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Bazı hallerde ise savcı istemediği halde kovuşturmaya devam etmek durumundadır. Gaston Stefani/ Georges Levasseur/ Bernard Bouloc, </w:t>
      </w:r>
      <w:r w:rsidRPr="002040B3">
        <w:rPr>
          <w:i/>
          <w:lang w:val="tr-TR"/>
        </w:rPr>
        <w:t>Procédure Pénale</w:t>
      </w:r>
      <w:r w:rsidRPr="002040B3">
        <w:rPr>
          <w:lang w:val="tr-TR"/>
        </w:rPr>
        <w:t xml:space="preserve">, 26. Bası, Editions Dalloz, Paris, 2018, s. 174-175; Dreyer/Mouysset, s. 80, 84-85. </w:t>
      </w:r>
    </w:p>
  </w:footnote>
  <w:footnote w:id="22">
    <w:p w14:paraId="32578F4D" w14:textId="3F6CD539"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Giacopelli, s. 506.</w:t>
      </w:r>
    </w:p>
  </w:footnote>
  <w:footnote w:id="23">
    <w:p w14:paraId="242F99C3" w14:textId="10D1676A"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Floréncig, s. 18; Alternatif yöntem çeşitleri hakkında bkz. Molins, parag. 1; Duran, s. 115-119; Dreyer/ Mouysset, s. 82-83.</w:t>
      </w:r>
    </w:p>
  </w:footnote>
  <w:footnote w:id="24">
    <w:p w14:paraId="38F07E10" w14:textId="247D7A2B"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Duran, s. 118; Dreyer/ Mouysset, s. 82-83; Floréancig, s. 17-18.</w:t>
      </w:r>
    </w:p>
  </w:footnote>
  <w:footnote w:id="25">
    <w:p w14:paraId="0FDD7A7A" w14:textId="4E92E3C4"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Zocchetto, s. 11. </w:t>
      </w:r>
    </w:p>
  </w:footnote>
  <w:footnote w:id="26">
    <w:p w14:paraId="6D297CE6" w14:textId="104435FA"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Fransız ceza muhakemesi hukuku sisteminin gerek teşkilat yapısı gerekse kurumların uygulanma koşulları Fransız ceza hukukunda benimsenen üçlü suç tasnifi üzerine inşa edilmiştir. Fransız Ceza Kanunu’nda açıkça belirtildiği şekilde suçlar (</w:t>
      </w:r>
      <w:r w:rsidRPr="002040B3">
        <w:rPr>
          <w:i/>
          <w:lang w:val="tr-TR"/>
        </w:rPr>
        <w:t>infractions</w:t>
      </w:r>
      <w:r w:rsidRPr="002040B3">
        <w:rPr>
          <w:lang w:val="tr-TR"/>
        </w:rPr>
        <w:t>), ağırlıklarına göre cürüm (</w:t>
      </w:r>
      <w:r w:rsidRPr="002040B3">
        <w:rPr>
          <w:i/>
          <w:lang w:val="tr-TR"/>
        </w:rPr>
        <w:t>crime</w:t>
      </w:r>
      <w:r w:rsidRPr="002040B3">
        <w:rPr>
          <w:lang w:val="tr-TR"/>
        </w:rPr>
        <w:t>), cünha (</w:t>
      </w:r>
      <w:r w:rsidRPr="002040B3">
        <w:rPr>
          <w:i/>
          <w:lang w:val="tr-TR"/>
        </w:rPr>
        <w:t>délit</w:t>
      </w:r>
      <w:r w:rsidRPr="002040B3">
        <w:rPr>
          <w:lang w:val="tr-TR"/>
        </w:rPr>
        <w:t>) ve kabahat (</w:t>
      </w:r>
      <w:r w:rsidRPr="002040B3">
        <w:rPr>
          <w:i/>
          <w:lang w:val="tr-TR"/>
        </w:rPr>
        <w:t>contravention</w:t>
      </w:r>
      <w:r w:rsidRPr="002040B3">
        <w:rPr>
          <w:lang w:val="tr-TR"/>
        </w:rPr>
        <w:t xml:space="preserve">) olmak üzere üç kategoriye ayrılmıştır (Fransız Ceza Kanunu m. 111-1). Yves Mayaud, </w:t>
      </w:r>
      <w:r w:rsidRPr="002040B3">
        <w:rPr>
          <w:i/>
          <w:lang w:val="tr-TR"/>
        </w:rPr>
        <w:t>Droit Pénal Général</w:t>
      </w:r>
      <w:r w:rsidRPr="002040B3">
        <w:rPr>
          <w:lang w:val="tr-TR"/>
        </w:rPr>
        <w:t>, Güncelleştirilmiş 5. Bası, PUF, Paris, 2015, s. 332. Fransız hukukunda, Türk hukukundan farklı olarak “suç” kavramı (</w:t>
      </w:r>
      <w:r w:rsidRPr="002040B3">
        <w:rPr>
          <w:i/>
          <w:lang w:val="tr-TR"/>
        </w:rPr>
        <w:t>infraction</w:t>
      </w:r>
      <w:r w:rsidRPr="002040B3">
        <w:rPr>
          <w:lang w:val="tr-TR"/>
        </w:rPr>
        <w:t>) bu üç kategorideki eylemlerin tamamını karşılayacak bir üst kavram olarak kullanılmakta, kabahatler de suç kavramının içerisinde kalmaktadır. Bu nedenle çalışmada Fransız hukukuna ilişkin açıklamalarda suç ve kabahat kavramları Fransız hukukundaki karşılıkları dikkate alınarak kullanılmıştır.</w:t>
      </w:r>
    </w:p>
  </w:footnote>
  <w:footnote w:id="27">
    <w:p w14:paraId="45B3DE5F" w14:textId="10512D35"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84. </w:t>
      </w:r>
    </w:p>
  </w:footnote>
  <w:footnote w:id="28">
    <w:p w14:paraId="034768DE" w14:textId="163F68A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Stefani/ Levasseur/ Bouloc, s. 910. </w:t>
      </w:r>
    </w:p>
  </w:footnote>
  <w:footnote w:id="29">
    <w:p w14:paraId="0EB8EF44" w14:textId="0C29B63B"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Kamu davasının açılma yolları için bkz. Stefani/ Levasseur/ Bouloc, s. 910-911; Dreyer/ Mouysset, s. 350-355. </w:t>
      </w:r>
    </w:p>
  </w:footnote>
  <w:footnote w:id="30">
    <w:p w14:paraId="1D7E3617" w14:textId="252416CC"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Dreyer/ Mouysset, s. 354; Jean Volff, </w:t>
      </w:r>
      <w:r w:rsidRPr="002040B3">
        <w:rPr>
          <w:i/>
          <w:lang w:val="tr-TR"/>
        </w:rPr>
        <w:t>“Ordonnance Pénale En Matière Correctionnelle”</w:t>
      </w:r>
      <w:r w:rsidRPr="002040B3">
        <w:rPr>
          <w:lang w:val="tr-TR"/>
        </w:rPr>
        <w:t>, Recueil Dalloz, 2003, s. 2777.</w:t>
      </w:r>
    </w:p>
  </w:footnote>
  <w:footnote w:id="31">
    <w:p w14:paraId="29E77175" w14:textId="3DC04051"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Bu yönüyle ihtiyari, yazılı ve çelişmesiz bir yargılama usulüdür. Volff, s. 2777, parag. 20. </w:t>
      </w:r>
    </w:p>
  </w:footnote>
  <w:footnote w:id="32">
    <w:p w14:paraId="091057AE"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09.03.2004 tarih, 2004-204 sayılı Kanun, JORF No. 59, 10.03.2004. </w:t>
      </w:r>
    </w:p>
  </w:footnote>
  <w:footnote w:id="33">
    <w:p w14:paraId="4AA37898" w14:textId="7438C0F9"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Zocchetto, s. 11; Molins, parag. 5. </w:t>
      </w:r>
    </w:p>
  </w:footnote>
  <w:footnote w:id="34">
    <w:p w14:paraId="59E7F4B1" w14:textId="4D648831"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Laurence Leturmy/ Jerome Bossan, </w:t>
      </w:r>
      <w:r w:rsidRPr="002040B3">
        <w:rPr>
          <w:i/>
          <w:lang w:val="tr-TR"/>
        </w:rPr>
        <w:t>La Comparution sur Reconnaissance Préalable de la Culpabilité: Bilans et Perspectives, (Rapport de recherche)</w:t>
      </w:r>
      <w:r w:rsidRPr="002040B3">
        <w:rPr>
          <w:lang w:val="tr-TR"/>
        </w:rPr>
        <w:t>, Mission de Recherche Droit et Justice, 2019, s. 7; Jean Paul Céré, “</w:t>
      </w:r>
      <w:r w:rsidRPr="002040B3">
        <w:rPr>
          <w:i/>
          <w:lang w:val="tr-TR"/>
        </w:rPr>
        <w:t>De La Composition Pénale A La Comparution Sur Reconnaissance Préalable De Culpabilité: “Le Plaider Coupable” A La Française”</w:t>
      </w:r>
      <w:r w:rsidRPr="002040B3">
        <w:rPr>
          <w:lang w:val="tr-TR"/>
        </w:rPr>
        <w:t>, AJ Pénal, Editions Dalloz, 2003, s. 45 vd.</w:t>
      </w:r>
    </w:p>
  </w:footnote>
  <w:footnote w:id="35">
    <w:p w14:paraId="10EECDFA" w14:textId="62C72C87"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Bouloc da bu usulün iddia pazarlığı (</w:t>
      </w:r>
      <w:r w:rsidRPr="002040B3">
        <w:rPr>
          <w:i/>
          <w:lang w:val="tr-TR"/>
        </w:rPr>
        <w:t>plaider coupable</w:t>
      </w:r>
      <w:r w:rsidRPr="002040B3">
        <w:rPr>
          <w:lang w:val="tr-TR"/>
        </w:rPr>
        <w:t xml:space="preserve">) olarak anılmasının hatalı olduğunu ifade etmektedir. Bouloc, s. 845. </w:t>
      </w:r>
    </w:p>
  </w:footnote>
  <w:footnote w:id="36">
    <w:p w14:paraId="4F5DFC50" w14:textId="62567641"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348; Leturmy/ Bossan, s. 3. </w:t>
      </w:r>
    </w:p>
  </w:footnote>
  <w:footnote w:id="37">
    <w:p w14:paraId="63A55989"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Delage, s. 1970. </w:t>
      </w:r>
    </w:p>
  </w:footnote>
  <w:footnote w:id="38">
    <w:p w14:paraId="4C593DA0" w14:textId="38C9B6A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Cürümlerin ağırlığı, kabahatlerin ise diğer birçok hızlı usul kapsamında yer alması nedeniyle dışarıda bırakıldığı ifade edilmektedir. Céré, s. 45 vd. </w:t>
      </w:r>
    </w:p>
  </w:footnote>
  <w:footnote w:id="39">
    <w:p w14:paraId="5776A103" w14:textId="2E0E6733"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Maddenin ilk düzenlenme şekli için bkz. 09.03.2004 tarih, 2004-204 sayılı Kanun, JORF No. 59, 10.03.2004.</w:t>
      </w:r>
    </w:p>
    <w:p w14:paraId="3573B26B" w14:textId="118B4829" w:rsidR="0085633D" w:rsidRPr="002040B3" w:rsidRDefault="00526D98" w:rsidP="00AF1655">
      <w:pPr>
        <w:pStyle w:val="FootnoteText"/>
        <w:rPr>
          <w:lang w:val="tr-TR"/>
        </w:rPr>
      </w:pPr>
      <w:hyperlink r:id="rId7" w:history="1">
        <w:r w:rsidR="0085633D" w:rsidRPr="002040B3">
          <w:rPr>
            <w:rStyle w:val="Hyperlink"/>
            <w:lang w:val="tr-TR"/>
          </w:rPr>
          <w:t>https://www.legifrance.gouv.fr/affichCodeArticle.do;jsessionid=885C08BE7F8A720AC8E00FE84CE870B7.tplgfr30s_1?idArticle=LEGIARTI000006576739&amp;cidTexte=LEGITEXT000006071154&amp;categorieLien=id&amp;dateTexte=20111214</w:t>
        </w:r>
      </w:hyperlink>
      <w:r w:rsidR="0085633D" w:rsidRPr="002040B3">
        <w:rPr>
          <w:lang w:val="tr-TR"/>
        </w:rPr>
        <w:t xml:space="preserve"> (erişim tarihi: 10.12.2019).</w:t>
      </w:r>
    </w:p>
  </w:footnote>
  <w:footnote w:id="40">
    <w:p w14:paraId="4C645F6D"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13.12.2011 tarih, 2011-1862 sayılı Kanun, JORF No. 0289, 14.12.2011. </w:t>
      </w:r>
    </w:p>
  </w:footnote>
  <w:footnote w:id="41">
    <w:p w14:paraId="3BE34B32" w14:textId="62909750"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23.10.2018 tarih, 2018-898 sayılı Kanun, JORF No. 0246, 24.10.2018. </w:t>
      </w:r>
    </w:p>
  </w:footnote>
  <w:footnote w:id="42">
    <w:p w14:paraId="023BCB15" w14:textId="34EF4865"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349; Leturmy/Bossan, s. 8; Molins, parag. 6, 11-16. </w:t>
      </w:r>
    </w:p>
  </w:footnote>
  <w:footnote w:id="43">
    <w:p w14:paraId="4DD591A6" w14:textId="6581979F"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14-16. </w:t>
      </w:r>
    </w:p>
  </w:footnote>
  <w:footnote w:id="44">
    <w:p w14:paraId="650B7E40" w14:textId="30ADF2C2"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6. </w:t>
      </w:r>
    </w:p>
  </w:footnote>
  <w:footnote w:id="45">
    <w:p w14:paraId="39491FDE" w14:textId="547345DE"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8. </w:t>
      </w:r>
    </w:p>
  </w:footnote>
  <w:footnote w:id="46">
    <w:p w14:paraId="255B004C" w14:textId="50D9E90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Bu hususta savcının tam bir takdir yetkisi bulunmaktadır. Céré, s. 45 vd. </w:t>
      </w:r>
    </w:p>
  </w:footnote>
  <w:footnote w:id="47">
    <w:p w14:paraId="2E52096D" w14:textId="08516E66"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Bu noktada failin savcılığın teklifini kabul etme yönündeki iradesinin ne ölçüde özgür olduğu tartışılmaktadır. Dreyer/ Mouysset, s. 349. </w:t>
      </w:r>
    </w:p>
  </w:footnote>
  <w:footnote w:id="48">
    <w:p w14:paraId="174E019A" w14:textId="44526AAE"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Stefani/ Levasseur/ Bouloc, s. 927; Dreyer/ Mouysset, s. 349. </w:t>
      </w:r>
    </w:p>
  </w:footnote>
  <w:footnote w:id="49">
    <w:p w14:paraId="060510EB" w14:textId="77777777"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Fransız CK m. 130-1’de cezanın amacı ve m. 132-1’de hakimin cezayı belirleme yetkisi ile cezanın belirlenmesinde dikkate alınacak hususlar (failin kişiliği, ekonomik ve ailevi durumu, suçun işleniş biçimi vb.) gösterilmiştir. </w:t>
      </w:r>
    </w:p>
    <w:p w14:paraId="49E70D86" w14:textId="7B6D9647" w:rsidR="0085633D" w:rsidRPr="002040B3" w:rsidRDefault="00526D98" w:rsidP="00AF1655">
      <w:pPr>
        <w:pStyle w:val="FootnoteText"/>
        <w:rPr>
          <w:lang w:val="tr-TR"/>
        </w:rPr>
      </w:pPr>
      <w:hyperlink r:id="rId8" w:history="1">
        <w:r w:rsidR="0085633D" w:rsidRPr="002040B3">
          <w:rPr>
            <w:rStyle w:val="Hyperlink"/>
            <w:lang w:val="tr-TR"/>
          </w:rPr>
          <w:t>https://www.legifrance.gouv.fr/affichCodeArticle.do?cidTexte=LEGITEXT000006070719&amp;idArticle=LEGIARTI000029363615&amp;dateTexte=&amp;categorieLien=cid</w:t>
        </w:r>
      </w:hyperlink>
      <w:r w:rsidR="0085633D" w:rsidRPr="002040B3">
        <w:rPr>
          <w:lang w:val="tr-TR"/>
        </w:rPr>
        <w:t xml:space="preserve"> (erişim tarihi: 20.12.2019).</w:t>
      </w:r>
    </w:p>
  </w:footnote>
  <w:footnote w:id="50">
    <w:p w14:paraId="50B92D0A"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350. </w:t>
      </w:r>
    </w:p>
  </w:footnote>
  <w:footnote w:id="51">
    <w:p w14:paraId="714E5B67" w14:textId="10624CF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Bouloc, s. 846; Stefani/ Levasseur/ Bouloc, s. 927. </w:t>
      </w:r>
    </w:p>
  </w:footnote>
  <w:footnote w:id="52">
    <w:p w14:paraId="66B7CEE7" w14:textId="6B6B7F69"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23.03.2019 tarihli, 2019-222 sayılı Kanun, JORF No. 0071, 24.03.2019. Molins, parag. 6. </w:t>
      </w:r>
    </w:p>
  </w:footnote>
  <w:footnote w:id="53">
    <w:p w14:paraId="34894F08"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28. </w:t>
      </w:r>
    </w:p>
  </w:footnote>
  <w:footnote w:id="54">
    <w:p w14:paraId="1CECAE7A"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Bouloc, s. 846; Dreyer/ Mouysset, s. 350; Stefani/ Levasseur/ Bouloc, s. 927; Molins, parag. 30. </w:t>
      </w:r>
    </w:p>
  </w:footnote>
  <w:footnote w:id="55">
    <w:p w14:paraId="67A9AAE7" w14:textId="7DB5A28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Céré, s. 45 vd. </w:t>
      </w:r>
    </w:p>
  </w:footnote>
  <w:footnote w:id="56">
    <w:p w14:paraId="1D61E6BE" w14:textId="28ED7A39"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350; Stefani/ Levasseur/ Bouloc, s. 927, dn. 2. </w:t>
      </w:r>
    </w:p>
  </w:footnote>
  <w:footnote w:id="57">
    <w:p w14:paraId="1830835D" w14:textId="182C50AB"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350. </w:t>
      </w:r>
    </w:p>
  </w:footnote>
  <w:footnote w:id="58">
    <w:p w14:paraId="71B366B7" w14:textId="52089A44"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Parlamentodaki tartışmalara ilişkin olarak bkz. François Desprez, “</w:t>
      </w:r>
      <w:r w:rsidRPr="002040B3">
        <w:rPr>
          <w:i/>
          <w:lang w:val="tr-TR"/>
        </w:rPr>
        <w:t>La Comparution Sur Reconnaissance Préalable de Culpabilité: 18 Mois d’Application à Montpellier (1er Octobre 2004-1er Avril 2006)</w:t>
      </w:r>
      <w:r w:rsidRPr="002040B3">
        <w:rPr>
          <w:lang w:val="tr-TR"/>
        </w:rPr>
        <w:t xml:space="preserve">”, Archives de Politique Criminelle, Editions A.Pédone, No. 28, 2006/1, s. 109-134, s. 112, dn. 11. </w:t>
      </w:r>
    </w:p>
  </w:footnote>
  <w:footnote w:id="59">
    <w:p w14:paraId="64C730A2" w14:textId="45CE9EB1"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Fransız AYM Kararı No. 2004-492DC, 02.03.2004, JO 10.03.2004, s. 4637. </w:t>
      </w:r>
    </w:p>
  </w:footnote>
  <w:footnote w:id="60">
    <w:p w14:paraId="709A3186" w14:textId="771F675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AYM kararının dışında AİHS m. 6/1 uyarınca adil yargılanma hakkı kapsamında yargılamanın aleniyeti ilkesi de bu durumu desteklemektedir. Pradel, s. 771. Kararda ayrıca AİHS m. 8, 9 ve 16’ya gönderme yapılarak hapis cezasına hükmedilebilen bir yargılamanın özel durumlar gerektirmediği sürece kamuya açık olması gerektiği vurgulanmıştır. Desprez, s. 112, dn. 11. </w:t>
      </w:r>
    </w:p>
  </w:footnote>
  <w:footnote w:id="61">
    <w:p w14:paraId="394728DE" w14:textId="035A99EA"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350-351. </w:t>
      </w:r>
    </w:p>
  </w:footnote>
  <w:footnote w:id="62">
    <w:p w14:paraId="79F7B1CC" w14:textId="1FC6AF5A"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Fransız AYM’nin 22.07.2005 tarih, 2005-520 sayılı kararıyla anılan kanun değişikliğinin Anayasa’ya uygun olduğuna hükmedilmiştir. Desprez, s. 123, dn. 42; Bu konudaki görüşler için bkz. Molins, parag. 35-37. </w:t>
      </w:r>
    </w:p>
  </w:footnote>
  <w:footnote w:id="63">
    <w:p w14:paraId="2E6CE78E"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123. </w:t>
      </w:r>
    </w:p>
  </w:footnote>
  <w:footnote w:id="64">
    <w:p w14:paraId="22FC0396"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772. </w:t>
      </w:r>
    </w:p>
  </w:footnote>
  <w:footnote w:id="65">
    <w:p w14:paraId="0995E23C" w14:textId="1715E4CF"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Pamuk, s. 38. </w:t>
      </w:r>
    </w:p>
  </w:footnote>
  <w:footnote w:id="66">
    <w:p w14:paraId="75E8706B" w14:textId="786FD0F6"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Pradel, s. 774; Pamuk, s. 118. </w:t>
      </w:r>
    </w:p>
  </w:footnote>
  <w:footnote w:id="67">
    <w:p w14:paraId="39225288" w14:textId="51E7D8A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Stefani/ Levasseur/ Bouloc, s. 928; Dreyer/ Mouysset, s. 352; Pamuk, s. 118. </w:t>
      </w:r>
    </w:p>
  </w:footnote>
  <w:footnote w:id="68">
    <w:p w14:paraId="6A215365" w14:textId="5A8D5434"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Stefani/ Levasseur/ Bouloc, s. 928. </w:t>
      </w:r>
    </w:p>
  </w:footnote>
  <w:footnote w:id="69">
    <w:p w14:paraId="1B73DB84" w14:textId="7C9D591A"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351. </w:t>
      </w:r>
    </w:p>
  </w:footnote>
  <w:footnote w:id="70">
    <w:p w14:paraId="08FB2168" w14:textId="19956D0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Céré, s. 45 vd.; Pradel, s. 772; Molins, parag. 39.</w:t>
      </w:r>
    </w:p>
  </w:footnote>
  <w:footnote w:id="71">
    <w:p w14:paraId="4327C731" w14:textId="0F00B066"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Molins, parag. 38. </w:t>
      </w:r>
    </w:p>
  </w:footnote>
  <w:footnote w:id="72">
    <w:p w14:paraId="56E44A42" w14:textId="1C6FEC42"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Gerekçe zorunluluğu kapsamında hakim, savcının cezayı Fransız CK m. 130-1 ve 132-1’e uygun olarak belirleyip bireyselleştirdiğini ve cezanın ağırlığının somut olayın koşullarıyla orantılı olduğunu da denetleyecektir. Molins, parag. 39. </w:t>
      </w:r>
    </w:p>
  </w:footnote>
  <w:footnote w:id="73">
    <w:p w14:paraId="4A98DE4C" w14:textId="77777777"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02.09.2004 Tarihli, Crim-04-12-E8-02.09.04 Sayılı Sirküler, </w:t>
      </w:r>
    </w:p>
    <w:p w14:paraId="40C439FC" w14:textId="085F60DA" w:rsidR="0085633D" w:rsidRPr="002040B3" w:rsidRDefault="00526D98" w:rsidP="00AF1655">
      <w:pPr>
        <w:pStyle w:val="FootnoteText"/>
        <w:rPr>
          <w:lang w:val="tr-TR"/>
        </w:rPr>
      </w:pPr>
      <w:hyperlink r:id="rId9" w:history="1">
        <w:r w:rsidR="0085633D" w:rsidRPr="002040B3">
          <w:rPr>
            <w:rStyle w:val="Hyperlink"/>
            <w:lang w:val="tr-TR"/>
          </w:rPr>
          <w:t>http://www.textes.justice.gouv.fr/art_pix/circulaire020904comparution.pdf</w:t>
        </w:r>
      </w:hyperlink>
      <w:r w:rsidR="0085633D" w:rsidRPr="002040B3">
        <w:rPr>
          <w:lang w:val="tr-TR"/>
        </w:rPr>
        <w:t xml:space="preserve"> (erişim tarihi: 10.12.2019).</w:t>
      </w:r>
    </w:p>
  </w:footnote>
  <w:footnote w:id="74">
    <w:p w14:paraId="5BD7AF89" w14:textId="4629F196"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774, dn. 1. Sirküler’de denetim kapsamında eylemin hukuki nitelemesinin yerinde olmadığına kanaat getiren hakim talebi reddetmek zorundadır. Çünkü iddia pazarlığından farklı olarak hukuki niteleme üzerinde anlaşılması mümkün değildir. Ayrıca Sirküler’de (2.3.3.1.3.) verilen cezanın orantılılığının hakimin, olağan usulde kendisinin öngörebileceği ceza miktarıyla savcının teklifi arasındaki farkın büyük olması halinde bozulduğunun kabul edileceği de vurgulanmıştır.  </w:t>
      </w:r>
    </w:p>
  </w:footnote>
  <w:footnote w:id="75">
    <w:p w14:paraId="50CD31E2" w14:textId="52D4635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351. </w:t>
      </w:r>
    </w:p>
  </w:footnote>
  <w:footnote w:id="76">
    <w:p w14:paraId="6288844A" w14:textId="163E5D86"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774. </w:t>
      </w:r>
    </w:p>
  </w:footnote>
  <w:footnote w:id="77">
    <w:p w14:paraId="6D78C169" w14:textId="780706C8"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49. </w:t>
      </w:r>
    </w:p>
  </w:footnote>
  <w:footnote w:id="78">
    <w:p w14:paraId="6EEB22B7" w14:textId="17632DE8"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50. </w:t>
      </w:r>
    </w:p>
  </w:footnote>
  <w:footnote w:id="79">
    <w:p w14:paraId="4F95AABB" w14:textId="069733B6"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774. </w:t>
      </w:r>
    </w:p>
  </w:footnote>
  <w:footnote w:id="80">
    <w:p w14:paraId="66C116E6" w14:textId="2C28089B"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Esasında cezayı baştan kabul eden şüphelinin daha sonra kanun yoluna başvurabilmesi imkanı çelişkili gibi gözükse de hem hükümlüye son kez kabulünden dönme imkanı tanınması hem de adil yargılanma hakkı kapsamında mahkumiyet hükmüne karşı kanun yoluna başvuru hakkının tanınması yükümlülüğünün bir gereği olarak dahil edildiği ifade edilmektedir. Molins, parag. 51, 52; Bouloc, s. 847. </w:t>
      </w:r>
    </w:p>
  </w:footnote>
  <w:footnote w:id="81">
    <w:p w14:paraId="05C3C522" w14:textId="27BEF59E"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45.</w:t>
      </w:r>
    </w:p>
  </w:footnote>
  <w:footnote w:id="82">
    <w:p w14:paraId="2A5C1904" w14:textId="1D21481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Dreyer/ Mouysset, s. 351. </w:t>
      </w:r>
    </w:p>
  </w:footnote>
  <w:footnote w:id="83">
    <w:p w14:paraId="1E304A4B" w14:textId="5F852671"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Ceza Muhakemesinde Seri Muhakeme Usulü Yönetmeliği, R.G. 31.12.2019, S. 30995 (4. Mükerrer).</w:t>
      </w:r>
    </w:p>
  </w:footnote>
  <w:footnote w:id="84">
    <w:p w14:paraId="06FAFAF5" w14:textId="182536E7" w:rsidR="0085633D" w:rsidRPr="002040B3" w:rsidRDefault="0085633D" w:rsidP="00AF1655">
      <w:pPr>
        <w:pStyle w:val="FootnoteText"/>
        <w:rPr>
          <w:lang w:val="tr-TR"/>
        </w:rPr>
      </w:pPr>
      <w:r w:rsidRPr="002040B3">
        <w:rPr>
          <w:rStyle w:val="FootnoteReference"/>
          <w:rFonts w:cs="Times New Roman"/>
          <w:lang w:val="tr-TR"/>
        </w:rPr>
        <w:footnoteRef/>
      </w:r>
      <w:hyperlink r:id="rId10" w:history="1">
        <w:r w:rsidRPr="002040B3">
          <w:rPr>
            <w:rStyle w:val="Hyperlink"/>
            <w:rFonts w:cs="Times New Roman"/>
            <w:lang w:val="tr-TR"/>
          </w:rPr>
          <w:t>https://mevzuat.tbmm.gov.tr/mevzuat/faces/kanunmaddeleri?pkanunlarno=256570&amp;pkanunnumarasi=7188</w:t>
        </w:r>
      </w:hyperlink>
      <w:r w:rsidRPr="002040B3">
        <w:rPr>
          <w:lang w:val="tr-TR"/>
        </w:rPr>
        <w:t xml:space="preserve">  (erişim tarihi: 10.12.2019).</w:t>
      </w:r>
    </w:p>
  </w:footnote>
  <w:footnote w:id="85">
    <w:p w14:paraId="6AB44800" w14:textId="027F543E" w:rsidR="0085633D" w:rsidRPr="002040B3" w:rsidRDefault="0085633D" w:rsidP="009D617B">
      <w:pPr>
        <w:widowControl w:val="0"/>
        <w:suppressLineNumbers/>
        <w:spacing w:line="240" w:lineRule="exact"/>
        <w:jc w:val="both"/>
        <w:rPr>
          <w:rFonts w:ascii="Times New Roman" w:hAnsi="Times New Roman" w:cs="Times New Roman"/>
          <w:sz w:val="20"/>
          <w:szCs w:val="20"/>
        </w:rPr>
      </w:pPr>
      <w:r w:rsidRPr="002040B3">
        <w:rPr>
          <w:rStyle w:val="FootnoteReference"/>
          <w:rFonts w:ascii="Times New Roman" w:hAnsi="Times New Roman" w:cs="Times New Roman"/>
          <w:sz w:val="20"/>
          <w:szCs w:val="20"/>
        </w:rPr>
        <w:footnoteRef/>
      </w:r>
      <w:r w:rsidRPr="002040B3">
        <w:rPr>
          <w:rFonts w:ascii="Times New Roman" w:hAnsi="Times New Roman" w:cs="Times New Roman"/>
          <w:sz w:val="20"/>
          <w:szCs w:val="20"/>
        </w:rPr>
        <w:t xml:space="preserve"> Bu suçlar CMK m. 250/ 1-a’da aşağıdaki şekilde sayılmış, Yönetmelik m. 6/1’de tekrar edilmiştir:  “a) Türk Ceza Kanununda yer alan;</w:t>
      </w:r>
    </w:p>
    <w:p w14:paraId="213B28F4"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1. Hakkı olmayan yere tecavüz (madde 154, ikinci ve üçüncü fıkra),</w:t>
      </w:r>
    </w:p>
    <w:p w14:paraId="2F5CBA76"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2. Genel güvenliğin kasten tehlikeye sokulması (madde 170),</w:t>
      </w:r>
    </w:p>
    <w:p w14:paraId="136A17DD"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3. Trafik güvenliğini tehlikeye sokma (madde 179, ikinci ve üçüncü fıkra),</w:t>
      </w:r>
    </w:p>
    <w:p w14:paraId="68222857"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4. Gürültüye neden olma (madde 183),</w:t>
      </w:r>
    </w:p>
    <w:p w14:paraId="01726E25"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5. Parada sahtecilik (madde 197, ikinci ve üçüncü fıkra),</w:t>
      </w:r>
    </w:p>
    <w:p w14:paraId="1DF8416F"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6. Mühür bozma (madde 203),</w:t>
      </w:r>
    </w:p>
    <w:p w14:paraId="57F2F772"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7. Resmi belgenin düzenlenmesinde yalan beyan (madde 206),</w:t>
      </w:r>
    </w:p>
    <w:p w14:paraId="1F0BB7A1"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8. Kumar oynanması için yer ve imkan sağlama (madde 228, birinci fıkra),</w:t>
      </w:r>
    </w:p>
    <w:p w14:paraId="1F906A2A"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9. Başkasına ait kimlik veya kimlik bilgilerinin kullanılması (madde 268),</w:t>
      </w:r>
    </w:p>
    <w:p w14:paraId="02459C76"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suçları.</w:t>
      </w:r>
    </w:p>
    <w:p w14:paraId="43900E1E"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b) 10/7/1953 tarihli ve 6136 sayılı Ateşli Silahlar ve Bıçaklar ile Diğer Aletler Hakkında Kanunun 13 üncü maddesinin birinci, üçüncü ve beşinci fıkraları ile 15 inci maddesinin birinci, ikinci ve üçüncü fıkralarında belirtilen suçlar.</w:t>
      </w:r>
    </w:p>
    <w:p w14:paraId="087A7809"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c) 31/8/1956 tarihli ve 6831 sayılı Orman Kanununun 93 üncü maddesinin birinci fıkrasında belirtilen suç.</w:t>
      </w:r>
    </w:p>
    <w:p w14:paraId="5D5BA14C" w14:textId="77777777" w:rsidR="0085633D" w:rsidRPr="002040B3" w:rsidRDefault="0085633D" w:rsidP="009D617B">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d) 13/12/1968 tarihli ve 1072 sayılı Rulet, Tilt, Langırt ve Benzeri Oyun Alet ve Makinaları Hakkında Kanunun 2 nci maddesinde belirtilen suç.</w:t>
      </w:r>
    </w:p>
    <w:p w14:paraId="680A18B3" w14:textId="245DCAC6" w:rsidR="0085633D" w:rsidRPr="002040B3" w:rsidRDefault="0085633D" w:rsidP="00812757">
      <w:pPr>
        <w:widowControl w:val="0"/>
        <w:suppressLineNumbers/>
        <w:spacing w:line="240" w:lineRule="exact"/>
        <w:ind w:firstLine="567"/>
        <w:jc w:val="both"/>
        <w:rPr>
          <w:rFonts w:ascii="Times New Roman" w:hAnsi="Times New Roman" w:cs="Times New Roman"/>
          <w:sz w:val="20"/>
          <w:szCs w:val="20"/>
        </w:rPr>
      </w:pPr>
      <w:r w:rsidRPr="002040B3">
        <w:rPr>
          <w:rFonts w:ascii="Times New Roman" w:hAnsi="Times New Roman" w:cs="Times New Roman"/>
          <w:sz w:val="20"/>
          <w:szCs w:val="20"/>
        </w:rPr>
        <w:t>e) 24/4/1969 tarihli ve 1163 sayılı Kooperatifler Kanununun ek 2 nci maddesinin birinci fıkrasının (1) numaralı bendinde belirtilen suç.”</w:t>
      </w:r>
    </w:p>
  </w:footnote>
  <w:footnote w:id="86">
    <w:p w14:paraId="0C765427" w14:textId="77777777" w:rsidR="0085633D" w:rsidRPr="002040B3" w:rsidRDefault="0085633D" w:rsidP="003D3E84">
      <w:pPr>
        <w:pStyle w:val="FootnoteText"/>
        <w:rPr>
          <w:lang w:val="tr-TR"/>
        </w:rPr>
      </w:pPr>
      <w:r w:rsidRPr="002040B3">
        <w:rPr>
          <w:rStyle w:val="FootnoteReference"/>
          <w:lang w:val="tr-TR"/>
        </w:rPr>
        <w:footnoteRef/>
      </w:r>
      <w:r w:rsidRPr="002040B3">
        <w:rPr>
          <w:lang w:val="tr-TR"/>
        </w:rPr>
        <w:t xml:space="preserve"> Hüsnü Aldemir, </w:t>
      </w:r>
      <w:r w:rsidRPr="002040B3">
        <w:rPr>
          <w:i/>
          <w:lang w:val="tr-TR"/>
        </w:rPr>
        <w:t>Ceza Yargılamasında</w:t>
      </w:r>
      <w:r w:rsidRPr="002040B3">
        <w:rPr>
          <w:lang w:val="tr-TR"/>
        </w:rPr>
        <w:t xml:space="preserve"> </w:t>
      </w:r>
      <w:r w:rsidRPr="002040B3">
        <w:rPr>
          <w:i/>
          <w:lang w:val="tr-TR"/>
        </w:rPr>
        <w:t>Seri Muhakeme ve Basit Yargılama Usulleri</w:t>
      </w:r>
      <w:r w:rsidRPr="002040B3">
        <w:rPr>
          <w:lang w:val="tr-TR"/>
        </w:rPr>
        <w:t xml:space="preserve">, 2. Baskı, Adalet Yayınevi, Ankara, 2020, s. 28. </w:t>
      </w:r>
    </w:p>
  </w:footnote>
  <w:footnote w:id="87">
    <w:p w14:paraId="2F4904F1" w14:textId="765E7254"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Kızılarslan, s. 1920.</w:t>
      </w:r>
    </w:p>
  </w:footnote>
  <w:footnote w:id="88">
    <w:p w14:paraId="01882F40" w14:textId="6CD76D4A"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w:t>
      </w:r>
      <w:r>
        <w:rPr>
          <w:lang w:val="tr-TR"/>
        </w:rPr>
        <w:t>Seri usuldeki suçların</w:t>
      </w:r>
      <w:r w:rsidRPr="002040B3">
        <w:rPr>
          <w:lang w:val="tr-TR"/>
        </w:rPr>
        <w:t xml:space="preserve"> mağdursuz suçlar ve uzlaşma kapsamında olmayan suçlar arasından seçildiğine ilişkin olarak bkz. Feridun Yenisey, “Adli Teşkilat ve Muhakeme Usulü”, Ayşe Nuhoğlu (der.), </w:t>
      </w:r>
      <w:r w:rsidRPr="002040B3">
        <w:rPr>
          <w:i/>
          <w:lang w:val="tr-TR"/>
        </w:rPr>
        <w:t>Ceza Muhakemesi Hukuku Başvuru Kitabı</w:t>
      </w:r>
      <w:r w:rsidRPr="002040B3">
        <w:rPr>
          <w:lang w:val="tr-TR"/>
        </w:rPr>
        <w:t xml:space="preserve">, 5. Baskı, Bilge Yayınevi, Ankara, 2020, s. 15-34, s. 27; Kanun koyucunun tercihinde şahsi mağduriyetin doğmadığı, kamuya karşı işlenen, genellikle düzenleyici işlemlerle de önlenmesi mümkün suçları dikkate aldığına ilişkin olarak bkz. Kızılarslan, s. 1923. </w:t>
      </w:r>
    </w:p>
  </w:footnote>
  <w:footnote w:id="89">
    <w:p w14:paraId="0D5B4D75" w14:textId="179D6AAC" w:rsidR="0085633D" w:rsidRPr="002040B3" w:rsidRDefault="0085633D" w:rsidP="00AF1655">
      <w:pPr>
        <w:pStyle w:val="FootnoteText"/>
        <w:rPr>
          <w:lang w:val="tr-TR"/>
        </w:rPr>
      </w:pPr>
      <w:r w:rsidRPr="002040B3">
        <w:rPr>
          <w:rStyle w:val="FootnoteReference"/>
          <w:lang w:val="tr-TR"/>
        </w:rPr>
        <w:footnoteRef/>
      </w:r>
      <w:hyperlink r:id="rId11" w:history="1">
        <w:r w:rsidRPr="002040B3">
          <w:rPr>
            <w:rStyle w:val="Hyperlink"/>
            <w:rFonts w:cs="Times New Roman"/>
            <w:lang w:val="tr-TR"/>
          </w:rPr>
          <w:t>https://mevzuat.tbmm.gov.tr/mevzuat/faces/kanunmaddeleri?pkanunlarno=256570&amp;pkanunnumarasi=7188</w:t>
        </w:r>
      </w:hyperlink>
      <w:r w:rsidRPr="002040B3">
        <w:rPr>
          <w:lang w:val="tr-TR"/>
        </w:rPr>
        <w:t xml:space="preserve">  (erişim tarihi: 10.12.2019). Bu usul kapsamında gösterilen suçların yaptırımlarının hafif olmadığı, bu suçların önemsiz görülmesi halinde cezalarının indirilmesi gerektiği hakkında bkz. Nur Centel/ Hamide Zafer, </w:t>
      </w:r>
      <w:r w:rsidRPr="002040B3">
        <w:rPr>
          <w:i/>
          <w:lang w:val="tr-TR"/>
        </w:rPr>
        <w:t>Ceza Muhakemesi Hukuku</w:t>
      </w:r>
      <w:r w:rsidRPr="002040B3">
        <w:rPr>
          <w:lang w:val="tr-TR"/>
        </w:rPr>
        <w:t>, 17. Bası, Beta Yayınları, İstanbul, 2020, s. 607.</w:t>
      </w:r>
    </w:p>
  </w:footnote>
  <w:footnote w:id="90">
    <w:p w14:paraId="1C603552" w14:textId="22F30425"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Aldemir, s. 63. </w:t>
      </w:r>
    </w:p>
  </w:footnote>
  <w:footnote w:id="91">
    <w:p w14:paraId="6ED5175D" w14:textId="3812E948" w:rsidR="0085633D" w:rsidRPr="002040B3" w:rsidRDefault="0085633D">
      <w:pPr>
        <w:pStyle w:val="FootnoteText"/>
        <w:rPr>
          <w:lang w:val="tr-TR"/>
        </w:rPr>
      </w:pPr>
      <w:r w:rsidRPr="002040B3">
        <w:rPr>
          <w:rStyle w:val="FootnoteReference"/>
          <w:lang w:val="tr-TR"/>
        </w:rPr>
        <w:footnoteRef/>
      </w:r>
      <w:r w:rsidRPr="002040B3">
        <w:rPr>
          <w:lang w:val="tr-TR"/>
        </w:rPr>
        <w:t xml:space="preserve"> Yenisey, Adli Teşkilat, s. 28. </w:t>
      </w:r>
    </w:p>
  </w:footnote>
  <w:footnote w:id="92">
    <w:p w14:paraId="567D1E90" w14:textId="31D4B772" w:rsidR="0085633D" w:rsidRPr="002040B3" w:rsidRDefault="0085633D" w:rsidP="00AF1655">
      <w:pPr>
        <w:pStyle w:val="FootnoteText"/>
        <w:rPr>
          <w:lang w:val="tr-TR"/>
        </w:rPr>
      </w:pPr>
      <w:r w:rsidRPr="002040B3">
        <w:rPr>
          <w:rStyle w:val="FootnoteReference"/>
          <w:rFonts w:cs="Times New Roman"/>
          <w:lang w:val="tr-TR"/>
        </w:rPr>
        <w:footnoteRef/>
      </w:r>
      <w:r>
        <w:rPr>
          <w:lang w:val="tr-TR"/>
        </w:rPr>
        <w:t xml:space="preserve"> Kızılarslan, s. 1916, 1917;</w:t>
      </w:r>
      <w:r w:rsidRPr="002040B3">
        <w:rPr>
          <w:lang w:val="tr-TR"/>
        </w:rPr>
        <w:t xml:space="preserve"> </w:t>
      </w:r>
      <w:r>
        <w:rPr>
          <w:lang w:val="tr-TR"/>
        </w:rPr>
        <w:t xml:space="preserve">Soruşturmanın genel muhakeme sürecinde olduğu gibi </w:t>
      </w:r>
      <w:r w:rsidRPr="002040B3">
        <w:rPr>
          <w:lang w:val="tr-TR"/>
        </w:rPr>
        <w:t xml:space="preserve">yürütülmesi </w:t>
      </w:r>
      <w:r>
        <w:rPr>
          <w:lang w:val="tr-TR"/>
        </w:rPr>
        <w:t>ve delillerin toplanması gerektiği hakkında bkz</w:t>
      </w:r>
      <w:r w:rsidRPr="002040B3">
        <w:rPr>
          <w:lang w:val="tr-TR"/>
        </w:rPr>
        <w:t xml:space="preserve">. Centel/ Zafer, s. 598, 600. </w:t>
      </w:r>
    </w:p>
  </w:footnote>
  <w:footnote w:id="93">
    <w:p w14:paraId="209A700F" w14:textId="3812636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Kızılarslan, s. 1930; Teklifi kabul etmenin şüphelinin eylemleri gerçekleştirdiğini ve sorumluluğu da kabul ettiği anlamına geldiği yönündeki görüş için bkz. Cumhur Şahin/ Neslihan Göktürk, </w:t>
      </w:r>
      <w:r w:rsidRPr="002040B3">
        <w:rPr>
          <w:i/>
          <w:lang w:val="tr-TR"/>
        </w:rPr>
        <w:t>Ceza Muhakemesi Hukuku II</w:t>
      </w:r>
      <w:r w:rsidRPr="002040B3">
        <w:rPr>
          <w:lang w:val="tr-TR"/>
        </w:rPr>
        <w:t xml:space="preserve">, 10. Bası, Seçkin Yayınları, Ankara, 2020, s. 205. </w:t>
      </w:r>
    </w:p>
  </w:footnote>
  <w:footnote w:id="94">
    <w:p w14:paraId="31C3CADD" w14:textId="3EA7250A"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Kızılarslan, s. 1925; Burada kanun koyucunun maddede sayılan kişilerin yargılamalarındaki özellikleri öne çıkarmayı amaçladığı hakkında bkz. Erdener Yurtcan, </w:t>
      </w:r>
      <w:r w:rsidRPr="002040B3">
        <w:rPr>
          <w:i/>
          <w:lang w:val="tr-TR"/>
        </w:rPr>
        <w:t>Ceza Yargılaması Hukuku</w:t>
      </w:r>
      <w:r w:rsidRPr="002040B3">
        <w:rPr>
          <w:lang w:val="tr-TR"/>
        </w:rPr>
        <w:t xml:space="preserve">, 16. Bası, Seçkin Yayınevi, Ankara, 2019, s. 719. </w:t>
      </w:r>
    </w:p>
  </w:footnote>
  <w:footnote w:id="95">
    <w:p w14:paraId="4BE78CCE" w14:textId="2BB369C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Aldemir, s. 282; Gülsün A. Aygörmez Uğurlubay/ Nuran Haydar/ Mehmet Korkmaz, </w:t>
      </w:r>
      <w:r w:rsidRPr="002040B3">
        <w:rPr>
          <w:i/>
          <w:lang w:val="tr-TR"/>
        </w:rPr>
        <w:t>“Seri Muhakeme Usulüne İlişkin Sorunlar”</w:t>
      </w:r>
      <w:r w:rsidRPr="002040B3">
        <w:rPr>
          <w:lang w:val="tr-TR"/>
        </w:rPr>
        <w:t xml:space="preserve">, ASBÜ Hukuk Fakültesi Dergisi, Sayı: 2019/2, s. 255-306, s. 263; Kızılarslan, s. 1915; </w:t>
      </w:r>
      <w:r>
        <w:rPr>
          <w:lang w:val="tr-TR"/>
        </w:rPr>
        <w:t>Yurtcan, s. 714;</w:t>
      </w:r>
      <w:r w:rsidRPr="002040B3">
        <w:rPr>
          <w:lang w:val="tr-TR"/>
        </w:rPr>
        <w:t xml:space="preserve"> </w:t>
      </w:r>
      <w:r>
        <w:rPr>
          <w:lang w:val="tr-TR"/>
        </w:rPr>
        <w:t xml:space="preserve">Yenisey, Adli Teşkilat, s. 28. </w:t>
      </w:r>
    </w:p>
  </w:footnote>
  <w:footnote w:id="96">
    <w:p w14:paraId="17EFB353" w14:textId="003B9C03"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Kızılarslan, s. 1929. </w:t>
      </w:r>
    </w:p>
  </w:footnote>
  <w:footnote w:id="97">
    <w:p w14:paraId="53141359" w14:textId="699932C6" w:rsidR="0085633D" w:rsidRPr="002040B3" w:rsidRDefault="0085633D">
      <w:pPr>
        <w:pStyle w:val="FootnoteText"/>
        <w:rPr>
          <w:lang w:val="tr-TR"/>
        </w:rPr>
      </w:pPr>
      <w:r w:rsidRPr="002040B3">
        <w:rPr>
          <w:rStyle w:val="FootnoteReference"/>
          <w:lang w:val="tr-TR"/>
        </w:rPr>
        <w:footnoteRef/>
      </w:r>
      <w:r w:rsidRPr="002040B3">
        <w:rPr>
          <w:lang w:val="tr-TR"/>
        </w:rPr>
        <w:t xml:space="preserve"> Teklifin müdafiin de hazır bulunduğu bir ortamda yapılmasının kanuni zorunluluk olduğu hakkında bkz. Aldemir, s. 64; Teklifin müdafiin hazır bulunduğu sırada yapılması gerektiği ve bu durumda şüpheliye ayrıca teklifi değerlendirme süresi verilmemesi gerektiği hakkında bkz. Şahin/ Göktürk, s. 205; Savcının teklifini şüphelinin müdafii hazır bulunmaksızın yapamayacağı, teklif sırasında şüpheli ve müdafiin savcının huzurunda bulunması gerektiği hakkında bkz. Yurtcan, s. 715. </w:t>
      </w:r>
    </w:p>
  </w:footnote>
  <w:footnote w:id="98">
    <w:p w14:paraId="23CE126F" w14:textId="3894A02E"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Müdafiin hazır bulunmadığı bilgilendirme aşamasında bilgilendirme adı altında tehditle itirafa yönlendirmesi tehlikesi bulunmaktadır. Kızılarslan, s. 1928. </w:t>
      </w:r>
    </w:p>
  </w:footnote>
  <w:footnote w:id="99">
    <w:p w14:paraId="4B65CB71" w14:textId="79E4C7BB"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Maddedeki ifadeden teklifin yalnızca seri muhakeme usulünün uygulanmasına yönelik olduğu anlaşılmaktadır. Kızılarslan, s. 1930. </w:t>
      </w:r>
    </w:p>
  </w:footnote>
  <w:footnote w:id="100">
    <w:p w14:paraId="673BD068" w14:textId="2B6DB25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w:t>
      </w:r>
      <w:hyperlink r:id="rId12" w:history="1">
        <w:r w:rsidRPr="002040B3">
          <w:rPr>
            <w:rStyle w:val="Hyperlink"/>
            <w:rFonts w:cs="Times New Roman"/>
            <w:lang w:val="tr-TR"/>
          </w:rPr>
          <w:t>https://www.resmigazete.gov.tr/eskiler/2019/12/20191231M4-2-1.pdf</w:t>
        </w:r>
      </w:hyperlink>
      <w:r w:rsidRPr="002040B3">
        <w:rPr>
          <w:lang w:val="tr-TR"/>
        </w:rPr>
        <w:t xml:space="preserve">  (erişim tarihi: 20.02.2020).</w:t>
      </w:r>
    </w:p>
  </w:footnote>
  <w:footnote w:id="101">
    <w:p w14:paraId="756D6209" w14:textId="0BD6395D" w:rsidR="0085633D" w:rsidRPr="002040B3" w:rsidRDefault="0085633D">
      <w:pPr>
        <w:pStyle w:val="FootnoteText"/>
        <w:rPr>
          <w:lang w:val="tr-TR"/>
        </w:rPr>
      </w:pPr>
      <w:r w:rsidRPr="002040B3">
        <w:rPr>
          <w:rStyle w:val="FootnoteReference"/>
          <w:lang w:val="tr-TR"/>
        </w:rPr>
        <w:footnoteRef/>
      </w:r>
      <w:r w:rsidRPr="002040B3">
        <w:rPr>
          <w:lang w:val="tr-TR"/>
        </w:rPr>
        <w:t xml:space="preserve"> Ceza indiriminin adil yargılanma</w:t>
      </w:r>
      <w:r>
        <w:rPr>
          <w:lang w:val="tr-TR"/>
        </w:rPr>
        <w:t xml:space="preserve"> kapsamındaki</w:t>
      </w:r>
      <w:r w:rsidRPr="002040B3">
        <w:rPr>
          <w:lang w:val="tr-TR"/>
        </w:rPr>
        <w:t xml:space="preserve"> bazı </w:t>
      </w:r>
      <w:r>
        <w:rPr>
          <w:lang w:val="tr-TR"/>
        </w:rPr>
        <w:t>haklardan</w:t>
      </w:r>
      <w:r w:rsidRPr="002040B3">
        <w:rPr>
          <w:lang w:val="tr-TR"/>
        </w:rPr>
        <w:t xml:space="preserve"> vazgeçilmesi karşılığında bir ödül olarak öngörüldüğü izlenimini yarattığı </w:t>
      </w:r>
      <w:r>
        <w:rPr>
          <w:lang w:val="tr-TR"/>
        </w:rPr>
        <w:t>görüşü için</w:t>
      </w:r>
      <w:r w:rsidRPr="002040B3">
        <w:rPr>
          <w:lang w:val="tr-TR"/>
        </w:rPr>
        <w:t xml:space="preserve"> bkz. Centel/Zafer, s. 607. </w:t>
      </w:r>
    </w:p>
  </w:footnote>
  <w:footnote w:id="102">
    <w:p w14:paraId="04DB8BEA" w14:textId="77777777" w:rsidR="0085633D" w:rsidRPr="002040B3" w:rsidRDefault="0085633D" w:rsidP="00C20D96">
      <w:pPr>
        <w:pStyle w:val="FootnoteText"/>
        <w:rPr>
          <w:lang w:val="tr-TR"/>
        </w:rPr>
      </w:pPr>
      <w:r w:rsidRPr="002040B3">
        <w:rPr>
          <w:rStyle w:val="FootnoteReference"/>
          <w:rFonts w:cs="Times New Roman"/>
          <w:lang w:val="tr-TR"/>
        </w:rPr>
        <w:footnoteRef/>
      </w:r>
      <w:r w:rsidRPr="002040B3">
        <w:rPr>
          <w:lang w:val="tr-TR"/>
        </w:rPr>
        <w:t xml:space="preserve"> Gerekçe metni için bkz. </w:t>
      </w:r>
    </w:p>
    <w:p w14:paraId="50D3ACD9" w14:textId="19816909" w:rsidR="0085633D" w:rsidRPr="002040B3" w:rsidRDefault="00526D98" w:rsidP="00C20D96">
      <w:pPr>
        <w:pStyle w:val="FootnoteText"/>
        <w:rPr>
          <w:lang w:val="tr-TR"/>
        </w:rPr>
      </w:pPr>
      <w:hyperlink r:id="rId13" w:history="1">
        <w:r w:rsidR="0085633D" w:rsidRPr="002040B3">
          <w:rPr>
            <w:rStyle w:val="Hyperlink"/>
            <w:rFonts w:cs="Times New Roman"/>
            <w:lang w:val="tr-TR"/>
          </w:rPr>
          <w:t>https://mevzuat.tbmm.gov.tr/mevzuat/faces/kanunmaddeleri?pkanunlarno=256570&amp;pkanunnumarasi=7188</w:t>
        </w:r>
      </w:hyperlink>
      <w:r w:rsidR="0085633D" w:rsidRPr="002040B3">
        <w:rPr>
          <w:lang w:val="tr-TR"/>
        </w:rPr>
        <w:t xml:space="preserve"> (erişim tarihi: 10.12. 2019); Savcının cezayı TCK m. 61/1’i göz önünde bulundurarak belirleyeceğine ilişkin bu düzenlemenin maddenin diğer fıkralarının uygulanmayacağı anlamına gelmediği yönündeki görüş için bkz. Şahin/ Göktürk, s. 205, dn. 332. </w:t>
      </w:r>
    </w:p>
  </w:footnote>
  <w:footnote w:id="103">
    <w:p w14:paraId="6CD5C5AA" w14:textId="21E11B3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Savcının indirim yapılmamasını takdir etme yetkisi veya indirim oranını değiştirme ya da takdiri indirim nedenlerini uygulama imkanı bulunmaz. Aldemir, s. 284. </w:t>
      </w:r>
    </w:p>
  </w:footnote>
  <w:footnote w:id="104">
    <w:p w14:paraId="48B4B7AE"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Gerekçe metni için bkz. </w:t>
      </w:r>
    </w:p>
    <w:p w14:paraId="4B4688ED" w14:textId="7C5C2546" w:rsidR="0085633D" w:rsidRPr="002040B3" w:rsidRDefault="00526D98" w:rsidP="00AF1655">
      <w:pPr>
        <w:pStyle w:val="FootnoteText"/>
        <w:rPr>
          <w:lang w:val="tr-TR"/>
        </w:rPr>
      </w:pPr>
      <w:hyperlink r:id="rId14" w:history="1">
        <w:r w:rsidR="0085633D" w:rsidRPr="002040B3">
          <w:rPr>
            <w:rStyle w:val="Hyperlink"/>
            <w:rFonts w:cs="Times New Roman"/>
            <w:lang w:val="tr-TR"/>
          </w:rPr>
          <w:t>https://mevzuat.tbmm.gov.tr/mevzuat/faces/kanunmaddeleri?pkanunlarno=256570&amp;pkanunnumarasi=7188</w:t>
        </w:r>
      </w:hyperlink>
      <w:r w:rsidR="0085633D" w:rsidRPr="002040B3">
        <w:rPr>
          <w:lang w:val="tr-TR"/>
        </w:rPr>
        <w:t xml:space="preserve"> (erişim tarihi: 10.12. 2019).</w:t>
      </w:r>
    </w:p>
  </w:footnote>
  <w:footnote w:id="105">
    <w:p w14:paraId="2457CD6C" w14:textId="50985B79"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Kızılarslan, s. 1933. </w:t>
      </w:r>
    </w:p>
  </w:footnote>
  <w:footnote w:id="106">
    <w:p w14:paraId="643E2C49" w14:textId="4CDF6962"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Buna göre talep yazısında: “a) Şüphelinin kimliği ve müdafii, b) Mağdur veya suçtan zarar görenlerin kimliği ile varsa vekili veya kanuni temsilcisi, c) İsnat olunan suç ve ilgili kanun maddeleri, </w:t>
      </w:r>
    </w:p>
    <w:p w14:paraId="7B7DC203" w14:textId="64F489DA" w:rsidR="0085633D" w:rsidRPr="002040B3" w:rsidRDefault="0085633D" w:rsidP="00AF1655">
      <w:pPr>
        <w:pStyle w:val="FootnoteText"/>
        <w:rPr>
          <w:lang w:val="tr-TR"/>
        </w:rPr>
      </w:pPr>
      <w:r w:rsidRPr="002040B3">
        <w:rPr>
          <w:lang w:val="tr-TR"/>
        </w:rPr>
        <w:t>ç) İsnat olunan suçun işlendiği yer, tarih ve zaman dilimi, d) Şüphelinin tutuklu olup olmadığı; tutuklanmış ise, gözaltına alma ve tutuklama tarihleri ile bunların süreleri, e) İsnat olunan suçu oluşturan olayların özeti, f) Cumhuriyet savcısı tarafından bu usulün uygulanmasının şüpheliye teklif edildiği ve şüphelinin müdafii huzurunda teklifi kabul ettiği, g) Belirlenen ceza ve/veya güvenlik tedbirleri ile uygulanmış</w:t>
      </w:r>
      <w:r>
        <w:rPr>
          <w:lang w:val="tr-TR"/>
        </w:rPr>
        <w:t xml:space="preserve"> </w:t>
      </w:r>
      <w:r w:rsidRPr="002040B3">
        <w:rPr>
          <w:lang w:val="tr-TR"/>
        </w:rPr>
        <w:t xml:space="preserve">ise hükmün açıklanmasının geri bırakılması, hapis cezasına seçenek yaptırımlar veya hapis cezasının ertelenmesine ilişkin hususlar,” yer alır. </w:t>
      </w:r>
    </w:p>
  </w:footnote>
  <w:footnote w:id="107">
    <w:p w14:paraId="13B6041A" w14:textId="4E4C3BE1"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Kızılarslan, s. 1939. </w:t>
      </w:r>
    </w:p>
  </w:footnote>
  <w:footnote w:id="108">
    <w:p w14:paraId="55D7E6CA" w14:textId="40253EC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Aldemir, s. 286. </w:t>
      </w:r>
    </w:p>
  </w:footnote>
  <w:footnote w:id="109">
    <w:p w14:paraId="64E2CFC3" w14:textId="58B9BC12"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Kızılarslan, s. 1941; Duruşmalı yapılacağına ilişkin olarak bkz. Aldemir, s. 174-175, s. 286.</w:t>
      </w:r>
    </w:p>
  </w:footnote>
  <w:footnote w:id="110">
    <w:p w14:paraId="12B0DE71" w14:textId="0A3B5909" w:rsidR="0085633D" w:rsidRPr="002040B3" w:rsidRDefault="0085633D" w:rsidP="00C47072">
      <w:pPr>
        <w:pStyle w:val="FootnoteText"/>
        <w:rPr>
          <w:lang w:val="tr-TR"/>
        </w:rPr>
      </w:pPr>
      <w:r w:rsidRPr="002040B3">
        <w:rPr>
          <w:rStyle w:val="FootnoteReference"/>
          <w:lang w:val="tr-TR"/>
        </w:rPr>
        <w:footnoteRef/>
      </w:r>
      <w:r w:rsidRPr="002040B3">
        <w:rPr>
          <w:lang w:val="tr-TR"/>
        </w:rPr>
        <w:t xml:space="preserve"> Seri usulün soruşturma evresinin “sonunda” uygulanacağına ilişkin ifadenin, bir sonraki evreye geçildiği izlenimi yarattığı ve bunun CMK m. 170/2’deki hatalı ifadeden kaynaklandığı hakkında bkz. Şahin/ Göktürk, s. 208, dn. 335. </w:t>
      </w:r>
    </w:p>
  </w:footnote>
  <w:footnote w:id="111">
    <w:p w14:paraId="7E63B79E" w14:textId="3E65C92C"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Burada yeni bir “soruşturmayı sona erdiren hal” yaratıldığı hakkında bkz. Kızılarslan, s. 1943; Seri muhakeme usulünün dava şartları kapsamında ele alınması hakkında bkz. Ahmet Gökcen/ Murat Balcı/ M. Emin Alşahin/ Kerim Çakır, </w:t>
      </w:r>
      <w:r w:rsidRPr="002040B3">
        <w:rPr>
          <w:i/>
          <w:lang w:val="tr-TR"/>
        </w:rPr>
        <w:t>Ceza Muhakemesi Hukuku</w:t>
      </w:r>
      <w:r w:rsidRPr="002040B3">
        <w:rPr>
          <w:lang w:val="tr-TR"/>
        </w:rPr>
        <w:t xml:space="preserve">, Adalet Yayınevi, Ankara, 2020, s. 89. </w:t>
      </w:r>
    </w:p>
  </w:footnote>
  <w:footnote w:id="112">
    <w:p w14:paraId="1500054D" w14:textId="77777777"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Gerekçe metni için bkz. </w:t>
      </w:r>
    </w:p>
    <w:p w14:paraId="7A7ED680" w14:textId="727E4D9B" w:rsidR="0085633D" w:rsidRPr="002040B3" w:rsidRDefault="00526D98" w:rsidP="00AF1655">
      <w:pPr>
        <w:pStyle w:val="FootnoteText"/>
        <w:rPr>
          <w:lang w:val="tr-TR"/>
        </w:rPr>
      </w:pPr>
      <w:hyperlink r:id="rId15" w:history="1">
        <w:r w:rsidR="0085633D" w:rsidRPr="002040B3">
          <w:rPr>
            <w:rStyle w:val="Hyperlink"/>
            <w:rFonts w:cs="Times New Roman"/>
            <w:lang w:val="tr-TR"/>
          </w:rPr>
          <w:t>https://mevzuat.tbmm.gov.tr/mevzuat/faces/kanunmaddeleri?pkanunlarno=256570&amp;pkanunnumarasi=7188</w:t>
        </w:r>
      </w:hyperlink>
      <w:r w:rsidR="0085633D" w:rsidRPr="002040B3">
        <w:rPr>
          <w:lang w:val="tr-TR"/>
        </w:rPr>
        <w:t xml:space="preserve"> (erişim tarihi: 10.12. 2019).</w:t>
      </w:r>
    </w:p>
  </w:footnote>
  <w:footnote w:id="113">
    <w:p w14:paraId="67217C36" w14:textId="2283ECAD" w:rsidR="0085633D" w:rsidRPr="002040B3" w:rsidRDefault="0085633D">
      <w:pPr>
        <w:pStyle w:val="FootnoteText"/>
        <w:rPr>
          <w:lang w:val="tr-TR"/>
        </w:rPr>
      </w:pPr>
      <w:r w:rsidRPr="002040B3">
        <w:rPr>
          <w:rStyle w:val="FootnoteReference"/>
          <w:lang w:val="tr-TR"/>
        </w:rPr>
        <w:footnoteRef/>
      </w:r>
      <w:r w:rsidRPr="002040B3">
        <w:rPr>
          <w:lang w:val="tr-TR"/>
        </w:rPr>
        <w:t xml:space="preserve"> Bu usulde mahkeme önündeki sürecin soruşturma evresine dahil olduğu ve duruşmaya ilişkin hükümlerin usule uygun olduğu ölçüde uygulanabileceği görüşü için bkz. Şahin/ Göktürk, s. 208. </w:t>
      </w:r>
    </w:p>
  </w:footnote>
  <w:footnote w:id="114">
    <w:p w14:paraId="12A759D4" w14:textId="3DF83394"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“Duruşmasız ceza kararnameleri:</w:t>
      </w:r>
    </w:p>
    <w:p w14:paraId="509C06BD" w14:textId="70E3C133" w:rsidR="0085633D" w:rsidRPr="002040B3" w:rsidRDefault="0085633D" w:rsidP="00AF1655">
      <w:pPr>
        <w:pStyle w:val="FootnoteText"/>
        <w:rPr>
          <w:lang w:val="tr-TR"/>
        </w:rPr>
      </w:pPr>
      <w:r w:rsidRPr="002040B3">
        <w:rPr>
          <w:lang w:val="tr-TR"/>
        </w:rPr>
        <w:t>Madde 386 – (Değişik: 5/3/1973 - 1696/49 md.) (Değişik birinci ve ikinci fıkralar: 7/1/1981 - 2369/10 md.): Sulh mahkemelerinin görevi içinde bulunan suçlara sulh hakimi, duruşma yapmaksızın bir ceza kararnamesi ile karar verebilir.</w:t>
      </w:r>
    </w:p>
    <w:p w14:paraId="0CBB67C4" w14:textId="20E6508A" w:rsidR="0085633D" w:rsidRPr="002040B3" w:rsidRDefault="0085633D" w:rsidP="00AF1655">
      <w:pPr>
        <w:pStyle w:val="FootnoteText"/>
        <w:rPr>
          <w:lang w:val="tr-TR"/>
        </w:rPr>
      </w:pPr>
      <w:r w:rsidRPr="002040B3">
        <w:rPr>
          <w:lang w:val="tr-TR"/>
        </w:rPr>
        <w:t>Bu ceza kararnamesi ile ancak hafif veya ağır para cezasına veya nihayet üç aya  kadar hafif hapis veya bir meslek ve sanatın icrasının tatiline veya müsadereye yahut bunlardan bir kaçına veya hepsine hükmedilebilir.</w:t>
      </w:r>
    </w:p>
    <w:p w14:paraId="5AB8208A" w14:textId="63E7E0C6" w:rsidR="0085633D" w:rsidRPr="002040B3" w:rsidRDefault="0085633D" w:rsidP="00AF1655">
      <w:pPr>
        <w:pStyle w:val="FootnoteText"/>
        <w:rPr>
          <w:lang w:val="tr-TR"/>
        </w:rPr>
      </w:pPr>
      <w:r w:rsidRPr="002040B3">
        <w:rPr>
          <w:lang w:val="tr-TR"/>
        </w:rPr>
        <w:t xml:space="preserve">Ceza kararnamesiyle hükmedilecek hafif hapis cezası yerine "Cezaların infazı hakkında Kanun" gereğince para cezası da hükmolunabilir.” </w:t>
      </w:r>
      <w:hyperlink r:id="rId16" w:history="1">
        <w:r w:rsidRPr="002040B3">
          <w:rPr>
            <w:rStyle w:val="Hyperlink"/>
            <w:lang w:val="tr-TR"/>
          </w:rPr>
          <w:t>https://www.mevzuat.gov.tr/MevzuatMetin/5.3.1412.pdf</w:t>
        </w:r>
      </w:hyperlink>
      <w:r>
        <w:rPr>
          <w:lang w:val="tr-TR"/>
        </w:rPr>
        <w:t xml:space="preserve"> (erişim tarihi: 25.03.2020).</w:t>
      </w:r>
      <w:r w:rsidRPr="002040B3">
        <w:rPr>
          <w:lang w:val="tr-TR"/>
        </w:rPr>
        <w:t xml:space="preserve"> Seri muhakeme usulünün genel olarak sulh ceza hakiminin ceza kararnamesi ile benzerlik gösterdiği hakkında bkz. </w:t>
      </w:r>
      <w:r>
        <w:rPr>
          <w:lang w:val="tr-TR"/>
        </w:rPr>
        <w:t xml:space="preserve">Yenisey, Adli Teşkilat, s. 27; </w:t>
      </w:r>
      <w:r w:rsidRPr="002040B3">
        <w:rPr>
          <w:lang w:val="tr-TR"/>
        </w:rPr>
        <w:t>Gökce</w:t>
      </w:r>
      <w:r>
        <w:rPr>
          <w:lang w:val="tr-TR"/>
        </w:rPr>
        <w:t>n/ Balcı/ Alşahin/ Çakır, s. 92.</w:t>
      </w:r>
      <w:r w:rsidRPr="002040B3">
        <w:rPr>
          <w:lang w:val="tr-TR"/>
        </w:rPr>
        <w:t xml:space="preserve"> </w:t>
      </w:r>
    </w:p>
  </w:footnote>
  <w:footnote w:id="115">
    <w:p w14:paraId="7894C26D" w14:textId="7D90CC98"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AYM Kararı, Esas Sayısı: 2004/36, Karar Sayısı: 2004/92, 30.6.2004. </w:t>
      </w:r>
      <w:hyperlink r:id="rId17" w:history="1">
        <w:r w:rsidRPr="002040B3">
          <w:rPr>
            <w:rStyle w:val="Hyperlink"/>
            <w:bCs/>
            <w:lang w:val="tr-TR"/>
          </w:rPr>
          <w:t>https://www.resmigazete.gov.tr/eskiler/2005/11/20051117-23.htm</w:t>
        </w:r>
      </w:hyperlink>
      <w:r w:rsidRPr="002040B3">
        <w:rPr>
          <w:lang w:val="tr-TR"/>
        </w:rPr>
        <w:t xml:space="preserve"> (erişim tarihi: 25.03.2020).</w:t>
      </w:r>
    </w:p>
  </w:footnote>
  <w:footnote w:id="116">
    <w:p w14:paraId="0852F2CD" w14:textId="66578458" w:rsidR="0085633D" w:rsidRPr="002040B3" w:rsidRDefault="0085633D" w:rsidP="004B1C4E">
      <w:pPr>
        <w:pStyle w:val="FootnoteText"/>
        <w:rPr>
          <w:lang w:val="tr-TR"/>
        </w:rPr>
      </w:pPr>
      <w:r w:rsidRPr="002040B3">
        <w:rPr>
          <w:rStyle w:val="FootnoteReference"/>
          <w:lang w:val="tr-TR"/>
        </w:rPr>
        <w:footnoteRef/>
      </w:r>
      <w:r w:rsidRPr="002040B3">
        <w:rPr>
          <w:lang w:val="tr-TR"/>
        </w:rPr>
        <w:t xml:space="preserve"> Mağdur, müşteki ve diğer ilgililerin dinlenilmesine ilişkin hüküm bulunmamasına yönelik eleştiriler için bkz. Aldemir, s. 175; Seri muhakeme usulünde suçtan zarar görenin menfaatlerinin korunmamış olmasına yönelik eleştiriler için bkz. Yenisey, Adli Teşkilat, s. 30.</w:t>
      </w:r>
      <w:r>
        <w:rPr>
          <w:lang w:val="tr-TR"/>
        </w:rPr>
        <w:t xml:space="preserve"> </w:t>
      </w:r>
    </w:p>
  </w:footnote>
  <w:footnote w:id="117">
    <w:p w14:paraId="30EEED75" w14:textId="3D12CBAF"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Madde metnindeki emirden hakimin hüküm kurmak konusunda takdir yetkisinin olmadığı anlaşılmaktadır. Uğurlubay/ Haydar/ Korkmaz, s. 272. </w:t>
      </w:r>
    </w:p>
  </w:footnote>
  <w:footnote w:id="118">
    <w:p w14:paraId="60FB260D" w14:textId="3BD5D2A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Gerekçe metni için bkz. </w:t>
      </w:r>
    </w:p>
    <w:p w14:paraId="2ACAD5DC" w14:textId="037FA1F6" w:rsidR="0085633D" w:rsidRPr="002040B3" w:rsidRDefault="00526D98" w:rsidP="00AF1655">
      <w:pPr>
        <w:pStyle w:val="FootnoteText"/>
        <w:rPr>
          <w:lang w:val="tr-TR"/>
        </w:rPr>
      </w:pPr>
      <w:hyperlink r:id="rId18" w:history="1">
        <w:r w:rsidR="0085633D" w:rsidRPr="002040B3">
          <w:rPr>
            <w:rStyle w:val="Hyperlink"/>
            <w:rFonts w:cs="Times New Roman"/>
            <w:lang w:val="tr-TR"/>
          </w:rPr>
          <w:t>https://mevzuat.tbmm.gov.tr/mevzuat/faces/kanunmaddeleri?pkanunlarno=256570&amp;pkanunnumarasi=7188</w:t>
        </w:r>
      </w:hyperlink>
      <w:r w:rsidR="0085633D" w:rsidRPr="002040B3">
        <w:rPr>
          <w:lang w:val="tr-TR"/>
        </w:rPr>
        <w:t xml:space="preserve"> (erişim tarihi: 10.12. 2019).</w:t>
      </w:r>
    </w:p>
  </w:footnote>
  <w:footnote w:id="119">
    <w:p w14:paraId="20DB6BD8" w14:textId="4578F2F6" w:rsidR="0085633D" w:rsidRPr="002040B3" w:rsidRDefault="0085633D" w:rsidP="00D37462">
      <w:pPr>
        <w:pStyle w:val="FootnoteText"/>
        <w:rPr>
          <w:lang w:val="tr-TR"/>
        </w:rPr>
      </w:pPr>
      <w:r w:rsidRPr="002040B3">
        <w:rPr>
          <w:rStyle w:val="FootnoteReference"/>
          <w:lang w:val="tr-TR"/>
        </w:rPr>
        <w:footnoteRef/>
      </w:r>
      <w:r w:rsidRPr="002040B3">
        <w:rPr>
          <w:lang w:val="tr-TR"/>
        </w:rPr>
        <w:t xml:space="preserve"> Savcının belirlediği ceza miktarının isabetli olmadığı kanaatine varıldığında talepnamenin reddine karar verilmesinin yerinde olacağına ilişkin bkz. Aldemir, s. 177; Mahkemenin savcının talebini aynen kabul etmek zorunda olmadığı ve dosyadaki bilgi ve belgelere göre savcının ortaya koyduğu sonuçları, cezanın belirlenmesi de dahil olmak üzere, her yönüyle değerlendirebileceğine ilişkin görüş için bkz. Yurtcan, s. 718. </w:t>
      </w:r>
    </w:p>
  </w:footnote>
  <w:footnote w:id="120">
    <w:p w14:paraId="1377B932" w14:textId="05F91F7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Aldemir, s. 285-286. </w:t>
      </w:r>
    </w:p>
  </w:footnote>
  <w:footnote w:id="121">
    <w:p w14:paraId="4667FF6E" w14:textId="6654C4EA"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Hükmün adli sicile kaydedileceği Yönetmelik m. 10/1-f’de bilgilendirme kapsamındaki hususlardan biri olarak gösterilmiştir. </w:t>
      </w:r>
    </w:p>
  </w:footnote>
  <w:footnote w:id="122">
    <w:p w14:paraId="2CDDD42A" w14:textId="5BCBEA19"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Feridun Yenisey/ Ayşe Nuhoğlu, </w:t>
      </w:r>
      <w:r w:rsidRPr="002040B3">
        <w:rPr>
          <w:i/>
          <w:lang w:val="tr-TR"/>
        </w:rPr>
        <w:t>Ceza Muhakemesi Hukuku</w:t>
      </w:r>
      <w:r w:rsidRPr="002040B3">
        <w:rPr>
          <w:lang w:val="tr-TR"/>
        </w:rPr>
        <w:t xml:space="preserve">, Güncellenmiş 7. Bası, Seçkin Yayınevi, Ankara, 2019, s. 750; Hükümler mahkemelerin bir uyuşmazlığı çözen sonuç kararları niteliğindedir. Yurtcan, s. 719. </w:t>
      </w:r>
    </w:p>
  </w:footnote>
  <w:footnote w:id="123">
    <w:p w14:paraId="24CB483E" w14:textId="72AF5C4D"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İtiraz kanun yolu öngörülmesi bu usulde verilen kararın hükümden ziyade hakim kararı gibi bir karar niteliğinde olduğunu göstermekte, bu nedenle kararın hüküm niteliğinde de bir belirsizlik yaratmakta</w:t>
      </w:r>
      <w:r>
        <w:rPr>
          <w:lang w:val="tr-TR"/>
        </w:rPr>
        <w:t>dır. Kızılarslan, s. 1942, 1944;</w:t>
      </w:r>
      <w:r w:rsidRPr="002040B3">
        <w:rPr>
          <w:lang w:val="tr-TR"/>
        </w:rPr>
        <w:t xml:space="preserve"> Hüküm niteliğindeki kararlara karşı </w:t>
      </w:r>
      <w:r>
        <w:rPr>
          <w:lang w:val="tr-TR"/>
        </w:rPr>
        <w:t>öngörülmesi</w:t>
      </w:r>
      <w:r w:rsidRPr="002040B3">
        <w:rPr>
          <w:lang w:val="tr-TR"/>
        </w:rPr>
        <w:t xml:space="preserve"> gereken kanun yolunun istinaf olması gerektiği hakkında bkz. Yurtcan, s. 719. </w:t>
      </w:r>
    </w:p>
  </w:footnote>
  <w:footnote w:id="124">
    <w:p w14:paraId="36F6F6D6" w14:textId="7C65E258"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Cünhaların yargılanmasında olağan kanun yolu olarak istinaf (</w:t>
      </w:r>
      <w:r w:rsidRPr="002040B3">
        <w:rPr>
          <w:i/>
          <w:lang w:val="tr-TR"/>
        </w:rPr>
        <w:t>appel</w:t>
      </w:r>
      <w:r w:rsidRPr="002040B3">
        <w:rPr>
          <w:lang w:val="tr-TR"/>
        </w:rPr>
        <w:t xml:space="preserve">) başvurusu bir üst dereceli mahkemeye yapılır. Pradel, s. 825. </w:t>
      </w:r>
    </w:p>
  </w:footnote>
  <w:footnote w:id="125">
    <w:p w14:paraId="618E547B" w14:textId="0B5BD0C0"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AİHM bu konudaki yaklaşımı için ayrıca bkz. Kwiatkowska/İtalya (Başvuru No. 52868/99, 30.11.2000) Scoppola/ İtalya (No.2) (Başvuru No. 10249/03, 17.09.2009, parag. 135).</w:t>
      </w:r>
    </w:p>
  </w:footnote>
  <w:footnote w:id="126">
    <w:p w14:paraId="46BEEAAC" w14:textId="423A26C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AİHM 29.04.2014 Natsvlishvili-Togonidze/Gürcistan kararı Başvuru No. 9043/05. Molins, parag. 5. </w:t>
      </w:r>
    </w:p>
  </w:footnote>
  <w:footnote w:id="127">
    <w:p w14:paraId="253D9F8E" w14:textId="0531DF42"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AİHM 29.04.2014 Natsvlishvili-Togonidze/Gürcistan kararı Başvuru No. 9043/05, parag. 90. </w:t>
      </w:r>
    </w:p>
  </w:footnote>
  <w:footnote w:id="128">
    <w:p w14:paraId="481EC09C" w14:textId="13BBE37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AİHM 29.04.2014 Natsvlishvili-Togonidze/Gürcistan kararı Başvuru No. 9043/05, parag. 92. </w:t>
      </w:r>
    </w:p>
  </w:footnote>
  <w:footnote w:id="129">
    <w:p w14:paraId="60A8E8BA" w14:textId="61F1ED91"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AİHM 29.04.2014 Natsvlishvili-Togonidze/Gürcistan kararı Başvuru No. 9043/05, parag. 93-94.</w:t>
      </w:r>
    </w:p>
  </w:footnote>
  <w:footnote w:id="130">
    <w:p w14:paraId="5ECFF916" w14:textId="7254876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AİHM 29.04.2014 Natsvlishvili-Togonidze/Gürcistan kararı Başvuru No. 9043/05, parag. 95. </w:t>
      </w:r>
    </w:p>
  </w:footnote>
  <w:footnote w:id="131">
    <w:p w14:paraId="42456F5E" w14:textId="2A0F889E"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Molins, parag. 5; Fransız AYM 02.03.2004 tarihli, 2004-492 DC sayılı kararı, JO 10.03.2004. </w:t>
      </w:r>
      <w:hyperlink r:id="rId19" w:history="1">
        <w:r w:rsidRPr="002040B3">
          <w:rPr>
            <w:rStyle w:val="Hyperlink"/>
            <w:rFonts w:cs="Times New Roman"/>
            <w:lang w:val="tr-TR"/>
          </w:rPr>
          <w:t>https://www.conseil-constitutionnel.fr/decision/2004/2004492DC.htm</w:t>
        </w:r>
      </w:hyperlink>
      <w:r w:rsidRPr="002040B3">
        <w:rPr>
          <w:lang w:val="tr-TR"/>
        </w:rPr>
        <w:t xml:space="preserve"> (erişim tarihi: 05.02.2020).</w:t>
      </w:r>
    </w:p>
  </w:footnote>
  <w:footnote w:id="132">
    <w:p w14:paraId="1568BCD8" w14:textId="37764614"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Fransız AYM 02.03.2004 tarihli, 2004-492 DC sayılı kararı, JO 10.03.2004, parag. 108. </w:t>
      </w:r>
      <w:hyperlink r:id="rId20" w:history="1">
        <w:r w:rsidRPr="002040B3">
          <w:rPr>
            <w:rStyle w:val="Hyperlink"/>
            <w:rFonts w:cs="Times New Roman"/>
            <w:lang w:val="tr-TR"/>
          </w:rPr>
          <w:t>https://www.conseil-constitutionnel.fr/decision/2004/2004492DC.htm</w:t>
        </w:r>
      </w:hyperlink>
      <w:r w:rsidRPr="002040B3">
        <w:rPr>
          <w:lang w:val="tr-TR"/>
        </w:rPr>
        <w:t xml:space="preserve"> (erişim tarihi: 05.02.2020).</w:t>
      </w:r>
    </w:p>
  </w:footnote>
  <w:footnote w:id="133">
    <w:p w14:paraId="6E215793" w14:textId="2A95910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Fransız AYM 02.03.2004 tarihli, 2004-492 DC sayılı kararı, JO 10.03.2004. parag. 111. </w:t>
      </w:r>
      <w:hyperlink r:id="rId21" w:history="1">
        <w:r w:rsidRPr="002040B3">
          <w:rPr>
            <w:rStyle w:val="Hyperlink"/>
            <w:rFonts w:cs="Times New Roman"/>
            <w:lang w:val="tr-TR"/>
          </w:rPr>
          <w:t>https://www.conseil-constitutionnel.fr/decision/2004/2004492DC.htm</w:t>
        </w:r>
      </w:hyperlink>
      <w:r w:rsidRPr="002040B3">
        <w:rPr>
          <w:lang w:val="tr-TR"/>
        </w:rPr>
        <w:t xml:space="preserve"> (erişim tarihi: 05.02.2020).</w:t>
      </w:r>
    </w:p>
  </w:footnote>
  <w:footnote w:id="134">
    <w:p w14:paraId="1180E912" w14:textId="6381B700"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Fransız AYM 02.03.2004 tarihli, 2004-492 DC sayılı kararı, JO 10.03.2004, parag. 107. </w:t>
      </w:r>
      <w:hyperlink r:id="rId22" w:history="1">
        <w:r w:rsidRPr="002040B3">
          <w:rPr>
            <w:rStyle w:val="Hyperlink"/>
            <w:rFonts w:cs="Times New Roman"/>
            <w:lang w:val="tr-TR"/>
          </w:rPr>
          <w:t>https://www.conseil-constitutionnel.fr/decision/2004/2004492DC.htm</w:t>
        </w:r>
      </w:hyperlink>
      <w:r w:rsidRPr="002040B3">
        <w:rPr>
          <w:lang w:val="tr-TR"/>
        </w:rPr>
        <w:t xml:space="preserve"> (erişim tarihi: 05.02.2020). </w:t>
      </w:r>
    </w:p>
  </w:footnote>
  <w:footnote w:id="135">
    <w:p w14:paraId="6AC43F1E" w14:textId="0E7FCBE3"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İkrar kişilerin yaptıkları nedeniyle değil, yaptığını söyledikleri nedeniyle mahkum olmaları anlamına gelmekte, bu nedenle ceza yargılamasında diğer daha güvenilir delil çeşitleriyle desteklenmedikçe maddi gerçeğe götürdüğü kabul edilmeyen bir delil çeşidi olarak dikkate alınmalıdır. Desprez, s. 134.</w:t>
      </w:r>
    </w:p>
  </w:footnote>
  <w:footnote w:id="136">
    <w:p w14:paraId="127C1819"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Delage, s. 1970. </w:t>
      </w:r>
    </w:p>
  </w:footnote>
  <w:footnote w:id="137">
    <w:p w14:paraId="1AB28FE6" w14:textId="77777777"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Madde gerekçesinde seri muhakeme usulünü uygulamayı kabul eden hakimin maddi gerçeğin araştırılması amacıyla soruşturmanın genişletilmesi, yeni delillerin toplanması veya tanık dinleme gibi yetkilerinin bulunmadığı belirtildiği için yargı makamının savcılığın sunduğu delillerle sınırlı bir hüküm verme süreci olacağı anlaşılmaktadır. Hakim maddi gerçeğin ayrıca araştırılmasını gerekli gördüğü takdirde seri muhakeme usulünün uygulanması talebini reddedecektir. </w:t>
      </w:r>
    </w:p>
    <w:p w14:paraId="32618C57" w14:textId="275EC8B1" w:rsidR="0085633D" w:rsidRPr="002040B3" w:rsidRDefault="00526D98" w:rsidP="00AF1655">
      <w:pPr>
        <w:pStyle w:val="FootnoteText"/>
        <w:rPr>
          <w:lang w:val="tr-TR"/>
        </w:rPr>
      </w:pPr>
      <w:hyperlink r:id="rId23" w:history="1">
        <w:r w:rsidR="0085633D" w:rsidRPr="002040B3">
          <w:rPr>
            <w:rStyle w:val="Hyperlink"/>
            <w:rFonts w:cs="Times New Roman"/>
            <w:lang w:val="tr-TR"/>
          </w:rPr>
          <w:t>https://mevzuat.tbmm.gov.tr/mevzuat/faces/kanunmaddeleri?pkanunlarno=256570&amp;pkanunnumarasi=7188</w:t>
        </w:r>
      </w:hyperlink>
      <w:r w:rsidR="0085633D" w:rsidRPr="002040B3">
        <w:rPr>
          <w:lang w:val="tr-TR"/>
        </w:rPr>
        <w:t xml:space="preserve"> (erişim tarihi: 10.12. 2019). Teklifi kabulden sonra herhangi bir delil sunma imkanı yaratılmadığı hakkında bkz. Uğurlubay/ Haydar/ Korkmaz, s. 287.</w:t>
      </w:r>
    </w:p>
  </w:footnote>
  <w:footnote w:id="138">
    <w:p w14:paraId="785A736D" w14:textId="77777777"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CMK m. 250/8 ile Yönetmelik m. 12’de yer verilen talepnamede yer verilmesi zorunlu hususlar arasında delillerin olayla ilişkilendirilmesi sayılmamıştır. Yönetmeliğe Ek Talepname metninde (Ek-2) ise yalnızca delillerin gösterileceği bir bölüme yer verilmiştir. </w:t>
      </w:r>
    </w:p>
    <w:p w14:paraId="14A6F1A0" w14:textId="1DF752AC" w:rsidR="0085633D" w:rsidRPr="002040B3" w:rsidRDefault="00526D98" w:rsidP="00AF1655">
      <w:pPr>
        <w:pStyle w:val="FootnoteText"/>
        <w:rPr>
          <w:lang w:val="tr-TR"/>
        </w:rPr>
      </w:pPr>
      <w:hyperlink r:id="rId24" w:history="1">
        <w:r w:rsidR="0085633D" w:rsidRPr="002040B3">
          <w:rPr>
            <w:rStyle w:val="Hyperlink"/>
            <w:lang w:val="tr-TR"/>
          </w:rPr>
          <w:t>https://www.resmigazete.gov.tr/eskiler/2019/12/20191231M4-2-1.pdf</w:t>
        </w:r>
      </w:hyperlink>
      <w:r w:rsidR="0085633D" w:rsidRPr="002040B3">
        <w:rPr>
          <w:lang w:val="tr-TR"/>
        </w:rPr>
        <w:t xml:space="preserve"> (erişim tarihi: 20.01.2020).</w:t>
      </w:r>
    </w:p>
  </w:footnote>
  <w:footnote w:id="139">
    <w:p w14:paraId="0706A222" w14:textId="3F097ED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Kızılarslan, s. 1939. </w:t>
      </w:r>
    </w:p>
  </w:footnote>
  <w:footnote w:id="140">
    <w:p w14:paraId="2A6E723A" w14:textId="70FF2CB2"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Recommandation No. R(87) 18, 17 Eylül 1987 tarihli Avrupa Konseyi Bakanlar Komitesi Kararı </w:t>
      </w:r>
      <w:hyperlink r:id="rId25" w:history="1">
        <w:r w:rsidRPr="002040B3">
          <w:rPr>
            <w:rStyle w:val="Hyperlink"/>
            <w:rFonts w:cs="Times New Roman"/>
            <w:lang w:val="tr-TR"/>
          </w:rPr>
          <w:t>https://rm.coe.int/16804e3ccf</w:t>
        </w:r>
      </w:hyperlink>
      <w:r w:rsidRPr="002040B3">
        <w:rPr>
          <w:lang w:val="tr-TR"/>
        </w:rPr>
        <w:t xml:space="preserve"> (erişim tarihi: 01.02.2020)</w:t>
      </w:r>
    </w:p>
  </w:footnote>
  <w:footnote w:id="141">
    <w:p w14:paraId="1703D107" w14:textId="2C67EB41"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Yönetmelik m. 14/1 uyarınca mahkeme, eylemin seri muhakeme usulü kapsamında olup olmadığını, bu usulün şüpheliye kanundaki koşullar çerçevesinde teklif edilip edilmediğini ve şüphelinin teklifi müdafi huzurunda özgür iradesiyle kabul edip etmediğini tespit eder. Bu koşullar sağlandığı takdirde talep doğrultusunda “hüküm kurar”. </w:t>
      </w:r>
    </w:p>
  </w:footnote>
  <w:footnote w:id="142">
    <w:p w14:paraId="08A2A38C"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Uğurlubay/ Haydar/ Korkmaz, s. 298. </w:t>
      </w:r>
    </w:p>
  </w:footnote>
  <w:footnote w:id="143">
    <w:p w14:paraId="63E4A758" w14:textId="10B668F1"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Centel/Zafer, s. 6-7. </w:t>
      </w:r>
    </w:p>
  </w:footnote>
  <w:footnote w:id="144">
    <w:p w14:paraId="42DA4027" w14:textId="72F097C1"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Feridun Yenisey, </w:t>
      </w:r>
      <w:r w:rsidRPr="002040B3">
        <w:rPr>
          <w:i/>
          <w:lang w:val="tr-TR"/>
        </w:rPr>
        <w:t>“Ceza Muhakemesi Süjelerinin İradelerinin Ceza Muhakemesinin Yürüyüşüne Etkisi Sorunu”</w:t>
      </w:r>
      <w:r w:rsidRPr="002040B3">
        <w:rPr>
          <w:lang w:val="tr-TR"/>
        </w:rPr>
        <w:t xml:space="preserve">, Marmara Üniversitesi Hukuk Fakültesi Hukuk Araştırmaları Dergisi, Sayı: 19/2, Aralık 2013, s. 453-470, s. 454. </w:t>
      </w:r>
    </w:p>
  </w:footnote>
  <w:footnote w:id="145">
    <w:p w14:paraId="6B62D073" w14:textId="22738404"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110. </w:t>
      </w:r>
    </w:p>
  </w:footnote>
  <w:footnote w:id="146">
    <w:p w14:paraId="46CB9E10" w14:textId="3ECBFE9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775; Lydie Ancelot/ Myriam Doriat-Duban, “</w:t>
      </w:r>
      <w:r w:rsidRPr="002040B3">
        <w:rPr>
          <w:i/>
          <w:lang w:val="tr-TR"/>
        </w:rPr>
        <w:t>La Procédure de Comparution Sur Reconnaissance Préalable de Culpabilité: L’Eclairage de L’Economie du Droit Sur L’Equité du Plaider Coupable</w:t>
      </w:r>
      <w:r w:rsidRPr="002040B3">
        <w:rPr>
          <w:lang w:val="tr-TR"/>
        </w:rPr>
        <w:t xml:space="preserve">”, Archives de Politique Criminelle, Editions A. Pédone, No. 32, 2010/1, s. 269-287, s. 271. </w:t>
      </w:r>
    </w:p>
  </w:footnote>
  <w:footnote w:id="147">
    <w:p w14:paraId="08B873F5" w14:textId="6CB949CA" w:rsidR="0085633D" w:rsidRPr="002040B3" w:rsidRDefault="0085633D">
      <w:pPr>
        <w:pStyle w:val="FootnoteText"/>
        <w:rPr>
          <w:lang w:val="tr-TR"/>
        </w:rPr>
      </w:pPr>
      <w:r w:rsidRPr="002040B3">
        <w:rPr>
          <w:rStyle w:val="FootnoteReference"/>
          <w:lang w:val="tr-TR"/>
        </w:rPr>
        <w:footnoteRef/>
      </w:r>
      <w:r w:rsidRPr="002040B3">
        <w:rPr>
          <w:lang w:val="tr-TR"/>
        </w:rPr>
        <w:t xml:space="preserve"> İddia pazarlığı kurumu ile farklarına ilişkin olarak bkz. Desprez, s. 110, dn. 5. </w:t>
      </w:r>
    </w:p>
  </w:footnote>
  <w:footnote w:id="148">
    <w:p w14:paraId="50BA37C3" w14:textId="261C648B"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Avrupa ülkelerinde de uzun zamandır ceza yargılaması sürecini kısaltabilmek için ceza uyuşmazlığı taraflarının karşılıklı anlaşmalarına ve pazarlığa dayanılarak ceza hükmünün verilebilmesi imkanı yaratma yoluna yer verilmeye başlandığı görülmektedir. 1987 yılında Portekiz, 1988 yılında İtalyan, 2002 yılında İspanyol ceza yargılaması kanunlarına getirilen düzenlemeler bunun örneğidir. Ayrıntılı bilgi için bkz. Leturmy/ Bossan, s. 7.</w:t>
      </w:r>
    </w:p>
  </w:footnote>
  <w:footnote w:id="149">
    <w:p w14:paraId="14E63786" w14:textId="5AFCBA99"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772, 775; Desprez, s. 110, dn. 5; Zocchetto, s. 54. </w:t>
      </w:r>
    </w:p>
  </w:footnote>
  <w:footnote w:id="150">
    <w:p w14:paraId="328C1B4F" w14:textId="29536A74"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111.  </w:t>
      </w:r>
    </w:p>
  </w:footnote>
  <w:footnote w:id="151">
    <w:p w14:paraId="0480A4DB" w14:textId="6B4111A3"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Zocchetto, s. 62. </w:t>
      </w:r>
    </w:p>
  </w:footnote>
  <w:footnote w:id="152">
    <w:p w14:paraId="1712FEB0" w14:textId="0FE218CE"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111, dn. 10. Recommandation No. R(87) 18, 17 Eylül 1987 tarihli Avrupa Konseyi Bakanlar Komitesi Kararı </w:t>
      </w:r>
      <w:hyperlink r:id="rId26" w:history="1">
        <w:r w:rsidRPr="002040B3">
          <w:rPr>
            <w:rStyle w:val="Hyperlink"/>
            <w:rFonts w:cs="Times New Roman"/>
            <w:lang w:val="tr-TR"/>
          </w:rPr>
          <w:t>https://rm.coe.int/16804e3ccf</w:t>
        </w:r>
      </w:hyperlink>
      <w:r w:rsidRPr="002040B3">
        <w:rPr>
          <w:lang w:val="tr-TR"/>
        </w:rPr>
        <w:t xml:space="preserve"> (erişim tarihi: 01.02.2020).</w:t>
      </w:r>
    </w:p>
  </w:footnote>
  <w:footnote w:id="153">
    <w:p w14:paraId="74CB02C9" w14:textId="5ACD0BD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Kızılarslan, s. 1936; Genel olarak savcının yargısal nitelikte yetkiler edinmesinin Anayasaya aykırılığı hakkında bkz. Uğurlubay/ Haydar/ Korkmaz, s. 296-297</w:t>
      </w:r>
      <w:r>
        <w:rPr>
          <w:lang w:val="tr-TR"/>
        </w:rPr>
        <w:t>; Bu usulde h</w:t>
      </w:r>
      <w:r w:rsidRPr="002040B3">
        <w:rPr>
          <w:lang w:val="tr-TR"/>
        </w:rPr>
        <w:t>akimin bazı y</w:t>
      </w:r>
      <w:r>
        <w:rPr>
          <w:lang w:val="tr-TR"/>
        </w:rPr>
        <w:t>etkilerinin savcıya tanındığı ve savcı ile sanık arasındaki mesafen</w:t>
      </w:r>
      <w:r w:rsidRPr="002040B3">
        <w:rPr>
          <w:lang w:val="tr-TR"/>
        </w:rPr>
        <w:t>i</w:t>
      </w:r>
      <w:r>
        <w:rPr>
          <w:lang w:val="tr-TR"/>
        </w:rPr>
        <w:t>n</w:t>
      </w:r>
      <w:r w:rsidRPr="002040B3">
        <w:rPr>
          <w:lang w:val="tr-TR"/>
        </w:rPr>
        <w:t xml:space="preserve"> kısal</w:t>
      </w:r>
      <w:r>
        <w:rPr>
          <w:lang w:val="tr-TR"/>
        </w:rPr>
        <w:t>tıldığı</w:t>
      </w:r>
      <w:r w:rsidRPr="002040B3">
        <w:rPr>
          <w:lang w:val="tr-TR"/>
        </w:rPr>
        <w:t xml:space="preserve"> hakkında bkz. Centel/ Zafer, s. 607; Türk hukukunda seçenek yaptırımların uygulanması, hükmün açıklanmasının geri bırakılması ve cezanın ertelenmesi gibi yetkilerin mahkemelere verildiği, bunların savcıya bırakılmasının teknik hukuk yönünden hatalı olduğu hakkında bkz. Yurtcan, s. 716. </w:t>
      </w:r>
    </w:p>
  </w:footnote>
  <w:footnote w:id="154">
    <w:p w14:paraId="269CD241"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128. </w:t>
      </w:r>
    </w:p>
  </w:footnote>
  <w:footnote w:id="155">
    <w:p w14:paraId="693ABC2C" w14:textId="0027A4F5"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130-131. </w:t>
      </w:r>
    </w:p>
  </w:footnote>
  <w:footnote w:id="156">
    <w:p w14:paraId="0D51E128"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131. </w:t>
      </w:r>
    </w:p>
  </w:footnote>
  <w:footnote w:id="157">
    <w:p w14:paraId="2C80337E" w14:textId="47BA7D62"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Leturmy/Bossan, s. 34.</w:t>
      </w:r>
    </w:p>
  </w:footnote>
  <w:footnote w:id="158">
    <w:p w14:paraId="564B721D" w14:textId="2765A0CC"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Leturmy/Bossan, s. 36; Delage, s. 1970. </w:t>
      </w:r>
    </w:p>
  </w:footnote>
  <w:footnote w:id="159">
    <w:p w14:paraId="25D02C1F" w14:textId="14E02A19"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Uğurlubay/ Haydar/ Korkmaz, s. 269-270. </w:t>
      </w:r>
    </w:p>
  </w:footnote>
  <w:footnote w:id="160">
    <w:p w14:paraId="3C6F881E" w14:textId="2A8A72DD"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Leturmy/Bossan, s. 36; Desprez, s. 130. </w:t>
      </w:r>
    </w:p>
  </w:footnote>
  <w:footnote w:id="161">
    <w:p w14:paraId="2513C2C7" w14:textId="18D5AF12"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Leturmy/Bossan, s. 36-37; Desprez, s. 132. </w:t>
      </w:r>
    </w:p>
  </w:footnote>
  <w:footnote w:id="162">
    <w:p w14:paraId="17011B56" w14:textId="26FA998F"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132. </w:t>
      </w:r>
    </w:p>
  </w:footnote>
  <w:footnote w:id="163">
    <w:p w14:paraId="1E695673" w14:textId="644932C4"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Leturmy/Bossan, s. 37-38; Şüphelinin ceza yargılamasında değişen roller nedeniyle savcılık ve hakim önündeki işlemleri karıştırdığı ve muhatap olduğu makamın işlevini, hangi talebine karşılık vereceğini bilemediği görülmekte, bu nedenle ceza adaletinin kavranmasında sorun yarattığı ifade edilmektedir. Desprez, s. 125. </w:t>
      </w:r>
    </w:p>
  </w:footnote>
  <w:footnote w:id="164">
    <w:p w14:paraId="2380C1D4" w14:textId="4F70351B"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132. </w:t>
      </w:r>
    </w:p>
  </w:footnote>
  <w:footnote w:id="165">
    <w:p w14:paraId="1BF01232" w14:textId="6D678698"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Uğurlubay/ Haydar/ Korkmaz, s. 265. </w:t>
      </w:r>
    </w:p>
  </w:footnote>
  <w:footnote w:id="166">
    <w:p w14:paraId="136CA9D0"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Pradel, s. 775. </w:t>
      </w:r>
    </w:p>
  </w:footnote>
  <w:footnote w:id="167">
    <w:p w14:paraId="5272DF0A" w14:textId="77777777" w:rsidR="0085633D" w:rsidRPr="002040B3" w:rsidRDefault="0085633D" w:rsidP="00AF1655">
      <w:pPr>
        <w:pStyle w:val="FootnoteText"/>
        <w:rPr>
          <w:lang w:val="tr-TR"/>
        </w:rPr>
      </w:pPr>
      <w:r w:rsidRPr="002040B3">
        <w:rPr>
          <w:rStyle w:val="FootnoteReference"/>
          <w:rFonts w:cs="Times New Roman"/>
          <w:lang w:val="tr-TR"/>
        </w:rPr>
        <w:footnoteRef/>
      </w:r>
      <w:r w:rsidRPr="002040B3">
        <w:rPr>
          <w:lang w:val="tr-TR"/>
        </w:rPr>
        <w:t xml:space="preserve"> Desprez, s. 115-116. </w:t>
      </w:r>
    </w:p>
  </w:footnote>
  <w:footnote w:id="168">
    <w:p w14:paraId="5B9A384C" w14:textId="42F38720" w:rsidR="0085633D" w:rsidRPr="002040B3" w:rsidRDefault="0085633D" w:rsidP="00AF1655">
      <w:pPr>
        <w:pStyle w:val="FootnoteText"/>
        <w:rPr>
          <w:lang w:val="tr-TR"/>
        </w:rPr>
      </w:pPr>
      <w:r w:rsidRPr="002040B3">
        <w:rPr>
          <w:rStyle w:val="FootnoteReference"/>
          <w:lang w:val="tr-TR"/>
        </w:rPr>
        <w:footnoteRef/>
      </w:r>
      <w:r w:rsidRPr="002040B3">
        <w:rPr>
          <w:lang w:val="tr-TR"/>
        </w:rPr>
        <w:t xml:space="preserve"> Nurullah Kunter/ Feridun Yenisey/ Ayşe Nuhoğlu, </w:t>
      </w:r>
      <w:r w:rsidRPr="002040B3">
        <w:rPr>
          <w:i/>
          <w:lang w:val="tr-TR"/>
        </w:rPr>
        <w:t>Muhakeme Hukuku Dalı Olarak Ceza Muhakemesi Hukuku</w:t>
      </w:r>
      <w:r w:rsidRPr="002040B3">
        <w:rPr>
          <w:lang w:val="tr-TR"/>
        </w:rPr>
        <w:t xml:space="preserve">, 18. Bası, Beta Yayınları, İstanbul, 2010, s. 39. </w:t>
      </w:r>
    </w:p>
  </w:footnote>
  <w:footnote w:id="169">
    <w:p w14:paraId="1B5E8D6C" w14:textId="08D35567" w:rsidR="0085633D" w:rsidRPr="00C30C26" w:rsidRDefault="0085633D">
      <w:pPr>
        <w:pStyle w:val="FootnoteText"/>
        <w:rPr>
          <w:lang w:val="tr-TR"/>
        </w:rPr>
      </w:pPr>
      <w:r>
        <w:rPr>
          <w:rStyle w:val="FootnoteReference"/>
        </w:rPr>
        <w:footnoteRef/>
      </w:r>
      <w:r>
        <w:t xml:space="preserve"> </w:t>
      </w:r>
      <w:r>
        <w:rPr>
          <w:lang w:val="tr-TR"/>
        </w:rPr>
        <w:t xml:space="preserve">Yargılama sürecinin hızlandırılmasının adil yargılama çerçevesinde sağlanması gerektiğine ilişkin bkz. Centel/Zafer, s. 607.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8D"/>
    <w:rsid w:val="0000173F"/>
    <w:rsid w:val="000023DB"/>
    <w:rsid w:val="00003685"/>
    <w:rsid w:val="00005186"/>
    <w:rsid w:val="00005A42"/>
    <w:rsid w:val="00005EB2"/>
    <w:rsid w:val="00006466"/>
    <w:rsid w:val="00006569"/>
    <w:rsid w:val="000069D7"/>
    <w:rsid w:val="0000797B"/>
    <w:rsid w:val="00007D9A"/>
    <w:rsid w:val="00010239"/>
    <w:rsid w:val="000103BE"/>
    <w:rsid w:val="000115D4"/>
    <w:rsid w:val="000138C9"/>
    <w:rsid w:val="000150B9"/>
    <w:rsid w:val="00015238"/>
    <w:rsid w:val="0001536C"/>
    <w:rsid w:val="00015AFA"/>
    <w:rsid w:val="0001699F"/>
    <w:rsid w:val="00020000"/>
    <w:rsid w:val="00020293"/>
    <w:rsid w:val="0002094D"/>
    <w:rsid w:val="00022968"/>
    <w:rsid w:val="00022BCD"/>
    <w:rsid w:val="0002322F"/>
    <w:rsid w:val="00023F27"/>
    <w:rsid w:val="00025DE6"/>
    <w:rsid w:val="000266C2"/>
    <w:rsid w:val="00026ED2"/>
    <w:rsid w:val="000277DF"/>
    <w:rsid w:val="00030741"/>
    <w:rsid w:val="00030A78"/>
    <w:rsid w:val="00030D67"/>
    <w:rsid w:val="00031446"/>
    <w:rsid w:val="0003221F"/>
    <w:rsid w:val="0003249A"/>
    <w:rsid w:val="00035242"/>
    <w:rsid w:val="0003633C"/>
    <w:rsid w:val="00036B21"/>
    <w:rsid w:val="000371F5"/>
    <w:rsid w:val="000417F4"/>
    <w:rsid w:val="00041C42"/>
    <w:rsid w:val="000428BD"/>
    <w:rsid w:val="0004293D"/>
    <w:rsid w:val="00042C4F"/>
    <w:rsid w:val="00043B16"/>
    <w:rsid w:val="000446BF"/>
    <w:rsid w:val="00044E1A"/>
    <w:rsid w:val="00045FDC"/>
    <w:rsid w:val="0004607E"/>
    <w:rsid w:val="000465D7"/>
    <w:rsid w:val="000477E8"/>
    <w:rsid w:val="00047844"/>
    <w:rsid w:val="00047900"/>
    <w:rsid w:val="00047D62"/>
    <w:rsid w:val="000506A7"/>
    <w:rsid w:val="00051562"/>
    <w:rsid w:val="000529D4"/>
    <w:rsid w:val="000544EC"/>
    <w:rsid w:val="000549FF"/>
    <w:rsid w:val="00054C76"/>
    <w:rsid w:val="000558D7"/>
    <w:rsid w:val="00056336"/>
    <w:rsid w:val="000567DD"/>
    <w:rsid w:val="0005696C"/>
    <w:rsid w:val="00056DFA"/>
    <w:rsid w:val="00061723"/>
    <w:rsid w:val="000618D5"/>
    <w:rsid w:val="00062071"/>
    <w:rsid w:val="000622BE"/>
    <w:rsid w:val="00062CFE"/>
    <w:rsid w:val="00062EA3"/>
    <w:rsid w:val="00062EC5"/>
    <w:rsid w:val="00064136"/>
    <w:rsid w:val="0006435C"/>
    <w:rsid w:val="00065C53"/>
    <w:rsid w:val="00066C86"/>
    <w:rsid w:val="000670D1"/>
    <w:rsid w:val="00071430"/>
    <w:rsid w:val="000714EE"/>
    <w:rsid w:val="00071B57"/>
    <w:rsid w:val="0007382A"/>
    <w:rsid w:val="00073EE5"/>
    <w:rsid w:val="00074884"/>
    <w:rsid w:val="00074AFB"/>
    <w:rsid w:val="00074DCB"/>
    <w:rsid w:val="00075DD9"/>
    <w:rsid w:val="00080223"/>
    <w:rsid w:val="00081089"/>
    <w:rsid w:val="00081344"/>
    <w:rsid w:val="00081470"/>
    <w:rsid w:val="00082643"/>
    <w:rsid w:val="000838DA"/>
    <w:rsid w:val="0008768D"/>
    <w:rsid w:val="00087722"/>
    <w:rsid w:val="0009109E"/>
    <w:rsid w:val="000915E6"/>
    <w:rsid w:val="00092217"/>
    <w:rsid w:val="00092322"/>
    <w:rsid w:val="00092465"/>
    <w:rsid w:val="000932B3"/>
    <w:rsid w:val="00093ECC"/>
    <w:rsid w:val="00095099"/>
    <w:rsid w:val="00095874"/>
    <w:rsid w:val="000964FD"/>
    <w:rsid w:val="000968F8"/>
    <w:rsid w:val="000A0584"/>
    <w:rsid w:val="000A1AEB"/>
    <w:rsid w:val="000A2E0C"/>
    <w:rsid w:val="000A484D"/>
    <w:rsid w:val="000A4CAA"/>
    <w:rsid w:val="000A6347"/>
    <w:rsid w:val="000A68E9"/>
    <w:rsid w:val="000A7F90"/>
    <w:rsid w:val="000B065F"/>
    <w:rsid w:val="000B06DE"/>
    <w:rsid w:val="000B0B79"/>
    <w:rsid w:val="000B0E65"/>
    <w:rsid w:val="000B16BE"/>
    <w:rsid w:val="000B4DF2"/>
    <w:rsid w:val="000B518F"/>
    <w:rsid w:val="000B5333"/>
    <w:rsid w:val="000B5D62"/>
    <w:rsid w:val="000B6B42"/>
    <w:rsid w:val="000B7656"/>
    <w:rsid w:val="000C040A"/>
    <w:rsid w:val="000C199D"/>
    <w:rsid w:val="000C3DBF"/>
    <w:rsid w:val="000C440F"/>
    <w:rsid w:val="000C4EA4"/>
    <w:rsid w:val="000C5C8B"/>
    <w:rsid w:val="000C6E22"/>
    <w:rsid w:val="000D08A9"/>
    <w:rsid w:val="000D1479"/>
    <w:rsid w:val="000D147C"/>
    <w:rsid w:val="000D1A6C"/>
    <w:rsid w:val="000D222D"/>
    <w:rsid w:val="000D3D66"/>
    <w:rsid w:val="000D414D"/>
    <w:rsid w:val="000D52CD"/>
    <w:rsid w:val="000D5C1A"/>
    <w:rsid w:val="000D7AF4"/>
    <w:rsid w:val="000E1CE0"/>
    <w:rsid w:val="000E207E"/>
    <w:rsid w:val="000E21DD"/>
    <w:rsid w:val="000E2AC1"/>
    <w:rsid w:val="000E38F3"/>
    <w:rsid w:val="000E4A21"/>
    <w:rsid w:val="000E5240"/>
    <w:rsid w:val="000E5FFB"/>
    <w:rsid w:val="000E7262"/>
    <w:rsid w:val="000E781D"/>
    <w:rsid w:val="000F1765"/>
    <w:rsid w:val="000F2F16"/>
    <w:rsid w:val="000F3273"/>
    <w:rsid w:val="000F4018"/>
    <w:rsid w:val="000F42D7"/>
    <w:rsid w:val="000F4565"/>
    <w:rsid w:val="000F49D7"/>
    <w:rsid w:val="000F4ED0"/>
    <w:rsid w:val="000F4F46"/>
    <w:rsid w:val="000F514E"/>
    <w:rsid w:val="000F61F0"/>
    <w:rsid w:val="000F6726"/>
    <w:rsid w:val="000F6FB9"/>
    <w:rsid w:val="000F714C"/>
    <w:rsid w:val="001001A4"/>
    <w:rsid w:val="0010040A"/>
    <w:rsid w:val="00100F85"/>
    <w:rsid w:val="00101541"/>
    <w:rsid w:val="0010283C"/>
    <w:rsid w:val="00102E4A"/>
    <w:rsid w:val="00102FEB"/>
    <w:rsid w:val="00104370"/>
    <w:rsid w:val="00104771"/>
    <w:rsid w:val="00106185"/>
    <w:rsid w:val="00106DDC"/>
    <w:rsid w:val="00107B68"/>
    <w:rsid w:val="00111051"/>
    <w:rsid w:val="00112142"/>
    <w:rsid w:val="00114EB6"/>
    <w:rsid w:val="001157A2"/>
    <w:rsid w:val="001159CC"/>
    <w:rsid w:val="00115FD2"/>
    <w:rsid w:val="001170D3"/>
    <w:rsid w:val="0011755B"/>
    <w:rsid w:val="00120643"/>
    <w:rsid w:val="00122288"/>
    <w:rsid w:val="00123729"/>
    <w:rsid w:val="001248B7"/>
    <w:rsid w:val="00125C1C"/>
    <w:rsid w:val="00127900"/>
    <w:rsid w:val="0013044E"/>
    <w:rsid w:val="00130882"/>
    <w:rsid w:val="00130C7A"/>
    <w:rsid w:val="00130ECA"/>
    <w:rsid w:val="00131899"/>
    <w:rsid w:val="00131B8F"/>
    <w:rsid w:val="0013378F"/>
    <w:rsid w:val="001337E2"/>
    <w:rsid w:val="0013388B"/>
    <w:rsid w:val="00134D4C"/>
    <w:rsid w:val="00134FED"/>
    <w:rsid w:val="00136C1B"/>
    <w:rsid w:val="00136C2A"/>
    <w:rsid w:val="00145213"/>
    <w:rsid w:val="00145D70"/>
    <w:rsid w:val="00145FFE"/>
    <w:rsid w:val="00150171"/>
    <w:rsid w:val="00153612"/>
    <w:rsid w:val="001543CD"/>
    <w:rsid w:val="00154870"/>
    <w:rsid w:val="001553DB"/>
    <w:rsid w:val="00155A13"/>
    <w:rsid w:val="00155A16"/>
    <w:rsid w:val="00156633"/>
    <w:rsid w:val="001573DF"/>
    <w:rsid w:val="00160B2C"/>
    <w:rsid w:val="00161183"/>
    <w:rsid w:val="001632DB"/>
    <w:rsid w:val="0016354E"/>
    <w:rsid w:val="00163CD2"/>
    <w:rsid w:val="00163EE0"/>
    <w:rsid w:val="00164EAF"/>
    <w:rsid w:val="00165DD9"/>
    <w:rsid w:val="001662E3"/>
    <w:rsid w:val="001668CE"/>
    <w:rsid w:val="00166BCA"/>
    <w:rsid w:val="00166ED0"/>
    <w:rsid w:val="001672FD"/>
    <w:rsid w:val="00167335"/>
    <w:rsid w:val="00167755"/>
    <w:rsid w:val="00167C8A"/>
    <w:rsid w:val="0017012B"/>
    <w:rsid w:val="00170B89"/>
    <w:rsid w:val="00171A89"/>
    <w:rsid w:val="00172398"/>
    <w:rsid w:val="0017251A"/>
    <w:rsid w:val="00172E8A"/>
    <w:rsid w:val="00173123"/>
    <w:rsid w:val="00173D05"/>
    <w:rsid w:val="0017581F"/>
    <w:rsid w:val="0017608D"/>
    <w:rsid w:val="001768D8"/>
    <w:rsid w:val="00177635"/>
    <w:rsid w:val="00180BA3"/>
    <w:rsid w:val="00181C45"/>
    <w:rsid w:val="00182CC5"/>
    <w:rsid w:val="0018348E"/>
    <w:rsid w:val="0018352E"/>
    <w:rsid w:val="00183631"/>
    <w:rsid w:val="00185D6C"/>
    <w:rsid w:val="0018620D"/>
    <w:rsid w:val="001871E3"/>
    <w:rsid w:val="00187D27"/>
    <w:rsid w:val="00191A12"/>
    <w:rsid w:val="001921A9"/>
    <w:rsid w:val="00192730"/>
    <w:rsid w:val="00192C1A"/>
    <w:rsid w:val="00193DC3"/>
    <w:rsid w:val="0019506E"/>
    <w:rsid w:val="00196F49"/>
    <w:rsid w:val="00197087"/>
    <w:rsid w:val="001976BD"/>
    <w:rsid w:val="00197D7E"/>
    <w:rsid w:val="00197F5D"/>
    <w:rsid w:val="00197FF9"/>
    <w:rsid w:val="001A06D1"/>
    <w:rsid w:val="001A09F6"/>
    <w:rsid w:val="001A0A49"/>
    <w:rsid w:val="001A1147"/>
    <w:rsid w:val="001A154B"/>
    <w:rsid w:val="001A282E"/>
    <w:rsid w:val="001A325E"/>
    <w:rsid w:val="001A4289"/>
    <w:rsid w:val="001A59DB"/>
    <w:rsid w:val="001A6904"/>
    <w:rsid w:val="001A7BBE"/>
    <w:rsid w:val="001B298E"/>
    <w:rsid w:val="001B2D71"/>
    <w:rsid w:val="001B308D"/>
    <w:rsid w:val="001B32BB"/>
    <w:rsid w:val="001B3CB4"/>
    <w:rsid w:val="001B4161"/>
    <w:rsid w:val="001B42E0"/>
    <w:rsid w:val="001B4C90"/>
    <w:rsid w:val="001B4CC3"/>
    <w:rsid w:val="001B593E"/>
    <w:rsid w:val="001B6EA4"/>
    <w:rsid w:val="001C0223"/>
    <w:rsid w:val="001C0D51"/>
    <w:rsid w:val="001C0F68"/>
    <w:rsid w:val="001C1940"/>
    <w:rsid w:val="001C2EAD"/>
    <w:rsid w:val="001C362B"/>
    <w:rsid w:val="001C3ADE"/>
    <w:rsid w:val="001C54C3"/>
    <w:rsid w:val="001C72FC"/>
    <w:rsid w:val="001C7438"/>
    <w:rsid w:val="001C77DA"/>
    <w:rsid w:val="001D0610"/>
    <w:rsid w:val="001D0EA8"/>
    <w:rsid w:val="001D1615"/>
    <w:rsid w:val="001D1C50"/>
    <w:rsid w:val="001D2136"/>
    <w:rsid w:val="001D33F8"/>
    <w:rsid w:val="001D3983"/>
    <w:rsid w:val="001D4731"/>
    <w:rsid w:val="001D55C1"/>
    <w:rsid w:val="001D5A1F"/>
    <w:rsid w:val="001D5D16"/>
    <w:rsid w:val="001D6727"/>
    <w:rsid w:val="001D6848"/>
    <w:rsid w:val="001D795D"/>
    <w:rsid w:val="001E19DA"/>
    <w:rsid w:val="001E3E72"/>
    <w:rsid w:val="001E4AAE"/>
    <w:rsid w:val="001E50FF"/>
    <w:rsid w:val="001E5C13"/>
    <w:rsid w:val="001E6E79"/>
    <w:rsid w:val="001E73E0"/>
    <w:rsid w:val="001E7DBF"/>
    <w:rsid w:val="001F02B8"/>
    <w:rsid w:val="001F0361"/>
    <w:rsid w:val="001F1D0B"/>
    <w:rsid w:val="001F2224"/>
    <w:rsid w:val="001F3044"/>
    <w:rsid w:val="001F6391"/>
    <w:rsid w:val="001F7104"/>
    <w:rsid w:val="001F7285"/>
    <w:rsid w:val="00200E3C"/>
    <w:rsid w:val="00200E6B"/>
    <w:rsid w:val="002016D9"/>
    <w:rsid w:val="00201BA1"/>
    <w:rsid w:val="002027DA"/>
    <w:rsid w:val="002040B3"/>
    <w:rsid w:val="002046C6"/>
    <w:rsid w:val="002050A1"/>
    <w:rsid w:val="002052ED"/>
    <w:rsid w:val="00205EEA"/>
    <w:rsid w:val="00206086"/>
    <w:rsid w:val="002074A1"/>
    <w:rsid w:val="00207807"/>
    <w:rsid w:val="0020782A"/>
    <w:rsid w:val="00207A06"/>
    <w:rsid w:val="002104A2"/>
    <w:rsid w:val="0021091E"/>
    <w:rsid w:val="0021107B"/>
    <w:rsid w:val="00212155"/>
    <w:rsid w:val="00212367"/>
    <w:rsid w:val="00212ACD"/>
    <w:rsid w:val="00213AC1"/>
    <w:rsid w:val="00213AD5"/>
    <w:rsid w:val="00214614"/>
    <w:rsid w:val="00215302"/>
    <w:rsid w:val="00215523"/>
    <w:rsid w:val="00215830"/>
    <w:rsid w:val="00215904"/>
    <w:rsid w:val="00215A86"/>
    <w:rsid w:val="002160DB"/>
    <w:rsid w:val="002162A5"/>
    <w:rsid w:val="00216DC8"/>
    <w:rsid w:val="002172C7"/>
    <w:rsid w:val="00220DFC"/>
    <w:rsid w:val="00221AAD"/>
    <w:rsid w:val="00223E0E"/>
    <w:rsid w:val="002244AA"/>
    <w:rsid w:val="00224A97"/>
    <w:rsid w:val="0023048B"/>
    <w:rsid w:val="002327EC"/>
    <w:rsid w:val="00234442"/>
    <w:rsid w:val="002400EC"/>
    <w:rsid w:val="0024050A"/>
    <w:rsid w:val="002425DD"/>
    <w:rsid w:val="002431C7"/>
    <w:rsid w:val="0024340B"/>
    <w:rsid w:val="00244CC0"/>
    <w:rsid w:val="00244E30"/>
    <w:rsid w:val="002453D5"/>
    <w:rsid w:val="002457BB"/>
    <w:rsid w:val="00247B9E"/>
    <w:rsid w:val="00251272"/>
    <w:rsid w:val="002514B8"/>
    <w:rsid w:val="0025415E"/>
    <w:rsid w:val="00254EFB"/>
    <w:rsid w:val="002557FA"/>
    <w:rsid w:val="00255A08"/>
    <w:rsid w:val="0025690B"/>
    <w:rsid w:val="00256D74"/>
    <w:rsid w:val="00257433"/>
    <w:rsid w:val="002579C6"/>
    <w:rsid w:val="00257C03"/>
    <w:rsid w:val="00257CB4"/>
    <w:rsid w:val="00260A95"/>
    <w:rsid w:val="00260F44"/>
    <w:rsid w:val="002622B7"/>
    <w:rsid w:val="00262CE5"/>
    <w:rsid w:val="00263197"/>
    <w:rsid w:val="002640F7"/>
    <w:rsid w:val="002644AB"/>
    <w:rsid w:val="0026457A"/>
    <w:rsid w:val="0026462E"/>
    <w:rsid w:val="00265FE4"/>
    <w:rsid w:val="00270F38"/>
    <w:rsid w:val="00270FBF"/>
    <w:rsid w:val="00270FEF"/>
    <w:rsid w:val="00271135"/>
    <w:rsid w:val="00271316"/>
    <w:rsid w:val="00272959"/>
    <w:rsid w:val="00272A26"/>
    <w:rsid w:val="00272A44"/>
    <w:rsid w:val="002738D9"/>
    <w:rsid w:val="0027503F"/>
    <w:rsid w:val="00276C1F"/>
    <w:rsid w:val="002776A6"/>
    <w:rsid w:val="0028017A"/>
    <w:rsid w:val="002806F0"/>
    <w:rsid w:val="0028189C"/>
    <w:rsid w:val="00281FC9"/>
    <w:rsid w:val="00282064"/>
    <w:rsid w:val="0028223C"/>
    <w:rsid w:val="0028223D"/>
    <w:rsid w:val="002828A1"/>
    <w:rsid w:val="00282C44"/>
    <w:rsid w:val="002837FD"/>
    <w:rsid w:val="00284200"/>
    <w:rsid w:val="002842B1"/>
    <w:rsid w:val="00284C67"/>
    <w:rsid w:val="002854F0"/>
    <w:rsid w:val="00285B19"/>
    <w:rsid w:val="00285F9C"/>
    <w:rsid w:val="0028666C"/>
    <w:rsid w:val="00287682"/>
    <w:rsid w:val="00290532"/>
    <w:rsid w:val="002925BF"/>
    <w:rsid w:val="0029351E"/>
    <w:rsid w:val="002939F3"/>
    <w:rsid w:val="0029471E"/>
    <w:rsid w:val="002948B6"/>
    <w:rsid w:val="00294F16"/>
    <w:rsid w:val="0029549E"/>
    <w:rsid w:val="002957F9"/>
    <w:rsid w:val="00295B59"/>
    <w:rsid w:val="00295BFA"/>
    <w:rsid w:val="002963E2"/>
    <w:rsid w:val="002965B8"/>
    <w:rsid w:val="002969A1"/>
    <w:rsid w:val="00297646"/>
    <w:rsid w:val="002A077B"/>
    <w:rsid w:val="002A0E21"/>
    <w:rsid w:val="002A1AD6"/>
    <w:rsid w:val="002A277F"/>
    <w:rsid w:val="002A2D75"/>
    <w:rsid w:val="002A33F4"/>
    <w:rsid w:val="002A370B"/>
    <w:rsid w:val="002A3865"/>
    <w:rsid w:val="002A5F63"/>
    <w:rsid w:val="002A6656"/>
    <w:rsid w:val="002B0443"/>
    <w:rsid w:val="002B29BD"/>
    <w:rsid w:val="002B2D6F"/>
    <w:rsid w:val="002B3FA1"/>
    <w:rsid w:val="002B5C19"/>
    <w:rsid w:val="002B5F57"/>
    <w:rsid w:val="002B6D7B"/>
    <w:rsid w:val="002B6DA7"/>
    <w:rsid w:val="002C02D6"/>
    <w:rsid w:val="002C251E"/>
    <w:rsid w:val="002C25B3"/>
    <w:rsid w:val="002C26AD"/>
    <w:rsid w:val="002C2D00"/>
    <w:rsid w:val="002C3547"/>
    <w:rsid w:val="002C4079"/>
    <w:rsid w:val="002C5B03"/>
    <w:rsid w:val="002C740B"/>
    <w:rsid w:val="002D0E87"/>
    <w:rsid w:val="002D50CC"/>
    <w:rsid w:val="002D5E83"/>
    <w:rsid w:val="002D6CD3"/>
    <w:rsid w:val="002E0362"/>
    <w:rsid w:val="002E03F7"/>
    <w:rsid w:val="002E148E"/>
    <w:rsid w:val="002E1A15"/>
    <w:rsid w:val="002E1D87"/>
    <w:rsid w:val="002E2B2D"/>
    <w:rsid w:val="002E384A"/>
    <w:rsid w:val="002E506A"/>
    <w:rsid w:val="002E61B1"/>
    <w:rsid w:val="002E627C"/>
    <w:rsid w:val="002F1248"/>
    <w:rsid w:val="002F1E9B"/>
    <w:rsid w:val="002F1F87"/>
    <w:rsid w:val="002F20F1"/>
    <w:rsid w:val="002F2846"/>
    <w:rsid w:val="002F2F39"/>
    <w:rsid w:val="002F3F8D"/>
    <w:rsid w:val="002F61CC"/>
    <w:rsid w:val="002F633C"/>
    <w:rsid w:val="002F7196"/>
    <w:rsid w:val="002F7369"/>
    <w:rsid w:val="00301B9B"/>
    <w:rsid w:val="0030224F"/>
    <w:rsid w:val="00302E69"/>
    <w:rsid w:val="00305761"/>
    <w:rsid w:val="0030652A"/>
    <w:rsid w:val="00306E00"/>
    <w:rsid w:val="00306F4A"/>
    <w:rsid w:val="0031074D"/>
    <w:rsid w:val="00310B55"/>
    <w:rsid w:val="00310D73"/>
    <w:rsid w:val="00311438"/>
    <w:rsid w:val="00311695"/>
    <w:rsid w:val="0031177B"/>
    <w:rsid w:val="003133EE"/>
    <w:rsid w:val="00313A0D"/>
    <w:rsid w:val="00313C54"/>
    <w:rsid w:val="0031417F"/>
    <w:rsid w:val="00314C3E"/>
    <w:rsid w:val="00315AD7"/>
    <w:rsid w:val="0031622D"/>
    <w:rsid w:val="00316A2F"/>
    <w:rsid w:val="0031715B"/>
    <w:rsid w:val="003239F7"/>
    <w:rsid w:val="00323C03"/>
    <w:rsid w:val="00323DA8"/>
    <w:rsid w:val="00324037"/>
    <w:rsid w:val="003246C4"/>
    <w:rsid w:val="00324821"/>
    <w:rsid w:val="00325393"/>
    <w:rsid w:val="003256D7"/>
    <w:rsid w:val="00325C99"/>
    <w:rsid w:val="003265CA"/>
    <w:rsid w:val="0032673D"/>
    <w:rsid w:val="00326ED9"/>
    <w:rsid w:val="0032734B"/>
    <w:rsid w:val="00327453"/>
    <w:rsid w:val="00331DA6"/>
    <w:rsid w:val="00331EBA"/>
    <w:rsid w:val="0033221F"/>
    <w:rsid w:val="00332583"/>
    <w:rsid w:val="0033273E"/>
    <w:rsid w:val="00333364"/>
    <w:rsid w:val="00333DAB"/>
    <w:rsid w:val="00334D4D"/>
    <w:rsid w:val="003352E6"/>
    <w:rsid w:val="003356B5"/>
    <w:rsid w:val="00335A1A"/>
    <w:rsid w:val="00336858"/>
    <w:rsid w:val="00336894"/>
    <w:rsid w:val="00336A31"/>
    <w:rsid w:val="00336E0D"/>
    <w:rsid w:val="0033747B"/>
    <w:rsid w:val="0033785E"/>
    <w:rsid w:val="003402F8"/>
    <w:rsid w:val="003410E7"/>
    <w:rsid w:val="0034316F"/>
    <w:rsid w:val="003444CA"/>
    <w:rsid w:val="003447D4"/>
    <w:rsid w:val="003449E7"/>
    <w:rsid w:val="00345AEF"/>
    <w:rsid w:val="003471C3"/>
    <w:rsid w:val="0035100F"/>
    <w:rsid w:val="00352CE1"/>
    <w:rsid w:val="00353561"/>
    <w:rsid w:val="00354737"/>
    <w:rsid w:val="003547E0"/>
    <w:rsid w:val="00354E00"/>
    <w:rsid w:val="00357805"/>
    <w:rsid w:val="003603F0"/>
    <w:rsid w:val="00360A7F"/>
    <w:rsid w:val="00360B5B"/>
    <w:rsid w:val="0036131E"/>
    <w:rsid w:val="0036133A"/>
    <w:rsid w:val="003615BE"/>
    <w:rsid w:val="00363235"/>
    <w:rsid w:val="00364ADC"/>
    <w:rsid w:val="0036776D"/>
    <w:rsid w:val="00367D2C"/>
    <w:rsid w:val="003706F0"/>
    <w:rsid w:val="00370AFB"/>
    <w:rsid w:val="00371445"/>
    <w:rsid w:val="003716D5"/>
    <w:rsid w:val="00372933"/>
    <w:rsid w:val="00372C42"/>
    <w:rsid w:val="00372D66"/>
    <w:rsid w:val="0037563C"/>
    <w:rsid w:val="0037593B"/>
    <w:rsid w:val="00375D10"/>
    <w:rsid w:val="003769C0"/>
    <w:rsid w:val="00376B3B"/>
    <w:rsid w:val="00376D42"/>
    <w:rsid w:val="00376F3F"/>
    <w:rsid w:val="003776BF"/>
    <w:rsid w:val="0038003A"/>
    <w:rsid w:val="003830B5"/>
    <w:rsid w:val="003837E0"/>
    <w:rsid w:val="00384436"/>
    <w:rsid w:val="00385200"/>
    <w:rsid w:val="00386A3D"/>
    <w:rsid w:val="00390656"/>
    <w:rsid w:val="00390C9C"/>
    <w:rsid w:val="00390DA3"/>
    <w:rsid w:val="003930FD"/>
    <w:rsid w:val="00393D79"/>
    <w:rsid w:val="00393D83"/>
    <w:rsid w:val="00394239"/>
    <w:rsid w:val="003945CB"/>
    <w:rsid w:val="0039649B"/>
    <w:rsid w:val="0039686B"/>
    <w:rsid w:val="003A3090"/>
    <w:rsid w:val="003A37CE"/>
    <w:rsid w:val="003A3DE5"/>
    <w:rsid w:val="003A500A"/>
    <w:rsid w:val="003A540D"/>
    <w:rsid w:val="003A5457"/>
    <w:rsid w:val="003A5D30"/>
    <w:rsid w:val="003A6C04"/>
    <w:rsid w:val="003A6DED"/>
    <w:rsid w:val="003B1266"/>
    <w:rsid w:val="003B4A9B"/>
    <w:rsid w:val="003B4F75"/>
    <w:rsid w:val="003B5712"/>
    <w:rsid w:val="003B5E66"/>
    <w:rsid w:val="003B6B6B"/>
    <w:rsid w:val="003B7474"/>
    <w:rsid w:val="003B7A1B"/>
    <w:rsid w:val="003C03B7"/>
    <w:rsid w:val="003C0993"/>
    <w:rsid w:val="003C2527"/>
    <w:rsid w:val="003C254B"/>
    <w:rsid w:val="003C29D3"/>
    <w:rsid w:val="003C2E4D"/>
    <w:rsid w:val="003C31C0"/>
    <w:rsid w:val="003C4214"/>
    <w:rsid w:val="003C48C0"/>
    <w:rsid w:val="003C4E3C"/>
    <w:rsid w:val="003C5B89"/>
    <w:rsid w:val="003C61F2"/>
    <w:rsid w:val="003C7F83"/>
    <w:rsid w:val="003D0796"/>
    <w:rsid w:val="003D134E"/>
    <w:rsid w:val="003D2510"/>
    <w:rsid w:val="003D27A0"/>
    <w:rsid w:val="003D2CFB"/>
    <w:rsid w:val="003D33BF"/>
    <w:rsid w:val="003D3E84"/>
    <w:rsid w:val="003D5788"/>
    <w:rsid w:val="003D5AEC"/>
    <w:rsid w:val="003D641F"/>
    <w:rsid w:val="003D6D0A"/>
    <w:rsid w:val="003E0031"/>
    <w:rsid w:val="003E0410"/>
    <w:rsid w:val="003E2E40"/>
    <w:rsid w:val="003E2E46"/>
    <w:rsid w:val="003E33E9"/>
    <w:rsid w:val="003E4221"/>
    <w:rsid w:val="003E509A"/>
    <w:rsid w:val="003E5604"/>
    <w:rsid w:val="003E5CF3"/>
    <w:rsid w:val="003E62E0"/>
    <w:rsid w:val="003E6EF2"/>
    <w:rsid w:val="003E6EF9"/>
    <w:rsid w:val="003E71CC"/>
    <w:rsid w:val="003E720F"/>
    <w:rsid w:val="003E7FA2"/>
    <w:rsid w:val="003F0A2D"/>
    <w:rsid w:val="003F0B70"/>
    <w:rsid w:val="003F0FFF"/>
    <w:rsid w:val="003F1BDC"/>
    <w:rsid w:val="003F20F9"/>
    <w:rsid w:val="003F2178"/>
    <w:rsid w:val="003F38A6"/>
    <w:rsid w:val="003F7E60"/>
    <w:rsid w:val="00400C44"/>
    <w:rsid w:val="00400CF4"/>
    <w:rsid w:val="0040161F"/>
    <w:rsid w:val="00401CC0"/>
    <w:rsid w:val="00402E2A"/>
    <w:rsid w:val="004033C2"/>
    <w:rsid w:val="0040429C"/>
    <w:rsid w:val="00404614"/>
    <w:rsid w:val="0040479D"/>
    <w:rsid w:val="00404D6E"/>
    <w:rsid w:val="00406454"/>
    <w:rsid w:val="00406A2B"/>
    <w:rsid w:val="00406F03"/>
    <w:rsid w:val="00407ABA"/>
    <w:rsid w:val="00411F39"/>
    <w:rsid w:val="00413FE4"/>
    <w:rsid w:val="00416940"/>
    <w:rsid w:val="00417EC3"/>
    <w:rsid w:val="00417F9D"/>
    <w:rsid w:val="004204A9"/>
    <w:rsid w:val="00420840"/>
    <w:rsid w:val="00420C53"/>
    <w:rsid w:val="0042116F"/>
    <w:rsid w:val="00421482"/>
    <w:rsid w:val="00422148"/>
    <w:rsid w:val="00423664"/>
    <w:rsid w:val="00423F94"/>
    <w:rsid w:val="00425DBE"/>
    <w:rsid w:val="00426520"/>
    <w:rsid w:val="00426D64"/>
    <w:rsid w:val="00427F4E"/>
    <w:rsid w:val="00430850"/>
    <w:rsid w:val="00430D47"/>
    <w:rsid w:val="0043102E"/>
    <w:rsid w:val="00432AF1"/>
    <w:rsid w:val="00435697"/>
    <w:rsid w:val="00435F79"/>
    <w:rsid w:val="004404C9"/>
    <w:rsid w:val="00440D1F"/>
    <w:rsid w:val="0044100E"/>
    <w:rsid w:val="004423A4"/>
    <w:rsid w:val="00442E34"/>
    <w:rsid w:val="0044347C"/>
    <w:rsid w:val="004435D9"/>
    <w:rsid w:val="0044596D"/>
    <w:rsid w:val="00445E7F"/>
    <w:rsid w:val="00445E88"/>
    <w:rsid w:val="004465F4"/>
    <w:rsid w:val="00450777"/>
    <w:rsid w:val="004511C9"/>
    <w:rsid w:val="004512BF"/>
    <w:rsid w:val="00452252"/>
    <w:rsid w:val="00453099"/>
    <w:rsid w:val="004533F7"/>
    <w:rsid w:val="004540C0"/>
    <w:rsid w:val="0045425C"/>
    <w:rsid w:val="00455D04"/>
    <w:rsid w:val="00457DA9"/>
    <w:rsid w:val="00463E49"/>
    <w:rsid w:val="0046639B"/>
    <w:rsid w:val="00467FD9"/>
    <w:rsid w:val="00472038"/>
    <w:rsid w:val="00472043"/>
    <w:rsid w:val="004769A2"/>
    <w:rsid w:val="0047759A"/>
    <w:rsid w:val="004813B9"/>
    <w:rsid w:val="004820F1"/>
    <w:rsid w:val="00482165"/>
    <w:rsid w:val="00483E99"/>
    <w:rsid w:val="0048446C"/>
    <w:rsid w:val="00484DA3"/>
    <w:rsid w:val="0048531A"/>
    <w:rsid w:val="00485588"/>
    <w:rsid w:val="0048595D"/>
    <w:rsid w:val="00486142"/>
    <w:rsid w:val="00486DD2"/>
    <w:rsid w:val="00486F7A"/>
    <w:rsid w:val="004904F7"/>
    <w:rsid w:val="00492716"/>
    <w:rsid w:val="00492937"/>
    <w:rsid w:val="00492AB3"/>
    <w:rsid w:val="004939F4"/>
    <w:rsid w:val="00493A19"/>
    <w:rsid w:val="004A0C10"/>
    <w:rsid w:val="004A116E"/>
    <w:rsid w:val="004A15CC"/>
    <w:rsid w:val="004A33F9"/>
    <w:rsid w:val="004A4A8E"/>
    <w:rsid w:val="004A5027"/>
    <w:rsid w:val="004A60B2"/>
    <w:rsid w:val="004A6C37"/>
    <w:rsid w:val="004B1C4E"/>
    <w:rsid w:val="004B24B5"/>
    <w:rsid w:val="004B3283"/>
    <w:rsid w:val="004B3680"/>
    <w:rsid w:val="004B6B34"/>
    <w:rsid w:val="004B719B"/>
    <w:rsid w:val="004B7DCD"/>
    <w:rsid w:val="004C01EF"/>
    <w:rsid w:val="004C0C1F"/>
    <w:rsid w:val="004C1C05"/>
    <w:rsid w:val="004C230F"/>
    <w:rsid w:val="004C2EDC"/>
    <w:rsid w:val="004C302F"/>
    <w:rsid w:val="004C306F"/>
    <w:rsid w:val="004C3A11"/>
    <w:rsid w:val="004C3E6A"/>
    <w:rsid w:val="004C4193"/>
    <w:rsid w:val="004C530F"/>
    <w:rsid w:val="004C5755"/>
    <w:rsid w:val="004C5C11"/>
    <w:rsid w:val="004C637B"/>
    <w:rsid w:val="004C643F"/>
    <w:rsid w:val="004C6C70"/>
    <w:rsid w:val="004D1E67"/>
    <w:rsid w:val="004D24B4"/>
    <w:rsid w:val="004D2504"/>
    <w:rsid w:val="004D251C"/>
    <w:rsid w:val="004D6816"/>
    <w:rsid w:val="004D7B13"/>
    <w:rsid w:val="004E125D"/>
    <w:rsid w:val="004E1EB3"/>
    <w:rsid w:val="004E1F41"/>
    <w:rsid w:val="004E2A6A"/>
    <w:rsid w:val="004E2BA2"/>
    <w:rsid w:val="004E3BC5"/>
    <w:rsid w:val="004E5442"/>
    <w:rsid w:val="004E5B0B"/>
    <w:rsid w:val="004E5BD0"/>
    <w:rsid w:val="004E6D5A"/>
    <w:rsid w:val="004F0A8A"/>
    <w:rsid w:val="004F20AA"/>
    <w:rsid w:val="004F23F1"/>
    <w:rsid w:val="004F26C4"/>
    <w:rsid w:val="004F2A76"/>
    <w:rsid w:val="004F2B95"/>
    <w:rsid w:val="004F38EC"/>
    <w:rsid w:val="004F423D"/>
    <w:rsid w:val="004F63CB"/>
    <w:rsid w:val="004F694F"/>
    <w:rsid w:val="00500D5B"/>
    <w:rsid w:val="00500E24"/>
    <w:rsid w:val="00502DBF"/>
    <w:rsid w:val="005039F8"/>
    <w:rsid w:val="00504275"/>
    <w:rsid w:val="00504AB0"/>
    <w:rsid w:val="005057A0"/>
    <w:rsid w:val="00506724"/>
    <w:rsid w:val="0050761E"/>
    <w:rsid w:val="00507D03"/>
    <w:rsid w:val="00512A74"/>
    <w:rsid w:val="00512E4A"/>
    <w:rsid w:val="005131B6"/>
    <w:rsid w:val="0051600F"/>
    <w:rsid w:val="0051605B"/>
    <w:rsid w:val="00516983"/>
    <w:rsid w:val="005200B7"/>
    <w:rsid w:val="005211D3"/>
    <w:rsid w:val="005215DE"/>
    <w:rsid w:val="00521618"/>
    <w:rsid w:val="00521723"/>
    <w:rsid w:val="00522AA3"/>
    <w:rsid w:val="00526D98"/>
    <w:rsid w:val="005273E2"/>
    <w:rsid w:val="00530838"/>
    <w:rsid w:val="00530BFB"/>
    <w:rsid w:val="00531D30"/>
    <w:rsid w:val="0053232F"/>
    <w:rsid w:val="005325FA"/>
    <w:rsid w:val="00535E67"/>
    <w:rsid w:val="00535F16"/>
    <w:rsid w:val="00536C5C"/>
    <w:rsid w:val="005374D8"/>
    <w:rsid w:val="0053772E"/>
    <w:rsid w:val="0053780D"/>
    <w:rsid w:val="0053796C"/>
    <w:rsid w:val="00537BB6"/>
    <w:rsid w:val="00542BCC"/>
    <w:rsid w:val="00543079"/>
    <w:rsid w:val="0054388C"/>
    <w:rsid w:val="005438A6"/>
    <w:rsid w:val="00544AA7"/>
    <w:rsid w:val="00545F08"/>
    <w:rsid w:val="00546F7F"/>
    <w:rsid w:val="00546FCE"/>
    <w:rsid w:val="005505AE"/>
    <w:rsid w:val="00551A3D"/>
    <w:rsid w:val="00553AAC"/>
    <w:rsid w:val="005557E0"/>
    <w:rsid w:val="00556EB2"/>
    <w:rsid w:val="00557494"/>
    <w:rsid w:val="00560704"/>
    <w:rsid w:val="00561EEE"/>
    <w:rsid w:val="00566748"/>
    <w:rsid w:val="0056692B"/>
    <w:rsid w:val="00566CA9"/>
    <w:rsid w:val="00567D49"/>
    <w:rsid w:val="0057187F"/>
    <w:rsid w:val="005723E0"/>
    <w:rsid w:val="005725AB"/>
    <w:rsid w:val="00572BB0"/>
    <w:rsid w:val="0057372A"/>
    <w:rsid w:val="00574C65"/>
    <w:rsid w:val="00574FCE"/>
    <w:rsid w:val="00576957"/>
    <w:rsid w:val="0058086F"/>
    <w:rsid w:val="00580CE4"/>
    <w:rsid w:val="0058194E"/>
    <w:rsid w:val="00584AF5"/>
    <w:rsid w:val="00584B1E"/>
    <w:rsid w:val="005852B4"/>
    <w:rsid w:val="00586EEA"/>
    <w:rsid w:val="00587412"/>
    <w:rsid w:val="00587807"/>
    <w:rsid w:val="0059015D"/>
    <w:rsid w:val="0059196B"/>
    <w:rsid w:val="005940FD"/>
    <w:rsid w:val="005942A5"/>
    <w:rsid w:val="0059525B"/>
    <w:rsid w:val="00595823"/>
    <w:rsid w:val="005962DD"/>
    <w:rsid w:val="005A1D24"/>
    <w:rsid w:val="005A2366"/>
    <w:rsid w:val="005A347B"/>
    <w:rsid w:val="005A4822"/>
    <w:rsid w:val="005A4DC8"/>
    <w:rsid w:val="005A58D5"/>
    <w:rsid w:val="005A5E0B"/>
    <w:rsid w:val="005B05B4"/>
    <w:rsid w:val="005B1412"/>
    <w:rsid w:val="005B1E8A"/>
    <w:rsid w:val="005B2956"/>
    <w:rsid w:val="005B391C"/>
    <w:rsid w:val="005B3F4D"/>
    <w:rsid w:val="005B44BF"/>
    <w:rsid w:val="005B62F5"/>
    <w:rsid w:val="005B7019"/>
    <w:rsid w:val="005C0052"/>
    <w:rsid w:val="005C038E"/>
    <w:rsid w:val="005C06D4"/>
    <w:rsid w:val="005C1074"/>
    <w:rsid w:val="005C3D10"/>
    <w:rsid w:val="005C49BA"/>
    <w:rsid w:val="005C4B5C"/>
    <w:rsid w:val="005C5953"/>
    <w:rsid w:val="005C5CC3"/>
    <w:rsid w:val="005C5FF9"/>
    <w:rsid w:val="005C7380"/>
    <w:rsid w:val="005C7CAC"/>
    <w:rsid w:val="005D140A"/>
    <w:rsid w:val="005D1758"/>
    <w:rsid w:val="005D2F8C"/>
    <w:rsid w:val="005D45CF"/>
    <w:rsid w:val="005D4B0D"/>
    <w:rsid w:val="005D5D8A"/>
    <w:rsid w:val="005D61AA"/>
    <w:rsid w:val="005D6301"/>
    <w:rsid w:val="005D6ADE"/>
    <w:rsid w:val="005D6EC5"/>
    <w:rsid w:val="005D6F48"/>
    <w:rsid w:val="005E0215"/>
    <w:rsid w:val="005E1849"/>
    <w:rsid w:val="005E268F"/>
    <w:rsid w:val="005E299E"/>
    <w:rsid w:val="005E4482"/>
    <w:rsid w:val="005E53DD"/>
    <w:rsid w:val="005E6224"/>
    <w:rsid w:val="005E65BE"/>
    <w:rsid w:val="005E65CE"/>
    <w:rsid w:val="005E793F"/>
    <w:rsid w:val="005E7BEF"/>
    <w:rsid w:val="005F0418"/>
    <w:rsid w:val="005F0ED5"/>
    <w:rsid w:val="005F20DA"/>
    <w:rsid w:val="005F24CC"/>
    <w:rsid w:val="005F2B1F"/>
    <w:rsid w:val="005F36ED"/>
    <w:rsid w:val="005F5365"/>
    <w:rsid w:val="005F5615"/>
    <w:rsid w:val="005F5FDA"/>
    <w:rsid w:val="005F6245"/>
    <w:rsid w:val="005F66EB"/>
    <w:rsid w:val="005F6A39"/>
    <w:rsid w:val="0060014D"/>
    <w:rsid w:val="00600A4B"/>
    <w:rsid w:val="00602FAC"/>
    <w:rsid w:val="0060346A"/>
    <w:rsid w:val="0060509C"/>
    <w:rsid w:val="006052CB"/>
    <w:rsid w:val="006055C7"/>
    <w:rsid w:val="0061124D"/>
    <w:rsid w:val="00611765"/>
    <w:rsid w:val="00611F64"/>
    <w:rsid w:val="00612770"/>
    <w:rsid w:val="00613B6A"/>
    <w:rsid w:val="0061431A"/>
    <w:rsid w:val="00614335"/>
    <w:rsid w:val="00615311"/>
    <w:rsid w:val="006153B8"/>
    <w:rsid w:val="006157AB"/>
    <w:rsid w:val="00615E5C"/>
    <w:rsid w:val="0061742E"/>
    <w:rsid w:val="00617D1B"/>
    <w:rsid w:val="00620099"/>
    <w:rsid w:val="0062069B"/>
    <w:rsid w:val="0062154E"/>
    <w:rsid w:val="006219F6"/>
    <w:rsid w:val="00621CD8"/>
    <w:rsid w:val="00621FA0"/>
    <w:rsid w:val="0062258A"/>
    <w:rsid w:val="00622807"/>
    <w:rsid w:val="006230A0"/>
    <w:rsid w:val="00623F73"/>
    <w:rsid w:val="006249ED"/>
    <w:rsid w:val="00625F89"/>
    <w:rsid w:val="006269CC"/>
    <w:rsid w:val="00626EFB"/>
    <w:rsid w:val="0062764B"/>
    <w:rsid w:val="00627D46"/>
    <w:rsid w:val="00630E61"/>
    <w:rsid w:val="00632BD7"/>
    <w:rsid w:val="006331C1"/>
    <w:rsid w:val="0063394A"/>
    <w:rsid w:val="006347F3"/>
    <w:rsid w:val="006424E4"/>
    <w:rsid w:val="0064293C"/>
    <w:rsid w:val="00642A91"/>
    <w:rsid w:val="00642F5A"/>
    <w:rsid w:val="00643655"/>
    <w:rsid w:val="006444C0"/>
    <w:rsid w:val="006452CD"/>
    <w:rsid w:val="0064554F"/>
    <w:rsid w:val="006458CA"/>
    <w:rsid w:val="00645A79"/>
    <w:rsid w:val="00645BB5"/>
    <w:rsid w:val="00647618"/>
    <w:rsid w:val="006530FD"/>
    <w:rsid w:val="00654CE9"/>
    <w:rsid w:val="00655F53"/>
    <w:rsid w:val="00656262"/>
    <w:rsid w:val="006602ED"/>
    <w:rsid w:val="0066066A"/>
    <w:rsid w:val="006609FB"/>
    <w:rsid w:val="006613FB"/>
    <w:rsid w:val="006617DF"/>
    <w:rsid w:val="006622B8"/>
    <w:rsid w:val="006622C3"/>
    <w:rsid w:val="00662566"/>
    <w:rsid w:val="00664201"/>
    <w:rsid w:val="00664336"/>
    <w:rsid w:val="00664E32"/>
    <w:rsid w:val="0066522E"/>
    <w:rsid w:val="006653B9"/>
    <w:rsid w:val="00665E85"/>
    <w:rsid w:val="00670CB4"/>
    <w:rsid w:val="00671B4F"/>
    <w:rsid w:val="006737E1"/>
    <w:rsid w:val="0067430A"/>
    <w:rsid w:val="006778D1"/>
    <w:rsid w:val="00677EEB"/>
    <w:rsid w:val="006807F6"/>
    <w:rsid w:val="0068205D"/>
    <w:rsid w:val="00682875"/>
    <w:rsid w:val="00684DE2"/>
    <w:rsid w:val="006850F0"/>
    <w:rsid w:val="00686059"/>
    <w:rsid w:val="00686904"/>
    <w:rsid w:val="00687C1F"/>
    <w:rsid w:val="00691963"/>
    <w:rsid w:val="00691ECB"/>
    <w:rsid w:val="00692E87"/>
    <w:rsid w:val="00693AB9"/>
    <w:rsid w:val="006948CE"/>
    <w:rsid w:val="00696FAD"/>
    <w:rsid w:val="0069765D"/>
    <w:rsid w:val="006A131C"/>
    <w:rsid w:val="006A1FD7"/>
    <w:rsid w:val="006A23F0"/>
    <w:rsid w:val="006A2D4D"/>
    <w:rsid w:val="006A3AD2"/>
    <w:rsid w:val="006A6D3F"/>
    <w:rsid w:val="006A6D92"/>
    <w:rsid w:val="006A6E07"/>
    <w:rsid w:val="006B019C"/>
    <w:rsid w:val="006B0AF4"/>
    <w:rsid w:val="006B0B6F"/>
    <w:rsid w:val="006B174C"/>
    <w:rsid w:val="006B2D62"/>
    <w:rsid w:val="006B3874"/>
    <w:rsid w:val="006B4CDB"/>
    <w:rsid w:val="006B4EC9"/>
    <w:rsid w:val="006B679B"/>
    <w:rsid w:val="006B68ED"/>
    <w:rsid w:val="006B7909"/>
    <w:rsid w:val="006B7A1D"/>
    <w:rsid w:val="006B7EE3"/>
    <w:rsid w:val="006C048A"/>
    <w:rsid w:val="006C0A68"/>
    <w:rsid w:val="006C10CE"/>
    <w:rsid w:val="006C15B0"/>
    <w:rsid w:val="006C346D"/>
    <w:rsid w:val="006C363A"/>
    <w:rsid w:val="006C4C34"/>
    <w:rsid w:val="006C574C"/>
    <w:rsid w:val="006C5E6F"/>
    <w:rsid w:val="006C631C"/>
    <w:rsid w:val="006C6DD0"/>
    <w:rsid w:val="006D0790"/>
    <w:rsid w:val="006D0D80"/>
    <w:rsid w:val="006D26A0"/>
    <w:rsid w:val="006D2DCA"/>
    <w:rsid w:val="006D2F99"/>
    <w:rsid w:val="006D4F7C"/>
    <w:rsid w:val="006D66D9"/>
    <w:rsid w:val="006D6AF8"/>
    <w:rsid w:val="006D7B0D"/>
    <w:rsid w:val="006E1AC2"/>
    <w:rsid w:val="006E1EAA"/>
    <w:rsid w:val="006E3029"/>
    <w:rsid w:val="006E401E"/>
    <w:rsid w:val="006E56B5"/>
    <w:rsid w:val="006E69CA"/>
    <w:rsid w:val="006F0ACD"/>
    <w:rsid w:val="006F0EEF"/>
    <w:rsid w:val="006F2282"/>
    <w:rsid w:val="006F2523"/>
    <w:rsid w:val="006F276B"/>
    <w:rsid w:val="006F2FF3"/>
    <w:rsid w:val="006F342B"/>
    <w:rsid w:val="006F4840"/>
    <w:rsid w:val="006F5775"/>
    <w:rsid w:val="006F6613"/>
    <w:rsid w:val="006F7324"/>
    <w:rsid w:val="006F7780"/>
    <w:rsid w:val="006F77D1"/>
    <w:rsid w:val="007000D8"/>
    <w:rsid w:val="00701765"/>
    <w:rsid w:val="00702813"/>
    <w:rsid w:val="00703633"/>
    <w:rsid w:val="00703DA1"/>
    <w:rsid w:val="00704171"/>
    <w:rsid w:val="007043E9"/>
    <w:rsid w:val="007055A3"/>
    <w:rsid w:val="00705A6E"/>
    <w:rsid w:val="00706A4A"/>
    <w:rsid w:val="00706E76"/>
    <w:rsid w:val="007078FA"/>
    <w:rsid w:val="00710B84"/>
    <w:rsid w:val="0071251F"/>
    <w:rsid w:val="00712AF5"/>
    <w:rsid w:val="00712C62"/>
    <w:rsid w:val="007157C5"/>
    <w:rsid w:val="00716688"/>
    <w:rsid w:val="0071749B"/>
    <w:rsid w:val="00717E84"/>
    <w:rsid w:val="00717FE8"/>
    <w:rsid w:val="007205AB"/>
    <w:rsid w:val="0072080C"/>
    <w:rsid w:val="00720F28"/>
    <w:rsid w:val="007223BB"/>
    <w:rsid w:val="00723C58"/>
    <w:rsid w:val="00723E1F"/>
    <w:rsid w:val="00724226"/>
    <w:rsid w:val="00724F39"/>
    <w:rsid w:val="00725DCB"/>
    <w:rsid w:val="007263A7"/>
    <w:rsid w:val="00727BB6"/>
    <w:rsid w:val="00731661"/>
    <w:rsid w:val="00731BA7"/>
    <w:rsid w:val="0073205E"/>
    <w:rsid w:val="00732063"/>
    <w:rsid w:val="007331C8"/>
    <w:rsid w:val="007358F5"/>
    <w:rsid w:val="00735B85"/>
    <w:rsid w:val="00737459"/>
    <w:rsid w:val="00737567"/>
    <w:rsid w:val="00737C83"/>
    <w:rsid w:val="00740FA6"/>
    <w:rsid w:val="007431A0"/>
    <w:rsid w:val="007446CC"/>
    <w:rsid w:val="00745C0A"/>
    <w:rsid w:val="0074714B"/>
    <w:rsid w:val="00747F6F"/>
    <w:rsid w:val="00750581"/>
    <w:rsid w:val="00750731"/>
    <w:rsid w:val="00750BB6"/>
    <w:rsid w:val="00751C1B"/>
    <w:rsid w:val="00751E16"/>
    <w:rsid w:val="007523DA"/>
    <w:rsid w:val="007529FA"/>
    <w:rsid w:val="00753D86"/>
    <w:rsid w:val="00754AFB"/>
    <w:rsid w:val="00755ED1"/>
    <w:rsid w:val="00756335"/>
    <w:rsid w:val="00761D21"/>
    <w:rsid w:val="007623EB"/>
    <w:rsid w:val="00764AAA"/>
    <w:rsid w:val="00765013"/>
    <w:rsid w:val="0076517D"/>
    <w:rsid w:val="00765617"/>
    <w:rsid w:val="00765DB8"/>
    <w:rsid w:val="00766302"/>
    <w:rsid w:val="0076669E"/>
    <w:rsid w:val="00767B84"/>
    <w:rsid w:val="00767D2F"/>
    <w:rsid w:val="00770DD9"/>
    <w:rsid w:val="007713A0"/>
    <w:rsid w:val="007713AD"/>
    <w:rsid w:val="00771406"/>
    <w:rsid w:val="00771F62"/>
    <w:rsid w:val="00772A1B"/>
    <w:rsid w:val="00772C31"/>
    <w:rsid w:val="00772CA2"/>
    <w:rsid w:val="00773A4C"/>
    <w:rsid w:val="0077604A"/>
    <w:rsid w:val="007809EF"/>
    <w:rsid w:val="00780B62"/>
    <w:rsid w:val="00781FD3"/>
    <w:rsid w:val="00782ECE"/>
    <w:rsid w:val="00783AC8"/>
    <w:rsid w:val="0078426B"/>
    <w:rsid w:val="0078599B"/>
    <w:rsid w:val="007866F5"/>
    <w:rsid w:val="00787C46"/>
    <w:rsid w:val="0079050F"/>
    <w:rsid w:val="00790B2B"/>
    <w:rsid w:val="00790BA5"/>
    <w:rsid w:val="007914AC"/>
    <w:rsid w:val="00792523"/>
    <w:rsid w:val="007929EA"/>
    <w:rsid w:val="007932F0"/>
    <w:rsid w:val="00793522"/>
    <w:rsid w:val="0079379F"/>
    <w:rsid w:val="00795211"/>
    <w:rsid w:val="0079533E"/>
    <w:rsid w:val="00796DE5"/>
    <w:rsid w:val="00797BA1"/>
    <w:rsid w:val="00797D88"/>
    <w:rsid w:val="00797DF5"/>
    <w:rsid w:val="007A0219"/>
    <w:rsid w:val="007A1F94"/>
    <w:rsid w:val="007A2454"/>
    <w:rsid w:val="007A2B78"/>
    <w:rsid w:val="007A3E08"/>
    <w:rsid w:val="007A4B76"/>
    <w:rsid w:val="007A5156"/>
    <w:rsid w:val="007A5730"/>
    <w:rsid w:val="007A5F56"/>
    <w:rsid w:val="007A6B77"/>
    <w:rsid w:val="007A723B"/>
    <w:rsid w:val="007B0128"/>
    <w:rsid w:val="007B0669"/>
    <w:rsid w:val="007B113A"/>
    <w:rsid w:val="007B1E18"/>
    <w:rsid w:val="007B23BA"/>
    <w:rsid w:val="007B3412"/>
    <w:rsid w:val="007B3511"/>
    <w:rsid w:val="007B38DC"/>
    <w:rsid w:val="007B67F0"/>
    <w:rsid w:val="007B67F1"/>
    <w:rsid w:val="007B6B53"/>
    <w:rsid w:val="007B7417"/>
    <w:rsid w:val="007B7651"/>
    <w:rsid w:val="007C1DF7"/>
    <w:rsid w:val="007C2E0A"/>
    <w:rsid w:val="007C41F2"/>
    <w:rsid w:val="007C5777"/>
    <w:rsid w:val="007C5CAA"/>
    <w:rsid w:val="007C5FD3"/>
    <w:rsid w:val="007C6197"/>
    <w:rsid w:val="007D1E31"/>
    <w:rsid w:val="007D2069"/>
    <w:rsid w:val="007D2157"/>
    <w:rsid w:val="007D3BD8"/>
    <w:rsid w:val="007D4B52"/>
    <w:rsid w:val="007D55B7"/>
    <w:rsid w:val="007D6510"/>
    <w:rsid w:val="007D70CB"/>
    <w:rsid w:val="007D7955"/>
    <w:rsid w:val="007D7F47"/>
    <w:rsid w:val="007E03E4"/>
    <w:rsid w:val="007E11AB"/>
    <w:rsid w:val="007E1601"/>
    <w:rsid w:val="007E3087"/>
    <w:rsid w:val="007E3BEC"/>
    <w:rsid w:val="007E40D7"/>
    <w:rsid w:val="007E5017"/>
    <w:rsid w:val="007E51B1"/>
    <w:rsid w:val="007E66B2"/>
    <w:rsid w:val="007E6A0D"/>
    <w:rsid w:val="007F231B"/>
    <w:rsid w:val="007F38DC"/>
    <w:rsid w:val="007F426A"/>
    <w:rsid w:val="007F4A1A"/>
    <w:rsid w:val="007F4C0A"/>
    <w:rsid w:val="007F6225"/>
    <w:rsid w:val="007F746E"/>
    <w:rsid w:val="00800AF1"/>
    <w:rsid w:val="00800D29"/>
    <w:rsid w:val="008039F9"/>
    <w:rsid w:val="00803C30"/>
    <w:rsid w:val="0080535B"/>
    <w:rsid w:val="00806F9E"/>
    <w:rsid w:val="0080730A"/>
    <w:rsid w:val="00807F2E"/>
    <w:rsid w:val="00810064"/>
    <w:rsid w:val="00810481"/>
    <w:rsid w:val="00810D16"/>
    <w:rsid w:val="0081251B"/>
    <w:rsid w:val="00812641"/>
    <w:rsid w:val="00812757"/>
    <w:rsid w:val="00812EB0"/>
    <w:rsid w:val="00813B69"/>
    <w:rsid w:val="00814026"/>
    <w:rsid w:val="008143AB"/>
    <w:rsid w:val="00814919"/>
    <w:rsid w:val="00815A0F"/>
    <w:rsid w:val="0081614B"/>
    <w:rsid w:val="008203C2"/>
    <w:rsid w:val="00822B58"/>
    <w:rsid w:val="00823506"/>
    <w:rsid w:val="00824264"/>
    <w:rsid w:val="0082434E"/>
    <w:rsid w:val="0082441A"/>
    <w:rsid w:val="0082458D"/>
    <w:rsid w:val="00825210"/>
    <w:rsid w:val="00826AC3"/>
    <w:rsid w:val="00826C51"/>
    <w:rsid w:val="00826D9F"/>
    <w:rsid w:val="00826E3F"/>
    <w:rsid w:val="00826ED7"/>
    <w:rsid w:val="008273E1"/>
    <w:rsid w:val="00830105"/>
    <w:rsid w:val="00830815"/>
    <w:rsid w:val="00832E21"/>
    <w:rsid w:val="00833187"/>
    <w:rsid w:val="008341F4"/>
    <w:rsid w:val="0083584D"/>
    <w:rsid w:val="00836821"/>
    <w:rsid w:val="00836C43"/>
    <w:rsid w:val="00837188"/>
    <w:rsid w:val="00837F93"/>
    <w:rsid w:val="00840479"/>
    <w:rsid w:val="0084053F"/>
    <w:rsid w:val="00840BB7"/>
    <w:rsid w:val="008416A6"/>
    <w:rsid w:val="0084240B"/>
    <w:rsid w:val="008440EC"/>
    <w:rsid w:val="00844EC4"/>
    <w:rsid w:val="008454F0"/>
    <w:rsid w:val="00845ACC"/>
    <w:rsid w:val="00845E96"/>
    <w:rsid w:val="00846C3D"/>
    <w:rsid w:val="00850C96"/>
    <w:rsid w:val="00850E0D"/>
    <w:rsid w:val="00850EA0"/>
    <w:rsid w:val="00852459"/>
    <w:rsid w:val="00853B11"/>
    <w:rsid w:val="00855331"/>
    <w:rsid w:val="0085611A"/>
    <w:rsid w:val="008562E3"/>
    <w:rsid w:val="0085633D"/>
    <w:rsid w:val="00856624"/>
    <w:rsid w:val="008566B3"/>
    <w:rsid w:val="00856AA4"/>
    <w:rsid w:val="008572D1"/>
    <w:rsid w:val="00857CAC"/>
    <w:rsid w:val="008603D9"/>
    <w:rsid w:val="00860995"/>
    <w:rsid w:val="00860F28"/>
    <w:rsid w:val="00861C41"/>
    <w:rsid w:val="00862E57"/>
    <w:rsid w:val="00863EAA"/>
    <w:rsid w:val="00866CA4"/>
    <w:rsid w:val="008673B8"/>
    <w:rsid w:val="00867E3C"/>
    <w:rsid w:val="00871290"/>
    <w:rsid w:val="00872656"/>
    <w:rsid w:val="00873657"/>
    <w:rsid w:val="00873F52"/>
    <w:rsid w:val="0087418D"/>
    <w:rsid w:val="0087429E"/>
    <w:rsid w:val="00874E84"/>
    <w:rsid w:val="00875C55"/>
    <w:rsid w:val="00877751"/>
    <w:rsid w:val="00880374"/>
    <w:rsid w:val="00880978"/>
    <w:rsid w:val="00881D8D"/>
    <w:rsid w:val="00882854"/>
    <w:rsid w:val="00882B5E"/>
    <w:rsid w:val="00883A3F"/>
    <w:rsid w:val="00883DF2"/>
    <w:rsid w:val="00886A93"/>
    <w:rsid w:val="00890AE9"/>
    <w:rsid w:val="00891DF1"/>
    <w:rsid w:val="00892035"/>
    <w:rsid w:val="00892D5E"/>
    <w:rsid w:val="00893717"/>
    <w:rsid w:val="00893D72"/>
    <w:rsid w:val="00897840"/>
    <w:rsid w:val="008979A3"/>
    <w:rsid w:val="008A0AB5"/>
    <w:rsid w:val="008A0D9A"/>
    <w:rsid w:val="008A298E"/>
    <w:rsid w:val="008A3BC2"/>
    <w:rsid w:val="008A3C11"/>
    <w:rsid w:val="008A50F4"/>
    <w:rsid w:val="008A6F21"/>
    <w:rsid w:val="008A7802"/>
    <w:rsid w:val="008A7FCF"/>
    <w:rsid w:val="008B12A7"/>
    <w:rsid w:val="008B2195"/>
    <w:rsid w:val="008B404A"/>
    <w:rsid w:val="008B424D"/>
    <w:rsid w:val="008B4B34"/>
    <w:rsid w:val="008B5B78"/>
    <w:rsid w:val="008B5DD6"/>
    <w:rsid w:val="008B7318"/>
    <w:rsid w:val="008C17E3"/>
    <w:rsid w:val="008C1980"/>
    <w:rsid w:val="008C29C5"/>
    <w:rsid w:val="008C4C83"/>
    <w:rsid w:val="008C509A"/>
    <w:rsid w:val="008C56C2"/>
    <w:rsid w:val="008C76B6"/>
    <w:rsid w:val="008D0F14"/>
    <w:rsid w:val="008D0F6B"/>
    <w:rsid w:val="008D14C4"/>
    <w:rsid w:val="008D1D37"/>
    <w:rsid w:val="008D2B4D"/>
    <w:rsid w:val="008D599E"/>
    <w:rsid w:val="008D612E"/>
    <w:rsid w:val="008D78D0"/>
    <w:rsid w:val="008E0932"/>
    <w:rsid w:val="008E12DE"/>
    <w:rsid w:val="008E48B8"/>
    <w:rsid w:val="008E4BBC"/>
    <w:rsid w:val="008E6D02"/>
    <w:rsid w:val="008E7E40"/>
    <w:rsid w:val="008E7ED0"/>
    <w:rsid w:val="008F08A2"/>
    <w:rsid w:val="008F0BD2"/>
    <w:rsid w:val="008F1E59"/>
    <w:rsid w:val="008F2EB9"/>
    <w:rsid w:val="008F38B7"/>
    <w:rsid w:val="008F4A93"/>
    <w:rsid w:val="008F4DBE"/>
    <w:rsid w:val="008F6996"/>
    <w:rsid w:val="008F742F"/>
    <w:rsid w:val="009008C5"/>
    <w:rsid w:val="00900B99"/>
    <w:rsid w:val="00902215"/>
    <w:rsid w:val="0090296C"/>
    <w:rsid w:val="00902A0B"/>
    <w:rsid w:val="0090565F"/>
    <w:rsid w:val="00906005"/>
    <w:rsid w:val="00906CD3"/>
    <w:rsid w:val="009075CE"/>
    <w:rsid w:val="0091111D"/>
    <w:rsid w:val="00911C61"/>
    <w:rsid w:val="009132E8"/>
    <w:rsid w:val="009147C5"/>
    <w:rsid w:val="00917A5F"/>
    <w:rsid w:val="00917BCD"/>
    <w:rsid w:val="00920553"/>
    <w:rsid w:val="009210A0"/>
    <w:rsid w:val="0092182F"/>
    <w:rsid w:val="00921EBA"/>
    <w:rsid w:val="00921EE5"/>
    <w:rsid w:val="00923304"/>
    <w:rsid w:val="00923CF0"/>
    <w:rsid w:val="0092633C"/>
    <w:rsid w:val="00927917"/>
    <w:rsid w:val="009301C6"/>
    <w:rsid w:val="00930FAC"/>
    <w:rsid w:val="0093173E"/>
    <w:rsid w:val="0093181D"/>
    <w:rsid w:val="00931D5F"/>
    <w:rsid w:val="00932B6E"/>
    <w:rsid w:val="0093484C"/>
    <w:rsid w:val="009379CB"/>
    <w:rsid w:val="00940CE5"/>
    <w:rsid w:val="00941366"/>
    <w:rsid w:val="0094146E"/>
    <w:rsid w:val="00941C25"/>
    <w:rsid w:val="00942620"/>
    <w:rsid w:val="00943984"/>
    <w:rsid w:val="00944151"/>
    <w:rsid w:val="0094646D"/>
    <w:rsid w:val="009473E0"/>
    <w:rsid w:val="00947BC2"/>
    <w:rsid w:val="009506C3"/>
    <w:rsid w:val="00952177"/>
    <w:rsid w:val="009524CB"/>
    <w:rsid w:val="00952BEE"/>
    <w:rsid w:val="009554B1"/>
    <w:rsid w:val="00955BF8"/>
    <w:rsid w:val="0095692E"/>
    <w:rsid w:val="0095731E"/>
    <w:rsid w:val="00960068"/>
    <w:rsid w:val="009602D8"/>
    <w:rsid w:val="009607ED"/>
    <w:rsid w:val="00960CBC"/>
    <w:rsid w:val="00960FEA"/>
    <w:rsid w:val="00961383"/>
    <w:rsid w:val="00961558"/>
    <w:rsid w:val="0096168A"/>
    <w:rsid w:val="009622BB"/>
    <w:rsid w:val="00962CC9"/>
    <w:rsid w:val="00963145"/>
    <w:rsid w:val="009644B9"/>
    <w:rsid w:val="009644F9"/>
    <w:rsid w:val="0096593A"/>
    <w:rsid w:val="009675BB"/>
    <w:rsid w:val="009675D3"/>
    <w:rsid w:val="00967662"/>
    <w:rsid w:val="0096783A"/>
    <w:rsid w:val="00967B13"/>
    <w:rsid w:val="00967B8B"/>
    <w:rsid w:val="00967E1A"/>
    <w:rsid w:val="009705A3"/>
    <w:rsid w:val="009733C7"/>
    <w:rsid w:val="00976C73"/>
    <w:rsid w:val="00976F50"/>
    <w:rsid w:val="00977607"/>
    <w:rsid w:val="00977888"/>
    <w:rsid w:val="009778AD"/>
    <w:rsid w:val="00980CFC"/>
    <w:rsid w:val="00981A59"/>
    <w:rsid w:val="00983E28"/>
    <w:rsid w:val="00985141"/>
    <w:rsid w:val="0098586E"/>
    <w:rsid w:val="00985A2A"/>
    <w:rsid w:val="00985B0C"/>
    <w:rsid w:val="00985EEF"/>
    <w:rsid w:val="0099026D"/>
    <w:rsid w:val="0099064E"/>
    <w:rsid w:val="00990E57"/>
    <w:rsid w:val="009912C3"/>
    <w:rsid w:val="00993EF1"/>
    <w:rsid w:val="009946E5"/>
    <w:rsid w:val="00994CC4"/>
    <w:rsid w:val="00994CE8"/>
    <w:rsid w:val="00996A7B"/>
    <w:rsid w:val="009970B3"/>
    <w:rsid w:val="00997356"/>
    <w:rsid w:val="009A0BE5"/>
    <w:rsid w:val="009A23A1"/>
    <w:rsid w:val="009A277F"/>
    <w:rsid w:val="009A33EF"/>
    <w:rsid w:val="009A3CB6"/>
    <w:rsid w:val="009A4661"/>
    <w:rsid w:val="009A4717"/>
    <w:rsid w:val="009A498C"/>
    <w:rsid w:val="009A642B"/>
    <w:rsid w:val="009B110C"/>
    <w:rsid w:val="009B3275"/>
    <w:rsid w:val="009B3645"/>
    <w:rsid w:val="009B3862"/>
    <w:rsid w:val="009B3AF0"/>
    <w:rsid w:val="009B4064"/>
    <w:rsid w:val="009B4FE6"/>
    <w:rsid w:val="009B5AF8"/>
    <w:rsid w:val="009B5CC3"/>
    <w:rsid w:val="009C00A0"/>
    <w:rsid w:val="009C04EF"/>
    <w:rsid w:val="009C1749"/>
    <w:rsid w:val="009C45D2"/>
    <w:rsid w:val="009C4A0C"/>
    <w:rsid w:val="009C4CB8"/>
    <w:rsid w:val="009C6034"/>
    <w:rsid w:val="009C7BE1"/>
    <w:rsid w:val="009D0F29"/>
    <w:rsid w:val="009D1392"/>
    <w:rsid w:val="009D1970"/>
    <w:rsid w:val="009D24DD"/>
    <w:rsid w:val="009D31BA"/>
    <w:rsid w:val="009D34F0"/>
    <w:rsid w:val="009D52AF"/>
    <w:rsid w:val="009D53D9"/>
    <w:rsid w:val="009D6053"/>
    <w:rsid w:val="009D617B"/>
    <w:rsid w:val="009E00F4"/>
    <w:rsid w:val="009E052B"/>
    <w:rsid w:val="009E0FF4"/>
    <w:rsid w:val="009E194C"/>
    <w:rsid w:val="009E1A2A"/>
    <w:rsid w:val="009E2C25"/>
    <w:rsid w:val="009E2C33"/>
    <w:rsid w:val="009E3369"/>
    <w:rsid w:val="009E4C01"/>
    <w:rsid w:val="009E50B5"/>
    <w:rsid w:val="009E632D"/>
    <w:rsid w:val="009E6366"/>
    <w:rsid w:val="009E777B"/>
    <w:rsid w:val="009E7A9B"/>
    <w:rsid w:val="009E7D1F"/>
    <w:rsid w:val="009F075D"/>
    <w:rsid w:val="009F137F"/>
    <w:rsid w:val="009F2247"/>
    <w:rsid w:val="009F313C"/>
    <w:rsid w:val="009F3826"/>
    <w:rsid w:val="009F4B02"/>
    <w:rsid w:val="009F5A8C"/>
    <w:rsid w:val="009F6FEF"/>
    <w:rsid w:val="009F7358"/>
    <w:rsid w:val="009F79FD"/>
    <w:rsid w:val="00A01378"/>
    <w:rsid w:val="00A01666"/>
    <w:rsid w:val="00A02934"/>
    <w:rsid w:val="00A03011"/>
    <w:rsid w:val="00A045E7"/>
    <w:rsid w:val="00A048D7"/>
    <w:rsid w:val="00A0547F"/>
    <w:rsid w:val="00A0771A"/>
    <w:rsid w:val="00A078FA"/>
    <w:rsid w:val="00A10702"/>
    <w:rsid w:val="00A12C06"/>
    <w:rsid w:val="00A131C3"/>
    <w:rsid w:val="00A141B6"/>
    <w:rsid w:val="00A15332"/>
    <w:rsid w:val="00A16D1A"/>
    <w:rsid w:val="00A16E26"/>
    <w:rsid w:val="00A1720F"/>
    <w:rsid w:val="00A17C64"/>
    <w:rsid w:val="00A20A58"/>
    <w:rsid w:val="00A211EA"/>
    <w:rsid w:val="00A21216"/>
    <w:rsid w:val="00A21589"/>
    <w:rsid w:val="00A21781"/>
    <w:rsid w:val="00A2190C"/>
    <w:rsid w:val="00A2241D"/>
    <w:rsid w:val="00A225E1"/>
    <w:rsid w:val="00A22C73"/>
    <w:rsid w:val="00A23B21"/>
    <w:rsid w:val="00A25C34"/>
    <w:rsid w:val="00A25E94"/>
    <w:rsid w:val="00A269DB"/>
    <w:rsid w:val="00A26F25"/>
    <w:rsid w:val="00A2751E"/>
    <w:rsid w:val="00A27D0C"/>
    <w:rsid w:val="00A30734"/>
    <w:rsid w:val="00A30936"/>
    <w:rsid w:val="00A30F9D"/>
    <w:rsid w:val="00A31E58"/>
    <w:rsid w:val="00A332A3"/>
    <w:rsid w:val="00A339EE"/>
    <w:rsid w:val="00A35793"/>
    <w:rsid w:val="00A36817"/>
    <w:rsid w:val="00A368AD"/>
    <w:rsid w:val="00A36FC0"/>
    <w:rsid w:val="00A403EE"/>
    <w:rsid w:val="00A40D75"/>
    <w:rsid w:val="00A4255E"/>
    <w:rsid w:val="00A430FB"/>
    <w:rsid w:val="00A434FF"/>
    <w:rsid w:val="00A43AF8"/>
    <w:rsid w:val="00A44AF6"/>
    <w:rsid w:val="00A45106"/>
    <w:rsid w:val="00A45E62"/>
    <w:rsid w:val="00A45E78"/>
    <w:rsid w:val="00A45FC5"/>
    <w:rsid w:val="00A469C5"/>
    <w:rsid w:val="00A46A76"/>
    <w:rsid w:val="00A46D49"/>
    <w:rsid w:val="00A50E4B"/>
    <w:rsid w:val="00A51277"/>
    <w:rsid w:val="00A518A6"/>
    <w:rsid w:val="00A51B1A"/>
    <w:rsid w:val="00A60BB8"/>
    <w:rsid w:val="00A60C75"/>
    <w:rsid w:val="00A60E1E"/>
    <w:rsid w:val="00A60F90"/>
    <w:rsid w:val="00A61F1F"/>
    <w:rsid w:val="00A657A5"/>
    <w:rsid w:val="00A65CC8"/>
    <w:rsid w:val="00A65F24"/>
    <w:rsid w:val="00A67CC4"/>
    <w:rsid w:val="00A714A7"/>
    <w:rsid w:val="00A72272"/>
    <w:rsid w:val="00A725A7"/>
    <w:rsid w:val="00A72D18"/>
    <w:rsid w:val="00A73339"/>
    <w:rsid w:val="00A73BA2"/>
    <w:rsid w:val="00A73D7B"/>
    <w:rsid w:val="00A73DFC"/>
    <w:rsid w:val="00A74EDD"/>
    <w:rsid w:val="00A75105"/>
    <w:rsid w:val="00A758A6"/>
    <w:rsid w:val="00A75B51"/>
    <w:rsid w:val="00A76463"/>
    <w:rsid w:val="00A80276"/>
    <w:rsid w:val="00A80788"/>
    <w:rsid w:val="00A8142A"/>
    <w:rsid w:val="00A81D26"/>
    <w:rsid w:val="00A81E9A"/>
    <w:rsid w:val="00A82329"/>
    <w:rsid w:val="00A84374"/>
    <w:rsid w:val="00A844B9"/>
    <w:rsid w:val="00A868F9"/>
    <w:rsid w:val="00A870B5"/>
    <w:rsid w:val="00A87E59"/>
    <w:rsid w:val="00A90A57"/>
    <w:rsid w:val="00A90DFA"/>
    <w:rsid w:val="00A90FBA"/>
    <w:rsid w:val="00A91891"/>
    <w:rsid w:val="00A932E0"/>
    <w:rsid w:val="00A93A48"/>
    <w:rsid w:val="00A93F1D"/>
    <w:rsid w:val="00A941EE"/>
    <w:rsid w:val="00A9467F"/>
    <w:rsid w:val="00A97764"/>
    <w:rsid w:val="00AA0D1C"/>
    <w:rsid w:val="00AA104D"/>
    <w:rsid w:val="00AA1DB8"/>
    <w:rsid w:val="00AA1EFC"/>
    <w:rsid w:val="00AA1FE6"/>
    <w:rsid w:val="00AA2B7C"/>
    <w:rsid w:val="00AA2CB7"/>
    <w:rsid w:val="00AA34ED"/>
    <w:rsid w:val="00AA4348"/>
    <w:rsid w:val="00AA510B"/>
    <w:rsid w:val="00AA6244"/>
    <w:rsid w:val="00AA6F36"/>
    <w:rsid w:val="00AA7EFC"/>
    <w:rsid w:val="00AB09D6"/>
    <w:rsid w:val="00AB1854"/>
    <w:rsid w:val="00AB1B9F"/>
    <w:rsid w:val="00AB1D7C"/>
    <w:rsid w:val="00AB323E"/>
    <w:rsid w:val="00AB3594"/>
    <w:rsid w:val="00AB3E22"/>
    <w:rsid w:val="00AB42F2"/>
    <w:rsid w:val="00AB4799"/>
    <w:rsid w:val="00AB4E8F"/>
    <w:rsid w:val="00AB5280"/>
    <w:rsid w:val="00AB5F93"/>
    <w:rsid w:val="00AB6208"/>
    <w:rsid w:val="00AB75C8"/>
    <w:rsid w:val="00AC07E7"/>
    <w:rsid w:val="00AC0D16"/>
    <w:rsid w:val="00AC0ED4"/>
    <w:rsid w:val="00AC11B9"/>
    <w:rsid w:val="00AC12C3"/>
    <w:rsid w:val="00AC2726"/>
    <w:rsid w:val="00AC4AB2"/>
    <w:rsid w:val="00AC5859"/>
    <w:rsid w:val="00AC6BB3"/>
    <w:rsid w:val="00AC7217"/>
    <w:rsid w:val="00AD0A1F"/>
    <w:rsid w:val="00AD0BDC"/>
    <w:rsid w:val="00AD2A70"/>
    <w:rsid w:val="00AD4422"/>
    <w:rsid w:val="00AD4ED5"/>
    <w:rsid w:val="00AD5D73"/>
    <w:rsid w:val="00AD6353"/>
    <w:rsid w:val="00AD69B4"/>
    <w:rsid w:val="00AD7F0F"/>
    <w:rsid w:val="00AE10AB"/>
    <w:rsid w:val="00AE1E13"/>
    <w:rsid w:val="00AE20C2"/>
    <w:rsid w:val="00AE22D9"/>
    <w:rsid w:val="00AE403B"/>
    <w:rsid w:val="00AE5222"/>
    <w:rsid w:val="00AE7E65"/>
    <w:rsid w:val="00AF1655"/>
    <w:rsid w:val="00AF1B46"/>
    <w:rsid w:val="00AF29F3"/>
    <w:rsid w:val="00AF340B"/>
    <w:rsid w:val="00AF37E6"/>
    <w:rsid w:val="00AF4769"/>
    <w:rsid w:val="00AF4947"/>
    <w:rsid w:val="00AF4F7A"/>
    <w:rsid w:val="00AF5509"/>
    <w:rsid w:val="00AF6332"/>
    <w:rsid w:val="00AF6461"/>
    <w:rsid w:val="00AF79D3"/>
    <w:rsid w:val="00B000DB"/>
    <w:rsid w:val="00B0058E"/>
    <w:rsid w:val="00B007FD"/>
    <w:rsid w:val="00B00975"/>
    <w:rsid w:val="00B01332"/>
    <w:rsid w:val="00B017D7"/>
    <w:rsid w:val="00B026C4"/>
    <w:rsid w:val="00B02B48"/>
    <w:rsid w:val="00B034E1"/>
    <w:rsid w:val="00B047AB"/>
    <w:rsid w:val="00B049A2"/>
    <w:rsid w:val="00B11007"/>
    <w:rsid w:val="00B11105"/>
    <w:rsid w:val="00B11BF9"/>
    <w:rsid w:val="00B11DDE"/>
    <w:rsid w:val="00B1236D"/>
    <w:rsid w:val="00B13205"/>
    <w:rsid w:val="00B13537"/>
    <w:rsid w:val="00B13889"/>
    <w:rsid w:val="00B13F70"/>
    <w:rsid w:val="00B14C53"/>
    <w:rsid w:val="00B14EDF"/>
    <w:rsid w:val="00B1522F"/>
    <w:rsid w:val="00B157C9"/>
    <w:rsid w:val="00B16089"/>
    <w:rsid w:val="00B202B3"/>
    <w:rsid w:val="00B20F47"/>
    <w:rsid w:val="00B21016"/>
    <w:rsid w:val="00B21C3F"/>
    <w:rsid w:val="00B23126"/>
    <w:rsid w:val="00B274F5"/>
    <w:rsid w:val="00B275F4"/>
    <w:rsid w:val="00B27619"/>
    <w:rsid w:val="00B27C84"/>
    <w:rsid w:val="00B27CDA"/>
    <w:rsid w:val="00B3241A"/>
    <w:rsid w:val="00B324C3"/>
    <w:rsid w:val="00B343D6"/>
    <w:rsid w:val="00B35EE9"/>
    <w:rsid w:val="00B37060"/>
    <w:rsid w:val="00B37B51"/>
    <w:rsid w:val="00B40601"/>
    <w:rsid w:val="00B42BEF"/>
    <w:rsid w:val="00B42D8B"/>
    <w:rsid w:val="00B431CC"/>
    <w:rsid w:val="00B44360"/>
    <w:rsid w:val="00B451AB"/>
    <w:rsid w:val="00B457F4"/>
    <w:rsid w:val="00B460BC"/>
    <w:rsid w:val="00B46DA3"/>
    <w:rsid w:val="00B46F94"/>
    <w:rsid w:val="00B4776A"/>
    <w:rsid w:val="00B47E3D"/>
    <w:rsid w:val="00B50324"/>
    <w:rsid w:val="00B50A9D"/>
    <w:rsid w:val="00B50FEA"/>
    <w:rsid w:val="00B51899"/>
    <w:rsid w:val="00B519F3"/>
    <w:rsid w:val="00B52CD4"/>
    <w:rsid w:val="00B5360C"/>
    <w:rsid w:val="00B5399E"/>
    <w:rsid w:val="00B53DD4"/>
    <w:rsid w:val="00B54AA2"/>
    <w:rsid w:val="00B5587F"/>
    <w:rsid w:val="00B5610C"/>
    <w:rsid w:val="00B56DC2"/>
    <w:rsid w:val="00B5702D"/>
    <w:rsid w:val="00B57A36"/>
    <w:rsid w:val="00B57C83"/>
    <w:rsid w:val="00B57D36"/>
    <w:rsid w:val="00B57F4A"/>
    <w:rsid w:val="00B60B99"/>
    <w:rsid w:val="00B64960"/>
    <w:rsid w:val="00B64E8B"/>
    <w:rsid w:val="00B651A5"/>
    <w:rsid w:val="00B67541"/>
    <w:rsid w:val="00B7197B"/>
    <w:rsid w:val="00B721E4"/>
    <w:rsid w:val="00B739E4"/>
    <w:rsid w:val="00B766AC"/>
    <w:rsid w:val="00B80FB9"/>
    <w:rsid w:val="00B843E3"/>
    <w:rsid w:val="00B84496"/>
    <w:rsid w:val="00B84655"/>
    <w:rsid w:val="00B84748"/>
    <w:rsid w:val="00B84D5E"/>
    <w:rsid w:val="00B84FA0"/>
    <w:rsid w:val="00B8627E"/>
    <w:rsid w:val="00B86498"/>
    <w:rsid w:val="00B87776"/>
    <w:rsid w:val="00B90EB2"/>
    <w:rsid w:val="00B91644"/>
    <w:rsid w:val="00B91BA2"/>
    <w:rsid w:val="00B93036"/>
    <w:rsid w:val="00B933D2"/>
    <w:rsid w:val="00B95846"/>
    <w:rsid w:val="00B96AA8"/>
    <w:rsid w:val="00B96DD7"/>
    <w:rsid w:val="00BA02E4"/>
    <w:rsid w:val="00BA1494"/>
    <w:rsid w:val="00BA159B"/>
    <w:rsid w:val="00BA1CFB"/>
    <w:rsid w:val="00BA1EFF"/>
    <w:rsid w:val="00BA342D"/>
    <w:rsid w:val="00BA4C32"/>
    <w:rsid w:val="00BA4D25"/>
    <w:rsid w:val="00BA503C"/>
    <w:rsid w:val="00BB2717"/>
    <w:rsid w:val="00BB34B9"/>
    <w:rsid w:val="00BB56CD"/>
    <w:rsid w:val="00BB5D63"/>
    <w:rsid w:val="00BB619F"/>
    <w:rsid w:val="00BC058C"/>
    <w:rsid w:val="00BC589D"/>
    <w:rsid w:val="00BC5BC1"/>
    <w:rsid w:val="00BC5D11"/>
    <w:rsid w:val="00BC7265"/>
    <w:rsid w:val="00BC799A"/>
    <w:rsid w:val="00BC7C6C"/>
    <w:rsid w:val="00BC7DF5"/>
    <w:rsid w:val="00BD1020"/>
    <w:rsid w:val="00BD38BA"/>
    <w:rsid w:val="00BD5C98"/>
    <w:rsid w:val="00BD5DF7"/>
    <w:rsid w:val="00BD697E"/>
    <w:rsid w:val="00BD6BC6"/>
    <w:rsid w:val="00BD7673"/>
    <w:rsid w:val="00BE2083"/>
    <w:rsid w:val="00BE2BCE"/>
    <w:rsid w:val="00BE43CF"/>
    <w:rsid w:val="00BE4550"/>
    <w:rsid w:val="00BE5842"/>
    <w:rsid w:val="00BE63E5"/>
    <w:rsid w:val="00BE6BFC"/>
    <w:rsid w:val="00BE6D08"/>
    <w:rsid w:val="00BE6DA2"/>
    <w:rsid w:val="00BE7944"/>
    <w:rsid w:val="00BE7F23"/>
    <w:rsid w:val="00BF07CF"/>
    <w:rsid w:val="00BF173B"/>
    <w:rsid w:val="00BF1BFC"/>
    <w:rsid w:val="00BF3107"/>
    <w:rsid w:val="00BF439F"/>
    <w:rsid w:val="00BF5B11"/>
    <w:rsid w:val="00BF628A"/>
    <w:rsid w:val="00BF7B9F"/>
    <w:rsid w:val="00C006E9"/>
    <w:rsid w:val="00C00AA3"/>
    <w:rsid w:val="00C00E65"/>
    <w:rsid w:val="00C037AB"/>
    <w:rsid w:val="00C037BB"/>
    <w:rsid w:val="00C0425E"/>
    <w:rsid w:val="00C0435F"/>
    <w:rsid w:val="00C046C4"/>
    <w:rsid w:val="00C05256"/>
    <w:rsid w:val="00C05322"/>
    <w:rsid w:val="00C0774F"/>
    <w:rsid w:val="00C07B3A"/>
    <w:rsid w:val="00C07DAB"/>
    <w:rsid w:val="00C1060E"/>
    <w:rsid w:val="00C1083D"/>
    <w:rsid w:val="00C11774"/>
    <w:rsid w:val="00C1274D"/>
    <w:rsid w:val="00C12EA4"/>
    <w:rsid w:val="00C12F0B"/>
    <w:rsid w:val="00C130FD"/>
    <w:rsid w:val="00C16179"/>
    <w:rsid w:val="00C16CA9"/>
    <w:rsid w:val="00C17F64"/>
    <w:rsid w:val="00C20631"/>
    <w:rsid w:val="00C20A7E"/>
    <w:rsid w:val="00C20D96"/>
    <w:rsid w:val="00C240EF"/>
    <w:rsid w:val="00C24E28"/>
    <w:rsid w:val="00C250F7"/>
    <w:rsid w:val="00C26D23"/>
    <w:rsid w:val="00C27190"/>
    <w:rsid w:val="00C30641"/>
    <w:rsid w:val="00C30C26"/>
    <w:rsid w:val="00C3322F"/>
    <w:rsid w:val="00C34101"/>
    <w:rsid w:val="00C34501"/>
    <w:rsid w:val="00C34D6B"/>
    <w:rsid w:val="00C3504A"/>
    <w:rsid w:val="00C350DC"/>
    <w:rsid w:val="00C351AA"/>
    <w:rsid w:val="00C352F9"/>
    <w:rsid w:val="00C35924"/>
    <w:rsid w:val="00C35B33"/>
    <w:rsid w:val="00C35E98"/>
    <w:rsid w:val="00C3649E"/>
    <w:rsid w:val="00C40187"/>
    <w:rsid w:val="00C40897"/>
    <w:rsid w:val="00C40CA3"/>
    <w:rsid w:val="00C41267"/>
    <w:rsid w:val="00C41ED2"/>
    <w:rsid w:val="00C42090"/>
    <w:rsid w:val="00C42F20"/>
    <w:rsid w:val="00C449E8"/>
    <w:rsid w:val="00C4553E"/>
    <w:rsid w:val="00C4570F"/>
    <w:rsid w:val="00C46206"/>
    <w:rsid w:val="00C46D23"/>
    <w:rsid w:val="00C47072"/>
    <w:rsid w:val="00C50383"/>
    <w:rsid w:val="00C5264D"/>
    <w:rsid w:val="00C52DA1"/>
    <w:rsid w:val="00C53E90"/>
    <w:rsid w:val="00C5417B"/>
    <w:rsid w:val="00C55E58"/>
    <w:rsid w:val="00C56EDE"/>
    <w:rsid w:val="00C57E74"/>
    <w:rsid w:val="00C6472E"/>
    <w:rsid w:val="00C64B5B"/>
    <w:rsid w:val="00C64DD4"/>
    <w:rsid w:val="00C66A5B"/>
    <w:rsid w:val="00C66AF6"/>
    <w:rsid w:val="00C66C47"/>
    <w:rsid w:val="00C67DB1"/>
    <w:rsid w:val="00C717B5"/>
    <w:rsid w:val="00C7183D"/>
    <w:rsid w:val="00C729CC"/>
    <w:rsid w:val="00C72ADE"/>
    <w:rsid w:val="00C7566E"/>
    <w:rsid w:val="00C75C99"/>
    <w:rsid w:val="00C7600F"/>
    <w:rsid w:val="00C76481"/>
    <w:rsid w:val="00C76F95"/>
    <w:rsid w:val="00C81F4B"/>
    <w:rsid w:val="00C82C92"/>
    <w:rsid w:val="00C8316E"/>
    <w:rsid w:val="00C84A33"/>
    <w:rsid w:val="00C8556F"/>
    <w:rsid w:val="00C8659B"/>
    <w:rsid w:val="00C86636"/>
    <w:rsid w:val="00C86E0E"/>
    <w:rsid w:val="00C872B8"/>
    <w:rsid w:val="00C87CE8"/>
    <w:rsid w:val="00C87F03"/>
    <w:rsid w:val="00C91860"/>
    <w:rsid w:val="00C91E15"/>
    <w:rsid w:val="00C9260F"/>
    <w:rsid w:val="00C92B64"/>
    <w:rsid w:val="00C92D70"/>
    <w:rsid w:val="00C933D0"/>
    <w:rsid w:val="00C9501F"/>
    <w:rsid w:val="00C956CD"/>
    <w:rsid w:val="00C96AB6"/>
    <w:rsid w:val="00C97D1F"/>
    <w:rsid w:val="00C97D98"/>
    <w:rsid w:val="00CA016B"/>
    <w:rsid w:val="00CA03BD"/>
    <w:rsid w:val="00CA0DCF"/>
    <w:rsid w:val="00CA0E91"/>
    <w:rsid w:val="00CA12B1"/>
    <w:rsid w:val="00CA160F"/>
    <w:rsid w:val="00CA1CD3"/>
    <w:rsid w:val="00CA21F0"/>
    <w:rsid w:val="00CA2215"/>
    <w:rsid w:val="00CA2463"/>
    <w:rsid w:val="00CA2A1B"/>
    <w:rsid w:val="00CA65C0"/>
    <w:rsid w:val="00CA67BA"/>
    <w:rsid w:val="00CA7495"/>
    <w:rsid w:val="00CA7DA8"/>
    <w:rsid w:val="00CB0A42"/>
    <w:rsid w:val="00CB13A6"/>
    <w:rsid w:val="00CB1E7B"/>
    <w:rsid w:val="00CB21D4"/>
    <w:rsid w:val="00CB3413"/>
    <w:rsid w:val="00CB39BB"/>
    <w:rsid w:val="00CB4354"/>
    <w:rsid w:val="00CB4BB7"/>
    <w:rsid w:val="00CB4C57"/>
    <w:rsid w:val="00CB52E9"/>
    <w:rsid w:val="00CB5C3F"/>
    <w:rsid w:val="00CB610B"/>
    <w:rsid w:val="00CB77ED"/>
    <w:rsid w:val="00CC0D2F"/>
    <w:rsid w:val="00CC128C"/>
    <w:rsid w:val="00CC2069"/>
    <w:rsid w:val="00CC2392"/>
    <w:rsid w:val="00CC23D0"/>
    <w:rsid w:val="00CC2705"/>
    <w:rsid w:val="00CC3425"/>
    <w:rsid w:val="00CC5616"/>
    <w:rsid w:val="00CC63F4"/>
    <w:rsid w:val="00CC7BED"/>
    <w:rsid w:val="00CD0BD1"/>
    <w:rsid w:val="00CD3692"/>
    <w:rsid w:val="00CD44C6"/>
    <w:rsid w:val="00CD5294"/>
    <w:rsid w:val="00CD609D"/>
    <w:rsid w:val="00CD6E6F"/>
    <w:rsid w:val="00CD7893"/>
    <w:rsid w:val="00CD7963"/>
    <w:rsid w:val="00CE1226"/>
    <w:rsid w:val="00CE2530"/>
    <w:rsid w:val="00CE2B2E"/>
    <w:rsid w:val="00CE2EDC"/>
    <w:rsid w:val="00CE478E"/>
    <w:rsid w:val="00CE5638"/>
    <w:rsid w:val="00CE7627"/>
    <w:rsid w:val="00CF05DB"/>
    <w:rsid w:val="00CF0866"/>
    <w:rsid w:val="00CF0A77"/>
    <w:rsid w:val="00CF0DCF"/>
    <w:rsid w:val="00CF1DFB"/>
    <w:rsid w:val="00CF2067"/>
    <w:rsid w:val="00CF2085"/>
    <w:rsid w:val="00CF3544"/>
    <w:rsid w:val="00CF448E"/>
    <w:rsid w:val="00CF5477"/>
    <w:rsid w:val="00CF679C"/>
    <w:rsid w:val="00D0010A"/>
    <w:rsid w:val="00D00341"/>
    <w:rsid w:val="00D01353"/>
    <w:rsid w:val="00D019EE"/>
    <w:rsid w:val="00D01CB1"/>
    <w:rsid w:val="00D028B4"/>
    <w:rsid w:val="00D030B9"/>
    <w:rsid w:val="00D03746"/>
    <w:rsid w:val="00D03B35"/>
    <w:rsid w:val="00D03C59"/>
    <w:rsid w:val="00D03E6C"/>
    <w:rsid w:val="00D04466"/>
    <w:rsid w:val="00D04FD8"/>
    <w:rsid w:val="00D06D3B"/>
    <w:rsid w:val="00D07025"/>
    <w:rsid w:val="00D0778C"/>
    <w:rsid w:val="00D07A2E"/>
    <w:rsid w:val="00D07DA9"/>
    <w:rsid w:val="00D10411"/>
    <w:rsid w:val="00D10930"/>
    <w:rsid w:val="00D10FD4"/>
    <w:rsid w:val="00D113AF"/>
    <w:rsid w:val="00D14B9E"/>
    <w:rsid w:val="00D16A72"/>
    <w:rsid w:val="00D16DC1"/>
    <w:rsid w:val="00D16E6F"/>
    <w:rsid w:val="00D1744C"/>
    <w:rsid w:val="00D20560"/>
    <w:rsid w:val="00D2124F"/>
    <w:rsid w:val="00D24541"/>
    <w:rsid w:val="00D25ED1"/>
    <w:rsid w:val="00D3074E"/>
    <w:rsid w:val="00D32921"/>
    <w:rsid w:val="00D33B49"/>
    <w:rsid w:val="00D34364"/>
    <w:rsid w:val="00D36284"/>
    <w:rsid w:val="00D37111"/>
    <w:rsid w:val="00D37152"/>
    <w:rsid w:val="00D37462"/>
    <w:rsid w:val="00D374BB"/>
    <w:rsid w:val="00D402F3"/>
    <w:rsid w:val="00D41B8D"/>
    <w:rsid w:val="00D4319C"/>
    <w:rsid w:val="00D435D3"/>
    <w:rsid w:val="00D4429A"/>
    <w:rsid w:val="00D44B9D"/>
    <w:rsid w:val="00D450E8"/>
    <w:rsid w:val="00D45F5C"/>
    <w:rsid w:val="00D4659A"/>
    <w:rsid w:val="00D505EC"/>
    <w:rsid w:val="00D5101F"/>
    <w:rsid w:val="00D5231D"/>
    <w:rsid w:val="00D52DEC"/>
    <w:rsid w:val="00D52FAB"/>
    <w:rsid w:val="00D53896"/>
    <w:rsid w:val="00D54F9A"/>
    <w:rsid w:val="00D5630D"/>
    <w:rsid w:val="00D57980"/>
    <w:rsid w:val="00D60848"/>
    <w:rsid w:val="00D611CB"/>
    <w:rsid w:val="00D637A9"/>
    <w:rsid w:val="00D652AC"/>
    <w:rsid w:val="00D65A7D"/>
    <w:rsid w:val="00D66761"/>
    <w:rsid w:val="00D6771F"/>
    <w:rsid w:val="00D71D9D"/>
    <w:rsid w:val="00D7480C"/>
    <w:rsid w:val="00D766E9"/>
    <w:rsid w:val="00D80BDC"/>
    <w:rsid w:val="00D80D8E"/>
    <w:rsid w:val="00D82CF5"/>
    <w:rsid w:val="00D83132"/>
    <w:rsid w:val="00D83232"/>
    <w:rsid w:val="00D846A9"/>
    <w:rsid w:val="00D84C1C"/>
    <w:rsid w:val="00D854BD"/>
    <w:rsid w:val="00D87DA5"/>
    <w:rsid w:val="00D90503"/>
    <w:rsid w:val="00D9091F"/>
    <w:rsid w:val="00D928F8"/>
    <w:rsid w:val="00D93BEF"/>
    <w:rsid w:val="00D94F7D"/>
    <w:rsid w:val="00D95ED8"/>
    <w:rsid w:val="00D96205"/>
    <w:rsid w:val="00D9699C"/>
    <w:rsid w:val="00DA1FAB"/>
    <w:rsid w:val="00DA31BA"/>
    <w:rsid w:val="00DA3A80"/>
    <w:rsid w:val="00DA55F9"/>
    <w:rsid w:val="00DA6667"/>
    <w:rsid w:val="00DB0E25"/>
    <w:rsid w:val="00DB1674"/>
    <w:rsid w:val="00DB2D98"/>
    <w:rsid w:val="00DB2EB6"/>
    <w:rsid w:val="00DB322E"/>
    <w:rsid w:val="00DB3887"/>
    <w:rsid w:val="00DB6960"/>
    <w:rsid w:val="00DB6E3B"/>
    <w:rsid w:val="00DC15FD"/>
    <w:rsid w:val="00DC15FE"/>
    <w:rsid w:val="00DC351A"/>
    <w:rsid w:val="00DC493B"/>
    <w:rsid w:val="00DC49BF"/>
    <w:rsid w:val="00DC50EF"/>
    <w:rsid w:val="00DC621E"/>
    <w:rsid w:val="00DC66F9"/>
    <w:rsid w:val="00DC7E97"/>
    <w:rsid w:val="00DC7F71"/>
    <w:rsid w:val="00DD0D4F"/>
    <w:rsid w:val="00DD1A52"/>
    <w:rsid w:val="00DD1FB6"/>
    <w:rsid w:val="00DD2B38"/>
    <w:rsid w:val="00DD4C69"/>
    <w:rsid w:val="00DD5BD2"/>
    <w:rsid w:val="00DD6005"/>
    <w:rsid w:val="00DD7B11"/>
    <w:rsid w:val="00DE0939"/>
    <w:rsid w:val="00DE095F"/>
    <w:rsid w:val="00DE15EC"/>
    <w:rsid w:val="00DE17A2"/>
    <w:rsid w:val="00DE1F48"/>
    <w:rsid w:val="00DE2B2E"/>
    <w:rsid w:val="00DE31AA"/>
    <w:rsid w:val="00DE48C0"/>
    <w:rsid w:val="00DE57BA"/>
    <w:rsid w:val="00DE585D"/>
    <w:rsid w:val="00DE72A9"/>
    <w:rsid w:val="00DF0E01"/>
    <w:rsid w:val="00DF197E"/>
    <w:rsid w:val="00DF27DA"/>
    <w:rsid w:val="00DF2C8E"/>
    <w:rsid w:val="00DF5008"/>
    <w:rsid w:val="00DF5404"/>
    <w:rsid w:val="00DF65EC"/>
    <w:rsid w:val="00DF66CC"/>
    <w:rsid w:val="00DF7FEF"/>
    <w:rsid w:val="00E0094C"/>
    <w:rsid w:val="00E01645"/>
    <w:rsid w:val="00E01897"/>
    <w:rsid w:val="00E01C02"/>
    <w:rsid w:val="00E0200C"/>
    <w:rsid w:val="00E03E40"/>
    <w:rsid w:val="00E05DB7"/>
    <w:rsid w:val="00E0615A"/>
    <w:rsid w:val="00E11116"/>
    <w:rsid w:val="00E11D42"/>
    <w:rsid w:val="00E13A00"/>
    <w:rsid w:val="00E1533B"/>
    <w:rsid w:val="00E17279"/>
    <w:rsid w:val="00E174D9"/>
    <w:rsid w:val="00E211F5"/>
    <w:rsid w:val="00E21DCB"/>
    <w:rsid w:val="00E22E13"/>
    <w:rsid w:val="00E233E5"/>
    <w:rsid w:val="00E23553"/>
    <w:rsid w:val="00E23B38"/>
    <w:rsid w:val="00E23CFE"/>
    <w:rsid w:val="00E2402F"/>
    <w:rsid w:val="00E2449D"/>
    <w:rsid w:val="00E24DB3"/>
    <w:rsid w:val="00E27ED9"/>
    <w:rsid w:val="00E31433"/>
    <w:rsid w:val="00E323EC"/>
    <w:rsid w:val="00E33368"/>
    <w:rsid w:val="00E33906"/>
    <w:rsid w:val="00E33E82"/>
    <w:rsid w:val="00E343B2"/>
    <w:rsid w:val="00E3561F"/>
    <w:rsid w:val="00E3789A"/>
    <w:rsid w:val="00E40AB6"/>
    <w:rsid w:val="00E43295"/>
    <w:rsid w:val="00E44341"/>
    <w:rsid w:val="00E449C2"/>
    <w:rsid w:val="00E454CF"/>
    <w:rsid w:val="00E45E24"/>
    <w:rsid w:val="00E466AC"/>
    <w:rsid w:val="00E46DBF"/>
    <w:rsid w:val="00E4756A"/>
    <w:rsid w:val="00E47CB8"/>
    <w:rsid w:val="00E50274"/>
    <w:rsid w:val="00E50A66"/>
    <w:rsid w:val="00E50C07"/>
    <w:rsid w:val="00E51E09"/>
    <w:rsid w:val="00E52698"/>
    <w:rsid w:val="00E54283"/>
    <w:rsid w:val="00E5442C"/>
    <w:rsid w:val="00E55180"/>
    <w:rsid w:val="00E56069"/>
    <w:rsid w:val="00E56569"/>
    <w:rsid w:val="00E57D1D"/>
    <w:rsid w:val="00E628BC"/>
    <w:rsid w:val="00E631C5"/>
    <w:rsid w:val="00E64140"/>
    <w:rsid w:val="00E6523E"/>
    <w:rsid w:val="00E66376"/>
    <w:rsid w:val="00E67A5A"/>
    <w:rsid w:val="00E70230"/>
    <w:rsid w:val="00E71AB4"/>
    <w:rsid w:val="00E71B15"/>
    <w:rsid w:val="00E71F10"/>
    <w:rsid w:val="00E730CD"/>
    <w:rsid w:val="00E734B3"/>
    <w:rsid w:val="00E74348"/>
    <w:rsid w:val="00E74749"/>
    <w:rsid w:val="00E752D3"/>
    <w:rsid w:val="00E779E4"/>
    <w:rsid w:val="00E77D85"/>
    <w:rsid w:val="00E77E97"/>
    <w:rsid w:val="00E800BB"/>
    <w:rsid w:val="00E80546"/>
    <w:rsid w:val="00E80A5B"/>
    <w:rsid w:val="00E81A49"/>
    <w:rsid w:val="00E823CD"/>
    <w:rsid w:val="00E82D7A"/>
    <w:rsid w:val="00E835B4"/>
    <w:rsid w:val="00E85F5B"/>
    <w:rsid w:val="00E875D7"/>
    <w:rsid w:val="00E87A32"/>
    <w:rsid w:val="00E903BF"/>
    <w:rsid w:val="00E90AF0"/>
    <w:rsid w:val="00E91706"/>
    <w:rsid w:val="00E91AD4"/>
    <w:rsid w:val="00E940F3"/>
    <w:rsid w:val="00E948EE"/>
    <w:rsid w:val="00E94D1F"/>
    <w:rsid w:val="00E94D3B"/>
    <w:rsid w:val="00E95106"/>
    <w:rsid w:val="00E951ED"/>
    <w:rsid w:val="00E9597C"/>
    <w:rsid w:val="00E97986"/>
    <w:rsid w:val="00EA167E"/>
    <w:rsid w:val="00EA2217"/>
    <w:rsid w:val="00EA2A38"/>
    <w:rsid w:val="00EA34EF"/>
    <w:rsid w:val="00EA3A23"/>
    <w:rsid w:val="00EA4E2A"/>
    <w:rsid w:val="00EA5B13"/>
    <w:rsid w:val="00EA5FBD"/>
    <w:rsid w:val="00EA7AFF"/>
    <w:rsid w:val="00EB05D3"/>
    <w:rsid w:val="00EB1663"/>
    <w:rsid w:val="00EB19F6"/>
    <w:rsid w:val="00EB279D"/>
    <w:rsid w:val="00EB2BBA"/>
    <w:rsid w:val="00EB3556"/>
    <w:rsid w:val="00EB4133"/>
    <w:rsid w:val="00EB6E84"/>
    <w:rsid w:val="00EB7E6D"/>
    <w:rsid w:val="00EC2224"/>
    <w:rsid w:val="00EC2902"/>
    <w:rsid w:val="00EC2AE2"/>
    <w:rsid w:val="00EC4451"/>
    <w:rsid w:val="00EC484B"/>
    <w:rsid w:val="00EC55A5"/>
    <w:rsid w:val="00EC5F67"/>
    <w:rsid w:val="00EC6907"/>
    <w:rsid w:val="00EC71BE"/>
    <w:rsid w:val="00ED04EC"/>
    <w:rsid w:val="00ED2503"/>
    <w:rsid w:val="00ED5834"/>
    <w:rsid w:val="00ED639D"/>
    <w:rsid w:val="00ED6E70"/>
    <w:rsid w:val="00ED6FC1"/>
    <w:rsid w:val="00ED777A"/>
    <w:rsid w:val="00EE0DB3"/>
    <w:rsid w:val="00EE0F55"/>
    <w:rsid w:val="00EE161C"/>
    <w:rsid w:val="00EE2E84"/>
    <w:rsid w:val="00EE31FB"/>
    <w:rsid w:val="00EE4052"/>
    <w:rsid w:val="00EE43CB"/>
    <w:rsid w:val="00EE54FB"/>
    <w:rsid w:val="00EE611C"/>
    <w:rsid w:val="00EE6964"/>
    <w:rsid w:val="00EF221A"/>
    <w:rsid w:val="00EF35CB"/>
    <w:rsid w:val="00EF3C1D"/>
    <w:rsid w:val="00EF3D87"/>
    <w:rsid w:val="00EF4C42"/>
    <w:rsid w:val="00EF5306"/>
    <w:rsid w:val="00EF6B20"/>
    <w:rsid w:val="00EF7856"/>
    <w:rsid w:val="00EF7FBD"/>
    <w:rsid w:val="00F00427"/>
    <w:rsid w:val="00F019BD"/>
    <w:rsid w:val="00F01D5A"/>
    <w:rsid w:val="00F01D92"/>
    <w:rsid w:val="00F01FEB"/>
    <w:rsid w:val="00F02306"/>
    <w:rsid w:val="00F02A27"/>
    <w:rsid w:val="00F06049"/>
    <w:rsid w:val="00F06085"/>
    <w:rsid w:val="00F06DA8"/>
    <w:rsid w:val="00F07575"/>
    <w:rsid w:val="00F10DC2"/>
    <w:rsid w:val="00F11C2A"/>
    <w:rsid w:val="00F1228D"/>
    <w:rsid w:val="00F12AEE"/>
    <w:rsid w:val="00F14530"/>
    <w:rsid w:val="00F145CC"/>
    <w:rsid w:val="00F14BEC"/>
    <w:rsid w:val="00F14F85"/>
    <w:rsid w:val="00F16F41"/>
    <w:rsid w:val="00F17C3B"/>
    <w:rsid w:val="00F20B26"/>
    <w:rsid w:val="00F2214A"/>
    <w:rsid w:val="00F22CC1"/>
    <w:rsid w:val="00F22DC3"/>
    <w:rsid w:val="00F22F4E"/>
    <w:rsid w:val="00F242A8"/>
    <w:rsid w:val="00F2597B"/>
    <w:rsid w:val="00F25B44"/>
    <w:rsid w:val="00F2622A"/>
    <w:rsid w:val="00F26ED9"/>
    <w:rsid w:val="00F27792"/>
    <w:rsid w:val="00F27A75"/>
    <w:rsid w:val="00F30AAC"/>
    <w:rsid w:val="00F30CF3"/>
    <w:rsid w:val="00F3118C"/>
    <w:rsid w:val="00F31679"/>
    <w:rsid w:val="00F3174B"/>
    <w:rsid w:val="00F326A9"/>
    <w:rsid w:val="00F3331B"/>
    <w:rsid w:val="00F34565"/>
    <w:rsid w:val="00F34B3C"/>
    <w:rsid w:val="00F34BEE"/>
    <w:rsid w:val="00F34E06"/>
    <w:rsid w:val="00F34EA2"/>
    <w:rsid w:val="00F34FBD"/>
    <w:rsid w:val="00F36E77"/>
    <w:rsid w:val="00F37942"/>
    <w:rsid w:val="00F40690"/>
    <w:rsid w:val="00F414F7"/>
    <w:rsid w:val="00F417EE"/>
    <w:rsid w:val="00F42D27"/>
    <w:rsid w:val="00F442D1"/>
    <w:rsid w:val="00F45000"/>
    <w:rsid w:val="00F454C3"/>
    <w:rsid w:val="00F46C0D"/>
    <w:rsid w:val="00F46F8E"/>
    <w:rsid w:val="00F47BB8"/>
    <w:rsid w:val="00F47BE8"/>
    <w:rsid w:val="00F5025F"/>
    <w:rsid w:val="00F51033"/>
    <w:rsid w:val="00F51A58"/>
    <w:rsid w:val="00F51E1C"/>
    <w:rsid w:val="00F546F1"/>
    <w:rsid w:val="00F54E60"/>
    <w:rsid w:val="00F54F25"/>
    <w:rsid w:val="00F5524F"/>
    <w:rsid w:val="00F5566C"/>
    <w:rsid w:val="00F56134"/>
    <w:rsid w:val="00F57F76"/>
    <w:rsid w:val="00F6140B"/>
    <w:rsid w:val="00F62A18"/>
    <w:rsid w:val="00F63429"/>
    <w:rsid w:val="00F634AF"/>
    <w:rsid w:val="00F63D4C"/>
    <w:rsid w:val="00F63E37"/>
    <w:rsid w:val="00F64AD9"/>
    <w:rsid w:val="00F65DD9"/>
    <w:rsid w:val="00F6646F"/>
    <w:rsid w:val="00F67338"/>
    <w:rsid w:val="00F67FCB"/>
    <w:rsid w:val="00F70D45"/>
    <w:rsid w:val="00F72763"/>
    <w:rsid w:val="00F73B13"/>
    <w:rsid w:val="00F7442A"/>
    <w:rsid w:val="00F7494F"/>
    <w:rsid w:val="00F752F8"/>
    <w:rsid w:val="00F77318"/>
    <w:rsid w:val="00F77403"/>
    <w:rsid w:val="00F803C5"/>
    <w:rsid w:val="00F81836"/>
    <w:rsid w:val="00F838B6"/>
    <w:rsid w:val="00F84D60"/>
    <w:rsid w:val="00F87382"/>
    <w:rsid w:val="00F9032E"/>
    <w:rsid w:val="00F904B7"/>
    <w:rsid w:val="00F905B2"/>
    <w:rsid w:val="00F9290A"/>
    <w:rsid w:val="00F932ED"/>
    <w:rsid w:val="00F933B7"/>
    <w:rsid w:val="00F9351C"/>
    <w:rsid w:val="00F9411B"/>
    <w:rsid w:val="00F9452E"/>
    <w:rsid w:val="00F945DD"/>
    <w:rsid w:val="00F949C3"/>
    <w:rsid w:val="00F95641"/>
    <w:rsid w:val="00FA09CB"/>
    <w:rsid w:val="00FA1098"/>
    <w:rsid w:val="00FA13C0"/>
    <w:rsid w:val="00FA298D"/>
    <w:rsid w:val="00FA2EAB"/>
    <w:rsid w:val="00FA3D55"/>
    <w:rsid w:val="00FA3E2A"/>
    <w:rsid w:val="00FA48D1"/>
    <w:rsid w:val="00FA530C"/>
    <w:rsid w:val="00FA6BB0"/>
    <w:rsid w:val="00FB0831"/>
    <w:rsid w:val="00FB0AC4"/>
    <w:rsid w:val="00FB16B9"/>
    <w:rsid w:val="00FB1D5A"/>
    <w:rsid w:val="00FB22F2"/>
    <w:rsid w:val="00FB25AE"/>
    <w:rsid w:val="00FB35C4"/>
    <w:rsid w:val="00FB5C5B"/>
    <w:rsid w:val="00FB5F6E"/>
    <w:rsid w:val="00FB6220"/>
    <w:rsid w:val="00FB6888"/>
    <w:rsid w:val="00FB7FCB"/>
    <w:rsid w:val="00FC1D1B"/>
    <w:rsid w:val="00FC2110"/>
    <w:rsid w:val="00FC23CF"/>
    <w:rsid w:val="00FC3688"/>
    <w:rsid w:val="00FC4311"/>
    <w:rsid w:val="00FC519A"/>
    <w:rsid w:val="00FC5CA5"/>
    <w:rsid w:val="00FC76A4"/>
    <w:rsid w:val="00FD0231"/>
    <w:rsid w:val="00FD032E"/>
    <w:rsid w:val="00FD09D4"/>
    <w:rsid w:val="00FD0C1E"/>
    <w:rsid w:val="00FD0E9D"/>
    <w:rsid w:val="00FD0F60"/>
    <w:rsid w:val="00FD156F"/>
    <w:rsid w:val="00FD25D5"/>
    <w:rsid w:val="00FD3475"/>
    <w:rsid w:val="00FD5965"/>
    <w:rsid w:val="00FD70E1"/>
    <w:rsid w:val="00FD79D9"/>
    <w:rsid w:val="00FD7C11"/>
    <w:rsid w:val="00FE3E89"/>
    <w:rsid w:val="00FE57BB"/>
    <w:rsid w:val="00FE596D"/>
    <w:rsid w:val="00FE6865"/>
    <w:rsid w:val="00FF0722"/>
    <w:rsid w:val="00FF16ED"/>
    <w:rsid w:val="00FF3522"/>
    <w:rsid w:val="00FF4D1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2C5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447D4"/>
    <w:pPr>
      <w:keepNext/>
      <w:keepLines/>
      <w:spacing w:before="480" w:line="360" w:lineRule="auto"/>
      <w:jc w:val="both"/>
      <w:outlineLvl w:val="0"/>
    </w:pPr>
    <w:rPr>
      <w:rFonts w:ascii="Times New Roman" w:eastAsiaTheme="majorEastAsia" w:hAnsi="Times New Roman" w:cstheme="majorBidi"/>
      <w:b/>
      <w:bCs/>
      <w:szCs w:val="32"/>
    </w:rPr>
  </w:style>
  <w:style w:type="paragraph" w:styleId="Heading2">
    <w:name w:val="heading 2"/>
    <w:basedOn w:val="Normal"/>
    <w:next w:val="Normal"/>
    <w:link w:val="Heading2Char"/>
    <w:autoRedefine/>
    <w:uiPriority w:val="9"/>
    <w:unhideWhenUsed/>
    <w:qFormat/>
    <w:rsid w:val="003C2E4D"/>
    <w:pPr>
      <w:keepNext/>
      <w:keepLines/>
      <w:spacing w:before="200" w:line="360" w:lineRule="auto"/>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F1655"/>
    <w:pPr>
      <w:jc w:val="both"/>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AF1655"/>
    <w:rPr>
      <w:rFonts w:ascii="Times New Roman" w:hAnsi="Times New Roman"/>
      <w:sz w:val="20"/>
      <w:szCs w:val="20"/>
      <w:lang w:val="en-US"/>
    </w:rPr>
  </w:style>
  <w:style w:type="character" w:styleId="FootnoteReference">
    <w:name w:val="footnote reference"/>
    <w:basedOn w:val="DefaultParagraphFont"/>
    <w:uiPriority w:val="99"/>
    <w:unhideWhenUsed/>
    <w:rsid w:val="00705A6E"/>
    <w:rPr>
      <w:vertAlign w:val="superscript"/>
    </w:rPr>
  </w:style>
  <w:style w:type="character" w:styleId="Hyperlink">
    <w:name w:val="Hyperlink"/>
    <w:basedOn w:val="DefaultParagraphFont"/>
    <w:uiPriority w:val="99"/>
    <w:unhideWhenUsed/>
    <w:rsid w:val="00705A6E"/>
    <w:rPr>
      <w:color w:val="0000FF" w:themeColor="hyperlink"/>
      <w:u w:val="single"/>
    </w:rPr>
  </w:style>
  <w:style w:type="character" w:styleId="FollowedHyperlink">
    <w:name w:val="FollowedHyperlink"/>
    <w:basedOn w:val="DefaultParagraphFont"/>
    <w:uiPriority w:val="99"/>
    <w:semiHidden/>
    <w:unhideWhenUsed/>
    <w:rsid w:val="001170D3"/>
    <w:rPr>
      <w:color w:val="800080" w:themeColor="followedHyperlink"/>
      <w:u w:val="single"/>
    </w:rPr>
  </w:style>
  <w:style w:type="paragraph" w:styleId="Footer">
    <w:name w:val="footer"/>
    <w:basedOn w:val="Normal"/>
    <w:link w:val="FooterChar"/>
    <w:uiPriority w:val="99"/>
    <w:unhideWhenUsed/>
    <w:rsid w:val="00DE48C0"/>
    <w:pPr>
      <w:tabs>
        <w:tab w:val="center" w:pos="4153"/>
        <w:tab w:val="right" w:pos="8306"/>
      </w:tabs>
    </w:pPr>
  </w:style>
  <w:style w:type="character" w:customStyle="1" w:styleId="FooterChar">
    <w:name w:val="Footer Char"/>
    <w:basedOn w:val="DefaultParagraphFont"/>
    <w:link w:val="Footer"/>
    <w:uiPriority w:val="99"/>
    <w:rsid w:val="00DE48C0"/>
  </w:style>
  <w:style w:type="character" w:styleId="PageNumber">
    <w:name w:val="page number"/>
    <w:basedOn w:val="DefaultParagraphFont"/>
    <w:uiPriority w:val="99"/>
    <w:semiHidden/>
    <w:unhideWhenUsed/>
    <w:rsid w:val="00DE48C0"/>
  </w:style>
  <w:style w:type="character" w:customStyle="1" w:styleId="Heading1Char">
    <w:name w:val="Heading 1 Char"/>
    <w:basedOn w:val="DefaultParagraphFont"/>
    <w:link w:val="Heading1"/>
    <w:uiPriority w:val="9"/>
    <w:rsid w:val="003447D4"/>
    <w:rPr>
      <w:rFonts w:ascii="Times New Roman" w:eastAsiaTheme="majorEastAsia" w:hAnsi="Times New Roman" w:cstheme="majorBidi"/>
      <w:b/>
      <w:bCs/>
      <w:szCs w:val="32"/>
    </w:rPr>
  </w:style>
  <w:style w:type="paragraph" w:styleId="DocumentMap">
    <w:name w:val="Document Map"/>
    <w:basedOn w:val="Normal"/>
    <w:link w:val="DocumentMapChar"/>
    <w:uiPriority w:val="99"/>
    <w:semiHidden/>
    <w:unhideWhenUsed/>
    <w:rsid w:val="003C2E4D"/>
    <w:rPr>
      <w:rFonts w:ascii="Lucida Grande" w:hAnsi="Lucida Grande" w:cs="Lucida Grande"/>
    </w:rPr>
  </w:style>
  <w:style w:type="character" w:customStyle="1" w:styleId="DocumentMapChar">
    <w:name w:val="Document Map Char"/>
    <w:basedOn w:val="DefaultParagraphFont"/>
    <w:link w:val="DocumentMap"/>
    <w:uiPriority w:val="99"/>
    <w:semiHidden/>
    <w:rsid w:val="003C2E4D"/>
    <w:rPr>
      <w:rFonts w:ascii="Lucida Grande" w:hAnsi="Lucida Grande" w:cs="Lucida Grande"/>
    </w:rPr>
  </w:style>
  <w:style w:type="character" w:customStyle="1" w:styleId="Heading2Char">
    <w:name w:val="Heading 2 Char"/>
    <w:basedOn w:val="DefaultParagraphFont"/>
    <w:link w:val="Heading2"/>
    <w:uiPriority w:val="9"/>
    <w:rsid w:val="003C2E4D"/>
    <w:rPr>
      <w:rFonts w:ascii="Times New Roman" w:eastAsiaTheme="majorEastAsia" w:hAnsi="Times New Roman" w:cstheme="majorBidi"/>
      <w:b/>
      <w:bCs/>
      <w:szCs w:val="26"/>
    </w:rPr>
  </w:style>
  <w:style w:type="paragraph" w:styleId="NormalWeb">
    <w:name w:val="Normal (Web)"/>
    <w:basedOn w:val="Normal"/>
    <w:uiPriority w:val="99"/>
    <w:semiHidden/>
    <w:unhideWhenUsed/>
    <w:rsid w:val="00566748"/>
    <w:rPr>
      <w:rFonts w:ascii="Times New Roman" w:hAnsi="Times New Roman" w:cs="Times New Roman"/>
    </w:rPr>
  </w:style>
  <w:style w:type="paragraph" w:styleId="TOC1">
    <w:name w:val="toc 1"/>
    <w:basedOn w:val="Normal"/>
    <w:next w:val="Normal"/>
    <w:autoRedefine/>
    <w:uiPriority w:val="39"/>
    <w:unhideWhenUsed/>
    <w:rsid w:val="00E55180"/>
  </w:style>
  <w:style w:type="paragraph" w:styleId="TOC2">
    <w:name w:val="toc 2"/>
    <w:basedOn w:val="Normal"/>
    <w:next w:val="Normal"/>
    <w:autoRedefine/>
    <w:uiPriority w:val="39"/>
    <w:unhideWhenUsed/>
    <w:rsid w:val="00E55180"/>
    <w:pPr>
      <w:ind w:left="240"/>
    </w:pPr>
  </w:style>
  <w:style w:type="paragraph" w:styleId="TOC3">
    <w:name w:val="toc 3"/>
    <w:basedOn w:val="Normal"/>
    <w:next w:val="Normal"/>
    <w:autoRedefine/>
    <w:uiPriority w:val="39"/>
    <w:unhideWhenUsed/>
    <w:rsid w:val="00E55180"/>
    <w:pPr>
      <w:ind w:left="480"/>
    </w:pPr>
  </w:style>
  <w:style w:type="paragraph" w:styleId="TOC4">
    <w:name w:val="toc 4"/>
    <w:basedOn w:val="Normal"/>
    <w:next w:val="Normal"/>
    <w:autoRedefine/>
    <w:uiPriority w:val="39"/>
    <w:unhideWhenUsed/>
    <w:rsid w:val="00E55180"/>
    <w:pPr>
      <w:ind w:left="720"/>
    </w:pPr>
  </w:style>
  <w:style w:type="paragraph" w:styleId="TOC5">
    <w:name w:val="toc 5"/>
    <w:basedOn w:val="Normal"/>
    <w:next w:val="Normal"/>
    <w:autoRedefine/>
    <w:uiPriority w:val="39"/>
    <w:unhideWhenUsed/>
    <w:rsid w:val="00E55180"/>
    <w:pPr>
      <w:ind w:left="960"/>
    </w:pPr>
  </w:style>
  <w:style w:type="paragraph" w:styleId="TOC6">
    <w:name w:val="toc 6"/>
    <w:basedOn w:val="Normal"/>
    <w:next w:val="Normal"/>
    <w:autoRedefine/>
    <w:uiPriority w:val="39"/>
    <w:unhideWhenUsed/>
    <w:rsid w:val="00E55180"/>
    <w:pPr>
      <w:ind w:left="1200"/>
    </w:pPr>
  </w:style>
  <w:style w:type="paragraph" w:styleId="TOC7">
    <w:name w:val="toc 7"/>
    <w:basedOn w:val="Normal"/>
    <w:next w:val="Normal"/>
    <w:autoRedefine/>
    <w:uiPriority w:val="39"/>
    <w:unhideWhenUsed/>
    <w:rsid w:val="00E55180"/>
    <w:pPr>
      <w:ind w:left="1440"/>
    </w:pPr>
  </w:style>
  <w:style w:type="paragraph" w:styleId="TOC8">
    <w:name w:val="toc 8"/>
    <w:basedOn w:val="Normal"/>
    <w:next w:val="Normal"/>
    <w:autoRedefine/>
    <w:uiPriority w:val="39"/>
    <w:unhideWhenUsed/>
    <w:rsid w:val="00E55180"/>
    <w:pPr>
      <w:ind w:left="1680"/>
    </w:pPr>
  </w:style>
  <w:style w:type="paragraph" w:styleId="TOC9">
    <w:name w:val="toc 9"/>
    <w:basedOn w:val="Normal"/>
    <w:next w:val="Normal"/>
    <w:autoRedefine/>
    <w:uiPriority w:val="39"/>
    <w:unhideWhenUsed/>
    <w:rsid w:val="00E55180"/>
    <w:pPr>
      <w:ind w:left="1920"/>
    </w:pPr>
  </w:style>
  <w:style w:type="paragraph" w:styleId="Revision">
    <w:name w:val="Revision"/>
    <w:hidden/>
    <w:uiPriority w:val="99"/>
    <w:semiHidden/>
    <w:rsid w:val="00E55180"/>
  </w:style>
  <w:style w:type="paragraph" w:styleId="BalloonText">
    <w:name w:val="Balloon Text"/>
    <w:basedOn w:val="Normal"/>
    <w:link w:val="BalloonTextChar"/>
    <w:uiPriority w:val="99"/>
    <w:semiHidden/>
    <w:unhideWhenUsed/>
    <w:rsid w:val="00E551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1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447D4"/>
    <w:pPr>
      <w:keepNext/>
      <w:keepLines/>
      <w:spacing w:before="480" w:line="360" w:lineRule="auto"/>
      <w:jc w:val="both"/>
      <w:outlineLvl w:val="0"/>
    </w:pPr>
    <w:rPr>
      <w:rFonts w:ascii="Times New Roman" w:eastAsiaTheme="majorEastAsia" w:hAnsi="Times New Roman" w:cstheme="majorBidi"/>
      <w:b/>
      <w:bCs/>
      <w:szCs w:val="32"/>
    </w:rPr>
  </w:style>
  <w:style w:type="paragraph" w:styleId="Heading2">
    <w:name w:val="heading 2"/>
    <w:basedOn w:val="Normal"/>
    <w:next w:val="Normal"/>
    <w:link w:val="Heading2Char"/>
    <w:autoRedefine/>
    <w:uiPriority w:val="9"/>
    <w:unhideWhenUsed/>
    <w:qFormat/>
    <w:rsid w:val="003C2E4D"/>
    <w:pPr>
      <w:keepNext/>
      <w:keepLines/>
      <w:spacing w:before="200" w:line="360" w:lineRule="auto"/>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F1655"/>
    <w:pPr>
      <w:jc w:val="both"/>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AF1655"/>
    <w:rPr>
      <w:rFonts w:ascii="Times New Roman" w:hAnsi="Times New Roman"/>
      <w:sz w:val="20"/>
      <w:szCs w:val="20"/>
      <w:lang w:val="en-US"/>
    </w:rPr>
  </w:style>
  <w:style w:type="character" w:styleId="FootnoteReference">
    <w:name w:val="footnote reference"/>
    <w:basedOn w:val="DefaultParagraphFont"/>
    <w:uiPriority w:val="99"/>
    <w:unhideWhenUsed/>
    <w:rsid w:val="00705A6E"/>
    <w:rPr>
      <w:vertAlign w:val="superscript"/>
    </w:rPr>
  </w:style>
  <w:style w:type="character" w:styleId="Hyperlink">
    <w:name w:val="Hyperlink"/>
    <w:basedOn w:val="DefaultParagraphFont"/>
    <w:uiPriority w:val="99"/>
    <w:unhideWhenUsed/>
    <w:rsid w:val="00705A6E"/>
    <w:rPr>
      <w:color w:val="0000FF" w:themeColor="hyperlink"/>
      <w:u w:val="single"/>
    </w:rPr>
  </w:style>
  <w:style w:type="character" w:styleId="FollowedHyperlink">
    <w:name w:val="FollowedHyperlink"/>
    <w:basedOn w:val="DefaultParagraphFont"/>
    <w:uiPriority w:val="99"/>
    <w:semiHidden/>
    <w:unhideWhenUsed/>
    <w:rsid w:val="001170D3"/>
    <w:rPr>
      <w:color w:val="800080" w:themeColor="followedHyperlink"/>
      <w:u w:val="single"/>
    </w:rPr>
  </w:style>
  <w:style w:type="paragraph" w:styleId="Footer">
    <w:name w:val="footer"/>
    <w:basedOn w:val="Normal"/>
    <w:link w:val="FooterChar"/>
    <w:uiPriority w:val="99"/>
    <w:unhideWhenUsed/>
    <w:rsid w:val="00DE48C0"/>
    <w:pPr>
      <w:tabs>
        <w:tab w:val="center" w:pos="4153"/>
        <w:tab w:val="right" w:pos="8306"/>
      </w:tabs>
    </w:pPr>
  </w:style>
  <w:style w:type="character" w:customStyle="1" w:styleId="FooterChar">
    <w:name w:val="Footer Char"/>
    <w:basedOn w:val="DefaultParagraphFont"/>
    <w:link w:val="Footer"/>
    <w:uiPriority w:val="99"/>
    <w:rsid w:val="00DE48C0"/>
  </w:style>
  <w:style w:type="character" w:styleId="PageNumber">
    <w:name w:val="page number"/>
    <w:basedOn w:val="DefaultParagraphFont"/>
    <w:uiPriority w:val="99"/>
    <w:semiHidden/>
    <w:unhideWhenUsed/>
    <w:rsid w:val="00DE48C0"/>
  </w:style>
  <w:style w:type="character" w:customStyle="1" w:styleId="Heading1Char">
    <w:name w:val="Heading 1 Char"/>
    <w:basedOn w:val="DefaultParagraphFont"/>
    <w:link w:val="Heading1"/>
    <w:uiPriority w:val="9"/>
    <w:rsid w:val="003447D4"/>
    <w:rPr>
      <w:rFonts w:ascii="Times New Roman" w:eastAsiaTheme="majorEastAsia" w:hAnsi="Times New Roman" w:cstheme="majorBidi"/>
      <w:b/>
      <w:bCs/>
      <w:szCs w:val="32"/>
    </w:rPr>
  </w:style>
  <w:style w:type="paragraph" w:styleId="DocumentMap">
    <w:name w:val="Document Map"/>
    <w:basedOn w:val="Normal"/>
    <w:link w:val="DocumentMapChar"/>
    <w:uiPriority w:val="99"/>
    <w:semiHidden/>
    <w:unhideWhenUsed/>
    <w:rsid w:val="003C2E4D"/>
    <w:rPr>
      <w:rFonts w:ascii="Lucida Grande" w:hAnsi="Lucida Grande" w:cs="Lucida Grande"/>
    </w:rPr>
  </w:style>
  <w:style w:type="character" w:customStyle="1" w:styleId="DocumentMapChar">
    <w:name w:val="Document Map Char"/>
    <w:basedOn w:val="DefaultParagraphFont"/>
    <w:link w:val="DocumentMap"/>
    <w:uiPriority w:val="99"/>
    <w:semiHidden/>
    <w:rsid w:val="003C2E4D"/>
    <w:rPr>
      <w:rFonts w:ascii="Lucida Grande" w:hAnsi="Lucida Grande" w:cs="Lucida Grande"/>
    </w:rPr>
  </w:style>
  <w:style w:type="character" w:customStyle="1" w:styleId="Heading2Char">
    <w:name w:val="Heading 2 Char"/>
    <w:basedOn w:val="DefaultParagraphFont"/>
    <w:link w:val="Heading2"/>
    <w:uiPriority w:val="9"/>
    <w:rsid w:val="003C2E4D"/>
    <w:rPr>
      <w:rFonts w:ascii="Times New Roman" w:eastAsiaTheme="majorEastAsia" w:hAnsi="Times New Roman" w:cstheme="majorBidi"/>
      <w:b/>
      <w:bCs/>
      <w:szCs w:val="26"/>
    </w:rPr>
  </w:style>
  <w:style w:type="paragraph" w:styleId="NormalWeb">
    <w:name w:val="Normal (Web)"/>
    <w:basedOn w:val="Normal"/>
    <w:uiPriority w:val="99"/>
    <w:semiHidden/>
    <w:unhideWhenUsed/>
    <w:rsid w:val="00566748"/>
    <w:rPr>
      <w:rFonts w:ascii="Times New Roman" w:hAnsi="Times New Roman" w:cs="Times New Roman"/>
    </w:rPr>
  </w:style>
  <w:style w:type="paragraph" w:styleId="TOC1">
    <w:name w:val="toc 1"/>
    <w:basedOn w:val="Normal"/>
    <w:next w:val="Normal"/>
    <w:autoRedefine/>
    <w:uiPriority w:val="39"/>
    <w:unhideWhenUsed/>
    <w:rsid w:val="00E55180"/>
  </w:style>
  <w:style w:type="paragraph" w:styleId="TOC2">
    <w:name w:val="toc 2"/>
    <w:basedOn w:val="Normal"/>
    <w:next w:val="Normal"/>
    <w:autoRedefine/>
    <w:uiPriority w:val="39"/>
    <w:unhideWhenUsed/>
    <w:rsid w:val="00E55180"/>
    <w:pPr>
      <w:ind w:left="240"/>
    </w:pPr>
  </w:style>
  <w:style w:type="paragraph" w:styleId="TOC3">
    <w:name w:val="toc 3"/>
    <w:basedOn w:val="Normal"/>
    <w:next w:val="Normal"/>
    <w:autoRedefine/>
    <w:uiPriority w:val="39"/>
    <w:unhideWhenUsed/>
    <w:rsid w:val="00E55180"/>
    <w:pPr>
      <w:ind w:left="480"/>
    </w:pPr>
  </w:style>
  <w:style w:type="paragraph" w:styleId="TOC4">
    <w:name w:val="toc 4"/>
    <w:basedOn w:val="Normal"/>
    <w:next w:val="Normal"/>
    <w:autoRedefine/>
    <w:uiPriority w:val="39"/>
    <w:unhideWhenUsed/>
    <w:rsid w:val="00E55180"/>
    <w:pPr>
      <w:ind w:left="720"/>
    </w:pPr>
  </w:style>
  <w:style w:type="paragraph" w:styleId="TOC5">
    <w:name w:val="toc 5"/>
    <w:basedOn w:val="Normal"/>
    <w:next w:val="Normal"/>
    <w:autoRedefine/>
    <w:uiPriority w:val="39"/>
    <w:unhideWhenUsed/>
    <w:rsid w:val="00E55180"/>
    <w:pPr>
      <w:ind w:left="960"/>
    </w:pPr>
  </w:style>
  <w:style w:type="paragraph" w:styleId="TOC6">
    <w:name w:val="toc 6"/>
    <w:basedOn w:val="Normal"/>
    <w:next w:val="Normal"/>
    <w:autoRedefine/>
    <w:uiPriority w:val="39"/>
    <w:unhideWhenUsed/>
    <w:rsid w:val="00E55180"/>
    <w:pPr>
      <w:ind w:left="1200"/>
    </w:pPr>
  </w:style>
  <w:style w:type="paragraph" w:styleId="TOC7">
    <w:name w:val="toc 7"/>
    <w:basedOn w:val="Normal"/>
    <w:next w:val="Normal"/>
    <w:autoRedefine/>
    <w:uiPriority w:val="39"/>
    <w:unhideWhenUsed/>
    <w:rsid w:val="00E55180"/>
    <w:pPr>
      <w:ind w:left="1440"/>
    </w:pPr>
  </w:style>
  <w:style w:type="paragraph" w:styleId="TOC8">
    <w:name w:val="toc 8"/>
    <w:basedOn w:val="Normal"/>
    <w:next w:val="Normal"/>
    <w:autoRedefine/>
    <w:uiPriority w:val="39"/>
    <w:unhideWhenUsed/>
    <w:rsid w:val="00E55180"/>
    <w:pPr>
      <w:ind w:left="1680"/>
    </w:pPr>
  </w:style>
  <w:style w:type="paragraph" w:styleId="TOC9">
    <w:name w:val="toc 9"/>
    <w:basedOn w:val="Normal"/>
    <w:next w:val="Normal"/>
    <w:autoRedefine/>
    <w:uiPriority w:val="39"/>
    <w:unhideWhenUsed/>
    <w:rsid w:val="00E55180"/>
    <w:pPr>
      <w:ind w:left="1920"/>
    </w:pPr>
  </w:style>
  <w:style w:type="paragraph" w:styleId="Revision">
    <w:name w:val="Revision"/>
    <w:hidden/>
    <w:uiPriority w:val="99"/>
    <w:semiHidden/>
    <w:rsid w:val="00E55180"/>
  </w:style>
  <w:style w:type="paragraph" w:styleId="BalloonText">
    <w:name w:val="Balloon Text"/>
    <w:basedOn w:val="Normal"/>
    <w:link w:val="BalloonTextChar"/>
    <w:uiPriority w:val="99"/>
    <w:semiHidden/>
    <w:unhideWhenUsed/>
    <w:rsid w:val="00E551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1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6673">
      <w:bodyDiv w:val="1"/>
      <w:marLeft w:val="0"/>
      <w:marRight w:val="0"/>
      <w:marTop w:val="0"/>
      <w:marBottom w:val="0"/>
      <w:divBdr>
        <w:top w:val="none" w:sz="0" w:space="0" w:color="auto"/>
        <w:left w:val="none" w:sz="0" w:space="0" w:color="auto"/>
        <w:bottom w:val="none" w:sz="0" w:space="0" w:color="auto"/>
        <w:right w:val="none" w:sz="0" w:space="0" w:color="auto"/>
      </w:divBdr>
    </w:div>
    <w:div w:id="380637778">
      <w:bodyDiv w:val="1"/>
      <w:marLeft w:val="0"/>
      <w:marRight w:val="0"/>
      <w:marTop w:val="0"/>
      <w:marBottom w:val="0"/>
      <w:divBdr>
        <w:top w:val="none" w:sz="0" w:space="0" w:color="auto"/>
        <w:left w:val="none" w:sz="0" w:space="0" w:color="auto"/>
        <w:bottom w:val="none" w:sz="0" w:space="0" w:color="auto"/>
        <w:right w:val="none" w:sz="0" w:space="0" w:color="auto"/>
      </w:divBdr>
    </w:div>
    <w:div w:id="504980651">
      <w:bodyDiv w:val="1"/>
      <w:marLeft w:val="0"/>
      <w:marRight w:val="0"/>
      <w:marTop w:val="0"/>
      <w:marBottom w:val="0"/>
      <w:divBdr>
        <w:top w:val="none" w:sz="0" w:space="0" w:color="auto"/>
        <w:left w:val="none" w:sz="0" w:space="0" w:color="auto"/>
        <w:bottom w:val="none" w:sz="0" w:space="0" w:color="auto"/>
        <w:right w:val="none" w:sz="0" w:space="0" w:color="auto"/>
      </w:divBdr>
      <w:divsChild>
        <w:div w:id="1686055279">
          <w:marLeft w:val="0"/>
          <w:marRight w:val="0"/>
          <w:marTop w:val="0"/>
          <w:marBottom w:val="0"/>
          <w:divBdr>
            <w:top w:val="none" w:sz="0" w:space="0" w:color="auto"/>
            <w:left w:val="none" w:sz="0" w:space="0" w:color="auto"/>
            <w:bottom w:val="none" w:sz="0" w:space="0" w:color="auto"/>
            <w:right w:val="none" w:sz="0" w:space="0" w:color="auto"/>
          </w:divBdr>
          <w:divsChild>
            <w:div w:id="2081249342">
              <w:marLeft w:val="0"/>
              <w:marRight w:val="0"/>
              <w:marTop w:val="0"/>
              <w:marBottom w:val="0"/>
              <w:divBdr>
                <w:top w:val="none" w:sz="0" w:space="0" w:color="auto"/>
                <w:left w:val="none" w:sz="0" w:space="0" w:color="auto"/>
                <w:bottom w:val="none" w:sz="0" w:space="0" w:color="auto"/>
                <w:right w:val="none" w:sz="0" w:space="0" w:color="auto"/>
              </w:divBdr>
              <w:divsChild>
                <w:div w:id="7644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4705">
      <w:bodyDiv w:val="1"/>
      <w:marLeft w:val="0"/>
      <w:marRight w:val="0"/>
      <w:marTop w:val="0"/>
      <w:marBottom w:val="0"/>
      <w:divBdr>
        <w:top w:val="none" w:sz="0" w:space="0" w:color="auto"/>
        <w:left w:val="none" w:sz="0" w:space="0" w:color="auto"/>
        <w:bottom w:val="none" w:sz="0" w:space="0" w:color="auto"/>
        <w:right w:val="none" w:sz="0" w:space="0" w:color="auto"/>
      </w:divBdr>
    </w:div>
    <w:div w:id="781998433">
      <w:bodyDiv w:val="1"/>
      <w:marLeft w:val="0"/>
      <w:marRight w:val="0"/>
      <w:marTop w:val="0"/>
      <w:marBottom w:val="0"/>
      <w:divBdr>
        <w:top w:val="none" w:sz="0" w:space="0" w:color="auto"/>
        <w:left w:val="none" w:sz="0" w:space="0" w:color="auto"/>
        <w:bottom w:val="none" w:sz="0" w:space="0" w:color="auto"/>
        <w:right w:val="none" w:sz="0" w:space="0" w:color="auto"/>
      </w:divBdr>
    </w:div>
    <w:div w:id="1110394286">
      <w:bodyDiv w:val="1"/>
      <w:marLeft w:val="0"/>
      <w:marRight w:val="0"/>
      <w:marTop w:val="0"/>
      <w:marBottom w:val="0"/>
      <w:divBdr>
        <w:top w:val="none" w:sz="0" w:space="0" w:color="auto"/>
        <w:left w:val="none" w:sz="0" w:space="0" w:color="auto"/>
        <w:bottom w:val="none" w:sz="0" w:space="0" w:color="auto"/>
        <w:right w:val="none" w:sz="0" w:space="0" w:color="auto"/>
      </w:divBdr>
      <w:divsChild>
        <w:div w:id="762608500">
          <w:marLeft w:val="0"/>
          <w:marRight w:val="0"/>
          <w:marTop w:val="0"/>
          <w:marBottom w:val="0"/>
          <w:divBdr>
            <w:top w:val="none" w:sz="0" w:space="0" w:color="auto"/>
            <w:left w:val="none" w:sz="0" w:space="0" w:color="auto"/>
            <w:bottom w:val="none" w:sz="0" w:space="0" w:color="auto"/>
            <w:right w:val="none" w:sz="0" w:space="0" w:color="auto"/>
          </w:divBdr>
          <w:divsChild>
            <w:div w:id="1583173695">
              <w:marLeft w:val="0"/>
              <w:marRight w:val="0"/>
              <w:marTop w:val="0"/>
              <w:marBottom w:val="0"/>
              <w:divBdr>
                <w:top w:val="none" w:sz="0" w:space="0" w:color="auto"/>
                <w:left w:val="none" w:sz="0" w:space="0" w:color="auto"/>
                <w:bottom w:val="none" w:sz="0" w:space="0" w:color="auto"/>
                <w:right w:val="none" w:sz="0" w:space="0" w:color="auto"/>
              </w:divBdr>
              <w:divsChild>
                <w:div w:id="1632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0945">
      <w:bodyDiv w:val="1"/>
      <w:marLeft w:val="0"/>
      <w:marRight w:val="0"/>
      <w:marTop w:val="0"/>
      <w:marBottom w:val="0"/>
      <w:divBdr>
        <w:top w:val="none" w:sz="0" w:space="0" w:color="auto"/>
        <w:left w:val="none" w:sz="0" w:space="0" w:color="auto"/>
        <w:bottom w:val="none" w:sz="0" w:space="0" w:color="auto"/>
        <w:right w:val="none" w:sz="0" w:space="0" w:color="auto"/>
      </w:divBdr>
    </w:div>
    <w:div w:id="1412240218">
      <w:bodyDiv w:val="1"/>
      <w:marLeft w:val="0"/>
      <w:marRight w:val="0"/>
      <w:marTop w:val="0"/>
      <w:marBottom w:val="0"/>
      <w:divBdr>
        <w:top w:val="none" w:sz="0" w:space="0" w:color="auto"/>
        <w:left w:val="none" w:sz="0" w:space="0" w:color="auto"/>
        <w:bottom w:val="none" w:sz="0" w:space="0" w:color="auto"/>
        <w:right w:val="none" w:sz="0" w:space="0" w:color="auto"/>
      </w:divBdr>
    </w:div>
    <w:div w:id="1496921763">
      <w:bodyDiv w:val="1"/>
      <w:marLeft w:val="0"/>
      <w:marRight w:val="0"/>
      <w:marTop w:val="0"/>
      <w:marBottom w:val="0"/>
      <w:divBdr>
        <w:top w:val="none" w:sz="0" w:space="0" w:color="auto"/>
        <w:left w:val="none" w:sz="0" w:space="0" w:color="auto"/>
        <w:bottom w:val="none" w:sz="0" w:space="0" w:color="auto"/>
        <w:right w:val="none" w:sz="0" w:space="0" w:color="auto"/>
      </w:divBdr>
    </w:div>
    <w:div w:id="1528323948">
      <w:bodyDiv w:val="1"/>
      <w:marLeft w:val="0"/>
      <w:marRight w:val="0"/>
      <w:marTop w:val="0"/>
      <w:marBottom w:val="0"/>
      <w:divBdr>
        <w:top w:val="none" w:sz="0" w:space="0" w:color="auto"/>
        <w:left w:val="none" w:sz="0" w:space="0" w:color="auto"/>
        <w:bottom w:val="none" w:sz="0" w:space="0" w:color="auto"/>
        <w:right w:val="none" w:sz="0" w:space="0" w:color="auto"/>
      </w:divBdr>
    </w:div>
    <w:div w:id="1787890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9" Type="http://schemas.openxmlformats.org/officeDocument/2006/relationships/hyperlink" Target="http://www.textes.justice.gouv.fr/art_pix/circulaire020904comparution.pdf" TargetMode="External"/><Relationship Id="rId20" Type="http://schemas.openxmlformats.org/officeDocument/2006/relationships/hyperlink" Target="https://www.conseil-constitutionnel.fr/decision/2004/2004492DC.htm" TargetMode="External"/><Relationship Id="rId21" Type="http://schemas.openxmlformats.org/officeDocument/2006/relationships/hyperlink" Target="https://www.conseil-constitutionnel.fr/decision/2004/2004492DC.htm" TargetMode="External"/><Relationship Id="rId22" Type="http://schemas.openxmlformats.org/officeDocument/2006/relationships/hyperlink" Target="https://www.conseil-constitutionnel.fr/decision/2004/2004492DC.htm" TargetMode="External"/><Relationship Id="rId23" Type="http://schemas.openxmlformats.org/officeDocument/2006/relationships/hyperlink" Target="https://mevzuat.tbmm.gov.tr/mevzuat/faces/kanunmaddeleri?pkanunlarno=256570&amp;pkanunnumarasi=7188" TargetMode="External"/><Relationship Id="rId24" Type="http://schemas.openxmlformats.org/officeDocument/2006/relationships/hyperlink" Target="https://www.resmigazete.gov.tr/eskiler/2019/12/20191231M4-2-1.pdf" TargetMode="External"/><Relationship Id="rId25" Type="http://schemas.openxmlformats.org/officeDocument/2006/relationships/hyperlink" Target="https://rm.coe.int/16804e3ccf" TargetMode="External"/><Relationship Id="rId26" Type="http://schemas.openxmlformats.org/officeDocument/2006/relationships/hyperlink" Target="https://rm.coe.int/16804e3ccf" TargetMode="External"/><Relationship Id="rId10" Type="http://schemas.openxmlformats.org/officeDocument/2006/relationships/hyperlink" Target="https://mevzuat.tbmm.gov.tr/mevzuat/faces/kanunmaddeleri?pkanunlarno=256570&amp;pkanunnumarasi=7188" TargetMode="External"/><Relationship Id="rId11" Type="http://schemas.openxmlformats.org/officeDocument/2006/relationships/hyperlink" Target="https://mevzuat.tbmm.gov.tr/mevzuat/faces/kanunmaddeleri?pkanunlarno=256570&amp;pkanunnumarasi=7188" TargetMode="External"/><Relationship Id="rId12" Type="http://schemas.openxmlformats.org/officeDocument/2006/relationships/hyperlink" Target="https://www.resmigazete.gov.tr/eskiler/2019/12/20191231M4-2-1.pdf" TargetMode="External"/><Relationship Id="rId13" Type="http://schemas.openxmlformats.org/officeDocument/2006/relationships/hyperlink" Target="https://mevzuat.tbmm.gov.tr/mevzuat/faces/kanunmaddeleri?pkanunlarno=256570&amp;pkanunnumarasi=7188" TargetMode="External"/><Relationship Id="rId14" Type="http://schemas.openxmlformats.org/officeDocument/2006/relationships/hyperlink" Target="https://mevzuat.tbmm.gov.tr/mevzuat/faces/kanunmaddeleri?pkanunlarno=256570&amp;pkanunnumarasi=7188" TargetMode="External"/><Relationship Id="rId15" Type="http://schemas.openxmlformats.org/officeDocument/2006/relationships/hyperlink" Target="https://mevzuat.tbmm.gov.tr/mevzuat/faces/kanunmaddeleri?pkanunlarno=256570&amp;pkanunnumarasi=7188" TargetMode="External"/><Relationship Id="rId16" Type="http://schemas.openxmlformats.org/officeDocument/2006/relationships/hyperlink" Target="https://www.mevzuat.gov.tr/MevzuatMetin/5.3.1412.pdf" TargetMode="External"/><Relationship Id="rId17" Type="http://schemas.openxmlformats.org/officeDocument/2006/relationships/hyperlink" Target="https://www.resmigazete.gov.tr/eskiler/2005/11/20051117-23.htm" TargetMode="External"/><Relationship Id="rId18" Type="http://schemas.openxmlformats.org/officeDocument/2006/relationships/hyperlink" Target="https://mevzuat.tbmm.gov.tr/mevzuat/faces/kanunmaddeleri?pkanunlarno=256570&amp;pkanunnumarasi=7188" TargetMode="External"/><Relationship Id="rId19" Type="http://schemas.openxmlformats.org/officeDocument/2006/relationships/hyperlink" Target="https://www.conseil-constitutionnel.fr/decision/2004/2004492DC.htm" TargetMode="External"/><Relationship Id="rId1" Type="http://schemas.openxmlformats.org/officeDocument/2006/relationships/hyperlink" Target="mailto:melikeyetimoglu@maltepe.edu.tr" TargetMode="External"/><Relationship Id="rId2" Type="http://schemas.openxmlformats.org/officeDocument/2006/relationships/hyperlink" Target="https://www.resmigazete.gov.tr/eskiler/2019/10/20191024-25.htm" TargetMode="External"/><Relationship Id="rId3" Type="http://schemas.openxmlformats.org/officeDocument/2006/relationships/hyperlink" Target="https://mevzuat.tbmm.gov.tr/mevzuat/faces/kanunmaddeleri?pkanunlarno=256570&amp;pkanunnumarasi=7188" TargetMode="External"/><Relationship Id="rId4" Type="http://schemas.openxmlformats.org/officeDocument/2006/relationships/hyperlink" Target="https://mevzuat.tbmm.gov.tr/mevzuat/faces/kanunmaddeleri?pkanunlarno=256570&amp;pkanunnumarasi=7188" TargetMode="External"/><Relationship Id="rId5" Type="http://schemas.openxmlformats.org/officeDocument/2006/relationships/hyperlink" Target="https://www.legifrance.gouv.fr/affichCode.do;jsessionid=89F54B4156045EFB398B9A0932965C09.tplgfr32s_1?cidTexte=LEGITEXT000006071154&amp;dateTexte=20191119" TargetMode="External"/><Relationship Id="rId6" Type="http://schemas.openxmlformats.org/officeDocument/2006/relationships/hyperlink" Target="https://www.senat.fr/lc/lc146/lc1460.html" TargetMode="External"/><Relationship Id="rId7" Type="http://schemas.openxmlformats.org/officeDocument/2006/relationships/hyperlink" Target="https://www.legifrance.gouv.fr/affichCodeArticle.do;jsessionid=885C08BE7F8A720AC8E00FE84CE870B7.tplgfr30s_1?idArticle=LEGIARTI000006576739&amp;cidTexte=LEGITEXT000006071154&amp;categorieLien=id&amp;dateTexte=20111214" TargetMode="External"/><Relationship Id="rId8" Type="http://schemas.openxmlformats.org/officeDocument/2006/relationships/hyperlink" Target="https://www.legifrance.gouv.fr/affichCodeArticle.do?cidTexte=LEGITEXT000006070719&amp;idArticle=LEGIARTI000029363615&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5528-2015-C94A-954E-AB935A7E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16746</TotalTime>
  <Pages>47</Pages>
  <Words>12014</Words>
  <Characters>82777</Characters>
  <Application>Microsoft Macintosh Word</Application>
  <DocSecurity>0</DocSecurity>
  <Lines>1313</Lines>
  <Paragraphs>197</Paragraphs>
  <ScaleCrop>false</ScaleCrop>
  <Company>sss</Company>
  <LinksUpToDate>false</LinksUpToDate>
  <CharactersWithSpaces>94594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Doe</dc:creator>
  <cp:keywords/>
  <dc:description/>
  <cp:lastModifiedBy>Jane Doe</cp:lastModifiedBy>
  <cp:revision>1798</cp:revision>
  <dcterms:created xsi:type="dcterms:W3CDTF">2019-11-15T07:21:00Z</dcterms:created>
  <dcterms:modified xsi:type="dcterms:W3CDTF">2020-07-06T07:04:00Z</dcterms:modified>
</cp:coreProperties>
</file>