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rPr>
          <w:lang w:val="en-US"/>
        </w:rPr>
        <w:id w:val="6765270"/>
        <w:docPartObj>
          <w:docPartGallery w:val="Cover Pages"/>
          <w:docPartUnique/>
        </w:docPartObj>
      </w:sdtPr>
      <w:sdtContent>
        <w:bookmarkStart w:id="0" w:name="_GoBack" w:displacedByCustomXml="prev"/>
        <w:bookmarkEnd w:id="0" w:displacedByCustomXml="prev"/>
        <w:p w:rsidR="00773725" w:rsidRPr="00E87DD3" w:rsidRDefault="00773725" w:rsidP="00D5455A">
          <w:pPr>
            <w:rPr>
              <w:lang w:val="en-US"/>
            </w:rPr>
          </w:pPr>
        </w:p>
        <w:p w:rsidR="00773725" w:rsidRPr="00E87DD3" w:rsidRDefault="004E5B77" w:rsidP="00D5455A">
          <w:pPr>
            <w:rPr>
              <w:lang w:val="en-US"/>
            </w:rPr>
          </w:pPr>
          <w:r>
            <w:rPr>
              <w:noProof/>
            </w:rPr>
            <w:pict>
              <v:rect id="Rectangle 11" o:spid="_x0000_s1026" style="position:absolute;margin-left:27.3pt;margin-top:211.05pt;width:516.05pt;height:50.4pt;z-index:251663360;visibility:visible;mso-height-percent:73;mso-position-horizontal-relative:page;mso-position-vertical-relative:page;mso-height-percent: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" o:allowincell="f" fillcolor="#94b6d2 [3204]" strokecolor="white [3212]" strokeweight="1pt">
                <v:shadow color="#d8d8d8 [2732]" offset="3pt,3pt"/>
                <v:textbox style="mso-next-textbox:#Rectangle 11;mso-fit-shape-to-text:t" inset="14.4pt,,14.4pt">
                  <w:txbxContent>
                    <w:sdt>
                      <w:sdtPr>
                        <w:rPr>
                          <w:rFonts w:asciiTheme="majorHAnsi" w:eastAsiaTheme="majorEastAsia" w:hAnsiTheme="majorHAnsi" w:cstheme="majorBidi"/>
                          <w:color w:val="FFFFFF" w:themeColor="background1"/>
                          <w:sz w:val="72"/>
                          <w:szCs w:val="72"/>
                          <w:lang w:val="en-US"/>
                        </w:rPr>
                        <w:alias w:val="Başlık"/>
                        <w:id w:val="9101726"/>
                        <w:dataBinding w:prefixMappings="xmlns:ns0='http://schemas.openxmlformats.org/package/2006/metadata/core-properties' xmlns:ns1='http://purl.org/dc/elements/1.1/'" w:xpath="/ns0:coreProperties[1]/ns1:title[1]" w:storeItemID="{6C3C8BC8-F283-45AE-878A-BAB7291924A1}"/>
                        <w:text/>
                      </w:sdtPr>
                      <w:sdtContent>
                        <w:p w:rsidR="00CE3878" w:rsidRDefault="00CE3878">
                          <w:pPr>
                            <w:pStyle w:val="AralkYok"/>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Journal of Pediatric Sciences</w:t>
                          </w:r>
                        </w:p>
                      </w:sdtContent>
                    </w:sdt>
                  </w:txbxContent>
                </v:textbox>
                <w10:wrap anchorx="page" anchory="page"/>
              </v:rect>
            </w:pict>
          </w:r>
          <w:r>
            <w:rPr>
              <w:noProof/>
            </w:rPr>
            <w:pict>
              <v:rect id="Rectangle 32" o:spid="_x0000_s1027" style="position:absolute;margin-left:0;margin-top:179.6pt;width:488.95pt;height:461.9pt;z-index:251670528;visibility:visible;mso-width-percent:1000;mso-position-horizontal-relative:margin;mso-position-vertical-relative:margin;mso-width-percent:10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" o:allowincell="f" filled="f" fillcolor="#94b6d2 [3204]" stroked="f">
                <v:textbox style="mso-next-textbox:#Rectangle 32;mso-fit-shape-to-text:t" inset="0,0,18pt,0">
                  <w:txbxContent>
                    <w:p w:rsidR="00CE3878" w:rsidRDefault="00CE3878" w:rsidP="000B7BD8">
                      <w:pPr>
                        <w:spacing w:after="0" w:line="240" w:lineRule="auto"/>
                        <w:jc w:val="center"/>
                        <w:rPr>
                          <w:b/>
                          <w:i/>
                          <w:color w:val="548AB7" w:themeColor="accent1" w:themeShade="BF"/>
                          <w:sz w:val="72"/>
                          <w:szCs w:val="72"/>
                          <w:lang w:val="en-US"/>
                        </w:rPr>
                      </w:pPr>
                    </w:p>
                    <w:p w:rsidR="00CE3878" w:rsidRDefault="00CE3878" w:rsidP="000B7BD8">
                      <w:pPr>
                        <w:spacing w:after="0" w:line="240" w:lineRule="auto"/>
                        <w:jc w:val="center"/>
                        <w:rPr>
                          <w:b/>
                          <w:i/>
                          <w:color w:val="548AB7" w:themeColor="accent1" w:themeShade="BF"/>
                          <w:sz w:val="72"/>
                          <w:szCs w:val="72"/>
                          <w:lang w:val="en-US"/>
                        </w:rPr>
                      </w:pPr>
                    </w:p>
                    <w:p w:rsidR="00CE3878" w:rsidRDefault="00CE3878" w:rsidP="000B7BD8">
                      <w:pPr>
                        <w:spacing w:after="0" w:line="240" w:lineRule="auto"/>
                        <w:jc w:val="center"/>
                        <w:rPr>
                          <w:b/>
                          <w:i/>
                          <w:color w:val="548AB7" w:themeColor="accent1" w:themeShade="BF"/>
                          <w:sz w:val="72"/>
                          <w:szCs w:val="72"/>
                          <w:lang w:val="en-US"/>
                        </w:rPr>
                      </w:pPr>
                    </w:p>
                    <w:p w:rsidR="00CE3878" w:rsidRDefault="00CE3878" w:rsidP="000B7BD8">
                      <w:pPr>
                        <w:spacing w:after="0" w:line="240" w:lineRule="auto"/>
                        <w:jc w:val="center"/>
                        <w:rPr>
                          <w:b/>
                          <w:i/>
                          <w:color w:val="548AB7" w:themeColor="accent1" w:themeShade="BF"/>
                          <w:sz w:val="72"/>
                          <w:szCs w:val="72"/>
                          <w:lang w:val="en-US"/>
                        </w:rPr>
                      </w:pPr>
                    </w:p>
                    <w:p w:rsidR="004E3093" w:rsidRPr="004E3093" w:rsidRDefault="004E3093" w:rsidP="004E3093">
                      <w:pPr>
                        <w:autoSpaceDE w:val="0"/>
                        <w:autoSpaceDN w:val="0"/>
                        <w:adjustRightInd w:val="0"/>
                        <w:spacing w:after="0" w:line="240" w:lineRule="auto"/>
                        <w:jc w:val="center"/>
                        <w:rPr>
                          <w:rFonts w:eastAsiaTheme="minorHAnsi" w:cs="Arial"/>
                          <w:b/>
                          <w:bCs/>
                          <w:color w:val="548AB7" w:themeColor="accent1" w:themeShade="BF"/>
                          <w:sz w:val="36"/>
                          <w:szCs w:val="36"/>
                        </w:rPr>
                      </w:pPr>
                      <w:r w:rsidRPr="004E3093">
                        <w:rPr>
                          <w:rFonts w:eastAsiaTheme="minorHAnsi" w:cs="Arial"/>
                          <w:b/>
                          <w:bCs/>
                          <w:color w:val="548AB7" w:themeColor="accent1" w:themeShade="BF"/>
                          <w:sz w:val="36"/>
                          <w:szCs w:val="36"/>
                        </w:rPr>
                        <w:t>Usefulness of Subjective Global Assessment Tool in Assessing the Nutritional Status of Critically Ill Pediatrics</w:t>
                      </w:r>
                    </w:p>
                    <w:p w:rsidR="00695D91" w:rsidRPr="00695D91" w:rsidRDefault="00695D91" w:rsidP="00FE61FC">
                      <w:pPr>
                        <w:spacing w:after="0" w:line="240" w:lineRule="auto"/>
                        <w:jc w:val="center"/>
                        <w:rPr>
                          <w:color w:val="548AB7" w:themeColor="accent1" w:themeShade="BF"/>
                          <w:sz w:val="36"/>
                          <w:szCs w:val="36"/>
                        </w:rPr>
                      </w:pPr>
                    </w:p>
                    <w:p w:rsidR="004E3093" w:rsidRPr="004E3093" w:rsidRDefault="004E3093" w:rsidP="004E3093">
                      <w:pPr>
                        <w:pStyle w:val="Balk4"/>
                        <w:spacing w:before="0"/>
                        <w:jc w:val="center"/>
                        <w:rPr>
                          <w:rFonts w:asciiTheme="minorHAnsi" w:hAnsiTheme="minorHAnsi" w:cs="Arial"/>
                          <w:b w:val="0"/>
                          <w:i w:val="0"/>
                          <w:color w:val="548AB7" w:themeColor="accent1" w:themeShade="BF"/>
                          <w:sz w:val="28"/>
                          <w:szCs w:val="28"/>
                        </w:rPr>
                      </w:pPr>
                      <w:r>
                        <w:rPr>
                          <w:rFonts w:asciiTheme="minorHAnsi" w:hAnsiTheme="minorHAnsi" w:cs="Arial"/>
                          <w:b w:val="0"/>
                          <w:i w:val="0"/>
                          <w:color w:val="548AB7" w:themeColor="accent1" w:themeShade="BF"/>
                          <w:sz w:val="28"/>
                          <w:szCs w:val="28"/>
                        </w:rPr>
                        <w:t>Deepa Agarwal, Hemamalini A</w:t>
                      </w:r>
                      <w:r w:rsidR="00461A38">
                        <w:rPr>
                          <w:rFonts w:asciiTheme="minorHAnsi" w:hAnsiTheme="minorHAnsi" w:cs="Arial"/>
                          <w:b w:val="0"/>
                          <w:i w:val="0"/>
                          <w:color w:val="548AB7" w:themeColor="accent1" w:themeShade="BF"/>
                          <w:sz w:val="28"/>
                          <w:szCs w:val="28"/>
                        </w:rPr>
                        <w:t>.</w:t>
                      </w:r>
                      <w:r>
                        <w:rPr>
                          <w:rFonts w:asciiTheme="minorHAnsi" w:hAnsiTheme="minorHAnsi" w:cs="Arial"/>
                          <w:b w:val="0"/>
                          <w:i w:val="0"/>
                          <w:color w:val="548AB7" w:themeColor="accent1" w:themeShade="BF"/>
                          <w:sz w:val="28"/>
                          <w:szCs w:val="28"/>
                        </w:rPr>
                        <w:t>J</w:t>
                      </w:r>
                      <w:r w:rsidR="00461A38">
                        <w:rPr>
                          <w:rFonts w:asciiTheme="minorHAnsi" w:hAnsiTheme="minorHAnsi" w:cs="Arial"/>
                          <w:b w:val="0"/>
                          <w:i w:val="0"/>
                          <w:color w:val="548AB7" w:themeColor="accent1" w:themeShade="BF"/>
                          <w:sz w:val="28"/>
                          <w:szCs w:val="28"/>
                        </w:rPr>
                        <w:t>.</w:t>
                      </w:r>
                    </w:p>
                    <w:p w:rsidR="00CE3878" w:rsidRDefault="00CE3878" w:rsidP="00970751">
                      <w:pPr>
                        <w:pStyle w:val="GvdeMetniGirintisi2"/>
                        <w:spacing w:line="360" w:lineRule="auto"/>
                        <w:ind w:left="0"/>
                        <w:jc w:val="center"/>
                        <w:rPr>
                          <w:iCs/>
                          <w:color w:val="548AB7" w:themeColor="accent1" w:themeShade="BF"/>
                          <w:sz w:val="32"/>
                          <w:szCs w:val="28"/>
                          <w:lang w:val="en-US"/>
                        </w:rPr>
                      </w:pPr>
                      <w:r w:rsidRPr="003A4D50">
                        <w:rPr>
                          <w:iCs/>
                          <w:color w:val="548AB7" w:themeColor="accent1" w:themeShade="BF"/>
                          <w:sz w:val="32"/>
                          <w:szCs w:val="28"/>
                          <w:lang w:val="en-US"/>
                        </w:rPr>
                        <w:t>Journal</w:t>
                      </w:r>
                      <w:r>
                        <w:rPr>
                          <w:iCs/>
                          <w:color w:val="548AB7" w:themeColor="accent1" w:themeShade="BF"/>
                          <w:sz w:val="32"/>
                          <w:szCs w:val="28"/>
                          <w:lang w:val="en-US"/>
                        </w:rPr>
                        <w:t xml:space="preserve"> of Pediatric Sciences 2012</w:t>
                      </w:r>
                      <w:r w:rsidRPr="00F07F23">
                        <w:rPr>
                          <w:iCs/>
                          <w:color w:val="548AB7" w:themeColor="accent1" w:themeShade="BF"/>
                          <w:sz w:val="32"/>
                          <w:szCs w:val="28"/>
                          <w:lang w:val="en-US"/>
                        </w:rPr>
                        <w:t>;</w:t>
                      </w:r>
                      <w:r>
                        <w:rPr>
                          <w:iCs/>
                          <w:color w:val="548AB7" w:themeColor="accent1" w:themeShade="BF"/>
                          <w:sz w:val="32"/>
                          <w:szCs w:val="28"/>
                          <w:lang w:val="en-US"/>
                        </w:rPr>
                        <w:t>4</w:t>
                      </w:r>
                      <w:r w:rsidRPr="00F07F23">
                        <w:rPr>
                          <w:iCs/>
                          <w:color w:val="548AB7" w:themeColor="accent1" w:themeShade="BF"/>
                          <w:sz w:val="32"/>
                          <w:szCs w:val="28"/>
                          <w:lang w:val="en-US"/>
                        </w:rPr>
                        <w:t>(</w:t>
                      </w:r>
                      <w:r w:rsidR="00CD4BA9">
                        <w:rPr>
                          <w:iCs/>
                          <w:color w:val="548AB7" w:themeColor="accent1" w:themeShade="BF"/>
                          <w:sz w:val="32"/>
                          <w:szCs w:val="28"/>
                          <w:lang w:val="en-US"/>
                        </w:rPr>
                        <w:t>3</w:t>
                      </w:r>
                      <w:r w:rsidRPr="00F07F23">
                        <w:rPr>
                          <w:iCs/>
                          <w:color w:val="548AB7" w:themeColor="accent1" w:themeShade="BF"/>
                          <w:sz w:val="32"/>
                          <w:szCs w:val="28"/>
                          <w:lang w:val="en-US"/>
                        </w:rPr>
                        <w:t>):e</w:t>
                      </w:r>
                      <w:r w:rsidR="00E31970">
                        <w:rPr>
                          <w:iCs/>
                          <w:color w:val="548AB7" w:themeColor="accent1" w:themeShade="BF"/>
                          <w:sz w:val="32"/>
                          <w:szCs w:val="28"/>
                          <w:lang w:val="en-US"/>
                        </w:rPr>
                        <w:t>13</w:t>
                      </w:r>
                      <w:r w:rsidR="004E3093">
                        <w:rPr>
                          <w:iCs/>
                          <w:color w:val="548AB7" w:themeColor="accent1" w:themeShade="BF"/>
                          <w:sz w:val="32"/>
                          <w:szCs w:val="28"/>
                          <w:lang w:val="en-US"/>
                        </w:rPr>
                        <w:t>6</w:t>
                      </w:r>
                    </w:p>
                    <w:p w:rsidR="00CE3878" w:rsidRPr="005703F0" w:rsidRDefault="00CE3878" w:rsidP="005703F0">
                      <w:pPr>
                        <w:spacing w:after="160" w:line="240" w:lineRule="auto"/>
                        <w:jc w:val="center"/>
                        <w:rPr>
                          <w:iCs/>
                          <w:color w:val="548AB7" w:themeColor="accent1" w:themeShade="BF"/>
                          <w:sz w:val="32"/>
                          <w:szCs w:val="28"/>
                          <w:lang w:val="en-US"/>
                        </w:rPr>
                      </w:pPr>
                    </w:p>
                    <w:p w:rsidR="00CE3878" w:rsidRDefault="00CE3878" w:rsidP="003A4D50">
                      <w:pPr>
                        <w:spacing w:after="0" w:line="240" w:lineRule="auto"/>
                        <w:rPr>
                          <w:rFonts w:ascii="Verdana" w:hAnsi="Verdana"/>
                          <w:iCs/>
                          <w:color w:val="555A3C" w:themeColor="accent3" w:themeShade="80"/>
                          <w:sz w:val="20"/>
                          <w:szCs w:val="28"/>
                          <w:lang w:val="en-US"/>
                        </w:rPr>
                      </w:pPr>
                    </w:p>
                    <w:p w:rsidR="00CE3878" w:rsidRDefault="00CE3878" w:rsidP="003A4D50">
                      <w:pPr>
                        <w:spacing w:after="0" w:line="240" w:lineRule="auto"/>
                        <w:rPr>
                          <w:rFonts w:ascii="Verdana" w:hAnsi="Verdana"/>
                          <w:iCs/>
                          <w:color w:val="555A3C" w:themeColor="accent3" w:themeShade="80"/>
                          <w:sz w:val="20"/>
                          <w:szCs w:val="28"/>
                          <w:lang w:val="en-US"/>
                        </w:rPr>
                      </w:pPr>
                    </w:p>
                    <w:p w:rsidR="00CE3878" w:rsidRDefault="00CE3878" w:rsidP="003A4D50">
                      <w:pPr>
                        <w:spacing w:after="0" w:line="240" w:lineRule="auto"/>
                        <w:rPr>
                          <w:rFonts w:ascii="Verdana" w:hAnsi="Verdana"/>
                          <w:iCs/>
                          <w:color w:val="555A3C" w:themeColor="accent3" w:themeShade="80"/>
                          <w:sz w:val="20"/>
                          <w:szCs w:val="28"/>
                          <w:lang w:val="en-US"/>
                        </w:rPr>
                      </w:pPr>
                    </w:p>
                    <w:p w:rsidR="00CE3878" w:rsidRDefault="00CE3878" w:rsidP="003A4D50">
                      <w:pPr>
                        <w:spacing w:after="0" w:line="240" w:lineRule="auto"/>
                        <w:rPr>
                          <w:rFonts w:ascii="Verdana" w:hAnsi="Verdana"/>
                          <w:iCs/>
                          <w:color w:val="555A3C" w:themeColor="accent3" w:themeShade="80"/>
                          <w:sz w:val="20"/>
                          <w:szCs w:val="28"/>
                          <w:lang w:val="en-US"/>
                        </w:rPr>
                      </w:pPr>
                    </w:p>
                    <w:p w:rsidR="00196213" w:rsidRDefault="00196213" w:rsidP="003A4D50">
                      <w:pPr>
                        <w:spacing w:after="0" w:line="240" w:lineRule="auto"/>
                        <w:rPr>
                          <w:rFonts w:ascii="Verdana" w:hAnsi="Verdana"/>
                          <w:iCs/>
                          <w:color w:val="555A3C" w:themeColor="accent3" w:themeShade="80"/>
                          <w:sz w:val="20"/>
                          <w:szCs w:val="28"/>
                          <w:lang w:val="en-US"/>
                        </w:rPr>
                      </w:pPr>
                    </w:p>
                    <w:p w:rsidR="00196213" w:rsidRDefault="00196213" w:rsidP="003A4D50">
                      <w:pPr>
                        <w:spacing w:after="0" w:line="240" w:lineRule="auto"/>
                        <w:rPr>
                          <w:rFonts w:ascii="Verdana" w:hAnsi="Verdana"/>
                          <w:iCs/>
                          <w:color w:val="555A3C" w:themeColor="accent3" w:themeShade="80"/>
                          <w:sz w:val="20"/>
                          <w:szCs w:val="28"/>
                          <w:lang w:val="en-US"/>
                        </w:rPr>
                      </w:pPr>
                    </w:p>
                    <w:p w:rsidR="00CE3878" w:rsidRDefault="00CE3878" w:rsidP="003A4D50">
                      <w:pPr>
                        <w:spacing w:after="0" w:line="240" w:lineRule="auto"/>
                        <w:rPr>
                          <w:rFonts w:ascii="Verdana" w:hAnsi="Verdana"/>
                          <w:iCs/>
                          <w:color w:val="555A3C" w:themeColor="accent3" w:themeShade="80"/>
                          <w:sz w:val="20"/>
                          <w:szCs w:val="28"/>
                          <w:lang w:val="en-US"/>
                        </w:rPr>
                      </w:pPr>
                    </w:p>
                    <w:p w:rsidR="00CE3878" w:rsidRPr="0004489A" w:rsidRDefault="00CE3878" w:rsidP="00E75BD2">
                      <w:pPr>
                        <w:spacing w:after="0" w:line="240" w:lineRule="auto"/>
                        <w:jc w:val="center"/>
                        <w:rPr>
                          <w:rFonts w:ascii="Verdana" w:hAnsi="Verdana"/>
                          <w:b/>
                          <w:iCs/>
                          <w:color w:val="80865A" w:themeColor="accent3" w:themeShade="BF"/>
                          <w:sz w:val="18"/>
                          <w:szCs w:val="18"/>
                          <w:lang w:val="en-US"/>
                        </w:rPr>
                      </w:pPr>
                      <w:r w:rsidRPr="0004489A">
                        <w:rPr>
                          <w:rFonts w:ascii="Verdana" w:hAnsi="Verdana"/>
                          <w:b/>
                          <w:iCs/>
                          <w:color w:val="80865A" w:themeColor="accent3" w:themeShade="BF"/>
                          <w:sz w:val="18"/>
                          <w:szCs w:val="18"/>
                          <w:lang w:val="en-US"/>
                        </w:rPr>
                        <w:t>How to cite this article:</w:t>
                      </w:r>
                    </w:p>
                    <w:p w:rsidR="00CE3878" w:rsidRPr="00CD4BA9" w:rsidRDefault="00CE3878" w:rsidP="00E75BD2">
                      <w:pPr>
                        <w:spacing w:after="0" w:line="240" w:lineRule="auto"/>
                        <w:jc w:val="center"/>
                        <w:rPr>
                          <w:rFonts w:ascii="Verdana" w:hAnsi="Verdana"/>
                          <w:b/>
                          <w:iCs/>
                          <w:color w:val="80865A" w:themeColor="accent3" w:themeShade="BF"/>
                          <w:sz w:val="6"/>
                          <w:szCs w:val="6"/>
                          <w:lang w:val="en-US"/>
                        </w:rPr>
                      </w:pPr>
                      <w:r w:rsidRPr="00CD4BA9">
                        <w:rPr>
                          <w:rFonts w:ascii="Verdana" w:hAnsi="Verdana"/>
                          <w:b/>
                          <w:iCs/>
                          <w:color w:val="80865A" w:themeColor="accent3" w:themeShade="BF"/>
                          <w:sz w:val="18"/>
                          <w:szCs w:val="18"/>
                          <w:lang w:val="en-US"/>
                        </w:rPr>
                        <w:t> </w:t>
                      </w:r>
                    </w:p>
                    <w:p w:rsidR="00145BEF" w:rsidRPr="00CD4BA9" w:rsidRDefault="004E3093" w:rsidP="00CD4BA9">
                      <w:pPr>
                        <w:spacing w:after="0" w:line="240" w:lineRule="auto"/>
                        <w:jc w:val="center"/>
                        <w:rPr>
                          <w:rFonts w:ascii="Verdana" w:hAnsi="Verdana"/>
                          <w:b/>
                          <w:color w:val="80865A" w:themeColor="accent3" w:themeShade="BF"/>
                          <w:sz w:val="18"/>
                          <w:szCs w:val="18"/>
                        </w:rPr>
                      </w:pPr>
                      <w:r>
                        <w:rPr>
                          <w:rFonts w:ascii="Verdana" w:hAnsi="Verdana"/>
                          <w:b/>
                          <w:iCs/>
                          <w:color w:val="80865A" w:themeColor="accent3" w:themeShade="BF"/>
                          <w:sz w:val="18"/>
                          <w:szCs w:val="18"/>
                          <w:lang w:val="en-US"/>
                        </w:rPr>
                        <w:t xml:space="preserve">Agarwal D, Hememalini AJ. Usefulness of subjective global assessment tool in assessing the nutritional status of critically ill pediatrics. </w:t>
                      </w:r>
                      <w:r w:rsidR="00CE3878" w:rsidRPr="00CD4BA9">
                        <w:rPr>
                          <w:rFonts w:ascii="Verdana" w:hAnsi="Verdana"/>
                          <w:b/>
                          <w:iCs/>
                          <w:color w:val="80865A" w:themeColor="accent3" w:themeShade="BF"/>
                          <w:sz w:val="18"/>
                          <w:szCs w:val="18"/>
                          <w:lang w:val="en-US"/>
                        </w:rPr>
                        <w:t>Journal of Pediatric Sciences. 2012;4(</w:t>
                      </w:r>
                      <w:r w:rsidR="00CD4BA9" w:rsidRPr="00CD4BA9">
                        <w:rPr>
                          <w:rFonts w:ascii="Verdana" w:hAnsi="Verdana"/>
                          <w:b/>
                          <w:iCs/>
                          <w:color w:val="80865A" w:themeColor="accent3" w:themeShade="BF"/>
                          <w:sz w:val="18"/>
                          <w:szCs w:val="18"/>
                          <w:lang w:val="en-US"/>
                        </w:rPr>
                        <w:t>3</w:t>
                      </w:r>
                      <w:r w:rsidR="00CE3878" w:rsidRPr="00CD4BA9">
                        <w:rPr>
                          <w:rFonts w:ascii="Verdana" w:hAnsi="Verdana"/>
                          <w:b/>
                          <w:iCs/>
                          <w:color w:val="80865A" w:themeColor="accent3" w:themeShade="BF"/>
                          <w:sz w:val="18"/>
                          <w:szCs w:val="18"/>
                          <w:lang w:val="en-US"/>
                        </w:rPr>
                        <w:t>):e1</w:t>
                      </w:r>
                      <w:r w:rsidR="00E31970" w:rsidRPr="00CD4BA9">
                        <w:rPr>
                          <w:rFonts w:ascii="Verdana" w:hAnsi="Verdana"/>
                          <w:b/>
                          <w:iCs/>
                          <w:color w:val="80865A" w:themeColor="accent3" w:themeShade="BF"/>
                          <w:sz w:val="18"/>
                          <w:szCs w:val="18"/>
                          <w:lang w:val="en-US"/>
                        </w:rPr>
                        <w:t>3</w:t>
                      </w:r>
                      <w:r>
                        <w:rPr>
                          <w:rFonts w:ascii="Verdana" w:hAnsi="Verdana"/>
                          <w:b/>
                          <w:iCs/>
                          <w:color w:val="80865A" w:themeColor="accent3" w:themeShade="BF"/>
                          <w:sz w:val="18"/>
                          <w:szCs w:val="18"/>
                          <w:lang w:val="en-US"/>
                        </w:rPr>
                        <w:t>6</w:t>
                      </w:r>
                      <w:r w:rsidR="00895E3A" w:rsidRPr="00CD4BA9">
                        <w:rPr>
                          <w:rFonts w:ascii="Verdana" w:hAnsi="Verdana"/>
                          <w:b/>
                          <w:iCs/>
                          <w:color w:val="80865A" w:themeColor="accent3" w:themeShade="BF"/>
                          <w:sz w:val="18"/>
                          <w:szCs w:val="18"/>
                          <w:lang w:val="en-US"/>
                        </w:rPr>
                        <w:t>.</w:t>
                      </w:r>
                    </w:p>
                  </w:txbxContent>
                </v:textbox>
                <w10:wrap type="square" anchorx="margin" anchory="margin"/>
              </v:rect>
            </w:pict>
          </w:r>
          <w:r w:rsidR="00773725" w:rsidRPr="00E87DD3">
            <w:rPr>
              <w:lang w:val="en-US"/>
            </w:rPr>
            <w:br w:type="page"/>
          </w:r>
        </w:p>
      </w:sdtContent>
    </w:sdt>
    <w:p w:rsidR="00525A2C" w:rsidRPr="00E87DD3" w:rsidRDefault="004E5B77" w:rsidP="00D5455A">
      <w:pPr>
        <w:rPr>
          <w:lang w:val="en-US"/>
        </w:rPr>
      </w:pPr>
      <w:r>
        <w:rPr>
          <w:noProof/>
        </w:rPr>
        <w:lastRenderedPageBreak/>
        <w:pict>
          <v:rect id="Rectangle 2" o:spid="_x0000_s1028" style="position:absolute;margin-left:0;margin-top:-644.95pt;width:335.6pt;height:23.75pt;z-index:251658240;visibility:visible;mso-position-horizontal:center;mso-position-horizontal-relative:margin;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" o:allowincell="f" fillcolor="#c8ccb3 [1942]" strokecolor="#a5ab81 [3206]" strokeweight="1pt">
            <v:fill color2="#a5ab81 [3206]" focus="50%" type="gradient"/>
            <v:shadow on="t" color="#55593b [1606]" offset="1pt"/>
            <v:textbox>
              <w:txbxContent>
                <w:p w:rsidR="00CE3878" w:rsidRPr="00CB56A2" w:rsidRDefault="00ED683F" w:rsidP="00CB56A2">
                  <w:pPr>
                    <w:jc w:val="center"/>
                    <w:rPr>
                      <w:rFonts w:asciiTheme="majorHAnsi" w:hAnsiTheme="majorHAnsi"/>
                      <w:b/>
                      <w:color w:val="FFFFFF" w:themeColor="background1"/>
                      <w:spacing w:val="80"/>
                    </w:rPr>
                  </w:pPr>
                  <w:r>
                    <w:rPr>
                      <w:rFonts w:asciiTheme="majorHAnsi" w:hAnsiTheme="majorHAnsi"/>
                      <w:b/>
                      <w:color w:val="FFFFFF" w:themeColor="background1"/>
                      <w:spacing w:val="80"/>
                    </w:rPr>
                    <w:t>ORIGINAL ARTICLE</w:t>
                  </w:r>
                </w:p>
              </w:txbxContent>
            </v:textbox>
            <w10:wrap anchorx="margin" anchory="margin"/>
          </v:rect>
        </w:pict>
      </w:r>
    </w:p>
    <w:p w:rsidR="00412C37" w:rsidRPr="00E87DD3" w:rsidRDefault="00412C37" w:rsidP="00D5455A">
      <w:pPr>
        <w:autoSpaceDE w:val="0"/>
        <w:autoSpaceDN w:val="0"/>
        <w:adjustRightInd w:val="0"/>
        <w:spacing w:after="0" w:line="240" w:lineRule="auto"/>
        <w:jc w:val="center"/>
        <w:rPr>
          <w:rFonts w:ascii="Verdana" w:hAnsi="Verdana" w:cs="OTNEJMQuadraat"/>
          <w:sz w:val="32"/>
          <w:szCs w:val="36"/>
          <w:lang w:val="en-US"/>
        </w:rPr>
      </w:pPr>
    </w:p>
    <w:p w:rsidR="00412F56" w:rsidRPr="00E87DD3" w:rsidRDefault="00412F56" w:rsidP="00D5455A">
      <w:pPr>
        <w:autoSpaceDE w:val="0"/>
        <w:autoSpaceDN w:val="0"/>
        <w:adjustRightInd w:val="0"/>
        <w:spacing w:after="0" w:line="240" w:lineRule="auto"/>
        <w:jc w:val="center"/>
        <w:rPr>
          <w:rFonts w:ascii="Verdana" w:hAnsi="Verdana" w:cs="OTNEJMQuadraat"/>
          <w:sz w:val="32"/>
          <w:szCs w:val="36"/>
          <w:lang w:val="en-US"/>
        </w:rPr>
      </w:pPr>
    </w:p>
    <w:p w:rsidR="00C65237" w:rsidRDefault="00C65237" w:rsidP="00185492">
      <w:pPr>
        <w:jc w:val="center"/>
        <w:rPr>
          <w:color w:val="80865A" w:themeColor="accent3" w:themeShade="BF"/>
          <w:sz w:val="32"/>
          <w:szCs w:val="32"/>
        </w:rPr>
      </w:pPr>
    </w:p>
    <w:p w:rsidR="00956D0B" w:rsidRPr="00956D0B" w:rsidRDefault="00956D0B" w:rsidP="00956D0B">
      <w:pPr>
        <w:autoSpaceDE w:val="0"/>
        <w:autoSpaceDN w:val="0"/>
        <w:adjustRightInd w:val="0"/>
        <w:spacing w:after="0" w:line="240" w:lineRule="auto"/>
        <w:jc w:val="center"/>
        <w:rPr>
          <w:rFonts w:eastAsiaTheme="minorHAnsi" w:cs="Arial"/>
          <w:b/>
          <w:bCs/>
          <w:color w:val="80865A" w:themeColor="accent3" w:themeShade="BF"/>
          <w:sz w:val="32"/>
          <w:szCs w:val="32"/>
        </w:rPr>
      </w:pPr>
      <w:r w:rsidRPr="00956D0B">
        <w:rPr>
          <w:rFonts w:eastAsiaTheme="minorHAnsi" w:cs="Arial"/>
          <w:b/>
          <w:bCs/>
          <w:color w:val="80865A" w:themeColor="accent3" w:themeShade="BF"/>
          <w:sz w:val="32"/>
          <w:szCs w:val="32"/>
        </w:rPr>
        <w:t>Usefulness of Subjective Global Assessment Tool in Assessing the Nutritional Status of Critically Ill Pediatrics</w:t>
      </w:r>
    </w:p>
    <w:p w:rsidR="007320C9" w:rsidRPr="00695D91" w:rsidRDefault="007320C9" w:rsidP="007320C9">
      <w:pPr>
        <w:spacing w:after="0" w:line="240" w:lineRule="auto"/>
        <w:jc w:val="center"/>
        <w:rPr>
          <w:color w:val="548AB7" w:themeColor="accent1" w:themeShade="BF"/>
          <w:sz w:val="36"/>
          <w:szCs w:val="36"/>
        </w:rPr>
      </w:pPr>
    </w:p>
    <w:p w:rsidR="00956D0B" w:rsidRPr="00956D0B" w:rsidRDefault="00956D0B" w:rsidP="00956D0B">
      <w:pPr>
        <w:pStyle w:val="Balk4"/>
        <w:spacing w:before="0"/>
        <w:jc w:val="center"/>
        <w:rPr>
          <w:rFonts w:asciiTheme="minorHAnsi" w:hAnsiTheme="minorHAnsi" w:cs="Arial"/>
          <w:b w:val="0"/>
          <w:i w:val="0"/>
          <w:color w:val="80865A" w:themeColor="accent3" w:themeShade="BF"/>
          <w:sz w:val="28"/>
          <w:szCs w:val="28"/>
        </w:rPr>
      </w:pPr>
      <w:r w:rsidRPr="00956D0B">
        <w:rPr>
          <w:rFonts w:asciiTheme="minorHAnsi" w:hAnsiTheme="minorHAnsi" w:cs="Arial"/>
          <w:b w:val="0"/>
          <w:i w:val="0"/>
          <w:color w:val="80865A" w:themeColor="accent3" w:themeShade="BF"/>
          <w:sz w:val="28"/>
          <w:szCs w:val="28"/>
        </w:rPr>
        <w:t>Deepa Agarwal, Hemamalini A.J</w:t>
      </w:r>
    </w:p>
    <w:p w:rsidR="006B0265" w:rsidRPr="006B0265" w:rsidRDefault="006B0265" w:rsidP="006B0265">
      <w:pPr>
        <w:spacing w:after="0" w:line="240" w:lineRule="auto"/>
        <w:jc w:val="center"/>
        <w:rPr>
          <w:rFonts w:ascii="Arial" w:hAnsi="Arial"/>
          <w:color w:val="80865A" w:themeColor="accent3" w:themeShade="BF"/>
          <w:sz w:val="24"/>
          <w:szCs w:val="24"/>
        </w:rPr>
      </w:pPr>
    </w:p>
    <w:p w:rsidR="00956D0B" w:rsidRPr="00956D0B" w:rsidRDefault="00956D0B" w:rsidP="00956D0B">
      <w:pPr>
        <w:pStyle w:val="Balk4"/>
        <w:spacing w:before="0"/>
        <w:jc w:val="center"/>
        <w:rPr>
          <w:rFonts w:asciiTheme="minorHAnsi" w:hAnsiTheme="minorHAnsi" w:cs="Arial"/>
          <w:b w:val="0"/>
          <w:i w:val="0"/>
          <w:color w:val="80865A" w:themeColor="accent3" w:themeShade="BF"/>
        </w:rPr>
      </w:pPr>
      <w:r w:rsidRPr="00956D0B">
        <w:rPr>
          <w:rFonts w:asciiTheme="minorHAnsi" w:hAnsiTheme="minorHAnsi" w:cs="Arial"/>
          <w:b w:val="0"/>
          <w:i w:val="0"/>
          <w:color w:val="80865A" w:themeColor="accent3" w:themeShade="BF"/>
        </w:rPr>
        <w:t>Department of Clinical Nutrition, Sri Ramachandra University, Chennai, India</w:t>
      </w:r>
    </w:p>
    <w:p w:rsidR="00D81581" w:rsidRDefault="00D81581" w:rsidP="00A713C0">
      <w:pPr>
        <w:spacing w:after="0" w:line="240" w:lineRule="auto"/>
        <w:jc w:val="center"/>
        <w:rPr>
          <w:color w:val="80865A" w:themeColor="accent3" w:themeShade="BF"/>
          <w:lang w:val="en-US"/>
        </w:rPr>
      </w:pPr>
    </w:p>
    <w:p w:rsidR="00A713C0" w:rsidRPr="00A713C0" w:rsidRDefault="00A713C0" w:rsidP="00A713C0">
      <w:pPr>
        <w:spacing w:after="0" w:line="240" w:lineRule="auto"/>
        <w:jc w:val="center"/>
        <w:rPr>
          <w:rFonts w:ascii="Verdana" w:eastAsia="Times New Roman" w:hAnsi="Verdana" w:cs="Times New Roman"/>
          <w:color w:val="80865A" w:themeColor="accent3" w:themeShade="BF"/>
          <w:sz w:val="20"/>
          <w:szCs w:val="20"/>
        </w:rPr>
      </w:pPr>
    </w:p>
    <w:p w:rsidR="001C1DC2" w:rsidRDefault="004E5B77" w:rsidP="00967CBD">
      <w:pPr>
        <w:rPr>
          <w:rStyle w:val="Gl"/>
          <w:rFonts w:ascii="OTNEJMScalaSansLF" w:hAnsi="OTNEJMScalaSansLF" w:cs="OTNEJMScalaSansLF"/>
          <w:b w:val="0"/>
          <w:bCs w:val="0"/>
          <w:color w:val="555A3C" w:themeColor="accent3" w:themeShade="80"/>
          <w:sz w:val="20"/>
          <w:szCs w:val="20"/>
          <w:lang w:val="en-US"/>
        </w:rPr>
      </w:pPr>
      <w:r w:rsidRPr="004E5B77">
        <w:rPr>
          <w:rFonts w:ascii="Verdana" w:hAnsi="Verdana" w:cs="OTNEJMQuadraat"/>
          <w:noProof/>
          <w:sz w:val="32"/>
          <w:szCs w:val="36"/>
          <w:lang w:val="en-GB" w:eastAsia="en-GB"/>
        </w:rPr>
      </w:r>
      <w:r w:rsidR="0039060C" w:rsidRPr="004E5B77">
        <w:rPr>
          <w:rFonts w:ascii="Verdana" w:hAnsi="Verdana" w:cs="OTNEJMQuadraat"/>
          <w:noProof/>
          <w:sz w:val="32"/>
          <w:szCs w:val="36"/>
          <w:lang w:val="en-GB" w:eastAsia="en-GB"/>
        </w:rPr>
        <w:pict>
          <v:rect id="Rectangle 39" o:spid="_x0000_s1029" style="width:488.65pt;height:17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" fillcolor="white [3212]" strokecolor="#716767 [2409]" strokeweight="2pt">
            <v:textbox style="mso-fit-shape-to-text:t">
              <w:txbxContent>
                <w:p w:rsidR="00CE3878" w:rsidRPr="00956D0B" w:rsidRDefault="00CE3878" w:rsidP="00956D0B">
                  <w:pPr>
                    <w:autoSpaceDE w:val="0"/>
                    <w:autoSpaceDN w:val="0"/>
                    <w:adjustRightInd w:val="0"/>
                    <w:spacing w:after="0"/>
                    <w:jc w:val="both"/>
                    <w:rPr>
                      <w:rFonts w:asciiTheme="majorHAnsi" w:hAnsiTheme="majorHAnsi" w:cs="OTNEJMQuadraatSmallCap"/>
                      <w:i/>
                      <w:sz w:val="18"/>
                      <w:szCs w:val="18"/>
                      <w:lang w:val="en-US"/>
                    </w:rPr>
                  </w:pPr>
                  <w:r w:rsidRPr="00956D0B">
                    <w:rPr>
                      <w:rFonts w:asciiTheme="majorHAnsi" w:hAnsiTheme="majorHAnsi"/>
                      <w:b/>
                      <w:i/>
                      <w:sz w:val="18"/>
                      <w:szCs w:val="18"/>
                      <w:lang w:val="en-US"/>
                    </w:rPr>
                    <w:t>Abstract:</w:t>
                  </w:r>
                  <w:r w:rsidRPr="00956D0B">
                    <w:rPr>
                      <w:rFonts w:asciiTheme="majorHAnsi" w:hAnsiTheme="majorHAnsi"/>
                      <w:i/>
                      <w:sz w:val="18"/>
                      <w:szCs w:val="18"/>
                      <w:lang w:val="en-US"/>
                    </w:rPr>
                    <w:t xml:space="preserve"> </w:t>
                  </w:r>
                </w:p>
                <w:p w:rsidR="00956D0B" w:rsidRDefault="00956D0B" w:rsidP="00956D0B">
                  <w:pPr>
                    <w:autoSpaceDE w:val="0"/>
                    <w:autoSpaceDN w:val="0"/>
                    <w:adjustRightInd w:val="0"/>
                    <w:spacing w:after="0"/>
                    <w:jc w:val="both"/>
                    <w:rPr>
                      <w:rFonts w:asciiTheme="majorHAnsi" w:eastAsiaTheme="minorHAnsi" w:hAnsiTheme="majorHAnsi" w:cs="Arial"/>
                      <w:i/>
                      <w:iCs/>
                      <w:sz w:val="18"/>
                      <w:szCs w:val="18"/>
                    </w:rPr>
                  </w:pPr>
                  <w:r w:rsidRPr="00956D0B">
                    <w:rPr>
                      <w:rFonts w:asciiTheme="majorHAnsi" w:eastAsiaTheme="minorHAnsi" w:hAnsiTheme="majorHAnsi" w:cs="Arial"/>
                      <w:b/>
                      <w:bCs/>
                      <w:i/>
                      <w:iCs/>
                      <w:sz w:val="18"/>
                      <w:szCs w:val="18"/>
                    </w:rPr>
                    <w:t xml:space="preserve">Objectives: </w:t>
                  </w:r>
                  <w:r w:rsidRPr="00956D0B">
                    <w:rPr>
                      <w:rFonts w:asciiTheme="majorHAnsi" w:eastAsiaTheme="minorHAnsi" w:hAnsiTheme="majorHAnsi" w:cs="Arial"/>
                      <w:i/>
                      <w:iCs/>
                      <w:sz w:val="18"/>
                      <w:szCs w:val="18"/>
                    </w:rPr>
                    <w:t xml:space="preserve">To determine the incidence of malnutrition in pediatric patients admitted in a critical care unit and to evaluate the value of SGA as a nutrition assessment tool in this patient group. </w:t>
                  </w:r>
                </w:p>
                <w:p w:rsidR="00956D0B" w:rsidRDefault="00956D0B" w:rsidP="00956D0B">
                  <w:pPr>
                    <w:autoSpaceDE w:val="0"/>
                    <w:autoSpaceDN w:val="0"/>
                    <w:adjustRightInd w:val="0"/>
                    <w:spacing w:after="0"/>
                    <w:jc w:val="both"/>
                    <w:rPr>
                      <w:rFonts w:asciiTheme="majorHAnsi" w:eastAsiaTheme="minorHAnsi" w:hAnsiTheme="majorHAnsi" w:cs="Arial"/>
                      <w:i/>
                      <w:sz w:val="18"/>
                      <w:szCs w:val="18"/>
                    </w:rPr>
                  </w:pPr>
                  <w:r w:rsidRPr="00956D0B">
                    <w:rPr>
                      <w:rFonts w:asciiTheme="majorHAnsi" w:eastAsiaTheme="minorHAnsi" w:hAnsiTheme="majorHAnsi" w:cs="Arial"/>
                      <w:b/>
                      <w:bCs/>
                      <w:i/>
                      <w:iCs/>
                      <w:sz w:val="18"/>
                      <w:szCs w:val="18"/>
                    </w:rPr>
                    <w:t xml:space="preserve">Patients and Method: </w:t>
                  </w:r>
                  <w:r w:rsidRPr="00956D0B">
                    <w:rPr>
                      <w:rFonts w:asciiTheme="majorHAnsi" w:eastAsiaTheme="minorHAnsi" w:hAnsiTheme="majorHAnsi" w:cs="Arial"/>
                      <w:i/>
                      <w:sz w:val="18"/>
                      <w:szCs w:val="18"/>
                    </w:rPr>
                    <w:t xml:space="preserve">The study included 260 pediatric patients aged one month to 6 years who were admitted to the pediatric intensive care unit at Sri Ramachandra Hospital from January, 2010 to April, 2011. Weight of each patient was checked using a weighing pan/scale and evaluated using IAP Weight for Age criteria (W/A). Nutrition related history according to SGA protocol was taken from the care takers of each patient by a trained nutritionist. Data from the SGA history was summarized into one of three </w:t>
                  </w:r>
                  <w:r>
                    <w:rPr>
                      <w:rFonts w:asciiTheme="majorHAnsi" w:eastAsiaTheme="minorHAnsi" w:hAnsiTheme="majorHAnsi" w:cs="Arial"/>
                      <w:i/>
                      <w:sz w:val="18"/>
                      <w:szCs w:val="18"/>
                    </w:rPr>
                    <w:t xml:space="preserve">class groups; A-well nourished, </w:t>
                  </w:r>
                  <w:r w:rsidRPr="00956D0B">
                    <w:rPr>
                      <w:rFonts w:asciiTheme="majorHAnsi" w:eastAsiaTheme="minorHAnsi" w:hAnsiTheme="majorHAnsi" w:cs="Arial"/>
                      <w:i/>
                      <w:sz w:val="18"/>
                      <w:szCs w:val="18"/>
                    </w:rPr>
                    <w:t xml:space="preserve"> B-moderately malnourished and C-severely malnourished. </w:t>
                  </w:r>
                </w:p>
                <w:p w:rsidR="00956D0B" w:rsidRDefault="00956D0B" w:rsidP="00956D0B">
                  <w:pPr>
                    <w:autoSpaceDE w:val="0"/>
                    <w:autoSpaceDN w:val="0"/>
                    <w:adjustRightInd w:val="0"/>
                    <w:spacing w:after="0"/>
                    <w:jc w:val="both"/>
                    <w:rPr>
                      <w:rFonts w:asciiTheme="majorHAnsi" w:hAnsiTheme="majorHAnsi" w:cs="Arial"/>
                      <w:i/>
                      <w:color w:val="000000"/>
                      <w:sz w:val="18"/>
                      <w:szCs w:val="18"/>
                    </w:rPr>
                  </w:pPr>
                  <w:r w:rsidRPr="00956D0B">
                    <w:rPr>
                      <w:rFonts w:asciiTheme="majorHAnsi" w:eastAsiaTheme="minorHAnsi" w:hAnsiTheme="majorHAnsi" w:cs="Arial"/>
                      <w:b/>
                      <w:bCs/>
                      <w:i/>
                      <w:iCs/>
                      <w:sz w:val="18"/>
                      <w:szCs w:val="18"/>
                    </w:rPr>
                    <w:t xml:space="preserve">Results: </w:t>
                  </w:r>
                  <w:r w:rsidRPr="00956D0B">
                    <w:rPr>
                      <w:rFonts w:asciiTheme="majorHAnsi" w:hAnsiTheme="majorHAnsi" w:cs="Arial"/>
                      <w:i/>
                      <w:sz w:val="18"/>
                      <w:szCs w:val="18"/>
                    </w:rPr>
                    <w:t>Overall, around 50.4% of our study subjects were well nourished, 34.5% were moderately malnourished and 16.1% were severely malnourished.</w:t>
                  </w:r>
                  <w:r w:rsidRPr="00956D0B">
                    <w:rPr>
                      <w:rFonts w:asciiTheme="majorHAnsi" w:hAnsiTheme="majorHAnsi" w:cs="Arial"/>
                      <w:i/>
                      <w:color w:val="000000"/>
                      <w:sz w:val="18"/>
                      <w:szCs w:val="18"/>
                    </w:rPr>
                    <w:t xml:space="preserve"> SGA was able to identify malnourished subjects with 86.71% sensitivity and specificity of 86.36% when compared with IAP weight for age criteria. </w:t>
                  </w:r>
                </w:p>
                <w:p w:rsidR="00956D0B" w:rsidRPr="00956D0B" w:rsidRDefault="00956D0B" w:rsidP="00956D0B">
                  <w:pPr>
                    <w:autoSpaceDE w:val="0"/>
                    <w:autoSpaceDN w:val="0"/>
                    <w:adjustRightInd w:val="0"/>
                    <w:spacing w:after="0"/>
                    <w:jc w:val="both"/>
                    <w:rPr>
                      <w:rFonts w:asciiTheme="majorHAnsi" w:eastAsiaTheme="minorHAnsi" w:hAnsiTheme="majorHAnsi" w:cs="Arial"/>
                      <w:i/>
                      <w:iCs/>
                      <w:sz w:val="18"/>
                      <w:szCs w:val="18"/>
                    </w:rPr>
                  </w:pPr>
                  <w:r w:rsidRPr="00956D0B">
                    <w:rPr>
                      <w:rFonts w:asciiTheme="majorHAnsi" w:eastAsiaTheme="minorHAnsi" w:hAnsiTheme="majorHAnsi" w:cs="Arial"/>
                      <w:b/>
                      <w:bCs/>
                      <w:i/>
                      <w:iCs/>
                      <w:sz w:val="18"/>
                      <w:szCs w:val="18"/>
                    </w:rPr>
                    <w:t xml:space="preserve">Conclusions: </w:t>
                  </w:r>
                  <w:r w:rsidRPr="00956D0B">
                    <w:rPr>
                      <w:rFonts w:asciiTheme="majorHAnsi" w:eastAsiaTheme="minorHAnsi" w:hAnsiTheme="majorHAnsi" w:cs="Arial"/>
                      <w:i/>
                      <w:iCs/>
                      <w:sz w:val="18"/>
                      <w:szCs w:val="18"/>
                    </w:rPr>
                    <w:t>SGA is a sensitive and specific nutrition assessment tool useful in pediatric patients admitted in a critical care unit.  Application of the protocol as a complement of standard anthropometric tool can be considered.</w:t>
                  </w:r>
                </w:p>
                <w:p w:rsidR="00956D0B" w:rsidRDefault="00956D0B" w:rsidP="004C2F5F">
                  <w:pPr>
                    <w:jc w:val="both"/>
                    <w:rPr>
                      <w:rFonts w:asciiTheme="majorHAnsi" w:hAnsiTheme="majorHAnsi" w:cstheme="minorHAnsi"/>
                      <w:b/>
                      <w:sz w:val="18"/>
                      <w:szCs w:val="18"/>
                      <w:lang w:val="en-US"/>
                    </w:rPr>
                  </w:pPr>
                </w:p>
                <w:p w:rsidR="00A01461" w:rsidRDefault="00CE3878" w:rsidP="004C2F5F">
                  <w:pPr>
                    <w:jc w:val="both"/>
                    <w:rPr>
                      <w:rFonts w:asciiTheme="majorHAnsi" w:hAnsiTheme="majorHAnsi" w:cs="OTNEJMQuadraatSmallCap"/>
                      <w:sz w:val="18"/>
                      <w:szCs w:val="18"/>
                      <w:lang w:val="en-US"/>
                    </w:rPr>
                  </w:pPr>
                  <w:r w:rsidRPr="000171F6">
                    <w:rPr>
                      <w:rFonts w:asciiTheme="majorHAnsi" w:hAnsiTheme="majorHAnsi" w:cstheme="minorHAnsi"/>
                      <w:b/>
                      <w:sz w:val="18"/>
                      <w:szCs w:val="18"/>
                      <w:lang w:val="en-US"/>
                    </w:rPr>
                    <w:t>Keywords:</w:t>
                  </w:r>
                  <w:r w:rsidRPr="000171F6">
                    <w:rPr>
                      <w:rFonts w:asciiTheme="majorHAnsi" w:hAnsiTheme="majorHAnsi" w:cstheme="minorHAnsi"/>
                      <w:sz w:val="18"/>
                      <w:szCs w:val="18"/>
                      <w:lang w:val="en-US"/>
                    </w:rPr>
                    <w:t xml:space="preserve"> </w:t>
                  </w:r>
                  <w:r w:rsidR="00A01461" w:rsidRPr="00A01461">
                    <w:rPr>
                      <w:rFonts w:asciiTheme="majorHAnsi" w:eastAsiaTheme="minorHAnsi" w:hAnsiTheme="majorHAnsi"/>
                      <w:i/>
                      <w:iCs/>
                      <w:sz w:val="18"/>
                      <w:szCs w:val="18"/>
                    </w:rPr>
                    <w:t>Malnutrition, Subjective Global Assessment, Critically ill Paediatrics, Nutritional assessment</w:t>
                  </w:r>
                  <w:r w:rsidR="00A01461" w:rsidRPr="000171F6">
                    <w:rPr>
                      <w:rFonts w:asciiTheme="majorHAnsi" w:hAnsiTheme="majorHAnsi" w:cs="OTNEJMQuadraatSmallCap"/>
                      <w:sz w:val="18"/>
                      <w:szCs w:val="18"/>
                      <w:lang w:val="en-US"/>
                    </w:rPr>
                    <w:t xml:space="preserve"> </w:t>
                  </w:r>
                </w:p>
                <w:p w:rsidR="00CE3878" w:rsidRPr="004C2F5F" w:rsidRDefault="00CE3878" w:rsidP="004C2F5F">
                  <w:pPr>
                    <w:jc w:val="both"/>
                    <w:rPr>
                      <w:rFonts w:asciiTheme="majorHAnsi" w:hAnsiTheme="majorHAnsi" w:cs="OTNEJMQuadraatSmallCap"/>
                      <w:i/>
                      <w:sz w:val="18"/>
                      <w:szCs w:val="18"/>
                      <w:lang w:val="en-US"/>
                    </w:rPr>
                  </w:pPr>
                  <w:r w:rsidRPr="000171F6">
                    <w:rPr>
                      <w:rFonts w:asciiTheme="majorHAnsi" w:hAnsiTheme="majorHAnsi" w:cs="OTNEJMQuadraatSmallCap"/>
                      <w:sz w:val="18"/>
                      <w:szCs w:val="18"/>
                      <w:lang w:val="en-US"/>
                    </w:rPr>
                    <w:t xml:space="preserve">Accepted: </w:t>
                  </w:r>
                  <w:r w:rsidR="00A01461">
                    <w:rPr>
                      <w:rFonts w:asciiTheme="majorHAnsi" w:hAnsiTheme="majorHAnsi" w:cs="OTNEJMQuadraatSmallCap"/>
                      <w:i/>
                      <w:sz w:val="18"/>
                      <w:szCs w:val="18"/>
                      <w:lang w:val="en-US"/>
                    </w:rPr>
                    <w:t>14 April</w:t>
                  </w:r>
                  <w:r w:rsidR="004C2F5F">
                    <w:rPr>
                      <w:rFonts w:asciiTheme="majorHAnsi" w:hAnsiTheme="majorHAnsi" w:cs="OTNEJMQuadraatSmallCap"/>
                      <w:i/>
                      <w:sz w:val="18"/>
                      <w:szCs w:val="18"/>
                      <w:lang w:val="en-US"/>
                    </w:rPr>
                    <w:t>, 2012</w:t>
                  </w:r>
                </w:p>
                <w:p w:rsidR="00CE3878" w:rsidRPr="000171F6" w:rsidRDefault="00CE3878" w:rsidP="000171F6">
                  <w:pPr>
                    <w:pStyle w:val="Standard"/>
                    <w:spacing w:after="0"/>
                    <w:rPr>
                      <w:rFonts w:asciiTheme="majorHAnsi" w:eastAsia="Times New Roman" w:hAnsiTheme="majorHAnsi" w:cs="Times New Roman"/>
                      <w:i/>
                      <w:sz w:val="18"/>
                      <w:szCs w:val="18"/>
                      <w:lang w:bidi="ar-EG"/>
                    </w:rPr>
                  </w:pPr>
                  <w:r w:rsidRPr="00447B5E">
                    <w:rPr>
                      <w:rFonts w:asciiTheme="majorHAnsi" w:hAnsiTheme="majorHAnsi" w:cs="OTNEJMQuadraatSmallCap"/>
                      <w:b/>
                      <w:sz w:val="18"/>
                      <w:szCs w:val="18"/>
                    </w:rPr>
                    <w:t>Corresponding author</w:t>
                  </w:r>
                  <w:r w:rsidR="00447B5E">
                    <w:rPr>
                      <w:rFonts w:asciiTheme="majorHAnsi" w:hAnsiTheme="majorHAnsi" w:cs="OTNEJMQuadraatSmallCap"/>
                      <w:sz w:val="18"/>
                      <w:szCs w:val="18"/>
                    </w:rPr>
                    <w:t xml:space="preserve"> : </w:t>
                  </w:r>
                  <w:r w:rsidR="00B55B00">
                    <w:rPr>
                      <w:rFonts w:asciiTheme="majorHAnsi" w:eastAsia="Times New Roman" w:hAnsiTheme="majorHAnsi" w:cs="Times New Roman"/>
                      <w:i/>
                      <w:sz w:val="18"/>
                      <w:szCs w:val="18"/>
                      <w:lang w:bidi="ar-EG"/>
                    </w:rPr>
                    <w:t>Ms. Deepa Agarwal, Phd Research Scholar, Department of Clinical Nutrition, Sri Ramachandra University, Chennai- 600116. Phone no. 9940220005 email id: deepagargphd@gmail.com</w:t>
                  </w:r>
                </w:p>
              </w:txbxContent>
            </v:textbox>
            <w10:wrap type="none"/>
            <w10:anchorlock/>
          </v:rect>
        </w:pict>
      </w:r>
    </w:p>
    <w:p w:rsidR="00185492" w:rsidRDefault="00185492" w:rsidP="00967CBD">
      <w:pPr>
        <w:rPr>
          <w:rStyle w:val="Gl"/>
          <w:rFonts w:ascii="OTNEJMScalaSansLF" w:hAnsi="OTNEJMScalaSansLF" w:cs="OTNEJMScalaSansLF"/>
          <w:b w:val="0"/>
          <w:bCs w:val="0"/>
          <w:color w:val="555A3C" w:themeColor="accent3" w:themeShade="80"/>
          <w:sz w:val="20"/>
          <w:szCs w:val="20"/>
          <w:lang w:val="en-US"/>
        </w:rPr>
      </w:pPr>
    </w:p>
    <w:p w:rsidR="00185492" w:rsidRPr="005E5CF8" w:rsidRDefault="00185492" w:rsidP="00967CBD">
      <w:pPr>
        <w:rPr>
          <w:rStyle w:val="Gl"/>
          <w:rFonts w:ascii="OTNEJMScalaSansLF" w:hAnsi="OTNEJMScalaSansLF" w:cs="OTNEJMScalaSansLF"/>
          <w:b w:val="0"/>
          <w:bCs w:val="0"/>
          <w:color w:val="555A3C" w:themeColor="accent3" w:themeShade="80"/>
          <w:sz w:val="20"/>
          <w:szCs w:val="20"/>
          <w:lang w:val="en-US"/>
        </w:rPr>
        <w:sectPr w:rsidR="00185492" w:rsidRPr="005E5CF8" w:rsidSect="00857EE1">
          <w:headerReference w:type="default" r:id="rId9"/>
          <w:footerReference w:type="default" r:id="rId10"/>
          <w:headerReference w:type="first" r:id="rId11"/>
          <w:pgSz w:w="11906" w:h="16838"/>
          <w:pgMar w:top="1985" w:right="1133" w:bottom="1985" w:left="993"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7E3976" w:rsidRPr="00A1451E" w:rsidRDefault="007E3976" w:rsidP="00A1451E">
      <w:pPr>
        <w:tabs>
          <w:tab w:val="left" w:pos="5910"/>
        </w:tabs>
        <w:spacing w:before="120" w:after="120"/>
        <w:ind w:right="-79"/>
        <w:jc w:val="both"/>
        <w:outlineLvl w:val="0"/>
        <w:rPr>
          <w:rFonts w:ascii="Times New Roman" w:hAnsi="Times New Roman" w:cs="Times New Roman"/>
          <w:b/>
          <w:sz w:val="20"/>
          <w:szCs w:val="20"/>
        </w:rPr>
      </w:pPr>
      <w:r w:rsidRPr="00A1451E">
        <w:rPr>
          <w:rFonts w:ascii="Times New Roman" w:hAnsi="Times New Roman" w:cs="Times New Roman"/>
          <w:b/>
          <w:sz w:val="20"/>
          <w:szCs w:val="20"/>
        </w:rPr>
        <w:lastRenderedPageBreak/>
        <w:t>Introduction</w:t>
      </w:r>
      <w:r w:rsidRPr="00A1451E">
        <w:rPr>
          <w:rFonts w:ascii="Times New Roman" w:hAnsi="Times New Roman" w:cs="Times New Roman"/>
          <w:sz w:val="20"/>
          <w:szCs w:val="20"/>
        </w:rPr>
        <w:t xml:space="preserve"> </w:t>
      </w:r>
    </w:p>
    <w:p w:rsidR="00A1451E" w:rsidRDefault="00000055" w:rsidP="00A1451E">
      <w:pPr>
        <w:spacing w:before="120" w:after="120"/>
        <w:jc w:val="both"/>
        <w:rPr>
          <w:rFonts w:ascii="Times New Roman" w:hAnsi="Times New Roman" w:cs="Times New Roman"/>
          <w:color w:val="000000"/>
          <w:sz w:val="20"/>
          <w:szCs w:val="20"/>
        </w:rPr>
      </w:pPr>
      <w:r w:rsidRPr="00A1451E">
        <w:rPr>
          <w:rFonts w:ascii="Times New Roman" w:hAnsi="Times New Roman" w:cs="Times New Roman"/>
          <w:sz w:val="20"/>
          <w:szCs w:val="20"/>
        </w:rPr>
        <w:t xml:space="preserve">Malnutrition is a major problem in pediatric intensive care units therefore nutritional assessment has become an essential component of the hospitalized patients, to understand the preexisting and prognostic nutritional status of critically ill children. </w:t>
      </w:r>
      <w:r w:rsidRPr="00A1451E">
        <w:rPr>
          <w:rFonts w:ascii="Times New Roman" w:hAnsi="Times New Roman" w:cs="Times New Roman"/>
          <w:color w:val="000000"/>
          <w:sz w:val="20"/>
          <w:szCs w:val="20"/>
        </w:rPr>
        <w:t xml:space="preserve">Nutrition assessment is a detailed evaluation and interpretation of multiple parameters and seeks to define the risk of developing nutrition-related </w:t>
      </w:r>
      <w:r w:rsidRPr="00A1451E">
        <w:rPr>
          <w:rFonts w:ascii="Times New Roman" w:hAnsi="Times New Roman" w:cs="Times New Roman"/>
          <w:color w:val="000000"/>
          <w:sz w:val="20"/>
          <w:szCs w:val="20"/>
        </w:rPr>
        <w:lastRenderedPageBreak/>
        <w:t>medical complications. It can also be used to monitor the course of nutritional therapy. It is a unique process in the pediatric intensive care unit in view of the metabolic changes of the underlying disease and also is the most important tool to avoid hospita</w:t>
      </w:r>
      <w:r w:rsidR="002A2CB9">
        <w:rPr>
          <w:rFonts w:ascii="Times New Roman" w:hAnsi="Times New Roman" w:cs="Times New Roman"/>
          <w:color w:val="000000"/>
          <w:sz w:val="20"/>
          <w:szCs w:val="20"/>
        </w:rPr>
        <w:t>l undernutrition (1</w:t>
      </w:r>
      <w:r w:rsidRPr="00A1451E">
        <w:rPr>
          <w:rFonts w:ascii="Times New Roman" w:hAnsi="Times New Roman" w:cs="Times New Roman"/>
          <w:color w:val="000000"/>
          <w:sz w:val="20"/>
          <w:szCs w:val="20"/>
        </w:rPr>
        <w:t xml:space="preserve">). </w:t>
      </w:r>
    </w:p>
    <w:p w:rsidR="00000055" w:rsidRPr="00A1451E" w:rsidRDefault="00000055" w:rsidP="00A1451E">
      <w:pPr>
        <w:spacing w:before="120" w:after="120"/>
        <w:jc w:val="both"/>
        <w:rPr>
          <w:rFonts w:ascii="Times New Roman" w:hAnsi="Times New Roman" w:cs="Times New Roman"/>
          <w:color w:val="000000"/>
          <w:sz w:val="20"/>
          <w:szCs w:val="20"/>
        </w:rPr>
      </w:pPr>
      <w:r w:rsidRPr="00A1451E">
        <w:rPr>
          <w:rFonts w:ascii="Times New Roman" w:hAnsi="Times New Roman" w:cs="Times New Roman"/>
          <w:color w:val="000000"/>
          <w:sz w:val="20"/>
          <w:szCs w:val="20"/>
        </w:rPr>
        <w:t xml:space="preserve">Nutritional assessment in the critically ill tends to be overlooked. Available parameters may be less sensitive in critically ill patients, given the combination of pre-existing </w:t>
      </w:r>
      <w:r w:rsidRPr="00A1451E">
        <w:rPr>
          <w:rFonts w:ascii="Times New Roman" w:hAnsi="Times New Roman" w:cs="Times New Roman"/>
          <w:color w:val="000000"/>
          <w:sz w:val="20"/>
          <w:szCs w:val="20"/>
        </w:rPr>
        <w:lastRenderedPageBreak/>
        <w:t>nutritional status, the severity of the acute episode along with concurrent therapies (e.g. fluid resuscitation) and possible underlying chronic d</w:t>
      </w:r>
      <w:r w:rsidR="002A2CB9">
        <w:rPr>
          <w:rFonts w:ascii="Times New Roman" w:hAnsi="Times New Roman" w:cs="Times New Roman"/>
          <w:color w:val="000000"/>
          <w:sz w:val="20"/>
          <w:szCs w:val="20"/>
        </w:rPr>
        <w:t>iseases (</w:t>
      </w:r>
      <w:r w:rsidRPr="00A1451E">
        <w:rPr>
          <w:rFonts w:ascii="Times New Roman" w:hAnsi="Times New Roman" w:cs="Times New Roman"/>
          <w:color w:val="000000"/>
          <w:sz w:val="20"/>
          <w:szCs w:val="20"/>
        </w:rPr>
        <w:t xml:space="preserve">2). </w:t>
      </w:r>
    </w:p>
    <w:p w:rsidR="00000055" w:rsidRPr="00A1451E" w:rsidRDefault="00000055" w:rsidP="00A1451E">
      <w:pPr>
        <w:autoSpaceDE w:val="0"/>
        <w:autoSpaceDN w:val="0"/>
        <w:adjustRightInd w:val="0"/>
        <w:spacing w:before="120" w:after="120"/>
        <w:jc w:val="both"/>
        <w:rPr>
          <w:rFonts w:ascii="Times New Roman" w:hAnsi="Times New Roman" w:cs="Times New Roman"/>
          <w:sz w:val="20"/>
          <w:szCs w:val="20"/>
        </w:rPr>
      </w:pPr>
      <w:r w:rsidRPr="00A1451E">
        <w:rPr>
          <w:rFonts w:ascii="Times New Roman" w:hAnsi="Times New Roman" w:cs="Times New Roman"/>
          <w:sz w:val="20"/>
          <w:szCs w:val="20"/>
        </w:rPr>
        <w:t>Essentially, there have not been any outstanding recent developments in nutritional assessment techniques. However, it appears that unavailability of any absolute gold standard for nutritional assessment has led to the development of disease specific and clinically relevant global  type-assessment tools which are user-fri</w:t>
      </w:r>
      <w:r w:rsidR="002A2CB9">
        <w:rPr>
          <w:rFonts w:ascii="Times New Roman" w:hAnsi="Times New Roman" w:cs="Times New Roman"/>
          <w:sz w:val="20"/>
          <w:szCs w:val="20"/>
        </w:rPr>
        <w:t>endly and effective (3</w:t>
      </w:r>
      <w:r w:rsidRPr="00A1451E">
        <w:rPr>
          <w:rFonts w:ascii="Times New Roman" w:hAnsi="Times New Roman" w:cs="Times New Roman"/>
          <w:sz w:val="20"/>
          <w:szCs w:val="20"/>
        </w:rPr>
        <w:t xml:space="preserve">). </w:t>
      </w:r>
    </w:p>
    <w:p w:rsidR="00000055" w:rsidRPr="00A1451E" w:rsidRDefault="00000055" w:rsidP="00A1451E">
      <w:pPr>
        <w:autoSpaceDE w:val="0"/>
        <w:autoSpaceDN w:val="0"/>
        <w:adjustRightInd w:val="0"/>
        <w:spacing w:before="120" w:after="120"/>
        <w:jc w:val="both"/>
        <w:rPr>
          <w:rFonts w:ascii="Times New Roman" w:hAnsi="Times New Roman" w:cs="Times New Roman"/>
          <w:sz w:val="20"/>
          <w:szCs w:val="20"/>
        </w:rPr>
      </w:pPr>
      <w:r w:rsidRPr="00A1451E">
        <w:rPr>
          <w:rFonts w:ascii="Times New Roman" w:hAnsi="Times New Roman" w:cs="Times New Roman"/>
          <w:color w:val="000000"/>
          <w:sz w:val="20"/>
          <w:szCs w:val="20"/>
        </w:rPr>
        <w:t xml:space="preserve">Subjective global assessment tool </w:t>
      </w:r>
      <w:r w:rsidRPr="00A1451E">
        <w:rPr>
          <w:rFonts w:ascii="Times New Roman" w:hAnsi="Times New Roman" w:cs="Times New Roman"/>
          <w:sz w:val="20"/>
          <w:szCs w:val="20"/>
        </w:rPr>
        <w:t>is one such method</w:t>
      </w:r>
      <w:r w:rsidRPr="00A1451E">
        <w:rPr>
          <w:rFonts w:ascii="Times New Roman" w:hAnsi="Times New Roman" w:cs="Times New Roman"/>
          <w:color w:val="000000"/>
          <w:sz w:val="20"/>
          <w:szCs w:val="20"/>
        </w:rPr>
        <w:t xml:space="preserve"> that quickly assesses the nutritional status based exclusively on a carefully performed medical history and physical examination </w:t>
      </w:r>
      <w:r w:rsidRPr="00A1451E">
        <w:rPr>
          <w:rFonts w:ascii="Times New Roman" w:hAnsi="Times New Roman" w:cs="Times New Roman"/>
          <w:sz w:val="20"/>
          <w:szCs w:val="20"/>
        </w:rPr>
        <w:t>and has been widely used to quickly assess the nutritional status of children and adults</w:t>
      </w:r>
      <w:r w:rsidR="00A1451E">
        <w:rPr>
          <w:rFonts w:ascii="Times New Roman" w:hAnsi="Times New Roman" w:cs="Times New Roman"/>
          <w:sz w:val="20"/>
          <w:szCs w:val="20"/>
        </w:rPr>
        <w:t xml:space="preserve"> </w:t>
      </w:r>
      <w:r w:rsidR="002A2CB9">
        <w:rPr>
          <w:rFonts w:ascii="Times New Roman" w:hAnsi="Times New Roman" w:cs="Times New Roman"/>
          <w:sz w:val="20"/>
          <w:szCs w:val="20"/>
        </w:rPr>
        <w:t>(</w:t>
      </w:r>
      <w:r w:rsidRPr="00A1451E">
        <w:rPr>
          <w:rFonts w:ascii="Times New Roman" w:hAnsi="Times New Roman" w:cs="Times New Roman"/>
          <w:sz w:val="20"/>
          <w:szCs w:val="20"/>
        </w:rPr>
        <w:t>4</w:t>
      </w:r>
      <w:r w:rsidR="002A2CB9">
        <w:rPr>
          <w:rFonts w:ascii="Times New Roman" w:hAnsi="Times New Roman" w:cs="Times New Roman"/>
          <w:sz w:val="20"/>
          <w:szCs w:val="20"/>
        </w:rPr>
        <w:t>,5</w:t>
      </w:r>
      <w:r w:rsidRPr="00A1451E">
        <w:rPr>
          <w:rFonts w:ascii="Times New Roman" w:hAnsi="Times New Roman" w:cs="Times New Roman"/>
          <w:sz w:val="20"/>
          <w:szCs w:val="20"/>
        </w:rPr>
        <w:t xml:space="preserve">). In general, </w:t>
      </w:r>
      <w:r w:rsidRPr="00A1451E">
        <w:rPr>
          <w:rFonts w:ascii="Times New Roman" w:hAnsi="Times New Roman" w:cs="Times New Roman"/>
          <w:color w:val="000000"/>
          <w:sz w:val="20"/>
          <w:szCs w:val="20"/>
        </w:rPr>
        <w:t xml:space="preserve">it is a reliable and a valid method to assess nutritional status in hospitalized patients. </w:t>
      </w:r>
      <w:r w:rsidRPr="00A1451E">
        <w:rPr>
          <w:rFonts w:ascii="Times New Roman" w:hAnsi="Times New Roman" w:cs="Times New Roman"/>
          <w:sz w:val="20"/>
          <w:szCs w:val="20"/>
        </w:rPr>
        <w:t>However, evidence regarding its usefulness in critically ill children is minimal. IAP weight for age criteria has been nationally accepted as a standard for assessing the nutritional status of children. However, in cases where there is fluid accumulation or the child is immobile, its use is limited. Therefore, the need to validate an assessment tool that will help in assessing the nutritional status of all critically ill children quickl</w:t>
      </w:r>
      <w:r w:rsidR="00A1451E">
        <w:rPr>
          <w:rFonts w:ascii="Times New Roman" w:hAnsi="Times New Roman" w:cs="Times New Roman"/>
          <w:sz w:val="20"/>
          <w:szCs w:val="20"/>
        </w:rPr>
        <w:t xml:space="preserve">y and correctly is essential. </w:t>
      </w:r>
    </w:p>
    <w:p w:rsidR="00000055" w:rsidRPr="00A1451E" w:rsidRDefault="00000055" w:rsidP="00A1451E">
      <w:pPr>
        <w:autoSpaceDE w:val="0"/>
        <w:autoSpaceDN w:val="0"/>
        <w:adjustRightInd w:val="0"/>
        <w:spacing w:before="120" w:after="120"/>
        <w:jc w:val="both"/>
        <w:rPr>
          <w:rFonts w:ascii="Times New Roman" w:eastAsiaTheme="minorHAnsi" w:hAnsi="Times New Roman" w:cs="Times New Roman"/>
          <w:iCs/>
          <w:sz w:val="20"/>
          <w:szCs w:val="20"/>
        </w:rPr>
      </w:pPr>
      <w:r w:rsidRPr="00A1451E">
        <w:rPr>
          <w:rFonts w:ascii="Times New Roman" w:hAnsi="Times New Roman" w:cs="Times New Roman"/>
          <w:sz w:val="20"/>
          <w:szCs w:val="20"/>
        </w:rPr>
        <w:t xml:space="preserve">Based on the few documented studies regarding the usefulness of SGA in assessing the nutritional status we choose to adapt SGA to identify malnutrition among our study population </w:t>
      </w:r>
      <w:r w:rsidRPr="00A1451E">
        <w:rPr>
          <w:rFonts w:ascii="Times New Roman" w:eastAsiaTheme="minorHAnsi" w:hAnsi="Times New Roman" w:cs="Times New Roman"/>
          <w:iCs/>
          <w:sz w:val="20"/>
          <w:szCs w:val="20"/>
        </w:rPr>
        <w:t>and to evaluate the value of SGA as a nutrition assessment tool in this patient group.</w:t>
      </w:r>
    </w:p>
    <w:p w:rsidR="00000055" w:rsidRPr="00A1451E" w:rsidRDefault="00A1451E" w:rsidP="00A1451E">
      <w:pPr>
        <w:autoSpaceDE w:val="0"/>
        <w:autoSpaceDN w:val="0"/>
        <w:adjustRightInd w:val="0"/>
        <w:spacing w:before="120" w:after="120"/>
        <w:jc w:val="both"/>
        <w:rPr>
          <w:rFonts w:ascii="Times New Roman" w:eastAsiaTheme="minorHAnsi" w:hAnsi="Times New Roman" w:cs="Times New Roman"/>
          <w:b/>
          <w:iCs/>
          <w:sz w:val="20"/>
          <w:szCs w:val="20"/>
        </w:rPr>
      </w:pPr>
      <w:r>
        <w:rPr>
          <w:rFonts w:ascii="Times New Roman" w:eastAsiaTheme="minorHAnsi" w:hAnsi="Times New Roman" w:cs="Times New Roman"/>
          <w:b/>
          <w:iCs/>
          <w:sz w:val="20"/>
          <w:szCs w:val="20"/>
        </w:rPr>
        <w:lastRenderedPageBreak/>
        <w:t>Material and Methods</w:t>
      </w:r>
    </w:p>
    <w:p w:rsidR="00000055" w:rsidRPr="00A1451E" w:rsidRDefault="00000055" w:rsidP="00A1451E">
      <w:pPr>
        <w:autoSpaceDE w:val="0"/>
        <w:autoSpaceDN w:val="0"/>
        <w:adjustRightInd w:val="0"/>
        <w:spacing w:before="120" w:after="120"/>
        <w:jc w:val="both"/>
        <w:rPr>
          <w:rFonts w:ascii="Times New Roman" w:eastAsiaTheme="minorHAnsi" w:hAnsi="Times New Roman" w:cs="Times New Roman"/>
          <w:iCs/>
          <w:sz w:val="20"/>
          <w:szCs w:val="20"/>
        </w:rPr>
      </w:pPr>
      <w:r w:rsidRPr="00A1451E">
        <w:rPr>
          <w:rFonts w:ascii="Times New Roman" w:eastAsiaTheme="minorHAnsi" w:hAnsi="Times New Roman" w:cs="Times New Roman"/>
          <w:sz w:val="20"/>
          <w:szCs w:val="20"/>
        </w:rPr>
        <w:t xml:space="preserve">The study included 260 pediatric subjects aged one month to 6 years who were admitted to the pediatric intensive care unit at Sri Ramachandra Hospital from January, 2010 to April, 2011. Weight of each patient was checked using a weighing pan/scale and evaluated using IAP Weight for Age criteria (W/A). Nutrition related history according to SGA protocol was taken from the care takers of each patient by a trained nutritionist. Data from the SGA history was summarized into one of three class groups; A-well nourished, B-moderately malnourished and C-severely malnourished. </w:t>
      </w:r>
      <w:r w:rsidRPr="00A1451E">
        <w:rPr>
          <w:rFonts w:ascii="Times New Roman" w:eastAsiaTheme="minorHAnsi" w:hAnsi="Times New Roman" w:cs="Times New Roman"/>
          <w:iCs/>
          <w:sz w:val="20"/>
          <w:szCs w:val="20"/>
        </w:rPr>
        <w:t xml:space="preserve">The result of the SGA ratings were tested against IAP weight for age (W/A) criteria for protein energy malnutrition using SPSS version 17.1. Sensitivity and Specificity tests were used to analyze the data.  </w:t>
      </w:r>
    </w:p>
    <w:p w:rsidR="00000055" w:rsidRPr="00A1451E" w:rsidRDefault="00000055" w:rsidP="00A1451E">
      <w:pPr>
        <w:autoSpaceDE w:val="0"/>
        <w:autoSpaceDN w:val="0"/>
        <w:adjustRightInd w:val="0"/>
        <w:spacing w:before="120" w:after="120"/>
        <w:jc w:val="both"/>
        <w:rPr>
          <w:rFonts w:ascii="Times New Roman" w:eastAsiaTheme="minorHAnsi" w:hAnsi="Times New Roman" w:cs="Times New Roman"/>
          <w:b/>
          <w:iCs/>
          <w:sz w:val="20"/>
          <w:szCs w:val="20"/>
        </w:rPr>
      </w:pPr>
      <w:r w:rsidRPr="00A1451E">
        <w:rPr>
          <w:rFonts w:ascii="Times New Roman" w:eastAsiaTheme="minorHAnsi" w:hAnsi="Times New Roman" w:cs="Times New Roman"/>
          <w:b/>
          <w:iCs/>
          <w:sz w:val="20"/>
          <w:szCs w:val="20"/>
        </w:rPr>
        <w:t xml:space="preserve">RESULTS </w:t>
      </w:r>
    </w:p>
    <w:p w:rsidR="00000055" w:rsidRPr="00A1451E" w:rsidRDefault="00000055" w:rsidP="00A1451E">
      <w:pPr>
        <w:spacing w:before="120" w:after="120"/>
        <w:jc w:val="both"/>
        <w:rPr>
          <w:rFonts w:ascii="Times New Roman" w:hAnsi="Times New Roman" w:cs="Times New Roman"/>
          <w:color w:val="000000"/>
          <w:sz w:val="20"/>
          <w:szCs w:val="20"/>
        </w:rPr>
      </w:pPr>
      <w:r w:rsidRPr="00A1451E">
        <w:rPr>
          <w:rFonts w:ascii="Times New Roman" w:hAnsi="Times New Roman" w:cs="Times New Roman"/>
          <w:sz w:val="20"/>
          <w:szCs w:val="20"/>
        </w:rPr>
        <w:t xml:space="preserve">Sixty two percent of the study subjects were less than one year of age and 38% were greater than one year of age. The mean age of the subjects was 1.61±1.64 years. Around 58% were boys and 42% were girls. One hundred and sixty eight (65%) of the cases were hospitalized with acute and 92 (35%) with chronic disease. Most of them (35%) were admitted with medical related problems such as failure to thrive, sepsis, acute gastroenteritis, pneumonia, protein energy malnutrition, dengue, malaria, jaundice, etc followed by </w:t>
      </w:r>
      <w:r w:rsidRPr="00A1451E">
        <w:rPr>
          <w:rFonts w:ascii="Times New Roman" w:hAnsi="Times New Roman" w:cs="Times New Roman"/>
          <w:color w:val="000000"/>
          <w:sz w:val="20"/>
          <w:szCs w:val="20"/>
        </w:rPr>
        <w:t xml:space="preserve">respiratory illness (24%) and neurologic related diseases (20%). </w:t>
      </w:r>
    </w:p>
    <w:p w:rsidR="00000055" w:rsidRPr="00A1451E" w:rsidRDefault="00000055" w:rsidP="00A1451E">
      <w:pPr>
        <w:spacing w:before="120" w:after="120"/>
        <w:rPr>
          <w:rFonts w:ascii="Times New Roman" w:hAnsi="Times New Roman" w:cs="Times New Roman"/>
          <w:b/>
          <w:sz w:val="20"/>
          <w:szCs w:val="20"/>
        </w:rPr>
      </w:pPr>
      <w:r w:rsidRPr="00A1451E">
        <w:rPr>
          <w:rFonts w:ascii="Times New Roman" w:hAnsi="Times New Roman" w:cs="Times New Roman"/>
          <w:b/>
          <w:sz w:val="20"/>
          <w:szCs w:val="20"/>
        </w:rPr>
        <w:t>NUTRITIONAL STATUS</w:t>
      </w:r>
    </w:p>
    <w:p w:rsidR="00000055" w:rsidRDefault="00000055" w:rsidP="00A1451E">
      <w:pPr>
        <w:spacing w:before="120" w:after="120"/>
        <w:jc w:val="both"/>
        <w:rPr>
          <w:rFonts w:ascii="Times New Roman" w:hAnsi="Times New Roman" w:cs="Times New Roman"/>
          <w:sz w:val="20"/>
          <w:szCs w:val="20"/>
        </w:rPr>
      </w:pPr>
      <w:r w:rsidRPr="00A1451E">
        <w:rPr>
          <w:rFonts w:ascii="Times New Roman" w:hAnsi="Times New Roman" w:cs="Times New Roman"/>
          <w:sz w:val="20"/>
          <w:szCs w:val="20"/>
        </w:rPr>
        <w:t xml:space="preserve">Nutritional status as determined by SGA is presented in </w:t>
      </w:r>
      <w:r w:rsidR="00A1451E">
        <w:rPr>
          <w:rFonts w:ascii="Times New Roman" w:hAnsi="Times New Roman" w:cs="Times New Roman"/>
          <w:sz w:val="20"/>
          <w:szCs w:val="20"/>
        </w:rPr>
        <w:t>F</w:t>
      </w:r>
      <w:r w:rsidRPr="00A1451E">
        <w:rPr>
          <w:rFonts w:ascii="Times New Roman" w:hAnsi="Times New Roman" w:cs="Times New Roman"/>
          <w:sz w:val="20"/>
          <w:szCs w:val="20"/>
        </w:rPr>
        <w:t xml:space="preserve">igure 1. </w:t>
      </w:r>
    </w:p>
    <w:p w:rsidR="00A1451E" w:rsidRDefault="00A1451E" w:rsidP="00A1451E">
      <w:pPr>
        <w:spacing w:before="120" w:after="120"/>
        <w:jc w:val="both"/>
        <w:rPr>
          <w:rFonts w:ascii="Times New Roman" w:hAnsi="Times New Roman" w:cs="Times New Roman"/>
          <w:sz w:val="20"/>
          <w:szCs w:val="20"/>
        </w:rPr>
        <w:sectPr w:rsidR="00A1451E" w:rsidSect="006D7A3F">
          <w:type w:val="continuous"/>
          <w:pgSz w:w="11906" w:h="16838"/>
          <w:pgMar w:top="1985" w:right="1133" w:bottom="1418" w:left="993" w:header="708" w:footer="708" w:gutter="0"/>
          <w:pgBorders w:offsetFrom="page">
            <w:top w:val="double" w:sz="4" w:space="24" w:color="auto"/>
            <w:left w:val="double" w:sz="4" w:space="24" w:color="auto"/>
            <w:bottom w:val="double" w:sz="4" w:space="24" w:color="auto"/>
            <w:right w:val="double" w:sz="4" w:space="24" w:color="auto"/>
          </w:pgBorders>
          <w:cols w:num="2" w:space="284"/>
          <w:docGrid w:linePitch="360"/>
        </w:sectPr>
      </w:pPr>
    </w:p>
    <w:p w:rsidR="00A1451E" w:rsidRDefault="00A1451E" w:rsidP="00A1451E">
      <w:pPr>
        <w:spacing w:before="120" w:after="120"/>
        <w:jc w:val="both"/>
        <w:rPr>
          <w:rFonts w:ascii="Times New Roman" w:hAnsi="Times New Roman" w:cs="Times New Roman"/>
          <w:sz w:val="20"/>
          <w:szCs w:val="20"/>
        </w:rPr>
      </w:pPr>
    </w:p>
    <w:p w:rsidR="00A1451E" w:rsidRDefault="00A1451E" w:rsidP="00447B5E">
      <w:pPr>
        <w:spacing w:before="120" w:after="120"/>
        <w:jc w:val="center"/>
        <w:rPr>
          <w:rFonts w:ascii="Times New Roman" w:hAnsi="Times New Roman" w:cs="Times New Roman"/>
          <w:sz w:val="20"/>
          <w:szCs w:val="20"/>
        </w:rPr>
      </w:pPr>
      <w:r w:rsidRPr="00A1451E">
        <w:rPr>
          <w:rFonts w:ascii="Times New Roman" w:hAnsi="Times New Roman" w:cs="Times New Roman"/>
          <w:noProof/>
          <w:sz w:val="20"/>
          <w:szCs w:val="20"/>
        </w:rPr>
        <w:drawing>
          <wp:inline distT="0" distB="0" distL="0" distR="0">
            <wp:extent cx="5424218" cy="2734573"/>
            <wp:effectExtent l="19050" t="0" r="24082" b="8627"/>
            <wp:docPr id="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451E" w:rsidRDefault="00A1451E" w:rsidP="00A1451E">
      <w:pPr>
        <w:spacing w:before="120" w:after="120"/>
        <w:jc w:val="both"/>
        <w:rPr>
          <w:rFonts w:ascii="Times New Roman" w:hAnsi="Times New Roman" w:cs="Times New Roman"/>
          <w:sz w:val="20"/>
          <w:szCs w:val="20"/>
        </w:rPr>
        <w:sectPr w:rsidR="00A1451E" w:rsidSect="00A1451E">
          <w:type w:val="continuous"/>
          <w:pgSz w:w="11906" w:h="16838"/>
          <w:pgMar w:top="1985" w:right="1133" w:bottom="1418" w:left="993" w:header="708" w:footer="708" w:gutter="0"/>
          <w:pgBorders w:offsetFrom="page">
            <w:top w:val="double" w:sz="4" w:space="24" w:color="auto"/>
            <w:left w:val="double" w:sz="4" w:space="24" w:color="auto"/>
            <w:bottom w:val="double" w:sz="4" w:space="24" w:color="auto"/>
            <w:right w:val="double" w:sz="4" w:space="24" w:color="auto"/>
          </w:pgBorders>
          <w:cols w:space="284"/>
          <w:docGrid w:linePitch="360"/>
        </w:sectPr>
      </w:pPr>
    </w:p>
    <w:p w:rsidR="00000055" w:rsidRDefault="00000055" w:rsidP="00A1451E">
      <w:pPr>
        <w:spacing w:before="120" w:after="120"/>
        <w:jc w:val="both"/>
        <w:rPr>
          <w:rFonts w:ascii="Times New Roman" w:hAnsi="Times New Roman" w:cs="Times New Roman"/>
          <w:sz w:val="20"/>
          <w:szCs w:val="20"/>
        </w:rPr>
      </w:pPr>
      <w:r w:rsidRPr="00A1451E">
        <w:rPr>
          <w:rFonts w:ascii="Times New Roman" w:hAnsi="Times New Roman" w:cs="Times New Roman"/>
          <w:sz w:val="20"/>
          <w:szCs w:val="20"/>
        </w:rPr>
        <w:lastRenderedPageBreak/>
        <w:t xml:space="preserve">It could be observed from the above figure 1 that 53% of subjects aged 1-6 months were well nourished, 45% of them were moderately malnourished and only two percentage of them were severely malnourished when classified according to SGA. Similar observation was seen in age groups 6-12 months, 1-3 year and 4-6 year wherein a large percentage (60%, 49% and 44%) respectively were well nourished, 26%, 35% and 32% were moderately malnourished  and only a small percentage (14%, 16% and </w:t>
      </w:r>
      <w:r w:rsidRPr="00A1451E">
        <w:rPr>
          <w:rFonts w:ascii="Times New Roman" w:hAnsi="Times New Roman" w:cs="Times New Roman"/>
          <w:sz w:val="20"/>
          <w:szCs w:val="20"/>
        </w:rPr>
        <w:lastRenderedPageBreak/>
        <w:t xml:space="preserve">24%) respectively were severely malnourished. Overall, around 50.4% of our study subjects were well nourished, 34.5% were moderately malnourished and 16.1% were severely malnourished. The results of our study were comparable with observations made in a study done by Secker D.J (2007), wherein a large percentage (49%) of their study population were well nourished, 36% of them were moderately malnourished and only 15% of them were severely malnourished. </w:t>
      </w:r>
    </w:p>
    <w:p w:rsidR="002D51D9" w:rsidRDefault="002D51D9" w:rsidP="00A1451E">
      <w:pPr>
        <w:spacing w:before="120" w:after="120"/>
        <w:jc w:val="both"/>
        <w:rPr>
          <w:rFonts w:ascii="Times New Roman" w:hAnsi="Times New Roman" w:cs="Times New Roman"/>
          <w:sz w:val="20"/>
          <w:szCs w:val="20"/>
        </w:rPr>
        <w:sectPr w:rsidR="002D51D9" w:rsidSect="006D7A3F">
          <w:type w:val="continuous"/>
          <w:pgSz w:w="11906" w:h="16838"/>
          <w:pgMar w:top="1985" w:right="1133" w:bottom="1418" w:left="993" w:header="708" w:footer="708" w:gutter="0"/>
          <w:pgBorders w:offsetFrom="page">
            <w:top w:val="double" w:sz="4" w:space="24" w:color="auto"/>
            <w:left w:val="double" w:sz="4" w:space="24" w:color="auto"/>
            <w:bottom w:val="double" w:sz="4" w:space="24" w:color="auto"/>
            <w:right w:val="double" w:sz="4" w:space="24" w:color="auto"/>
          </w:pgBorders>
          <w:cols w:num="2" w:space="284"/>
          <w:docGrid w:linePitch="360"/>
        </w:sectPr>
      </w:pPr>
    </w:p>
    <w:p w:rsidR="002D51D9" w:rsidRDefault="002D51D9" w:rsidP="00A1451E">
      <w:pPr>
        <w:spacing w:before="120" w:after="120"/>
        <w:jc w:val="both"/>
        <w:rPr>
          <w:rFonts w:ascii="Times New Roman" w:hAnsi="Times New Roman" w:cs="Times New Roman"/>
          <w:sz w:val="20"/>
          <w:szCs w:val="20"/>
        </w:rPr>
      </w:pPr>
    </w:p>
    <w:p w:rsidR="002D51D9" w:rsidRPr="00A1451E" w:rsidRDefault="002D51D9" w:rsidP="002D51D9">
      <w:pPr>
        <w:spacing w:before="120" w:after="120"/>
        <w:jc w:val="center"/>
        <w:rPr>
          <w:rFonts w:ascii="Times New Roman" w:hAnsi="Times New Roman" w:cs="Times New Roman"/>
          <w:sz w:val="20"/>
          <w:szCs w:val="20"/>
        </w:rPr>
      </w:pPr>
      <w:r w:rsidRPr="002D51D9">
        <w:rPr>
          <w:rFonts w:ascii="Times New Roman" w:hAnsi="Times New Roman" w:cs="Times New Roman"/>
          <w:noProof/>
          <w:sz w:val="20"/>
          <w:szCs w:val="20"/>
        </w:rPr>
        <w:drawing>
          <wp:inline distT="0" distB="0" distL="0" distR="0">
            <wp:extent cx="5890045" cy="2501660"/>
            <wp:effectExtent l="19050" t="0" r="15455"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51D9" w:rsidRDefault="002D51D9" w:rsidP="00A1451E">
      <w:pPr>
        <w:spacing w:before="120" w:after="120"/>
        <w:jc w:val="both"/>
        <w:rPr>
          <w:rFonts w:ascii="Times New Roman" w:hAnsi="Times New Roman" w:cs="Times New Roman"/>
          <w:sz w:val="20"/>
          <w:szCs w:val="20"/>
        </w:rPr>
      </w:pPr>
    </w:p>
    <w:p w:rsidR="002D51D9" w:rsidRDefault="002D51D9" w:rsidP="00A1451E">
      <w:pPr>
        <w:spacing w:before="120" w:after="120"/>
        <w:jc w:val="both"/>
        <w:rPr>
          <w:rFonts w:ascii="Times New Roman" w:hAnsi="Times New Roman" w:cs="Times New Roman"/>
          <w:sz w:val="20"/>
          <w:szCs w:val="20"/>
        </w:rPr>
        <w:sectPr w:rsidR="002D51D9" w:rsidSect="002D51D9">
          <w:type w:val="continuous"/>
          <w:pgSz w:w="11906" w:h="16838"/>
          <w:pgMar w:top="1985" w:right="1133" w:bottom="1418" w:left="993" w:header="708" w:footer="708" w:gutter="0"/>
          <w:pgBorders w:offsetFrom="page">
            <w:top w:val="double" w:sz="4" w:space="24" w:color="auto"/>
            <w:left w:val="double" w:sz="4" w:space="24" w:color="auto"/>
            <w:bottom w:val="double" w:sz="4" w:space="24" w:color="auto"/>
            <w:right w:val="double" w:sz="4" w:space="24" w:color="auto"/>
          </w:pgBorders>
          <w:cols w:space="284"/>
          <w:docGrid w:linePitch="360"/>
        </w:sectPr>
      </w:pPr>
    </w:p>
    <w:p w:rsidR="00000055" w:rsidRPr="00A1451E" w:rsidRDefault="00000055" w:rsidP="00A1451E">
      <w:pPr>
        <w:spacing w:before="120" w:after="120"/>
        <w:jc w:val="both"/>
        <w:rPr>
          <w:rFonts w:ascii="Times New Roman" w:hAnsi="Times New Roman" w:cs="Times New Roman"/>
          <w:sz w:val="20"/>
          <w:szCs w:val="20"/>
        </w:rPr>
      </w:pPr>
      <w:r w:rsidRPr="00A1451E">
        <w:rPr>
          <w:rFonts w:ascii="Times New Roman" w:hAnsi="Times New Roman" w:cs="Times New Roman"/>
          <w:sz w:val="20"/>
          <w:szCs w:val="20"/>
        </w:rPr>
        <w:lastRenderedPageBreak/>
        <w:t>In our study, among subjects in all three age groups, 41%, 44% and 64% were found to be normally nourished.  Around 40-60% of subjects in each age group were in any one of the three stages of malnutrition. Most of them had either Grade I or Grade II PEM. However, in children aged 4-6 year 65% were normal and only 35% had malnutrition of which Grade I PEM was predominant.</w:t>
      </w:r>
    </w:p>
    <w:p w:rsidR="00000055" w:rsidRPr="00A1451E" w:rsidRDefault="00000055" w:rsidP="00A1451E">
      <w:pPr>
        <w:autoSpaceDE w:val="0"/>
        <w:autoSpaceDN w:val="0"/>
        <w:adjustRightInd w:val="0"/>
        <w:spacing w:before="120" w:after="120"/>
        <w:jc w:val="both"/>
        <w:rPr>
          <w:rFonts w:ascii="Times New Roman" w:hAnsi="Times New Roman" w:cs="Times New Roman"/>
          <w:sz w:val="20"/>
          <w:szCs w:val="20"/>
        </w:rPr>
      </w:pPr>
      <w:r w:rsidRPr="00A1451E">
        <w:rPr>
          <w:rFonts w:ascii="Times New Roman" w:eastAsia="NewCenturySchlbkTR-Roman" w:hAnsi="Times New Roman" w:cs="Times New Roman"/>
          <w:sz w:val="20"/>
          <w:szCs w:val="20"/>
        </w:rPr>
        <w:t>Ferreira (2002), when evaluating weight for age of the patients, reported that 71.2% suffered from malnutrition at the moment of their hospitalization. A research done in Mexico purports that in 72.2% of 450 hospitalized patients, a varying degree of malnutri</w:t>
      </w:r>
      <w:r w:rsidR="002A2CB9">
        <w:rPr>
          <w:rFonts w:ascii="Times New Roman" w:eastAsia="NewCenturySchlbkTR-Roman" w:hAnsi="Times New Roman" w:cs="Times New Roman"/>
          <w:sz w:val="20"/>
          <w:szCs w:val="20"/>
        </w:rPr>
        <w:t>tion was found (6</w:t>
      </w:r>
      <w:r w:rsidRPr="00A1451E">
        <w:rPr>
          <w:rFonts w:ascii="Times New Roman" w:eastAsia="NewCenturySchlbkTR-Roman" w:hAnsi="Times New Roman" w:cs="Times New Roman"/>
          <w:sz w:val="20"/>
          <w:szCs w:val="20"/>
        </w:rPr>
        <w:t>). According to two studies done in different areas of Turkey, malnutrition rates varied between 55.1-5</w:t>
      </w:r>
      <w:r w:rsidR="002A2CB9">
        <w:rPr>
          <w:rFonts w:ascii="Times New Roman" w:eastAsia="NewCenturySchlbkTR-Roman" w:hAnsi="Times New Roman" w:cs="Times New Roman"/>
          <w:sz w:val="20"/>
          <w:szCs w:val="20"/>
        </w:rPr>
        <w:t>6.6% (</w:t>
      </w:r>
      <w:r w:rsidRPr="00A1451E">
        <w:rPr>
          <w:rFonts w:ascii="Times New Roman" w:eastAsia="NewCenturySchlbkTR-Roman" w:hAnsi="Times New Roman" w:cs="Times New Roman"/>
          <w:sz w:val="20"/>
          <w:szCs w:val="20"/>
        </w:rPr>
        <w:t>7</w:t>
      </w:r>
      <w:r w:rsidR="002A2CB9">
        <w:rPr>
          <w:rFonts w:ascii="Times New Roman" w:eastAsia="NewCenturySchlbkTR-Roman" w:hAnsi="Times New Roman" w:cs="Times New Roman"/>
          <w:sz w:val="20"/>
          <w:szCs w:val="20"/>
        </w:rPr>
        <w:t>,8</w:t>
      </w:r>
      <w:r w:rsidRPr="00A1451E">
        <w:rPr>
          <w:rFonts w:ascii="Times New Roman" w:eastAsia="NewCenturySchlbkTR-Roman" w:hAnsi="Times New Roman" w:cs="Times New Roman"/>
          <w:sz w:val="20"/>
          <w:szCs w:val="20"/>
        </w:rPr>
        <w:t xml:space="preserve">). </w:t>
      </w:r>
      <w:r w:rsidRPr="00A1451E">
        <w:rPr>
          <w:rFonts w:ascii="Times New Roman" w:hAnsi="Times New Roman" w:cs="Times New Roman"/>
          <w:sz w:val="20"/>
          <w:szCs w:val="20"/>
        </w:rPr>
        <w:t xml:space="preserve">However, overall in our study population, 49.2% according to IAP criteria were underweight. These malnutrition rates are comparatively lesser to studies done among hospitalized children in different countries as mentioned above. Acute malnutrition prevalent in our study population is worth attention. </w:t>
      </w:r>
    </w:p>
    <w:p w:rsidR="00000055" w:rsidRDefault="00000055" w:rsidP="00A1451E">
      <w:pPr>
        <w:autoSpaceDE w:val="0"/>
        <w:autoSpaceDN w:val="0"/>
        <w:adjustRightInd w:val="0"/>
        <w:spacing w:before="120" w:after="120"/>
        <w:jc w:val="both"/>
        <w:rPr>
          <w:rFonts w:ascii="Times New Roman" w:hAnsi="Times New Roman" w:cs="Times New Roman"/>
          <w:sz w:val="20"/>
          <w:szCs w:val="20"/>
        </w:rPr>
      </w:pPr>
      <w:r w:rsidRPr="00A1451E">
        <w:rPr>
          <w:rFonts w:ascii="Times New Roman" w:hAnsi="Times New Roman" w:cs="Times New Roman"/>
          <w:sz w:val="20"/>
          <w:szCs w:val="20"/>
        </w:rPr>
        <w:lastRenderedPageBreak/>
        <w:t xml:space="preserve">Sensitivity and Specificity of SGA </w:t>
      </w:r>
      <w:r w:rsidRPr="00A1451E">
        <w:rPr>
          <w:rFonts w:ascii="Times New Roman" w:hAnsi="Times New Roman" w:cs="Times New Roman"/>
          <w:color w:val="000000"/>
          <w:sz w:val="20"/>
          <w:szCs w:val="20"/>
        </w:rPr>
        <w:t>against IAP weight for age (W/A) criteria used for assessing malnutrition</w:t>
      </w:r>
      <w:r w:rsidRPr="00A1451E">
        <w:rPr>
          <w:rFonts w:ascii="Times New Roman" w:hAnsi="Times New Roman" w:cs="Times New Roman"/>
          <w:sz w:val="20"/>
          <w:szCs w:val="20"/>
        </w:rPr>
        <w:t xml:space="preserve"> in our study subjects is as presented in the following table 1.</w:t>
      </w:r>
    </w:p>
    <w:p w:rsidR="00E05DC3" w:rsidRPr="00E05DC3" w:rsidRDefault="00E05DC3" w:rsidP="00E05DC3">
      <w:pPr>
        <w:spacing w:after="0" w:line="240" w:lineRule="auto"/>
        <w:rPr>
          <w:rFonts w:ascii="Times New Roman" w:hAnsi="Times New Roman" w:cs="Times New Roman"/>
          <w:b/>
          <w:color w:val="000000"/>
          <w:sz w:val="20"/>
          <w:szCs w:val="20"/>
        </w:rPr>
      </w:pPr>
      <w:r w:rsidRPr="00E05DC3">
        <w:rPr>
          <w:rFonts w:ascii="Times New Roman" w:hAnsi="Times New Roman" w:cs="Times New Roman"/>
          <w:b/>
          <w:sz w:val="20"/>
          <w:szCs w:val="20"/>
        </w:rPr>
        <w:t xml:space="preserve">Table 1: Classification according to SGA vs </w:t>
      </w:r>
      <w:r w:rsidRPr="00E05DC3">
        <w:rPr>
          <w:rFonts w:ascii="Times New Roman" w:hAnsi="Times New Roman" w:cs="Times New Roman"/>
          <w:b/>
          <w:color w:val="000000"/>
          <w:sz w:val="20"/>
          <w:szCs w:val="20"/>
        </w:rPr>
        <w:t xml:space="preserve">IAP </w:t>
      </w:r>
    </w:p>
    <w:p w:rsidR="00E05DC3" w:rsidRPr="00545680" w:rsidRDefault="00E05DC3" w:rsidP="00E05DC3">
      <w:pPr>
        <w:spacing w:after="0" w:line="240" w:lineRule="auto"/>
        <w:jc w:val="center"/>
        <w:rPr>
          <w:rFonts w:ascii="Arial" w:hAnsi="Arial" w:cs="Arial"/>
        </w:rPr>
      </w:pPr>
    </w:p>
    <w:tbl>
      <w:tblPr>
        <w:tblStyle w:val="AkListe-Vurgu11"/>
        <w:tblW w:w="4962" w:type="dxa"/>
        <w:tblInd w:w="108" w:type="dxa"/>
        <w:tblLook w:val="04A0"/>
      </w:tblPr>
      <w:tblGrid>
        <w:gridCol w:w="800"/>
        <w:gridCol w:w="1752"/>
        <w:gridCol w:w="850"/>
        <w:gridCol w:w="1560"/>
      </w:tblGrid>
      <w:tr w:rsidR="00E05DC3" w:rsidRPr="00545680" w:rsidTr="00C42537">
        <w:trPr>
          <w:cnfStyle w:val="100000000000"/>
        </w:trPr>
        <w:tc>
          <w:tcPr>
            <w:cnfStyle w:val="001000000000"/>
            <w:tcW w:w="800" w:type="dxa"/>
            <w:vMerge w:val="restart"/>
          </w:tcPr>
          <w:p w:rsidR="00E05DC3" w:rsidRPr="00C42537" w:rsidRDefault="00E05DC3" w:rsidP="00C42537">
            <w:pPr>
              <w:spacing w:line="276" w:lineRule="auto"/>
              <w:rPr>
                <w:rFonts w:ascii="Times New Roman" w:hAnsi="Times New Roman" w:cs="Times New Roman"/>
                <w:sz w:val="20"/>
                <w:szCs w:val="20"/>
              </w:rPr>
            </w:pPr>
          </w:p>
          <w:p w:rsidR="00C42537" w:rsidRPr="00C42537" w:rsidRDefault="00C42537" w:rsidP="00C42537">
            <w:pPr>
              <w:spacing w:line="276" w:lineRule="auto"/>
              <w:jc w:val="center"/>
              <w:rPr>
                <w:rFonts w:ascii="Times New Roman" w:hAnsi="Times New Roman" w:cs="Times New Roman"/>
                <w:sz w:val="20"/>
                <w:szCs w:val="20"/>
              </w:rPr>
            </w:pPr>
          </w:p>
          <w:p w:rsidR="00C42537" w:rsidRPr="00C42537" w:rsidRDefault="00C42537" w:rsidP="00C42537">
            <w:pPr>
              <w:spacing w:line="276" w:lineRule="auto"/>
              <w:jc w:val="center"/>
              <w:rPr>
                <w:rFonts w:ascii="Times New Roman" w:hAnsi="Times New Roman" w:cs="Times New Roman"/>
                <w:sz w:val="20"/>
                <w:szCs w:val="20"/>
              </w:rPr>
            </w:pPr>
          </w:p>
          <w:p w:rsidR="00E05DC3" w:rsidRPr="00C42537" w:rsidRDefault="00E05DC3" w:rsidP="00C42537">
            <w:pPr>
              <w:spacing w:line="276" w:lineRule="auto"/>
              <w:jc w:val="center"/>
              <w:rPr>
                <w:rFonts w:ascii="Times New Roman" w:hAnsi="Times New Roman" w:cs="Times New Roman"/>
                <w:sz w:val="20"/>
                <w:szCs w:val="20"/>
              </w:rPr>
            </w:pPr>
            <w:r w:rsidRPr="00C42537">
              <w:rPr>
                <w:rFonts w:ascii="Times New Roman" w:hAnsi="Times New Roman" w:cs="Times New Roman"/>
                <w:sz w:val="20"/>
                <w:szCs w:val="20"/>
              </w:rPr>
              <w:t>SGA</w:t>
            </w:r>
          </w:p>
        </w:tc>
        <w:tc>
          <w:tcPr>
            <w:tcW w:w="4162" w:type="dxa"/>
            <w:gridSpan w:val="3"/>
          </w:tcPr>
          <w:p w:rsidR="00E05DC3" w:rsidRPr="00C42537" w:rsidRDefault="00E05DC3" w:rsidP="00C42537">
            <w:pPr>
              <w:spacing w:line="276" w:lineRule="auto"/>
              <w:jc w:val="center"/>
              <w:cnfStyle w:val="100000000000"/>
              <w:rPr>
                <w:rFonts w:ascii="Times New Roman" w:hAnsi="Times New Roman" w:cs="Times New Roman"/>
                <w:b w:val="0"/>
                <w:sz w:val="20"/>
                <w:szCs w:val="20"/>
              </w:rPr>
            </w:pPr>
            <w:r w:rsidRPr="00C42537">
              <w:rPr>
                <w:rFonts w:ascii="Times New Roman" w:hAnsi="Times New Roman" w:cs="Times New Roman"/>
                <w:sz w:val="20"/>
                <w:szCs w:val="20"/>
              </w:rPr>
              <w:t>IAP</w:t>
            </w:r>
          </w:p>
        </w:tc>
      </w:tr>
      <w:tr w:rsidR="00E05DC3" w:rsidRPr="00545680" w:rsidTr="00C42537">
        <w:trPr>
          <w:cnfStyle w:val="000000100000"/>
        </w:trPr>
        <w:tc>
          <w:tcPr>
            <w:cnfStyle w:val="001000000000"/>
            <w:tcW w:w="800" w:type="dxa"/>
            <w:vMerge/>
          </w:tcPr>
          <w:p w:rsidR="00E05DC3" w:rsidRPr="00C42537" w:rsidRDefault="00E05DC3" w:rsidP="00C42537">
            <w:pPr>
              <w:spacing w:line="276" w:lineRule="auto"/>
              <w:jc w:val="center"/>
              <w:rPr>
                <w:rFonts w:ascii="Times New Roman" w:hAnsi="Times New Roman" w:cs="Times New Roman"/>
                <w:b w:val="0"/>
                <w:sz w:val="20"/>
                <w:szCs w:val="20"/>
              </w:rPr>
            </w:pPr>
          </w:p>
        </w:tc>
        <w:tc>
          <w:tcPr>
            <w:tcW w:w="2602" w:type="dxa"/>
            <w:gridSpan w:val="2"/>
          </w:tcPr>
          <w:p w:rsidR="00E05DC3" w:rsidRPr="00C42537" w:rsidRDefault="00C42537" w:rsidP="00C42537">
            <w:pPr>
              <w:spacing w:line="276" w:lineRule="auto"/>
              <w:jc w:val="center"/>
              <w:cnfStyle w:val="000000100000"/>
              <w:rPr>
                <w:rFonts w:ascii="Times New Roman" w:hAnsi="Times New Roman" w:cs="Times New Roman"/>
                <w:sz w:val="20"/>
                <w:szCs w:val="20"/>
              </w:rPr>
            </w:pPr>
            <w:r w:rsidRPr="00C42537">
              <w:rPr>
                <w:rFonts w:ascii="Times New Roman" w:hAnsi="Times New Roman" w:cs="Times New Roman"/>
                <w:b/>
                <w:sz w:val="20"/>
                <w:szCs w:val="20"/>
              </w:rPr>
              <w:t xml:space="preserve">                        </w:t>
            </w:r>
            <w:r w:rsidR="00E05DC3" w:rsidRPr="00C42537">
              <w:rPr>
                <w:rFonts w:ascii="Times New Roman" w:hAnsi="Times New Roman" w:cs="Times New Roman"/>
                <w:b/>
                <w:sz w:val="20"/>
                <w:szCs w:val="20"/>
              </w:rPr>
              <w:t>Malnourished</w:t>
            </w:r>
          </w:p>
        </w:tc>
        <w:tc>
          <w:tcPr>
            <w:tcW w:w="1560" w:type="dxa"/>
          </w:tcPr>
          <w:p w:rsidR="00C42537" w:rsidRDefault="00C42537" w:rsidP="00C42537">
            <w:pPr>
              <w:spacing w:line="276" w:lineRule="auto"/>
              <w:jc w:val="center"/>
              <w:cnfStyle w:val="000000100000"/>
              <w:rPr>
                <w:rFonts w:ascii="Times New Roman" w:hAnsi="Times New Roman" w:cs="Times New Roman"/>
                <w:b/>
                <w:sz w:val="20"/>
                <w:szCs w:val="20"/>
              </w:rPr>
            </w:pPr>
          </w:p>
          <w:p w:rsidR="00E05DC3" w:rsidRPr="00C42537" w:rsidRDefault="00E05DC3" w:rsidP="00C42537">
            <w:pPr>
              <w:spacing w:line="276" w:lineRule="auto"/>
              <w:jc w:val="center"/>
              <w:cnfStyle w:val="000000100000"/>
              <w:rPr>
                <w:rFonts w:ascii="Times New Roman" w:hAnsi="Times New Roman" w:cs="Times New Roman"/>
                <w:b/>
                <w:sz w:val="20"/>
                <w:szCs w:val="20"/>
              </w:rPr>
            </w:pPr>
            <w:r w:rsidRPr="00C42537">
              <w:rPr>
                <w:rFonts w:ascii="Times New Roman" w:hAnsi="Times New Roman" w:cs="Times New Roman"/>
                <w:b/>
                <w:sz w:val="20"/>
                <w:szCs w:val="20"/>
              </w:rPr>
              <w:t>Well nourished</w:t>
            </w:r>
          </w:p>
        </w:tc>
      </w:tr>
      <w:tr w:rsidR="00E05DC3" w:rsidRPr="00545680" w:rsidTr="00C42537">
        <w:tc>
          <w:tcPr>
            <w:cnfStyle w:val="001000000000"/>
            <w:tcW w:w="800" w:type="dxa"/>
            <w:vMerge/>
          </w:tcPr>
          <w:p w:rsidR="00E05DC3" w:rsidRPr="00C42537" w:rsidRDefault="00E05DC3" w:rsidP="00C42537">
            <w:pPr>
              <w:spacing w:line="276" w:lineRule="auto"/>
              <w:rPr>
                <w:rFonts w:ascii="Times New Roman" w:hAnsi="Times New Roman" w:cs="Times New Roman"/>
                <w:b w:val="0"/>
                <w:sz w:val="20"/>
                <w:szCs w:val="20"/>
              </w:rPr>
            </w:pPr>
          </w:p>
        </w:tc>
        <w:tc>
          <w:tcPr>
            <w:tcW w:w="1752" w:type="dxa"/>
          </w:tcPr>
          <w:p w:rsidR="00E05DC3" w:rsidRPr="00C42537" w:rsidRDefault="00E05DC3" w:rsidP="00C42537">
            <w:pPr>
              <w:spacing w:line="276" w:lineRule="auto"/>
              <w:cnfStyle w:val="000000000000"/>
              <w:rPr>
                <w:rFonts w:ascii="Times New Roman" w:hAnsi="Times New Roman" w:cs="Times New Roman"/>
                <w:b/>
                <w:sz w:val="20"/>
                <w:szCs w:val="20"/>
              </w:rPr>
            </w:pPr>
            <w:r w:rsidRPr="00C42537">
              <w:rPr>
                <w:rFonts w:ascii="Times New Roman" w:hAnsi="Times New Roman" w:cs="Times New Roman"/>
                <w:b/>
                <w:sz w:val="20"/>
                <w:szCs w:val="20"/>
              </w:rPr>
              <w:t>Malnourished</w:t>
            </w:r>
          </w:p>
        </w:tc>
        <w:tc>
          <w:tcPr>
            <w:tcW w:w="850" w:type="dxa"/>
          </w:tcPr>
          <w:p w:rsidR="00E05DC3" w:rsidRPr="00C42537" w:rsidRDefault="00E05DC3" w:rsidP="00C42537">
            <w:pPr>
              <w:spacing w:line="276" w:lineRule="auto"/>
              <w:jc w:val="center"/>
              <w:cnfStyle w:val="000000000000"/>
              <w:rPr>
                <w:rFonts w:ascii="Times New Roman" w:hAnsi="Times New Roman" w:cs="Times New Roman"/>
                <w:sz w:val="20"/>
                <w:szCs w:val="20"/>
              </w:rPr>
            </w:pPr>
            <w:r w:rsidRPr="00C42537">
              <w:rPr>
                <w:rFonts w:ascii="Times New Roman" w:hAnsi="Times New Roman" w:cs="Times New Roman"/>
                <w:sz w:val="20"/>
                <w:szCs w:val="20"/>
              </w:rPr>
              <w:t>111</w:t>
            </w:r>
          </w:p>
        </w:tc>
        <w:tc>
          <w:tcPr>
            <w:tcW w:w="1560" w:type="dxa"/>
          </w:tcPr>
          <w:p w:rsidR="00E05DC3" w:rsidRPr="00C42537" w:rsidRDefault="00E05DC3" w:rsidP="00C42537">
            <w:pPr>
              <w:spacing w:line="276" w:lineRule="auto"/>
              <w:jc w:val="center"/>
              <w:cnfStyle w:val="000000000000"/>
              <w:rPr>
                <w:rFonts w:ascii="Times New Roman" w:hAnsi="Times New Roman" w:cs="Times New Roman"/>
                <w:sz w:val="20"/>
                <w:szCs w:val="20"/>
              </w:rPr>
            </w:pPr>
            <w:r w:rsidRPr="00C42537">
              <w:rPr>
                <w:rFonts w:ascii="Times New Roman" w:hAnsi="Times New Roman" w:cs="Times New Roman"/>
                <w:sz w:val="20"/>
                <w:szCs w:val="20"/>
              </w:rPr>
              <w:t>18</w:t>
            </w:r>
          </w:p>
        </w:tc>
      </w:tr>
      <w:tr w:rsidR="00E05DC3" w:rsidRPr="00545680" w:rsidTr="00C42537">
        <w:trPr>
          <w:cnfStyle w:val="000000100000"/>
        </w:trPr>
        <w:tc>
          <w:tcPr>
            <w:cnfStyle w:val="001000000000"/>
            <w:tcW w:w="800" w:type="dxa"/>
            <w:vMerge/>
          </w:tcPr>
          <w:p w:rsidR="00E05DC3" w:rsidRPr="00C42537" w:rsidRDefault="00E05DC3" w:rsidP="00C42537">
            <w:pPr>
              <w:spacing w:line="276" w:lineRule="auto"/>
              <w:rPr>
                <w:rFonts w:ascii="Times New Roman" w:hAnsi="Times New Roman" w:cs="Times New Roman"/>
                <w:b w:val="0"/>
                <w:sz w:val="20"/>
                <w:szCs w:val="20"/>
              </w:rPr>
            </w:pPr>
          </w:p>
        </w:tc>
        <w:tc>
          <w:tcPr>
            <w:tcW w:w="1752" w:type="dxa"/>
          </w:tcPr>
          <w:p w:rsidR="00E05DC3" w:rsidRPr="00C42537" w:rsidRDefault="00E05DC3" w:rsidP="00C42537">
            <w:pPr>
              <w:spacing w:line="276" w:lineRule="auto"/>
              <w:cnfStyle w:val="000000100000"/>
              <w:rPr>
                <w:rFonts w:ascii="Times New Roman" w:hAnsi="Times New Roman" w:cs="Times New Roman"/>
                <w:b/>
                <w:sz w:val="20"/>
                <w:szCs w:val="20"/>
              </w:rPr>
            </w:pPr>
            <w:r w:rsidRPr="00C42537">
              <w:rPr>
                <w:rFonts w:ascii="Times New Roman" w:hAnsi="Times New Roman" w:cs="Times New Roman"/>
                <w:b/>
                <w:sz w:val="20"/>
                <w:szCs w:val="20"/>
              </w:rPr>
              <w:t>Well nourished</w:t>
            </w:r>
          </w:p>
        </w:tc>
        <w:tc>
          <w:tcPr>
            <w:tcW w:w="850" w:type="dxa"/>
          </w:tcPr>
          <w:p w:rsidR="00E05DC3" w:rsidRPr="00C42537" w:rsidRDefault="00E05DC3" w:rsidP="00C42537">
            <w:pPr>
              <w:spacing w:line="276" w:lineRule="auto"/>
              <w:jc w:val="center"/>
              <w:cnfStyle w:val="000000100000"/>
              <w:rPr>
                <w:rFonts w:ascii="Times New Roman" w:hAnsi="Times New Roman" w:cs="Times New Roman"/>
                <w:sz w:val="20"/>
                <w:szCs w:val="20"/>
              </w:rPr>
            </w:pPr>
            <w:r w:rsidRPr="00C42537">
              <w:rPr>
                <w:rFonts w:ascii="Times New Roman" w:hAnsi="Times New Roman" w:cs="Times New Roman"/>
                <w:sz w:val="20"/>
                <w:szCs w:val="20"/>
              </w:rPr>
              <w:t>17</w:t>
            </w:r>
          </w:p>
        </w:tc>
        <w:tc>
          <w:tcPr>
            <w:tcW w:w="1560" w:type="dxa"/>
          </w:tcPr>
          <w:p w:rsidR="00E05DC3" w:rsidRPr="00C42537" w:rsidRDefault="00E05DC3" w:rsidP="00C42537">
            <w:pPr>
              <w:spacing w:line="276" w:lineRule="auto"/>
              <w:jc w:val="center"/>
              <w:cnfStyle w:val="000000100000"/>
              <w:rPr>
                <w:rFonts w:ascii="Times New Roman" w:hAnsi="Times New Roman" w:cs="Times New Roman"/>
                <w:sz w:val="20"/>
                <w:szCs w:val="20"/>
              </w:rPr>
            </w:pPr>
            <w:r w:rsidRPr="00C42537">
              <w:rPr>
                <w:rFonts w:ascii="Times New Roman" w:hAnsi="Times New Roman" w:cs="Times New Roman"/>
                <w:sz w:val="20"/>
                <w:szCs w:val="20"/>
              </w:rPr>
              <w:t>114</w:t>
            </w:r>
          </w:p>
        </w:tc>
      </w:tr>
      <w:tr w:rsidR="00E05DC3" w:rsidRPr="00545680" w:rsidTr="00C42537">
        <w:trPr>
          <w:trHeight w:val="242"/>
        </w:trPr>
        <w:tc>
          <w:tcPr>
            <w:cnfStyle w:val="001000000000"/>
            <w:tcW w:w="2552" w:type="dxa"/>
            <w:gridSpan w:val="2"/>
          </w:tcPr>
          <w:p w:rsidR="00E05DC3" w:rsidRPr="00C42537" w:rsidRDefault="00E05DC3" w:rsidP="00C42537">
            <w:pPr>
              <w:spacing w:line="276" w:lineRule="auto"/>
              <w:rPr>
                <w:rFonts w:ascii="Times New Roman" w:hAnsi="Times New Roman" w:cs="Times New Roman"/>
                <w:b w:val="0"/>
                <w:sz w:val="20"/>
                <w:szCs w:val="20"/>
              </w:rPr>
            </w:pPr>
          </w:p>
        </w:tc>
        <w:tc>
          <w:tcPr>
            <w:tcW w:w="2410" w:type="dxa"/>
            <w:gridSpan w:val="2"/>
          </w:tcPr>
          <w:p w:rsidR="00E05DC3" w:rsidRPr="00C42537" w:rsidRDefault="00E05DC3" w:rsidP="00C42537">
            <w:pPr>
              <w:spacing w:line="276" w:lineRule="auto"/>
              <w:jc w:val="center"/>
              <w:cnfStyle w:val="000000000000"/>
              <w:rPr>
                <w:rFonts w:ascii="Times New Roman" w:hAnsi="Times New Roman" w:cs="Times New Roman"/>
                <w:sz w:val="20"/>
                <w:szCs w:val="20"/>
              </w:rPr>
            </w:pPr>
          </w:p>
        </w:tc>
      </w:tr>
      <w:tr w:rsidR="00C42537" w:rsidRPr="00545680" w:rsidTr="00C42537">
        <w:trPr>
          <w:cnfStyle w:val="000000100000"/>
        </w:trPr>
        <w:tc>
          <w:tcPr>
            <w:cnfStyle w:val="001000000000"/>
            <w:tcW w:w="2552" w:type="dxa"/>
            <w:gridSpan w:val="2"/>
          </w:tcPr>
          <w:p w:rsidR="00C42537" w:rsidRPr="00C42537" w:rsidRDefault="00C42537" w:rsidP="00C42537">
            <w:pPr>
              <w:spacing w:line="276" w:lineRule="auto"/>
              <w:rPr>
                <w:rFonts w:ascii="Times New Roman" w:hAnsi="Times New Roman" w:cs="Times New Roman"/>
                <w:b w:val="0"/>
                <w:sz w:val="20"/>
                <w:szCs w:val="20"/>
              </w:rPr>
            </w:pPr>
            <w:r w:rsidRPr="00C42537">
              <w:rPr>
                <w:rFonts w:ascii="Times New Roman" w:hAnsi="Times New Roman" w:cs="Times New Roman"/>
                <w:sz w:val="20"/>
                <w:szCs w:val="20"/>
              </w:rPr>
              <w:t>Sensitivity</w:t>
            </w:r>
          </w:p>
        </w:tc>
        <w:tc>
          <w:tcPr>
            <w:tcW w:w="2410" w:type="dxa"/>
            <w:gridSpan w:val="2"/>
          </w:tcPr>
          <w:p w:rsidR="00C42537" w:rsidRPr="00C42537" w:rsidRDefault="00C42537" w:rsidP="00C42537">
            <w:pPr>
              <w:spacing w:line="276" w:lineRule="auto"/>
              <w:jc w:val="center"/>
              <w:cnfStyle w:val="000000100000"/>
              <w:rPr>
                <w:rFonts w:ascii="Times New Roman" w:hAnsi="Times New Roman" w:cs="Times New Roman"/>
                <w:sz w:val="20"/>
                <w:szCs w:val="20"/>
              </w:rPr>
            </w:pPr>
            <w:r w:rsidRPr="00C42537">
              <w:rPr>
                <w:rFonts w:ascii="Times New Roman" w:hAnsi="Times New Roman" w:cs="Times New Roman"/>
                <w:sz w:val="20"/>
                <w:szCs w:val="20"/>
              </w:rPr>
              <w:t>86.71%</w:t>
            </w:r>
          </w:p>
        </w:tc>
      </w:tr>
      <w:tr w:rsidR="00E05DC3" w:rsidRPr="00545680" w:rsidTr="00C42537">
        <w:tc>
          <w:tcPr>
            <w:cnfStyle w:val="001000000000"/>
            <w:tcW w:w="2552" w:type="dxa"/>
            <w:gridSpan w:val="2"/>
          </w:tcPr>
          <w:p w:rsidR="00E05DC3" w:rsidRPr="00C42537" w:rsidRDefault="00E05DC3" w:rsidP="00C42537">
            <w:pPr>
              <w:spacing w:line="276" w:lineRule="auto"/>
              <w:rPr>
                <w:rFonts w:ascii="Times New Roman" w:hAnsi="Times New Roman" w:cs="Times New Roman"/>
                <w:b w:val="0"/>
                <w:sz w:val="20"/>
                <w:szCs w:val="20"/>
              </w:rPr>
            </w:pPr>
            <w:r w:rsidRPr="00C42537">
              <w:rPr>
                <w:rFonts w:ascii="Times New Roman" w:hAnsi="Times New Roman" w:cs="Times New Roman"/>
                <w:sz w:val="20"/>
                <w:szCs w:val="20"/>
              </w:rPr>
              <w:t>Specificity</w:t>
            </w:r>
          </w:p>
        </w:tc>
        <w:tc>
          <w:tcPr>
            <w:tcW w:w="2410" w:type="dxa"/>
            <w:gridSpan w:val="2"/>
          </w:tcPr>
          <w:p w:rsidR="00E05DC3" w:rsidRPr="00C42537" w:rsidRDefault="00E05DC3" w:rsidP="00C42537">
            <w:pPr>
              <w:spacing w:line="276" w:lineRule="auto"/>
              <w:jc w:val="center"/>
              <w:cnfStyle w:val="000000000000"/>
              <w:rPr>
                <w:rFonts w:ascii="Times New Roman" w:hAnsi="Times New Roman" w:cs="Times New Roman"/>
                <w:sz w:val="20"/>
                <w:szCs w:val="20"/>
              </w:rPr>
            </w:pPr>
            <w:r w:rsidRPr="00C42537">
              <w:rPr>
                <w:rFonts w:ascii="Times New Roman" w:hAnsi="Times New Roman" w:cs="Times New Roman"/>
                <w:sz w:val="20"/>
                <w:szCs w:val="20"/>
              </w:rPr>
              <w:t>86.36%</w:t>
            </w:r>
          </w:p>
        </w:tc>
      </w:tr>
      <w:tr w:rsidR="00E05DC3" w:rsidRPr="00545680" w:rsidTr="00C42537">
        <w:trPr>
          <w:cnfStyle w:val="000000100000"/>
        </w:trPr>
        <w:tc>
          <w:tcPr>
            <w:cnfStyle w:val="001000000000"/>
            <w:tcW w:w="2552" w:type="dxa"/>
            <w:gridSpan w:val="2"/>
          </w:tcPr>
          <w:p w:rsidR="00E05DC3" w:rsidRPr="00C42537" w:rsidRDefault="00E05DC3" w:rsidP="00C42537">
            <w:pPr>
              <w:spacing w:line="276" w:lineRule="auto"/>
              <w:rPr>
                <w:rFonts w:ascii="Times New Roman" w:hAnsi="Times New Roman" w:cs="Times New Roman"/>
                <w:b w:val="0"/>
                <w:sz w:val="20"/>
                <w:szCs w:val="20"/>
              </w:rPr>
            </w:pPr>
            <w:r w:rsidRPr="00C42537">
              <w:rPr>
                <w:rFonts w:ascii="Times New Roman" w:hAnsi="Times New Roman" w:cs="Times New Roman"/>
                <w:sz w:val="20"/>
                <w:szCs w:val="20"/>
              </w:rPr>
              <w:t>Positive Predictive Value</w:t>
            </w:r>
          </w:p>
        </w:tc>
        <w:tc>
          <w:tcPr>
            <w:tcW w:w="2410" w:type="dxa"/>
            <w:gridSpan w:val="2"/>
          </w:tcPr>
          <w:p w:rsidR="00E05DC3" w:rsidRPr="00C42537" w:rsidRDefault="00E05DC3" w:rsidP="00C42537">
            <w:pPr>
              <w:spacing w:line="276" w:lineRule="auto"/>
              <w:jc w:val="center"/>
              <w:cnfStyle w:val="000000100000"/>
              <w:rPr>
                <w:rFonts w:ascii="Times New Roman" w:hAnsi="Times New Roman" w:cs="Times New Roman"/>
                <w:sz w:val="20"/>
                <w:szCs w:val="20"/>
              </w:rPr>
            </w:pPr>
            <w:r w:rsidRPr="00C42537">
              <w:rPr>
                <w:rFonts w:ascii="Times New Roman" w:hAnsi="Times New Roman" w:cs="Times New Roman"/>
                <w:sz w:val="20"/>
                <w:szCs w:val="20"/>
              </w:rPr>
              <w:t>86.05%</w:t>
            </w:r>
          </w:p>
        </w:tc>
      </w:tr>
      <w:tr w:rsidR="00E05DC3" w:rsidRPr="00545680" w:rsidTr="00C42537">
        <w:tc>
          <w:tcPr>
            <w:cnfStyle w:val="001000000000"/>
            <w:tcW w:w="2552" w:type="dxa"/>
            <w:gridSpan w:val="2"/>
          </w:tcPr>
          <w:p w:rsidR="00E05DC3" w:rsidRPr="00C42537" w:rsidRDefault="00E05DC3" w:rsidP="00C42537">
            <w:pPr>
              <w:spacing w:line="276" w:lineRule="auto"/>
              <w:rPr>
                <w:rFonts w:ascii="Times New Roman" w:hAnsi="Times New Roman" w:cs="Times New Roman"/>
                <w:b w:val="0"/>
                <w:sz w:val="20"/>
                <w:szCs w:val="20"/>
              </w:rPr>
            </w:pPr>
            <w:r w:rsidRPr="00C42537">
              <w:rPr>
                <w:rFonts w:ascii="Times New Roman" w:hAnsi="Times New Roman" w:cs="Times New Roman"/>
                <w:sz w:val="20"/>
                <w:szCs w:val="20"/>
              </w:rPr>
              <w:t>Negative Predictive Value</w:t>
            </w:r>
          </w:p>
        </w:tc>
        <w:tc>
          <w:tcPr>
            <w:tcW w:w="2410" w:type="dxa"/>
            <w:gridSpan w:val="2"/>
          </w:tcPr>
          <w:p w:rsidR="00E05DC3" w:rsidRPr="00C42537" w:rsidRDefault="00E05DC3" w:rsidP="00C42537">
            <w:pPr>
              <w:spacing w:line="276" w:lineRule="auto"/>
              <w:jc w:val="center"/>
              <w:cnfStyle w:val="000000000000"/>
              <w:rPr>
                <w:rFonts w:ascii="Times New Roman" w:hAnsi="Times New Roman" w:cs="Times New Roman"/>
                <w:sz w:val="20"/>
                <w:szCs w:val="20"/>
              </w:rPr>
            </w:pPr>
            <w:r w:rsidRPr="00C42537">
              <w:rPr>
                <w:rFonts w:ascii="Times New Roman" w:hAnsi="Times New Roman" w:cs="Times New Roman"/>
                <w:sz w:val="20"/>
                <w:szCs w:val="20"/>
              </w:rPr>
              <w:t>87.02%</w:t>
            </w:r>
          </w:p>
        </w:tc>
      </w:tr>
    </w:tbl>
    <w:p w:rsidR="00E05DC3" w:rsidRPr="00545680" w:rsidRDefault="00E05DC3" w:rsidP="00E05DC3">
      <w:pPr>
        <w:rPr>
          <w:rFonts w:ascii="Arial" w:hAnsi="Arial" w:cs="Arial"/>
        </w:rPr>
      </w:pPr>
    </w:p>
    <w:p w:rsidR="00E05DC3" w:rsidRPr="00A1451E" w:rsidRDefault="00E05DC3" w:rsidP="00A1451E">
      <w:pPr>
        <w:autoSpaceDE w:val="0"/>
        <w:autoSpaceDN w:val="0"/>
        <w:adjustRightInd w:val="0"/>
        <w:spacing w:before="120" w:after="120"/>
        <w:jc w:val="both"/>
        <w:rPr>
          <w:rFonts w:ascii="Times New Roman" w:eastAsiaTheme="minorHAnsi" w:hAnsi="Times New Roman" w:cs="Times New Roman"/>
          <w:b/>
          <w:iCs/>
          <w:sz w:val="20"/>
          <w:szCs w:val="20"/>
        </w:rPr>
      </w:pPr>
    </w:p>
    <w:p w:rsidR="00000055" w:rsidRPr="00A1451E" w:rsidRDefault="00000055" w:rsidP="00A1451E">
      <w:pPr>
        <w:spacing w:before="120" w:after="120"/>
        <w:jc w:val="both"/>
        <w:rPr>
          <w:rFonts w:ascii="Times New Roman" w:hAnsi="Times New Roman" w:cs="Times New Roman"/>
          <w:color w:val="000000"/>
          <w:sz w:val="20"/>
          <w:szCs w:val="20"/>
        </w:rPr>
      </w:pPr>
      <w:r w:rsidRPr="00A1451E">
        <w:rPr>
          <w:rFonts w:ascii="Times New Roman" w:hAnsi="Times New Roman" w:cs="Times New Roman"/>
          <w:sz w:val="20"/>
          <w:szCs w:val="20"/>
        </w:rPr>
        <w:t xml:space="preserve">Table 1 displays the ability of SGA to predict malnutrition among </w:t>
      </w:r>
      <w:r w:rsidRPr="00A1451E">
        <w:rPr>
          <w:rFonts w:ascii="Times New Roman" w:hAnsi="Times New Roman" w:cs="Times New Roman"/>
          <w:color w:val="000000"/>
          <w:sz w:val="20"/>
          <w:szCs w:val="20"/>
        </w:rPr>
        <w:t xml:space="preserve">critically ill </w:t>
      </w:r>
      <w:r w:rsidRPr="00A1451E">
        <w:rPr>
          <w:rFonts w:ascii="Times New Roman" w:hAnsi="Times New Roman" w:cs="Times New Roman"/>
          <w:sz w:val="20"/>
          <w:szCs w:val="20"/>
        </w:rPr>
        <w:t xml:space="preserve">children. When compared with </w:t>
      </w:r>
      <w:r w:rsidRPr="00A1451E">
        <w:rPr>
          <w:rFonts w:ascii="Times New Roman" w:hAnsi="Times New Roman" w:cs="Times New Roman"/>
          <w:color w:val="000000"/>
          <w:sz w:val="20"/>
          <w:szCs w:val="20"/>
        </w:rPr>
        <w:t xml:space="preserve">IAP weight for age (W/A) criteria for malnutrition, 114 </w:t>
      </w:r>
      <w:r w:rsidRPr="00A1451E">
        <w:rPr>
          <w:rFonts w:ascii="Times New Roman" w:hAnsi="Times New Roman" w:cs="Times New Roman"/>
          <w:color w:val="000000"/>
          <w:sz w:val="20"/>
          <w:szCs w:val="20"/>
        </w:rPr>
        <w:lastRenderedPageBreak/>
        <w:t xml:space="preserve">(43.80%) of the subjects were correctly classified by SGA as being well nourished (true negatives) and 111 (42.70%) of the subjects were correctly classified as being malnourished (true positives). Around 17 (6.50%) of the subjects had the chances of being misclassified as being well nourished (false negatives) and 18 (6.90%) of the subjects had the chances of being misclassified as being malnourished (false positives). </w:t>
      </w:r>
    </w:p>
    <w:p w:rsidR="00000055" w:rsidRPr="00A1451E" w:rsidRDefault="00000055" w:rsidP="00A1451E">
      <w:pPr>
        <w:spacing w:before="120" w:after="120"/>
        <w:jc w:val="both"/>
        <w:rPr>
          <w:rFonts w:ascii="Times New Roman" w:hAnsi="Times New Roman" w:cs="Times New Roman"/>
          <w:color w:val="000000"/>
          <w:sz w:val="20"/>
          <w:szCs w:val="20"/>
        </w:rPr>
      </w:pPr>
      <w:r w:rsidRPr="00A1451E">
        <w:rPr>
          <w:rFonts w:ascii="Times New Roman" w:hAnsi="Times New Roman" w:cs="Times New Roman"/>
          <w:color w:val="000000"/>
          <w:sz w:val="20"/>
          <w:szCs w:val="20"/>
        </w:rPr>
        <w:t>SGA had a sensitivity of 86.71% and a specificity of 86.36%. The high sensitivity and specificity of SGA indicates that it is strongly able to predict nutritional status of critically ill children.  The positive predictive value was 86.05% and the negative predictive value was 87.02%. The predictive accuracy depends upon sensitivity, specificity and the prevalence of malnutrit</w:t>
      </w:r>
      <w:r w:rsidR="002A2CB9">
        <w:rPr>
          <w:rFonts w:ascii="Times New Roman" w:hAnsi="Times New Roman" w:cs="Times New Roman"/>
          <w:color w:val="000000"/>
          <w:sz w:val="20"/>
          <w:szCs w:val="20"/>
        </w:rPr>
        <w:t>ion or disease (9</w:t>
      </w:r>
      <w:r w:rsidRPr="00A1451E">
        <w:rPr>
          <w:rFonts w:ascii="Times New Roman" w:hAnsi="Times New Roman" w:cs="Times New Roman"/>
          <w:color w:val="000000"/>
          <w:sz w:val="20"/>
          <w:szCs w:val="20"/>
        </w:rPr>
        <w:t xml:space="preserve">). </w:t>
      </w:r>
    </w:p>
    <w:p w:rsidR="00000055" w:rsidRPr="00A1451E" w:rsidRDefault="00000055" w:rsidP="00A1451E">
      <w:pPr>
        <w:spacing w:before="120" w:after="120"/>
        <w:jc w:val="both"/>
        <w:rPr>
          <w:rFonts w:ascii="Times New Roman" w:hAnsi="Times New Roman" w:cs="Times New Roman"/>
          <w:sz w:val="20"/>
          <w:szCs w:val="20"/>
        </w:rPr>
      </w:pPr>
      <w:r w:rsidRPr="00A1451E">
        <w:rPr>
          <w:rFonts w:ascii="Times New Roman" w:hAnsi="Times New Roman" w:cs="Times New Roman"/>
          <w:sz w:val="20"/>
          <w:szCs w:val="20"/>
        </w:rPr>
        <w:t>Therefore, it is understood that either IAP</w:t>
      </w:r>
      <w:r w:rsidRPr="00A1451E">
        <w:rPr>
          <w:rFonts w:ascii="Times New Roman" w:hAnsi="Times New Roman" w:cs="Times New Roman"/>
          <w:color w:val="000000"/>
          <w:sz w:val="20"/>
          <w:szCs w:val="20"/>
        </w:rPr>
        <w:t xml:space="preserve"> weight for age (W/A) criteria for malnutrition</w:t>
      </w:r>
      <w:r w:rsidRPr="00A1451E">
        <w:rPr>
          <w:rFonts w:ascii="Times New Roman" w:hAnsi="Times New Roman" w:cs="Times New Roman"/>
          <w:sz w:val="20"/>
          <w:szCs w:val="20"/>
        </w:rPr>
        <w:t xml:space="preserve"> or SGA are better predictors of malnutrition in critically ill children. </w:t>
      </w:r>
      <w:r w:rsidRPr="00A1451E">
        <w:rPr>
          <w:rFonts w:ascii="Times New Roman" w:hAnsi="Times New Roman" w:cs="Times New Roman"/>
          <w:color w:val="000000"/>
          <w:sz w:val="20"/>
          <w:szCs w:val="20"/>
        </w:rPr>
        <w:t>Research indicates that the ideal nutrition assessment tool should be 100% speci</w:t>
      </w:r>
      <w:r w:rsidR="002A2CB9">
        <w:rPr>
          <w:rFonts w:ascii="Times New Roman" w:hAnsi="Times New Roman" w:cs="Times New Roman"/>
          <w:color w:val="000000"/>
          <w:sz w:val="20"/>
          <w:szCs w:val="20"/>
        </w:rPr>
        <w:t>fic and sensitive (10</w:t>
      </w:r>
      <w:r w:rsidRPr="00A1451E">
        <w:rPr>
          <w:rFonts w:ascii="Times New Roman" w:hAnsi="Times New Roman" w:cs="Times New Roman"/>
          <w:color w:val="000000"/>
          <w:sz w:val="20"/>
          <w:szCs w:val="20"/>
        </w:rPr>
        <w:t xml:space="preserve">). However, in our study, SGA was able to identify malnourished subjects with 86.71% sensitivity and specificity of 86.36%. </w:t>
      </w:r>
      <w:r w:rsidRPr="00A1451E">
        <w:rPr>
          <w:rFonts w:ascii="Times New Roman" w:hAnsi="Times New Roman" w:cs="Times New Roman"/>
          <w:sz w:val="20"/>
          <w:szCs w:val="20"/>
        </w:rPr>
        <w:t>Overall it is inferred that SGA is a sensitive and specific nutritional assessment tool, useful in critically ill pediatrics. Application of this tool as a complement of standard anthropometric tool can be considered.</w:t>
      </w:r>
    </w:p>
    <w:p w:rsidR="00000055" w:rsidRPr="00A1451E" w:rsidRDefault="00000055" w:rsidP="00A1451E">
      <w:pPr>
        <w:autoSpaceDE w:val="0"/>
        <w:autoSpaceDN w:val="0"/>
        <w:adjustRightInd w:val="0"/>
        <w:spacing w:before="120" w:after="120"/>
        <w:jc w:val="both"/>
        <w:rPr>
          <w:rFonts w:ascii="Times New Roman" w:eastAsiaTheme="minorHAnsi" w:hAnsi="Times New Roman" w:cs="Times New Roman"/>
          <w:b/>
          <w:iCs/>
          <w:sz w:val="20"/>
          <w:szCs w:val="20"/>
        </w:rPr>
      </w:pPr>
      <w:r w:rsidRPr="00A1451E">
        <w:rPr>
          <w:rFonts w:ascii="Times New Roman" w:eastAsiaTheme="minorHAnsi" w:hAnsi="Times New Roman" w:cs="Times New Roman"/>
          <w:b/>
          <w:iCs/>
          <w:sz w:val="20"/>
          <w:szCs w:val="20"/>
        </w:rPr>
        <w:t>DISCUSSION</w:t>
      </w:r>
    </w:p>
    <w:p w:rsidR="00000055" w:rsidRPr="00A1451E" w:rsidRDefault="00000055" w:rsidP="00A1451E">
      <w:pPr>
        <w:spacing w:before="120" w:after="120"/>
        <w:jc w:val="both"/>
        <w:rPr>
          <w:rFonts w:ascii="Times New Roman" w:hAnsi="Times New Roman" w:cs="Times New Roman"/>
          <w:sz w:val="20"/>
          <w:szCs w:val="20"/>
        </w:rPr>
      </w:pPr>
      <w:r w:rsidRPr="00A1451E">
        <w:rPr>
          <w:rFonts w:ascii="Times New Roman" w:hAnsi="Times New Roman" w:cs="Times New Roman"/>
          <w:sz w:val="20"/>
          <w:szCs w:val="20"/>
        </w:rPr>
        <w:t>The purpose of nutritional assessment in pediatric ICU patients differs from that in a well child clinic. An assessment in this group of patients is aimed to identify patients-at-risk of developing malnutrition-related complication and in cases for whom nutritional support may give benefit. Most pediatric clinical nutrition assessment tools are based mainly on anthropometry. However, malnutrition related complications in critically ill patients are usually associated with a change in functional status rather than body composition or physical growth. In certain instances, such functional reduction of the gastrointestinal tract does occur, but not severely enough or not long enough to put a patient out of the gro</w:t>
      </w:r>
      <w:r w:rsidR="002A2CB9">
        <w:rPr>
          <w:rFonts w:ascii="Times New Roman" w:hAnsi="Times New Roman" w:cs="Times New Roman"/>
          <w:sz w:val="20"/>
          <w:szCs w:val="20"/>
        </w:rPr>
        <w:t>wth curve (5</w:t>
      </w:r>
      <w:r w:rsidRPr="00A1451E">
        <w:rPr>
          <w:rFonts w:ascii="Times New Roman" w:hAnsi="Times New Roman" w:cs="Times New Roman"/>
          <w:sz w:val="20"/>
          <w:szCs w:val="20"/>
        </w:rPr>
        <w:t xml:space="preserve">). Objective measures of nutritional status cannot take into account all of the variables that a clinician should consider to identify malnutrition. On the other hand, there may be cases who are out of the normal curve but may indeed be in a positive nitrogen balance, such as a premature baby who is catching up his weight or a child who is stunted because of genetic determination. These situations are areas in which cross-sectional anthropometry </w:t>
      </w:r>
      <w:r w:rsidRPr="00A1451E">
        <w:rPr>
          <w:rFonts w:ascii="Times New Roman" w:hAnsi="Times New Roman" w:cs="Times New Roman"/>
          <w:sz w:val="20"/>
          <w:szCs w:val="20"/>
        </w:rPr>
        <w:lastRenderedPageBreak/>
        <w:t xml:space="preserve">is not specific, and nutritional assessment should not be based on a single measurement. </w:t>
      </w:r>
    </w:p>
    <w:p w:rsidR="00000055" w:rsidRPr="00A1451E" w:rsidRDefault="00000055" w:rsidP="00A1451E">
      <w:pPr>
        <w:autoSpaceDE w:val="0"/>
        <w:autoSpaceDN w:val="0"/>
        <w:adjustRightInd w:val="0"/>
        <w:spacing w:before="120" w:after="120"/>
        <w:jc w:val="both"/>
        <w:rPr>
          <w:rFonts w:ascii="Times New Roman" w:eastAsiaTheme="minorHAnsi" w:hAnsi="Times New Roman" w:cs="Times New Roman"/>
          <w:sz w:val="20"/>
          <w:szCs w:val="20"/>
        </w:rPr>
      </w:pPr>
      <w:r w:rsidRPr="00A1451E">
        <w:rPr>
          <w:rFonts w:ascii="Times New Roman" w:hAnsi="Times New Roman" w:cs="Times New Roman"/>
          <w:sz w:val="20"/>
          <w:szCs w:val="20"/>
        </w:rPr>
        <w:t>Subjective global assessment (SGA) is a nutritional assessment method that emphasizes the use of clinical data simply derived from careful history taking and the physical examination. It directs the clinician to piece together the nutritional components to make a complete picture; that is, Is this child short or thin? Is it by nature or because of inadequate intake? If intake is inadequate, what is the cause? Is there physical evidence of wasting to support the historical findings? Are losses of body mass affecting the child’s ability to perform? Is the child’s nutritional status and functioning worsening or beginning to improve? Is the child likely to continue to have problems? What needs to be treated? After completing the SGA and identifying the malnourished child, it can be determined whether the child’s nutritional status is likely to improve or worsen, has established the potential cause or causes of malnutrition and identified where to targe</w:t>
      </w:r>
      <w:r w:rsidR="002A2CB9">
        <w:rPr>
          <w:rFonts w:ascii="Times New Roman" w:hAnsi="Times New Roman" w:cs="Times New Roman"/>
          <w:sz w:val="20"/>
          <w:szCs w:val="20"/>
        </w:rPr>
        <w:t>t intervention (4</w:t>
      </w:r>
      <w:r w:rsidRPr="00A1451E">
        <w:rPr>
          <w:rFonts w:ascii="Times New Roman" w:hAnsi="Times New Roman" w:cs="Times New Roman"/>
          <w:sz w:val="20"/>
          <w:szCs w:val="20"/>
        </w:rPr>
        <w:t>). The SGA protocol has been proven by various authors to correlate with objective measurement and reproducible in adult a</w:t>
      </w:r>
      <w:r w:rsidR="002A2CB9">
        <w:rPr>
          <w:rFonts w:ascii="Times New Roman" w:hAnsi="Times New Roman" w:cs="Times New Roman"/>
          <w:sz w:val="20"/>
          <w:szCs w:val="20"/>
        </w:rPr>
        <w:t>nd general pediatric patients (11,12</w:t>
      </w:r>
      <w:r w:rsidRPr="00A1451E">
        <w:rPr>
          <w:rFonts w:ascii="Times New Roman" w:hAnsi="Times New Roman" w:cs="Times New Roman"/>
          <w:sz w:val="20"/>
          <w:szCs w:val="20"/>
        </w:rPr>
        <w:t xml:space="preserve">). Using the history of appetite, weight change and change in functional capacity, a perspective picture of energy balance can be drawn. In our study, of twenty six patients with positive SGA malnutrition but negative W/A malnutrition criteria (IAP classification grades 2 or more), about 81% (21) of them had positive history of weight loss of &gt;5%, moderate change in dietary intake for more than 2 weeks, presence of gastrointestinal complications but improving, moderate loss of strength and stamina, moderate stress, moderate loss of muscle mass. This indicates that standard anthropometry was less sensitive in these cases and SGA could fill the gap.  Therefore, SGA tool </w:t>
      </w:r>
      <w:r w:rsidRPr="00A1451E">
        <w:rPr>
          <w:rFonts w:ascii="Times New Roman" w:eastAsiaTheme="minorHAnsi" w:hAnsi="Times New Roman" w:cs="Times New Roman"/>
          <w:sz w:val="20"/>
          <w:szCs w:val="20"/>
        </w:rPr>
        <w:t xml:space="preserve">can be adapted for use in this group of patients in </w:t>
      </w:r>
      <w:r w:rsidRPr="00A1451E">
        <w:rPr>
          <w:rFonts w:ascii="Times New Roman" w:hAnsi="Times New Roman" w:cs="Times New Roman"/>
          <w:sz w:val="20"/>
          <w:szCs w:val="20"/>
        </w:rPr>
        <w:t>complement to conventional anthropometric measurements.</w:t>
      </w:r>
    </w:p>
    <w:p w:rsidR="00000055" w:rsidRPr="00A1451E" w:rsidRDefault="00000055" w:rsidP="00A1451E">
      <w:pPr>
        <w:autoSpaceDE w:val="0"/>
        <w:autoSpaceDN w:val="0"/>
        <w:adjustRightInd w:val="0"/>
        <w:spacing w:before="120" w:after="120"/>
        <w:jc w:val="both"/>
        <w:rPr>
          <w:rFonts w:ascii="Times New Roman" w:eastAsiaTheme="minorHAnsi" w:hAnsi="Times New Roman" w:cs="Times New Roman"/>
          <w:b/>
          <w:sz w:val="20"/>
          <w:szCs w:val="20"/>
        </w:rPr>
      </w:pPr>
      <w:r w:rsidRPr="00A1451E">
        <w:rPr>
          <w:rFonts w:ascii="Times New Roman" w:eastAsiaTheme="minorHAnsi" w:hAnsi="Times New Roman" w:cs="Times New Roman"/>
          <w:b/>
          <w:sz w:val="20"/>
          <w:szCs w:val="20"/>
        </w:rPr>
        <w:t>C</w:t>
      </w:r>
      <w:r w:rsidR="00A1451E">
        <w:rPr>
          <w:rFonts w:ascii="Times New Roman" w:eastAsiaTheme="minorHAnsi" w:hAnsi="Times New Roman" w:cs="Times New Roman"/>
          <w:b/>
          <w:sz w:val="20"/>
          <w:szCs w:val="20"/>
        </w:rPr>
        <w:t>onclusion</w:t>
      </w:r>
    </w:p>
    <w:p w:rsidR="007E3976" w:rsidRDefault="00000055" w:rsidP="00A1451E">
      <w:pPr>
        <w:autoSpaceDE w:val="0"/>
        <w:autoSpaceDN w:val="0"/>
        <w:adjustRightInd w:val="0"/>
        <w:spacing w:before="120" w:after="120"/>
        <w:jc w:val="both"/>
        <w:rPr>
          <w:rFonts w:ascii="Times New Roman" w:eastAsiaTheme="minorHAnsi" w:hAnsi="Times New Roman" w:cs="Times New Roman"/>
          <w:sz w:val="20"/>
          <w:szCs w:val="20"/>
        </w:rPr>
      </w:pPr>
      <w:r w:rsidRPr="00A1451E">
        <w:rPr>
          <w:rFonts w:ascii="Times New Roman" w:eastAsiaTheme="minorHAnsi" w:hAnsi="Times New Roman" w:cs="Times New Roman"/>
          <w:sz w:val="20"/>
          <w:szCs w:val="20"/>
        </w:rPr>
        <w:t xml:space="preserve">In conclusion, SGA is a valid method for assessing nutritional status of critically ill children. A practical problem which the authors encountered was the fact that patient history in the pediatric age group is usually secondary data, especially in small infants. Without parents with a patient, the quality of the data may not be reliable and the authors believe this is a limitation of SGA in pediatric patients. </w:t>
      </w:r>
    </w:p>
    <w:p w:rsidR="002A2CB9" w:rsidRDefault="002A2CB9" w:rsidP="00A1451E">
      <w:pPr>
        <w:autoSpaceDE w:val="0"/>
        <w:autoSpaceDN w:val="0"/>
        <w:adjustRightInd w:val="0"/>
        <w:spacing w:before="120" w:after="120"/>
        <w:jc w:val="both"/>
        <w:rPr>
          <w:rFonts w:ascii="Times New Roman" w:eastAsiaTheme="minorHAnsi" w:hAnsi="Times New Roman" w:cs="Times New Roman"/>
          <w:sz w:val="20"/>
          <w:szCs w:val="20"/>
        </w:rPr>
      </w:pPr>
    </w:p>
    <w:p w:rsidR="002A2CB9" w:rsidRDefault="002A2CB9" w:rsidP="00A1451E">
      <w:pPr>
        <w:autoSpaceDE w:val="0"/>
        <w:autoSpaceDN w:val="0"/>
        <w:adjustRightInd w:val="0"/>
        <w:spacing w:before="120" w:after="120"/>
        <w:jc w:val="both"/>
        <w:rPr>
          <w:rFonts w:ascii="Times New Roman" w:eastAsiaTheme="minorHAnsi" w:hAnsi="Times New Roman" w:cs="Times New Roman"/>
          <w:sz w:val="20"/>
          <w:szCs w:val="20"/>
        </w:rPr>
      </w:pPr>
    </w:p>
    <w:p w:rsidR="00447B5E" w:rsidRPr="00A1451E" w:rsidRDefault="00447B5E" w:rsidP="00A1451E">
      <w:pPr>
        <w:autoSpaceDE w:val="0"/>
        <w:autoSpaceDN w:val="0"/>
        <w:adjustRightInd w:val="0"/>
        <w:spacing w:before="120" w:after="120"/>
        <w:jc w:val="both"/>
        <w:rPr>
          <w:rFonts w:ascii="Times New Roman" w:eastAsiaTheme="minorHAnsi" w:hAnsi="Times New Roman" w:cs="Times New Roman"/>
          <w:sz w:val="20"/>
          <w:szCs w:val="20"/>
        </w:rPr>
      </w:pPr>
    </w:p>
    <w:p w:rsidR="00000055" w:rsidRPr="0039060C" w:rsidRDefault="00000055" w:rsidP="0039060C">
      <w:pPr>
        <w:spacing w:before="120" w:after="120"/>
        <w:jc w:val="both"/>
        <w:rPr>
          <w:rFonts w:ascii="Times New Roman" w:hAnsi="Times New Roman" w:cs="Times New Roman"/>
          <w:b/>
          <w:sz w:val="20"/>
          <w:szCs w:val="20"/>
        </w:rPr>
      </w:pPr>
      <w:r w:rsidRPr="00765E8A">
        <w:rPr>
          <w:rFonts w:ascii="Times New Roman" w:hAnsi="Times New Roman" w:cs="Times New Roman"/>
          <w:b/>
          <w:sz w:val="20"/>
          <w:szCs w:val="20"/>
        </w:rPr>
        <w:lastRenderedPageBreak/>
        <w:t>REFERENCES</w:t>
      </w:r>
    </w:p>
    <w:p w:rsidR="0039060C" w:rsidRPr="0039060C" w:rsidRDefault="00000055"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 xml:space="preserve">Donald D. Hensrud. Nutrition screening and assessment. </w:t>
      </w:r>
      <w:r w:rsidR="0039060C">
        <w:rPr>
          <w:rStyle w:val="Gl"/>
          <w:rFonts w:ascii="Times New Roman" w:hAnsi="Times New Roman" w:cs="Times New Roman"/>
          <w:color w:val="000000" w:themeColor="text1"/>
          <w:sz w:val="20"/>
          <w:szCs w:val="20"/>
        </w:rPr>
        <w:t xml:space="preserve">Med Clin </w:t>
      </w:r>
      <w:r w:rsidRPr="0039060C">
        <w:rPr>
          <w:rStyle w:val="Gl"/>
          <w:rFonts w:ascii="Times New Roman" w:hAnsi="Times New Roman" w:cs="Times New Roman"/>
          <w:color w:val="000000" w:themeColor="text1"/>
          <w:sz w:val="20"/>
          <w:szCs w:val="20"/>
        </w:rPr>
        <w:t xml:space="preserve">North </w:t>
      </w:r>
      <w:r w:rsidR="000846AC" w:rsidRPr="0039060C">
        <w:rPr>
          <w:rStyle w:val="Gl"/>
          <w:rFonts w:ascii="Times New Roman" w:hAnsi="Times New Roman" w:cs="Times New Roman"/>
          <w:color w:val="000000" w:themeColor="text1"/>
          <w:sz w:val="20"/>
          <w:szCs w:val="20"/>
        </w:rPr>
        <w:t>Am</w:t>
      </w:r>
      <w:r w:rsidR="000846AC" w:rsidRPr="0039060C">
        <w:rPr>
          <w:rStyle w:val="Gl"/>
          <w:rFonts w:ascii="Times New Roman" w:hAnsi="Times New Roman" w:cs="Times New Roman"/>
          <w:b/>
          <w:color w:val="000000" w:themeColor="text1"/>
          <w:sz w:val="20"/>
          <w:szCs w:val="20"/>
        </w:rPr>
        <w:t xml:space="preserve"> </w:t>
      </w:r>
      <w:r w:rsidRPr="0039060C">
        <w:rPr>
          <w:rStyle w:val="Gl"/>
          <w:rFonts w:ascii="Times New Roman" w:hAnsi="Times New Roman" w:cs="Times New Roman"/>
          <w:color w:val="000000" w:themeColor="text1"/>
          <w:sz w:val="20"/>
          <w:szCs w:val="20"/>
        </w:rPr>
        <w:t>1999</w:t>
      </w:r>
      <w:r w:rsidRPr="0039060C">
        <w:rPr>
          <w:rStyle w:val="Gl"/>
          <w:rFonts w:ascii="Times New Roman" w:hAnsi="Times New Roman" w:cs="Times New Roman"/>
          <w:b/>
          <w:color w:val="000000" w:themeColor="text1"/>
          <w:sz w:val="20"/>
          <w:szCs w:val="20"/>
        </w:rPr>
        <w:t>;</w:t>
      </w:r>
      <w:hyperlink r:id="rId14" w:history="1">
        <w:r w:rsidR="000846AC" w:rsidRPr="0039060C">
          <w:rPr>
            <w:rStyle w:val="Kpr"/>
            <w:rFonts w:ascii="Times New Roman" w:hAnsi="Times New Roman" w:cs="Times New Roman"/>
            <w:b w:val="0"/>
            <w:color w:val="000000" w:themeColor="text1"/>
            <w:sz w:val="20"/>
            <w:szCs w:val="20"/>
            <w:u w:val="none"/>
          </w:rPr>
          <w:t xml:space="preserve"> 83</w:t>
        </w:r>
      </w:hyperlink>
      <w:r w:rsidR="000846AC" w:rsidRPr="0039060C">
        <w:rPr>
          <w:rFonts w:ascii="Times New Roman" w:hAnsi="Times New Roman" w:cs="Times New Roman"/>
          <w:b w:val="0"/>
          <w:color w:val="000000" w:themeColor="text1"/>
          <w:sz w:val="20"/>
          <w:szCs w:val="20"/>
        </w:rPr>
        <w:t>:</w:t>
      </w:r>
      <w:r w:rsidR="0039060C">
        <w:rPr>
          <w:rFonts w:ascii="Times New Roman" w:hAnsi="Times New Roman" w:cs="Times New Roman"/>
          <w:b w:val="0"/>
          <w:color w:val="000000" w:themeColor="text1"/>
          <w:sz w:val="20"/>
          <w:szCs w:val="20"/>
        </w:rPr>
        <w:t xml:space="preserve"> 1525-</w:t>
      </w:r>
      <w:r w:rsidRPr="0039060C">
        <w:rPr>
          <w:rFonts w:ascii="Times New Roman" w:hAnsi="Times New Roman" w:cs="Times New Roman"/>
          <w:b w:val="0"/>
          <w:color w:val="000000" w:themeColor="text1"/>
          <w:sz w:val="20"/>
          <w:szCs w:val="20"/>
        </w:rPr>
        <w:t>46</w:t>
      </w:r>
      <w:r w:rsidR="0039060C">
        <w:rPr>
          <w:rFonts w:ascii="Times New Roman" w:hAnsi="Times New Roman" w:cs="Times New Roman"/>
          <w:b w:val="0"/>
          <w:color w:val="000000" w:themeColor="text1"/>
          <w:sz w:val="20"/>
          <w:szCs w:val="20"/>
        </w:rPr>
        <w:t>.</w:t>
      </w:r>
    </w:p>
    <w:p w:rsidR="0039060C" w:rsidRPr="0039060C" w:rsidRDefault="002A2CB9"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Laren M, Read WW. Classification of nutritional status in early childhood. Lancet 1972;</w:t>
      </w:r>
      <w:r w:rsidR="000846AC" w:rsidRPr="0039060C">
        <w:rPr>
          <w:rFonts w:ascii="Times New Roman" w:hAnsi="Times New Roman" w:cs="Times New Roman"/>
          <w:b w:val="0"/>
          <w:color w:val="000000" w:themeColor="text1"/>
          <w:sz w:val="20"/>
          <w:szCs w:val="20"/>
        </w:rPr>
        <w:t xml:space="preserve"> </w:t>
      </w:r>
      <w:r w:rsidRPr="0039060C">
        <w:rPr>
          <w:rFonts w:ascii="Times New Roman" w:hAnsi="Times New Roman" w:cs="Times New Roman"/>
          <w:b w:val="0"/>
          <w:color w:val="000000" w:themeColor="text1"/>
          <w:sz w:val="20"/>
          <w:szCs w:val="20"/>
        </w:rPr>
        <w:t>2:146-8.</w:t>
      </w:r>
    </w:p>
    <w:p w:rsidR="0039060C" w:rsidRPr="0039060C" w:rsidRDefault="000846AC"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Downs, Jane H,</w:t>
      </w:r>
      <w:r w:rsidR="00000055" w:rsidRPr="0039060C">
        <w:rPr>
          <w:rFonts w:ascii="Times New Roman" w:hAnsi="Times New Roman" w:cs="Times New Roman"/>
          <w:b w:val="0"/>
          <w:color w:val="000000" w:themeColor="text1"/>
          <w:sz w:val="20"/>
          <w:szCs w:val="20"/>
        </w:rPr>
        <w:t xml:space="preserve"> Haffejee, Aref. Nutritional assessment in the critically ill. </w:t>
      </w:r>
      <w:r w:rsidR="0039060C" w:rsidRPr="0039060C">
        <w:rPr>
          <w:rFonts w:ascii="Times New Roman" w:hAnsi="Times New Roman" w:cs="Times New Roman"/>
          <w:b w:val="0"/>
          <w:color w:val="000000"/>
          <w:sz w:val="20"/>
          <w:szCs w:val="20"/>
        </w:rPr>
        <w:t xml:space="preserve">Curr Opin </w:t>
      </w:r>
      <w:r w:rsidR="0039060C" w:rsidRPr="0039060C">
        <w:rPr>
          <w:rFonts w:ascii="Times New Roman" w:eastAsia="Times New Roman" w:hAnsi="Times New Roman" w:cs="Times New Roman"/>
          <w:b w:val="0"/>
          <w:color w:val="000000"/>
          <w:sz w:val="20"/>
          <w:szCs w:val="20"/>
        </w:rPr>
        <w:t xml:space="preserve">Clin Nutr Metab Care </w:t>
      </w:r>
      <w:r w:rsidR="0039060C">
        <w:rPr>
          <w:rFonts w:ascii="Times New Roman" w:hAnsi="Times New Roman" w:cs="Times New Roman"/>
          <w:b w:val="0"/>
          <w:color w:val="000000" w:themeColor="text1"/>
          <w:sz w:val="20"/>
          <w:szCs w:val="20"/>
        </w:rPr>
        <w:t>1998; 1</w:t>
      </w:r>
      <w:r w:rsidRPr="0039060C">
        <w:rPr>
          <w:rFonts w:ascii="Times New Roman" w:hAnsi="Times New Roman" w:cs="Times New Roman"/>
          <w:b w:val="0"/>
          <w:color w:val="000000" w:themeColor="text1"/>
          <w:sz w:val="20"/>
          <w:szCs w:val="20"/>
        </w:rPr>
        <w:t>:</w:t>
      </w:r>
      <w:r w:rsidR="00000055" w:rsidRPr="0039060C">
        <w:rPr>
          <w:rFonts w:ascii="Times New Roman" w:hAnsi="Times New Roman" w:cs="Times New Roman"/>
          <w:b w:val="0"/>
          <w:color w:val="000000" w:themeColor="text1"/>
          <w:sz w:val="20"/>
          <w:szCs w:val="20"/>
        </w:rPr>
        <w:t xml:space="preserve"> 275-279</w:t>
      </w:r>
    </w:p>
    <w:p w:rsidR="0039060C" w:rsidRPr="0039060C" w:rsidRDefault="002A2CB9"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Secker DJ, Jeejeebhoy KN. Subjective global nutritional assessment for children. Am J Clin Nutr 2007; 85:1083–1089</w:t>
      </w:r>
    </w:p>
    <w:p w:rsidR="0039060C" w:rsidRPr="0039060C" w:rsidRDefault="00000055"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Rojratsirikul C, Sangkharkar S, Sakda P. Application of Subjective Global assessment as a screening tool for malnutrition in pedi</w:t>
      </w:r>
      <w:r w:rsidR="0039060C" w:rsidRPr="0039060C">
        <w:rPr>
          <w:rFonts w:ascii="Times New Roman" w:hAnsi="Times New Roman" w:cs="Times New Roman"/>
          <w:b w:val="0"/>
          <w:color w:val="000000" w:themeColor="text1"/>
          <w:sz w:val="20"/>
          <w:szCs w:val="20"/>
        </w:rPr>
        <w:t xml:space="preserve">atric surgical patients. J </w:t>
      </w:r>
      <w:r w:rsidR="000846AC" w:rsidRPr="0039060C">
        <w:rPr>
          <w:rFonts w:ascii="Times New Roman" w:hAnsi="Times New Roman" w:cs="Times New Roman"/>
          <w:b w:val="0"/>
          <w:color w:val="000000" w:themeColor="text1"/>
          <w:sz w:val="20"/>
          <w:szCs w:val="20"/>
        </w:rPr>
        <w:t>Med</w:t>
      </w:r>
      <w:r w:rsidR="0039060C" w:rsidRPr="0039060C">
        <w:rPr>
          <w:rFonts w:ascii="Times New Roman" w:hAnsi="Times New Roman" w:cs="Times New Roman"/>
          <w:b w:val="0"/>
          <w:color w:val="000000" w:themeColor="text1"/>
          <w:sz w:val="20"/>
          <w:szCs w:val="20"/>
        </w:rPr>
        <w:t xml:space="preserve"> </w:t>
      </w:r>
      <w:r w:rsidR="000846AC" w:rsidRPr="0039060C">
        <w:rPr>
          <w:rFonts w:ascii="Times New Roman" w:hAnsi="Times New Roman" w:cs="Times New Roman"/>
          <w:b w:val="0"/>
          <w:color w:val="000000" w:themeColor="text1"/>
          <w:sz w:val="20"/>
          <w:szCs w:val="20"/>
        </w:rPr>
        <w:t>Assoc Thai</w:t>
      </w:r>
      <w:r w:rsidR="0039060C" w:rsidRPr="0039060C">
        <w:rPr>
          <w:rFonts w:ascii="Times New Roman" w:hAnsi="Times New Roman" w:cs="Times New Roman"/>
          <w:b w:val="0"/>
          <w:color w:val="000000" w:themeColor="text1"/>
          <w:sz w:val="20"/>
          <w:szCs w:val="20"/>
        </w:rPr>
        <w:t xml:space="preserve"> 2004, 87</w:t>
      </w:r>
      <w:r w:rsidRPr="0039060C">
        <w:rPr>
          <w:rFonts w:ascii="Times New Roman" w:hAnsi="Times New Roman" w:cs="Times New Roman"/>
          <w:b w:val="0"/>
          <w:color w:val="000000" w:themeColor="text1"/>
          <w:sz w:val="20"/>
          <w:szCs w:val="20"/>
        </w:rPr>
        <w:t>: 939-46</w:t>
      </w:r>
      <w:r w:rsidR="0039060C" w:rsidRPr="0039060C">
        <w:rPr>
          <w:rFonts w:ascii="Times New Roman" w:hAnsi="Times New Roman" w:cs="Times New Roman"/>
          <w:b w:val="0"/>
          <w:color w:val="000000" w:themeColor="text1"/>
          <w:sz w:val="20"/>
          <w:szCs w:val="20"/>
        </w:rPr>
        <w:t xml:space="preserve">. </w:t>
      </w:r>
    </w:p>
    <w:p w:rsidR="0039060C" w:rsidRPr="0039060C" w:rsidRDefault="002A2CB9"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eastAsia="NewCenturySchlbkTR-Roman" w:hAnsi="Times New Roman" w:cs="Times New Roman"/>
          <w:b w:val="0"/>
          <w:color w:val="000000" w:themeColor="text1"/>
          <w:sz w:val="20"/>
          <w:szCs w:val="20"/>
        </w:rPr>
        <w:t>Cortes RV, Nava-Flores</w:t>
      </w:r>
      <w:r w:rsidRPr="0039060C">
        <w:rPr>
          <w:rFonts w:ascii="Times New Roman" w:eastAsia="NewCenturySchlbkTR-Roman" w:hAnsi="Times New Roman"/>
          <w:b w:val="0"/>
          <w:color w:val="000000" w:themeColor="text1"/>
          <w:sz w:val="20"/>
          <w:szCs w:val="20"/>
        </w:rPr>
        <w:t xml:space="preserve"> G, Perez CC. Frecuenci de la desnutricion en ninos de un hospital pediatrico de tercer nivel. Rev Mexicana Pediatr 1995; 62: 131-3</w:t>
      </w:r>
      <w:r w:rsidRPr="0039060C">
        <w:rPr>
          <w:rFonts w:ascii="Times New Roman" w:hAnsi="Times New Roman"/>
          <w:b w:val="0"/>
          <w:color w:val="000000" w:themeColor="text1"/>
          <w:sz w:val="20"/>
          <w:szCs w:val="20"/>
        </w:rPr>
        <w:t xml:space="preserve"> </w:t>
      </w:r>
    </w:p>
    <w:p w:rsidR="0039060C" w:rsidRPr="0039060C" w:rsidRDefault="002A2CB9"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eastAsia="NewCenturySchlbkTR-Roman" w:hAnsi="Times New Roman"/>
          <w:b w:val="0"/>
          <w:color w:val="000000" w:themeColor="text1"/>
          <w:sz w:val="20"/>
          <w:szCs w:val="20"/>
        </w:rPr>
        <w:t>Genel F, Alhan F, Bak M. Prevalence of anemia and malnutrition in hospi</w:t>
      </w:r>
      <w:r w:rsidR="000846AC" w:rsidRPr="0039060C">
        <w:rPr>
          <w:rFonts w:ascii="Times New Roman" w:eastAsia="NewCenturySchlbkTR-Roman" w:hAnsi="Times New Roman"/>
          <w:b w:val="0"/>
          <w:color w:val="000000" w:themeColor="text1"/>
          <w:sz w:val="20"/>
          <w:szCs w:val="20"/>
        </w:rPr>
        <w:t>talized cases. T Klin J Pediatr</w:t>
      </w:r>
      <w:r w:rsidRPr="0039060C">
        <w:rPr>
          <w:rFonts w:ascii="Times New Roman" w:eastAsia="NewCenturySchlbkTR-Roman" w:hAnsi="Times New Roman"/>
          <w:b w:val="0"/>
          <w:color w:val="000000" w:themeColor="text1"/>
          <w:sz w:val="20"/>
          <w:szCs w:val="20"/>
        </w:rPr>
        <w:t xml:space="preserve"> 1997;6: 173-7.</w:t>
      </w:r>
      <w:r w:rsidRPr="0039060C">
        <w:rPr>
          <w:rFonts w:ascii="Times New Roman" w:hAnsi="Times New Roman"/>
          <w:b w:val="0"/>
          <w:color w:val="000000" w:themeColor="text1"/>
          <w:sz w:val="20"/>
          <w:szCs w:val="20"/>
        </w:rPr>
        <w:t xml:space="preserve"> </w:t>
      </w:r>
    </w:p>
    <w:p w:rsidR="0039060C" w:rsidRPr="0039060C" w:rsidRDefault="002A2CB9"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eastAsia="NewCenturySchlbkTR-Roman" w:hAnsi="Times New Roman"/>
          <w:b w:val="0"/>
          <w:color w:val="000000" w:themeColor="text1"/>
          <w:sz w:val="20"/>
          <w:szCs w:val="20"/>
        </w:rPr>
        <w:t>Ozer N, Urganc N, Usta A.  Determination of malnutrition in hospitalize</w:t>
      </w:r>
      <w:r w:rsidR="0039060C">
        <w:rPr>
          <w:rFonts w:ascii="Times New Roman" w:eastAsia="NewCenturySchlbkTR-Roman" w:hAnsi="Times New Roman"/>
          <w:b w:val="0"/>
          <w:color w:val="000000" w:themeColor="text1"/>
          <w:sz w:val="20"/>
          <w:szCs w:val="20"/>
        </w:rPr>
        <w:t>d children. T Klin J Pediatr</w:t>
      </w:r>
      <w:r w:rsidRPr="0039060C">
        <w:rPr>
          <w:rFonts w:ascii="Times New Roman" w:eastAsia="NewCenturySchlbkTR-Roman" w:hAnsi="Times New Roman"/>
          <w:b w:val="0"/>
          <w:color w:val="000000" w:themeColor="text1"/>
          <w:sz w:val="20"/>
          <w:szCs w:val="20"/>
        </w:rPr>
        <w:t xml:space="preserve"> 2001; 10: 133-8.</w:t>
      </w:r>
    </w:p>
    <w:p w:rsidR="0039060C" w:rsidRPr="0039060C" w:rsidRDefault="002A2CB9"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b w:val="0"/>
          <w:color w:val="000000" w:themeColor="text1"/>
          <w:sz w:val="20"/>
          <w:szCs w:val="20"/>
        </w:rPr>
        <w:t>Gibson R.S. Principles of Nutritional Assessment. Oxford University Press.  1</w:t>
      </w:r>
      <w:r w:rsidRPr="0039060C">
        <w:rPr>
          <w:rFonts w:ascii="Times New Roman" w:hAnsi="Times New Roman"/>
          <w:b w:val="0"/>
          <w:color w:val="000000" w:themeColor="text1"/>
          <w:sz w:val="20"/>
          <w:szCs w:val="20"/>
          <w:vertAlign w:val="superscript"/>
        </w:rPr>
        <w:t>st</w:t>
      </w:r>
      <w:r w:rsidRPr="0039060C">
        <w:rPr>
          <w:rFonts w:ascii="Times New Roman" w:hAnsi="Times New Roman"/>
          <w:b w:val="0"/>
          <w:color w:val="000000" w:themeColor="text1"/>
          <w:sz w:val="20"/>
          <w:szCs w:val="20"/>
        </w:rPr>
        <w:t xml:space="preserve"> Edition, 1990, 11-14</w:t>
      </w:r>
      <w:r w:rsidR="0039060C" w:rsidRPr="0039060C">
        <w:rPr>
          <w:rFonts w:ascii="Times New Roman" w:hAnsi="Times New Roman"/>
          <w:b w:val="0"/>
          <w:color w:val="000000" w:themeColor="text1"/>
          <w:sz w:val="20"/>
          <w:szCs w:val="20"/>
        </w:rPr>
        <w:t>.</w:t>
      </w:r>
    </w:p>
    <w:p w:rsidR="0039060C" w:rsidRPr="0039060C" w:rsidRDefault="002A2CB9" w:rsidP="0039060C">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Bauer J, S Capra, M Ferguson. Use of the scored patieny generated subjective global assessment as a nutrition assessment tool in patients with cancer. Eur</w:t>
      </w:r>
      <w:r w:rsidR="0039060C">
        <w:rPr>
          <w:rFonts w:ascii="Times New Roman" w:hAnsi="Times New Roman" w:cs="Times New Roman"/>
          <w:b w:val="0"/>
          <w:color w:val="000000" w:themeColor="text1"/>
          <w:sz w:val="20"/>
          <w:szCs w:val="20"/>
        </w:rPr>
        <w:t xml:space="preserve"> </w:t>
      </w:r>
      <w:r w:rsidR="000846AC" w:rsidRPr="0039060C">
        <w:rPr>
          <w:rFonts w:ascii="Times New Roman" w:hAnsi="Times New Roman" w:cs="Times New Roman"/>
          <w:b w:val="0"/>
          <w:color w:val="000000" w:themeColor="text1"/>
          <w:sz w:val="20"/>
          <w:szCs w:val="20"/>
        </w:rPr>
        <w:t>J</w:t>
      </w:r>
      <w:r w:rsidR="0039060C">
        <w:rPr>
          <w:rFonts w:ascii="Times New Roman" w:hAnsi="Times New Roman" w:cs="Times New Roman"/>
          <w:b w:val="0"/>
          <w:color w:val="000000" w:themeColor="text1"/>
          <w:sz w:val="20"/>
          <w:szCs w:val="20"/>
        </w:rPr>
        <w:t xml:space="preserve"> </w:t>
      </w:r>
      <w:r w:rsidR="000846AC" w:rsidRPr="0039060C">
        <w:rPr>
          <w:rFonts w:ascii="Times New Roman" w:hAnsi="Times New Roman" w:cs="Times New Roman"/>
          <w:b w:val="0"/>
          <w:color w:val="000000" w:themeColor="text1"/>
          <w:sz w:val="20"/>
          <w:szCs w:val="20"/>
        </w:rPr>
        <w:t>Clin Nutr 2002; 56:</w:t>
      </w:r>
      <w:r w:rsidRPr="0039060C">
        <w:rPr>
          <w:rFonts w:ascii="Times New Roman" w:hAnsi="Times New Roman" w:cs="Times New Roman"/>
          <w:b w:val="0"/>
          <w:color w:val="000000" w:themeColor="text1"/>
          <w:sz w:val="20"/>
          <w:szCs w:val="20"/>
        </w:rPr>
        <w:t xml:space="preserve"> 779-785</w:t>
      </w:r>
      <w:r w:rsidR="0039060C" w:rsidRPr="0039060C">
        <w:rPr>
          <w:rFonts w:ascii="Times New Roman" w:hAnsi="Times New Roman" w:cs="Times New Roman"/>
          <w:b w:val="0"/>
          <w:color w:val="000000" w:themeColor="text1"/>
          <w:sz w:val="20"/>
          <w:szCs w:val="20"/>
        </w:rPr>
        <w:t>.</w:t>
      </w:r>
    </w:p>
    <w:p w:rsidR="0039060C" w:rsidRPr="0039060C" w:rsidRDefault="002A2CB9" w:rsidP="002A2CB9">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Baker JP, Detsky AS, Wesson DE. Nutritional assessment: a comparison of clinical judgement and operative measurements. N Eng J Med 1982; 306: 969-72.</w:t>
      </w:r>
    </w:p>
    <w:p w:rsidR="002A2CB9" w:rsidRPr="0039060C" w:rsidRDefault="002A2CB9" w:rsidP="002A2CB9">
      <w:pPr>
        <w:pStyle w:val="Balk1"/>
        <w:numPr>
          <w:ilvl w:val="0"/>
          <w:numId w:val="16"/>
        </w:numPr>
        <w:shd w:val="clear" w:color="auto" w:fill="FFFFFF"/>
        <w:tabs>
          <w:tab w:val="left" w:pos="142"/>
          <w:tab w:val="left" w:pos="284"/>
        </w:tabs>
        <w:spacing w:before="120" w:after="120"/>
        <w:ind w:left="0" w:firstLine="0"/>
        <w:jc w:val="both"/>
        <w:rPr>
          <w:rFonts w:ascii="Times New Roman" w:hAnsi="Times New Roman" w:cs="Times New Roman"/>
          <w:b w:val="0"/>
          <w:color w:val="000000" w:themeColor="text1"/>
          <w:sz w:val="20"/>
          <w:szCs w:val="20"/>
        </w:rPr>
      </w:pPr>
      <w:r w:rsidRPr="0039060C">
        <w:rPr>
          <w:rFonts w:ascii="Times New Roman" w:hAnsi="Times New Roman" w:cs="Times New Roman"/>
          <w:b w:val="0"/>
          <w:color w:val="000000" w:themeColor="text1"/>
          <w:sz w:val="20"/>
          <w:szCs w:val="20"/>
        </w:rPr>
        <w:t xml:space="preserve">Detsky AS, McLaughlin JR, Baker JP, Johnston N, Whittaker S, Mendelson RA, Jeejeebhoy KN. What is subjective global assessment of nutritional status? </w:t>
      </w:r>
      <w:r w:rsidRPr="0039060C">
        <w:rPr>
          <w:rFonts w:ascii="Times New Roman" w:hAnsi="Times New Roman" w:cs="Times New Roman"/>
          <w:b w:val="0"/>
          <w:iCs/>
          <w:color w:val="000000" w:themeColor="text1"/>
          <w:sz w:val="20"/>
          <w:szCs w:val="20"/>
        </w:rPr>
        <w:t>JPEN J Parenter Enteral Nutr</w:t>
      </w:r>
      <w:r w:rsidRPr="0039060C">
        <w:rPr>
          <w:rFonts w:ascii="Times New Roman" w:hAnsi="Times New Roman" w:cs="Times New Roman"/>
          <w:b w:val="0"/>
          <w:color w:val="000000" w:themeColor="text1"/>
          <w:sz w:val="20"/>
          <w:szCs w:val="20"/>
        </w:rPr>
        <w:t xml:space="preserve"> 1987; 11: 8-13.</w:t>
      </w:r>
    </w:p>
    <w:p w:rsidR="00000055" w:rsidRPr="00765E8A" w:rsidRDefault="00000055" w:rsidP="002A2CB9">
      <w:pPr>
        <w:pStyle w:val="ListeParagraf"/>
        <w:spacing w:before="120" w:after="120"/>
        <w:ind w:left="1080"/>
        <w:jc w:val="both"/>
        <w:rPr>
          <w:rFonts w:ascii="Times New Roman" w:hAnsi="Times New Roman"/>
          <w:color w:val="000000" w:themeColor="text1"/>
          <w:sz w:val="20"/>
          <w:szCs w:val="20"/>
        </w:rPr>
      </w:pPr>
    </w:p>
    <w:sectPr w:rsidR="00000055" w:rsidRPr="00765E8A" w:rsidSect="006D7A3F">
      <w:type w:val="continuous"/>
      <w:pgSz w:w="11906" w:h="16838"/>
      <w:pgMar w:top="1985" w:right="1133" w:bottom="1418" w:left="993" w:header="708" w:footer="708" w:gutter="0"/>
      <w:pgBorders w:offsetFrom="page">
        <w:top w:val="double" w:sz="4" w:space="24" w:color="auto"/>
        <w:left w:val="double" w:sz="4" w:space="24" w:color="auto"/>
        <w:bottom w:val="double" w:sz="4" w:space="24" w:color="auto"/>
        <w:right w:val="double" w:sz="4" w:space="24" w:color="auto"/>
      </w:pgBorders>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E73" w:rsidRDefault="00802E73" w:rsidP="00A74D0A">
      <w:pPr>
        <w:spacing w:after="0" w:line="240" w:lineRule="auto"/>
      </w:pPr>
      <w:r>
        <w:separator/>
      </w:r>
    </w:p>
  </w:endnote>
  <w:endnote w:type="continuationSeparator" w:id="0">
    <w:p w:rsidR="00802E73" w:rsidRDefault="00802E73" w:rsidP="00A74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OTNEJMQuadraat">
    <w:altName w:val="Times New Roman"/>
    <w:panose1 w:val="00000000000000000000"/>
    <w:charset w:val="00"/>
    <w:family w:val="roman"/>
    <w:notTrueType/>
    <w:pitch w:val="default"/>
    <w:sig w:usb0="00000003" w:usb1="00000000" w:usb2="00000000" w:usb3="00000000" w:csb0="00000001" w:csb1="00000000"/>
  </w:font>
  <w:font w:name="OTNEJMScalaSansLF">
    <w:altName w:val="Arial"/>
    <w:panose1 w:val="00000000000000000000"/>
    <w:charset w:val="00"/>
    <w:family w:val="swiss"/>
    <w:notTrueType/>
    <w:pitch w:val="default"/>
    <w:sig w:usb0="00000003" w:usb1="00000000" w:usb2="00000000" w:usb3="00000000" w:csb0="00000001" w:csb1="00000000"/>
  </w:font>
  <w:font w:name="OTNEJMQuadraatSmallCap">
    <w:altName w:val="OTNEJMQuadraatSmallCap"/>
    <w:panose1 w:val="00000000000000000000"/>
    <w:charset w:val="00"/>
    <w:family w:val="roman"/>
    <w:notTrueType/>
    <w:pitch w:val="default"/>
    <w:sig w:usb0="00000003" w:usb1="00000000" w:usb2="00000000" w:usb3="00000000" w:csb0="00000001" w:csb1="00000000"/>
  </w:font>
  <w:font w:name="NewCenturySchlbkTR-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878" w:rsidRDefault="004E5B77">
    <w:pPr>
      <w:pStyle w:val="Altbilgi"/>
    </w:pPr>
    <w:r>
      <w:rPr>
        <w:noProof/>
      </w:rPr>
      <w:pict>
        <v:group id="Group 4" o:spid="_x0000_s4097" style="position:absolute;margin-left:28.15pt;margin-top:-5.75pt;width:540.3pt;height:27.35pt;z-index:25166336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">
          <v:rect id="Rectangle 5" o:spid="_x0000_s4100"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P8MA&#10;AADaAAAADwAAAGRycy9kb3ducmV2LnhtbESPwWrDMBBE74X8g9hAb42cFNrgRDbBoVAKOdjJB2ys&#10;jWxirYykJm6/vioUehxm5g2zLSc7iBv50DtWsFxkIIhbp3s2Ck7Ht6c1iBCRNQ6OScEXBSiL2cMW&#10;c+3uXNOtiUYkCIccFXQxjrmUoe3IYli4kTh5F+ctxiS9kdrjPcHtIFdZ9iIt9pwWOhyp6qi9Np9W&#10;wbE+7HzzfKorZw6hMvvzx/f4qtTjfNptQESa4n/4r/2uFazg90q6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y+P8MAAADaAAAADwAAAAAAAAAAAAAAAACYAgAAZHJzL2Rv&#10;d25yZXYueG1sUEsFBgAAAAAEAAQA9QAAAIgDAAAAAA==&#10;" fillcolor="#80865a [2406]" strokecolor="#716767 [2409]">
            <v:textbox>
              <w:txbxContent>
                <w:sdt>
                  <w:sdtPr>
                    <w:rPr>
                      <w:color w:val="FFFFFF" w:themeColor="background1"/>
                      <w:spacing w:val="60"/>
                    </w:rPr>
                    <w:alias w:val="Adres"/>
                    <w:id w:val="9101736"/>
                    <w:dataBinding w:prefixMappings="xmlns:ns0='http://schemas.microsoft.com/office/2006/coverPageProps'" w:xpath="/ns0:CoverPageProperties[1]/ns0:CompanyAddress[1]" w:storeItemID="{55AF091B-3C7A-41E3-B477-F2FDAA23CFDA}"/>
                    <w:text w:multiLine="1"/>
                  </w:sdtPr>
                  <w:sdtContent>
                    <w:p w:rsidR="00CE3878" w:rsidRDefault="00CE3878">
                      <w:pPr>
                        <w:pStyle w:val="Altbilgi"/>
                        <w:jc w:val="right"/>
                        <w:rPr>
                          <w:color w:val="FFFFFF" w:themeColor="background1"/>
                          <w:spacing w:val="60"/>
                        </w:rPr>
                      </w:pPr>
                      <w:r>
                        <w:rPr>
                          <w:color w:val="FFFFFF" w:themeColor="background1"/>
                          <w:spacing w:val="60"/>
                        </w:rPr>
                        <w:t>Journal of Pediatric Sciences</w:t>
                      </w:r>
                    </w:p>
                  </w:sdtContent>
                </w:sdt>
                <w:p w:rsidR="00CE3878" w:rsidRDefault="00CE3878">
                  <w:pPr>
                    <w:pStyle w:val="stbilgi"/>
                    <w:rPr>
                      <w:color w:val="FFFFFF" w:themeColor="background1"/>
                    </w:rPr>
                  </w:pPr>
                </w:p>
              </w:txbxContent>
            </v:textbox>
          </v:rect>
          <v:rect id="Rectangle 6" o:spid="_x0000_s4099"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bpMIA&#10;AADaAAAADwAAAGRycy9kb3ducmV2LnhtbESPUWvCMBSF34X9h3AHvmk6hU2qUaRDkIEPrf6Aa3OX&#10;ljU3JYla9+sXQdjj4ZzzHc5qM9hOXMmH1rGCt2kGgrh2umWj4HTcTRYgQkTW2DkmBXcKsFm/jFaY&#10;a3fjkq5VNCJBOOSooImxz6UMdUMWw9T1xMn7dt5iTNIbqT3eEtx2cpZl79Jiy2mhwZ6Khuqf6mIV&#10;HMvD1lfzU1k4cwiF+Tx//fYfSo1fh+0SRKQh/oef7b1WMIfHlX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BukwgAAANoAAAAPAAAAAAAAAAAAAAAAAJgCAABkcnMvZG93&#10;bnJldi54bWxQSwUGAAAAAAQABAD1AAAAhwMAAAAA&#10;" fillcolor="#80865a [2406]" strokecolor="#716767 [2409]">
            <v:textbox>
              <w:txbxContent>
                <w:p w:rsidR="00CE3878" w:rsidRDefault="001F4D85">
                  <w:pPr>
                    <w:pStyle w:val="Altbilgi"/>
                    <w:rPr>
                      <w:color w:val="FFFFFF" w:themeColor="background1"/>
                    </w:rPr>
                  </w:pPr>
                  <w:r>
                    <w:rPr>
                      <w:color w:val="FFFFFF" w:themeColor="background1"/>
                    </w:rPr>
                    <w:t>2012;4(</w:t>
                  </w:r>
                  <w:r w:rsidR="007E3976">
                    <w:rPr>
                      <w:color w:val="FFFFFF" w:themeColor="background1"/>
                    </w:rPr>
                    <w:t>3</w:t>
                  </w:r>
                  <w:r>
                    <w:rPr>
                      <w:color w:val="FFFFFF" w:themeColor="background1"/>
                    </w:rPr>
                    <w:t>);e13</w:t>
                  </w:r>
                  <w:r w:rsidR="00956D0B">
                    <w:rPr>
                      <w:color w:val="FFFFFF" w:themeColor="background1"/>
                    </w:rPr>
                    <w:t>6</w:t>
                  </w:r>
                </w:p>
              </w:txbxContent>
            </v:textbox>
          </v:rect>
          <v:rect id="Rectangle 7" o:spid="_x0000_s4098"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E73" w:rsidRDefault="00802E73" w:rsidP="00A74D0A">
      <w:pPr>
        <w:spacing w:after="0" w:line="240" w:lineRule="auto"/>
      </w:pPr>
      <w:r>
        <w:separator/>
      </w:r>
    </w:p>
  </w:footnote>
  <w:footnote w:type="continuationSeparator" w:id="0">
    <w:p w:rsidR="00802E73" w:rsidRDefault="00802E73" w:rsidP="00A74D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834"/>
      <w:docPartObj>
        <w:docPartGallery w:val="Page Numbers (Top of Page)"/>
        <w:docPartUnique/>
      </w:docPartObj>
    </w:sdtPr>
    <w:sdtContent>
      <w:p w:rsidR="00CE3878" w:rsidRDefault="004E5B77">
        <w:pPr>
          <w:pStyle w:val="stbilgi"/>
          <w:jc w:val="right"/>
        </w:pPr>
        <w:fldSimple w:instr=" PAGE   \* MERGEFORMAT ">
          <w:r w:rsidR="00407A2E">
            <w:rPr>
              <w:noProof/>
            </w:rPr>
            <w:t>6</w:t>
          </w:r>
        </w:fldSimple>
      </w:p>
    </w:sdtContent>
  </w:sdt>
  <w:p w:rsidR="00CE3878" w:rsidRDefault="00CE387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878" w:rsidRDefault="00CE3878">
    <w:pPr>
      <w:pStyle w:val="stbilgi"/>
      <w:jc w:val="right"/>
    </w:pPr>
  </w:p>
  <w:p w:rsidR="00CE3878" w:rsidRDefault="00CE387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2F057F3"/>
    <w:multiLevelType w:val="hybridMultilevel"/>
    <w:tmpl w:val="0B6EC2F4"/>
    <w:lvl w:ilvl="0" w:tplc="3C085F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857508"/>
    <w:multiLevelType w:val="hybridMultilevel"/>
    <w:tmpl w:val="8C0E8D42"/>
    <w:lvl w:ilvl="0" w:tplc="61708B68">
      <w:start w:val="1"/>
      <w:numFmt w:val="decimal"/>
      <w:lvlText w:val="%1."/>
      <w:lvlJc w:val="left"/>
      <w:pPr>
        <w:tabs>
          <w:tab w:val="num" w:pos="720"/>
        </w:tabs>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A31A10"/>
    <w:multiLevelType w:val="hybridMultilevel"/>
    <w:tmpl w:val="143EF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657EF9"/>
    <w:multiLevelType w:val="hybridMultilevel"/>
    <w:tmpl w:val="CCC4F8C0"/>
    <w:lvl w:ilvl="0" w:tplc="617640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647614"/>
    <w:multiLevelType w:val="hybridMultilevel"/>
    <w:tmpl w:val="37704D90"/>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0B27BE3"/>
    <w:multiLevelType w:val="hybridMultilevel"/>
    <w:tmpl w:val="A7B8D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2A5CC6"/>
    <w:multiLevelType w:val="hybridMultilevel"/>
    <w:tmpl w:val="B8C0266C"/>
    <w:lvl w:ilvl="0" w:tplc="AE905C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6440D7"/>
    <w:multiLevelType w:val="hybridMultilevel"/>
    <w:tmpl w:val="06F2C300"/>
    <w:lvl w:ilvl="0" w:tplc="1E04E7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DC576D9"/>
    <w:multiLevelType w:val="hybridMultilevel"/>
    <w:tmpl w:val="3D9C0F5E"/>
    <w:lvl w:ilvl="0" w:tplc="792E69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81567DD"/>
    <w:multiLevelType w:val="hybridMultilevel"/>
    <w:tmpl w:val="B8820256"/>
    <w:lvl w:ilvl="0" w:tplc="1AE8A10C">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5C6B3F7E"/>
    <w:multiLevelType w:val="hybridMultilevel"/>
    <w:tmpl w:val="EDC4216A"/>
    <w:lvl w:ilvl="0" w:tplc="CD9EBE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BF1EE8"/>
    <w:multiLevelType w:val="hybridMultilevel"/>
    <w:tmpl w:val="C3E0E8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FC97CC9"/>
    <w:multiLevelType w:val="hybridMultilevel"/>
    <w:tmpl w:val="38B026E4"/>
    <w:lvl w:ilvl="0" w:tplc="4D32DC5E">
      <w:start w:val="1"/>
      <w:numFmt w:val="decimal"/>
      <w:lvlText w:val="%1-"/>
      <w:lvlJc w:val="left"/>
      <w:pPr>
        <w:tabs>
          <w:tab w:val="num" w:pos="1080"/>
        </w:tabs>
        <w:ind w:left="1080" w:hanging="360"/>
      </w:pPr>
      <w:rPr>
        <w:rFonts w:ascii="Times New Roman" w:eastAsia="Times New Roman" w:hAnsi="Times New Roman" w:cs="Times New Roman"/>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0561B04"/>
    <w:multiLevelType w:val="hybridMultilevel"/>
    <w:tmpl w:val="58D0AD32"/>
    <w:lvl w:ilvl="0" w:tplc="05CE10D8">
      <w:start w:val="1"/>
      <w:numFmt w:val="decimal"/>
      <w:lvlText w:val="%1-"/>
      <w:lvlJc w:val="left"/>
      <w:pPr>
        <w:tabs>
          <w:tab w:val="num" w:pos="900"/>
        </w:tabs>
        <w:ind w:left="900" w:hanging="360"/>
      </w:pPr>
      <w:rPr>
        <w:rFonts w:ascii="Times New Roman" w:eastAsiaTheme="minorEastAsia" w:hAnsi="Times New Roman" w:cs="Times New Roman"/>
      </w:rPr>
    </w:lvl>
    <w:lvl w:ilvl="1" w:tplc="4009000F">
      <w:start w:val="1"/>
      <w:numFmt w:val="decimal"/>
      <w:lvlText w:val="%2."/>
      <w:lvlJc w:val="left"/>
      <w:pPr>
        <w:tabs>
          <w:tab w:val="num" w:pos="1620"/>
        </w:tabs>
        <w:ind w:left="1620" w:hanging="360"/>
      </w:pPr>
      <w:rPr>
        <w:rFonts w:hint="default"/>
      </w:rPr>
    </w:lvl>
    <w:lvl w:ilvl="2" w:tplc="40090005" w:tentative="1">
      <w:start w:val="1"/>
      <w:numFmt w:val="bullet"/>
      <w:lvlText w:val=""/>
      <w:lvlJc w:val="left"/>
      <w:pPr>
        <w:tabs>
          <w:tab w:val="num" w:pos="2340"/>
        </w:tabs>
        <w:ind w:left="2340" w:hanging="360"/>
      </w:pPr>
      <w:rPr>
        <w:rFonts w:ascii="Wingdings" w:hAnsi="Wingdings" w:hint="default"/>
      </w:rPr>
    </w:lvl>
    <w:lvl w:ilvl="3" w:tplc="40090001" w:tentative="1">
      <w:start w:val="1"/>
      <w:numFmt w:val="bullet"/>
      <w:lvlText w:val=""/>
      <w:lvlJc w:val="left"/>
      <w:pPr>
        <w:tabs>
          <w:tab w:val="num" w:pos="3060"/>
        </w:tabs>
        <w:ind w:left="3060" w:hanging="360"/>
      </w:pPr>
      <w:rPr>
        <w:rFonts w:ascii="Symbol" w:hAnsi="Symbol" w:hint="default"/>
      </w:rPr>
    </w:lvl>
    <w:lvl w:ilvl="4" w:tplc="40090003" w:tentative="1">
      <w:start w:val="1"/>
      <w:numFmt w:val="bullet"/>
      <w:lvlText w:val="o"/>
      <w:lvlJc w:val="left"/>
      <w:pPr>
        <w:tabs>
          <w:tab w:val="num" w:pos="3780"/>
        </w:tabs>
        <w:ind w:left="3780" w:hanging="360"/>
      </w:pPr>
      <w:rPr>
        <w:rFonts w:ascii="Courier New" w:hAnsi="Courier New" w:cs="Courier New" w:hint="default"/>
      </w:rPr>
    </w:lvl>
    <w:lvl w:ilvl="5" w:tplc="40090005" w:tentative="1">
      <w:start w:val="1"/>
      <w:numFmt w:val="bullet"/>
      <w:lvlText w:val=""/>
      <w:lvlJc w:val="left"/>
      <w:pPr>
        <w:tabs>
          <w:tab w:val="num" w:pos="4500"/>
        </w:tabs>
        <w:ind w:left="4500" w:hanging="360"/>
      </w:pPr>
      <w:rPr>
        <w:rFonts w:ascii="Wingdings" w:hAnsi="Wingdings" w:hint="default"/>
      </w:rPr>
    </w:lvl>
    <w:lvl w:ilvl="6" w:tplc="40090001" w:tentative="1">
      <w:start w:val="1"/>
      <w:numFmt w:val="bullet"/>
      <w:lvlText w:val=""/>
      <w:lvlJc w:val="left"/>
      <w:pPr>
        <w:tabs>
          <w:tab w:val="num" w:pos="5220"/>
        </w:tabs>
        <w:ind w:left="5220" w:hanging="360"/>
      </w:pPr>
      <w:rPr>
        <w:rFonts w:ascii="Symbol" w:hAnsi="Symbol" w:hint="default"/>
      </w:rPr>
    </w:lvl>
    <w:lvl w:ilvl="7" w:tplc="40090003" w:tentative="1">
      <w:start w:val="1"/>
      <w:numFmt w:val="bullet"/>
      <w:lvlText w:val="o"/>
      <w:lvlJc w:val="left"/>
      <w:pPr>
        <w:tabs>
          <w:tab w:val="num" w:pos="5940"/>
        </w:tabs>
        <w:ind w:left="5940" w:hanging="360"/>
      </w:pPr>
      <w:rPr>
        <w:rFonts w:ascii="Courier New" w:hAnsi="Courier New" w:cs="Courier New" w:hint="default"/>
      </w:rPr>
    </w:lvl>
    <w:lvl w:ilvl="8" w:tplc="40090005" w:tentative="1">
      <w:start w:val="1"/>
      <w:numFmt w:val="bullet"/>
      <w:lvlText w:val=""/>
      <w:lvlJc w:val="left"/>
      <w:pPr>
        <w:tabs>
          <w:tab w:val="num" w:pos="6660"/>
        </w:tabs>
        <w:ind w:left="6660" w:hanging="360"/>
      </w:pPr>
      <w:rPr>
        <w:rFonts w:ascii="Wingdings" w:hAnsi="Wingdings" w:hint="default"/>
      </w:rPr>
    </w:lvl>
  </w:abstractNum>
  <w:abstractNum w:abstractNumId="15">
    <w:nsid w:val="67ED48C2"/>
    <w:multiLevelType w:val="hybridMultilevel"/>
    <w:tmpl w:val="11262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C94C3B"/>
    <w:multiLevelType w:val="hybridMultilevel"/>
    <w:tmpl w:val="6DF480F8"/>
    <w:lvl w:ilvl="0" w:tplc="244A8B04">
      <w:start w:val="1"/>
      <w:numFmt w:val="decimal"/>
      <w:lvlText w:val="%1-"/>
      <w:lvlJc w:val="left"/>
      <w:pPr>
        <w:ind w:left="1068" w:hanging="360"/>
      </w:pPr>
      <w:rPr>
        <w:rFonts w:ascii="Times New Roman" w:eastAsiaTheme="majorEastAsia"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0"/>
  </w:num>
  <w:num w:numId="2">
    <w:abstractNumId w:val="9"/>
  </w:num>
  <w:num w:numId="3">
    <w:abstractNumId w:val="15"/>
  </w:num>
  <w:num w:numId="4">
    <w:abstractNumId w:val="8"/>
  </w:num>
  <w:num w:numId="5">
    <w:abstractNumId w:val="4"/>
  </w:num>
  <w:num w:numId="6">
    <w:abstractNumId w:val="14"/>
  </w:num>
  <w:num w:numId="7">
    <w:abstractNumId w:val="12"/>
  </w:num>
  <w:num w:numId="8">
    <w:abstractNumId w:val="0"/>
  </w:num>
  <w:num w:numId="9">
    <w:abstractNumId w:val="5"/>
  </w:num>
  <w:num w:numId="10">
    <w:abstractNumId w:val="3"/>
  </w:num>
  <w:num w:numId="11">
    <w:abstractNumId w:val="6"/>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hideGrammaticalErrors/>
  <w:defaultTabStop w:val="708"/>
  <w:hyphenationZone w:val="425"/>
  <w:drawingGridHorizontalSpacing w:val="110"/>
  <w:displayHorizontalDrawingGridEvery w:val="2"/>
  <w:characterSpacingControl w:val="doNotCompress"/>
  <w:hdrShapeDefaults>
    <o:shapedefaults v:ext="edit" spidmax="37890" style="mso-position-horizontal-relative:page;mso-position-vertical-relative:bottom-margin-area" fillcolor="none [2894]" strokecolor="none [3212]">
      <v:fill color="none [2894]"/>
      <v:stroke color="none [3212]"/>
      <v:shadow color="#868686"/>
      <o:colormenu v:ext="edit" strokecolor="#00b0f0"/>
    </o:shapedefaults>
    <o:shapelayout v:ext="edit">
      <o:idmap v:ext="edit" data="4"/>
    </o:shapelayout>
  </w:hdrShapeDefaults>
  <w:footnotePr>
    <w:footnote w:id="-1"/>
    <w:footnote w:id="0"/>
  </w:footnotePr>
  <w:endnotePr>
    <w:endnote w:id="-1"/>
    <w:endnote w:id="0"/>
  </w:endnotePr>
  <w:compat>
    <w:useFELayout/>
  </w:compat>
  <w:rsids>
    <w:rsidRoot w:val="00A74D0A"/>
    <w:rsid w:val="00000055"/>
    <w:rsid w:val="00002801"/>
    <w:rsid w:val="000046B5"/>
    <w:rsid w:val="00005DE7"/>
    <w:rsid w:val="00011BCE"/>
    <w:rsid w:val="000171F6"/>
    <w:rsid w:val="000221BC"/>
    <w:rsid w:val="00023CC1"/>
    <w:rsid w:val="00035440"/>
    <w:rsid w:val="0004131F"/>
    <w:rsid w:val="000444EC"/>
    <w:rsid w:val="00044870"/>
    <w:rsid w:val="0004489A"/>
    <w:rsid w:val="0004625D"/>
    <w:rsid w:val="000530EE"/>
    <w:rsid w:val="000630A7"/>
    <w:rsid w:val="00064774"/>
    <w:rsid w:val="00073CCD"/>
    <w:rsid w:val="00080688"/>
    <w:rsid w:val="00081EAC"/>
    <w:rsid w:val="000846AC"/>
    <w:rsid w:val="00087451"/>
    <w:rsid w:val="000911C6"/>
    <w:rsid w:val="00091FD9"/>
    <w:rsid w:val="000927F5"/>
    <w:rsid w:val="00093376"/>
    <w:rsid w:val="00093D9C"/>
    <w:rsid w:val="00095E9C"/>
    <w:rsid w:val="000A15C7"/>
    <w:rsid w:val="000A3282"/>
    <w:rsid w:val="000B7BD8"/>
    <w:rsid w:val="000C3B34"/>
    <w:rsid w:val="000D6E30"/>
    <w:rsid w:val="000D7C75"/>
    <w:rsid w:val="00100EF9"/>
    <w:rsid w:val="0010173F"/>
    <w:rsid w:val="00103EEF"/>
    <w:rsid w:val="00110DC2"/>
    <w:rsid w:val="00111722"/>
    <w:rsid w:val="001168E2"/>
    <w:rsid w:val="0012059B"/>
    <w:rsid w:val="0012114A"/>
    <w:rsid w:val="00131CED"/>
    <w:rsid w:val="00132001"/>
    <w:rsid w:val="00133395"/>
    <w:rsid w:val="00140A72"/>
    <w:rsid w:val="00144371"/>
    <w:rsid w:val="00145BEF"/>
    <w:rsid w:val="001636AD"/>
    <w:rsid w:val="00165D8F"/>
    <w:rsid w:val="00167291"/>
    <w:rsid w:val="00171F3D"/>
    <w:rsid w:val="00174118"/>
    <w:rsid w:val="00176432"/>
    <w:rsid w:val="00185492"/>
    <w:rsid w:val="0019050A"/>
    <w:rsid w:val="00192B2F"/>
    <w:rsid w:val="00196213"/>
    <w:rsid w:val="001A1E36"/>
    <w:rsid w:val="001A3096"/>
    <w:rsid w:val="001A3A65"/>
    <w:rsid w:val="001A3BFC"/>
    <w:rsid w:val="001A4B05"/>
    <w:rsid w:val="001C1DC2"/>
    <w:rsid w:val="001C6229"/>
    <w:rsid w:val="001D194F"/>
    <w:rsid w:val="001D2840"/>
    <w:rsid w:val="001D440B"/>
    <w:rsid w:val="001D4A3F"/>
    <w:rsid w:val="001D5092"/>
    <w:rsid w:val="001D647D"/>
    <w:rsid w:val="001E79D4"/>
    <w:rsid w:val="001F4D85"/>
    <w:rsid w:val="001F6E00"/>
    <w:rsid w:val="00203837"/>
    <w:rsid w:val="00204211"/>
    <w:rsid w:val="0021661B"/>
    <w:rsid w:val="00220CEB"/>
    <w:rsid w:val="00222735"/>
    <w:rsid w:val="00222A6C"/>
    <w:rsid w:val="00230A87"/>
    <w:rsid w:val="00231342"/>
    <w:rsid w:val="00246E46"/>
    <w:rsid w:val="00255440"/>
    <w:rsid w:val="00262980"/>
    <w:rsid w:val="002637A7"/>
    <w:rsid w:val="00264807"/>
    <w:rsid w:val="0028711A"/>
    <w:rsid w:val="002956B7"/>
    <w:rsid w:val="00296E2C"/>
    <w:rsid w:val="00297840"/>
    <w:rsid w:val="002A2CB9"/>
    <w:rsid w:val="002A52CB"/>
    <w:rsid w:val="002B5DF2"/>
    <w:rsid w:val="002B79F0"/>
    <w:rsid w:val="002C37C1"/>
    <w:rsid w:val="002D16F1"/>
    <w:rsid w:val="002D22C0"/>
    <w:rsid w:val="002D51D9"/>
    <w:rsid w:val="002D7E1D"/>
    <w:rsid w:val="002E262F"/>
    <w:rsid w:val="002E2CE9"/>
    <w:rsid w:val="00303082"/>
    <w:rsid w:val="00321310"/>
    <w:rsid w:val="00333122"/>
    <w:rsid w:val="00334C41"/>
    <w:rsid w:val="00334F23"/>
    <w:rsid w:val="0033701F"/>
    <w:rsid w:val="00340486"/>
    <w:rsid w:val="0034651D"/>
    <w:rsid w:val="00346E8B"/>
    <w:rsid w:val="00346FF8"/>
    <w:rsid w:val="00351755"/>
    <w:rsid w:val="00364DF7"/>
    <w:rsid w:val="00371A48"/>
    <w:rsid w:val="00371A8E"/>
    <w:rsid w:val="003763E2"/>
    <w:rsid w:val="0038334A"/>
    <w:rsid w:val="0039060C"/>
    <w:rsid w:val="00390F2A"/>
    <w:rsid w:val="00393357"/>
    <w:rsid w:val="0039438F"/>
    <w:rsid w:val="003960FC"/>
    <w:rsid w:val="00396998"/>
    <w:rsid w:val="003A4D50"/>
    <w:rsid w:val="003B5CA2"/>
    <w:rsid w:val="003B7485"/>
    <w:rsid w:val="003C6F87"/>
    <w:rsid w:val="003D165E"/>
    <w:rsid w:val="003D52FE"/>
    <w:rsid w:val="003D665D"/>
    <w:rsid w:val="003D78FA"/>
    <w:rsid w:val="003E07B2"/>
    <w:rsid w:val="003E14E4"/>
    <w:rsid w:val="003E3738"/>
    <w:rsid w:val="003E63E8"/>
    <w:rsid w:val="003E6D7D"/>
    <w:rsid w:val="003E7BAE"/>
    <w:rsid w:val="003F03F3"/>
    <w:rsid w:val="003F1EA5"/>
    <w:rsid w:val="003F2833"/>
    <w:rsid w:val="00402EE1"/>
    <w:rsid w:val="0040780B"/>
    <w:rsid w:val="00407A2E"/>
    <w:rsid w:val="00411A41"/>
    <w:rsid w:val="00411E37"/>
    <w:rsid w:val="00412C37"/>
    <w:rsid w:val="00412F56"/>
    <w:rsid w:val="00416530"/>
    <w:rsid w:val="00422307"/>
    <w:rsid w:val="00430D76"/>
    <w:rsid w:val="00432D2B"/>
    <w:rsid w:val="00434378"/>
    <w:rsid w:val="00434A59"/>
    <w:rsid w:val="00444946"/>
    <w:rsid w:val="004462FC"/>
    <w:rsid w:val="00447B5E"/>
    <w:rsid w:val="00451D5E"/>
    <w:rsid w:val="00453B26"/>
    <w:rsid w:val="00461A38"/>
    <w:rsid w:val="004663BD"/>
    <w:rsid w:val="00475283"/>
    <w:rsid w:val="00475297"/>
    <w:rsid w:val="004772D5"/>
    <w:rsid w:val="004800CD"/>
    <w:rsid w:val="00491E5D"/>
    <w:rsid w:val="00494B80"/>
    <w:rsid w:val="004A2895"/>
    <w:rsid w:val="004A3FED"/>
    <w:rsid w:val="004C2F5F"/>
    <w:rsid w:val="004C6A1C"/>
    <w:rsid w:val="004D55AC"/>
    <w:rsid w:val="004D57CC"/>
    <w:rsid w:val="004E1FBA"/>
    <w:rsid w:val="004E3093"/>
    <w:rsid w:val="004E5B77"/>
    <w:rsid w:val="004E61C1"/>
    <w:rsid w:val="004E6496"/>
    <w:rsid w:val="004F2961"/>
    <w:rsid w:val="004F60F3"/>
    <w:rsid w:val="00515D68"/>
    <w:rsid w:val="005177B4"/>
    <w:rsid w:val="00522566"/>
    <w:rsid w:val="005225E7"/>
    <w:rsid w:val="00525A2C"/>
    <w:rsid w:val="005333AD"/>
    <w:rsid w:val="0053568D"/>
    <w:rsid w:val="0055078E"/>
    <w:rsid w:val="00551382"/>
    <w:rsid w:val="0056021D"/>
    <w:rsid w:val="005703F0"/>
    <w:rsid w:val="0057670A"/>
    <w:rsid w:val="00577F96"/>
    <w:rsid w:val="00580981"/>
    <w:rsid w:val="00582F01"/>
    <w:rsid w:val="00584272"/>
    <w:rsid w:val="00584A54"/>
    <w:rsid w:val="00584FE6"/>
    <w:rsid w:val="0059139A"/>
    <w:rsid w:val="0059236C"/>
    <w:rsid w:val="005934FB"/>
    <w:rsid w:val="0059401B"/>
    <w:rsid w:val="005A402B"/>
    <w:rsid w:val="005A5DDE"/>
    <w:rsid w:val="005B2E1E"/>
    <w:rsid w:val="005B6561"/>
    <w:rsid w:val="005C38D8"/>
    <w:rsid w:val="005D00D2"/>
    <w:rsid w:val="005D3E2A"/>
    <w:rsid w:val="005D476A"/>
    <w:rsid w:val="005D6F1B"/>
    <w:rsid w:val="005E5CF8"/>
    <w:rsid w:val="005F0F38"/>
    <w:rsid w:val="005F3E6C"/>
    <w:rsid w:val="006359F3"/>
    <w:rsid w:val="0063643F"/>
    <w:rsid w:val="006401EC"/>
    <w:rsid w:val="00650FEB"/>
    <w:rsid w:val="00654D54"/>
    <w:rsid w:val="00666416"/>
    <w:rsid w:val="0068039F"/>
    <w:rsid w:val="00680701"/>
    <w:rsid w:val="00682C6E"/>
    <w:rsid w:val="0068322B"/>
    <w:rsid w:val="0068701F"/>
    <w:rsid w:val="006917FF"/>
    <w:rsid w:val="00695D91"/>
    <w:rsid w:val="006A1B65"/>
    <w:rsid w:val="006A3298"/>
    <w:rsid w:val="006B0265"/>
    <w:rsid w:val="006B1927"/>
    <w:rsid w:val="006B455A"/>
    <w:rsid w:val="006B5385"/>
    <w:rsid w:val="006C71F3"/>
    <w:rsid w:val="006D4FF3"/>
    <w:rsid w:val="006D675C"/>
    <w:rsid w:val="006D7A3F"/>
    <w:rsid w:val="006E4EFE"/>
    <w:rsid w:val="006F035C"/>
    <w:rsid w:val="006F14BF"/>
    <w:rsid w:val="006F18B3"/>
    <w:rsid w:val="00706350"/>
    <w:rsid w:val="00707C06"/>
    <w:rsid w:val="007120DC"/>
    <w:rsid w:val="00713FAA"/>
    <w:rsid w:val="00721894"/>
    <w:rsid w:val="0072198A"/>
    <w:rsid w:val="00722FE9"/>
    <w:rsid w:val="0072334C"/>
    <w:rsid w:val="00726E43"/>
    <w:rsid w:val="00727A36"/>
    <w:rsid w:val="00730F73"/>
    <w:rsid w:val="007320C9"/>
    <w:rsid w:val="0074013C"/>
    <w:rsid w:val="00744C79"/>
    <w:rsid w:val="007571A5"/>
    <w:rsid w:val="00765E8A"/>
    <w:rsid w:val="00771D21"/>
    <w:rsid w:val="00773725"/>
    <w:rsid w:val="00775890"/>
    <w:rsid w:val="00781EED"/>
    <w:rsid w:val="00786ED2"/>
    <w:rsid w:val="00790798"/>
    <w:rsid w:val="007A2396"/>
    <w:rsid w:val="007A3C76"/>
    <w:rsid w:val="007B7EB7"/>
    <w:rsid w:val="007C03C2"/>
    <w:rsid w:val="007C0555"/>
    <w:rsid w:val="007C1FAE"/>
    <w:rsid w:val="007C4362"/>
    <w:rsid w:val="007D0656"/>
    <w:rsid w:val="007D479D"/>
    <w:rsid w:val="007E257D"/>
    <w:rsid w:val="007E3976"/>
    <w:rsid w:val="007E3BFB"/>
    <w:rsid w:val="007E522B"/>
    <w:rsid w:val="007E749F"/>
    <w:rsid w:val="007F3734"/>
    <w:rsid w:val="00802E73"/>
    <w:rsid w:val="0081135D"/>
    <w:rsid w:val="008127D1"/>
    <w:rsid w:val="00812CF5"/>
    <w:rsid w:val="00813B39"/>
    <w:rsid w:val="008165BF"/>
    <w:rsid w:val="00820B3C"/>
    <w:rsid w:val="00823A38"/>
    <w:rsid w:val="0082583B"/>
    <w:rsid w:val="00835D07"/>
    <w:rsid w:val="00837DA4"/>
    <w:rsid w:val="008501C5"/>
    <w:rsid w:val="00851770"/>
    <w:rsid w:val="00852B8D"/>
    <w:rsid w:val="00854564"/>
    <w:rsid w:val="00857EE1"/>
    <w:rsid w:val="008626A4"/>
    <w:rsid w:val="00863F22"/>
    <w:rsid w:val="0086725A"/>
    <w:rsid w:val="00870102"/>
    <w:rsid w:val="008835FD"/>
    <w:rsid w:val="00886F85"/>
    <w:rsid w:val="00895E3A"/>
    <w:rsid w:val="0089710E"/>
    <w:rsid w:val="008A054B"/>
    <w:rsid w:val="008A0CEB"/>
    <w:rsid w:val="008A2099"/>
    <w:rsid w:val="008A214E"/>
    <w:rsid w:val="008A45AC"/>
    <w:rsid w:val="008B2CB0"/>
    <w:rsid w:val="008B698F"/>
    <w:rsid w:val="008C7BA0"/>
    <w:rsid w:val="008D02B4"/>
    <w:rsid w:val="008D19D7"/>
    <w:rsid w:val="008D3B5B"/>
    <w:rsid w:val="008D7BEB"/>
    <w:rsid w:val="008E01EA"/>
    <w:rsid w:val="008E1308"/>
    <w:rsid w:val="008E17A4"/>
    <w:rsid w:val="008F4A68"/>
    <w:rsid w:val="00901D82"/>
    <w:rsid w:val="00912CC5"/>
    <w:rsid w:val="00913018"/>
    <w:rsid w:val="00914D00"/>
    <w:rsid w:val="009157D3"/>
    <w:rsid w:val="00922D7C"/>
    <w:rsid w:val="009264D6"/>
    <w:rsid w:val="00931518"/>
    <w:rsid w:val="009335A6"/>
    <w:rsid w:val="009359F5"/>
    <w:rsid w:val="0094029F"/>
    <w:rsid w:val="00945C9C"/>
    <w:rsid w:val="00955D6D"/>
    <w:rsid w:val="00956A7E"/>
    <w:rsid w:val="00956D0B"/>
    <w:rsid w:val="00964C7D"/>
    <w:rsid w:val="00967CBD"/>
    <w:rsid w:val="00970751"/>
    <w:rsid w:val="00970F7A"/>
    <w:rsid w:val="009718CC"/>
    <w:rsid w:val="009727DA"/>
    <w:rsid w:val="00977DF8"/>
    <w:rsid w:val="00980046"/>
    <w:rsid w:val="009832B6"/>
    <w:rsid w:val="00985A5E"/>
    <w:rsid w:val="009B23BB"/>
    <w:rsid w:val="009B65C6"/>
    <w:rsid w:val="009C1084"/>
    <w:rsid w:val="009C2FB8"/>
    <w:rsid w:val="009C7120"/>
    <w:rsid w:val="009C7A3E"/>
    <w:rsid w:val="009D3A37"/>
    <w:rsid w:val="009E3C18"/>
    <w:rsid w:val="009E6749"/>
    <w:rsid w:val="009F5720"/>
    <w:rsid w:val="00A01461"/>
    <w:rsid w:val="00A0529C"/>
    <w:rsid w:val="00A101DB"/>
    <w:rsid w:val="00A1451E"/>
    <w:rsid w:val="00A15CF8"/>
    <w:rsid w:val="00A207B8"/>
    <w:rsid w:val="00A23BD8"/>
    <w:rsid w:val="00A25808"/>
    <w:rsid w:val="00A3387D"/>
    <w:rsid w:val="00A351D7"/>
    <w:rsid w:val="00A42DA2"/>
    <w:rsid w:val="00A60CF2"/>
    <w:rsid w:val="00A60D2F"/>
    <w:rsid w:val="00A64764"/>
    <w:rsid w:val="00A64818"/>
    <w:rsid w:val="00A65124"/>
    <w:rsid w:val="00A713C0"/>
    <w:rsid w:val="00A74457"/>
    <w:rsid w:val="00A74D0A"/>
    <w:rsid w:val="00A77216"/>
    <w:rsid w:val="00A83EA5"/>
    <w:rsid w:val="00A8436B"/>
    <w:rsid w:val="00A9497C"/>
    <w:rsid w:val="00A96F42"/>
    <w:rsid w:val="00AA57E0"/>
    <w:rsid w:val="00AC57D7"/>
    <w:rsid w:val="00AD34AB"/>
    <w:rsid w:val="00AE0A02"/>
    <w:rsid w:val="00AE0EE4"/>
    <w:rsid w:val="00AE7BF6"/>
    <w:rsid w:val="00AF05A0"/>
    <w:rsid w:val="00AF1339"/>
    <w:rsid w:val="00B13EC3"/>
    <w:rsid w:val="00B1766F"/>
    <w:rsid w:val="00B221CD"/>
    <w:rsid w:val="00B25660"/>
    <w:rsid w:val="00B26372"/>
    <w:rsid w:val="00B26FD4"/>
    <w:rsid w:val="00B34786"/>
    <w:rsid w:val="00B411F6"/>
    <w:rsid w:val="00B42809"/>
    <w:rsid w:val="00B55498"/>
    <w:rsid w:val="00B55B00"/>
    <w:rsid w:val="00B578E5"/>
    <w:rsid w:val="00B61817"/>
    <w:rsid w:val="00B6186A"/>
    <w:rsid w:val="00B6346D"/>
    <w:rsid w:val="00B64F08"/>
    <w:rsid w:val="00B765AB"/>
    <w:rsid w:val="00B77A04"/>
    <w:rsid w:val="00B801C4"/>
    <w:rsid w:val="00B83DD3"/>
    <w:rsid w:val="00B86443"/>
    <w:rsid w:val="00BA45B5"/>
    <w:rsid w:val="00BA4972"/>
    <w:rsid w:val="00BA6A81"/>
    <w:rsid w:val="00BB182A"/>
    <w:rsid w:val="00BB4503"/>
    <w:rsid w:val="00BB5575"/>
    <w:rsid w:val="00BB5BA6"/>
    <w:rsid w:val="00BC538D"/>
    <w:rsid w:val="00BC6855"/>
    <w:rsid w:val="00BD2C82"/>
    <w:rsid w:val="00BD74C7"/>
    <w:rsid w:val="00BF27CD"/>
    <w:rsid w:val="00BF2F26"/>
    <w:rsid w:val="00BF36E3"/>
    <w:rsid w:val="00BF3876"/>
    <w:rsid w:val="00BF4031"/>
    <w:rsid w:val="00BF6444"/>
    <w:rsid w:val="00C01F6F"/>
    <w:rsid w:val="00C023DE"/>
    <w:rsid w:val="00C038E2"/>
    <w:rsid w:val="00C03ED9"/>
    <w:rsid w:val="00C04051"/>
    <w:rsid w:val="00C053AF"/>
    <w:rsid w:val="00C07D27"/>
    <w:rsid w:val="00C1268C"/>
    <w:rsid w:val="00C150BC"/>
    <w:rsid w:val="00C172D7"/>
    <w:rsid w:val="00C203CB"/>
    <w:rsid w:val="00C22088"/>
    <w:rsid w:val="00C22FF1"/>
    <w:rsid w:val="00C312D7"/>
    <w:rsid w:val="00C353C4"/>
    <w:rsid w:val="00C41DD3"/>
    <w:rsid w:val="00C42537"/>
    <w:rsid w:val="00C4318E"/>
    <w:rsid w:val="00C45AC8"/>
    <w:rsid w:val="00C46F02"/>
    <w:rsid w:val="00C52897"/>
    <w:rsid w:val="00C52A02"/>
    <w:rsid w:val="00C5661E"/>
    <w:rsid w:val="00C614D1"/>
    <w:rsid w:val="00C65237"/>
    <w:rsid w:val="00C65BE3"/>
    <w:rsid w:val="00C67AFB"/>
    <w:rsid w:val="00C73AFF"/>
    <w:rsid w:val="00C865EB"/>
    <w:rsid w:val="00CB3290"/>
    <w:rsid w:val="00CB43EE"/>
    <w:rsid w:val="00CB56A2"/>
    <w:rsid w:val="00CC5900"/>
    <w:rsid w:val="00CD2971"/>
    <w:rsid w:val="00CD4BA9"/>
    <w:rsid w:val="00CD7B0F"/>
    <w:rsid w:val="00CE1E83"/>
    <w:rsid w:val="00CE3217"/>
    <w:rsid w:val="00CE3878"/>
    <w:rsid w:val="00CE3914"/>
    <w:rsid w:val="00CF2A3A"/>
    <w:rsid w:val="00CF6903"/>
    <w:rsid w:val="00CF75B3"/>
    <w:rsid w:val="00D05319"/>
    <w:rsid w:val="00D1186F"/>
    <w:rsid w:val="00D1354A"/>
    <w:rsid w:val="00D26004"/>
    <w:rsid w:val="00D30EBD"/>
    <w:rsid w:val="00D3521E"/>
    <w:rsid w:val="00D42516"/>
    <w:rsid w:val="00D44A21"/>
    <w:rsid w:val="00D528E6"/>
    <w:rsid w:val="00D5421A"/>
    <w:rsid w:val="00D5455A"/>
    <w:rsid w:val="00D6308E"/>
    <w:rsid w:val="00D742DD"/>
    <w:rsid w:val="00D7600D"/>
    <w:rsid w:val="00D81581"/>
    <w:rsid w:val="00D82CF0"/>
    <w:rsid w:val="00D83BCE"/>
    <w:rsid w:val="00D97D9B"/>
    <w:rsid w:val="00DA14CD"/>
    <w:rsid w:val="00DA3E47"/>
    <w:rsid w:val="00DB3A79"/>
    <w:rsid w:val="00DC1EB7"/>
    <w:rsid w:val="00DC37DE"/>
    <w:rsid w:val="00DC68BD"/>
    <w:rsid w:val="00DD07EF"/>
    <w:rsid w:val="00DD0BD0"/>
    <w:rsid w:val="00DD36BA"/>
    <w:rsid w:val="00DD5EFE"/>
    <w:rsid w:val="00DD67B6"/>
    <w:rsid w:val="00DD7018"/>
    <w:rsid w:val="00DD7E5C"/>
    <w:rsid w:val="00DE6051"/>
    <w:rsid w:val="00E002C7"/>
    <w:rsid w:val="00E05DC3"/>
    <w:rsid w:val="00E0645D"/>
    <w:rsid w:val="00E10434"/>
    <w:rsid w:val="00E15C25"/>
    <w:rsid w:val="00E25B09"/>
    <w:rsid w:val="00E30ED5"/>
    <w:rsid w:val="00E31970"/>
    <w:rsid w:val="00E31EA7"/>
    <w:rsid w:val="00E31EC1"/>
    <w:rsid w:val="00E363E7"/>
    <w:rsid w:val="00E4115A"/>
    <w:rsid w:val="00E44BE6"/>
    <w:rsid w:val="00E47368"/>
    <w:rsid w:val="00E5578B"/>
    <w:rsid w:val="00E56549"/>
    <w:rsid w:val="00E7143F"/>
    <w:rsid w:val="00E72F8C"/>
    <w:rsid w:val="00E75BD2"/>
    <w:rsid w:val="00E87DD3"/>
    <w:rsid w:val="00E9103D"/>
    <w:rsid w:val="00E9238E"/>
    <w:rsid w:val="00EA1B5B"/>
    <w:rsid w:val="00EB37BF"/>
    <w:rsid w:val="00EB5BEE"/>
    <w:rsid w:val="00EB66C2"/>
    <w:rsid w:val="00EB69FF"/>
    <w:rsid w:val="00ED4D17"/>
    <w:rsid w:val="00ED683F"/>
    <w:rsid w:val="00ED6B24"/>
    <w:rsid w:val="00EE14B0"/>
    <w:rsid w:val="00EF136B"/>
    <w:rsid w:val="00EF3FA7"/>
    <w:rsid w:val="00EF7A45"/>
    <w:rsid w:val="00F07F23"/>
    <w:rsid w:val="00F12B3A"/>
    <w:rsid w:val="00F13E89"/>
    <w:rsid w:val="00F17DCE"/>
    <w:rsid w:val="00F2318B"/>
    <w:rsid w:val="00F2686E"/>
    <w:rsid w:val="00F318A2"/>
    <w:rsid w:val="00F32AA0"/>
    <w:rsid w:val="00F36D41"/>
    <w:rsid w:val="00F43933"/>
    <w:rsid w:val="00F43F73"/>
    <w:rsid w:val="00F64EBB"/>
    <w:rsid w:val="00F81FED"/>
    <w:rsid w:val="00F872E9"/>
    <w:rsid w:val="00F92FB2"/>
    <w:rsid w:val="00FA5E33"/>
    <w:rsid w:val="00FA62EB"/>
    <w:rsid w:val="00FB512B"/>
    <w:rsid w:val="00FC1997"/>
    <w:rsid w:val="00FC6470"/>
    <w:rsid w:val="00FC67BB"/>
    <w:rsid w:val="00FD057D"/>
    <w:rsid w:val="00FD3496"/>
    <w:rsid w:val="00FD4B8D"/>
    <w:rsid w:val="00FD52E6"/>
    <w:rsid w:val="00FD5F34"/>
    <w:rsid w:val="00FE61FC"/>
    <w:rsid w:val="00FF2C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style="mso-position-horizontal-relative:page;mso-position-vertical-relative:bottom-margin-area" fillcolor="none [2894]" strokecolor="none [3212]">
      <v:fill color="none [2894]"/>
      <v:stroke color="none [3212]"/>
      <v:shadow color="#868686"/>
      <o:colormenu v:ext="edit" stroke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B2"/>
  </w:style>
  <w:style w:type="paragraph" w:styleId="Balk1">
    <w:name w:val="heading 1"/>
    <w:basedOn w:val="Normal"/>
    <w:next w:val="Normal"/>
    <w:link w:val="Balk1Char"/>
    <w:uiPriority w:val="9"/>
    <w:qFormat/>
    <w:rsid w:val="00BF2F26"/>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Balk2">
    <w:name w:val="heading 2"/>
    <w:basedOn w:val="Normal"/>
    <w:next w:val="Normal"/>
    <w:link w:val="Balk2Char"/>
    <w:uiPriority w:val="9"/>
    <w:unhideWhenUsed/>
    <w:qFormat/>
    <w:rsid w:val="00303082"/>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Balk3">
    <w:name w:val="heading 3"/>
    <w:basedOn w:val="Normal"/>
    <w:next w:val="Normal"/>
    <w:link w:val="Balk3Char"/>
    <w:uiPriority w:val="9"/>
    <w:semiHidden/>
    <w:unhideWhenUsed/>
    <w:qFormat/>
    <w:rsid w:val="00303082"/>
    <w:pPr>
      <w:keepNext/>
      <w:keepLines/>
      <w:spacing w:before="200" w:after="0"/>
      <w:outlineLvl w:val="2"/>
    </w:pPr>
    <w:rPr>
      <w:rFonts w:asciiTheme="majorHAnsi" w:eastAsiaTheme="majorEastAsia" w:hAnsiTheme="majorHAnsi" w:cstheme="majorBidi"/>
      <w:b/>
      <w:bCs/>
      <w:color w:val="94B6D2" w:themeColor="accent1"/>
    </w:rPr>
  </w:style>
  <w:style w:type="paragraph" w:styleId="Balk4">
    <w:name w:val="heading 4"/>
    <w:basedOn w:val="Normal"/>
    <w:next w:val="Normal"/>
    <w:link w:val="Balk4Char"/>
    <w:uiPriority w:val="9"/>
    <w:unhideWhenUsed/>
    <w:qFormat/>
    <w:rsid w:val="004E3093"/>
    <w:pPr>
      <w:keepNext/>
      <w:keepLines/>
      <w:spacing w:before="200" w:after="0"/>
      <w:outlineLvl w:val="3"/>
    </w:pPr>
    <w:rPr>
      <w:rFonts w:asciiTheme="majorHAnsi" w:eastAsiaTheme="majorEastAsia" w:hAnsiTheme="majorHAnsi" w:cstheme="majorBidi"/>
      <w:b/>
      <w:bCs/>
      <w:i/>
      <w:iCs/>
      <w:color w:val="94B6D2" w:themeColor="accent1"/>
    </w:rPr>
  </w:style>
  <w:style w:type="paragraph" w:styleId="Balk8">
    <w:name w:val="heading 8"/>
    <w:basedOn w:val="Normal"/>
    <w:next w:val="Normal"/>
    <w:link w:val="Balk8Char"/>
    <w:qFormat/>
    <w:rsid w:val="0012114A"/>
    <w:pPr>
      <w:keepNext/>
      <w:spacing w:after="0" w:line="240" w:lineRule="auto"/>
      <w:outlineLvl w:val="7"/>
    </w:pPr>
    <w:rPr>
      <w:rFonts w:ascii="MS Sans Serif" w:eastAsia="Times New Roman" w:hAnsi="MS Sans Serif" w:cs="MS Sans Serif"/>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4D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4D0A"/>
  </w:style>
  <w:style w:type="paragraph" w:styleId="Altbilgi">
    <w:name w:val="footer"/>
    <w:basedOn w:val="Normal"/>
    <w:link w:val="AltbilgiChar"/>
    <w:uiPriority w:val="99"/>
    <w:unhideWhenUsed/>
    <w:rsid w:val="00A74D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4D0A"/>
  </w:style>
  <w:style w:type="paragraph" w:styleId="BalonMetni">
    <w:name w:val="Balloon Text"/>
    <w:basedOn w:val="Normal"/>
    <w:link w:val="BalonMetniChar"/>
    <w:uiPriority w:val="99"/>
    <w:semiHidden/>
    <w:unhideWhenUsed/>
    <w:rsid w:val="00A74D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D0A"/>
    <w:rPr>
      <w:rFonts w:ascii="Tahoma" w:hAnsi="Tahoma" w:cs="Tahoma"/>
      <w:sz w:val="16"/>
      <w:szCs w:val="16"/>
    </w:rPr>
  </w:style>
  <w:style w:type="character" w:styleId="Kpr">
    <w:name w:val="Hyperlink"/>
    <w:basedOn w:val="VarsaylanParagrafYazTipi"/>
    <w:uiPriority w:val="99"/>
    <w:unhideWhenUsed/>
    <w:rsid w:val="00E25B09"/>
    <w:rPr>
      <w:color w:val="FF3300"/>
      <w:u w:val="single"/>
    </w:rPr>
  </w:style>
  <w:style w:type="paragraph" w:styleId="NormalWeb">
    <w:name w:val="Normal (Web)"/>
    <w:basedOn w:val="Normal"/>
    <w:uiPriority w:val="99"/>
    <w:unhideWhenUsed/>
    <w:rsid w:val="00E25B0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Gl">
    <w:name w:val="Strong"/>
    <w:basedOn w:val="VarsaylanParagrafYazTipi"/>
    <w:uiPriority w:val="22"/>
    <w:qFormat/>
    <w:rsid w:val="00E25B09"/>
    <w:rPr>
      <w:b/>
      <w:bCs/>
    </w:rPr>
  </w:style>
  <w:style w:type="table" w:styleId="TabloKlavuzu">
    <w:name w:val="Table Grid"/>
    <w:basedOn w:val="NormalTablo"/>
    <w:rsid w:val="007F3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link w:val="AralkYokChar"/>
    <w:uiPriority w:val="1"/>
    <w:qFormat/>
    <w:rsid w:val="00773725"/>
    <w:pPr>
      <w:spacing w:after="0" w:line="240" w:lineRule="auto"/>
    </w:pPr>
  </w:style>
  <w:style w:type="character" w:customStyle="1" w:styleId="AralkYokChar">
    <w:name w:val="Aralık Yok Char"/>
    <w:basedOn w:val="VarsaylanParagrafYazTipi"/>
    <w:link w:val="AralkYok"/>
    <w:uiPriority w:val="1"/>
    <w:rsid w:val="00773725"/>
    <w:rPr>
      <w:rFonts w:eastAsiaTheme="minorEastAsia"/>
    </w:rPr>
  </w:style>
  <w:style w:type="character" w:customStyle="1" w:styleId="Balk8Char">
    <w:name w:val="Başlık 8 Char"/>
    <w:basedOn w:val="VarsaylanParagrafYazTipi"/>
    <w:link w:val="Balk8"/>
    <w:rsid w:val="0012114A"/>
    <w:rPr>
      <w:rFonts w:ascii="MS Sans Serif" w:eastAsia="Times New Roman" w:hAnsi="MS Sans Serif" w:cs="MS Sans Serif"/>
      <w:b/>
      <w:bCs/>
      <w:sz w:val="24"/>
      <w:szCs w:val="24"/>
      <w:lang w:val="en-US" w:eastAsia="tr-TR"/>
    </w:rPr>
  </w:style>
  <w:style w:type="paragraph" w:styleId="BelgeBalantlar">
    <w:name w:val="Document Map"/>
    <w:basedOn w:val="Normal"/>
    <w:link w:val="BelgeBalantlarChar"/>
    <w:uiPriority w:val="99"/>
    <w:semiHidden/>
    <w:unhideWhenUsed/>
    <w:rsid w:val="00165D8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65D8F"/>
    <w:rPr>
      <w:rFonts w:ascii="Tahoma" w:hAnsi="Tahoma" w:cs="Tahoma"/>
      <w:sz w:val="16"/>
      <w:szCs w:val="16"/>
    </w:rPr>
  </w:style>
  <w:style w:type="character" w:styleId="YerTutucuMetni">
    <w:name w:val="Placeholder Text"/>
    <w:basedOn w:val="VarsaylanParagrafYazTipi"/>
    <w:uiPriority w:val="99"/>
    <w:semiHidden/>
    <w:rsid w:val="00B6346D"/>
    <w:rPr>
      <w:color w:val="808080"/>
    </w:rPr>
  </w:style>
  <w:style w:type="character" w:customStyle="1" w:styleId="Balk1Char">
    <w:name w:val="Başlık 1 Char"/>
    <w:basedOn w:val="VarsaylanParagrafYazTipi"/>
    <w:link w:val="Balk1"/>
    <w:uiPriority w:val="9"/>
    <w:rsid w:val="00BF2F26"/>
    <w:rPr>
      <w:rFonts w:asciiTheme="majorHAnsi" w:eastAsiaTheme="majorEastAsia" w:hAnsiTheme="majorHAnsi" w:cstheme="majorBidi"/>
      <w:b/>
      <w:bCs/>
      <w:color w:val="548AB7" w:themeColor="accent1" w:themeShade="BF"/>
      <w:sz w:val="28"/>
      <w:szCs w:val="28"/>
    </w:rPr>
  </w:style>
  <w:style w:type="paragraph" w:styleId="GvdeMetniGirintisi">
    <w:name w:val="Body Text Indent"/>
    <w:basedOn w:val="Normal"/>
    <w:link w:val="GvdeMetniGirintisiChar"/>
    <w:semiHidden/>
    <w:rsid w:val="00D83BCE"/>
    <w:pPr>
      <w:spacing w:after="120" w:line="480" w:lineRule="auto"/>
    </w:pPr>
    <w:rPr>
      <w:rFonts w:ascii="Times New Roman" w:eastAsia="Times New Roman" w:hAnsi="Times New Roman" w:cs="Times New Roman"/>
      <w:sz w:val="24"/>
      <w:szCs w:val="24"/>
      <w:lang w:val="en-US"/>
    </w:rPr>
  </w:style>
  <w:style w:type="character" w:customStyle="1" w:styleId="GvdeMetniGirintisiChar">
    <w:name w:val="Gövde Metni Girintisi Char"/>
    <w:basedOn w:val="VarsaylanParagrafYazTipi"/>
    <w:link w:val="GvdeMetniGirintisi"/>
    <w:semiHidden/>
    <w:rsid w:val="00D83BCE"/>
    <w:rPr>
      <w:rFonts w:ascii="Times New Roman" w:eastAsia="Times New Roman" w:hAnsi="Times New Roman" w:cs="Times New Roman"/>
      <w:sz w:val="24"/>
      <w:szCs w:val="24"/>
      <w:lang w:val="en-US" w:eastAsia="tr-TR"/>
    </w:rPr>
  </w:style>
  <w:style w:type="paragraph" w:styleId="GvdeMetni3">
    <w:name w:val="Body Text 3"/>
    <w:basedOn w:val="Normal"/>
    <w:link w:val="GvdeMetni3Char"/>
    <w:semiHidden/>
    <w:rsid w:val="00D83BCE"/>
    <w:pPr>
      <w:spacing w:after="0" w:line="480" w:lineRule="auto"/>
      <w:jc w:val="both"/>
    </w:pPr>
    <w:rPr>
      <w:rFonts w:ascii="Times New Roman" w:eastAsia="Times New Roman" w:hAnsi="Times New Roman" w:cs="Times New Roman"/>
      <w:bCs/>
      <w:color w:val="FF0000"/>
      <w:sz w:val="24"/>
      <w:szCs w:val="24"/>
      <w:lang w:val="en-US"/>
    </w:rPr>
  </w:style>
  <w:style w:type="character" w:customStyle="1" w:styleId="GvdeMetni3Char">
    <w:name w:val="Gövde Metni 3 Char"/>
    <w:basedOn w:val="VarsaylanParagrafYazTipi"/>
    <w:link w:val="GvdeMetni3"/>
    <w:semiHidden/>
    <w:rsid w:val="00D83BCE"/>
    <w:rPr>
      <w:rFonts w:ascii="Times New Roman" w:eastAsia="Times New Roman" w:hAnsi="Times New Roman" w:cs="Times New Roman"/>
      <w:bCs/>
      <w:color w:val="FF0000"/>
      <w:sz w:val="24"/>
      <w:szCs w:val="24"/>
      <w:lang w:val="en-US" w:eastAsia="tr-TR"/>
    </w:rPr>
  </w:style>
  <w:style w:type="character" w:customStyle="1" w:styleId="ti">
    <w:name w:val="ti"/>
    <w:basedOn w:val="VarsaylanParagrafYazTipi"/>
    <w:rsid w:val="00303082"/>
  </w:style>
  <w:style w:type="paragraph" w:styleId="ListeParagraf">
    <w:name w:val="List Paragraph"/>
    <w:basedOn w:val="Normal"/>
    <w:qFormat/>
    <w:rsid w:val="00303082"/>
    <w:pPr>
      <w:ind w:left="720"/>
      <w:contextualSpacing/>
    </w:pPr>
    <w:rPr>
      <w:rFonts w:ascii="Calibri" w:eastAsia="Times New Roman" w:hAnsi="Calibri" w:cs="Times New Roman"/>
    </w:rPr>
  </w:style>
  <w:style w:type="character" w:styleId="Vurgu">
    <w:name w:val="Emphasis"/>
    <w:basedOn w:val="VarsaylanParagrafYazTipi"/>
    <w:qFormat/>
    <w:rsid w:val="00303082"/>
    <w:rPr>
      <w:i/>
      <w:iCs/>
    </w:rPr>
  </w:style>
  <w:style w:type="character" w:customStyle="1" w:styleId="Balk2Char">
    <w:name w:val="Başlık 2 Char"/>
    <w:basedOn w:val="VarsaylanParagrafYazTipi"/>
    <w:link w:val="Balk2"/>
    <w:uiPriority w:val="9"/>
    <w:rsid w:val="00303082"/>
    <w:rPr>
      <w:rFonts w:asciiTheme="majorHAnsi" w:eastAsiaTheme="majorEastAsia" w:hAnsiTheme="majorHAnsi" w:cstheme="majorBidi"/>
      <w:b/>
      <w:bCs/>
      <w:color w:val="94B6D2" w:themeColor="accent1"/>
      <w:sz w:val="26"/>
      <w:szCs w:val="26"/>
    </w:rPr>
  </w:style>
  <w:style w:type="character" w:customStyle="1" w:styleId="Balk3Char">
    <w:name w:val="Başlık 3 Char"/>
    <w:basedOn w:val="VarsaylanParagrafYazTipi"/>
    <w:link w:val="Balk3"/>
    <w:uiPriority w:val="9"/>
    <w:semiHidden/>
    <w:rsid w:val="00303082"/>
    <w:rPr>
      <w:rFonts w:asciiTheme="majorHAnsi" w:eastAsiaTheme="majorEastAsia" w:hAnsiTheme="majorHAnsi" w:cstheme="majorBidi"/>
      <w:b/>
      <w:bCs/>
      <w:color w:val="94B6D2" w:themeColor="accent1"/>
    </w:rPr>
  </w:style>
  <w:style w:type="paragraph" w:styleId="HTMLncedenBiimlendirilmi">
    <w:name w:val="HTML Preformatted"/>
    <w:basedOn w:val="Normal"/>
    <w:link w:val="HTMLncedenBiimlendirilmiChar"/>
    <w:uiPriority w:val="99"/>
    <w:rsid w:val="0030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ncedenBiimlendirilmiChar">
    <w:name w:val="HTML Önceden Biçimlendirilmiş Char"/>
    <w:basedOn w:val="VarsaylanParagrafYazTipi"/>
    <w:link w:val="HTMLncedenBiimlendirilmi"/>
    <w:uiPriority w:val="99"/>
    <w:semiHidden/>
    <w:rsid w:val="00303082"/>
    <w:rPr>
      <w:rFonts w:ascii="Courier New" w:eastAsia="Times New Roman" w:hAnsi="Courier New" w:cs="Courier New"/>
      <w:sz w:val="24"/>
      <w:szCs w:val="24"/>
      <w:lang w:eastAsia="tr-TR"/>
    </w:rPr>
  </w:style>
  <w:style w:type="character" w:styleId="SatrNumaras">
    <w:name w:val="line number"/>
    <w:basedOn w:val="VarsaylanParagrafYazTipi"/>
    <w:uiPriority w:val="99"/>
    <w:semiHidden/>
    <w:unhideWhenUsed/>
    <w:rsid w:val="00857EE1"/>
  </w:style>
  <w:style w:type="character" w:customStyle="1" w:styleId="ti2">
    <w:name w:val="ti2"/>
    <w:basedOn w:val="VarsaylanParagrafYazTipi"/>
    <w:rsid w:val="009C2FB8"/>
    <w:rPr>
      <w:sz w:val="22"/>
      <w:szCs w:val="22"/>
    </w:rPr>
  </w:style>
  <w:style w:type="character" w:customStyle="1" w:styleId="journalname">
    <w:name w:val="journalname"/>
    <w:basedOn w:val="VarsaylanParagrafYazTipi"/>
    <w:rsid w:val="009C2FB8"/>
  </w:style>
  <w:style w:type="paragraph" w:customStyle="1" w:styleId="authors1">
    <w:name w:val="authors1"/>
    <w:basedOn w:val="Normal"/>
    <w:rsid w:val="009C2FB8"/>
    <w:pPr>
      <w:spacing w:before="72" w:after="0" w:line="240" w:lineRule="atLeast"/>
      <w:ind w:left="825"/>
    </w:pPr>
    <w:rPr>
      <w:rFonts w:ascii="Times New Roman" w:eastAsia="Times New Roman" w:hAnsi="Times New Roman" w:cs="Times New Roman"/>
      <w:lang w:val="en-US"/>
    </w:rPr>
  </w:style>
  <w:style w:type="character" w:customStyle="1" w:styleId="src1">
    <w:name w:val="src1"/>
    <w:basedOn w:val="VarsaylanParagrafYazTipi"/>
    <w:rsid w:val="009C2FB8"/>
    <w:rPr>
      <w:vanish w:val="0"/>
      <w:webHidden w:val="0"/>
      <w:specVanish w:val="0"/>
    </w:rPr>
  </w:style>
  <w:style w:type="character" w:customStyle="1" w:styleId="jrnl">
    <w:name w:val="jrnl"/>
    <w:basedOn w:val="VarsaylanParagrafYazTipi"/>
    <w:rsid w:val="009C2FB8"/>
  </w:style>
  <w:style w:type="table" w:styleId="AkListe-Vurgu3">
    <w:name w:val="Light List Accent 3"/>
    <w:basedOn w:val="NormalTablo"/>
    <w:uiPriority w:val="61"/>
    <w:rsid w:val="00334F23"/>
    <w:pPr>
      <w:spacing w:after="0" w:line="240" w:lineRule="auto"/>
    </w:pPr>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paragraph" w:styleId="GvdeMetniGirintisi2">
    <w:name w:val="Body Text Indent 2"/>
    <w:basedOn w:val="Normal"/>
    <w:link w:val="GvdeMetniGirintisi2Char"/>
    <w:uiPriority w:val="99"/>
    <w:unhideWhenUsed/>
    <w:rsid w:val="00913018"/>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913018"/>
  </w:style>
  <w:style w:type="character" w:styleId="DipnotBavurusu">
    <w:name w:val="footnote reference"/>
    <w:basedOn w:val="VarsaylanParagrafYazTipi"/>
    <w:semiHidden/>
    <w:rsid w:val="00913018"/>
    <w:rPr>
      <w:vertAlign w:val="superscript"/>
    </w:rPr>
  </w:style>
  <w:style w:type="character" w:customStyle="1" w:styleId="apple-style-span">
    <w:name w:val="apple-style-span"/>
    <w:rsid w:val="001C6229"/>
  </w:style>
  <w:style w:type="table" w:styleId="AkGlgeleme-Vurgu3">
    <w:name w:val="Light Shading Accent 3"/>
    <w:basedOn w:val="NormalTablo"/>
    <w:uiPriority w:val="60"/>
    <w:rsid w:val="001C6229"/>
    <w:pPr>
      <w:spacing w:after="0" w:line="240" w:lineRule="auto"/>
    </w:pPr>
    <w:rPr>
      <w:color w:val="80865A" w:themeColor="accent3" w:themeShade="BF"/>
    </w:rPr>
    <w:tblPr>
      <w:tblStyleRowBandSize w:val="1"/>
      <w:tblStyleColBandSize w:val="1"/>
      <w:tblInd w:w="0" w:type="dxa"/>
      <w:tblBorders>
        <w:top w:val="single" w:sz="8" w:space="0" w:color="A5AB81" w:themeColor="accent3"/>
        <w:bottom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AkGlgeleme-Vurgu2">
    <w:name w:val="Light Shading Accent 2"/>
    <w:basedOn w:val="NormalTablo"/>
    <w:uiPriority w:val="60"/>
    <w:rsid w:val="001C6229"/>
    <w:pPr>
      <w:spacing w:after="0" w:line="240" w:lineRule="auto"/>
    </w:pPr>
    <w:rPr>
      <w:color w:val="B85A22" w:themeColor="accent2" w:themeShade="BF"/>
    </w:rPr>
    <w:tblPr>
      <w:tblStyleRowBandSize w:val="1"/>
      <w:tblStyleColBandSize w:val="1"/>
      <w:tblInd w:w="0" w:type="dxa"/>
      <w:tblBorders>
        <w:top w:val="single" w:sz="8" w:space="0" w:color="DD8047" w:themeColor="accent2"/>
        <w:bottom w:val="single" w:sz="8" w:space="0" w:color="DD8047"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customStyle="1" w:styleId="AkGlgeleme-Vurgu11">
    <w:name w:val="Açık Gölgeleme - Vurgu 11"/>
    <w:basedOn w:val="NormalTablo"/>
    <w:uiPriority w:val="60"/>
    <w:rsid w:val="001C6229"/>
    <w:pPr>
      <w:spacing w:after="0" w:line="240" w:lineRule="auto"/>
    </w:pPr>
    <w:rPr>
      <w:color w:val="548AB7" w:themeColor="accent1" w:themeShade="BF"/>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customStyle="1" w:styleId="AkListe-Vurgu11">
    <w:name w:val="Açık Liste - Vurgu 11"/>
    <w:basedOn w:val="NormalTablo"/>
    <w:uiPriority w:val="61"/>
    <w:rsid w:val="001C6229"/>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paragraph" w:styleId="GvdeMetni">
    <w:name w:val="Body Text"/>
    <w:basedOn w:val="Normal"/>
    <w:link w:val="GvdeMetniChar"/>
    <w:uiPriority w:val="99"/>
    <w:semiHidden/>
    <w:unhideWhenUsed/>
    <w:rsid w:val="007E749F"/>
    <w:pPr>
      <w:spacing w:after="120"/>
    </w:pPr>
  </w:style>
  <w:style w:type="character" w:customStyle="1" w:styleId="GvdeMetniChar">
    <w:name w:val="Gövde Metni Char"/>
    <w:basedOn w:val="VarsaylanParagrafYazTipi"/>
    <w:link w:val="GvdeMetni"/>
    <w:uiPriority w:val="99"/>
    <w:semiHidden/>
    <w:rsid w:val="007E749F"/>
  </w:style>
  <w:style w:type="character" w:customStyle="1" w:styleId="trn">
    <w:name w:val="trn"/>
    <w:basedOn w:val="VarsaylanParagrafYazTipi"/>
    <w:rsid w:val="005D6F1B"/>
  </w:style>
  <w:style w:type="paragraph" w:customStyle="1" w:styleId="Paragrafoelenco">
    <w:name w:val="Paragrafo elenco"/>
    <w:basedOn w:val="Normal"/>
    <w:qFormat/>
    <w:rsid w:val="005D6F1B"/>
    <w:pPr>
      <w:ind w:left="720"/>
      <w:contextualSpacing/>
    </w:pPr>
    <w:rPr>
      <w:rFonts w:ascii="Calibri" w:eastAsia="Calibri" w:hAnsi="Calibri" w:cs="Times New Roman"/>
      <w:lang w:val="en-US"/>
    </w:rPr>
  </w:style>
  <w:style w:type="paragraph" w:customStyle="1" w:styleId="title1">
    <w:name w:val="title1"/>
    <w:basedOn w:val="Normal"/>
    <w:rsid w:val="005D6F1B"/>
    <w:pPr>
      <w:spacing w:after="0" w:line="240" w:lineRule="auto"/>
    </w:pPr>
    <w:rPr>
      <w:rFonts w:ascii="Times New Roman" w:eastAsia="Times New Roman" w:hAnsi="Times New Roman" w:cs="Times New Roman"/>
      <w:sz w:val="29"/>
      <w:szCs w:val="29"/>
      <w:lang w:val="it-IT" w:eastAsia="it-IT"/>
    </w:rPr>
  </w:style>
  <w:style w:type="paragraph" w:customStyle="1" w:styleId="citation">
    <w:name w:val="citation"/>
    <w:basedOn w:val="Normal"/>
    <w:rsid w:val="005D6F1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authlist">
    <w:name w:val="auth_list"/>
    <w:basedOn w:val="Normal"/>
    <w:rsid w:val="005D6F1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AkGlgeleme-Vurgu12">
    <w:name w:val="Açık Gölgeleme - Vurgu 12"/>
    <w:basedOn w:val="NormalTablo"/>
    <w:uiPriority w:val="60"/>
    <w:rsid w:val="006D7A3F"/>
    <w:pPr>
      <w:spacing w:after="0" w:line="240" w:lineRule="auto"/>
    </w:pPr>
    <w:rPr>
      <w:color w:val="548AB7" w:themeColor="accent1" w:themeShade="BF"/>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customStyle="1" w:styleId="AkListe-Vurgu12">
    <w:name w:val="Açık Liste - Vurgu 12"/>
    <w:basedOn w:val="NormalTablo"/>
    <w:uiPriority w:val="61"/>
    <w:rsid w:val="00CB43EE"/>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customStyle="1" w:styleId="OrtaGlgeleme1-Vurgu11">
    <w:name w:val="Orta Gölgeleme 1 - Vurgu 11"/>
    <w:basedOn w:val="NormalTablo"/>
    <w:uiPriority w:val="63"/>
    <w:rsid w:val="00081EAC"/>
    <w:pPr>
      <w:spacing w:after="0" w:line="240" w:lineRule="auto"/>
    </w:pPr>
    <w:tblPr>
      <w:tblStyleRowBandSize w:val="1"/>
      <w:tblStyleColBandSize w:val="1"/>
      <w:tblInd w:w="0" w:type="dxa"/>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OrtaKlavuz1-Vurgu1">
    <w:name w:val="Medium Grid 1 Accent 1"/>
    <w:basedOn w:val="NormalTablo"/>
    <w:uiPriority w:val="67"/>
    <w:rsid w:val="00081EAC"/>
    <w:pPr>
      <w:spacing w:after="0" w:line="240" w:lineRule="auto"/>
    </w:pPr>
    <w:tblPr>
      <w:tblStyleRowBandSize w:val="1"/>
      <w:tblStyleColBandSize w:val="1"/>
      <w:tblInd w:w="0" w:type="dxa"/>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CellMar>
        <w:top w:w="0" w:type="dxa"/>
        <w:left w:w="108" w:type="dxa"/>
        <w:bottom w:w="0" w:type="dxa"/>
        <w:right w:w="108" w:type="dxa"/>
      </w:tblCellMar>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customStyle="1" w:styleId="AkListe-Vurgu13">
    <w:name w:val="Açık Liste - Vurgu 13"/>
    <w:basedOn w:val="NormalTablo"/>
    <w:uiPriority w:val="61"/>
    <w:rsid w:val="00081EAC"/>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customStyle="1" w:styleId="TableStyle1">
    <w:name w:val="Table Style1"/>
    <w:basedOn w:val="NormalTablo"/>
    <w:rsid w:val="00DD36B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GvdeMetniGirintisi3">
    <w:name w:val="Body Text Indent 3"/>
    <w:basedOn w:val="Normal"/>
    <w:link w:val="GvdeMetniGirintisi3Char"/>
    <w:uiPriority w:val="99"/>
    <w:unhideWhenUsed/>
    <w:rsid w:val="00E4115A"/>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E4115A"/>
    <w:rPr>
      <w:sz w:val="16"/>
      <w:szCs w:val="16"/>
    </w:rPr>
  </w:style>
  <w:style w:type="character" w:customStyle="1" w:styleId="A5">
    <w:name w:val="A5"/>
    <w:rsid w:val="00C614D1"/>
    <w:rPr>
      <w:color w:val="000000"/>
      <w:sz w:val="18"/>
      <w:szCs w:val="18"/>
    </w:rPr>
  </w:style>
  <w:style w:type="paragraph" w:customStyle="1" w:styleId="WW-Default">
    <w:name w:val="WW-Default"/>
    <w:rsid w:val="00C614D1"/>
    <w:pPr>
      <w:suppressAutoHyphens/>
      <w:autoSpaceDE w:val="0"/>
      <w:spacing w:after="0" w:line="240" w:lineRule="auto"/>
    </w:pPr>
    <w:rPr>
      <w:rFonts w:ascii="Arial" w:eastAsia="Calibri" w:hAnsi="Arial" w:cs="Arial"/>
      <w:color w:val="000000"/>
      <w:sz w:val="24"/>
      <w:szCs w:val="24"/>
      <w:lang w:val="en-US" w:eastAsia="ar-SA"/>
    </w:rPr>
  </w:style>
  <w:style w:type="character" w:customStyle="1" w:styleId="A3">
    <w:name w:val="A3"/>
    <w:rsid w:val="000A3282"/>
    <w:rPr>
      <w:color w:val="000000"/>
      <w:sz w:val="20"/>
      <w:szCs w:val="20"/>
    </w:rPr>
  </w:style>
  <w:style w:type="paragraph" w:customStyle="1" w:styleId="Pa0">
    <w:name w:val="Pa0"/>
    <w:basedOn w:val="WW-Default"/>
    <w:next w:val="WW-Default"/>
    <w:rsid w:val="000A3282"/>
    <w:pPr>
      <w:spacing w:line="220" w:lineRule="atLeast"/>
    </w:pPr>
    <w:rPr>
      <w:color w:val="auto"/>
    </w:rPr>
  </w:style>
  <w:style w:type="paragraph" w:customStyle="1" w:styleId="Pa6">
    <w:name w:val="Pa6"/>
    <w:basedOn w:val="WW-Default"/>
    <w:next w:val="WW-Default"/>
    <w:rsid w:val="000A3282"/>
    <w:pPr>
      <w:spacing w:line="200" w:lineRule="atLeast"/>
    </w:pPr>
    <w:rPr>
      <w:color w:val="auto"/>
    </w:rPr>
  </w:style>
  <w:style w:type="paragraph" w:styleId="KonuBal">
    <w:name w:val="Title"/>
    <w:basedOn w:val="Normal"/>
    <w:link w:val="KonuBalChar"/>
    <w:qFormat/>
    <w:rsid w:val="00970751"/>
    <w:pPr>
      <w:spacing w:after="0" w:line="240" w:lineRule="auto"/>
      <w:jc w:val="center"/>
    </w:pPr>
    <w:rPr>
      <w:rFonts w:ascii="Times New Roman" w:eastAsia="Times New Roman" w:hAnsi="Times New Roman" w:cs="Times New Roman"/>
      <w:sz w:val="48"/>
      <w:szCs w:val="24"/>
      <w:lang w:val="en-US" w:eastAsia="en-US"/>
    </w:rPr>
  </w:style>
  <w:style w:type="character" w:customStyle="1" w:styleId="KonuBalChar">
    <w:name w:val="Konu Başlığı Char"/>
    <w:basedOn w:val="VarsaylanParagrafYazTipi"/>
    <w:link w:val="KonuBal"/>
    <w:rsid w:val="00970751"/>
    <w:rPr>
      <w:rFonts w:ascii="Times New Roman" w:eastAsia="Times New Roman" w:hAnsi="Times New Roman" w:cs="Times New Roman"/>
      <w:sz w:val="48"/>
      <w:szCs w:val="24"/>
      <w:lang w:val="en-US" w:eastAsia="en-US"/>
    </w:rPr>
  </w:style>
  <w:style w:type="paragraph" w:customStyle="1" w:styleId="Standard">
    <w:name w:val="Standard"/>
    <w:rsid w:val="000171F6"/>
    <w:pPr>
      <w:suppressAutoHyphens/>
      <w:autoSpaceDN w:val="0"/>
      <w:textAlignment w:val="baseline"/>
    </w:pPr>
    <w:rPr>
      <w:rFonts w:ascii="Calibri" w:eastAsia="Calibri" w:hAnsi="Calibri" w:cs="Calibri"/>
      <w:kern w:val="3"/>
      <w:lang w:val="en-US" w:eastAsia="zh-CN"/>
    </w:rPr>
  </w:style>
  <w:style w:type="character" w:customStyle="1" w:styleId="highlight">
    <w:name w:val="highlight"/>
    <w:basedOn w:val="VarsaylanParagrafYazTipi"/>
    <w:rsid w:val="000171F6"/>
  </w:style>
  <w:style w:type="character" w:customStyle="1" w:styleId="Balk4Char">
    <w:name w:val="Başlık 4 Char"/>
    <w:basedOn w:val="VarsaylanParagrafYazTipi"/>
    <w:link w:val="Balk4"/>
    <w:uiPriority w:val="9"/>
    <w:rsid w:val="004E3093"/>
    <w:rPr>
      <w:rFonts w:asciiTheme="majorHAnsi" w:eastAsiaTheme="majorEastAsia" w:hAnsiTheme="majorHAnsi" w:cstheme="majorBidi"/>
      <w:b/>
      <w:bCs/>
      <w:i/>
      <w:iCs/>
      <w:color w:val="94B6D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F2F26"/>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Balk2">
    <w:name w:val="heading 2"/>
    <w:basedOn w:val="Normal"/>
    <w:next w:val="Normal"/>
    <w:link w:val="Balk2Char"/>
    <w:uiPriority w:val="9"/>
    <w:semiHidden/>
    <w:unhideWhenUsed/>
    <w:qFormat/>
    <w:rsid w:val="00303082"/>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Balk3">
    <w:name w:val="heading 3"/>
    <w:basedOn w:val="Normal"/>
    <w:next w:val="Normal"/>
    <w:link w:val="Balk3Char"/>
    <w:uiPriority w:val="9"/>
    <w:semiHidden/>
    <w:unhideWhenUsed/>
    <w:qFormat/>
    <w:rsid w:val="00303082"/>
    <w:pPr>
      <w:keepNext/>
      <w:keepLines/>
      <w:spacing w:before="200" w:after="0"/>
      <w:outlineLvl w:val="2"/>
    </w:pPr>
    <w:rPr>
      <w:rFonts w:asciiTheme="majorHAnsi" w:eastAsiaTheme="majorEastAsia" w:hAnsiTheme="majorHAnsi" w:cstheme="majorBidi"/>
      <w:b/>
      <w:bCs/>
      <w:color w:val="94B6D2" w:themeColor="accent1"/>
    </w:rPr>
  </w:style>
  <w:style w:type="paragraph" w:styleId="Balk8">
    <w:name w:val="heading 8"/>
    <w:basedOn w:val="Normal"/>
    <w:next w:val="Normal"/>
    <w:link w:val="Balk8Char"/>
    <w:qFormat/>
    <w:rsid w:val="0012114A"/>
    <w:pPr>
      <w:keepNext/>
      <w:spacing w:after="0" w:line="240" w:lineRule="auto"/>
      <w:outlineLvl w:val="7"/>
    </w:pPr>
    <w:rPr>
      <w:rFonts w:ascii="MS Sans Serif" w:eastAsia="Times New Roman" w:hAnsi="MS Sans Serif" w:cs="MS Sans Serif"/>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4D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4D0A"/>
  </w:style>
  <w:style w:type="paragraph" w:styleId="Altbilgi">
    <w:name w:val="footer"/>
    <w:basedOn w:val="Normal"/>
    <w:link w:val="AltbilgiChar"/>
    <w:uiPriority w:val="99"/>
    <w:unhideWhenUsed/>
    <w:rsid w:val="00A74D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4D0A"/>
  </w:style>
  <w:style w:type="paragraph" w:styleId="BalonMetni">
    <w:name w:val="Balloon Text"/>
    <w:basedOn w:val="Normal"/>
    <w:link w:val="BalonMetniChar"/>
    <w:uiPriority w:val="99"/>
    <w:semiHidden/>
    <w:unhideWhenUsed/>
    <w:rsid w:val="00A74D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D0A"/>
    <w:rPr>
      <w:rFonts w:ascii="Tahoma" w:hAnsi="Tahoma" w:cs="Tahoma"/>
      <w:sz w:val="16"/>
      <w:szCs w:val="16"/>
    </w:rPr>
  </w:style>
  <w:style w:type="character" w:styleId="Kpr">
    <w:name w:val="Hyperlink"/>
    <w:basedOn w:val="VarsaylanParagrafYazTipi"/>
    <w:uiPriority w:val="99"/>
    <w:unhideWhenUsed/>
    <w:rsid w:val="00E25B09"/>
    <w:rPr>
      <w:color w:val="FF3300"/>
      <w:u w:val="single"/>
    </w:rPr>
  </w:style>
  <w:style w:type="paragraph" w:styleId="NormalWeb">
    <w:name w:val="Normal (Web)"/>
    <w:basedOn w:val="Normal"/>
    <w:uiPriority w:val="99"/>
    <w:unhideWhenUsed/>
    <w:rsid w:val="00E25B0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Gl">
    <w:name w:val="Strong"/>
    <w:basedOn w:val="VarsaylanParagrafYazTipi"/>
    <w:qFormat/>
    <w:rsid w:val="00E25B09"/>
    <w:rPr>
      <w:b/>
      <w:bCs/>
    </w:rPr>
  </w:style>
  <w:style w:type="table" w:styleId="TabloKlavuzu">
    <w:name w:val="Table Grid"/>
    <w:basedOn w:val="NormalTablo"/>
    <w:rsid w:val="007F3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link w:val="AralkYokChar"/>
    <w:uiPriority w:val="1"/>
    <w:qFormat/>
    <w:rsid w:val="00773725"/>
    <w:pPr>
      <w:spacing w:after="0" w:line="240" w:lineRule="auto"/>
    </w:pPr>
  </w:style>
  <w:style w:type="character" w:customStyle="1" w:styleId="AralkYokChar">
    <w:name w:val="Aralık Yok Char"/>
    <w:basedOn w:val="VarsaylanParagrafYazTipi"/>
    <w:link w:val="AralkYok"/>
    <w:uiPriority w:val="1"/>
    <w:rsid w:val="00773725"/>
    <w:rPr>
      <w:rFonts w:eastAsiaTheme="minorEastAsia"/>
    </w:rPr>
  </w:style>
  <w:style w:type="character" w:customStyle="1" w:styleId="Balk8Char">
    <w:name w:val="Başlık 8 Char"/>
    <w:basedOn w:val="VarsaylanParagrafYazTipi"/>
    <w:link w:val="Balk8"/>
    <w:rsid w:val="0012114A"/>
    <w:rPr>
      <w:rFonts w:ascii="MS Sans Serif" w:eastAsia="Times New Roman" w:hAnsi="MS Sans Serif" w:cs="MS Sans Serif"/>
      <w:b/>
      <w:bCs/>
      <w:sz w:val="24"/>
      <w:szCs w:val="24"/>
      <w:lang w:val="en-US" w:eastAsia="tr-TR"/>
    </w:rPr>
  </w:style>
  <w:style w:type="paragraph" w:styleId="BelgeBalantlar">
    <w:name w:val="Document Map"/>
    <w:basedOn w:val="Normal"/>
    <w:link w:val="BelgeBalantlarChar"/>
    <w:uiPriority w:val="99"/>
    <w:semiHidden/>
    <w:unhideWhenUsed/>
    <w:rsid w:val="00165D8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65D8F"/>
    <w:rPr>
      <w:rFonts w:ascii="Tahoma" w:hAnsi="Tahoma" w:cs="Tahoma"/>
      <w:sz w:val="16"/>
      <w:szCs w:val="16"/>
    </w:rPr>
  </w:style>
  <w:style w:type="character" w:styleId="YerTutucuMetni">
    <w:name w:val="Placeholder Text"/>
    <w:basedOn w:val="VarsaylanParagrafYazTipi"/>
    <w:uiPriority w:val="99"/>
    <w:semiHidden/>
    <w:rsid w:val="00B6346D"/>
    <w:rPr>
      <w:color w:val="808080"/>
    </w:rPr>
  </w:style>
  <w:style w:type="character" w:customStyle="1" w:styleId="Balk1Char">
    <w:name w:val="Başlık 1 Char"/>
    <w:basedOn w:val="VarsaylanParagrafYazTipi"/>
    <w:link w:val="Balk1"/>
    <w:uiPriority w:val="9"/>
    <w:rsid w:val="00BF2F26"/>
    <w:rPr>
      <w:rFonts w:asciiTheme="majorHAnsi" w:eastAsiaTheme="majorEastAsia" w:hAnsiTheme="majorHAnsi" w:cstheme="majorBidi"/>
      <w:b/>
      <w:bCs/>
      <w:color w:val="548AB7" w:themeColor="accent1" w:themeShade="BF"/>
      <w:sz w:val="28"/>
      <w:szCs w:val="28"/>
    </w:rPr>
  </w:style>
  <w:style w:type="paragraph" w:styleId="GvdeMetniGirintisi">
    <w:name w:val="Body Text Indent"/>
    <w:basedOn w:val="Normal"/>
    <w:link w:val="GvdeMetniGirintisiChar"/>
    <w:semiHidden/>
    <w:rsid w:val="00D83BCE"/>
    <w:pPr>
      <w:spacing w:after="120" w:line="480" w:lineRule="auto"/>
    </w:pPr>
    <w:rPr>
      <w:rFonts w:ascii="Times New Roman" w:eastAsia="Times New Roman" w:hAnsi="Times New Roman" w:cs="Times New Roman"/>
      <w:sz w:val="24"/>
      <w:szCs w:val="24"/>
      <w:lang w:val="en-US"/>
    </w:rPr>
  </w:style>
  <w:style w:type="character" w:customStyle="1" w:styleId="GvdeMetniGirintisiChar">
    <w:name w:val="Gövde Metni Girintisi Char"/>
    <w:basedOn w:val="VarsaylanParagrafYazTipi"/>
    <w:link w:val="GvdeMetniGirintisi"/>
    <w:semiHidden/>
    <w:rsid w:val="00D83BCE"/>
    <w:rPr>
      <w:rFonts w:ascii="Times New Roman" w:eastAsia="Times New Roman" w:hAnsi="Times New Roman" w:cs="Times New Roman"/>
      <w:sz w:val="24"/>
      <w:szCs w:val="24"/>
      <w:lang w:val="en-US" w:eastAsia="tr-TR"/>
    </w:rPr>
  </w:style>
  <w:style w:type="paragraph" w:styleId="GvdeMetni3">
    <w:name w:val="Body Text 3"/>
    <w:basedOn w:val="Normal"/>
    <w:link w:val="GvdeMetni3Char"/>
    <w:semiHidden/>
    <w:rsid w:val="00D83BCE"/>
    <w:pPr>
      <w:spacing w:after="0" w:line="480" w:lineRule="auto"/>
      <w:jc w:val="both"/>
    </w:pPr>
    <w:rPr>
      <w:rFonts w:ascii="Times New Roman" w:eastAsia="Times New Roman" w:hAnsi="Times New Roman" w:cs="Times New Roman"/>
      <w:bCs/>
      <w:color w:val="FF0000"/>
      <w:sz w:val="24"/>
      <w:szCs w:val="24"/>
      <w:lang w:val="en-US"/>
    </w:rPr>
  </w:style>
  <w:style w:type="character" w:customStyle="1" w:styleId="GvdeMetni3Char">
    <w:name w:val="Gövde Metni 3 Char"/>
    <w:basedOn w:val="VarsaylanParagrafYazTipi"/>
    <w:link w:val="GvdeMetni3"/>
    <w:semiHidden/>
    <w:rsid w:val="00D83BCE"/>
    <w:rPr>
      <w:rFonts w:ascii="Times New Roman" w:eastAsia="Times New Roman" w:hAnsi="Times New Roman" w:cs="Times New Roman"/>
      <w:bCs/>
      <w:color w:val="FF0000"/>
      <w:sz w:val="24"/>
      <w:szCs w:val="24"/>
      <w:lang w:val="en-US" w:eastAsia="tr-TR"/>
    </w:rPr>
  </w:style>
  <w:style w:type="character" w:customStyle="1" w:styleId="ti">
    <w:name w:val="ti"/>
    <w:basedOn w:val="VarsaylanParagrafYazTipi"/>
    <w:rsid w:val="00303082"/>
  </w:style>
  <w:style w:type="paragraph" w:styleId="ListeParagraf">
    <w:name w:val="List Paragraph"/>
    <w:basedOn w:val="Normal"/>
    <w:qFormat/>
    <w:rsid w:val="00303082"/>
    <w:pPr>
      <w:ind w:left="720"/>
      <w:contextualSpacing/>
    </w:pPr>
    <w:rPr>
      <w:rFonts w:ascii="Calibri" w:eastAsia="Times New Roman" w:hAnsi="Calibri" w:cs="Times New Roman"/>
    </w:rPr>
  </w:style>
  <w:style w:type="character" w:styleId="Vurgu">
    <w:name w:val="Emphasis"/>
    <w:basedOn w:val="VarsaylanParagrafYazTipi"/>
    <w:qFormat/>
    <w:rsid w:val="00303082"/>
    <w:rPr>
      <w:i/>
      <w:iCs/>
    </w:rPr>
  </w:style>
  <w:style w:type="character" w:customStyle="1" w:styleId="Balk2Char">
    <w:name w:val="Başlık 2 Char"/>
    <w:basedOn w:val="VarsaylanParagrafYazTipi"/>
    <w:link w:val="Balk2"/>
    <w:uiPriority w:val="9"/>
    <w:semiHidden/>
    <w:rsid w:val="00303082"/>
    <w:rPr>
      <w:rFonts w:asciiTheme="majorHAnsi" w:eastAsiaTheme="majorEastAsia" w:hAnsiTheme="majorHAnsi" w:cstheme="majorBidi"/>
      <w:b/>
      <w:bCs/>
      <w:color w:val="94B6D2" w:themeColor="accent1"/>
      <w:sz w:val="26"/>
      <w:szCs w:val="26"/>
    </w:rPr>
  </w:style>
  <w:style w:type="character" w:customStyle="1" w:styleId="Balk3Char">
    <w:name w:val="Başlık 3 Char"/>
    <w:basedOn w:val="VarsaylanParagrafYazTipi"/>
    <w:link w:val="Balk3"/>
    <w:uiPriority w:val="9"/>
    <w:semiHidden/>
    <w:rsid w:val="00303082"/>
    <w:rPr>
      <w:rFonts w:asciiTheme="majorHAnsi" w:eastAsiaTheme="majorEastAsia" w:hAnsiTheme="majorHAnsi" w:cstheme="majorBidi"/>
      <w:b/>
      <w:bCs/>
      <w:color w:val="94B6D2" w:themeColor="accent1"/>
    </w:rPr>
  </w:style>
  <w:style w:type="paragraph" w:styleId="HTMLncedenBiimlendirilmi">
    <w:name w:val="HTML Preformatted"/>
    <w:basedOn w:val="Normal"/>
    <w:link w:val="HTMLncedenBiimlendirilmiChar"/>
    <w:rsid w:val="0030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ncedenBiimlendirilmiChar">
    <w:name w:val="HTML Önceden Biçimlendirilmiş Char"/>
    <w:basedOn w:val="VarsaylanParagrafYazTipi"/>
    <w:link w:val="HTMLncedenBiimlendirilmi"/>
    <w:semiHidden/>
    <w:rsid w:val="00303082"/>
    <w:rPr>
      <w:rFonts w:ascii="Courier New" w:eastAsia="Times New Roman" w:hAnsi="Courier New" w:cs="Courier New"/>
      <w:sz w:val="24"/>
      <w:szCs w:val="24"/>
      <w:lang w:eastAsia="tr-TR"/>
    </w:rPr>
  </w:style>
  <w:style w:type="character" w:styleId="SatrNumaras">
    <w:name w:val="line number"/>
    <w:basedOn w:val="VarsaylanParagrafYazTipi"/>
    <w:uiPriority w:val="99"/>
    <w:semiHidden/>
    <w:unhideWhenUsed/>
    <w:rsid w:val="00857EE1"/>
  </w:style>
  <w:style w:type="character" w:customStyle="1" w:styleId="ti2">
    <w:name w:val="ti2"/>
    <w:basedOn w:val="VarsaylanParagrafYazTipi"/>
    <w:rsid w:val="009C2FB8"/>
    <w:rPr>
      <w:sz w:val="22"/>
      <w:szCs w:val="22"/>
    </w:rPr>
  </w:style>
  <w:style w:type="character" w:customStyle="1" w:styleId="journalname">
    <w:name w:val="journalname"/>
    <w:basedOn w:val="VarsaylanParagrafYazTipi"/>
    <w:rsid w:val="009C2FB8"/>
  </w:style>
  <w:style w:type="paragraph" w:customStyle="1" w:styleId="authors1">
    <w:name w:val="authors1"/>
    <w:basedOn w:val="Normal"/>
    <w:rsid w:val="009C2FB8"/>
    <w:pPr>
      <w:spacing w:before="72" w:after="0" w:line="240" w:lineRule="atLeast"/>
      <w:ind w:left="825"/>
    </w:pPr>
    <w:rPr>
      <w:rFonts w:ascii="Times New Roman" w:eastAsia="Times New Roman" w:hAnsi="Times New Roman" w:cs="Times New Roman"/>
      <w:lang w:val="en-US"/>
    </w:rPr>
  </w:style>
  <w:style w:type="character" w:customStyle="1" w:styleId="src1">
    <w:name w:val="src1"/>
    <w:basedOn w:val="VarsaylanParagrafYazTipi"/>
    <w:rsid w:val="009C2FB8"/>
    <w:rPr>
      <w:vanish w:val="0"/>
      <w:webHidden w:val="0"/>
      <w:specVanish w:val="0"/>
    </w:rPr>
  </w:style>
  <w:style w:type="character" w:customStyle="1" w:styleId="jrnl">
    <w:name w:val="jrnl"/>
    <w:basedOn w:val="VarsaylanParagrafYazTipi"/>
    <w:rsid w:val="009C2FB8"/>
  </w:style>
  <w:style w:type="table" w:styleId="AkListe-Vurgu3">
    <w:name w:val="Light List Accent 3"/>
    <w:basedOn w:val="NormalTablo"/>
    <w:uiPriority w:val="61"/>
    <w:rsid w:val="00334F23"/>
    <w:pPr>
      <w:spacing w:after="0" w:line="240" w:lineRule="auto"/>
    </w:pPr>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paragraph" w:styleId="GvdeMetniGirintisi2">
    <w:name w:val="Body Text Indent 2"/>
    <w:basedOn w:val="Normal"/>
    <w:link w:val="GvdeMetniGirintisi2Char"/>
    <w:uiPriority w:val="99"/>
    <w:unhideWhenUsed/>
    <w:rsid w:val="00913018"/>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913018"/>
  </w:style>
  <w:style w:type="character" w:styleId="DipnotBavurusu">
    <w:name w:val="footnote reference"/>
    <w:basedOn w:val="VarsaylanParagrafYazTipi"/>
    <w:semiHidden/>
    <w:rsid w:val="00913018"/>
    <w:rPr>
      <w:vertAlign w:val="superscript"/>
    </w:rPr>
  </w:style>
  <w:style w:type="character" w:customStyle="1" w:styleId="apple-style-span">
    <w:name w:val="apple-style-span"/>
    <w:rsid w:val="001C6229"/>
  </w:style>
  <w:style w:type="table" w:styleId="AkGlgeleme-Vurgu3">
    <w:name w:val="Light Shading Accent 3"/>
    <w:basedOn w:val="NormalTablo"/>
    <w:uiPriority w:val="60"/>
    <w:rsid w:val="001C6229"/>
    <w:pPr>
      <w:spacing w:after="0" w:line="240" w:lineRule="auto"/>
    </w:pPr>
    <w:rPr>
      <w:color w:val="80865A" w:themeColor="accent3" w:themeShade="BF"/>
    </w:rPr>
    <w:tblPr>
      <w:tblStyleRowBandSize w:val="1"/>
      <w:tblStyleColBandSize w:val="1"/>
      <w:tblInd w:w="0" w:type="dxa"/>
      <w:tblBorders>
        <w:top w:val="single" w:sz="8" w:space="0" w:color="A5AB81" w:themeColor="accent3"/>
        <w:bottom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AkGlgeleme-Vurgu2">
    <w:name w:val="Light Shading Accent 2"/>
    <w:basedOn w:val="NormalTablo"/>
    <w:uiPriority w:val="60"/>
    <w:rsid w:val="001C6229"/>
    <w:pPr>
      <w:spacing w:after="0" w:line="240" w:lineRule="auto"/>
    </w:pPr>
    <w:rPr>
      <w:color w:val="B85A22" w:themeColor="accent2" w:themeShade="BF"/>
    </w:rPr>
    <w:tblPr>
      <w:tblStyleRowBandSize w:val="1"/>
      <w:tblStyleColBandSize w:val="1"/>
      <w:tblInd w:w="0" w:type="dxa"/>
      <w:tblBorders>
        <w:top w:val="single" w:sz="8" w:space="0" w:color="DD8047" w:themeColor="accent2"/>
        <w:bottom w:val="single" w:sz="8" w:space="0" w:color="DD8047"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customStyle="1" w:styleId="AkGlgeleme-Vurgu11">
    <w:name w:val="Açık Gölgeleme - Vurgu 11"/>
    <w:basedOn w:val="NormalTablo"/>
    <w:uiPriority w:val="60"/>
    <w:rsid w:val="001C6229"/>
    <w:pPr>
      <w:spacing w:after="0" w:line="240" w:lineRule="auto"/>
    </w:pPr>
    <w:rPr>
      <w:color w:val="548AB7" w:themeColor="accent1" w:themeShade="BF"/>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customStyle="1" w:styleId="AkListe-Vurgu11">
    <w:name w:val="Açık Liste - Vurgu 11"/>
    <w:basedOn w:val="NormalTablo"/>
    <w:uiPriority w:val="61"/>
    <w:rsid w:val="001C6229"/>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paragraph" w:styleId="GvdeMetni">
    <w:name w:val="Body Text"/>
    <w:basedOn w:val="Normal"/>
    <w:link w:val="GvdeMetniChar"/>
    <w:uiPriority w:val="99"/>
    <w:semiHidden/>
    <w:unhideWhenUsed/>
    <w:rsid w:val="007E749F"/>
    <w:pPr>
      <w:spacing w:after="120"/>
    </w:pPr>
  </w:style>
  <w:style w:type="character" w:customStyle="1" w:styleId="GvdeMetniChar">
    <w:name w:val="Gövde Metni Char"/>
    <w:basedOn w:val="VarsaylanParagrafYazTipi"/>
    <w:link w:val="GvdeMetni"/>
    <w:uiPriority w:val="99"/>
    <w:semiHidden/>
    <w:rsid w:val="007E749F"/>
  </w:style>
  <w:style w:type="character" w:customStyle="1" w:styleId="trn">
    <w:name w:val="trn"/>
    <w:basedOn w:val="VarsaylanParagrafYazTipi"/>
    <w:rsid w:val="005D6F1B"/>
  </w:style>
  <w:style w:type="paragraph" w:customStyle="1" w:styleId="Paragrafoelenco">
    <w:name w:val="Paragrafo elenco"/>
    <w:basedOn w:val="Normal"/>
    <w:qFormat/>
    <w:rsid w:val="005D6F1B"/>
    <w:pPr>
      <w:ind w:left="720"/>
      <w:contextualSpacing/>
    </w:pPr>
    <w:rPr>
      <w:rFonts w:ascii="Calibri" w:eastAsia="Calibri" w:hAnsi="Calibri" w:cs="Times New Roman"/>
      <w:lang w:val="en-US"/>
    </w:rPr>
  </w:style>
  <w:style w:type="paragraph" w:customStyle="1" w:styleId="title1">
    <w:name w:val="title1"/>
    <w:basedOn w:val="Normal"/>
    <w:rsid w:val="005D6F1B"/>
    <w:pPr>
      <w:spacing w:after="0" w:line="240" w:lineRule="auto"/>
    </w:pPr>
    <w:rPr>
      <w:rFonts w:ascii="Times New Roman" w:eastAsia="Times New Roman" w:hAnsi="Times New Roman" w:cs="Times New Roman"/>
      <w:sz w:val="29"/>
      <w:szCs w:val="29"/>
      <w:lang w:val="it-IT" w:eastAsia="it-IT"/>
    </w:rPr>
  </w:style>
  <w:style w:type="paragraph" w:customStyle="1" w:styleId="citation">
    <w:name w:val="citation"/>
    <w:basedOn w:val="Normal"/>
    <w:rsid w:val="005D6F1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authlist">
    <w:name w:val="auth_list"/>
    <w:basedOn w:val="Normal"/>
    <w:rsid w:val="005D6F1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AkGlgeleme-Vurgu12">
    <w:name w:val="Açık Gölgeleme - Vurgu 12"/>
    <w:basedOn w:val="NormalTablo"/>
    <w:uiPriority w:val="60"/>
    <w:rsid w:val="006D7A3F"/>
    <w:pPr>
      <w:spacing w:after="0" w:line="240" w:lineRule="auto"/>
    </w:pPr>
    <w:rPr>
      <w:color w:val="548AB7" w:themeColor="accent1" w:themeShade="BF"/>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customStyle="1" w:styleId="AkListe-Vurgu12">
    <w:name w:val="Açık Liste - Vurgu 12"/>
    <w:basedOn w:val="NormalTablo"/>
    <w:uiPriority w:val="61"/>
    <w:rsid w:val="00CB43EE"/>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OrtaGlgeleme1-Vurgu1">
    <w:name w:val="Medium Shading 1 Accent 1"/>
    <w:basedOn w:val="NormalTablo"/>
    <w:uiPriority w:val="63"/>
    <w:rsid w:val="00081EAC"/>
    <w:pPr>
      <w:spacing w:after="0" w:line="240" w:lineRule="auto"/>
    </w:pPr>
    <w:tblPr>
      <w:tblStyleRowBandSize w:val="1"/>
      <w:tblStyleColBandSize w:val="1"/>
      <w:tblInd w:w="0" w:type="dxa"/>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OrtaKlavuz1-Vurgu1">
    <w:name w:val="Medium Grid 1 Accent 1"/>
    <w:basedOn w:val="NormalTablo"/>
    <w:uiPriority w:val="67"/>
    <w:rsid w:val="00081EAC"/>
    <w:pPr>
      <w:spacing w:after="0" w:line="240" w:lineRule="auto"/>
    </w:pPr>
    <w:tblPr>
      <w:tblStyleRowBandSize w:val="1"/>
      <w:tblStyleColBandSize w:val="1"/>
      <w:tblInd w:w="0" w:type="dxa"/>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CellMar>
        <w:top w:w="0" w:type="dxa"/>
        <w:left w:w="108" w:type="dxa"/>
        <w:bottom w:w="0" w:type="dxa"/>
        <w:right w:w="108" w:type="dxa"/>
      </w:tblCellMar>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AkListe-Vurgu1">
    <w:name w:val="Light List Accent 1"/>
    <w:basedOn w:val="NormalTablo"/>
    <w:uiPriority w:val="61"/>
    <w:rsid w:val="00081EAC"/>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customStyle="1" w:styleId="TableStyle1">
    <w:name w:val="Table Style1"/>
    <w:basedOn w:val="NormalTablo"/>
    <w:rsid w:val="00DD36B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096149">
      <w:bodyDiv w:val="1"/>
      <w:marLeft w:val="0"/>
      <w:marRight w:val="0"/>
      <w:marTop w:val="0"/>
      <w:marBottom w:val="0"/>
      <w:divBdr>
        <w:top w:val="none" w:sz="0" w:space="0" w:color="auto"/>
        <w:left w:val="none" w:sz="0" w:space="0" w:color="auto"/>
        <w:bottom w:val="none" w:sz="0" w:space="0" w:color="auto"/>
        <w:right w:val="none" w:sz="0" w:space="0" w:color="auto"/>
      </w:divBdr>
    </w:div>
    <w:div w:id="1171214604">
      <w:bodyDiv w:val="1"/>
      <w:marLeft w:val="0"/>
      <w:marRight w:val="0"/>
      <w:marTop w:val="0"/>
      <w:marBottom w:val="0"/>
      <w:divBdr>
        <w:top w:val="none" w:sz="0" w:space="0" w:color="auto"/>
        <w:left w:val="none" w:sz="0" w:space="0" w:color="auto"/>
        <w:bottom w:val="none" w:sz="0" w:space="0" w:color="auto"/>
        <w:right w:val="none" w:sz="0" w:space="0" w:color="auto"/>
      </w:divBdr>
      <w:divsChild>
        <w:div w:id="368459949">
          <w:marLeft w:val="167"/>
          <w:marRight w:val="167"/>
          <w:marTop w:val="0"/>
          <w:marBottom w:val="167"/>
          <w:divBdr>
            <w:top w:val="none" w:sz="0" w:space="0" w:color="auto"/>
            <w:left w:val="none" w:sz="0" w:space="0" w:color="auto"/>
            <w:bottom w:val="none" w:sz="0" w:space="0" w:color="auto"/>
            <w:right w:val="none" w:sz="0" w:space="0" w:color="auto"/>
          </w:divBdr>
          <w:divsChild>
            <w:div w:id="1609117133">
              <w:blockQuote w:val="1"/>
              <w:marLeft w:val="84"/>
              <w:marRight w:val="720"/>
              <w:marTop w:val="100"/>
              <w:marBottom w:val="100"/>
              <w:divBdr>
                <w:top w:val="none" w:sz="0" w:space="0" w:color="auto"/>
                <w:left w:val="single" w:sz="12" w:space="4" w:color="1010FF"/>
                <w:bottom w:val="none" w:sz="0" w:space="0" w:color="auto"/>
                <w:right w:val="none" w:sz="0" w:space="0" w:color="auto"/>
              </w:divBdr>
              <w:divsChild>
                <w:div w:id="856888093">
                  <w:marLeft w:val="0"/>
                  <w:marRight w:val="0"/>
                  <w:marTop w:val="0"/>
                  <w:marBottom w:val="0"/>
                  <w:divBdr>
                    <w:top w:val="none" w:sz="0" w:space="0" w:color="auto"/>
                    <w:left w:val="none" w:sz="0" w:space="0" w:color="auto"/>
                    <w:bottom w:val="none" w:sz="0" w:space="0" w:color="auto"/>
                    <w:right w:val="none" w:sz="0" w:space="0" w:color="auto"/>
                  </w:divBdr>
                  <w:divsChild>
                    <w:div w:id="7463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23448">
      <w:bodyDiv w:val="1"/>
      <w:marLeft w:val="0"/>
      <w:marRight w:val="0"/>
      <w:marTop w:val="0"/>
      <w:marBottom w:val="0"/>
      <w:divBdr>
        <w:top w:val="none" w:sz="0" w:space="0" w:color="auto"/>
        <w:left w:val="none" w:sz="0" w:space="0" w:color="auto"/>
        <w:bottom w:val="none" w:sz="0" w:space="0" w:color="auto"/>
        <w:right w:val="none" w:sz="0" w:space="0" w:color="auto"/>
      </w:divBdr>
      <w:divsChild>
        <w:div w:id="1576276242">
          <w:marLeft w:val="0"/>
          <w:marRight w:val="0"/>
          <w:marTop w:val="0"/>
          <w:marBottom w:val="0"/>
          <w:divBdr>
            <w:top w:val="single" w:sz="24" w:space="6" w:color="006699"/>
            <w:left w:val="none" w:sz="0" w:space="0" w:color="auto"/>
            <w:bottom w:val="none" w:sz="0" w:space="0" w:color="auto"/>
            <w:right w:val="none" w:sz="0" w:space="0" w:color="auto"/>
          </w:divBdr>
        </w:div>
      </w:divsChild>
    </w:div>
    <w:div w:id="19363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medical.theclinics.com/issues?issue_key=S0025-7125(05)X7011-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EPA%20AGARWAL\Documents\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EPA%20AGARWAL\Documents\Other%20Doc\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style val="26"/>
  <c:chart>
    <c:title>
      <c:tx>
        <c:rich>
          <a:bodyPr/>
          <a:lstStyle/>
          <a:p>
            <a:pPr>
              <a:defRPr/>
            </a:pPr>
            <a:r>
              <a:rPr lang="en-US"/>
              <a:t>SGA</a:t>
            </a:r>
            <a:r>
              <a:rPr lang="en-US" baseline="0"/>
              <a:t> Categories</a:t>
            </a:r>
            <a:endParaRPr lang="en-US"/>
          </a:p>
        </c:rich>
      </c:tx>
    </c:title>
    <c:plotArea>
      <c:layout/>
      <c:barChart>
        <c:barDir val="bar"/>
        <c:grouping val="clustered"/>
        <c:ser>
          <c:idx val="0"/>
          <c:order val="0"/>
          <c:tx>
            <c:strRef>
              <c:f>Sheet1!$B$187</c:f>
              <c:strCache>
                <c:ptCount val="1"/>
                <c:pt idx="0">
                  <c:v>Well Nourished</c:v>
                </c:pt>
              </c:strCache>
            </c:strRef>
          </c:tx>
          <c:cat>
            <c:strRef>
              <c:f>Sheet1!$C$186:$F$186</c:f>
              <c:strCache>
                <c:ptCount val="4"/>
                <c:pt idx="0">
                  <c:v>1-6 month</c:v>
                </c:pt>
                <c:pt idx="1">
                  <c:v>6-12 month</c:v>
                </c:pt>
                <c:pt idx="2">
                  <c:v>1-3 year</c:v>
                </c:pt>
                <c:pt idx="3">
                  <c:v>4-6 year</c:v>
                </c:pt>
              </c:strCache>
            </c:strRef>
          </c:cat>
          <c:val>
            <c:numRef>
              <c:f>Sheet1!$C$187:$F$187</c:f>
              <c:numCache>
                <c:formatCode>General</c:formatCode>
                <c:ptCount val="4"/>
                <c:pt idx="0">
                  <c:v>44</c:v>
                </c:pt>
                <c:pt idx="1">
                  <c:v>49</c:v>
                </c:pt>
                <c:pt idx="2">
                  <c:v>60</c:v>
                </c:pt>
                <c:pt idx="3">
                  <c:v>53</c:v>
                </c:pt>
              </c:numCache>
            </c:numRef>
          </c:val>
        </c:ser>
        <c:ser>
          <c:idx val="1"/>
          <c:order val="1"/>
          <c:tx>
            <c:strRef>
              <c:f>Sheet1!$B$188</c:f>
              <c:strCache>
                <c:ptCount val="1"/>
                <c:pt idx="0">
                  <c:v>Moderately Nourished</c:v>
                </c:pt>
              </c:strCache>
            </c:strRef>
          </c:tx>
          <c:cat>
            <c:strRef>
              <c:f>Sheet1!$C$186:$F$186</c:f>
              <c:strCache>
                <c:ptCount val="4"/>
                <c:pt idx="0">
                  <c:v>1-6 month</c:v>
                </c:pt>
                <c:pt idx="1">
                  <c:v>6-12 month</c:v>
                </c:pt>
                <c:pt idx="2">
                  <c:v>1-3 year</c:v>
                </c:pt>
                <c:pt idx="3">
                  <c:v>4-6 year</c:v>
                </c:pt>
              </c:strCache>
            </c:strRef>
          </c:cat>
          <c:val>
            <c:numRef>
              <c:f>Sheet1!$C$188:$F$188</c:f>
              <c:numCache>
                <c:formatCode>General</c:formatCode>
                <c:ptCount val="4"/>
                <c:pt idx="0">
                  <c:v>32</c:v>
                </c:pt>
                <c:pt idx="1">
                  <c:v>35</c:v>
                </c:pt>
                <c:pt idx="2">
                  <c:v>26</c:v>
                </c:pt>
                <c:pt idx="3">
                  <c:v>45</c:v>
                </c:pt>
              </c:numCache>
            </c:numRef>
          </c:val>
        </c:ser>
        <c:ser>
          <c:idx val="2"/>
          <c:order val="2"/>
          <c:tx>
            <c:strRef>
              <c:f>Sheet1!$B$189</c:f>
              <c:strCache>
                <c:ptCount val="1"/>
                <c:pt idx="0">
                  <c:v>Severely Nourished</c:v>
                </c:pt>
              </c:strCache>
            </c:strRef>
          </c:tx>
          <c:cat>
            <c:strRef>
              <c:f>Sheet1!$C$186:$F$186</c:f>
              <c:strCache>
                <c:ptCount val="4"/>
                <c:pt idx="0">
                  <c:v>1-6 month</c:v>
                </c:pt>
                <c:pt idx="1">
                  <c:v>6-12 month</c:v>
                </c:pt>
                <c:pt idx="2">
                  <c:v>1-3 year</c:v>
                </c:pt>
                <c:pt idx="3">
                  <c:v>4-6 year</c:v>
                </c:pt>
              </c:strCache>
            </c:strRef>
          </c:cat>
          <c:val>
            <c:numRef>
              <c:f>Sheet1!$C$189:$F$189</c:f>
              <c:numCache>
                <c:formatCode>General</c:formatCode>
                <c:ptCount val="4"/>
                <c:pt idx="0">
                  <c:v>24</c:v>
                </c:pt>
                <c:pt idx="1">
                  <c:v>16</c:v>
                </c:pt>
                <c:pt idx="2">
                  <c:v>14</c:v>
                </c:pt>
                <c:pt idx="3">
                  <c:v>2</c:v>
                </c:pt>
              </c:numCache>
            </c:numRef>
          </c:val>
        </c:ser>
        <c:dLbls>
          <c:showVal val="1"/>
        </c:dLbls>
        <c:overlap val="-25"/>
        <c:axId val="134616192"/>
        <c:axId val="135822336"/>
      </c:barChart>
      <c:catAx>
        <c:axId val="134616192"/>
        <c:scaling>
          <c:orientation val="minMax"/>
        </c:scaling>
        <c:axPos val="l"/>
        <c:title>
          <c:tx>
            <c:rich>
              <a:bodyPr rot="-5400000" vert="horz"/>
              <a:lstStyle/>
              <a:p>
                <a:pPr>
                  <a:defRPr/>
                </a:pPr>
                <a:r>
                  <a:rPr lang="en-US"/>
                  <a:t>Age Groups</a:t>
                </a:r>
              </a:p>
            </c:rich>
          </c:tx>
        </c:title>
        <c:majorTickMark val="none"/>
        <c:tickLblPos val="nextTo"/>
        <c:crossAx val="135822336"/>
        <c:crosses val="autoZero"/>
        <c:auto val="1"/>
        <c:lblAlgn val="ctr"/>
        <c:lblOffset val="100"/>
      </c:catAx>
      <c:valAx>
        <c:axId val="135822336"/>
        <c:scaling>
          <c:orientation val="minMax"/>
        </c:scaling>
        <c:delete val="1"/>
        <c:axPos val="b"/>
        <c:title>
          <c:tx>
            <c:rich>
              <a:bodyPr/>
              <a:lstStyle/>
              <a:p>
                <a:pPr>
                  <a:defRPr/>
                </a:pPr>
                <a:r>
                  <a:rPr lang="en-US"/>
                  <a:t>Percentages</a:t>
                </a:r>
              </a:p>
            </c:rich>
          </c:tx>
        </c:title>
        <c:numFmt formatCode="General" sourceLinked="1"/>
        <c:tickLblPos val="none"/>
        <c:crossAx val="134616192"/>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style val="26"/>
  <c:chart>
    <c:title>
      <c:tx>
        <c:rich>
          <a:bodyPr/>
          <a:lstStyle/>
          <a:p>
            <a:pPr>
              <a:defRPr/>
            </a:pPr>
            <a:r>
              <a:rPr lang="en-US"/>
              <a:t>IAP</a:t>
            </a:r>
            <a:r>
              <a:rPr lang="en-US" baseline="0"/>
              <a:t> Classification</a:t>
            </a:r>
            <a:endParaRPr lang="en-US"/>
          </a:p>
        </c:rich>
      </c:tx>
    </c:title>
    <c:plotArea>
      <c:layout/>
      <c:barChart>
        <c:barDir val="col"/>
        <c:grouping val="clustered"/>
        <c:ser>
          <c:idx val="0"/>
          <c:order val="0"/>
          <c:tx>
            <c:strRef>
              <c:f>Sheet1!$B$124</c:f>
              <c:strCache>
                <c:ptCount val="1"/>
                <c:pt idx="0">
                  <c:v>Normal</c:v>
                </c:pt>
              </c:strCache>
            </c:strRef>
          </c:tx>
          <c:cat>
            <c:strRef>
              <c:f>Sheet1!$C$123:$G$123</c:f>
              <c:strCache>
                <c:ptCount val="4"/>
                <c:pt idx="0">
                  <c:v>1-6 month</c:v>
                </c:pt>
                <c:pt idx="1">
                  <c:v>6-12 month</c:v>
                </c:pt>
                <c:pt idx="2">
                  <c:v>1-3 year</c:v>
                </c:pt>
                <c:pt idx="3">
                  <c:v>4-6 year</c:v>
                </c:pt>
              </c:strCache>
            </c:strRef>
          </c:cat>
          <c:val>
            <c:numRef>
              <c:f>Sheet1!$C$124:$G$124</c:f>
              <c:numCache>
                <c:formatCode>General</c:formatCode>
                <c:ptCount val="5"/>
                <c:pt idx="0">
                  <c:v>41</c:v>
                </c:pt>
                <c:pt idx="1">
                  <c:v>44</c:v>
                </c:pt>
                <c:pt idx="2">
                  <c:v>64</c:v>
                </c:pt>
                <c:pt idx="3">
                  <c:v>65</c:v>
                </c:pt>
              </c:numCache>
            </c:numRef>
          </c:val>
        </c:ser>
        <c:ser>
          <c:idx val="1"/>
          <c:order val="1"/>
          <c:tx>
            <c:strRef>
              <c:f>Sheet1!$B$125</c:f>
              <c:strCache>
                <c:ptCount val="1"/>
                <c:pt idx="0">
                  <c:v>Grade I PEM</c:v>
                </c:pt>
              </c:strCache>
            </c:strRef>
          </c:tx>
          <c:cat>
            <c:strRef>
              <c:f>Sheet1!$C$123:$G$123</c:f>
              <c:strCache>
                <c:ptCount val="4"/>
                <c:pt idx="0">
                  <c:v>1-6 month</c:v>
                </c:pt>
                <c:pt idx="1">
                  <c:v>6-12 month</c:v>
                </c:pt>
                <c:pt idx="2">
                  <c:v>1-3 year</c:v>
                </c:pt>
                <c:pt idx="3">
                  <c:v>4-6 year</c:v>
                </c:pt>
              </c:strCache>
            </c:strRef>
          </c:cat>
          <c:val>
            <c:numRef>
              <c:f>Sheet1!$C$125:$G$125</c:f>
              <c:numCache>
                <c:formatCode>General</c:formatCode>
                <c:ptCount val="5"/>
                <c:pt idx="0">
                  <c:v>14</c:v>
                </c:pt>
                <c:pt idx="1">
                  <c:v>22</c:v>
                </c:pt>
                <c:pt idx="2">
                  <c:v>12</c:v>
                </c:pt>
                <c:pt idx="3">
                  <c:v>20</c:v>
                </c:pt>
              </c:numCache>
            </c:numRef>
          </c:val>
        </c:ser>
        <c:ser>
          <c:idx val="2"/>
          <c:order val="2"/>
          <c:tx>
            <c:strRef>
              <c:f>Sheet1!$B$126</c:f>
              <c:strCache>
                <c:ptCount val="1"/>
                <c:pt idx="0">
                  <c:v>Grade II PEM</c:v>
                </c:pt>
              </c:strCache>
            </c:strRef>
          </c:tx>
          <c:cat>
            <c:strRef>
              <c:f>Sheet1!$C$123:$G$123</c:f>
              <c:strCache>
                <c:ptCount val="4"/>
                <c:pt idx="0">
                  <c:v>1-6 month</c:v>
                </c:pt>
                <c:pt idx="1">
                  <c:v>6-12 month</c:v>
                </c:pt>
                <c:pt idx="2">
                  <c:v>1-3 year</c:v>
                </c:pt>
                <c:pt idx="3">
                  <c:v>4-6 year</c:v>
                </c:pt>
              </c:strCache>
            </c:strRef>
          </c:cat>
          <c:val>
            <c:numRef>
              <c:f>Sheet1!$C$126:$G$126</c:f>
              <c:numCache>
                <c:formatCode>General</c:formatCode>
                <c:ptCount val="5"/>
                <c:pt idx="0">
                  <c:v>12</c:v>
                </c:pt>
                <c:pt idx="1">
                  <c:v>23</c:v>
                </c:pt>
                <c:pt idx="2">
                  <c:v>15</c:v>
                </c:pt>
                <c:pt idx="3">
                  <c:v>12</c:v>
                </c:pt>
              </c:numCache>
            </c:numRef>
          </c:val>
        </c:ser>
        <c:ser>
          <c:idx val="3"/>
          <c:order val="3"/>
          <c:tx>
            <c:strRef>
              <c:f>Sheet1!$B$127</c:f>
              <c:strCache>
                <c:ptCount val="1"/>
                <c:pt idx="0">
                  <c:v>Grade III PEM</c:v>
                </c:pt>
              </c:strCache>
            </c:strRef>
          </c:tx>
          <c:cat>
            <c:strRef>
              <c:f>Sheet1!$C$123:$G$123</c:f>
              <c:strCache>
                <c:ptCount val="4"/>
                <c:pt idx="0">
                  <c:v>1-6 month</c:v>
                </c:pt>
                <c:pt idx="1">
                  <c:v>6-12 month</c:v>
                </c:pt>
                <c:pt idx="2">
                  <c:v>1-3 year</c:v>
                </c:pt>
                <c:pt idx="3">
                  <c:v>4-6 year</c:v>
                </c:pt>
              </c:strCache>
            </c:strRef>
          </c:cat>
          <c:val>
            <c:numRef>
              <c:f>Sheet1!$C$127:$G$127</c:f>
              <c:numCache>
                <c:formatCode>General</c:formatCode>
                <c:ptCount val="5"/>
                <c:pt idx="0">
                  <c:v>15</c:v>
                </c:pt>
                <c:pt idx="1">
                  <c:v>8</c:v>
                </c:pt>
                <c:pt idx="2">
                  <c:v>3</c:v>
                </c:pt>
                <c:pt idx="3">
                  <c:v>3</c:v>
                </c:pt>
              </c:numCache>
            </c:numRef>
          </c:val>
        </c:ser>
        <c:ser>
          <c:idx val="4"/>
          <c:order val="4"/>
          <c:tx>
            <c:strRef>
              <c:f>Sheet1!$B$128</c:f>
              <c:strCache>
                <c:ptCount val="1"/>
                <c:pt idx="0">
                  <c:v>Grade IV PEM</c:v>
                </c:pt>
              </c:strCache>
            </c:strRef>
          </c:tx>
          <c:cat>
            <c:strRef>
              <c:f>Sheet1!$C$123:$G$123</c:f>
              <c:strCache>
                <c:ptCount val="4"/>
                <c:pt idx="0">
                  <c:v>1-6 month</c:v>
                </c:pt>
                <c:pt idx="1">
                  <c:v>6-12 month</c:v>
                </c:pt>
                <c:pt idx="2">
                  <c:v>1-3 year</c:v>
                </c:pt>
                <c:pt idx="3">
                  <c:v>4-6 year</c:v>
                </c:pt>
              </c:strCache>
            </c:strRef>
          </c:cat>
          <c:val>
            <c:numRef>
              <c:f>Sheet1!$C$128:$G$128</c:f>
              <c:numCache>
                <c:formatCode>General</c:formatCode>
                <c:ptCount val="5"/>
                <c:pt idx="0">
                  <c:v>18</c:v>
                </c:pt>
                <c:pt idx="1">
                  <c:v>3</c:v>
                </c:pt>
                <c:pt idx="2">
                  <c:v>6</c:v>
                </c:pt>
                <c:pt idx="3">
                  <c:v>0</c:v>
                </c:pt>
              </c:numCache>
            </c:numRef>
          </c:val>
        </c:ser>
        <c:dLbls>
          <c:showVal val="1"/>
        </c:dLbls>
        <c:overlap val="-25"/>
        <c:axId val="137260032"/>
        <c:axId val="137270400"/>
      </c:barChart>
      <c:catAx>
        <c:axId val="137260032"/>
        <c:scaling>
          <c:orientation val="minMax"/>
        </c:scaling>
        <c:axPos val="b"/>
        <c:title>
          <c:tx>
            <c:rich>
              <a:bodyPr/>
              <a:lstStyle/>
              <a:p>
                <a:pPr>
                  <a:defRPr/>
                </a:pPr>
                <a:r>
                  <a:rPr lang="en-US"/>
                  <a:t>Age</a:t>
                </a:r>
              </a:p>
            </c:rich>
          </c:tx>
        </c:title>
        <c:majorTickMark val="none"/>
        <c:tickLblPos val="nextTo"/>
        <c:crossAx val="137270400"/>
        <c:crosses val="autoZero"/>
        <c:auto val="1"/>
        <c:lblAlgn val="ctr"/>
        <c:lblOffset val="100"/>
      </c:catAx>
      <c:valAx>
        <c:axId val="137270400"/>
        <c:scaling>
          <c:orientation val="minMax"/>
        </c:scaling>
        <c:delete val="1"/>
        <c:axPos val="l"/>
        <c:title>
          <c:tx>
            <c:rich>
              <a:bodyPr rot="-5400000" vert="horz"/>
              <a:lstStyle/>
              <a:p>
                <a:pPr>
                  <a:defRPr/>
                </a:pPr>
                <a:r>
                  <a:rPr lang="en-US"/>
                  <a:t>percentage</a:t>
                </a:r>
              </a:p>
            </c:rich>
          </c:tx>
        </c:title>
        <c:numFmt formatCode="General" sourceLinked="1"/>
        <c:tickLblPos val="none"/>
        <c:crossAx val="137260032"/>
        <c:crosses val="autoZero"/>
        <c:crossBetween val="between"/>
      </c:valAx>
    </c:plotArea>
    <c:legend>
      <c:legendPos val="t"/>
    </c:legend>
    <c:plotVisOnly val="1"/>
  </c:chart>
  <c:externalData r:id="rId1"/>
</c:chartSpace>
</file>

<file path=word/theme/theme1.xml><?xml version="1.0" encoding="utf-8"?>
<a:theme xmlns:a="http://schemas.openxmlformats.org/drawingml/2006/main" name="Ofis Teması">
  <a:themeElements>
    <a:clrScheme name="Ortalam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Journal of Pediatric Sciences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A08892-FFAF-48F8-8447-B8E45A6F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11658</Characters>
  <Application>Microsoft Office Word</Application>
  <DocSecurity>0</DocSecurity>
  <Lines>97</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Journal of Pediatric Sciences</vt:lpstr>
      <vt:lpstr>Journal of Pediatric Sciences</vt:lpstr>
    </vt:vector>
  </TitlesOfParts>
  <Company>JPS</Company>
  <LinksUpToDate>false</LinksUpToDate>
  <CharactersWithSpaces>13676</CharactersWithSpaces>
  <SharedDoc>false</SharedDoc>
  <HLinks>
    <vt:vector size="186" baseType="variant">
      <vt:variant>
        <vt:i4>3211354</vt:i4>
      </vt:variant>
      <vt:variant>
        <vt:i4>93</vt:i4>
      </vt:variant>
      <vt:variant>
        <vt:i4>0</vt:i4>
      </vt:variant>
      <vt:variant>
        <vt:i4>5</vt:i4>
      </vt:variant>
      <vt:variant>
        <vt:lpwstr>javascript:AL_get(this, 'jour', 'J Gastroenterol Hepatol.');</vt:lpwstr>
      </vt:variant>
      <vt:variant>
        <vt:lpwstr/>
      </vt:variant>
      <vt:variant>
        <vt:i4>6881345</vt:i4>
      </vt:variant>
      <vt:variant>
        <vt:i4>90</vt:i4>
      </vt:variant>
      <vt:variant>
        <vt:i4>0</vt:i4>
      </vt:variant>
      <vt:variant>
        <vt:i4>5</vt:i4>
      </vt:variant>
      <vt:variant>
        <vt:lpwstr>http://www.ncbi.nlm.nih.gov/sites/entrez?Db=pubmed&amp;Cmd=Search&amp;Term=%22Lee%20SS%22%5BAuthor%5D&amp;itool=EntrezSystem2.PEntrez.Pubmed.Pubmed_ResultsPanel.Pubmed_DiscoveryPanel.Pubmed_RVAbstractPlus</vt:lpwstr>
      </vt:variant>
      <vt:variant>
        <vt:lpwstr/>
      </vt:variant>
      <vt:variant>
        <vt:i4>7471197</vt:i4>
      </vt:variant>
      <vt:variant>
        <vt:i4>87</vt:i4>
      </vt:variant>
      <vt:variant>
        <vt:i4>0</vt:i4>
      </vt:variant>
      <vt:variant>
        <vt:i4>5</vt:i4>
      </vt:variant>
      <vt:variant>
        <vt:lpwstr>http://www.ncbi.nlm.nih.gov/sites/entrez?Db=pubmed&amp;Cmd=Search&amp;Term=%22Liu%20H%22%5BAuthor%5D&amp;itool=EntrezSystem2.PEntrez.Pubmed.Pubmed_ResultsPanel.Pubmed_DiscoveryPanel.Pubmed_RVAbstractPlus</vt:lpwstr>
      </vt:variant>
      <vt:variant>
        <vt:lpwstr/>
      </vt:variant>
      <vt:variant>
        <vt:i4>6750281</vt:i4>
      </vt:variant>
      <vt:variant>
        <vt:i4>84</vt:i4>
      </vt:variant>
      <vt:variant>
        <vt:i4>0</vt:i4>
      </vt:variant>
      <vt:variant>
        <vt:i4>5</vt:i4>
      </vt:variant>
      <vt:variant>
        <vt:lpwstr>javascript:AL_get(this, 'jour', 'Transplant Proc.');</vt:lpwstr>
      </vt:variant>
      <vt:variant>
        <vt:lpwstr/>
      </vt:variant>
      <vt:variant>
        <vt:i4>7405639</vt:i4>
      </vt:variant>
      <vt:variant>
        <vt:i4>81</vt:i4>
      </vt:variant>
      <vt:variant>
        <vt:i4>0</vt:i4>
      </vt:variant>
      <vt:variant>
        <vt:i4>5</vt:i4>
      </vt:variant>
      <vt:variant>
        <vt:lpwstr>http://www.ncbi.nlm.nih.gov/sites/entrez?Db=pubmed&amp;Cmd=Search&amp;Term=%22Saygili%20A%22%5BAuthor%5D&amp;itool=EntrezSystem2.PEntrez.Pubmed.Pubmed_ResultsPanel.Pubmed_DiscoveryPanel.Pubmed_RVAbstractPlus</vt:lpwstr>
      </vt:variant>
      <vt:variant>
        <vt:lpwstr/>
      </vt:variant>
      <vt:variant>
        <vt:i4>1769508</vt:i4>
      </vt:variant>
      <vt:variant>
        <vt:i4>78</vt:i4>
      </vt:variant>
      <vt:variant>
        <vt:i4>0</vt:i4>
      </vt:variant>
      <vt:variant>
        <vt:i4>5</vt:i4>
      </vt:variant>
      <vt:variant>
        <vt:lpwstr>http://www.ncbi.nlm.nih.gov/sites/entrez?Db=pubmed&amp;Cmd=Search&amp;Term=%22Varan%20B%22%5BAuthor%5D&amp;itool=EntrezSystem2.PEntrez.Pubmed.Pubmed_ResultsPanel.Pubmed_DiscoveryPanel.Pubmed_RVAbstractPlus</vt:lpwstr>
      </vt:variant>
      <vt:variant>
        <vt:lpwstr/>
      </vt:variant>
      <vt:variant>
        <vt:i4>1114164</vt:i4>
      </vt:variant>
      <vt:variant>
        <vt:i4>75</vt:i4>
      </vt:variant>
      <vt:variant>
        <vt:i4>0</vt:i4>
      </vt:variant>
      <vt:variant>
        <vt:i4>5</vt:i4>
      </vt:variant>
      <vt:variant>
        <vt:lpwstr>http://www.ncbi.nlm.nih.gov/sites/entrez?Db=pubmed&amp;Cmd=Search&amp;Term=%22Tokel%20K%22%5BAuthor%5D&amp;itool=EntrezSystem2.PEntrez.Pubmed.Pubmed_ResultsPanel.Pubmed_DiscoveryPanel.Pubmed_RVAbstractPlus</vt:lpwstr>
      </vt:variant>
      <vt:variant>
        <vt:lpwstr/>
      </vt:variant>
      <vt:variant>
        <vt:i4>4980837</vt:i4>
      </vt:variant>
      <vt:variant>
        <vt:i4>72</vt:i4>
      </vt:variant>
      <vt:variant>
        <vt:i4>0</vt:i4>
      </vt:variant>
      <vt:variant>
        <vt:i4>5</vt:i4>
      </vt:variant>
      <vt:variant>
        <vt:lpwstr>http://www.ncbi.nlm.nih.gov/sites/entrez?Db=pubmed&amp;Cmd=Search&amp;Term=%22Oz%C3%A7ay%20F%22%5BAuthor%5D&amp;itool=EntrezSystem2.PEntrez.Pubmed.Pubmed_ResultsPanel.Pubmed_DiscoveryPanel.Pubmed_RVAbstractPlus</vt:lpwstr>
      </vt:variant>
      <vt:variant>
        <vt:lpwstr/>
      </vt:variant>
      <vt:variant>
        <vt:i4>4128842</vt:i4>
      </vt:variant>
      <vt:variant>
        <vt:i4>69</vt:i4>
      </vt:variant>
      <vt:variant>
        <vt:i4>0</vt:i4>
      </vt:variant>
      <vt:variant>
        <vt:i4>5</vt:i4>
      </vt:variant>
      <vt:variant>
        <vt:lpwstr>http://www.ncbi.nlm.nih.gov/pubmed/7227854?ordinalpos=3&amp;itool=EntrezSystem2.PEntrez.Pubmed.Pubmed_ResultsPanel.Pubmed_DefaultReportPanel.Pubmed_RVDocSum</vt:lpwstr>
      </vt:variant>
      <vt:variant>
        <vt:lpwstr/>
      </vt:variant>
      <vt:variant>
        <vt:i4>2162717</vt:i4>
      </vt:variant>
      <vt:variant>
        <vt:i4>66</vt:i4>
      </vt:variant>
      <vt:variant>
        <vt:i4>0</vt:i4>
      </vt:variant>
      <vt:variant>
        <vt:i4>5</vt:i4>
      </vt:variant>
      <vt:variant>
        <vt:lpwstr>javascript:AL_get(this, 'jour', 'Pediatr Cardiol.');</vt:lpwstr>
      </vt:variant>
      <vt:variant>
        <vt:lpwstr/>
      </vt:variant>
      <vt:variant>
        <vt:i4>4128788</vt:i4>
      </vt:variant>
      <vt:variant>
        <vt:i4>63</vt:i4>
      </vt:variant>
      <vt:variant>
        <vt:i4>0</vt:i4>
      </vt:variant>
      <vt:variant>
        <vt:i4>5</vt:i4>
      </vt:variant>
      <vt:variant>
        <vt:lpwstr>http://www.ncbi.nlm.nih.gov/sites/entrez?Db=pubmed&amp;Cmd=Search&amp;Term=%22Li%20JS%22%5BAuthor%5D&amp;itool=EntrezSystem2.PEntrez.Pubmed.Pubmed_ResultsPanel.Pubmed_DiscoveryPanel.Pubmed_RVAbstractPlus</vt:lpwstr>
      </vt:variant>
      <vt:variant>
        <vt:lpwstr/>
      </vt:variant>
      <vt:variant>
        <vt:i4>6946883</vt:i4>
      </vt:variant>
      <vt:variant>
        <vt:i4>60</vt:i4>
      </vt:variant>
      <vt:variant>
        <vt:i4>0</vt:i4>
      </vt:variant>
      <vt:variant>
        <vt:i4>5</vt:i4>
      </vt:variant>
      <vt:variant>
        <vt:lpwstr>http://www.ncbi.nlm.nih.gov/sites/entrez?Db=pubmed&amp;Cmd=Search&amp;Term=%22Herlong%20JR%22%5BAuthor%5D&amp;itool=EntrezSystem2.PEntrez.Pubmed.Pubmed_ResultsPanel.Pubmed_DiscoveryPanel.Pubmed_RVAbstractPlus</vt:lpwstr>
      </vt:variant>
      <vt:variant>
        <vt:lpwstr/>
      </vt:variant>
      <vt:variant>
        <vt:i4>4391033</vt:i4>
      </vt:variant>
      <vt:variant>
        <vt:i4>57</vt:i4>
      </vt:variant>
      <vt:variant>
        <vt:i4>0</vt:i4>
      </vt:variant>
      <vt:variant>
        <vt:i4>5</vt:i4>
      </vt:variant>
      <vt:variant>
        <vt:lpwstr>http://www.ncbi.nlm.nih.gov/sites/entrez?Db=pubmed&amp;Cmd=Search&amp;Term=%22Chen%20YT%22%5BAuthor%5D&amp;itool=EntrezSystem2.PEntrez.Pubmed.Pubmed_ResultsPanel.Pubmed_DiscoveryPanel.Pubmed_RVAbstractPlus</vt:lpwstr>
      </vt:variant>
      <vt:variant>
        <vt:lpwstr/>
      </vt:variant>
      <vt:variant>
        <vt:i4>4522080</vt:i4>
      </vt:variant>
      <vt:variant>
        <vt:i4>54</vt:i4>
      </vt:variant>
      <vt:variant>
        <vt:i4>0</vt:i4>
      </vt:variant>
      <vt:variant>
        <vt:i4>5</vt:i4>
      </vt:variant>
      <vt:variant>
        <vt:lpwstr>http://www.ncbi.nlm.nih.gov/sites/entrez?Db=pubmed&amp;Cmd=Search&amp;Term=%22Kishnani%20PS%22%5BAuthor%5D&amp;itool=EntrezSystem2.PEntrez.Pubmed.Pubmed_ResultsPanel.Pubmed_DiscoveryPanel.Pubmed_RVAbstractPlus</vt:lpwstr>
      </vt:variant>
      <vt:variant>
        <vt:lpwstr/>
      </vt:variant>
      <vt:variant>
        <vt:i4>4128796</vt:i4>
      </vt:variant>
      <vt:variant>
        <vt:i4>51</vt:i4>
      </vt:variant>
      <vt:variant>
        <vt:i4>0</vt:i4>
      </vt:variant>
      <vt:variant>
        <vt:i4>5</vt:i4>
      </vt:variant>
      <vt:variant>
        <vt:lpwstr>http://www.ncbi.nlm.nih.gov/sites/entrez?Db=pubmed&amp;Cmd=Search&amp;Term=%22Levine%20JC%22%5BAuthor%5D&amp;itool=EntrezSystem2.PEntrez.Pubmed.Pubmed_ResultsPanel.Pubmed_DiscoveryPanel.Pubmed_RVAbstractPlus</vt:lpwstr>
      </vt:variant>
      <vt:variant>
        <vt:lpwstr/>
      </vt:variant>
      <vt:variant>
        <vt:i4>2097230</vt:i4>
      </vt:variant>
      <vt:variant>
        <vt:i4>48</vt:i4>
      </vt:variant>
      <vt:variant>
        <vt:i4>0</vt:i4>
      </vt:variant>
      <vt:variant>
        <vt:i4>5</vt:i4>
      </vt:variant>
      <vt:variant>
        <vt:lpwstr>javascript:AL_get(this, 'jour', 'N Engl J Med.');</vt:lpwstr>
      </vt:variant>
      <vt:variant>
        <vt:lpwstr/>
      </vt:variant>
      <vt:variant>
        <vt:i4>1638440</vt:i4>
      </vt:variant>
      <vt:variant>
        <vt:i4>45</vt:i4>
      </vt:variant>
      <vt:variant>
        <vt:i4>0</vt:i4>
      </vt:variant>
      <vt:variant>
        <vt:i4>5</vt:i4>
      </vt:variant>
      <vt:variant>
        <vt:lpwstr>http://www.ncbi.nlm.nih.gov/sites/entrez?Db=pubmed&amp;Cmd=Search&amp;Term=%22Holme%20E%22%5BAuthor%5D&amp;itool=EntrezSystem2.PEntrez.Pubmed.Pubmed_ResultsPanel.Pubmed_DiscoveryPanel.Pubmed_RVAbstractPlus</vt:lpwstr>
      </vt:variant>
      <vt:variant>
        <vt:lpwstr/>
      </vt:variant>
      <vt:variant>
        <vt:i4>6488154</vt:i4>
      </vt:variant>
      <vt:variant>
        <vt:i4>42</vt:i4>
      </vt:variant>
      <vt:variant>
        <vt:i4>0</vt:i4>
      </vt:variant>
      <vt:variant>
        <vt:i4>5</vt:i4>
      </vt:variant>
      <vt:variant>
        <vt:lpwstr>http://www.ncbi.nlm.nih.gov/sites/entrez?Db=pubmed&amp;Cmd=Search&amp;Term=%22Oldfors%20A%22%5BAuthor%5D&amp;itool=EntrezSystem2.PEntrez.Pubmed.Pubmed_ResultsPanel.Pubmed_DiscoveryPanel.Pubmed_RVAbstractPlus</vt:lpwstr>
      </vt:variant>
      <vt:variant>
        <vt:lpwstr/>
      </vt:variant>
      <vt:variant>
        <vt:i4>5767280</vt:i4>
      </vt:variant>
      <vt:variant>
        <vt:i4>39</vt:i4>
      </vt:variant>
      <vt:variant>
        <vt:i4>0</vt:i4>
      </vt:variant>
      <vt:variant>
        <vt:i4>5</vt:i4>
      </vt:variant>
      <vt:variant>
        <vt:lpwstr>http://www.ncbi.nlm.nih.gov/sites/entrez?Db=pubmed&amp;Cmd=Search&amp;Term=%22Jotorp%20P%22%5BAuthor%5D&amp;itool=EntrezSystem2.PEntrez.Pubmed.Pubmed_ResultsPanel.Pubmed_DiscoveryPanel.Pubmed_RVAbstractPlus</vt:lpwstr>
      </vt:variant>
      <vt:variant>
        <vt:lpwstr/>
      </vt:variant>
      <vt:variant>
        <vt:i4>786472</vt:i4>
      </vt:variant>
      <vt:variant>
        <vt:i4>36</vt:i4>
      </vt:variant>
      <vt:variant>
        <vt:i4>0</vt:i4>
      </vt:variant>
      <vt:variant>
        <vt:i4>5</vt:i4>
      </vt:variant>
      <vt:variant>
        <vt:lpwstr>http://www.ncbi.nlm.nih.gov/sites/entrez?Db=pubmed&amp;Cmd=Search&amp;Term=%22Forsander%20G%22%5BAuthor%5D&amp;itool=EntrezSystem2.PEntrez.Pubmed.Pubmed_ResultsPanel.Pubmed_DiscoveryPanel.Pubmed_RVAbstractPlus</vt:lpwstr>
      </vt:variant>
      <vt:variant>
        <vt:lpwstr/>
      </vt:variant>
      <vt:variant>
        <vt:i4>23789650</vt:i4>
      </vt:variant>
      <vt:variant>
        <vt:i4>33</vt:i4>
      </vt:variant>
      <vt:variant>
        <vt:i4>0</vt:i4>
      </vt:variant>
      <vt:variant>
        <vt:i4>5</vt:i4>
      </vt:variant>
      <vt:variant>
        <vt:lpwstr>http://www.ncbi.nlm.nih.gov/sites/entrez?Db=pubmed&amp;Cmd=Search&amp;Term=%22Ostman-Smith%20I%22%5BAuthor%5D&amp;itool=EntrezSystem2.PEntrez.Pubmed.Pubmed_ResultsPanel.Pubmed_DiscoveryPanel.Pubmed_RVAbstractPlus</vt:lpwstr>
      </vt:variant>
      <vt:variant>
        <vt:lpwstr/>
      </vt:variant>
      <vt:variant>
        <vt:i4>8323156</vt:i4>
      </vt:variant>
      <vt:variant>
        <vt:i4>30</vt:i4>
      </vt:variant>
      <vt:variant>
        <vt:i4>0</vt:i4>
      </vt:variant>
      <vt:variant>
        <vt:i4>5</vt:i4>
      </vt:variant>
      <vt:variant>
        <vt:lpwstr>http://www.ncbi.nlm.nih.gov/sites/entrez?Db=pubmed&amp;Cmd=Search&amp;Term=%22Gilljam%20T%22%5BAuthor%5D&amp;itool=EntrezSystem2.PEntrez.Pubmed.Pubmed_ResultsPanel.Pubmed_DiscoveryPanel.Pubmed_RVAbstractPlus</vt:lpwstr>
      </vt:variant>
      <vt:variant>
        <vt:lpwstr/>
      </vt:variant>
      <vt:variant>
        <vt:i4>3342367</vt:i4>
      </vt:variant>
      <vt:variant>
        <vt:i4>27</vt:i4>
      </vt:variant>
      <vt:variant>
        <vt:i4>0</vt:i4>
      </vt:variant>
      <vt:variant>
        <vt:i4>5</vt:i4>
      </vt:variant>
      <vt:variant>
        <vt:lpwstr>http://www.ncbi.nlm.nih.gov/sites/entrez?Db=pubmed&amp;Cmd=Search&amp;Term=%22Tulinius%20M%22%5BAuthor%5D&amp;itool=EntrezSystem2.PEntrez.Pubmed.Pubmed_ResultsPanel.Pubmed_DiscoveryPanel.Pubmed_RVAbstractPlus</vt:lpwstr>
      </vt:variant>
      <vt:variant>
        <vt:lpwstr/>
      </vt:variant>
      <vt:variant>
        <vt:i4>4063243</vt:i4>
      </vt:variant>
      <vt:variant>
        <vt:i4>24</vt:i4>
      </vt:variant>
      <vt:variant>
        <vt:i4>0</vt:i4>
      </vt:variant>
      <vt:variant>
        <vt:i4>5</vt:i4>
      </vt:variant>
      <vt:variant>
        <vt:lpwstr>http://www.ncbi.nlm.nih.gov/sites/entrez?Db=pubmed&amp;Cmd=Search&amp;Term=%22Kollberg%20G%22%5BAuthor%5D&amp;itool=EntrezSystem2.PEntrez.Pubmed.Pubmed_ResultsPanel.Pubmed_DiscoveryPanel.Pubmed_RVAbstractPlus</vt:lpwstr>
      </vt:variant>
      <vt:variant>
        <vt:lpwstr/>
      </vt:variant>
      <vt:variant>
        <vt:i4>1769574</vt:i4>
      </vt:variant>
      <vt:variant>
        <vt:i4>21</vt:i4>
      </vt:variant>
      <vt:variant>
        <vt:i4>0</vt:i4>
      </vt:variant>
      <vt:variant>
        <vt:i4>5</vt:i4>
      </vt:variant>
      <vt:variant>
        <vt:lpwstr>http://www.ncbi.nlm.nih.gov/pubmed/11751653?ordinalpos=23&amp;itool=EntrezSystem2.PEntrez.Pubmed.Pubmed_ResultsPanel.Pubmed_DefaultReportPanel.Pubmed_RVDocSum</vt:lpwstr>
      </vt:variant>
      <vt:variant>
        <vt:lpwstr/>
      </vt:variant>
      <vt:variant>
        <vt:i4>3407884</vt:i4>
      </vt:variant>
      <vt:variant>
        <vt:i4>18</vt:i4>
      </vt:variant>
      <vt:variant>
        <vt:i4>0</vt:i4>
      </vt:variant>
      <vt:variant>
        <vt:i4>5</vt:i4>
      </vt:variant>
      <vt:variant>
        <vt:lpwstr>javascript:AL_get(this, 'jour', 'Br J Anaesth.');</vt:lpwstr>
      </vt:variant>
      <vt:variant>
        <vt:lpwstr/>
      </vt:variant>
      <vt:variant>
        <vt:i4>7733319</vt:i4>
      </vt:variant>
      <vt:variant>
        <vt:i4>15</vt:i4>
      </vt:variant>
      <vt:variant>
        <vt:i4>0</vt:i4>
      </vt:variant>
      <vt:variant>
        <vt:i4>5</vt:i4>
      </vt:variant>
      <vt:variant>
        <vt:lpwstr>http://www.ncbi.nlm.nih.gov/sites/entrez?Db=pubmed&amp;Cmd=Search&amp;Term=%22McNicol%20PL%22%5BAuthor%5D&amp;itool=EntrezSystem2.PEntrez.Pubmed.Pubmed_ResultsPanel.Pubmed_DiscoveryPanel.Pubmed_RVAbstractPlus</vt:lpwstr>
      </vt:variant>
      <vt:variant>
        <vt:lpwstr/>
      </vt:variant>
      <vt:variant>
        <vt:i4>2228251</vt:i4>
      </vt:variant>
      <vt:variant>
        <vt:i4>12</vt:i4>
      </vt:variant>
      <vt:variant>
        <vt:i4>0</vt:i4>
      </vt:variant>
      <vt:variant>
        <vt:i4>5</vt:i4>
      </vt:variant>
      <vt:variant>
        <vt:lpwstr>http://www.ncbi.nlm.nih.gov/sites/entrez?Db=pubmed&amp;Cmd=Search&amp;Term=%22McCall%20PR%22%5BAuthor%5D&amp;itool=EntrezSystem2.PEntrez.Pubmed.Pubmed_ResultsPanel.Pubmed_DiscoveryPanel.Pubmed_RVAbstractPlus</vt:lpwstr>
      </vt:variant>
      <vt:variant>
        <vt:lpwstr/>
      </vt:variant>
      <vt:variant>
        <vt:i4>7471186</vt:i4>
      </vt:variant>
      <vt:variant>
        <vt:i4>9</vt:i4>
      </vt:variant>
      <vt:variant>
        <vt:i4>0</vt:i4>
      </vt:variant>
      <vt:variant>
        <vt:i4>5</vt:i4>
      </vt:variant>
      <vt:variant>
        <vt:lpwstr>http://www.ncbi.nlm.nih.gov/sites/entrez?Db=pubmed&amp;Cmd=Search&amp;Term=%22Liu%20G%22%5BAuthor%5D&amp;itool=EntrezSystem2.PEntrez.Pubmed.Pubmed_ResultsPanel.Pubmed_DiscoveryPanel.Pubmed_RVAbstractPlus</vt:lpwstr>
      </vt:variant>
      <vt:variant>
        <vt:lpwstr/>
      </vt:variant>
      <vt:variant>
        <vt:i4>1245225</vt:i4>
      </vt:variant>
      <vt:variant>
        <vt:i4>6</vt:i4>
      </vt:variant>
      <vt:variant>
        <vt:i4>0</vt:i4>
      </vt:variant>
      <vt:variant>
        <vt:i4>5</vt:i4>
      </vt:variant>
      <vt:variant>
        <vt:lpwstr>http://www.ncbi.nlm.nih.gov/sites/entrez?Db=pubmed&amp;Cmd=Search&amp;Term=%22Jones%20EF%22%5BAuthor%5D&amp;itool=EntrezSystem2.PEntrez.Pubmed.Pubmed_ResultsPanel.Pubmed_DiscoveryPanel.Pubmed_RVAbstractPlus</vt:lpwstr>
      </vt:variant>
      <vt:variant>
        <vt:lpwstr/>
      </vt:variant>
      <vt:variant>
        <vt:i4>24707088</vt:i4>
      </vt:variant>
      <vt:variant>
        <vt:i4>3</vt:i4>
      </vt:variant>
      <vt:variant>
        <vt:i4>0</vt:i4>
      </vt:variant>
      <vt:variant>
        <vt:i4>5</vt:i4>
      </vt:variant>
      <vt:variant>
        <vt:lpwstr>http://www.ncbi.nlm.nih.gov/sites/entrez?Db=pubmed&amp;Cmd=Search&amp;Term=%22Harley%20ID%22%5BAuthor%5D&amp;itool=EntrezSystem2.PEntrez.Pubmed.Pubmed_ResultsPanel.Pubmed_DiscoveryPanel.Pubmed_RVAbstractPlus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Pediatric Sciences</dc:title>
  <dc:creator>Fatih</dc:creator>
  <cp:lastModifiedBy>Windows Xp User</cp:lastModifiedBy>
  <cp:revision>2</cp:revision>
  <cp:lastPrinted>2012-03-07T08:54:00Z</cp:lastPrinted>
  <dcterms:created xsi:type="dcterms:W3CDTF">2012-08-18T08:20:00Z</dcterms:created>
  <dcterms:modified xsi:type="dcterms:W3CDTF">2012-08-18T08:20:00Z</dcterms:modified>
</cp:coreProperties>
</file>